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2536A">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2536A">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2536A">
        <w:trPr>
          <w:trHeight w:val="68"/>
          <w:jc w:val="center"/>
        </w:trPr>
        <w:tc>
          <w:tcPr>
            <w:tcW w:w="8782"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Jiří Jaromír Klemeš</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1E9CB5E" w:rsidR="00E978D0" w:rsidRPr="00B57B36" w:rsidRDefault="0082536A" w:rsidP="00E978D0">
      <w:pPr>
        <w:pStyle w:val="CETTitle"/>
      </w:pPr>
      <w:r w:rsidRPr="0082536A">
        <w:t xml:space="preserve">Process Intensification </w:t>
      </w:r>
      <w:proofErr w:type="gramStart"/>
      <w:r w:rsidRPr="0082536A">
        <w:t>for the Production of</w:t>
      </w:r>
      <w:proofErr w:type="gramEnd"/>
      <w:r w:rsidRPr="0082536A">
        <w:t xml:space="preserve"> Cyclic Macrolactones: </w:t>
      </w:r>
      <w:r w:rsidR="00BC10EE">
        <w:t>I</w:t>
      </w:r>
      <w:r w:rsidRPr="0082536A">
        <w:t xml:space="preserve">dentification of </w:t>
      </w:r>
      <w:r w:rsidR="00BC10EE">
        <w:t>S</w:t>
      </w:r>
      <w:r w:rsidRPr="0082536A">
        <w:t xml:space="preserve">afe </w:t>
      </w:r>
      <w:r w:rsidR="00BC10EE">
        <w:t>O</w:t>
      </w:r>
      <w:r w:rsidRPr="0082536A">
        <w:t xml:space="preserve">perating </w:t>
      </w:r>
      <w:r w:rsidR="00BC10EE">
        <w:t>C</w:t>
      </w:r>
      <w:r w:rsidRPr="0082536A">
        <w:t xml:space="preserve">onditions in </w:t>
      </w:r>
      <w:r w:rsidR="00BC10EE">
        <w:t>T</w:t>
      </w:r>
      <w:r w:rsidRPr="0082536A">
        <w:t xml:space="preserve">ubular </w:t>
      </w:r>
      <w:r w:rsidR="00BC10EE">
        <w:t>R</w:t>
      </w:r>
      <w:r w:rsidRPr="0082536A">
        <w:t>eactors</w:t>
      </w:r>
    </w:p>
    <w:p w14:paraId="10BE0325" w14:textId="77777777" w:rsidR="0082536A" w:rsidRPr="002F46EB" w:rsidRDefault="0082536A" w:rsidP="00B57E6F">
      <w:pPr>
        <w:pStyle w:val="CETAddress"/>
        <w:rPr>
          <w:sz w:val="24"/>
          <w:lang w:val="it-IT"/>
        </w:rPr>
      </w:pPr>
      <w:r w:rsidRPr="002F46EB">
        <w:rPr>
          <w:sz w:val="24"/>
          <w:lang w:val="it-IT"/>
        </w:rPr>
        <w:t>Sabrina Copelli</w:t>
      </w:r>
      <w:r w:rsidRPr="002F46EB">
        <w:rPr>
          <w:sz w:val="24"/>
          <w:vertAlign w:val="superscript"/>
          <w:lang w:val="it-IT"/>
        </w:rPr>
        <w:t>*a</w:t>
      </w:r>
      <w:r w:rsidRPr="002F46EB">
        <w:rPr>
          <w:sz w:val="24"/>
          <w:lang w:val="it-IT"/>
        </w:rPr>
        <w:t>, Marco Barozzi</w:t>
      </w:r>
      <w:r w:rsidRPr="002F46EB">
        <w:rPr>
          <w:sz w:val="24"/>
          <w:vertAlign w:val="superscript"/>
          <w:lang w:val="it-IT"/>
        </w:rPr>
        <w:t>a</w:t>
      </w:r>
      <w:r w:rsidRPr="002F46EB">
        <w:rPr>
          <w:sz w:val="24"/>
          <w:lang w:val="it-IT"/>
        </w:rPr>
        <w:t>, Linda Vitaloni</w:t>
      </w:r>
      <w:r w:rsidRPr="002F46EB">
        <w:rPr>
          <w:sz w:val="24"/>
          <w:vertAlign w:val="superscript"/>
          <w:lang w:val="it-IT"/>
        </w:rPr>
        <w:t>a</w:t>
      </w:r>
      <w:r w:rsidRPr="002F46EB">
        <w:rPr>
          <w:sz w:val="24"/>
          <w:lang w:val="it-IT"/>
        </w:rPr>
        <w:t>, Federico Florit</w:t>
      </w:r>
      <w:r w:rsidRPr="002F46EB">
        <w:rPr>
          <w:sz w:val="24"/>
          <w:vertAlign w:val="superscript"/>
          <w:lang w:val="it-IT"/>
        </w:rPr>
        <w:t>b</w:t>
      </w:r>
      <w:r w:rsidRPr="002F46EB">
        <w:rPr>
          <w:sz w:val="24"/>
          <w:lang w:val="it-IT"/>
        </w:rPr>
        <w:t>, Julià Sempere</w:t>
      </w:r>
      <w:r w:rsidRPr="002F46EB">
        <w:rPr>
          <w:sz w:val="24"/>
          <w:vertAlign w:val="superscript"/>
          <w:lang w:val="it-IT"/>
        </w:rPr>
        <w:t>c</w:t>
      </w:r>
      <w:r w:rsidRPr="002F46EB">
        <w:rPr>
          <w:sz w:val="24"/>
          <w:lang w:val="it-IT"/>
        </w:rPr>
        <w:t>, Rosa Nomen</w:t>
      </w:r>
      <w:r w:rsidRPr="002F46EB">
        <w:rPr>
          <w:sz w:val="24"/>
          <w:vertAlign w:val="superscript"/>
          <w:lang w:val="it-IT"/>
        </w:rPr>
        <w:t>c</w:t>
      </w:r>
    </w:p>
    <w:p w14:paraId="6B2D21B3" w14:textId="68AE5198" w:rsidR="00B57E6F" w:rsidRPr="00D77869" w:rsidRDefault="00B57E6F" w:rsidP="00D77869">
      <w:pPr>
        <w:pStyle w:val="CETAddress"/>
        <w:rPr>
          <w:vertAlign w:val="superscript"/>
        </w:rPr>
      </w:pPr>
      <w:r w:rsidRPr="00B57B36">
        <w:rPr>
          <w:vertAlign w:val="superscript"/>
        </w:rPr>
        <w:t>a</w:t>
      </w:r>
      <w:r w:rsidR="00D77869" w:rsidRPr="00D77869">
        <w:t>Department of Science and High Technology, Insubria University, Via G.B. Vico 46, Varese</w:t>
      </w:r>
      <w:r w:rsidR="00D77869">
        <w:t xml:space="preserve">, </w:t>
      </w:r>
      <w:r w:rsidR="00D77869" w:rsidRPr="00D77869">
        <w:t>21100, Italy</w:t>
      </w:r>
    </w:p>
    <w:p w14:paraId="3D72B0B0" w14:textId="7A577D3A" w:rsidR="00B57E6F" w:rsidRDefault="00B57E6F" w:rsidP="00B57E6F">
      <w:pPr>
        <w:pStyle w:val="CETAddress"/>
      </w:pPr>
      <w:r w:rsidRPr="00B57B36">
        <w:rPr>
          <w:vertAlign w:val="superscript"/>
        </w:rPr>
        <w:t>b</w:t>
      </w:r>
      <w:r w:rsidR="0082536A" w:rsidRPr="0082536A">
        <w:t>Department of Chemical Engineering</w:t>
      </w:r>
      <w:r w:rsidR="000D5BC9">
        <w:t>,</w:t>
      </w:r>
      <w:r w:rsidR="0082536A" w:rsidRPr="0082536A">
        <w:t xml:space="preserve"> Massachusetts Institute of Technology</w:t>
      </w:r>
      <w:r w:rsidR="000D5BC9">
        <w:t>,</w:t>
      </w:r>
      <w:r w:rsidR="0082536A" w:rsidRPr="0082536A">
        <w:t xml:space="preserve"> 77 Massachusetts Ave</w:t>
      </w:r>
      <w:r w:rsidR="008B34E7">
        <w:t>,</w:t>
      </w:r>
      <w:r w:rsidR="0082536A" w:rsidRPr="0082536A">
        <w:t xml:space="preserve"> MA 02139</w:t>
      </w:r>
      <w:r w:rsidR="00A22F98">
        <w:t xml:space="preserve">, </w:t>
      </w:r>
      <w:r w:rsidR="0082536A" w:rsidRPr="0082536A">
        <w:t>Cambridge</w:t>
      </w:r>
      <w:r w:rsidR="008B34E7">
        <w:t>,</w:t>
      </w:r>
      <w:r w:rsidR="0082536A" w:rsidRPr="0082536A">
        <w:t xml:space="preserve"> USA</w:t>
      </w:r>
      <w:r w:rsidRPr="0082536A">
        <w:t xml:space="preserve"> </w:t>
      </w:r>
    </w:p>
    <w:p w14:paraId="62CFF0A2" w14:textId="756B8010" w:rsidR="0082536A" w:rsidRPr="002F46EB" w:rsidRDefault="0082536A" w:rsidP="00B57E6F">
      <w:pPr>
        <w:pStyle w:val="CETAddress"/>
        <w:rPr>
          <w:lang w:val="it-IT"/>
        </w:rPr>
      </w:pPr>
      <w:r w:rsidRPr="002F46EB">
        <w:rPr>
          <w:vertAlign w:val="superscript"/>
          <w:lang w:val="it-IT"/>
        </w:rPr>
        <w:t>c</w:t>
      </w:r>
      <w:r w:rsidRPr="002F46EB">
        <w:rPr>
          <w:lang w:val="it-IT"/>
        </w:rPr>
        <w:t>IQS Universitat Ramon Llull, Departament d’Enginyeria Química, Via Augusta 390, 08017 Barcelona, Spain</w:t>
      </w:r>
    </w:p>
    <w:p w14:paraId="73F1267A" w14:textId="3B54BC21" w:rsidR="00B57E6F" w:rsidRPr="00B57B36" w:rsidRDefault="002F46EB" w:rsidP="00B57E6F">
      <w:pPr>
        <w:pStyle w:val="CETemail"/>
      </w:pPr>
      <w:r>
        <w:t>*</w:t>
      </w:r>
      <w:r w:rsidR="00B57E6F">
        <w:t xml:space="preserve"> </w:t>
      </w:r>
      <w:r w:rsidR="0082536A" w:rsidRPr="0082536A">
        <w:t>sabrina.copelli@uninsubria.it</w:t>
      </w:r>
    </w:p>
    <w:p w14:paraId="1D87A309" w14:textId="2E348483" w:rsidR="00C83B4B" w:rsidRPr="007A7454" w:rsidRDefault="00C83B4B" w:rsidP="00C83B4B">
      <w:pPr>
        <w:pStyle w:val="CETBodytext"/>
        <w:rPr>
          <w:lang w:val="en-GB"/>
        </w:rPr>
      </w:pPr>
      <w:r w:rsidRPr="00C83B4B">
        <w:rPr>
          <w:lang w:val="en-GB"/>
        </w:rPr>
        <w:t xml:space="preserve">In this work, the possibility to shift from a batch to a continuous production of 16-hexadecanolide, one of the main components of the white musk essence, was </w:t>
      </w:r>
      <w:r w:rsidR="000175B1">
        <w:rPr>
          <w:lang w:val="en-GB"/>
        </w:rPr>
        <w:t xml:space="preserve">theoretically </w:t>
      </w:r>
      <w:r w:rsidRPr="00C83B4B">
        <w:rPr>
          <w:lang w:val="en-GB"/>
        </w:rPr>
        <w:t xml:space="preserve">studied. The selected synthesis was an upgraded version of that proposed by Story in 1968, </w:t>
      </w:r>
      <w:r w:rsidR="00984CA7">
        <w:rPr>
          <w:lang w:val="en-GB"/>
        </w:rPr>
        <w:t>who</w:t>
      </w:r>
      <w:r w:rsidR="00984CA7" w:rsidRPr="00C83B4B">
        <w:rPr>
          <w:lang w:val="en-GB"/>
        </w:rPr>
        <w:t xml:space="preserve"> </w:t>
      </w:r>
      <w:r w:rsidRPr="00C83B4B">
        <w:rPr>
          <w:lang w:val="en-GB"/>
        </w:rPr>
        <w:t xml:space="preserve">obtained macrocyclic compounds from the decomposition of ketone peroxides (in this case the involved peroxide was tricyclohexylidene triperoxide). But such reaction presents some huge criticalities: 1) high exothermicity and, 2) production of carbon dioxide, which are known to both modify the kinetics of the desired reaction and lead to a pressure increase inside the reactor whether the gases are not vented. For such reasons, </w:t>
      </w:r>
      <w:r w:rsidR="000326CF" w:rsidRPr="00C83B4B">
        <w:rPr>
          <w:lang w:val="en-GB"/>
        </w:rPr>
        <w:t>to</w:t>
      </w:r>
      <w:r w:rsidRPr="00C83B4B">
        <w:rPr>
          <w:lang w:val="en-GB"/>
        </w:rPr>
        <w:t xml:space="preserve"> implement </w:t>
      </w:r>
      <w:r w:rsidR="00984CA7">
        <w:rPr>
          <w:lang w:val="en-GB"/>
        </w:rPr>
        <w:t>any</w:t>
      </w:r>
      <w:r w:rsidR="00984CA7" w:rsidRPr="00C83B4B">
        <w:rPr>
          <w:lang w:val="en-GB"/>
        </w:rPr>
        <w:t xml:space="preserve"> </w:t>
      </w:r>
      <w:r w:rsidRPr="00C83B4B">
        <w:rPr>
          <w:lang w:val="en-GB"/>
        </w:rPr>
        <w:t xml:space="preserve">safe continuous production of this chemical compound, two main points must be addressed: 1) determination of the system runaway boundaries </w:t>
      </w:r>
      <w:r w:rsidR="00B06640" w:rsidRPr="00C83B4B">
        <w:rPr>
          <w:lang w:val="en-GB"/>
        </w:rPr>
        <w:t>and</w:t>
      </w:r>
      <w:r w:rsidRPr="00C83B4B">
        <w:rPr>
          <w:lang w:val="en-GB"/>
        </w:rPr>
        <w:t xml:space="preserve"> 2) </w:t>
      </w:r>
      <w:r w:rsidR="00C128CB">
        <w:rPr>
          <w:lang w:val="en-GB"/>
        </w:rPr>
        <w:t xml:space="preserve">identification of the optimal operating conditions to </w:t>
      </w:r>
      <w:r w:rsidR="004851D9">
        <w:rPr>
          <w:lang w:val="en-GB"/>
        </w:rPr>
        <w:t xml:space="preserve">make sustainable the production of </w:t>
      </w:r>
      <w:r w:rsidR="0097631F" w:rsidRPr="00C83B4B">
        <w:rPr>
          <w:lang w:val="en-GB"/>
        </w:rPr>
        <w:t>16-hexadecanolide</w:t>
      </w:r>
      <w:r w:rsidR="0097631F">
        <w:rPr>
          <w:lang w:val="en-GB"/>
        </w:rPr>
        <w:t xml:space="preserve"> </w:t>
      </w:r>
      <w:r w:rsidR="004851D9">
        <w:rPr>
          <w:lang w:val="en-GB"/>
        </w:rPr>
        <w:t>(</w:t>
      </w:r>
      <w:r w:rsidR="0097631F">
        <w:rPr>
          <w:lang w:val="en-GB"/>
        </w:rPr>
        <w:t xml:space="preserve">that is, the </w:t>
      </w:r>
      <w:r w:rsidR="00F3058C">
        <w:rPr>
          <w:lang w:val="en-GB"/>
        </w:rPr>
        <w:t xml:space="preserve">theoretical </w:t>
      </w:r>
      <w:r w:rsidRPr="00C83B4B">
        <w:rPr>
          <w:lang w:val="en-GB"/>
        </w:rPr>
        <w:t>design of a tubular reactor capable of continuously discharging the produced incoercible gases</w:t>
      </w:r>
      <w:r w:rsidR="0097631F">
        <w:rPr>
          <w:lang w:val="en-GB"/>
        </w:rPr>
        <w:t>)</w:t>
      </w:r>
      <w:r w:rsidRPr="00C83B4B">
        <w:rPr>
          <w:lang w:val="en-GB"/>
        </w:rPr>
        <w:t>. For what concerns the first point, a sensitivity analysis was carried out to determine the safe operating range of the most important operating variables (that is, coolant temperature and reactant inlet temperature)</w:t>
      </w:r>
      <w:r w:rsidR="00FB26DD">
        <w:rPr>
          <w:lang w:val="en-GB"/>
        </w:rPr>
        <w:t xml:space="preserve"> </w:t>
      </w:r>
      <w:r w:rsidR="00984CA7">
        <w:rPr>
          <w:lang w:val="en-GB"/>
        </w:rPr>
        <w:t>possibly taking into account the effect of radial dispersion</w:t>
      </w:r>
      <w:r w:rsidRPr="00C83B4B">
        <w:rPr>
          <w:lang w:val="en-GB"/>
        </w:rPr>
        <w:t xml:space="preserve">; for the second point, as carbon dioxide </w:t>
      </w:r>
      <w:r w:rsidR="003474B9">
        <w:rPr>
          <w:lang w:val="en-GB"/>
        </w:rPr>
        <w:t xml:space="preserve">is </w:t>
      </w:r>
      <w:r w:rsidRPr="00C83B4B">
        <w:rPr>
          <w:lang w:val="en-GB"/>
        </w:rPr>
        <w:t xml:space="preserve">produced over the decomposition </w:t>
      </w:r>
      <w:r w:rsidR="00FD4F26">
        <w:rPr>
          <w:lang w:val="en-GB"/>
        </w:rPr>
        <w:t xml:space="preserve">and </w:t>
      </w:r>
      <w:r w:rsidRPr="00C83B4B">
        <w:rPr>
          <w:lang w:val="en-GB"/>
        </w:rPr>
        <w:t xml:space="preserve">needs to be continuously vented to avoid reactor pressurization, a Teflon tube, highly permeable with respect to carbon dioxide, was </w:t>
      </w:r>
      <w:r w:rsidR="00FD4F26">
        <w:rPr>
          <w:lang w:val="en-GB"/>
        </w:rPr>
        <w:t xml:space="preserve">proposed and its </w:t>
      </w:r>
      <w:r w:rsidR="00890F90">
        <w:rPr>
          <w:lang w:val="en-GB"/>
        </w:rPr>
        <w:t xml:space="preserve">theoretical </w:t>
      </w:r>
      <w:r w:rsidR="00FD4F26">
        <w:rPr>
          <w:lang w:val="en-GB"/>
        </w:rPr>
        <w:t xml:space="preserve">performances was </w:t>
      </w:r>
      <w:r w:rsidR="00890F90">
        <w:rPr>
          <w:lang w:val="en-GB"/>
        </w:rPr>
        <w:t xml:space="preserve">investigated </w:t>
      </w:r>
      <w:r w:rsidR="006132FB">
        <w:rPr>
          <w:lang w:val="en-GB"/>
        </w:rPr>
        <w:t xml:space="preserve">trying to maximize </w:t>
      </w:r>
      <w:r w:rsidR="006132FB" w:rsidRPr="00C83B4B">
        <w:rPr>
          <w:lang w:val="en-GB"/>
        </w:rPr>
        <w:t>16-hexadecanolide</w:t>
      </w:r>
      <w:r w:rsidR="006132FB">
        <w:rPr>
          <w:lang w:val="en-GB"/>
        </w:rPr>
        <w:t xml:space="preserve"> productivity</w:t>
      </w:r>
      <w:r w:rsidR="007A7454">
        <w:rPr>
          <w:lang w:val="en-GB"/>
        </w:rPr>
        <w:t xml:space="preserve"> also maintaining safe operating conditions</w:t>
      </w:r>
      <w:r w:rsidRPr="00C83B4B">
        <w:rPr>
          <w:lang w:val="en-GB"/>
        </w:rPr>
        <w:t xml:space="preserve">. </w:t>
      </w:r>
      <w:bookmarkStart w:id="0" w:name="_Hlk495475023"/>
      <w:r w:rsidR="007A7454">
        <w:rPr>
          <w:lang w:val="en-GB"/>
        </w:rPr>
        <w:t xml:space="preserve">Results showed the </w:t>
      </w:r>
      <w:r w:rsidR="00890F90">
        <w:rPr>
          <w:lang w:val="en-GB"/>
        </w:rPr>
        <w:t xml:space="preserve">theoretical </w:t>
      </w:r>
      <w:r w:rsidR="007A7454">
        <w:rPr>
          <w:lang w:val="en-GB"/>
        </w:rPr>
        <w:t xml:space="preserve">possibility of developing a continuous </w:t>
      </w:r>
      <w:r w:rsidR="00166A5B">
        <w:rPr>
          <w:lang w:val="en-GB"/>
        </w:rPr>
        <w:t>production process capable of being also commercially s</w:t>
      </w:r>
      <w:r w:rsidR="0081733D">
        <w:rPr>
          <w:lang w:val="en-GB"/>
        </w:rPr>
        <w:t>ustainable.</w:t>
      </w:r>
    </w:p>
    <w:bookmarkEnd w:id="0"/>
    <w:p w14:paraId="476B2F2E" w14:textId="77777777" w:rsidR="00600535" w:rsidRPr="00B57B36" w:rsidRDefault="00600535" w:rsidP="00600535">
      <w:pPr>
        <w:pStyle w:val="CETHeading1"/>
        <w:rPr>
          <w:lang w:val="en-GB"/>
        </w:rPr>
      </w:pPr>
      <w:r w:rsidRPr="00B57B36">
        <w:rPr>
          <w:lang w:val="en-GB"/>
        </w:rPr>
        <w:t>Introduction</w:t>
      </w:r>
    </w:p>
    <w:p w14:paraId="75372A16" w14:textId="71F02951" w:rsidR="00431AFA" w:rsidRDefault="00161601" w:rsidP="00161601">
      <w:pPr>
        <w:pStyle w:val="CETBodytext"/>
      </w:pPr>
      <w:r w:rsidRPr="00161601">
        <w:rPr>
          <w:lang w:val="en-GB"/>
        </w:rPr>
        <w:t xml:space="preserve">16-hexadecanolide is a cyclic </w:t>
      </w:r>
      <w:proofErr w:type="spellStart"/>
      <w:r w:rsidRPr="00161601">
        <w:rPr>
          <w:lang w:val="en-GB"/>
        </w:rPr>
        <w:t>macrolactone</w:t>
      </w:r>
      <w:proofErr w:type="spellEnd"/>
      <w:r w:rsidRPr="00161601">
        <w:rPr>
          <w:lang w:val="en-GB"/>
        </w:rPr>
        <w:t xml:space="preserve"> used in </w:t>
      </w:r>
      <w:r w:rsidR="004A4CEA">
        <w:rPr>
          <w:lang w:val="en-GB"/>
        </w:rPr>
        <w:t>both</w:t>
      </w:r>
      <w:r w:rsidR="004A4CEA" w:rsidRPr="00161601">
        <w:rPr>
          <w:lang w:val="en-GB"/>
        </w:rPr>
        <w:t xml:space="preserve"> </w:t>
      </w:r>
      <w:r w:rsidRPr="00161601">
        <w:rPr>
          <w:lang w:val="en-GB"/>
        </w:rPr>
        <w:t xml:space="preserve">cosmetic and perfume industry for the synthetic production of the white musk fragrance. Originally, white musk </w:t>
      </w:r>
      <w:r w:rsidR="004A4CEA">
        <w:rPr>
          <w:lang w:val="en-GB"/>
        </w:rPr>
        <w:t xml:space="preserve">aroma </w:t>
      </w:r>
      <w:r w:rsidRPr="00161601">
        <w:rPr>
          <w:lang w:val="en-GB"/>
        </w:rPr>
        <w:t>was available as a natural derivative, a secretion produced by the musk deer. Hence, due to high costs, environmental issues and scarce availability of this substance, the chemical industry was forced to develop synthetic productions. In the current literature, several studies have been proposed discussing different synthetic paths to obtain 16-hexadecanolide</w:t>
      </w:r>
      <w:r w:rsidR="00716C89">
        <w:rPr>
          <w:lang w:val="en-GB"/>
        </w:rPr>
        <w:t xml:space="preserve"> </w:t>
      </w:r>
      <w:r w:rsidR="00620D5A">
        <w:rPr>
          <w:lang w:val="en-GB"/>
        </w:rPr>
        <w:fldChar w:fldCharType="begin"/>
      </w:r>
      <w:r w:rsidR="0098093E">
        <w:rPr>
          <w:lang w:val="en-GB"/>
        </w:rPr>
        <w:instrText xml:space="preserve"> ADDIN ZOTERO_ITEM CSL_CITATION {"citationID":"nGI2jOPc","properties":{"formattedCitation":"(Shono et al., 1986)","plainCitation":"(Shono et al., 1986)","noteIndex":0},"citationItems":[{"id":"H3rIAUMC/eNLm2O1B","uris":["http://zotero.org/users/local/3PNmpiAY/items/RA5ZKQD5"],"itemData":{"id":8,"type":"article-journal","container-title":"The Journal of Organic Chemistry","ISSN":"0022-3263","issue":"4","journalAbbreviation":"J. Org. Chem.","note":"publisher: American Chemical Society","page":"546-549","title":"Electroorganic chemistry. 91. A novel base useful for synthesis of esters and macrolides","volume":"51","author":[{"family":"Shono","given":"Tatsuya"},{"family":"Ishige","given":"Osamu"},{"family":"Uyama","given":"Hiroshi"},{"family":"Kashimura","given":"Shigenori"}],"issued":{"date-parts":[["1986",2,1]]}}}],"schema":"https://github.com/citation-style-language/schema/raw/master/csl-citation.json"} </w:instrText>
      </w:r>
      <w:r w:rsidR="00620D5A">
        <w:rPr>
          <w:lang w:val="en-GB"/>
        </w:rPr>
        <w:fldChar w:fldCharType="separate"/>
      </w:r>
      <w:r w:rsidR="00620D5A" w:rsidRPr="00620D5A">
        <w:rPr>
          <w:rFonts w:cs="Arial"/>
        </w:rPr>
        <w:t>(</w:t>
      </w:r>
      <w:proofErr w:type="spellStart"/>
      <w:r w:rsidR="00620D5A" w:rsidRPr="00620D5A">
        <w:rPr>
          <w:rFonts w:cs="Arial"/>
        </w:rPr>
        <w:t>Shono</w:t>
      </w:r>
      <w:proofErr w:type="spellEnd"/>
      <w:r w:rsidR="00620D5A" w:rsidRPr="00620D5A">
        <w:rPr>
          <w:rFonts w:cs="Arial"/>
        </w:rPr>
        <w:t xml:space="preserve"> et al., 1986)</w:t>
      </w:r>
      <w:r w:rsidR="00620D5A">
        <w:rPr>
          <w:lang w:val="en-GB"/>
        </w:rPr>
        <w:fldChar w:fldCharType="end"/>
      </w:r>
      <w:r w:rsidRPr="00FE1F9C">
        <w:rPr>
          <w:lang w:val="en-GB"/>
        </w:rPr>
        <w:t>.</w:t>
      </w:r>
      <w:r w:rsidR="00D54F3E">
        <w:rPr>
          <w:lang w:val="en-GB"/>
        </w:rPr>
        <w:t xml:space="preserve"> </w:t>
      </w:r>
      <w:r w:rsidRPr="00161601">
        <w:rPr>
          <w:lang w:val="en-GB"/>
        </w:rPr>
        <w:t xml:space="preserve">However, one of the most interesting </w:t>
      </w:r>
      <w:r w:rsidR="00C26D86" w:rsidRPr="00161601">
        <w:rPr>
          <w:lang w:val="en-GB"/>
        </w:rPr>
        <w:t>applications</w:t>
      </w:r>
      <w:r w:rsidRPr="00161601">
        <w:rPr>
          <w:lang w:val="en-GB"/>
        </w:rPr>
        <w:t xml:space="preserve"> remains the solution presented by Story</w:t>
      </w:r>
      <w:r w:rsidR="00620D5A">
        <w:rPr>
          <w:lang w:val="en-GB"/>
        </w:rPr>
        <w:t xml:space="preserve"> </w:t>
      </w:r>
      <w:r w:rsidR="00620D5A">
        <w:rPr>
          <w:lang w:val="en-GB"/>
        </w:rPr>
        <w:fldChar w:fldCharType="begin"/>
      </w:r>
      <w:r w:rsidR="0098093E">
        <w:rPr>
          <w:lang w:val="en-GB"/>
        </w:rPr>
        <w:instrText xml:space="preserve"> ADDIN ZOTERO_ITEM CSL_CITATION {"citationID":"4WDy0hBf","properties":{"formattedCitation":"(Story et al., 1968)","plainCitation":"(Story et al., 1968)","noteIndex":0},"citationItems":[{"id":"H3rIAUMC/YdvAAEir","uris":["http://zotero.org/users/local/3PNmpiAY/items/DVL46T76"],"itemData":{"id":4,"type":"article-journal","container-title":"Journal of the American Chemical Society","ISSN":"0002-7863","issue":"3","journalAbbreviation":"J. Am. Chem. Soc.","note":"publisher: American Chemical Society","page":"817-818","title":"A new general synthesis of macrocyclic compounds","volume":"90","author":[{"family":"Story","given":"P. R."},{"family":"Denson","given":"D. D."},{"family":"Bishop","given":"C. E."},{"family":"Clark","given":"B. C. Jr."},{"family":"Farine","given":"J.-C."}],"issued":{"date-parts":[["1968",1,1]]}}}],"schema":"https://github.com/citation-style-language/schema/raw/master/csl-citation.json"} </w:instrText>
      </w:r>
      <w:r w:rsidR="00620D5A">
        <w:rPr>
          <w:lang w:val="en-GB"/>
        </w:rPr>
        <w:fldChar w:fldCharType="separate"/>
      </w:r>
      <w:r w:rsidR="00620D5A" w:rsidRPr="00620D5A">
        <w:rPr>
          <w:rFonts w:cs="Arial"/>
        </w:rPr>
        <w:t>(Story et al., 1968)</w:t>
      </w:r>
      <w:r w:rsidR="00620D5A">
        <w:rPr>
          <w:lang w:val="en-GB"/>
        </w:rPr>
        <w:fldChar w:fldCharType="end"/>
      </w:r>
      <w:r w:rsidRPr="00161601">
        <w:rPr>
          <w:lang w:val="en-GB"/>
        </w:rPr>
        <w:t xml:space="preserve">. </w:t>
      </w:r>
      <w:r w:rsidR="00984CA7">
        <w:rPr>
          <w:lang w:val="en-GB"/>
        </w:rPr>
        <w:t>Story</w:t>
      </w:r>
      <w:r w:rsidR="00984CA7" w:rsidRPr="00161601">
        <w:rPr>
          <w:lang w:val="en-GB"/>
        </w:rPr>
        <w:t xml:space="preserve"> </w:t>
      </w:r>
      <w:r w:rsidRPr="00161601">
        <w:rPr>
          <w:lang w:val="en-GB"/>
        </w:rPr>
        <w:t>showed the possibility of obtaining macrocyclic lactones and high value hydrocarbons using common and easily available compounds such as cyclohexanone and hydrogen peroxide. Through the decomposition of the reaction intermediate, that is tricyclohexylidene triperoxide (TC</w:t>
      </w:r>
      <w:r w:rsidR="00CB2490">
        <w:rPr>
          <w:lang w:val="en-GB"/>
        </w:rPr>
        <w:t>T</w:t>
      </w:r>
      <w:r w:rsidRPr="00161601">
        <w:rPr>
          <w:lang w:val="en-GB"/>
        </w:rPr>
        <w:t>P), 16-hexadecanolide is obtained among various products.</w:t>
      </w:r>
      <w:r w:rsidR="00D54F3E">
        <w:rPr>
          <w:lang w:val="en-GB"/>
        </w:rPr>
        <w:t xml:space="preserve"> </w:t>
      </w:r>
      <w:r w:rsidRPr="00161601">
        <w:rPr>
          <w:lang w:val="en-GB"/>
        </w:rPr>
        <w:t xml:space="preserve">Despite both the simplicity and the relatively low costs, the process proposed by Story exhibits a series of critical issues. In fact, the decomposition of TCTP is a very fast and highly exothermic reaction (around 1861 [kJ/kg of TCTP] </w:t>
      </w:r>
      <w:r w:rsidR="00620D5A">
        <w:rPr>
          <w:lang w:val="en-GB"/>
        </w:rPr>
        <w:fldChar w:fldCharType="begin"/>
      </w:r>
      <w:r w:rsidR="0098093E">
        <w:rPr>
          <w:lang w:val="en-GB"/>
        </w:rPr>
        <w:instrText xml:space="preserve"> ADDIN ZOTERO_ITEM CSL_CITATION {"citationID":"4KcmzxDN","properties":{"formattedCitation":"(Ferrer et al., 2018)","plainCitation":"(Ferrer et al., 2018)","noteIndex":0},"citationItems":[{"id":"H3rIAUMC/h0vkSt3t","uris":["http://zotero.org/users/local/3PNmpiAY/items/YQX5CDX9"],"itemData":{"id":1,"type":"article-journal","abstract":"The thermal decomposition of tricyclohexylidene triperoxide both pure and in 4% w/w solution of n-dodecane to yield mainly 16-hexadecanolide is studied applying the nonparametric kinetics method to a set of scanning calorimetry records. The apparent energies of activation obtained are 148.4 ± 0.8 and 90.9 ± 0.8 kJ mol−1, respectively. Combined kinetic models are proposed (first order + Šesták–Berggren) to describe the processes. The isothermal decomposition of the pure peroxide is studied, indicating that there is no appreciable reaction after 12 h at temperatures below 103 °C and that conversion is complete at temperatures over 137 °C.","container-title":"Journal of Thermal Analysis and Calorimetry","ISSN":"1588-2926","issue":"2","journalAbbreviation":"J Therm Anal Calorim","language":"en","page":"1293-1298","source":"Springer Link","title":"Thermal decomposition of tricyclohexylidene triperoxide","volume":"134","author":[{"family":"Ferrer","given":"Nabí"},{"family":"Serra","given":"Eduard"},{"family":"Nomen","given":"Rosa"},{"family":"Sempere","given":"Julià"}],"issued":{"date-parts":[["2018",11,1]]}}}],"schema":"https://github.com/citation-style-language/schema/raw/master/csl-citation.json"} </w:instrText>
      </w:r>
      <w:r w:rsidR="00620D5A">
        <w:rPr>
          <w:lang w:val="en-GB"/>
        </w:rPr>
        <w:fldChar w:fldCharType="separate"/>
      </w:r>
      <w:r w:rsidR="00620D5A" w:rsidRPr="00620D5A">
        <w:rPr>
          <w:rFonts w:cs="Arial"/>
        </w:rPr>
        <w:t>(Ferrer et al., 2018)</w:t>
      </w:r>
      <w:r w:rsidR="00620D5A">
        <w:rPr>
          <w:lang w:val="en-GB"/>
        </w:rPr>
        <w:fldChar w:fldCharType="end"/>
      </w:r>
      <w:r w:rsidRPr="00FE1F9C">
        <w:rPr>
          <w:lang w:val="en-GB"/>
        </w:rPr>
        <w:t>). In</w:t>
      </w:r>
      <w:r w:rsidRPr="00161601">
        <w:rPr>
          <w:lang w:val="en-GB"/>
        </w:rPr>
        <w:t xml:space="preserve"> addition, carbon dioxide is released as a product of the decomposition. Currently, this process is carried out inside discontinuous reactors (batch </w:t>
      </w:r>
      <w:r w:rsidRPr="00161601">
        <w:rPr>
          <w:lang w:val="en-GB"/>
        </w:rPr>
        <w:lastRenderedPageBreak/>
        <w:t xml:space="preserve">type), within which, despite the </w:t>
      </w:r>
      <w:r w:rsidR="000517CC">
        <w:rPr>
          <w:lang w:val="en-GB"/>
        </w:rPr>
        <w:t>exothermicity of the</w:t>
      </w:r>
      <w:r w:rsidRPr="00161601">
        <w:rPr>
          <w:lang w:val="en-GB"/>
        </w:rPr>
        <w:t xml:space="preserve"> reaction, it is possible to produce 16-hexadecanolide with a selectivity </w:t>
      </w:r>
      <w:r w:rsidR="00E65912">
        <w:rPr>
          <w:lang w:val="en-GB"/>
        </w:rPr>
        <w:t>ranging from a minimum of</w:t>
      </w:r>
      <w:r w:rsidR="00E65912" w:rsidRPr="00161601">
        <w:rPr>
          <w:lang w:val="en-GB"/>
        </w:rPr>
        <w:t xml:space="preserve"> 1</w:t>
      </w:r>
      <w:r w:rsidR="00E65912">
        <w:rPr>
          <w:lang w:val="en-GB"/>
        </w:rPr>
        <w:t xml:space="preserve">5 to a maximum of </w:t>
      </w:r>
      <w:r w:rsidR="00E65912" w:rsidRPr="00161601">
        <w:rPr>
          <w:lang w:val="en-GB"/>
        </w:rPr>
        <w:t>2</w:t>
      </w:r>
      <w:r w:rsidR="00E65912">
        <w:rPr>
          <w:lang w:val="en-GB"/>
        </w:rPr>
        <w:t>8</w:t>
      </w:r>
      <w:r w:rsidRPr="00161601">
        <w:rPr>
          <w:lang w:val="en-GB"/>
        </w:rPr>
        <w:t>%</w:t>
      </w:r>
      <w:r w:rsidR="00E65912">
        <w:rPr>
          <w:lang w:val="en-GB"/>
        </w:rPr>
        <w:t xml:space="preserve"> </w:t>
      </w:r>
      <w:r w:rsidR="00E65912">
        <w:rPr>
          <w:lang w:val="en-GB"/>
        </w:rPr>
        <w:fldChar w:fldCharType="begin"/>
      </w:r>
      <w:r w:rsidR="0098093E">
        <w:rPr>
          <w:lang w:val="en-GB"/>
        </w:rPr>
        <w:instrText xml:space="preserve"> ADDIN ZOTERO_ITEM CSL_CITATION {"citationID":"AIPdmHXC","properties":{"formattedCitation":"(Ferrer et al., 2018)","plainCitation":"(Ferrer et al., 2018)","noteIndex":0},"citationItems":[{"id":"H3rIAUMC/h0vkSt3t","uris":["http://zotero.org/users/local/3PNmpiAY/items/YQX5CDX9"],"itemData":{"id":1,"type":"article-journal","abstract":"The thermal decomposition of tricyclohexylidene triperoxide both pure and in 4% w/w solution of n-dodecane to yield mainly 16-hexadecanolide is studied applying the nonparametric kinetics method to a set of scanning calorimetry records. The apparent energies of activation obtained are 148.4 ± 0.8 and 90.9 ± 0.8 kJ mol−1, respectively. Combined kinetic models are proposed (first order + Šesták–Berggren) to describe the processes. The isothermal decomposition of the pure peroxide is studied, indicating that there is no appreciable reaction after 12 h at temperatures below 103 °C and that conversion is complete at temperatures over 137 °C.","container-title":"Journal of Thermal Analysis and Calorimetry","ISSN":"1588-2926","issue":"2","journalAbbreviation":"J Therm Anal Calorim","language":"en","page":"1293-1298","source":"Springer Link","title":"Thermal decomposition of tricyclohexylidene triperoxide","volume":"134","author":[{"family":"Ferrer","given":"Nabí"},{"family":"Serra","given":"Eduard"},{"family":"Nomen","given":"Rosa"},{"family":"Sempere","given":"Julià"}],"issued":{"date-parts":[["2018",11,1]]}}}],"schema":"https://github.com/citation-style-language/schema/raw/master/csl-citation.json"} </w:instrText>
      </w:r>
      <w:r w:rsidR="00E65912">
        <w:rPr>
          <w:lang w:val="en-GB"/>
        </w:rPr>
        <w:fldChar w:fldCharType="separate"/>
      </w:r>
      <w:r w:rsidR="00E65912" w:rsidRPr="00620D5A">
        <w:rPr>
          <w:rFonts w:cs="Arial"/>
        </w:rPr>
        <w:t>(Ferrer et al., 2018)</w:t>
      </w:r>
      <w:r w:rsidR="00E65912">
        <w:rPr>
          <w:lang w:val="en-GB"/>
        </w:rPr>
        <w:fldChar w:fldCharType="end"/>
      </w:r>
      <w:r w:rsidRPr="00161601">
        <w:rPr>
          <w:lang w:val="en-GB"/>
        </w:rPr>
        <w:t>. Moreover, due to the presence of gaseous product, a proper continuous venting is also needed.</w:t>
      </w:r>
    </w:p>
    <w:p w14:paraId="784C7B11" w14:textId="2A2DF739" w:rsidR="00161601" w:rsidRPr="00161601" w:rsidRDefault="00F86C50" w:rsidP="00161601">
      <w:pPr>
        <w:pStyle w:val="CETBodytext"/>
        <w:rPr>
          <w:lang w:val="en-GB"/>
        </w:rPr>
      </w:pPr>
      <w:r>
        <w:t xml:space="preserve">In the framework of shifting </w:t>
      </w:r>
      <w:r w:rsidR="00B55EFD">
        <w:t xml:space="preserve">to the continuous </w:t>
      </w:r>
      <w:r>
        <w:t xml:space="preserve">the production of </w:t>
      </w:r>
      <w:r w:rsidRPr="00161601">
        <w:rPr>
          <w:lang w:val="en-GB"/>
        </w:rPr>
        <w:t>16-hexadecanolide</w:t>
      </w:r>
      <w:r w:rsidR="00B55EFD">
        <w:rPr>
          <w:lang w:val="en-GB"/>
        </w:rPr>
        <w:t>,</w:t>
      </w:r>
      <w:r w:rsidR="009F64F2" w:rsidRPr="009F64F2">
        <w:rPr>
          <w:lang w:val="en-GB"/>
        </w:rPr>
        <w:t xml:space="preserve"> </w:t>
      </w:r>
      <w:r w:rsidR="00F4629B">
        <w:rPr>
          <w:lang w:val="en-GB"/>
        </w:rPr>
        <w:t xml:space="preserve">some </w:t>
      </w:r>
      <w:r w:rsidR="009F64F2" w:rsidRPr="009F64F2">
        <w:rPr>
          <w:lang w:val="en-GB"/>
        </w:rPr>
        <w:t xml:space="preserve">intensification attempts </w:t>
      </w:r>
      <w:r w:rsidR="00530F8F">
        <w:rPr>
          <w:lang w:val="en-GB"/>
        </w:rPr>
        <w:t>o</w:t>
      </w:r>
      <w:r w:rsidR="00F4629B">
        <w:rPr>
          <w:lang w:val="en-GB"/>
        </w:rPr>
        <w:t>n</w:t>
      </w:r>
      <w:r w:rsidR="00530F8F">
        <w:rPr>
          <w:lang w:val="en-GB"/>
        </w:rPr>
        <w:t xml:space="preserve"> </w:t>
      </w:r>
      <w:r w:rsidR="00F4629B">
        <w:rPr>
          <w:lang w:val="en-GB"/>
        </w:rPr>
        <w:t xml:space="preserve">other </w:t>
      </w:r>
      <w:r w:rsidR="00530F8F">
        <w:rPr>
          <w:lang w:val="en-GB"/>
        </w:rPr>
        <w:t xml:space="preserve">potentially </w:t>
      </w:r>
      <w:r w:rsidR="00530F8F" w:rsidRPr="009F64F2">
        <w:rPr>
          <w:lang w:val="en-GB"/>
        </w:rPr>
        <w:t xml:space="preserve">runaway processes </w:t>
      </w:r>
      <w:r w:rsidR="00F4629B">
        <w:rPr>
          <w:lang w:val="en-GB"/>
        </w:rPr>
        <w:t>can be traced in the scientific literature</w:t>
      </w:r>
      <w:r w:rsidR="009F64F2" w:rsidRPr="009F64F2">
        <w:rPr>
          <w:lang w:val="en-GB"/>
        </w:rPr>
        <w:t xml:space="preserve"> </w:t>
      </w:r>
      <w:r w:rsidR="00431AFA">
        <w:rPr>
          <w:lang w:val="en-GB"/>
        </w:rPr>
        <w:fldChar w:fldCharType="begin"/>
      </w:r>
      <w:r w:rsidR="0098093E">
        <w:rPr>
          <w:lang w:val="en-GB"/>
        </w:rPr>
        <w:instrText xml:space="preserve"> ADDIN ZOTERO_ITEM CSL_CITATION {"citationID":"nuqj23gm","properties":{"formattedCitation":"(Copelli et al., 2017)","plainCitation":"(Copelli et al., 2017)","dontUpdate":true,"noteIndex":0},"citationItems":[{"id":"H3rIAUMC/qM8829DJ","uris":["http://zotero.org/users/local/3PNmpiAY/items/G4D9TWPQ"],"itemData":{"id":16,"type":"article-journal","abstract":"Fast and highly exothermic reactions are commonly carried out in semibatch reactors (SBRs) in order to better control the heat evolution by the feeding rate. In fact, for such processes, a phenomenon known as “thermal runaway”, that is an uncontrolled reactor temperature increase, may be triggered whenever the rate of heat removal becomes lower than the rate of heat release. This dangerous temperature increase, occurring in practically adiabatic conditions, can trigger secondary undesired exothermic reactions or, in some cases, the decomposition of the whole reacting mixture with consequent reactor pressurization and, eventually, explosion followed by the release of high amounts of hazardous products. As a consequence, several studies on the detection of the so called “runaway boundaries” have been performed during years. However, from a practical perspective, the desired goal of whatever enterprise is to attain the maximum productivity maintaining safe conditions. Such a goal can be achieved using a series of continuous stirred tank reactors (CSTRs) operated in the isothermal temperature control mode; but a possible change of the reactor type, from discontinuous (e.g. batch or SB) to continuous (series of CSTRs), with the aim of increasing the productivity cannot be performed so easily when a potentially runaway process is involved. The main aim of this work has been to compute the number of CSTRs in a series that, guaranteeing the requested productivity and reactants conversion under safe operating conditions (runaway phenomena cannot be triggered), minimizes the volume of each reactor of the series. Such a number results to be a function of the employed kinetic scheme and the dosing policy of the co-reactants. In this work, two different dosing policies (1- co-reactant dosed into the first reactor of the series; 2) co-reactant dosed into the first NR-1 reactors of the series) will be analyzed for the relevant case study of the synthesis of N-(4-nitro, 2- phenoxyphenyl) methane sulphonamide. The obtained results have shown that it is possible to increase the overall productivity of the process, simply shifting from discontinuous to continuous operating mode, also achieving a safe intensification, that is, having lower reacting volumes at the full plant.","container-title":"Chemical Engineering Transactions","ISSN":"2283-9216","language":"en","license":"Copyright (c)","page":"1687-1692","source":"www.cetjournal.it","title":"Safe Intensification of Potentially Runaway Reactions: from Semibatch to Continuous Processes","title-short":"Safe Intensification of Potentially Runaway Reactions","volume":"57","author":[{"family":"Copelli","given":"S."},{"family":"Barozzi","given":"M."},{"family":"Maestri","given":"F."},{"family":"Rota","given":"R."}],"issued":{"date-parts":[["2017",3,20]]}}}],"schema":"https://github.com/citation-style-language/schema/raw/master/csl-citation.json"} </w:instrText>
      </w:r>
      <w:r w:rsidR="00431AFA">
        <w:rPr>
          <w:lang w:val="en-GB"/>
        </w:rPr>
        <w:fldChar w:fldCharType="separate"/>
      </w:r>
      <w:r w:rsidR="00431AFA" w:rsidRPr="00431AFA">
        <w:rPr>
          <w:rFonts w:cs="Arial"/>
        </w:rPr>
        <w:t>(</w:t>
      </w:r>
      <w:proofErr w:type="spellStart"/>
      <w:r w:rsidR="00431AFA" w:rsidRPr="00431AFA">
        <w:rPr>
          <w:rFonts w:cs="Arial"/>
        </w:rPr>
        <w:t>Copelli</w:t>
      </w:r>
      <w:proofErr w:type="spellEnd"/>
      <w:r w:rsidR="00431AFA" w:rsidRPr="00431AFA">
        <w:rPr>
          <w:rFonts w:cs="Arial"/>
        </w:rPr>
        <w:t xml:space="preserve"> et al., 2017</w:t>
      </w:r>
      <w:r w:rsidR="0088374F">
        <w:rPr>
          <w:rFonts w:cs="Arial"/>
        </w:rPr>
        <w:t>, 2022</w:t>
      </w:r>
      <w:r w:rsidR="00431AFA" w:rsidRPr="00431AFA">
        <w:rPr>
          <w:rFonts w:cs="Arial"/>
        </w:rPr>
        <w:t>)</w:t>
      </w:r>
      <w:r w:rsidR="00431AFA">
        <w:rPr>
          <w:lang w:val="en-GB"/>
        </w:rPr>
        <w:fldChar w:fldCharType="end"/>
      </w:r>
      <w:r w:rsidR="0098093E">
        <w:rPr>
          <w:lang w:val="en-GB"/>
        </w:rPr>
        <w:t xml:space="preserve">, including also kinetic-free models </w:t>
      </w:r>
      <w:r w:rsidR="0098093E">
        <w:rPr>
          <w:lang w:val="en-GB"/>
        </w:rPr>
        <w:fldChar w:fldCharType="begin"/>
      </w:r>
      <w:r w:rsidR="0098093E">
        <w:rPr>
          <w:lang w:val="en-GB"/>
        </w:rPr>
        <w:instrText xml:space="preserve"> ADDIN ZOTERO_ITEM CSL_CITATION {"citationID":"wkaGIB4Q","properties":{"formattedCitation":"(Maestri et al., 2020)","plainCitation":"(Maestri et al., 2020)","noteIndex":0},"citationItems":[{"id":52,"uris":["http://zotero.org/users/local/mDzd7GNh/items/98NMC7J4"],"itemData":{"id":52,"type":"article-journal","abstract":"In the fine chemical and pharmaceutical industries, plants are normally operated on a discontinuous multipurpose logic, according to which the same reactor is used for different products on a campaign basis. Moreover, when dealing with relatively fast and exothermic processes, the reaction is preferably performed in indirectly cooled semibatch reactors, where the conversion rate and the heat release can be better controlled. In these cases, if a constant product quality has to be achieved under safer and more efficient conditions, the shift to a continuous plant operation should be considered: this because of more reproducible operating conditions, an effective minimization of dead times and lower reactor volumes for the same production output. In this work a general and easy to use experimental procedure is presented, allowing for selecting the continuous process parameters at the industrial scale through semibatch laboratory experiments without a kinetic characterization of the system. © 2020 Elsevier B.V.","archive":"Scopus","container-title":"Chemical Engineering Journal","DOI":"10.1016/j.cej.2020.125061","ISSN":"1385-8947","language":"English","source":"Scopus","title":"Kinetic-free discontinuous to continuous transformation of fine chemical reactions: A general experimental procedure","title-short":"Kinetic-free discontinuous to continuous transformation of fine chemical reactions","volume":"395","author":[{"family":"Maestri","given":"F."},{"family":"Copelli","given":"S."},{"family":"Barozzi","given":"M."},{"family":"Rota","given":"R."}],"issued":{"date-parts":[["2020"]]}}}],"schema":"https://github.com/citation-style-language/schema/raw/master/csl-citation.json"} </w:instrText>
      </w:r>
      <w:r w:rsidR="0098093E">
        <w:rPr>
          <w:lang w:val="en-GB"/>
        </w:rPr>
        <w:fldChar w:fldCharType="separate"/>
      </w:r>
      <w:r w:rsidR="0098093E" w:rsidRPr="0098093E">
        <w:rPr>
          <w:rFonts w:cs="Arial"/>
        </w:rPr>
        <w:t>(</w:t>
      </w:r>
      <w:proofErr w:type="spellStart"/>
      <w:r w:rsidR="0098093E" w:rsidRPr="0098093E">
        <w:rPr>
          <w:rFonts w:cs="Arial"/>
        </w:rPr>
        <w:t>Maestri</w:t>
      </w:r>
      <w:proofErr w:type="spellEnd"/>
      <w:r w:rsidR="0098093E" w:rsidRPr="0098093E">
        <w:rPr>
          <w:rFonts w:cs="Arial"/>
        </w:rPr>
        <w:t xml:space="preserve"> et al., 2020)</w:t>
      </w:r>
      <w:r w:rsidR="0098093E">
        <w:rPr>
          <w:lang w:val="en-GB"/>
        </w:rPr>
        <w:fldChar w:fldCharType="end"/>
      </w:r>
      <w:r w:rsidR="0098093E">
        <w:rPr>
          <w:lang w:val="en-GB"/>
        </w:rPr>
        <w:t>,</w:t>
      </w:r>
      <w:r w:rsidR="009F64F2" w:rsidRPr="009F64F2">
        <w:rPr>
          <w:lang w:val="en-GB"/>
        </w:rPr>
        <w:t xml:space="preserve"> but</w:t>
      </w:r>
      <w:r w:rsidR="00F4629B">
        <w:rPr>
          <w:lang w:val="en-GB"/>
        </w:rPr>
        <w:t>,</w:t>
      </w:r>
      <w:r w:rsidR="009F64F2" w:rsidRPr="009F64F2">
        <w:rPr>
          <w:lang w:val="en-GB"/>
        </w:rPr>
        <w:t xml:space="preserve"> in those cases</w:t>
      </w:r>
      <w:r w:rsidR="00F4629B">
        <w:rPr>
          <w:lang w:val="en-GB"/>
        </w:rPr>
        <w:t>,</w:t>
      </w:r>
      <w:r w:rsidR="009F64F2" w:rsidRPr="009F64F2">
        <w:rPr>
          <w:lang w:val="en-GB"/>
        </w:rPr>
        <w:t xml:space="preserve"> </w:t>
      </w:r>
      <w:r w:rsidR="004F7583">
        <w:rPr>
          <w:lang w:val="en-GB"/>
        </w:rPr>
        <w:t>the shift</w:t>
      </w:r>
      <w:r w:rsidR="00E342EB">
        <w:rPr>
          <w:lang w:val="en-GB"/>
        </w:rPr>
        <w:t>s</w:t>
      </w:r>
      <w:r w:rsidR="004F7583">
        <w:rPr>
          <w:lang w:val="en-GB"/>
        </w:rPr>
        <w:t xml:space="preserve"> ha</w:t>
      </w:r>
      <w:r w:rsidR="00E342EB">
        <w:rPr>
          <w:lang w:val="en-GB"/>
        </w:rPr>
        <w:t>ve</w:t>
      </w:r>
      <w:r w:rsidR="004F7583">
        <w:rPr>
          <w:lang w:val="en-GB"/>
        </w:rPr>
        <w:t xml:space="preserve"> been done passing from batch to series of continuously stirred tank reactors</w:t>
      </w:r>
      <w:r w:rsidR="0074529E">
        <w:rPr>
          <w:lang w:val="en-GB"/>
        </w:rPr>
        <w:t xml:space="preserve">. </w:t>
      </w:r>
      <w:r w:rsidR="00E342EB">
        <w:rPr>
          <w:lang w:val="en-GB"/>
        </w:rPr>
        <w:t xml:space="preserve">In this way, </w:t>
      </w:r>
      <w:r w:rsidR="009F64F2" w:rsidRPr="009F64F2">
        <w:rPr>
          <w:lang w:val="en-GB"/>
        </w:rPr>
        <w:t>a</w:t>
      </w:r>
      <w:r w:rsidR="000517CC">
        <w:rPr>
          <w:lang w:val="en-GB"/>
        </w:rPr>
        <w:t xml:space="preserve"> non-negligible</w:t>
      </w:r>
      <w:r w:rsidR="009F64F2" w:rsidRPr="009F64F2">
        <w:rPr>
          <w:lang w:val="en-GB"/>
        </w:rPr>
        <w:t xml:space="preserve"> residual risk</w:t>
      </w:r>
      <w:r w:rsidR="000517CC">
        <w:rPr>
          <w:lang w:val="en-GB"/>
        </w:rPr>
        <w:t xml:space="preserve"> remained,</w:t>
      </w:r>
      <w:r w:rsidR="009F64F2" w:rsidRPr="009F64F2">
        <w:rPr>
          <w:lang w:val="en-GB"/>
        </w:rPr>
        <w:t xml:space="preserve"> due to the </w:t>
      </w:r>
      <w:r w:rsidR="00CD69C1" w:rsidRPr="009F64F2">
        <w:rPr>
          <w:lang w:val="en-GB"/>
        </w:rPr>
        <w:t>start-up</w:t>
      </w:r>
      <w:r w:rsidR="009F64F2" w:rsidRPr="009F64F2">
        <w:rPr>
          <w:lang w:val="en-GB"/>
        </w:rPr>
        <w:t xml:space="preserve"> of the </w:t>
      </w:r>
      <w:r w:rsidR="000517CC" w:rsidRPr="009F64F2">
        <w:rPr>
          <w:lang w:val="en-GB"/>
        </w:rPr>
        <w:t>continu</w:t>
      </w:r>
      <w:r w:rsidR="000517CC">
        <w:rPr>
          <w:lang w:val="en-GB"/>
        </w:rPr>
        <w:t>ou</w:t>
      </w:r>
      <w:r w:rsidR="000517CC" w:rsidRPr="009F64F2">
        <w:rPr>
          <w:lang w:val="en-GB"/>
        </w:rPr>
        <w:t xml:space="preserve">s </w:t>
      </w:r>
      <w:r w:rsidR="00E342EB">
        <w:rPr>
          <w:lang w:val="en-GB"/>
        </w:rPr>
        <w:t xml:space="preserve">tank </w:t>
      </w:r>
      <w:r w:rsidR="009F64F2" w:rsidRPr="009F64F2">
        <w:rPr>
          <w:lang w:val="en-GB"/>
        </w:rPr>
        <w:t xml:space="preserve">reactors and their </w:t>
      </w:r>
      <w:r w:rsidR="00D04919">
        <w:rPr>
          <w:lang w:val="en-GB"/>
        </w:rPr>
        <w:t xml:space="preserve">criticalities in the maintenance of the </w:t>
      </w:r>
      <w:r w:rsidR="009F64F2" w:rsidRPr="009F64F2">
        <w:rPr>
          <w:lang w:val="en-GB"/>
        </w:rPr>
        <w:t>level control.</w:t>
      </w:r>
    </w:p>
    <w:p w14:paraId="20B81673" w14:textId="256DEFC1" w:rsidR="00161601" w:rsidRDefault="00161601" w:rsidP="00161601">
      <w:pPr>
        <w:pStyle w:val="CETBodytext"/>
        <w:rPr>
          <w:lang w:val="en-GB"/>
        </w:rPr>
      </w:pPr>
      <w:r w:rsidRPr="00161601">
        <w:rPr>
          <w:lang w:val="en-GB"/>
        </w:rPr>
        <w:t>In this work, the batch to continuous shift of 16-hexadecanolide potentially runaway synthesis</w:t>
      </w:r>
      <w:r w:rsidR="00471F39">
        <w:rPr>
          <w:lang w:val="en-GB"/>
        </w:rPr>
        <w:t xml:space="preserve"> was theoretically investigated</w:t>
      </w:r>
      <w:r w:rsidRPr="00161601">
        <w:rPr>
          <w:lang w:val="en-GB"/>
        </w:rPr>
        <w:t>. Particularly, basing on the current literature</w:t>
      </w:r>
      <w:r w:rsidR="00487429">
        <w:rPr>
          <w:lang w:val="en-GB"/>
        </w:rPr>
        <w:t xml:space="preserve"> </w:t>
      </w:r>
      <w:r w:rsidR="00487429">
        <w:rPr>
          <w:lang w:val="en-GB"/>
        </w:rPr>
        <w:fldChar w:fldCharType="begin"/>
      </w:r>
      <w:r w:rsidR="0098093E">
        <w:rPr>
          <w:lang w:val="en-GB"/>
        </w:rPr>
        <w:instrText xml:space="preserve"> ADDIN ZOTERO_ITEM CSL_CITATION {"citationID":"6nah7G4y","properties":{"formattedCitation":"(Copelli S. et al., 2016)","plainCitation":"(Copelli S. et al., 2016)","dontUpdate":true,"noteIndex":0},"citationItems":[{"id":"H3rIAUMC/hIuiHvmB","uris":["http://zotero.org/users/local/3PNmpiAY/items/FHVSUBS9"],"itemData":{"id":14,"type":"article-journal","container-title":"Chemical Engineering Transactions","language":"en","page":"85-90","source":"DOI.org (CSL JSON)","title":"Runaway problems in unsteady state tubular reactors","volume":"53","author":[{"literal":"Copelli S."},{"literal":"Croci S."},{"literal":"Fumagalli A."},{"literal":"Derudi M."},{"literal":"Rota R."},{"literal":"Barozzi M."}],"issued":{"date-parts":[["2016",9]]}}}],"schema":"https://github.com/citation-style-language/schema/raw/master/csl-citation.json"} </w:instrText>
      </w:r>
      <w:r w:rsidR="00487429">
        <w:rPr>
          <w:lang w:val="en-GB"/>
        </w:rPr>
        <w:fldChar w:fldCharType="separate"/>
      </w:r>
      <w:r w:rsidR="00487429" w:rsidRPr="00487429">
        <w:rPr>
          <w:rFonts w:cs="Arial"/>
        </w:rPr>
        <w:t>(</w:t>
      </w:r>
      <w:proofErr w:type="spellStart"/>
      <w:r w:rsidR="00487429" w:rsidRPr="00487429">
        <w:rPr>
          <w:rFonts w:cs="Arial"/>
        </w:rPr>
        <w:t>Copelli</w:t>
      </w:r>
      <w:proofErr w:type="spellEnd"/>
      <w:r w:rsidR="00487429" w:rsidRPr="00487429">
        <w:rPr>
          <w:rFonts w:cs="Arial"/>
        </w:rPr>
        <w:t xml:space="preserve"> et al., 2016)</w:t>
      </w:r>
      <w:r w:rsidR="00487429">
        <w:rPr>
          <w:lang w:val="en-GB"/>
        </w:rPr>
        <w:fldChar w:fldCharType="end"/>
      </w:r>
      <w:r w:rsidRPr="00161601">
        <w:rPr>
          <w:lang w:val="en-GB"/>
        </w:rPr>
        <w:t>, a lab-scale tubular reactor made of perfluorinated linear polymers, such as Teflon AF</w:t>
      </w:r>
      <w:r w:rsidR="004B59BA">
        <w:rPr>
          <w:lang w:val="en-GB"/>
        </w:rPr>
        <w:t xml:space="preserve"> </w:t>
      </w:r>
      <w:r w:rsidRPr="00161601">
        <w:rPr>
          <w:lang w:val="en-GB"/>
        </w:rPr>
        <w:t>1600</w:t>
      </w:r>
      <w:r w:rsidR="004B59BA" w:rsidRPr="00C83B4B">
        <w:rPr>
          <w:lang w:val="en-GB"/>
        </w:rPr>
        <w:t>®</w:t>
      </w:r>
      <w:r w:rsidRPr="00161601">
        <w:rPr>
          <w:lang w:val="en-GB"/>
        </w:rPr>
        <w:t xml:space="preserve"> and Teflon AF</w:t>
      </w:r>
      <w:r w:rsidR="004B59BA">
        <w:rPr>
          <w:lang w:val="en-GB"/>
        </w:rPr>
        <w:t xml:space="preserve"> </w:t>
      </w:r>
      <w:r w:rsidRPr="00161601">
        <w:rPr>
          <w:lang w:val="en-GB"/>
        </w:rPr>
        <w:t>2400</w:t>
      </w:r>
      <w:r w:rsidR="004B59BA" w:rsidRPr="00C83B4B">
        <w:rPr>
          <w:lang w:val="en-GB"/>
        </w:rPr>
        <w:t>®</w:t>
      </w:r>
      <w:r w:rsidR="00471F39">
        <w:rPr>
          <w:lang w:val="en-GB"/>
        </w:rPr>
        <w:t xml:space="preserve"> (</w:t>
      </w:r>
      <w:r w:rsidRPr="00161601">
        <w:rPr>
          <w:lang w:val="en-GB"/>
        </w:rPr>
        <w:t>which exhibit both high gas permeability and high m</w:t>
      </w:r>
      <w:r w:rsidR="00C26D86">
        <w:rPr>
          <w:lang w:val="en-GB"/>
        </w:rPr>
        <w:t>e</w:t>
      </w:r>
      <w:r w:rsidRPr="00161601">
        <w:rPr>
          <w:lang w:val="en-GB"/>
        </w:rPr>
        <w:t>lding temperatures</w:t>
      </w:r>
      <w:r w:rsidR="00471F39">
        <w:rPr>
          <w:lang w:val="en-GB"/>
        </w:rPr>
        <w:t xml:space="preserve">) </w:t>
      </w:r>
      <w:r w:rsidR="0030093B">
        <w:rPr>
          <w:lang w:val="en-GB"/>
        </w:rPr>
        <w:t xml:space="preserve">was </w:t>
      </w:r>
      <w:proofErr w:type="spellStart"/>
      <w:r w:rsidR="0030093B">
        <w:rPr>
          <w:lang w:val="en-GB"/>
        </w:rPr>
        <w:t>proposed</w:t>
      </w:r>
      <w:r w:rsidRPr="00161601">
        <w:rPr>
          <w:lang w:val="en-GB"/>
        </w:rPr>
        <w:t>.The</w:t>
      </w:r>
      <w:proofErr w:type="spellEnd"/>
      <w:r w:rsidRPr="00161601">
        <w:rPr>
          <w:lang w:val="en-GB"/>
        </w:rPr>
        <w:t xml:space="preserve"> optimization of the most important operating and design parameters (that is, coolant temperature and inlet reactant temperature together with tubular reactor length) was carried out by identifying the system runaway boundaries through a sensitivity analysis on the maximum local temperatures reached along the tubular reactor coordinate</w:t>
      </w:r>
      <w:r w:rsidR="00E548DE">
        <w:rPr>
          <w:lang w:val="en-GB"/>
        </w:rPr>
        <w:t xml:space="preserve"> </w:t>
      </w:r>
      <w:r w:rsidR="00620D5A">
        <w:rPr>
          <w:lang w:val="en-GB"/>
        </w:rPr>
        <w:fldChar w:fldCharType="begin"/>
      </w:r>
      <w:r w:rsidR="0098093E">
        <w:rPr>
          <w:lang w:val="en-GB"/>
        </w:rPr>
        <w:instrText xml:space="preserve"> ADDIN ZOTERO_ITEM CSL_CITATION {"citationID":"miCB8mC3","properties":{"formattedCitation":"(Varma et al., 1999)","plainCitation":"(Varma et al., 1999)","noteIndex":0},"citationItems":[{"id":"H3rIAUMC/oE8u8G2w","uris":["http://zotero.org/users/local/3PNmpiAY/items/44KL252A"],"itemData":{"id":12,"type":"book","abstract":"The behavior of a chemical system is affected by many physicochemical parameters. The sensitivity of the system's behavior to changes in parameters is known as parametric sensitivity. When a system operates in a parametrically sensitive region, its performance becomes unreliable and changes sharply with small variations in parameters. Thus, it would be of great value to predict sensitivity behavior in chemical systems. This book is the first to provide a thorough treatment of the concept of parametric sensitivity and the mathematical tool it generated, sensitivity analysis. The emphasis is on applications to real situations. The book begins with definitions of various sensitivity indices and describes the numerical techniques used for their evaluation. Extensively illustrated chapters discuss sensitivity analysis in a variety of chemical reactors - batch, tubular, continuous-flow, fixed-bed - and in combustion systems, air pollution, and metabolic processes. Chemical engineers, chemists, graduate students, and researchers will welcome this valuable resource.","archive":"Cambridge Core","collection-title":"Cambridge Series in Chemical Engineering","event-place":"Cambridge","ISBN":"978-0-521-01984-2","publisher":"Cambridge University Press","publisher-place":"Cambridge","source":"Cambridge University Press","title":"Parametric Sensitivity in Chemical Systems","URL":"https://www.cambridge.org/core/books/parametric-sensitivity-in-chemical-systems/D4269B34CBF7B5A629398BA81FBA4255","author":[{"family":"Varma","given":"Arvind"},{"family":"Morbidelli","given":"Massimo"},{"family":"Wu","given":"Hua"}],"issued":{"date-parts":[["1999"]]}}}],"schema":"https://github.com/citation-style-language/schema/raw/master/csl-citation.json"} </w:instrText>
      </w:r>
      <w:r w:rsidR="00620D5A">
        <w:rPr>
          <w:lang w:val="en-GB"/>
        </w:rPr>
        <w:fldChar w:fldCharType="separate"/>
      </w:r>
      <w:r w:rsidR="00620D5A" w:rsidRPr="00620D5A">
        <w:rPr>
          <w:rFonts w:cs="Arial"/>
        </w:rPr>
        <w:t>(Varma et al., 1999)</w:t>
      </w:r>
      <w:r w:rsidR="00620D5A">
        <w:rPr>
          <w:lang w:val="en-GB"/>
        </w:rPr>
        <w:fldChar w:fldCharType="end"/>
      </w:r>
      <w:r w:rsidR="00620D5A">
        <w:rPr>
          <w:lang w:val="en-GB"/>
        </w:rPr>
        <w:t xml:space="preserve">. </w:t>
      </w:r>
      <w:proofErr w:type="gramStart"/>
      <w:r w:rsidRPr="00161601">
        <w:rPr>
          <w:lang w:val="en-GB"/>
        </w:rPr>
        <w:t>In order to</w:t>
      </w:r>
      <w:proofErr w:type="gramEnd"/>
      <w:r>
        <w:rPr>
          <w:lang w:val="en-GB"/>
        </w:rPr>
        <w:t xml:space="preserve"> </w:t>
      </w:r>
      <w:r w:rsidRPr="00161601">
        <w:rPr>
          <w:lang w:val="en-GB"/>
        </w:rPr>
        <w:t>account for diffusive phenomena (thermal and material diffusion</w:t>
      </w:r>
      <w:r w:rsidR="000517CC">
        <w:rPr>
          <w:lang w:val="en-GB"/>
        </w:rPr>
        <w:t xml:space="preserve"> in both axial and radial directions</w:t>
      </w:r>
      <w:r w:rsidRPr="00161601">
        <w:rPr>
          <w:lang w:val="en-GB"/>
        </w:rPr>
        <w:t xml:space="preserve">), the sensitivity study was performed using </w:t>
      </w:r>
      <w:r w:rsidR="000517CC">
        <w:rPr>
          <w:lang w:val="en-GB"/>
        </w:rPr>
        <w:t>init</w:t>
      </w:r>
      <w:r w:rsidR="00551086">
        <w:rPr>
          <w:lang w:val="en-GB"/>
        </w:rPr>
        <w:t>i</w:t>
      </w:r>
      <w:r w:rsidR="000517CC">
        <w:rPr>
          <w:lang w:val="en-GB"/>
        </w:rPr>
        <w:t>ally</w:t>
      </w:r>
      <w:r w:rsidR="000517CC" w:rsidRPr="00161601">
        <w:rPr>
          <w:lang w:val="en-GB"/>
        </w:rPr>
        <w:t xml:space="preserve"> </w:t>
      </w:r>
      <w:r w:rsidRPr="00161601">
        <w:rPr>
          <w:lang w:val="en-GB"/>
        </w:rPr>
        <w:t>a 1</w:t>
      </w:r>
      <w:r w:rsidR="002C55EC">
        <w:rPr>
          <w:lang w:val="en-GB"/>
        </w:rPr>
        <w:t>-</w:t>
      </w:r>
      <w:r w:rsidRPr="00161601">
        <w:rPr>
          <w:lang w:val="en-GB"/>
        </w:rPr>
        <w:t xml:space="preserve">D tubular reactor model </w:t>
      </w:r>
      <w:r w:rsidR="00DC049A" w:rsidRPr="00161601">
        <w:rPr>
          <w:lang w:val="en-GB"/>
        </w:rPr>
        <w:t>and</w:t>
      </w:r>
      <w:r w:rsidR="000517CC">
        <w:rPr>
          <w:lang w:val="en-GB"/>
        </w:rPr>
        <w:t xml:space="preserve"> then</w:t>
      </w:r>
      <w:r w:rsidR="00551086">
        <w:rPr>
          <w:lang w:val="en-GB"/>
        </w:rPr>
        <w:t>,</w:t>
      </w:r>
      <w:r w:rsidRPr="00161601">
        <w:rPr>
          <w:lang w:val="en-GB"/>
        </w:rPr>
        <w:t xml:space="preserve"> a 2</w:t>
      </w:r>
      <w:r w:rsidR="002C55EC">
        <w:rPr>
          <w:lang w:val="en-GB"/>
        </w:rPr>
        <w:t>-</w:t>
      </w:r>
      <w:r w:rsidRPr="00161601">
        <w:rPr>
          <w:lang w:val="en-GB"/>
        </w:rPr>
        <w:t xml:space="preserve">D one (operating in laminar conditions). Different reactant inlet flowrates were tested for all the models </w:t>
      </w:r>
      <w:r w:rsidR="00884CCE" w:rsidRPr="00161601">
        <w:rPr>
          <w:lang w:val="en-GB"/>
        </w:rPr>
        <w:t>to</w:t>
      </w:r>
      <w:r w:rsidRPr="00161601">
        <w:rPr>
          <w:lang w:val="en-GB"/>
        </w:rPr>
        <w:t xml:space="preserve"> assess their influence on the runaway boundaries. Once the runaway boundaries </w:t>
      </w:r>
      <w:r w:rsidR="00A04646">
        <w:rPr>
          <w:lang w:val="en-GB"/>
        </w:rPr>
        <w:t>were</w:t>
      </w:r>
      <w:r w:rsidRPr="00161601">
        <w:rPr>
          <w:lang w:val="en-GB"/>
        </w:rPr>
        <w:t xml:space="preserve"> identified, </w:t>
      </w:r>
      <w:r w:rsidR="00082EE4">
        <w:rPr>
          <w:lang w:val="en-GB"/>
        </w:rPr>
        <w:t>optimal</w:t>
      </w:r>
      <w:r w:rsidRPr="00161601">
        <w:rPr>
          <w:lang w:val="en-GB"/>
        </w:rPr>
        <w:t xml:space="preserve"> operating conditions were </w:t>
      </w:r>
      <w:r w:rsidR="004E30F9">
        <w:rPr>
          <w:lang w:val="en-GB"/>
        </w:rPr>
        <w:t>proposed,</w:t>
      </w:r>
      <w:r w:rsidR="00A04646">
        <w:rPr>
          <w:lang w:val="en-GB"/>
        </w:rPr>
        <w:t xml:space="preserve"> </w:t>
      </w:r>
      <w:r w:rsidR="004C0201">
        <w:rPr>
          <w:lang w:val="en-GB"/>
        </w:rPr>
        <w:t xml:space="preserve">together with </w:t>
      </w:r>
      <w:r w:rsidR="00A04646">
        <w:rPr>
          <w:lang w:val="en-GB"/>
        </w:rPr>
        <w:t xml:space="preserve">a </w:t>
      </w:r>
      <w:r w:rsidR="00884CCE">
        <w:rPr>
          <w:lang w:val="en-GB"/>
        </w:rPr>
        <w:t>hypothetical</w:t>
      </w:r>
      <w:r w:rsidR="00A04646">
        <w:rPr>
          <w:lang w:val="en-GB"/>
        </w:rPr>
        <w:t xml:space="preserve"> process layout</w:t>
      </w:r>
      <w:r w:rsidRPr="00161601">
        <w:rPr>
          <w:lang w:val="en-GB"/>
        </w:rPr>
        <w:t>.</w:t>
      </w:r>
    </w:p>
    <w:p w14:paraId="5741900F" w14:textId="1EC0F182" w:rsidR="00453E24" w:rsidRDefault="00115E2B" w:rsidP="00453E24">
      <w:pPr>
        <w:pStyle w:val="CETHeading1"/>
      </w:pPr>
      <w:r w:rsidRPr="00115E2B">
        <w:t>Case Study</w:t>
      </w:r>
    </w:p>
    <w:p w14:paraId="2982E8AB" w14:textId="44F71F8B" w:rsidR="00115E2B" w:rsidRDefault="00115E2B" w:rsidP="00115E2B">
      <w:pPr>
        <w:pStyle w:val="CETBodytext"/>
      </w:pPr>
      <w:r>
        <w:t xml:space="preserve">The </w:t>
      </w:r>
      <w:r w:rsidR="005B778A">
        <w:t>s</w:t>
      </w:r>
      <w:r>
        <w:t xml:space="preserve">ynthesis of </w:t>
      </w:r>
      <w:r w:rsidR="005B778A">
        <w:t xml:space="preserve">16-hexadecanolide developed by </w:t>
      </w:r>
      <w:r>
        <w:t>Story is basically made of two steps. The first one includes the synthesis of the cyclohexanone peroxides; the second one is about their decomposition.</w:t>
      </w:r>
    </w:p>
    <w:p w14:paraId="6DCA40B7" w14:textId="2116847E" w:rsidR="00115E2B" w:rsidRDefault="00115E2B" w:rsidP="00115E2B">
      <w:pPr>
        <w:pStyle w:val="CETBodytext"/>
      </w:pPr>
      <w:r>
        <w:t xml:space="preserve">The first procedure reported in literature </w:t>
      </w:r>
      <w:r w:rsidR="00620D5A">
        <w:fldChar w:fldCharType="begin"/>
      </w:r>
      <w:r w:rsidR="0098093E">
        <w:instrText xml:space="preserve"> ADDIN ZOTERO_ITEM CSL_CITATION {"citationID":"ALzF3yCx","properties":{"formattedCitation":"(Story et al., 1970)","plainCitation":"(Story et al., 1970)","noteIndex":0},"citationItems":[{"id":"H3rIAUMC/Hq6iBreA","uris":["http://zotero.org/users/local/3PNmpiAY/items/ZQ696NGB"],"itemData":{"id":10,"type":"article-journal","container-title":"The Journal of Organic Chemistry","ISSN":"0022-3263","issue":"9","journalAbbreviation":"J. Org. Chem.","note":"publisher: American Chemical Society","page":"3059-3062","title":"Macrocyclic synthesis. II. Cyclohexanone peroxides","volume":"35","author":[{"family":"Story","given":"Paul R."},{"family":"Lee","given":"Bunge"},{"family":"Bishop","given":"Clyde E."},{"family":"Denson","given":"Donald D."},{"family":"Busch","given":"Peter"}],"issued":{"date-parts":[["1970",9,1]]}}}],"schema":"https://github.com/citation-style-language/schema/raw/master/csl-citation.json"} </w:instrText>
      </w:r>
      <w:r w:rsidR="00620D5A">
        <w:fldChar w:fldCharType="separate"/>
      </w:r>
      <w:r w:rsidR="00620D5A" w:rsidRPr="00620D5A">
        <w:rPr>
          <w:rFonts w:cs="Arial"/>
        </w:rPr>
        <w:t>(Story et al., 1970)</w:t>
      </w:r>
      <w:r w:rsidR="00620D5A">
        <w:fldChar w:fldCharType="end"/>
      </w:r>
      <w:r>
        <w:t xml:space="preserve"> provides 70% concentrated perchloric acid in acetonitrile as catalyst and 90% concentrated hydrogen peroxide, in 2:1 molar ratio to cyclohexanone, at 70</w:t>
      </w:r>
      <w:r w:rsidR="0001436D">
        <w:t xml:space="preserve"> </w:t>
      </w:r>
      <w:r>
        <w:t>°C.</w:t>
      </w:r>
      <w:r w:rsidR="00487429">
        <w:t xml:space="preserve"> </w:t>
      </w:r>
      <w:r>
        <w:t xml:space="preserve">The scale-up of this reaction is difficult </w:t>
      </w:r>
      <w:r w:rsidR="000517CC">
        <w:t>be</w:t>
      </w:r>
      <w:r>
        <w:t xml:space="preserve">cause of its safety issues. </w:t>
      </w:r>
      <w:r w:rsidR="000517CC">
        <w:t>C</w:t>
      </w:r>
      <w:r>
        <w:t>oncentrated H</w:t>
      </w:r>
      <w:r w:rsidRPr="00CB2490">
        <w:rPr>
          <w:vertAlign w:val="subscript"/>
        </w:rPr>
        <w:t>2</w:t>
      </w:r>
      <w:r>
        <w:t>O</w:t>
      </w:r>
      <w:r w:rsidRPr="00CB2490">
        <w:rPr>
          <w:vertAlign w:val="subscript"/>
        </w:rPr>
        <w:t>2</w:t>
      </w:r>
      <w:r>
        <w:t xml:space="preserve"> is highly reactive and could lead to uncontrolled oxidations followed by a </w:t>
      </w:r>
      <w:r w:rsidR="000517CC">
        <w:t xml:space="preserve">large </w:t>
      </w:r>
      <w:r>
        <w:t xml:space="preserve">generation of heat. A corrosive reaction mixture due to the presence of concentrated perchloric acid also increases the </w:t>
      </w:r>
      <w:r w:rsidR="000517CC">
        <w:t>risks connected to</w:t>
      </w:r>
      <w:r>
        <w:t xml:space="preserve"> this reaction.</w:t>
      </w:r>
    </w:p>
    <w:p w14:paraId="032195C3" w14:textId="017A85DE" w:rsidR="00115E2B" w:rsidRDefault="00115E2B" w:rsidP="00115E2B">
      <w:pPr>
        <w:pStyle w:val="CETBodytext"/>
      </w:pPr>
      <w:r>
        <w:t xml:space="preserve">The second step of the Story </w:t>
      </w:r>
      <w:r w:rsidR="005B778A">
        <w:t>s</w:t>
      </w:r>
      <w:r>
        <w:t xml:space="preserve">ynthesis basically consists of the thermal </w:t>
      </w:r>
      <w:r w:rsidR="005B778A">
        <w:t>(</w:t>
      </w:r>
      <w:r>
        <w:t>or photochemical</w:t>
      </w:r>
      <w:r w:rsidR="005B778A">
        <w:t>)</w:t>
      </w:r>
      <w:r>
        <w:t xml:space="preserve"> decomposition of the previously synthetized cyclohexanone peroxides.</w:t>
      </w:r>
    </w:p>
    <w:p w14:paraId="4442119F" w14:textId="60FBDB5B" w:rsidR="009A6E8F" w:rsidRDefault="00115E2B" w:rsidP="00981103">
      <w:pPr>
        <w:pStyle w:val="CETBodytext"/>
        <w:spacing w:after="240"/>
      </w:pPr>
      <w:r>
        <w:t>TC</w:t>
      </w:r>
      <w:r w:rsidR="00CB2490">
        <w:t>T</w:t>
      </w:r>
      <w:r>
        <w:t>P decomposition leads to the formation of 16-hexadecanolide (15-</w:t>
      </w:r>
      <w:r w:rsidR="00FE11C0">
        <w:t>28</w:t>
      </w:r>
      <w:r>
        <w:t>%)</w:t>
      </w:r>
      <w:r w:rsidR="00F0605B">
        <w:t xml:space="preserve">, </w:t>
      </w:r>
      <w:proofErr w:type="spellStart"/>
      <w:r w:rsidR="00F0605B">
        <w:t>cyclopentadecane</w:t>
      </w:r>
      <w:proofErr w:type="spellEnd"/>
      <w:r w:rsidR="00F0605B">
        <w:t xml:space="preserve"> (28-34%) and cyclohexanone</w:t>
      </w:r>
      <w:r>
        <w:t xml:space="preserve"> </w:t>
      </w:r>
      <w:r w:rsidR="00FE11C0">
        <w:rPr>
          <w:lang w:val="en-GB"/>
        </w:rPr>
        <w:fldChar w:fldCharType="begin"/>
      </w:r>
      <w:r w:rsidR="0098093E">
        <w:rPr>
          <w:lang w:val="en-GB"/>
        </w:rPr>
        <w:instrText xml:space="preserve"> ADDIN ZOTERO_ITEM CSL_CITATION {"citationID":"kRpPPgN4","properties":{"formattedCitation":"(Ferrer et al., 2018)","plainCitation":"(Ferrer et al., 2018)","noteIndex":0},"citationItems":[{"id":"H3rIAUMC/h0vkSt3t","uris":["http://zotero.org/users/local/3PNmpiAY/items/YQX5CDX9"],"itemData":{"id":1,"type":"article-journal","abstract":"The thermal decomposition of tricyclohexylidene triperoxide both pure and in 4% w/w solution of n-dodecane to yield mainly 16-hexadecanolide is studied applying the nonparametric kinetics method to a set of scanning calorimetry records. The apparent energies of activation obtained are 148.4 ± 0.8 and 90.9 ± 0.8 kJ mol−1, respectively. Combined kinetic models are proposed (first order + Šesták–Berggren) to describe the processes. The isothermal decomposition of the pure peroxide is studied, indicating that there is no appreciable reaction after 12 h at temperatures below 103 °C and that conversion is complete at temperatures over 137 °C.","container-title":"Journal of Thermal Analysis and Calorimetry","ISSN":"1588-2926","issue":"2","journalAbbreviation":"J Therm Anal Calorim","language":"en","page":"1293-1298","source":"Springer Link","title":"Thermal decomposition of tricyclohexylidene triperoxide","volume":"134","author":[{"family":"Ferrer","given":"Nabí"},{"family":"Serra","given":"Eduard"},{"family":"Nomen","given":"Rosa"},{"family":"Sempere","given":"Julià"}],"issued":{"date-parts":[["2018",11,1]]}}}],"schema":"https://github.com/citation-style-language/schema/raw/master/csl-citation.json"} </w:instrText>
      </w:r>
      <w:r w:rsidR="00FE11C0">
        <w:rPr>
          <w:lang w:val="en-GB"/>
        </w:rPr>
        <w:fldChar w:fldCharType="separate"/>
      </w:r>
      <w:r w:rsidR="00FE11C0" w:rsidRPr="00620D5A">
        <w:rPr>
          <w:rFonts w:cs="Arial"/>
        </w:rPr>
        <w:t>(Ferrer et al., 2018)</w:t>
      </w:r>
      <w:r w:rsidR="00FE11C0">
        <w:rPr>
          <w:lang w:val="en-GB"/>
        </w:rPr>
        <w:fldChar w:fldCharType="end"/>
      </w:r>
      <w:r>
        <w:t>.</w:t>
      </w:r>
      <w:r w:rsidR="004E7372">
        <w:t xml:space="preserve"> Whenever </w:t>
      </w:r>
      <w:r w:rsidR="00456642">
        <w:t xml:space="preserve">the reaction path leads to the formation of </w:t>
      </w:r>
      <w:r w:rsidR="004E7372">
        <w:t xml:space="preserve">16-hexadecanolide also carbon dioxide is </w:t>
      </w:r>
      <w:r w:rsidR="00456642">
        <w:t>produced</w:t>
      </w:r>
      <w:r w:rsidR="004A59B1">
        <w:t xml:space="preserve">. </w:t>
      </w:r>
    </w:p>
    <w:p w14:paraId="10A72E6C" w14:textId="326FED42" w:rsidR="009A6E8F" w:rsidRDefault="009A6E8F" w:rsidP="009A6E8F">
      <w:pPr>
        <w:pStyle w:val="CETBodytext"/>
        <w:rPr>
          <w:rStyle w:val="CETCaptionCarattere"/>
        </w:rPr>
      </w:pPr>
      <w:r>
        <w:rPr>
          <w:noProof/>
        </w:rPr>
        <w:drawing>
          <wp:anchor distT="0" distB="0" distL="114300" distR="114300" simplePos="0" relativeHeight="251670528" behindDoc="0" locked="0" layoutInCell="1" allowOverlap="1" wp14:anchorId="40C5390B" wp14:editId="740AF678">
            <wp:simplePos x="0" y="0"/>
            <wp:positionH relativeFrom="margin">
              <wp:align>left</wp:align>
            </wp:positionH>
            <wp:positionV relativeFrom="paragraph">
              <wp:posOffset>1905</wp:posOffset>
            </wp:positionV>
            <wp:extent cx="2311400" cy="947420"/>
            <wp:effectExtent l="0" t="0" r="0" b="5080"/>
            <wp:wrapSquare wrapText="bothSides"/>
            <wp:docPr id="5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jpeg"/>
                    <pic:cNvPicPr/>
                  </pic:nvPicPr>
                  <pic:blipFill rotWithShape="1">
                    <a:blip r:embed="rId10" cstate="print"/>
                    <a:srcRect t="-3142" r="17507" b="-1"/>
                    <a:stretch/>
                  </pic:blipFill>
                  <pic:spPr bwMode="auto">
                    <a:xfrm>
                      <a:off x="0" y="0"/>
                      <a:ext cx="2345803" cy="961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297215" w14:textId="3BDC1EE9" w:rsidR="009A6E8F" w:rsidRDefault="009A6E8F" w:rsidP="009A6E8F">
      <w:pPr>
        <w:pStyle w:val="CETBodytext"/>
        <w:rPr>
          <w:rStyle w:val="CETCaptionCarattere"/>
          <w:i w:val="0"/>
          <w:iCs/>
        </w:rPr>
      </w:pPr>
    </w:p>
    <w:p w14:paraId="069A9F8C" w14:textId="77777777" w:rsidR="00E660B5" w:rsidRDefault="00E660B5" w:rsidP="009A6E8F">
      <w:pPr>
        <w:pStyle w:val="CETBodytext"/>
        <w:rPr>
          <w:rStyle w:val="CETCaptionCarattere"/>
          <w:i w:val="0"/>
          <w:iCs/>
        </w:rPr>
      </w:pPr>
    </w:p>
    <w:p w14:paraId="135C6DE9" w14:textId="459F1D07" w:rsidR="009A6E8F" w:rsidRPr="009A6E8F" w:rsidRDefault="009A6E8F" w:rsidP="009A6E8F">
      <w:pPr>
        <w:pStyle w:val="CETBodytext"/>
        <w:rPr>
          <w:rStyle w:val="CETCaptionCarattere"/>
          <w:i w:val="0"/>
          <w:iCs/>
        </w:rPr>
      </w:pPr>
      <w:r w:rsidRPr="009A6E8F">
        <w:rPr>
          <w:rStyle w:val="CETCaptionCarattere"/>
          <w:i w:val="0"/>
          <w:iCs/>
        </w:rPr>
        <w:t>+ 2 CO</w:t>
      </w:r>
      <w:r w:rsidRPr="009A6E8F">
        <w:rPr>
          <w:rStyle w:val="CETCaptionCarattere"/>
          <w:i w:val="0"/>
          <w:iCs/>
          <w:vertAlign w:val="subscript"/>
        </w:rPr>
        <w:t>2</w:t>
      </w:r>
    </w:p>
    <w:p w14:paraId="4EF67C47" w14:textId="77777777" w:rsidR="009A6E8F" w:rsidRDefault="009A6E8F" w:rsidP="009A6E8F">
      <w:pPr>
        <w:pStyle w:val="CETBodytext"/>
        <w:rPr>
          <w:rStyle w:val="CETCaptionCarattere"/>
        </w:rPr>
      </w:pPr>
    </w:p>
    <w:p w14:paraId="4ABFD1B0" w14:textId="77777777" w:rsidR="00E660B5" w:rsidRDefault="00E660B5" w:rsidP="009A6E8F">
      <w:pPr>
        <w:pStyle w:val="CETBodytext"/>
        <w:rPr>
          <w:rStyle w:val="CETCaptionCarattere"/>
        </w:rPr>
      </w:pPr>
    </w:p>
    <w:p w14:paraId="3EEF8CE3" w14:textId="77777777" w:rsidR="00EF3F04" w:rsidRDefault="00EF3F04" w:rsidP="009A6E8F">
      <w:pPr>
        <w:pStyle w:val="CETBodytext"/>
        <w:rPr>
          <w:rStyle w:val="CETCaptionCarattere"/>
        </w:rPr>
      </w:pPr>
    </w:p>
    <w:p w14:paraId="140B5002" w14:textId="2D700EAB" w:rsidR="00CB47AE" w:rsidRPr="00BD077D" w:rsidRDefault="00CB47AE" w:rsidP="00EF3F04">
      <w:pPr>
        <w:pStyle w:val="CETBodytext"/>
        <w:spacing w:before="240"/>
      </w:pPr>
      <w:r w:rsidRPr="00BD077D">
        <w:rPr>
          <w:rStyle w:val="CETCaptionCarattere"/>
        </w:rPr>
        <w:t xml:space="preserve">Figure </w:t>
      </w:r>
      <w:r w:rsidR="00981103">
        <w:rPr>
          <w:rStyle w:val="CETCaptionCarattere"/>
        </w:rPr>
        <w:t>1</w:t>
      </w:r>
      <w:r w:rsidRPr="00BD077D">
        <w:rPr>
          <w:rStyle w:val="CETCaptionCarattere"/>
        </w:rPr>
        <w:t xml:space="preserve">: </w:t>
      </w:r>
      <w:r w:rsidR="00D85092">
        <w:rPr>
          <w:rStyle w:val="CETCaptionCarattere"/>
        </w:rPr>
        <w:t>TCTP d</w:t>
      </w:r>
      <w:r w:rsidRPr="00CB47AE">
        <w:rPr>
          <w:rStyle w:val="CETCaptionCarattere"/>
        </w:rPr>
        <w:t>ecomposition and formation of 16-hexadecanolide</w:t>
      </w:r>
    </w:p>
    <w:p w14:paraId="47548F85" w14:textId="58775146" w:rsidR="00F62B99" w:rsidRDefault="0077764D" w:rsidP="00C811C7">
      <w:pPr>
        <w:pStyle w:val="CETBodytext"/>
        <w:spacing w:before="240"/>
      </w:pPr>
      <w:r>
        <w:t>Given the high exothermicity of the overall decomposition</w:t>
      </w:r>
      <w:r w:rsidR="00593A01">
        <w:t xml:space="preserve">, </w:t>
      </w:r>
      <w:r w:rsidR="005374BB">
        <w:t xml:space="preserve">TCTP must be diluted into a suitable solvent capable of </w:t>
      </w:r>
      <w:r w:rsidR="00186C38">
        <w:t xml:space="preserve">decreasing the </w:t>
      </w:r>
      <w:r w:rsidR="0089046D">
        <w:t xml:space="preserve">potential </w:t>
      </w:r>
      <w:r w:rsidR="00186C38">
        <w:t>ad</w:t>
      </w:r>
      <w:r w:rsidR="00657464">
        <w:t>iabatic temperature increase</w:t>
      </w:r>
      <w:r w:rsidR="00EB6116">
        <w:t xml:space="preserve"> </w:t>
      </w:r>
      <w:r w:rsidR="0089046D">
        <w:t xml:space="preserve">in case of thermal loss of control. </w:t>
      </w:r>
      <w:r w:rsidR="000F4197">
        <w:t xml:space="preserve">According to literature, a 4% w/w </w:t>
      </w:r>
      <w:r w:rsidR="00E7299E">
        <w:t>solution of TCTP in dodecane has been proved to be stable in a wide range of temperatures</w:t>
      </w:r>
      <w:r w:rsidR="003844D5">
        <w:t xml:space="preserve"> </w:t>
      </w:r>
      <w:r w:rsidR="00620D5A">
        <w:fldChar w:fldCharType="begin"/>
      </w:r>
      <w:r w:rsidR="0098093E">
        <w:instrText xml:space="preserve"> ADDIN ZOTERO_ITEM CSL_CITATION {"citationID":"niFwbk2l","properties":{"formattedCitation":"(De Armas, 2015)","plainCitation":"(De Armas, 2015)","noteIndex":0},"citationItems":[{"id":"H3rIAUMC/JjAlEGMB","uris":["http://zotero.org/users/local/3PNmpiAY/items/6E35YQ8I"],"itemData":{"id":3,"type":"thesis","event-place":"Spain","genre":"PhD Thesis","publisher":"IQS School of Engineering","publisher-place":"Spain","title":"Síntesis de macrolactona cíclicas","author":[{"family":"De Armas","given":"D."}],"issued":{"date-parts":[["2015"]]}}}],"schema":"https://github.com/citation-style-language/schema/raw/master/csl-citation.json"} </w:instrText>
      </w:r>
      <w:r w:rsidR="00620D5A">
        <w:fldChar w:fldCharType="separate"/>
      </w:r>
      <w:r w:rsidR="00620D5A" w:rsidRPr="00620D5A">
        <w:rPr>
          <w:rFonts w:cs="Arial"/>
        </w:rPr>
        <w:t xml:space="preserve">(De </w:t>
      </w:r>
      <w:proofErr w:type="spellStart"/>
      <w:r w:rsidR="00620D5A" w:rsidRPr="00620D5A">
        <w:rPr>
          <w:rFonts w:cs="Arial"/>
        </w:rPr>
        <w:t>Armas</w:t>
      </w:r>
      <w:proofErr w:type="spellEnd"/>
      <w:r w:rsidR="00620D5A" w:rsidRPr="00620D5A">
        <w:rPr>
          <w:rFonts w:cs="Arial"/>
        </w:rPr>
        <w:t>, 2015)</w:t>
      </w:r>
      <w:r w:rsidR="00620D5A">
        <w:fldChar w:fldCharType="end"/>
      </w:r>
      <w:r w:rsidR="00ED178B">
        <w:t>, therefore its physical properties together with the kinetics already proposed will be considered for this theoretical study</w:t>
      </w:r>
      <w:r w:rsidR="00115E2B">
        <w:t>.</w:t>
      </w:r>
    </w:p>
    <w:p w14:paraId="04963A06" w14:textId="0CE080D1" w:rsidR="00600535" w:rsidRPr="00F62B99" w:rsidRDefault="00297264" w:rsidP="00F62B99">
      <w:pPr>
        <w:pStyle w:val="CETHeading1"/>
        <w:tabs>
          <w:tab w:val="clear" w:pos="360"/>
          <w:tab w:val="right" w:pos="7100"/>
        </w:tabs>
        <w:jc w:val="both"/>
        <w:rPr>
          <w:lang w:val="en-GB"/>
        </w:rPr>
      </w:pPr>
      <w:r w:rsidRPr="00F62B99">
        <w:rPr>
          <w:lang w:val="en-GB"/>
        </w:rPr>
        <w:t>Methods</w:t>
      </w:r>
      <w:r w:rsidR="00A7227D">
        <w:rPr>
          <w:lang w:val="en-GB"/>
        </w:rPr>
        <w:t xml:space="preserve"> and Mathematical Model</w:t>
      </w:r>
      <w:r w:rsidR="00D632F8">
        <w:rPr>
          <w:lang w:val="en-GB"/>
        </w:rPr>
        <w:t>s</w:t>
      </w:r>
    </w:p>
    <w:p w14:paraId="04328D1C" w14:textId="141712AF" w:rsidR="00443305" w:rsidRDefault="00443305" w:rsidP="00F62B99">
      <w:pPr>
        <w:pStyle w:val="CETBodytext"/>
        <w:rPr>
          <w:lang w:val="en-GB"/>
        </w:rPr>
      </w:pPr>
      <w:r>
        <w:rPr>
          <w:lang w:val="en-GB"/>
        </w:rPr>
        <w:t xml:space="preserve">A Plug Flow Reactor </w:t>
      </w:r>
      <w:r w:rsidR="0073502A">
        <w:rPr>
          <w:lang w:val="en-GB"/>
        </w:rPr>
        <w:t xml:space="preserve">(PFR) </w:t>
      </w:r>
      <w:r>
        <w:rPr>
          <w:lang w:val="en-GB"/>
        </w:rPr>
        <w:t xml:space="preserve">model, with both presence (2-D model) and absence (1-D model) of radial heat and mass dispersions, was </w:t>
      </w:r>
      <w:r w:rsidR="006C771E">
        <w:rPr>
          <w:lang w:val="en-GB"/>
        </w:rPr>
        <w:t xml:space="preserve">developed </w:t>
      </w:r>
      <w:r>
        <w:rPr>
          <w:lang w:val="en-GB"/>
        </w:rPr>
        <w:t xml:space="preserve">to identify the runaway boundaries for the system by </w:t>
      </w:r>
      <w:r w:rsidRPr="00F62B99">
        <w:rPr>
          <w:lang w:val="en-GB"/>
        </w:rPr>
        <w:t>implement</w:t>
      </w:r>
      <w:r>
        <w:rPr>
          <w:lang w:val="en-GB"/>
        </w:rPr>
        <w:t>ing</w:t>
      </w:r>
      <w:r w:rsidRPr="00F62B99">
        <w:rPr>
          <w:lang w:val="en-GB"/>
        </w:rPr>
        <w:t xml:space="preserve"> </w:t>
      </w:r>
      <w:r>
        <w:rPr>
          <w:lang w:val="en-GB"/>
        </w:rPr>
        <w:t xml:space="preserve">a suitable </w:t>
      </w:r>
      <w:r w:rsidRPr="00F62B99">
        <w:rPr>
          <w:lang w:val="en-GB"/>
        </w:rPr>
        <w:t>MATLAB</w:t>
      </w:r>
      <w:r w:rsidRPr="00AD6A72">
        <w:rPr>
          <w:lang w:val="en-GB"/>
        </w:rPr>
        <w:t>®</w:t>
      </w:r>
      <w:r>
        <w:rPr>
          <w:lang w:val="en-GB"/>
        </w:rPr>
        <w:t xml:space="preserve"> code</w:t>
      </w:r>
      <w:r w:rsidR="00E546E4">
        <w:rPr>
          <w:lang w:val="en-GB"/>
        </w:rPr>
        <w:t xml:space="preserve"> solved using the Methods of Lines</w:t>
      </w:r>
      <w:r>
        <w:rPr>
          <w:lang w:val="en-GB"/>
        </w:rPr>
        <w:t>.</w:t>
      </w:r>
    </w:p>
    <w:p w14:paraId="2D51C2B2" w14:textId="03A90F5F" w:rsidR="008D7517" w:rsidRDefault="00B17731" w:rsidP="0064018F">
      <w:pPr>
        <w:pStyle w:val="CETBodytext"/>
        <w:rPr>
          <w:lang w:val="en-GB"/>
        </w:rPr>
      </w:pPr>
      <w:r>
        <w:rPr>
          <w:lang w:val="en-GB"/>
        </w:rPr>
        <w:lastRenderedPageBreak/>
        <w:t>E</w:t>
      </w:r>
      <w:r w:rsidR="006C771E">
        <w:rPr>
          <w:lang w:val="en-GB"/>
        </w:rPr>
        <w:t xml:space="preserve">quations </w:t>
      </w:r>
      <w:r w:rsidR="008D7517">
        <w:rPr>
          <w:lang w:val="en-GB"/>
        </w:rPr>
        <w:t xml:space="preserve">for the 1-D model </w:t>
      </w:r>
      <w:r>
        <w:rPr>
          <w:lang w:val="en-GB"/>
        </w:rPr>
        <w:t xml:space="preserve">are reported in Eq. (1) and </w:t>
      </w:r>
      <w:r w:rsidR="006C771E">
        <w:rPr>
          <w:lang w:val="en-GB"/>
        </w:rPr>
        <w:t>bas</w:t>
      </w:r>
      <w:r w:rsidR="007E0ED3">
        <w:rPr>
          <w:lang w:val="en-GB"/>
        </w:rPr>
        <w:t>ed</w:t>
      </w:r>
      <w:r w:rsidR="006C771E">
        <w:rPr>
          <w:lang w:val="en-GB"/>
        </w:rPr>
        <w:t xml:space="preserve"> on the </w:t>
      </w:r>
      <w:r w:rsidR="00662B84">
        <w:rPr>
          <w:lang w:val="en-GB"/>
        </w:rPr>
        <w:t>following hypotheses:</w:t>
      </w:r>
      <w:r w:rsidR="00E416D0">
        <w:rPr>
          <w:lang w:val="en-GB"/>
        </w:rPr>
        <w:t xml:space="preserve"> </w:t>
      </w:r>
      <w:r w:rsidR="008D7517" w:rsidRPr="008D7517">
        <w:rPr>
          <w:lang w:val="en-GB"/>
        </w:rPr>
        <w:t>1</w:t>
      </w:r>
      <w:r w:rsidR="00E416D0">
        <w:rPr>
          <w:lang w:val="en-GB"/>
        </w:rPr>
        <w:t>)</w:t>
      </w:r>
      <w:r w:rsidR="008D7517" w:rsidRPr="008D7517">
        <w:rPr>
          <w:lang w:val="en-GB"/>
        </w:rPr>
        <w:t xml:space="preserve"> </w:t>
      </w:r>
      <w:r w:rsidR="00E416D0">
        <w:rPr>
          <w:lang w:val="en-GB"/>
        </w:rPr>
        <w:t>n</w:t>
      </w:r>
      <w:r w:rsidR="008D7517" w:rsidRPr="008D7517">
        <w:rPr>
          <w:lang w:val="en-GB"/>
        </w:rPr>
        <w:t xml:space="preserve">o radial changes in </w:t>
      </w:r>
      <w:r w:rsidR="00E84AE0">
        <w:rPr>
          <w:lang w:val="en-GB"/>
        </w:rPr>
        <w:t xml:space="preserve">reactant </w:t>
      </w:r>
      <w:r w:rsidR="008D7517" w:rsidRPr="008D7517">
        <w:rPr>
          <w:lang w:val="en-GB"/>
        </w:rPr>
        <w:t>concentration</w:t>
      </w:r>
      <w:r w:rsidR="005B46C1">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oMath>
      <w:r w:rsidR="005B46C1">
        <w:rPr>
          <w:lang w:val="en-GB"/>
        </w:rPr>
        <w:t>)</w:t>
      </w:r>
      <w:r w:rsidR="008D7517" w:rsidRPr="008D7517">
        <w:rPr>
          <w:lang w:val="en-GB"/>
        </w:rPr>
        <w:t xml:space="preserve">, temperatures </w:t>
      </w:r>
      <w:r w:rsidR="005B46C1">
        <w:rPr>
          <w:lang w:val="en-GB"/>
        </w:rPr>
        <w:t>(</w:t>
      </w:r>
      <m:oMath>
        <m:r>
          <w:rPr>
            <w:rFonts w:ascii="Cambria Math" w:hAnsi="Cambria Math"/>
            <w:lang w:val="en-GB"/>
          </w:rPr>
          <m:t>T</m:t>
        </m:r>
      </m:oMath>
      <w:r w:rsidR="005B46C1">
        <w:rPr>
          <w:lang w:val="en-GB"/>
        </w:rPr>
        <w:t xml:space="preserve">) </w:t>
      </w:r>
      <w:r w:rsidR="008D7517" w:rsidRPr="008D7517">
        <w:rPr>
          <w:lang w:val="en-GB"/>
        </w:rPr>
        <w:t xml:space="preserve">and </w:t>
      </w:r>
      <w:r w:rsidR="008D7517">
        <w:rPr>
          <w:lang w:val="en-GB"/>
        </w:rPr>
        <w:t>velocitie</w:t>
      </w:r>
      <w:r w:rsidR="008D7517" w:rsidRPr="008D7517">
        <w:rPr>
          <w:lang w:val="en-GB"/>
        </w:rPr>
        <w:t>s</w:t>
      </w:r>
      <w:r w:rsidR="005B46C1">
        <w:rPr>
          <w:lang w:val="en-GB"/>
        </w:rPr>
        <w:t xml:space="preserve"> (</w:t>
      </w:r>
      <m:oMath>
        <m:r>
          <w:rPr>
            <w:rFonts w:ascii="Cambria Math" w:hAnsi="Cambria Math"/>
            <w:lang w:val="en-GB"/>
          </w:rPr>
          <m:t>v</m:t>
        </m:r>
      </m:oMath>
      <w:r w:rsidR="005B46C1">
        <w:rPr>
          <w:lang w:val="en-GB"/>
        </w:rPr>
        <w:t>)</w:t>
      </w:r>
      <w:r w:rsidR="008D7517" w:rsidRPr="008D7517">
        <w:rPr>
          <w:lang w:val="en-GB"/>
        </w:rPr>
        <w:t>;</w:t>
      </w:r>
      <w:r w:rsidR="00E416D0">
        <w:rPr>
          <w:lang w:val="en-GB"/>
        </w:rPr>
        <w:t xml:space="preserve"> </w:t>
      </w:r>
      <w:r w:rsidR="008D7517" w:rsidRPr="008D7517">
        <w:rPr>
          <w:lang w:val="en-GB"/>
        </w:rPr>
        <w:t>2</w:t>
      </w:r>
      <w:r w:rsidR="00E416D0">
        <w:rPr>
          <w:lang w:val="en-GB"/>
        </w:rPr>
        <w:t>)</w:t>
      </w:r>
      <w:r w:rsidR="008D7517" w:rsidRPr="008D7517">
        <w:rPr>
          <w:lang w:val="en-GB"/>
        </w:rPr>
        <w:t xml:space="preserve"> </w:t>
      </w:r>
      <w:r w:rsidR="00E416D0">
        <w:rPr>
          <w:lang w:val="en-GB"/>
        </w:rPr>
        <w:t>p</w:t>
      </w:r>
      <w:r w:rsidR="008D7517" w:rsidRPr="008D7517">
        <w:rPr>
          <w:lang w:val="en-GB"/>
        </w:rPr>
        <w:t>erfect mixing in the radial direction</w:t>
      </w:r>
      <w:r w:rsidR="008D7517">
        <w:rPr>
          <w:lang w:val="en-GB"/>
        </w:rPr>
        <w:t xml:space="preserve"> </w:t>
      </w:r>
      <w:r w:rsidR="00145A0C">
        <w:rPr>
          <w:lang w:val="en-GB"/>
        </w:rPr>
        <w:t>(</w:t>
      </w:r>
      <m:oMath>
        <m:r>
          <w:rPr>
            <w:rFonts w:ascii="Cambria Math" w:hAnsi="Cambria Math"/>
            <w:lang w:val="en-GB"/>
          </w:rPr>
          <m:t>r</m:t>
        </m:r>
      </m:oMath>
      <w:r w:rsidR="00145A0C">
        <w:rPr>
          <w:lang w:val="en-GB"/>
        </w:rPr>
        <w:t xml:space="preserve">) </w:t>
      </w:r>
      <w:r w:rsidR="008D7517">
        <w:rPr>
          <w:lang w:val="en-GB"/>
        </w:rPr>
        <w:t>and n</w:t>
      </w:r>
      <w:r w:rsidR="008D7517" w:rsidRPr="008D7517">
        <w:rPr>
          <w:lang w:val="en-GB"/>
        </w:rPr>
        <w:t>o mixing in the axial direction</w:t>
      </w:r>
      <w:r w:rsidR="00145A0C">
        <w:rPr>
          <w:lang w:val="en-GB"/>
        </w:rPr>
        <w:t xml:space="preserve"> (</w:t>
      </w:r>
      <m:oMath>
        <m:r>
          <w:rPr>
            <w:rFonts w:ascii="Cambria Math" w:hAnsi="Cambria Math"/>
            <w:lang w:val="en-GB"/>
          </w:rPr>
          <m:t>z</m:t>
        </m:r>
      </m:oMath>
      <w:r w:rsidR="00145A0C">
        <w:rPr>
          <w:lang w:val="en-GB"/>
        </w:rPr>
        <w:t>)</w:t>
      </w:r>
      <w:r w:rsidR="008D7517" w:rsidRPr="008D7517">
        <w:rPr>
          <w:lang w:val="en-GB"/>
        </w:rPr>
        <w:t>;</w:t>
      </w:r>
      <w:r w:rsidR="00E416D0">
        <w:rPr>
          <w:lang w:val="en-GB"/>
        </w:rPr>
        <w:t xml:space="preserve"> </w:t>
      </w:r>
      <w:r w:rsidR="008D7517">
        <w:rPr>
          <w:lang w:val="en-GB"/>
        </w:rPr>
        <w:t>3</w:t>
      </w:r>
      <w:r w:rsidR="00E416D0">
        <w:rPr>
          <w:lang w:val="en-GB"/>
        </w:rPr>
        <w:t>)</w:t>
      </w:r>
      <w:r w:rsidR="008D7517" w:rsidRPr="008D7517">
        <w:rPr>
          <w:lang w:val="en-GB"/>
        </w:rPr>
        <w:t xml:space="preserve"> </w:t>
      </w:r>
      <w:r w:rsidR="00E416D0">
        <w:rPr>
          <w:lang w:val="en-GB"/>
        </w:rPr>
        <w:t xml:space="preserve">constant inlet velocity </w:t>
      </w:r>
      <w:r w:rsidR="005B46C1">
        <w:rPr>
          <w:lang w:val="en-GB"/>
        </w:rPr>
        <w:t>(</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0</m:t>
            </m:r>
          </m:sub>
        </m:sSub>
      </m:oMath>
      <w:r w:rsidR="005B46C1">
        <w:rPr>
          <w:lang w:val="en-GB"/>
        </w:rPr>
        <w:t xml:space="preserve">) </w:t>
      </w:r>
      <w:r w:rsidR="00E416D0">
        <w:rPr>
          <w:lang w:val="en-GB"/>
        </w:rPr>
        <w:t>also</w:t>
      </w:r>
      <w:r w:rsidR="008D7517" w:rsidRPr="008D7517">
        <w:rPr>
          <w:lang w:val="en-GB"/>
        </w:rPr>
        <w:t xml:space="preserve"> equal to </w:t>
      </w:r>
      <w:r w:rsidR="00E416D0">
        <w:rPr>
          <w:lang w:val="en-GB"/>
        </w:rPr>
        <w:t xml:space="preserve">the </w:t>
      </w:r>
      <w:r w:rsidR="008D7517" w:rsidRPr="008D7517">
        <w:rPr>
          <w:lang w:val="en-GB"/>
        </w:rPr>
        <w:t xml:space="preserve">axial </w:t>
      </w:r>
      <w:r w:rsidR="00E416D0">
        <w:rPr>
          <w:lang w:val="en-GB"/>
        </w:rPr>
        <w:t>one</w:t>
      </w:r>
      <w:r w:rsidR="008D7517" w:rsidRPr="008D7517">
        <w:rPr>
          <w:lang w:val="en-GB"/>
        </w:rPr>
        <w:t>;</w:t>
      </w:r>
      <w:r w:rsidR="00E416D0">
        <w:rPr>
          <w:lang w:val="en-GB"/>
        </w:rPr>
        <w:t xml:space="preserve"> 4)</w:t>
      </w:r>
      <w:r w:rsidR="008D7517" w:rsidRPr="008D7517">
        <w:rPr>
          <w:lang w:val="en-GB"/>
        </w:rPr>
        <w:t xml:space="preserve"> </w:t>
      </w:r>
      <w:r w:rsidR="00E416D0">
        <w:rPr>
          <w:lang w:val="en-GB"/>
        </w:rPr>
        <w:t>s</w:t>
      </w:r>
      <w:r w:rsidR="008D7517" w:rsidRPr="008D7517">
        <w:rPr>
          <w:lang w:val="en-GB"/>
        </w:rPr>
        <w:t>teady-state operation</w:t>
      </w:r>
      <w:r w:rsidR="005B46C1">
        <w:rPr>
          <w:lang w:val="en-GB"/>
        </w:rPr>
        <w:t xml:space="preserve"> (</w:t>
      </w:r>
      <m:oMath>
        <m:r>
          <w:rPr>
            <w:rFonts w:ascii="Cambria Math" w:hAnsi="Cambria Math"/>
            <w:lang w:val="en-GB"/>
          </w:rPr>
          <m:t>d/dt=0</m:t>
        </m:r>
      </m:oMath>
      <w:r w:rsidR="005B46C1">
        <w:rPr>
          <w:lang w:val="en-GB"/>
        </w:rPr>
        <w:t>)</w:t>
      </w:r>
      <w:r w:rsidR="008D7517" w:rsidRPr="008D7517">
        <w:rPr>
          <w:lang w:val="en-GB"/>
        </w:rPr>
        <w:t>;</w:t>
      </w:r>
      <w:r w:rsidR="00E416D0">
        <w:rPr>
          <w:lang w:val="en-GB"/>
        </w:rPr>
        <w:t xml:space="preserve"> 5</w:t>
      </w:r>
      <w:r w:rsidR="00851125">
        <w:rPr>
          <w:lang w:val="en-GB"/>
        </w:rPr>
        <w:t>)</w:t>
      </w:r>
      <w:r w:rsidR="008D7517" w:rsidRPr="008D7517">
        <w:rPr>
          <w:lang w:val="en-GB"/>
        </w:rPr>
        <w:t xml:space="preserve"> </w:t>
      </w:r>
      <w:r w:rsidR="00851125">
        <w:rPr>
          <w:lang w:val="en-GB"/>
        </w:rPr>
        <w:t>c</w:t>
      </w:r>
      <w:r w:rsidR="00E416D0">
        <w:rPr>
          <w:lang w:val="en-GB"/>
        </w:rPr>
        <w:t>onstant r</w:t>
      </w:r>
      <w:r w:rsidR="008D7517" w:rsidRPr="008D7517">
        <w:rPr>
          <w:lang w:val="en-GB"/>
        </w:rPr>
        <w:t>ea</w:t>
      </w:r>
      <w:r w:rsidR="00E416D0">
        <w:rPr>
          <w:lang w:val="en-GB"/>
        </w:rPr>
        <w:t>cting</w:t>
      </w:r>
      <w:r w:rsidR="008D7517" w:rsidRPr="008D7517">
        <w:rPr>
          <w:lang w:val="en-GB"/>
        </w:rPr>
        <w:t xml:space="preserve"> mixture density </w:t>
      </w:r>
      <w:r w:rsidR="00145A0C">
        <w:rPr>
          <w:lang w:val="en-GB"/>
        </w:rPr>
        <w:t>(</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mix</m:t>
            </m:r>
          </m:sub>
        </m:sSub>
      </m:oMath>
      <w:r w:rsidR="00145A0C">
        <w:rPr>
          <w:lang w:val="en-GB"/>
        </w:rPr>
        <w:t xml:space="preserve">) </w:t>
      </w:r>
      <w:r w:rsidR="008D7517" w:rsidRPr="008D7517">
        <w:rPr>
          <w:lang w:val="en-GB"/>
        </w:rPr>
        <w:t>and specific heat</w:t>
      </w:r>
      <w:r w:rsidR="00145A0C">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p,mix</m:t>
            </m:r>
          </m:sub>
        </m:sSub>
      </m:oMath>
      <w:r w:rsidR="00145A0C">
        <w:rPr>
          <w:lang w:val="en-GB"/>
        </w:rPr>
        <w:t>)</w:t>
      </w:r>
      <w:r w:rsidR="00851125">
        <w:rPr>
          <w:lang w:val="en-GB"/>
        </w:rPr>
        <w:t>; 6)</w:t>
      </w:r>
      <w:r w:rsidR="008D7517" w:rsidRPr="008D7517">
        <w:rPr>
          <w:lang w:val="en-GB"/>
        </w:rPr>
        <w:t xml:space="preserve"> </w:t>
      </w:r>
      <w:r w:rsidR="00851125">
        <w:rPr>
          <w:lang w:val="en-GB"/>
        </w:rPr>
        <w:t>presence of a</w:t>
      </w:r>
      <w:r w:rsidR="006872B7">
        <w:rPr>
          <w:lang w:val="en-GB"/>
        </w:rPr>
        <w:t>n external</w:t>
      </w:r>
      <w:r w:rsidR="00851125">
        <w:rPr>
          <w:lang w:val="en-GB"/>
        </w:rPr>
        <w:t xml:space="preserve"> static </w:t>
      </w:r>
      <w:r w:rsidR="008D7517" w:rsidRPr="008D7517">
        <w:rPr>
          <w:lang w:val="en-GB"/>
        </w:rPr>
        <w:t>cooling system</w:t>
      </w:r>
      <w:r w:rsidR="0064018F">
        <w:rPr>
          <w:lang w:val="en-GB"/>
        </w:rPr>
        <w:t xml:space="preserve"> at constant temperature (this means, c</w:t>
      </w:r>
      <w:r w:rsidR="008D7517" w:rsidRPr="008D7517">
        <w:rPr>
          <w:lang w:val="en-GB"/>
        </w:rPr>
        <w:t xml:space="preserve">onstant </w:t>
      </w:r>
      <w:r w:rsidR="0064018F">
        <w:rPr>
          <w:lang w:val="en-GB"/>
        </w:rPr>
        <w:t xml:space="preserve">reactor </w:t>
      </w:r>
      <w:r w:rsidR="008D7517" w:rsidRPr="008D7517">
        <w:rPr>
          <w:lang w:val="en-GB"/>
        </w:rPr>
        <w:t>wall temperature</w:t>
      </w:r>
      <w:r w:rsidR="00145A0C">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w</m:t>
            </m:r>
          </m:sub>
        </m:sSub>
      </m:oMath>
      <w:r w:rsidR="0064018F">
        <w:rPr>
          <w:lang w:val="en-GB"/>
        </w:rPr>
        <w:t>)</w:t>
      </w:r>
      <w:r w:rsidR="008D7517" w:rsidRPr="008D7517">
        <w:rPr>
          <w:lang w:val="en-GB"/>
        </w:rPr>
        <w:t>.</w:t>
      </w:r>
    </w:p>
    <w:p w14:paraId="64BDE486" w14:textId="5D97A3A4" w:rsidR="00E5703E" w:rsidRPr="00E5703E" w:rsidRDefault="00000000" w:rsidP="0064018F">
      <w:pPr>
        <w:pStyle w:val="CETBodytext"/>
        <w:rPr>
          <w:lang w:val="en-GB"/>
        </w:rPr>
      </w:pPr>
      <m:oMath>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0</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d</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dz</m:t>
                  </m:r>
                </m:den>
              </m:f>
              <m:r>
                <w:rPr>
                  <w:rFonts w:ascii="Cambria Math" w:hAnsi="Cambria Math"/>
                  <w:lang w:val="en-GB"/>
                </w:rPr>
                <m:t>=-</m:t>
              </m:r>
              <m:r>
                <w:rPr>
                  <w:rFonts w:ascii="Cambria Math" w:hAnsi="Cambria Math"/>
                  <w:lang w:val="en-GB"/>
                </w:rPr>
                <m:t>r</m:t>
              </m:r>
            </m:e>
          </m:mr>
          <m:m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0</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dT</m:t>
                  </m:r>
                </m:num>
                <m:den>
                  <m:r>
                    <w:rPr>
                      <w:rFonts w:ascii="Cambria Math" w:hAnsi="Cambria Math"/>
                      <w:lang w:val="en-GB"/>
                    </w:rPr>
                    <m:t>dz</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m:t>
                  </m:r>
                  <m:r>
                    <w:rPr>
                      <w:rFonts w:ascii="Cambria Math" w:hAnsi="Cambria Math"/>
                      <w:lang w:val="en-GB"/>
                    </w:rPr>
                    <m:t>H</m:t>
                  </m:r>
                </m:num>
                <m:den>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mix</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m:t>
                      </m:r>
                      <m:r>
                        <w:rPr>
                          <w:rFonts w:ascii="Cambria Math" w:hAnsi="Cambria Math"/>
                          <w:lang w:val="en-GB"/>
                        </w:rPr>
                        <m:t>,</m:t>
                      </m:r>
                      <m:r>
                        <w:rPr>
                          <w:rFonts w:ascii="Cambria Math" w:hAnsi="Cambria Math"/>
                          <w:lang w:val="en-GB"/>
                        </w:rPr>
                        <m:t>mix</m:t>
                      </m:r>
                    </m:sub>
                  </m:sSub>
                </m:den>
              </m:f>
              <m:r>
                <w:rPr>
                  <w:rFonts w:ascii="Cambria Math" w:hAnsi="Cambria Math"/>
                  <w:lang w:val="en-GB"/>
                </w:rPr>
                <m:t>∙</m:t>
              </m:r>
              <m:r>
                <w:rPr>
                  <w:rFonts w:ascii="Cambria Math" w:hAnsi="Cambria Math"/>
                  <w:lang w:val="en-GB"/>
                </w:rPr>
                <m:t>r</m:t>
              </m:r>
              <m:r>
                <w:rPr>
                  <w:rFonts w:ascii="Cambria Math" w:hAnsi="Cambria Math"/>
                  <w:lang w:val="en-GB"/>
                </w:rPr>
                <m:t>-</m:t>
              </m:r>
              <m:f>
                <m:fPr>
                  <m:ctrlPr>
                    <w:rPr>
                      <w:rFonts w:ascii="Cambria Math" w:hAnsi="Cambria Math"/>
                      <w:i/>
                      <w:lang w:val="en-GB"/>
                    </w:rPr>
                  </m:ctrlPr>
                </m:fPr>
                <m:num>
                  <m:r>
                    <w:rPr>
                      <w:rFonts w:ascii="Cambria Math" w:hAnsi="Cambria Math"/>
                      <w:lang w:val="en-GB"/>
                    </w:rPr>
                    <m:t>4</m:t>
                  </m:r>
                  <m:r>
                    <w:rPr>
                      <w:rFonts w:ascii="Cambria Math" w:hAnsi="Cambria Math"/>
                      <w:lang w:val="en-GB"/>
                    </w:rPr>
                    <m:t>U</m:t>
                  </m:r>
                </m:num>
                <m:den>
                  <m:r>
                    <w:rPr>
                      <w:rFonts w:ascii="Cambria Math" w:hAnsi="Cambria Math"/>
                      <w:lang w:val="en-GB"/>
                    </w:rPr>
                    <m:t>2∙</m:t>
                  </m:r>
                  <m:r>
                    <w:rPr>
                      <w:rFonts w:ascii="Cambria Math" w:hAnsi="Cambria Math"/>
                      <w:lang w:val="en-GB"/>
                    </w:rPr>
                    <m:t>R</m:t>
                  </m:r>
                  <m:r>
                    <w:rPr>
                      <w:rFonts w:ascii="Cambria Math" w:hAnsi="Cambria Math"/>
                      <w:lang w:val="en-GB"/>
                    </w:rPr>
                    <m:t>∙</m:t>
                  </m:r>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mix</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m:t>
                      </m:r>
                      <m:r>
                        <w:rPr>
                          <w:rFonts w:ascii="Cambria Math" w:hAnsi="Cambria Math"/>
                          <w:lang w:val="en-GB"/>
                        </w:rPr>
                        <m:t>,</m:t>
                      </m:r>
                      <m:r>
                        <w:rPr>
                          <w:rFonts w:ascii="Cambria Math" w:hAnsi="Cambria Math"/>
                          <w:lang w:val="en-GB"/>
                        </w:rPr>
                        <m:t>mix</m:t>
                      </m:r>
                    </m:sub>
                  </m:sSub>
                </m:den>
              </m:f>
              <m:d>
                <m:dPr>
                  <m:ctrlPr>
                    <w:rPr>
                      <w:rFonts w:ascii="Cambria Math" w:hAnsi="Cambria Math"/>
                      <w:i/>
                      <w:lang w:val="en-GB"/>
                    </w:rPr>
                  </m:ctrlPr>
                </m:dPr>
                <m:e>
                  <m:r>
                    <w:rPr>
                      <w:rFonts w:ascii="Cambria Math" w:hAnsi="Cambria Math"/>
                      <w:lang w:val="en-GB"/>
                    </w:rPr>
                    <m:t>T</m:t>
                  </m:r>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w</m:t>
                      </m:r>
                    </m:sub>
                  </m:sSub>
                </m:e>
              </m:d>
            </m:e>
          </m:mr>
          <m:mr>
            <m:e>
              <m:r>
                <w:rPr>
                  <w:rFonts w:ascii="Cambria Math" w:hAnsi="Cambria Math"/>
                  <w:lang w:val="en-GB"/>
                </w:rPr>
                <m:t>BC</m:t>
              </m:r>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d>
                <m:dPr>
                  <m:ctrlPr>
                    <w:rPr>
                      <w:rFonts w:ascii="Cambria Math" w:hAnsi="Cambria Math"/>
                      <w:i/>
                      <w:lang w:val="en-GB"/>
                    </w:rPr>
                  </m:ctrlPr>
                </m:dPr>
                <m:e>
                  <m:r>
                    <w:rPr>
                      <w:rFonts w:ascii="Cambria Math" w:hAnsi="Cambria Math"/>
                      <w:lang w:val="en-GB"/>
                    </w:rPr>
                    <m:t>z</m:t>
                  </m:r>
                  <m:r>
                    <w:rPr>
                      <w:rFonts w:ascii="Cambria Math" w:hAnsi="Cambria Math"/>
                      <w:lang w:val="en-GB"/>
                    </w:rPr>
                    <m:t>=0</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IN</m:t>
                  </m:r>
                </m:sub>
              </m:sSub>
              <m:r>
                <w:rPr>
                  <w:rFonts w:ascii="Cambria Math" w:hAnsi="Cambria Math"/>
                  <w:lang w:val="en-GB"/>
                </w:rPr>
                <m:t xml:space="preserve">;     </m:t>
              </m:r>
              <m:r>
                <w:rPr>
                  <w:rFonts w:ascii="Cambria Math" w:hAnsi="Cambria Math"/>
                  <w:lang w:val="en-GB"/>
                </w:rPr>
                <m:t>T</m:t>
              </m:r>
              <m:d>
                <m:dPr>
                  <m:ctrlPr>
                    <w:rPr>
                      <w:rFonts w:ascii="Cambria Math" w:hAnsi="Cambria Math"/>
                      <w:i/>
                      <w:lang w:val="en-GB"/>
                    </w:rPr>
                  </m:ctrlPr>
                </m:dPr>
                <m:e>
                  <m:r>
                    <w:rPr>
                      <w:rFonts w:ascii="Cambria Math" w:hAnsi="Cambria Math"/>
                      <w:lang w:val="en-GB"/>
                    </w:rPr>
                    <m:t>z</m:t>
                  </m:r>
                  <m:r>
                    <w:rPr>
                      <w:rFonts w:ascii="Cambria Math" w:hAnsi="Cambria Math"/>
                      <w:lang w:val="en-GB"/>
                    </w:rPr>
                    <m:t>=0</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IN</m:t>
                  </m:r>
                </m:sub>
              </m:sSub>
            </m:e>
          </m:mr>
        </m:m>
      </m:oMath>
      <w:r w:rsidR="00A26C44">
        <w:rPr>
          <w:lang w:val="en-GB"/>
        </w:rPr>
        <w:tab/>
      </w:r>
      <w:r w:rsidR="00A26C44">
        <w:rPr>
          <w:lang w:val="en-GB"/>
        </w:rPr>
        <w:tab/>
      </w:r>
      <w:r w:rsidR="00F71984">
        <w:rPr>
          <w:lang w:val="en-GB"/>
        </w:rPr>
        <w:tab/>
      </w:r>
      <w:r w:rsidR="00A26C44">
        <w:rPr>
          <w:lang w:val="en-GB"/>
        </w:rPr>
        <w:t>(1)</w:t>
      </w:r>
    </w:p>
    <w:p w14:paraId="0E53019D" w14:textId="2870AA50" w:rsidR="0064018F" w:rsidRDefault="00A26C44" w:rsidP="005D0B6B">
      <w:pPr>
        <w:pStyle w:val="CETBodytext"/>
        <w:spacing w:before="240" w:after="240"/>
        <w:rPr>
          <w:lang w:val="en-GB"/>
        </w:rPr>
      </w:pPr>
      <w:r>
        <w:rPr>
          <w:lang w:val="en-GB"/>
        </w:rPr>
        <w:t>where</w:t>
      </w:r>
      <w:r w:rsidR="001C4250">
        <w:rPr>
          <w:lang w:val="en-GB"/>
        </w:rPr>
        <w:t xml:space="preserve"> the overall decomposition reaction rate can be expressed </w:t>
      </w:r>
      <w:r w:rsidR="00E26B78">
        <w:rPr>
          <w:lang w:val="en-GB"/>
        </w:rPr>
        <w:t>as</w:t>
      </w:r>
      <w:r w:rsidR="001C4250">
        <w:rPr>
          <w:lang w:val="en-GB"/>
        </w:rPr>
        <w:t xml:space="preserve"> </w:t>
      </w:r>
      <w:r w:rsidR="0009226D">
        <w:rPr>
          <w:lang w:val="en-GB"/>
        </w:rPr>
        <w:fldChar w:fldCharType="begin"/>
      </w:r>
      <w:r w:rsidR="0098093E">
        <w:rPr>
          <w:lang w:val="en-GB"/>
        </w:rPr>
        <w:instrText xml:space="preserve"> ADDIN ZOTERO_ITEM CSL_CITATION {"citationID":"P2NUCLOs","properties":{"formattedCitation":"(Ferrer et al., 2018)","plainCitation":"(Ferrer et al., 2018)","noteIndex":0},"citationItems":[{"id":"H3rIAUMC/h0vkSt3t","uris":["http://zotero.org/users/local/3PNmpiAY/items/YQX5CDX9"],"itemData":{"id":1,"type":"article-journal","abstract":"The thermal decomposition of tricyclohexylidene triperoxide both pure and in 4% w/w solution of n-dodecane to yield mainly 16-hexadecanolide is studied applying the nonparametric kinetics method to a set of scanning calorimetry records. The apparent energies of activation obtained are 148.4 ± 0.8 and 90.9 ± 0.8 kJ mol−1, respectively. Combined kinetic models are proposed (first order + Šesták–Berggren) to describe the processes. The isothermal decomposition of the pure peroxide is studied, indicating that there is no appreciable reaction after 12 h at temperatures below 103 °C and that conversion is complete at temperatures over 137 °C.","container-title":"Journal of Thermal Analysis and Calorimetry","ISSN":"1588-2926","issue":"2","journalAbbreviation":"J Therm Anal Calorim","language":"en","page":"1293-1298","source":"Springer Link","title":"Thermal decomposition of tricyclohexylidene triperoxide","volume":"134","author":[{"family":"Ferrer","given":"Nabí"},{"family":"Serra","given":"Eduard"},{"family":"Nomen","given":"Rosa"},{"family":"Sempere","given":"Julià"}],"issued":{"date-parts":[["2018",11,1]]}}}],"schema":"https://github.com/citation-style-language/schema/raw/master/csl-citation.json"} </w:instrText>
      </w:r>
      <w:r w:rsidR="0009226D">
        <w:rPr>
          <w:lang w:val="en-GB"/>
        </w:rPr>
        <w:fldChar w:fldCharType="separate"/>
      </w:r>
      <w:r w:rsidR="0009226D" w:rsidRPr="00620D5A">
        <w:rPr>
          <w:rFonts w:cs="Arial"/>
        </w:rPr>
        <w:t>(Ferrer et al., 2018)</w:t>
      </w:r>
      <w:r w:rsidR="0009226D">
        <w:rPr>
          <w:lang w:val="en-GB"/>
        </w:rPr>
        <w:fldChar w:fldCharType="end"/>
      </w:r>
      <w:r w:rsidR="001C4250">
        <w:rPr>
          <w:lang w:val="en-GB"/>
        </w:rPr>
        <w:t>:</w:t>
      </w:r>
    </w:p>
    <w:p w14:paraId="13FA5731" w14:textId="36B3680F" w:rsidR="00662B84" w:rsidRDefault="00821BF9" w:rsidP="00F62B99">
      <w:pPr>
        <w:pStyle w:val="CETBodytext"/>
        <w:rPr>
          <w:lang w:val="en-GB"/>
        </w:rPr>
      </w:pPr>
      <m:oMath>
        <m:r>
          <w:rPr>
            <w:rFonts w:ascii="Cambria Math" w:hAnsi="Cambria Math"/>
            <w:lang w:val="en-GB"/>
          </w:rPr>
          <m:t>r=1.97∙</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8</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e</m:t>
            </m:r>
          </m:e>
          <m:sup>
            <m:d>
              <m:dPr>
                <m:ctrlPr>
                  <w:rPr>
                    <w:rFonts w:ascii="Cambria Math" w:hAnsi="Cambria Math"/>
                    <w:i/>
                    <w:lang w:val="en-GB"/>
                  </w:rPr>
                </m:ctrlPr>
              </m:dPr>
              <m:e>
                <m:r>
                  <w:rPr>
                    <w:rFonts w:ascii="Cambria Math" w:hAnsi="Cambria Math"/>
                    <w:lang w:val="en-GB"/>
                  </w:rPr>
                  <m:t>-</m:t>
                </m:r>
                <m:f>
                  <m:fPr>
                    <m:ctrlPr>
                      <w:rPr>
                        <w:rFonts w:ascii="Cambria Math" w:hAnsi="Cambria Math"/>
                        <w:i/>
                        <w:lang w:val="en-GB"/>
                      </w:rPr>
                    </m:ctrlPr>
                  </m:fPr>
                  <m:num>
                    <m:r>
                      <w:rPr>
                        <w:rFonts w:ascii="Cambria Math" w:hAnsi="Cambria Math"/>
                        <w:lang w:val="en-GB"/>
                      </w:rPr>
                      <m:t>1.09∙</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4</m:t>
                        </m:r>
                      </m:sup>
                    </m:sSup>
                  </m:num>
                  <m:den>
                    <m:r>
                      <w:rPr>
                        <w:rFonts w:ascii="Cambria Math" w:hAnsi="Cambria Math"/>
                        <w:lang w:val="en-GB"/>
                      </w:rPr>
                      <m:t>T</m:t>
                    </m:r>
                  </m:den>
                </m:f>
              </m:e>
            </m:d>
          </m:sup>
        </m:sSup>
        <m:r>
          <w:rPr>
            <w:rFonts w:ascii="Cambria Math" w:hAnsi="Cambria Math"/>
            <w:lang w:val="en-GB"/>
          </w:rPr>
          <m:t>∙</m:t>
        </m:r>
        <m:d>
          <m:dPr>
            <m:begChr m:val="["/>
            <m:endChr m:val="]"/>
            <m:ctrlPr>
              <w:rPr>
                <w:rFonts w:ascii="Cambria Math" w:hAnsi="Cambria Math"/>
                <w:i/>
                <w:lang w:val="en-GB"/>
              </w:rPr>
            </m:ctrlPr>
          </m:dPr>
          <m:e>
            <m:sSup>
              <m:sSupPr>
                <m:ctrlPr>
                  <w:rPr>
                    <w:rFonts w:ascii="Cambria Math" w:hAnsi="Cambria Math"/>
                    <w:i/>
                    <w:lang w:val="en-GB"/>
                  </w:rPr>
                </m:ctrlPr>
              </m:sSupPr>
              <m:e>
                <m:d>
                  <m:dPr>
                    <m:ctrlPr>
                      <w:rPr>
                        <w:rFonts w:ascii="Cambria Math" w:hAnsi="Cambria Math"/>
                        <w:i/>
                        <w:lang w:val="en-GB"/>
                      </w:rPr>
                    </m:ctrlPr>
                  </m:dPr>
                  <m:e>
                    <m:r>
                      <w:rPr>
                        <w:rFonts w:ascii="Cambria Math" w:hAnsi="Cambria Math"/>
                        <w:lang w:val="en-GB"/>
                      </w:rPr>
                      <m:t>1-x</m:t>
                    </m:r>
                  </m:e>
                </m:d>
              </m:e>
              <m:sup>
                <m:r>
                  <w:rPr>
                    <w:rFonts w:ascii="Cambria Math" w:hAnsi="Cambria Math"/>
                    <w:lang w:val="en-GB"/>
                  </w:rPr>
                  <m:t>0.853</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x</m:t>
                </m:r>
              </m:e>
              <m:sup>
                <m:r>
                  <w:rPr>
                    <w:rFonts w:ascii="Cambria Math" w:hAnsi="Cambria Math"/>
                    <w:lang w:val="en-GB"/>
                  </w:rPr>
                  <m:t>1.405</m:t>
                </m:r>
              </m:sup>
            </m:sSup>
            <m:r>
              <w:rPr>
                <w:rFonts w:ascii="Cambria Math" w:hAnsi="Cambria Math"/>
                <w:lang w:val="en-GB"/>
              </w:rPr>
              <m:t>+0.228∙</m:t>
            </m:r>
            <m:d>
              <m:dPr>
                <m:ctrlPr>
                  <w:rPr>
                    <w:rFonts w:ascii="Cambria Math" w:hAnsi="Cambria Math"/>
                    <w:i/>
                    <w:lang w:val="en-GB"/>
                  </w:rPr>
                </m:ctrlPr>
              </m:dPr>
              <m:e>
                <m:r>
                  <w:rPr>
                    <w:rFonts w:ascii="Cambria Math" w:hAnsi="Cambria Math"/>
                    <w:lang w:val="en-GB"/>
                  </w:rPr>
                  <m:t>1-x</m:t>
                </m:r>
              </m:e>
            </m:d>
          </m:e>
        </m:d>
        <m:r>
          <w:rPr>
            <w:rFonts w:ascii="Cambria Math" w:hAnsi="Cambria Math"/>
            <w:lang w:val="en-GB"/>
          </w:rPr>
          <m:t xml:space="preserve">   </m:t>
        </m:r>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kmol</m:t>
                </m:r>
              </m:num>
              <m:den>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r>
                  <w:rPr>
                    <w:rFonts w:ascii="Cambria Math" w:hAnsi="Cambria Math"/>
                    <w:lang w:val="en-GB"/>
                  </w:rPr>
                  <m:t>s</m:t>
                </m:r>
              </m:den>
            </m:f>
          </m:e>
        </m:d>
      </m:oMath>
      <w:r w:rsidR="005D0B6B">
        <w:rPr>
          <w:lang w:val="en-GB"/>
        </w:rPr>
        <w:tab/>
      </w:r>
      <m:oMath>
        <m:r>
          <w:rPr>
            <w:rFonts w:ascii="Cambria Math" w:hAnsi="Cambria Math"/>
            <w:lang w:val="en-GB"/>
          </w:rPr>
          <m:t>x=</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IN</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IN</m:t>
                </m:r>
              </m:sub>
            </m:sSub>
          </m:den>
        </m:f>
      </m:oMath>
      <w:r w:rsidR="0009226D">
        <w:rPr>
          <w:lang w:val="en-GB"/>
        </w:rPr>
        <w:tab/>
      </w:r>
      <w:r w:rsidR="0009226D">
        <w:rPr>
          <w:lang w:val="en-GB"/>
        </w:rPr>
        <w:tab/>
        <w:t>(2)</w:t>
      </w:r>
    </w:p>
    <w:p w14:paraId="702F239E" w14:textId="09397905" w:rsidR="004A4B94" w:rsidRDefault="00956DBC" w:rsidP="0009226D">
      <w:pPr>
        <w:pStyle w:val="CETBodytext"/>
        <w:spacing w:before="240"/>
        <w:rPr>
          <w:lang w:val="en-GB"/>
        </w:rPr>
      </w:pPr>
      <w:r>
        <w:rPr>
          <w:lang w:val="en-GB"/>
        </w:rPr>
        <w:t xml:space="preserve">On the contrary, </w:t>
      </w:r>
      <w:r w:rsidR="00556927">
        <w:rPr>
          <w:lang w:val="en-GB"/>
        </w:rPr>
        <w:t xml:space="preserve">equations for the 2-D model are reported in Eq. (3) and based on the following hypotheses: </w:t>
      </w:r>
      <w:r w:rsidR="00117241" w:rsidRPr="008D7517">
        <w:rPr>
          <w:lang w:val="en-GB"/>
        </w:rPr>
        <w:t>1</w:t>
      </w:r>
      <w:r w:rsidR="00117241">
        <w:rPr>
          <w:lang w:val="en-GB"/>
        </w:rPr>
        <w:t>)</w:t>
      </w:r>
      <w:r w:rsidR="00117241" w:rsidRPr="008D7517">
        <w:rPr>
          <w:lang w:val="en-GB"/>
        </w:rPr>
        <w:t xml:space="preserve"> radial changes in </w:t>
      </w:r>
      <w:r w:rsidR="00224ADD">
        <w:rPr>
          <w:lang w:val="en-GB"/>
        </w:rPr>
        <w:t xml:space="preserve">reactant </w:t>
      </w:r>
      <w:r w:rsidR="00117241" w:rsidRPr="008D7517">
        <w:rPr>
          <w:lang w:val="en-GB"/>
        </w:rPr>
        <w:t>concentration</w:t>
      </w:r>
      <w:r w:rsidR="00117241">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oMath>
      <w:r w:rsidR="00117241">
        <w:rPr>
          <w:lang w:val="en-GB"/>
        </w:rPr>
        <w:t>)</w:t>
      </w:r>
      <w:r w:rsidR="00327334">
        <w:rPr>
          <w:lang w:val="en-GB"/>
        </w:rPr>
        <w:t xml:space="preserve">, </w:t>
      </w:r>
      <w:r w:rsidR="00117241" w:rsidRPr="008D7517">
        <w:rPr>
          <w:lang w:val="en-GB"/>
        </w:rPr>
        <w:t xml:space="preserve">temperatures </w:t>
      </w:r>
      <w:r w:rsidR="00117241">
        <w:rPr>
          <w:lang w:val="en-GB"/>
        </w:rPr>
        <w:t>(</w:t>
      </w:r>
      <m:oMath>
        <m:r>
          <w:rPr>
            <w:rFonts w:ascii="Cambria Math" w:hAnsi="Cambria Math"/>
            <w:lang w:val="en-GB"/>
          </w:rPr>
          <m:t>T</m:t>
        </m:r>
      </m:oMath>
      <w:r w:rsidR="00117241">
        <w:rPr>
          <w:lang w:val="en-GB"/>
        </w:rPr>
        <w:t>)</w:t>
      </w:r>
      <w:r w:rsidR="00327334">
        <w:rPr>
          <w:lang w:val="en-GB"/>
        </w:rPr>
        <w:t xml:space="preserve"> and axial velocity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z</m:t>
            </m:r>
          </m:sub>
        </m:sSub>
      </m:oMath>
      <w:r w:rsidR="00327334">
        <w:rPr>
          <w:lang w:val="en-GB"/>
        </w:rPr>
        <w:t>)</w:t>
      </w:r>
      <w:r w:rsidR="0005274F">
        <w:rPr>
          <w:lang w:val="en-GB"/>
        </w:rPr>
        <w:t xml:space="preserve"> due to the presence of both radial material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i</m:t>
            </m:r>
          </m:sub>
        </m:sSub>
      </m:oMath>
      <w:r w:rsidR="0005274F">
        <w:rPr>
          <w:lang w:val="en-GB"/>
        </w:rPr>
        <w:t xml:space="preserve">) and thermal </w:t>
      </w:r>
      <w:r w:rsidR="00C948FE">
        <w:rPr>
          <w:lang w:val="en-GB"/>
        </w:rPr>
        <w:t>(</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mix</m:t>
            </m:r>
          </m:sub>
        </m:sSub>
      </m:oMath>
      <w:r w:rsidR="00C948FE">
        <w:rPr>
          <w:lang w:val="en-GB"/>
        </w:rPr>
        <w:t xml:space="preserve">) </w:t>
      </w:r>
      <w:r w:rsidR="0005274F">
        <w:rPr>
          <w:lang w:val="en-GB"/>
        </w:rPr>
        <w:t>diffusivity</w:t>
      </w:r>
      <w:r w:rsidR="00117241" w:rsidRPr="008D7517">
        <w:rPr>
          <w:lang w:val="en-GB"/>
        </w:rPr>
        <w:t>;</w:t>
      </w:r>
      <w:r w:rsidR="00117241">
        <w:rPr>
          <w:lang w:val="en-GB"/>
        </w:rPr>
        <w:t xml:space="preserve"> </w:t>
      </w:r>
      <w:r w:rsidR="00117241" w:rsidRPr="008D7517">
        <w:rPr>
          <w:lang w:val="en-GB"/>
        </w:rPr>
        <w:t>2</w:t>
      </w:r>
      <w:r w:rsidR="00117241">
        <w:rPr>
          <w:lang w:val="en-GB"/>
        </w:rPr>
        <w:t>)</w:t>
      </w:r>
      <w:r w:rsidR="00117241" w:rsidRPr="008D7517">
        <w:rPr>
          <w:lang w:val="en-GB"/>
        </w:rPr>
        <w:t xml:space="preserve"> </w:t>
      </w:r>
      <w:r w:rsidR="00117241">
        <w:rPr>
          <w:lang w:val="en-GB"/>
        </w:rPr>
        <w:t>n</w:t>
      </w:r>
      <w:r w:rsidR="00117241" w:rsidRPr="008D7517">
        <w:rPr>
          <w:lang w:val="en-GB"/>
        </w:rPr>
        <w:t>o mixing in the axial direction</w:t>
      </w:r>
      <w:r w:rsidR="00117241">
        <w:rPr>
          <w:lang w:val="en-GB"/>
        </w:rPr>
        <w:t xml:space="preserve"> (</w:t>
      </w:r>
      <m:oMath>
        <m:r>
          <w:rPr>
            <w:rFonts w:ascii="Cambria Math" w:hAnsi="Cambria Math"/>
            <w:lang w:val="en-GB"/>
          </w:rPr>
          <m:t>z</m:t>
        </m:r>
      </m:oMath>
      <w:r w:rsidR="00117241">
        <w:rPr>
          <w:lang w:val="en-GB"/>
        </w:rPr>
        <w:t>)</w:t>
      </w:r>
      <w:r w:rsidR="00117241" w:rsidRPr="008D7517">
        <w:rPr>
          <w:lang w:val="en-GB"/>
        </w:rPr>
        <w:t>;</w:t>
      </w:r>
      <w:r w:rsidR="00117241">
        <w:rPr>
          <w:lang w:val="en-GB"/>
        </w:rPr>
        <w:t xml:space="preserve"> 3)</w:t>
      </w:r>
      <w:r w:rsidR="00117241" w:rsidRPr="008D7517">
        <w:rPr>
          <w:lang w:val="en-GB"/>
        </w:rPr>
        <w:t xml:space="preserve"> </w:t>
      </w:r>
      <w:r w:rsidR="00117241">
        <w:rPr>
          <w:lang w:val="en-GB"/>
        </w:rPr>
        <w:t>constant inlet velocity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0</m:t>
            </m:r>
          </m:sub>
        </m:sSub>
      </m:oMath>
      <w:r w:rsidR="00117241">
        <w:rPr>
          <w:lang w:val="en-GB"/>
        </w:rPr>
        <w:t>)</w:t>
      </w:r>
      <w:r w:rsidR="00117241" w:rsidRPr="008D7517">
        <w:rPr>
          <w:lang w:val="en-GB"/>
        </w:rPr>
        <w:t>;</w:t>
      </w:r>
      <w:r w:rsidR="00117241">
        <w:rPr>
          <w:lang w:val="en-GB"/>
        </w:rPr>
        <w:t xml:space="preserve"> 4)</w:t>
      </w:r>
      <w:r w:rsidR="00117241" w:rsidRPr="008D7517">
        <w:rPr>
          <w:lang w:val="en-GB"/>
        </w:rPr>
        <w:t xml:space="preserve"> </w:t>
      </w:r>
      <w:r w:rsidR="00117241">
        <w:rPr>
          <w:lang w:val="en-GB"/>
        </w:rPr>
        <w:t>s</w:t>
      </w:r>
      <w:r w:rsidR="00117241" w:rsidRPr="008D7517">
        <w:rPr>
          <w:lang w:val="en-GB"/>
        </w:rPr>
        <w:t>teady-state operation</w:t>
      </w:r>
      <w:r w:rsidR="00117241">
        <w:rPr>
          <w:lang w:val="en-GB"/>
        </w:rPr>
        <w:t xml:space="preserve"> (</w:t>
      </w:r>
      <m:oMath>
        <m:r>
          <w:rPr>
            <w:rFonts w:ascii="Cambria Math" w:hAnsi="Cambria Math"/>
            <w:lang w:val="en-GB"/>
          </w:rPr>
          <m:t>d/dt=0</m:t>
        </m:r>
      </m:oMath>
      <w:r w:rsidR="00117241">
        <w:rPr>
          <w:lang w:val="en-GB"/>
        </w:rPr>
        <w:t>)</w:t>
      </w:r>
      <w:r w:rsidR="00117241" w:rsidRPr="008D7517">
        <w:rPr>
          <w:lang w:val="en-GB"/>
        </w:rPr>
        <w:t>;</w:t>
      </w:r>
      <w:r w:rsidR="00117241">
        <w:rPr>
          <w:lang w:val="en-GB"/>
        </w:rPr>
        <w:t xml:space="preserve"> 5)</w:t>
      </w:r>
      <w:r w:rsidR="00117241" w:rsidRPr="008D7517">
        <w:rPr>
          <w:lang w:val="en-GB"/>
        </w:rPr>
        <w:t xml:space="preserve"> </w:t>
      </w:r>
      <w:r w:rsidR="00117241">
        <w:rPr>
          <w:lang w:val="en-GB"/>
        </w:rPr>
        <w:t>constant r</w:t>
      </w:r>
      <w:r w:rsidR="00117241" w:rsidRPr="008D7517">
        <w:rPr>
          <w:lang w:val="en-GB"/>
        </w:rPr>
        <w:t>ea</w:t>
      </w:r>
      <w:r w:rsidR="00117241">
        <w:rPr>
          <w:lang w:val="en-GB"/>
        </w:rPr>
        <w:t>cting</w:t>
      </w:r>
      <w:r w:rsidR="00117241" w:rsidRPr="008D7517">
        <w:rPr>
          <w:lang w:val="en-GB"/>
        </w:rPr>
        <w:t xml:space="preserve"> mixture density </w:t>
      </w:r>
      <w:r w:rsidR="00117241">
        <w:rPr>
          <w:lang w:val="en-GB"/>
        </w:rPr>
        <w:t>(</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mix</m:t>
            </m:r>
          </m:sub>
        </m:sSub>
      </m:oMath>
      <w:r w:rsidR="00117241">
        <w:rPr>
          <w:lang w:val="en-GB"/>
        </w:rPr>
        <w:t xml:space="preserve">) </w:t>
      </w:r>
      <w:r w:rsidR="00117241" w:rsidRPr="008D7517">
        <w:rPr>
          <w:lang w:val="en-GB"/>
        </w:rPr>
        <w:t>and specific heat</w:t>
      </w:r>
      <w:r w:rsidR="00117241">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p,mix</m:t>
            </m:r>
          </m:sub>
        </m:sSub>
      </m:oMath>
      <w:r w:rsidR="00117241">
        <w:rPr>
          <w:lang w:val="en-GB"/>
        </w:rPr>
        <w:t>); 6)</w:t>
      </w:r>
      <w:r w:rsidR="00117241" w:rsidRPr="008D7517">
        <w:rPr>
          <w:lang w:val="en-GB"/>
        </w:rPr>
        <w:t xml:space="preserve"> </w:t>
      </w:r>
      <w:r w:rsidR="00117241">
        <w:rPr>
          <w:lang w:val="en-GB"/>
        </w:rPr>
        <w:t xml:space="preserve">presence of an external static </w:t>
      </w:r>
      <w:r w:rsidR="00117241" w:rsidRPr="008D7517">
        <w:rPr>
          <w:lang w:val="en-GB"/>
        </w:rPr>
        <w:t>cooling system</w:t>
      </w:r>
      <w:r w:rsidR="00117241">
        <w:rPr>
          <w:lang w:val="en-GB"/>
        </w:rPr>
        <w:t xml:space="preserve"> at constant temperature (this means, c</w:t>
      </w:r>
      <w:r w:rsidR="00117241" w:rsidRPr="008D7517">
        <w:rPr>
          <w:lang w:val="en-GB"/>
        </w:rPr>
        <w:t xml:space="preserve">onstant </w:t>
      </w:r>
      <w:r w:rsidR="00117241">
        <w:rPr>
          <w:lang w:val="en-GB"/>
        </w:rPr>
        <w:t xml:space="preserve">reactor </w:t>
      </w:r>
      <w:r w:rsidR="00117241" w:rsidRPr="008D7517">
        <w:rPr>
          <w:lang w:val="en-GB"/>
        </w:rPr>
        <w:t>wall temperature</w:t>
      </w:r>
      <w:r w:rsidR="00117241">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w</m:t>
            </m:r>
          </m:sub>
        </m:sSub>
      </m:oMath>
      <w:r w:rsidR="00117241">
        <w:rPr>
          <w:lang w:val="en-GB"/>
        </w:rPr>
        <w:t>)</w:t>
      </w:r>
      <w:r w:rsidR="00117241" w:rsidRPr="008D7517">
        <w:rPr>
          <w:lang w:val="en-GB"/>
        </w:rPr>
        <w:t>.</w:t>
      </w:r>
    </w:p>
    <w:p w14:paraId="21560B8D" w14:textId="1C28A03A" w:rsidR="009052D3" w:rsidRDefault="00000000" w:rsidP="00AF46A3">
      <w:pPr>
        <w:pStyle w:val="CETBodytext"/>
        <w:spacing w:before="240"/>
        <w:jc w:val="left"/>
        <w:rPr>
          <w:lang w:val="en-GB"/>
        </w:rPr>
      </w:pPr>
      <m:oMath>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z</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∂z</m:t>
                  </m:r>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i</m:t>
                      </m:r>
                    </m:sub>
                  </m:sSub>
                </m:num>
                <m:den>
                  <m:r>
                    <w:rPr>
                      <w:rFonts w:ascii="Cambria Math" w:hAnsi="Cambria Math"/>
                      <w:lang w:val="en-GB"/>
                    </w:rPr>
                    <m:t>r</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∂r</m:t>
                  </m:r>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i</m:t>
                  </m:r>
                </m:sub>
              </m:sSub>
              <m:r>
                <w:rPr>
                  <w:rFonts w:ascii="Cambria Math" w:hAnsi="Cambria Math"/>
                  <w:lang w:val="en-GB"/>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m:t>
                      </m:r>
                    </m:e>
                    <m:sup>
                      <m:r>
                        <w:rPr>
                          <w:rFonts w:ascii="Cambria Math" w:hAnsi="Cambria Math"/>
                          <w:lang w:val="en-GB"/>
                        </w:rPr>
                        <m:t>2</m:t>
                      </m:r>
                    </m:sup>
                  </m:sSup>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2</m:t>
                      </m:r>
                    </m:sup>
                  </m:sSup>
                </m:den>
              </m:f>
              <m:r>
                <w:rPr>
                  <w:rFonts w:ascii="Cambria Math" w:hAnsi="Cambria Math"/>
                  <w:lang w:val="en-GB"/>
                </w:rPr>
                <m:t>-</m:t>
              </m:r>
              <m:r>
                <w:rPr>
                  <w:rFonts w:ascii="Cambria Math" w:hAnsi="Cambria Math"/>
                  <w:lang w:val="en-GB"/>
                </w:rPr>
                <m:t>r</m:t>
              </m:r>
            </m:e>
          </m:mr>
          <m:m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z</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∂T</m:t>
                  </m:r>
                </m:num>
                <m:den>
                  <m:r>
                    <w:rPr>
                      <w:rFonts w:ascii="Cambria Math" w:hAnsi="Cambria Math"/>
                      <w:lang w:val="en-GB"/>
                    </w:rPr>
                    <m:t>∂z</m:t>
                  </m:r>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mix</m:t>
                      </m:r>
                    </m:sub>
                  </m:sSub>
                </m:num>
                <m:den>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mix</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m:t>
                      </m:r>
                      <m:r>
                        <w:rPr>
                          <w:rFonts w:ascii="Cambria Math" w:hAnsi="Cambria Math"/>
                          <w:lang w:val="en-GB"/>
                        </w:rPr>
                        <m:t>,</m:t>
                      </m:r>
                      <m:r>
                        <w:rPr>
                          <w:rFonts w:ascii="Cambria Math" w:hAnsi="Cambria Math"/>
                          <w:lang w:val="en-GB"/>
                        </w:rPr>
                        <m:t>mix</m:t>
                      </m:r>
                    </m:sub>
                  </m:sSub>
                </m:den>
              </m:f>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m:t>
                      </m:r>
                    </m:num>
                    <m:den>
                      <m:r>
                        <w:rPr>
                          <w:rFonts w:ascii="Cambria Math" w:hAnsi="Cambria Math"/>
                          <w:lang w:val="en-GB"/>
                        </w:rPr>
                        <m:t>r</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∂T</m:t>
                      </m:r>
                    </m:num>
                    <m:den>
                      <m:r>
                        <w:rPr>
                          <w:rFonts w:ascii="Cambria Math" w:hAnsi="Cambria Math"/>
                          <w:lang w:val="en-GB"/>
                        </w:rPr>
                        <m:t>∂r</m:t>
                      </m:r>
                    </m:den>
                  </m:f>
                  <m:r>
                    <w:rPr>
                      <w:rFonts w:ascii="Cambria Math" w:hAnsi="Cambria Math"/>
                      <w:lang w:val="en-GB"/>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m:t>
                          </m:r>
                        </m:e>
                        <m:sup>
                          <m:r>
                            <w:rPr>
                              <w:rFonts w:ascii="Cambria Math" w:hAnsi="Cambria Math"/>
                              <w:lang w:val="en-GB"/>
                            </w:rPr>
                            <m:t>2</m:t>
                          </m:r>
                        </m:sup>
                      </m:sSup>
                      <m:r>
                        <w:rPr>
                          <w:rFonts w:ascii="Cambria Math" w:hAnsi="Cambria Math"/>
                          <w:lang w:val="en-GB"/>
                        </w:rPr>
                        <m:t>T</m:t>
                      </m:r>
                    </m:num>
                    <m:den>
                      <m:r>
                        <w:rPr>
                          <w:rFonts w:ascii="Cambria Math" w:hAnsi="Cambria Math"/>
                          <w:lang w:val="en-GB"/>
                        </w:rPr>
                        <m:t>∂</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2</m:t>
                          </m:r>
                        </m:sup>
                      </m:sSup>
                    </m:den>
                  </m:f>
                </m:e>
              </m:d>
              <m:r>
                <w:rPr>
                  <w:rFonts w:ascii="Cambria Math" w:hAnsi="Cambria Math"/>
                  <w:lang w:val="en-GB"/>
                </w:rPr>
                <m:t>-</m:t>
              </m:r>
              <m:f>
                <m:fPr>
                  <m:ctrlPr>
                    <w:rPr>
                      <w:rFonts w:ascii="Cambria Math" w:hAnsi="Cambria Math"/>
                      <w:i/>
                      <w:lang w:val="en-GB"/>
                    </w:rPr>
                  </m:ctrlPr>
                </m:fPr>
                <m:num>
                  <m:r>
                    <w:rPr>
                      <w:rFonts w:ascii="Cambria Math" w:hAnsi="Cambria Math"/>
                      <w:lang w:val="en-GB"/>
                    </w:rPr>
                    <m:t>∆</m:t>
                  </m:r>
                  <m:r>
                    <w:rPr>
                      <w:rFonts w:ascii="Cambria Math" w:hAnsi="Cambria Math"/>
                      <w:lang w:val="en-GB"/>
                    </w:rPr>
                    <m:t>H</m:t>
                  </m:r>
                </m:num>
                <m:den>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mix</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m:t>
                      </m:r>
                      <m:r>
                        <w:rPr>
                          <w:rFonts w:ascii="Cambria Math" w:hAnsi="Cambria Math"/>
                          <w:lang w:val="en-GB"/>
                        </w:rPr>
                        <m:t>,</m:t>
                      </m:r>
                      <m:r>
                        <w:rPr>
                          <w:rFonts w:ascii="Cambria Math" w:hAnsi="Cambria Math"/>
                          <w:lang w:val="en-GB"/>
                        </w:rPr>
                        <m:t>mix</m:t>
                      </m:r>
                    </m:sub>
                  </m:sSub>
                </m:den>
              </m:f>
              <m:r>
                <w:rPr>
                  <w:rFonts w:ascii="Cambria Math" w:hAnsi="Cambria Math"/>
                  <w:lang w:val="en-GB"/>
                </w:rPr>
                <m:t>∙</m:t>
              </m:r>
              <m:r>
                <w:rPr>
                  <w:rFonts w:ascii="Cambria Math" w:hAnsi="Cambria Math"/>
                  <w:lang w:val="en-GB"/>
                </w:rPr>
                <m:t>r</m:t>
              </m:r>
            </m:e>
          </m:mr>
          <m:mr>
            <m:e>
              <m:r>
                <w:rPr>
                  <w:rFonts w:ascii="Cambria Math" w:hAnsi="Cambria Math"/>
                  <w:lang w:val="en-GB"/>
                </w:rPr>
                <m:t>IC</m:t>
              </m:r>
              <m:r>
                <w:rPr>
                  <w:rFonts w:ascii="Cambria Math" w:hAnsi="Cambria Math"/>
                  <w:lang w:val="en-GB"/>
                </w:rPr>
                <m:t xml:space="preserve"> &amp; </m:t>
              </m:r>
              <m:r>
                <w:rPr>
                  <w:rFonts w:ascii="Cambria Math" w:hAnsi="Cambria Math"/>
                  <w:lang w:val="en-GB"/>
                </w:rPr>
                <m:t>BC</m:t>
              </m:r>
              <m:r>
                <w:rPr>
                  <w:rFonts w:ascii="Cambria Math" w:hAnsi="Cambria Math"/>
                  <w:lang w:val="en-GB"/>
                </w:rPr>
                <m:t xml:space="preserve">:  </m:t>
              </m:r>
              <m:d>
                <m:dPr>
                  <m:begChr m:val="{"/>
                  <m:endChr m:val=""/>
                  <m:ctrlPr>
                    <w:rPr>
                      <w:rFonts w:ascii="Cambria Math" w:hAnsi="Cambria Math"/>
                      <w:i/>
                      <w:lang w:val="en-GB"/>
                    </w:rPr>
                  </m:ctrlPr>
                </m:dPr>
                <m:e>
                  <m:eqArr>
                    <m:eqArrPr>
                      <m:ctrlPr>
                        <w:rPr>
                          <w:rFonts w:ascii="Cambria Math" w:hAnsi="Cambria Math"/>
                          <w:i/>
                          <w:lang w:val="en-GB"/>
                        </w:rPr>
                      </m:ctrlPr>
                    </m:eqArrPr>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d>
                        <m:dPr>
                          <m:ctrlPr>
                            <w:rPr>
                              <w:rFonts w:ascii="Cambria Math" w:hAnsi="Cambria Math"/>
                              <w:i/>
                              <w:lang w:val="en-GB"/>
                            </w:rPr>
                          </m:ctrlPr>
                        </m:dPr>
                        <m:e>
                          <m:r>
                            <w:rPr>
                              <w:rFonts w:ascii="Cambria Math" w:hAnsi="Cambria Math"/>
                              <w:lang w:val="en-GB"/>
                            </w:rPr>
                            <m:t>t</m:t>
                          </m:r>
                          <m:r>
                            <w:rPr>
                              <w:rFonts w:ascii="Cambria Math" w:hAnsi="Cambria Math"/>
                              <w:lang w:val="en-GB"/>
                            </w:rPr>
                            <m:t>=0</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IN</m:t>
                          </m:r>
                        </m:sub>
                      </m:sSub>
                      <m:r>
                        <w:rPr>
                          <w:rFonts w:ascii="Cambria Math" w:hAnsi="Cambria Math"/>
                          <w:lang w:val="en-GB"/>
                        </w:rPr>
                        <m:t xml:space="preserve">;     </m:t>
                      </m:r>
                      <m:r>
                        <w:rPr>
                          <w:rFonts w:ascii="Cambria Math" w:hAnsi="Cambria Math"/>
                          <w:lang w:val="en-GB"/>
                        </w:rPr>
                        <m:t>T</m:t>
                      </m:r>
                      <m:d>
                        <m:dPr>
                          <m:ctrlPr>
                            <w:rPr>
                              <w:rFonts w:ascii="Cambria Math" w:hAnsi="Cambria Math"/>
                              <w:i/>
                              <w:lang w:val="en-GB"/>
                            </w:rPr>
                          </m:ctrlPr>
                        </m:dPr>
                        <m:e>
                          <m:r>
                            <w:rPr>
                              <w:rFonts w:ascii="Cambria Math" w:hAnsi="Cambria Math"/>
                              <w:lang w:val="en-GB"/>
                            </w:rPr>
                            <m:t>t</m:t>
                          </m:r>
                          <m:r>
                            <w:rPr>
                              <w:rFonts w:ascii="Cambria Math" w:hAnsi="Cambria Math"/>
                              <w:lang w:val="en-GB"/>
                            </w:rPr>
                            <m:t>=0</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IN</m:t>
                          </m:r>
                        </m:sub>
                      </m:sSub>
                    </m:e>
                    <m:e>
                      <m:sSub>
                        <m:sSubPr>
                          <m:ctrlPr>
                            <w:rPr>
                              <w:rFonts w:ascii="Cambria Math" w:hAnsi="Cambria Math"/>
                              <w:i/>
                              <w:lang w:val="en-GB"/>
                            </w:rPr>
                          </m:ctrlPr>
                        </m:sSubPr>
                        <m:e>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∂r</m:t>
                                  </m:r>
                                </m:den>
                              </m:f>
                            </m:e>
                          </m:d>
                        </m:e>
                        <m:sub>
                          <m:r>
                            <w:rPr>
                              <w:rFonts w:ascii="Cambria Math" w:hAnsi="Cambria Math"/>
                              <w:lang w:val="en-GB"/>
                            </w:rPr>
                            <m:t>r</m:t>
                          </m:r>
                          <m:r>
                            <w:rPr>
                              <w:rFonts w:ascii="Cambria Math" w:hAnsi="Cambria Math"/>
                              <w:lang w:val="en-GB"/>
                            </w:rPr>
                            <m:t>=0</m:t>
                          </m:r>
                        </m:sub>
                      </m:sSub>
                      <m:r>
                        <w:rPr>
                          <w:rFonts w:ascii="Cambria Math" w:hAnsi="Cambria Math"/>
                          <w:lang w:val="en-GB"/>
                        </w:rPr>
                        <m:t xml:space="preserve">=0;   </m:t>
                      </m:r>
                      <m:sSub>
                        <m:sSubPr>
                          <m:ctrlPr>
                            <w:rPr>
                              <w:rFonts w:ascii="Cambria Math" w:hAnsi="Cambria Math"/>
                              <w:i/>
                              <w:lang w:val="en-GB"/>
                            </w:rPr>
                          </m:ctrlPr>
                        </m:sSubPr>
                        <m:e>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r>
                                    <w:rPr>
                                      <w:rFonts w:ascii="Cambria Math" w:hAnsi="Cambria Math"/>
                                      <w:lang w:val="en-GB"/>
                                    </w:rPr>
                                    <m:t>T</m:t>
                                  </m:r>
                                </m:num>
                                <m:den>
                                  <m:r>
                                    <w:rPr>
                                      <w:rFonts w:ascii="Cambria Math" w:hAnsi="Cambria Math"/>
                                      <w:lang w:val="en-GB"/>
                                    </w:rPr>
                                    <m:t>∂r</m:t>
                                  </m:r>
                                </m:den>
                              </m:f>
                            </m:e>
                          </m:d>
                        </m:e>
                        <m:sub>
                          <m:r>
                            <w:rPr>
                              <w:rFonts w:ascii="Cambria Math" w:hAnsi="Cambria Math"/>
                              <w:lang w:val="en-GB"/>
                            </w:rPr>
                            <m:t>r</m:t>
                          </m:r>
                          <m:r>
                            <w:rPr>
                              <w:rFonts w:ascii="Cambria Math" w:hAnsi="Cambria Math"/>
                              <w:lang w:val="en-GB"/>
                            </w:rPr>
                            <m:t>=0</m:t>
                          </m:r>
                        </m:sub>
                      </m:sSub>
                      <m:r>
                        <w:rPr>
                          <w:rFonts w:ascii="Cambria Math" w:hAnsi="Cambria Math"/>
                          <w:lang w:val="en-GB"/>
                        </w:rPr>
                        <m:t xml:space="preserve">=0 </m:t>
                      </m:r>
                    </m:e>
                    <m:e>
                      <m:sSub>
                        <m:sSubPr>
                          <m:ctrlPr>
                            <w:rPr>
                              <w:rFonts w:ascii="Cambria Math" w:hAnsi="Cambria Math"/>
                              <w:i/>
                              <w:lang w:val="en-GB"/>
                            </w:rPr>
                          </m:ctrlPr>
                        </m:sSubPr>
                        <m:e>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∂r</m:t>
                                  </m:r>
                                </m:den>
                              </m:f>
                            </m:e>
                          </m:d>
                        </m:e>
                        <m:sub>
                          <m:r>
                            <w:rPr>
                              <w:rFonts w:ascii="Cambria Math" w:hAnsi="Cambria Math"/>
                              <w:lang w:val="en-GB"/>
                            </w:rPr>
                            <m:t>r</m:t>
                          </m:r>
                          <m:r>
                            <w:rPr>
                              <w:rFonts w:ascii="Cambria Math" w:hAnsi="Cambria Math"/>
                              <w:lang w:val="en-GB"/>
                            </w:rPr>
                            <m:t>=</m:t>
                          </m:r>
                          <m:r>
                            <w:rPr>
                              <w:rFonts w:ascii="Cambria Math" w:hAnsi="Cambria Math"/>
                              <w:lang w:val="en-GB"/>
                            </w:rPr>
                            <m:t>R</m:t>
                          </m:r>
                        </m:sub>
                      </m:sSub>
                      <m:r>
                        <w:rPr>
                          <w:rFonts w:ascii="Cambria Math" w:hAnsi="Cambria Math"/>
                          <w:lang w:val="en-GB"/>
                        </w:rPr>
                        <m:t xml:space="preserve">=0;  </m:t>
                      </m:r>
                      <m:sSub>
                        <m:sSubPr>
                          <m:ctrlPr>
                            <w:rPr>
                              <w:rFonts w:ascii="Cambria Math" w:hAnsi="Cambria Math"/>
                              <w:i/>
                              <w:lang w:val="en-GB"/>
                            </w:rPr>
                          </m:ctrlPr>
                        </m:sSubPr>
                        <m:e>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∂T</m:t>
                                  </m:r>
                                </m:num>
                                <m:den>
                                  <m:r>
                                    <w:rPr>
                                      <w:rFonts w:ascii="Cambria Math" w:hAnsi="Cambria Math"/>
                                      <w:lang w:val="en-GB"/>
                                    </w:rPr>
                                    <m:t>∂r</m:t>
                                  </m:r>
                                </m:den>
                              </m:f>
                            </m:e>
                          </m:d>
                        </m:e>
                        <m:sub>
                          <m:r>
                            <w:rPr>
                              <w:rFonts w:ascii="Cambria Math" w:hAnsi="Cambria Math"/>
                              <w:lang w:val="en-GB"/>
                            </w:rPr>
                            <m:t>r</m:t>
                          </m:r>
                          <m:r>
                            <w:rPr>
                              <w:rFonts w:ascii="Cambria Math" w:hAnsi="Cambria Math"/>
                              <w:lang w:val="en-GB"/>
                            </w:rPr>
                            <m:t>=</m:t>
                          </m:r>
                          <m:r>
                            <w:rPr>
                              <w:rFonts w:ascii="Cambria Math" w:hAnsi="Cambria Math"/>
                              <w:lang w:val="en-GB"/>
                            </w:rPr>
                            <m:t>R</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4</m:t>
                          </m:r>
                          <m:r>
                            <w:rPr>
                              <w:rFonts w:ascii="Cambria Math" w:hAnsi="Cambria Math"/>
                              <w:lang w:val="en-GB"/>
                            </w:rPr>
                            <m:t>U</m:t>
                          </m:r>
                        </m:num>
                        <m:den>
                          <m:r>
                            <w:rPr>
                              <w:rFonts w:ascii="Cambria Math" w:hAnsi="Cambria Math"/>
                              <w:lang w:val="en-GB"/>
                            </w:rPr>
                            <m:t>2∙</m:t>
                          </m:r>
                          <m:r>
                            <w:rPr>
                              <w:rFonts w:ascii="Cambria Math" w:hAnsi="Cambria Math"/>
                              <w:lang w:val="en-GB"/>
                            </w:rPr>
                            <m:t>R</m:t>
                          </m:r>
                          <m:r>
                            <w:rPr>
                              <w:rFonts w:ascii="Cambria Math" w:hAnsi="Cambria Math"/>
                              <w:lang w:val="en-GB"/>
                            </w:rPr>
                            <m:t>∙</m:t>
                          </m:r>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mix</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m:t>
                              </m:r>
                              <m:r>
                                <w:rPr>
                                  <w:rFonts w:ascii="Cambria Math" w:hAnsi="Cambria Math"/>
                                  <w:lang w:val="en-GB"/>
                                </w:rPr>
                                <m:t>,</m:t>
                              </m:r>
                              <m:r>
                                <w:rPr>
                                  <w:rFonts w:ascii="Cambria Math" w:hAnsi="Cambria Math"/>
                                  <w:lang w:val="en-GB"/>
                                </w:rPr>
                                <m:t>mix</m:t>
                              </m:r>
                            </m:sub>
                          </m:sSub>
                        </m:den>
                      </m:f>
                      <m:d>
                        <m:dPr>
                          <m:ctrlPr>
                            <w:rPr>
                              <w:rFonts w:ascii="Cambria Math" w:hAnsi="Cambria Math"/>
                              <w:i/>
                              <w:lang w:val="en-GB"/>
                            </w:rPr>
                          </m:ctrlPr>
                        </m:dPr>
                        <m:e>
                          <m:r>
                            <w:rPr>
                              <w:rFonts w:ascii="Cambria Math" w:hAnsi="Cambria Math"/>
                              <w:lang w:val="en-GB"/>
                            </w:rPr>
                            <m:t>T</m:t>
                          </m:r>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w</m:t>
                              </m:r>
                            </m:sub>
                          </m:sSub>
                        </m:e>
                      </m:d>
                      <m:r>
                        <w:rPr>
                          <w:rFonts w:ascii="Cambria Math" w:hAnsi="Cambria Math"/>
                          <w:lang w:val="en-GB"/>
                        </w:rPr>
                        <m:t xml:space="preserve">   </m:t>
                      </m:r>
                    </m:e>
                  </m:eqArr>
                </m:e>
              </m:d>
            </m:e>
          </m:mr>
        </m:m>
      </m:oMath>
      <w:r w:rsidR="00494D6C">
        <w:rPr>
          <w:lang w:val="en-GB"/>
        </w:rPr>
        <w:tab/>
      </w:r>
      <w:r w:rsidR="00825CD3">
        <w:rPr>
          <w:lang w:val="en-GB"/>
        </w:rPr>
        <w:tab/>
      </w:r>
      <w:r w:rsidR="00F71984">
        <w:rPr>
          <w:lang w:val="en-GB"/>
        </w:rPr>
        <w:tab/>
      </w:r>
      <w:r w:rsidR="00494D6C">
        <w:rPr>
          <w:lang w:val="en-GB"/>
        </w:rPr>
        <w:t>(3)</w:t>
      </w:r>
    </w:p>
    <w:p w14:paraId="36715FAE" w14:textId="52C7B773" w:rsidR="008A783D" w:rsidRDefault="009052D3" w:rsidP="00A5500E">
      <w:pPr>
        <w:pStyle w:val="CETBodytext"/>
        <w:spacing w:before="240"/>
        <w:rPr>
          <w:lang w:val="en-GB"/>
        </w:rPr>
      </w:pPr>
      <w:r>
        <w:rPr>
          <w:lang w:val="en-GB"/>
        </w:rPr>
        <w:t>The laminar axial velocity was calculated as</w:t>
      </w:r>
      <w:r w:rsidR="009C3544">
        <w:rPr>
          <w:lang w:val="en-GB"/>
        </w:rPr>
        <w:t>:</w:t>
      </w:r>
    </w:p>
    <w:p w14:paraId="222E77CA" w14:textId="25D29EF3" w:rsidR="009C3544" w:rsidRDefault="00000000" w:rsidP="00A5500E">
      <w:pPr>
        <w:pStyle w:val="CETBodytext"/>
        <w:spacing w:before="240" w:after="240"/>
        <w:rPr>
          <w:lang w:val="en-GB"/>
        </w:rPr>
      </w:pP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z</m:t>
            </m:r>
          </m:sub>
        </m:sSub>
        <m:r>
          <w:rPr>
            <w:rFonts w:ascii="Cambria Math" w:hAnsi="Cambria Math"/>
            <w:lang w:val="en-GB"/>
          </w:rPr>
          <m:t>=2∙</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0</m:t>
            </m:r>
          </m:sub>
        </m:sSub>
        <m:r>
          <w:rPr>
            <w:rFonts w:ascii="Cambria Math" w:hAnsi="Cambria Math"/>
            <w:lang w:val="en-GB"/>
          </w:rPr>
          <m:t>∙</m:t>
        </m:r>
        <m:d>
          <m:dPr>
            <m:ctrlPr>
              <w:rPr>
                <w:rFonts w:ascii="Cambria Math" w:hAnsi="Cambria Math"/>
                <w:i/>
                <w:lang w:val="en-GB"/>
              </w:rPr>
            </m:ctrlPr>
          </m:dPr>
          <m:e>
            <m:r>
              <w:rPr>
                <w:rFonts w:ascii="Cambria Math" w:hAnsi="Cambria Math"/>
                <w:lang w:val="en-GB"/>
              </w:rPr>
              <m:t>1-</m:t>
            </m:r>
            <m:sSup>
              <m:sSupPr>
                <m:ctrlPr>
                  <w:rPr>
                    <w:rFonts w:ascii="Cambria Math" w:hAnsi="Cambria Math"/>
                    <w:i/>
                    <w:lang w:val="en-GB"/>
                  </w:rPr>
                </m:ctrlPr>
              </m:sSup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r</m:t>
                        </m:r>
                      </m:num>
                      <m:den>
                        <m:r>
                          <w:rPr>
                            <w:rFonts w:ascii="Cambria Math" w:hAnsi="Cambria Math"/>
                            <w:lang w:val="en-GB"/>
                          </w:rPr>
                          <m:t>R</m:t>
                        </m:r>
                      </m:den>
                    </m:f>
                  </m:e>
                </m:d>
              </m:e>
              <m:sup>
                <m:r>
                  <w:rPr>
                    <w:rFonts w:ascii="Cambria Math" w:hAnsi="Cambria Math"/>
                    <w:lang w:val="en-GB"/>
                  </w:rPr>
                  <m:t>2</m:t>
                </m:r>
              </m:sup>
            </m:sSup>
          </m:e>
        </m:d>
      </m:oMath>
      <w:r w:rsidR="009052D3">
        <w:rPr>
          <w:lang w:val="en-GB"/>
        </w:rPr>
        <w:tab/>
      </w:r>
      <w:r w:rsidR="009052D3">
        <w:rPr>
          <w:lang w:val="en-GB"/>
        </w:rPr>
        <w:tab/>
      </w:r>
      <w:r w:rsidR="00F71984">
        <w:rPr>
          <w:lang w:val="en-GB"/>
        </w:rPr>
        <w:tab/>
      </w:r>
      <w:r w:rsidR="009052D3">
        <w:rPr>
          <w:lang w:val="en-GB"/>
        </w:rPr>
        <w:t>(4)</w:t>
      </w:r>
    </w:p>
    <w:p w14:paraId="57E48B33" w14:textId="77777777" w:rsidR="00FD4B70" w:rsidRDefault="00FD4B70" w:rsidP="00FD4B70">
      <w:pPr>
        <w:pStyle w:val="CETBodytext"/>
        <w:rPr>
          <w:lang w:val="en-GB"/>
        </w:rPr>
      </w:pPr>
      <w:r>
        <w:rPr>
          <w:lang w:val="en-GB"/>
        </w:rPr>
        <w:t xml:space="preserve">All parameters involved in the calculations are reported in Table 1. </w:t>
      </w:r>
    </w:p>
    <w:p w14:paraId="75BD0E5F" w14:textId="77777777" w:rsidR="00FD4B70" w:rsidRDefault="00FD4B70" w:rsidP="00FD4B70">
      <w:pPr>
        <w:pStyle w:val="CETTabletitle"/>
      </w:pPr>
      <w:r w:rsidRPr="00B57B36">
        <w:t xml:space="preserve">Table </w:t>
      </w:r>
      <w:r>
        <w:t>1</w:t>
      </w:r>
      <w:r w:rsidRPr="00B57B36">
        <w:t xml:space="preserve">: </w:t>
      </w:r>
      <w:r>
        <w:t>Values of all constitutive parameters involved in the study</w:t>
      </w:r>
    </w:p>
    <w:tbl>
      <w:tblPr>
        <w:tblW w:w="0" w:type="auto"/>
        <w:tblInd w:w="85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417"/>
        <w:gridCol w:w="851"/>
        <w:gridCol w:w="1417"/>
        <w:gridCol w:w="1417"/>
        <w:gridCol w:w="1417"/>
      </w:tblGrid>
      <w:tr w:rsidR="00701721" w:rsidRPr="00B57B36" w14:paraId="5F8A7AD4" w14:textId="581F87E2" w:rsidTr="00174AD1">
        <w:tc>
          <w:tcPr>
            <w:tcW w:w="1134" w:type="dxa"/>
            <w:tcBorders>
              <w:top w:val="single" w:sz="12" w:space="0" w:color="008000"/>
              <w:bottom w:val="single" w:sz="6" w:space="0" w:color="008000"/>
            </w:tcBorders>
            <w:shd w:val="clear" w:color="auto" w:fill="FFFFFF"/>
          </w:tcPr>
          <w:p w14:paraId="70DD5376" w14:textId="77777777" w:rsidR="00701721" w:rsidRPr="00B57B36" w:rsidRDefault="00701721" w:rsidP="00701721">
            <w:pPr>
              <w:pStyle w:val="CETBodytext"/>
              <w:rPr>
                <w:lang w:val="en-GB"/>
              </w:rPr>
            </w:pPr>
            <w:r>
              <w:rPr>
                <w:lang w:val="en-GB"/>
              </w:rPr>
              <w:t>Parameter</w:t>
            </w:r>
          </w:p>
        </w:tc>
        <w:tc>
          <w:tcPr>
            <w:tcW w:w="1417" w:type="dxa"/>
            <w:tcBorders>
              <w:top w:val="single" w:sz="12" w:space="0" w:color="008000"/>
              <w:bottom w:val="single" w:sz="6" w:space="0" w:color="008000"/>
            </w:tcBorders>
            <w:shd w:val="clear" w:color="auto" w:fill="FFFFFF"/>
          </w:tcPr>
          <w:p w14:paraId="75D7C6EE" w14:textId="77777777" w:rsidR="00701721" w:rsidRPr="00B57B36" w:rsidRDefault="00701721" w:rsidP="00701721">
            <w:pPr>
              <w:pStyle w:val="CETBodytext"/>
              <w:rPr>
                <w:lang w:val="en-GB"/>
              </w:rPr>
            </w:pPr>
            <w:r>
              <w:rPr>
                <w:lang w:val="en-GB"/>
              </w:rPr>
              <w:t>Value</w:t>
            </w:r>
          </w:p>
        </w:tc>
        <w:tc>
          <w:tcPr>
            <w:tcW w:w="851" w:type="dxa"/>
            <w:tcBorders>
              <w:top w:val="single" w:sz="12" w:space="0" w:color="008000"/>
              <w:bottom w:val="single" w:sz="6" w:space="0" w:color="008000"/>
            </w:tcBorders>
            <w:shd w:val="clear" w:color="auto" w:fill="FFFFFF"/>
          </w:tcPr>
          <w:p w14:paraId="71F79C68" w14:textId="77777777" w:rsidR="00701721" w:rsidRPr="00B57B36" w:rsidRDefault="00701721" w:rsidP="00701721">
            <w:pPr>
              <w:pStyle w:val="CETBodytext"/>
              <w:rPr>
                <w:lang w:val="en-GB"/>
              </w:rPr>
            </w:pPr>
            <w:r>
              <w:rPr>
                <w:lang w:val="en-GB"/>
              </w:rPr>
              <w:t>Parameter</w:t>
            </w:r>
          </w:p>
        </w:tc>
        <w:tc>
          <w:tcPr>
            <w:tcW w:w="1417" w:type="dxa"/>
            <w:tcBorders>
              <w:top w:val="single" w:sz="12" w:space="0" w:color="008000"/>
              <w:bottom w:val="single" w:sz="6" w:space="0" w:color="008000"/>
            </w:tcBorders>
            <w:shd w:val="clear" w:color="auto" w:fill="FFFFFF"/>
          </w:tcPr>
          <w:p w14:paraId="43383D0A" w14:textId="77777777" w:rsidR="00701721" w:rsidRPr="00B57B36" w:rsidRDefault="00701721" w:rsidP="00701721">
            <w:pPr>
              <w:pStyle w:val="CETBodytext"/>
              <w:ind w:right="-1"/>
              <w:rPr>
                <w:rFonts w:cs="Arial"/>
                <w:szCs w:val="18"/>
                <w:lang w:val="en-GB"/>
              </w:rPr>
            </w:pPr>
            <w:r>
              <w:rPr>
                <w:lang w:val="en-GB"/>
              </w:rPr>
              <w:t>Value</w:t>
            </w:r>
          </w:p>
        </w:tc>
        <w:tc>
          <w:tcPr>
            <w:tcW w:w="1417" w:type="dxa"/>
            <w:tcBorders>
              <w:top w:val="single" w:sz="12" w:space="0" w:color="008000"/>
              <w:bottom w:val="single" w:sz="6" w:space="0" w:color="008000"/>
            </w:tcBorders>
            <w:shd w:val="clear" w:color="auto" w:fill="FFFFFF"/>
          </w:tcPr>
          <w:p w14:paraId="4CACC962" w14:textId="41EA074C" w:rsidR="00701721" w:rsidRDefault="00701721" w:rsidP="00701721">
            <w:pPr>
              <w:pStyle w:val="CETBodytext"/>
              <w:ind w:right="-1"/>
              <w:rPr>
                <w:lang w:val="en-GB"/>
              </w:rPr>
            </w:pPr>
            <w:r>
              <w:rPr>
                <w:lang w:val="en-GB"/>
              </w:rPr>
              <w:t>Parameter</w:t>
            </w:r>
          </w:p>
        </w:tc>
        <w:tc>
          <w:tcPr>
            <w:tcW w:w="1417" w:type="dxa"/>
            <w:tcBorders>
              <w:top w:val="single" w:sz="12" w:space="0" w:color="008000"/>
              <w:bottom w:val="single" w:sz="6" w:space="0" w:color="008000"/>
            </w:tcBorders>
            <w:shd w:val="clear" w:color="auto" w:fill="FFFFFF"/>
          </w:tcPr>
          <w:p w14:paraId="1BB69E1A" w14:textId="4A26C29B" w:rsidR="00701721" w:rsidRDefault="00701721" w:rsidP="00701721">
            <w:pPr>
              <w:pStyle w:val="CETBodytext"/>
              <w:ind w:right="-1"/>
              <w:rPr>
                <w:lang w:val="en-GB"/>
              </w:rPr>
            </w:pPr>
            <w:r>
              <w:rPr>
                <w:lang w:val="en-GB"/>
              </w:rPr>
              <w:t>Value</w:t>
            </w:r>
          </w:p>
        </w:tc>
      </w:tr>
      <w:tr w:rsidR="00E97432" w:rsidRPr="00B57B36" w14:paraId="16E6F292" w14:textId="6476C62F" w:rsidTr="00174AD1">
        <w:tc>
          <w:tcPr>
            <w:tcW w:w="1134" w:type="dxa"/>
            <w:shd w:val="clear" w:color="auto" w:fill="FFFFFF"/>
          </w:tcPr>
          <w:p w14:paraId="5E96FAD2" w14:textId="155F04DD" w:rsidR="00E97432" w:rsidRPr="00A57A99" w:rsidRDefault="00000000" w:rsidP="00E97432">
            <w:pPr>
              <w:pStyle w:val="CETBodytext"/>
              <w:rPr>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mix</m:t>
                    </m:r>
                  </m:sub>
                </m:sSub>
              </m:oMath>
            </m:oMathPara>
          </w:p>
        </w:tc>
        <w:tc>
          <w:tcPr>
            <w:tcW w:w="1417" w:type="dxa"/>
            <w:shd w:val="clear" w:color="auto" w:fill="FFFFFF"/>
          </w:tcPr>
          <w:p w14:paraId="61212207" w14:textId="77777777" w:rsidR="00E97432" w:rsidRPr="00B57B36" w:rsidRDefault="00E97432" w:rsidP="00E97432">
            <w:pPr>
              <w:pStyle w:val="CETBodytext"/>
              <w:rPr>
                <w:lang w:val="en-GB"/>
              </w:rPr>
            </w:pPr>
            <w:r>
              <w:rPr>
                <w:lang w:val="en-GB"/>
              </w:rPr>
              <w:t>0.14 [W/</w:t>
            </w:r>
            <w:proofErr w:type="spellStart"/>
            <w:r>
              <w:rPr>
                <w:lang w:val="en-GB"/>
              </w:rPr>
              <w:t>mK</w:t>
            </w:r>
            <w:proofErr w:type="spellEnd"/>
            <w:r>
              <w:rPr>
                <w:lang w:val="en-GB"/>
              </w:rPr>
              <w:t>]</w:t>
            </w:r>
          </w:p>
        </w:tc>
        <w:tc>
          <w:tcPr>
            <w:tcW w:w="851" w:type="dxa"/>
            <w:shd w:val="clear" w:color="auto" w:fill="FFFFFF"/>
          </w:tcPr>
          <w:p w14:paraId="4F235B48" w14:textId="47887AE7" w:rsidR="00E97432" w:rsidRPr="00B57B36" w:rsidRDefault="00000000" w:rsidP="00E97432">
            <w:pPr>
              <w:pStyle w:val="CETBodytext"/>
              <w:rPr>
                <w:lang w:val="en-GB"/>
              </w:rPr>
            </w:pPr>
            <m:oMathPara>
              <m:oMath>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mix</m:t>
                    </m:r>
                  </m:sub>
                </m:sSub>
              </m:oMath>
            </m:oMathPara>
          </w:p>
        </w:tc>
        <w:tc>
          <w:tcPr>
            <w:tcW w:w="1417" w:type="dxa"/>
            <w:shd w:val="clear" w:color="auto" w:fill="FFFFFF"/>
          </w:tcPr>
          <w:p w14:paraId="1A71B2D9" w14:textId="448E1A3D" w:rsidR="00E97432" w:rsidRPr="00B57B36" w:rsidRDefault="00E97432" w:rsidP="00E97432">
            <w:pPr>
              <w:pStyle w:val="CETBodytext"/>
              <w:ind w:right="-1"/>
              <w:rPr>
                <w:rFonts w:cs="Arial"/>
                <w:szCs w:val="18"/>
                <w:lang w:val="en-GB"/>
              </w:rPr>
            </w:pPr>
            <w:r>
              <w:rPr>
                <w:rFonts w:cs="Arial"/>
                <w:szCs w:val="18"/>
                <w:lang w:val="en-GB"/>
              </w:rPr>
              <w:t>1.34 [</w:t>
            </w:r>
            <w:proofErr w:type="spellStart"/>
            <w:r>
              <w:rPr>
                <w:rFonts w:cs="Arial"/>
                <w:szCs w:val="18"/>
                <w:lang w:val="en-GB"/>
              </w:rPr>
              <w:t>cP</w:t>
            </w:r>
            <w:proofErr w:type="spellEnd"/>
            <w:r>
              <w:rPr>
                <w:rFonts w:cs="Arial"/>
                <w:szCs w:val="18"/>
                <w:lang w:val="en-GB"/>
              </w:rPr>
              <w:t>]</w:t>
            </w:r>
          </w:p>
        </w:tc>
        <w:tc>
          <w:tcPr>
            <w:tcW w:w="1417" w:type="dxa"/>
            <w:shd w:val="clear" w:color="auto" w:fill="FFFFFF"/>
          </w:tcPr>
          <w:p w14:paraId="3B9DE413" w14:textId="44D95BAB" w:rsidR="00E97432" w:rsidRDefault="00000000" w:rsidP="00E97432">
            <w:pPr>
              <w:pStyle w:val="CETBodytext"/>
              <w:ind w:right="-1"/>
              <w:rPr>
                <w:rFonts w:cs="Arial"/>
                <w:szCs w:val="18"/>
                <w:lang w:val="en-GB"/>
              </w:rPr>
            </w:pPr>
            <m:oMathPara>
              <m:oMath>
                <m:sSub>
                  <m:sSubPr>
                    <m:ctrlPr>
                      <w:rPr>
                        <w:rFonts w:ascii="Cambria Math" w:hAnsi="Cambria Math" w:cs="Arial"/>
                        <w:i/>
                        <w:szCs w:val="18"/>
                        <w:lang w:val="en-GB"/>
                      </w:rPr>
                    </m:ctrlPr>
                  </m:sSubPr>
                  <m:e>
                    <m:r>
                      <w:rPr>
                        <w:rFonts w:ascii="Cambria Math" w:hAnsi="Cambria Math" w:cs="Arial"/>
                        <w:szCs w:val="18"/>
                        <w:lang w:val="en-GB"/>
                      </w:rPr>
                      <m:t>ρ</m:t>
                    </m:r>
                  </m:e>
                  <m:sub>
                    <m:r>
                      <w:rPr>
                        <w:rFonts w:ascii="Cambria Math" w:hAnsi="Cambria Math" w:cs="Arial"/>
                        <w:szCs w:val="18"/>
                        <w:lang w:val="en-GB"/>
                      </w:rPr>
                      <m:t>cool</m:t>
                    </m:r>
                  </m:sub>
                </m:sSub>
              </m:oMath>
            </m:oMathPara>
          </w:p>
        </w:tc>
        <w:tc>
          <w:tcPr>
            <w:tcW w:w="1417" w:type="dxa"/>
            <w:shd w:val="clear" w:color="auto" w:fill="FFFFFF"/>
          </w:tcPr>
          <w:p w14:paraId="33436F11" w14:textId="10461729" w:rsidR="00E97432" w:rsidRDefault="00F044AD" w:rsidP="00E97432">
            <w:pPr>
              <w:pStyle w:val="CETBodytext"/>
              <w:ind w:right="-1"/>
              <w:rPr>
                <w:rFonts w:cs="Arial"/>
                <w:szCs w:val="18"/>
                <w:lang w:val="en-GB"/>
              </w:rPr>
            </w:pPr>
            <w:r>
              <w:rPr>
                <w:rFonts w:cs="Arial"/>
                <w:szCs w:val="18"/>
                <w:lang w:val="en-GB"/>
              </w:rPr>
              <w:t>920</w:t>
            </w:r>
            <w:r w:rsidR="00E97432">
              <w:rPr>
                <w:rFonts w:cs="Arial"/>
                <w:szCs w:val="18"/>
                <w:lang w:val="en-GB"/>
              </w:rPr>
              <w:t xml:space="preserve"> kg/m</w:t>
            </w:r>
            <w:r w:rsidR="00E97432" w:rsidRPr="00DB7637">
              <w:rPr>
                <w:rFonts w:cs="Arial"/>
                <w:szCs w:val="18"/>
                <w:vertAlign w:val="superscript"/>
                <w:lang w:val="en-GB"/>
              </w:rPr>
              <w:t>3</w:t>
            </w:r>
          </w:p>
        </w:tc>
      </w:tr>
      <w:tr w:rsidR="00E97432" w:rsidRPr="00B57B36" w14:paraId="5EAE32D6" w14:textId="7C2A4D3C" w:rsidTr="00174AD1">
        <w:tc>
          <w:tcPr>
            <w:tcW w:w="1134" w:type="dxa"/>
            <w:shd w:val="clear" w:color="auto" w:fill="FFFFFF"/>
          </w:tcPr>
          <w:p w14:paraId="34F4864F" w14:textId="3B23B9C9" w:rsidR="00E97432" w:rsidRPr="00B57B36" w:rsidRDefault="00000000" w:rsidP="00E97432">
            <w:pPr>
              <w:pStyle w:val="CETBodytext"/>
              <w:ind w:right="-1"/>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r</m:t>
                    </m:r>
                  </m:sub>
                </m:sSub>
              </m:oMath>
            </m:oMathPara>
          </w:p>
        </w:tc>
        <w:tc>
          <w:tcPr>
            <w:tcW w:w="1417" w:type="dxa"/>
            <w:shd w:val="clear" w:color="auto" w:fill="FFFFFF"/>
          </w:tcPr>
          <w:p w14:paraId="23D1522D" w14:textId="649B3460" w:rsidR="00E97432" w:rsidRPr="00B57B36" w:rsidRDefault="00E97432" w:rsidP="00E97432">
            <w:pPr>
              <w:pStyle w:val="CETBodytext"/>
              <w:ind w:right="-1"/>
              <w:rPr>
                <w:rFonts w:cs="Arial"/>
                <w:szCs w:val="18"/>
                <w:lang w:val="en-GB"/>
              </w:rPr>
            </w:pPr>
            <w:r>
              <w:rPr>
                <w:rFonts w:cs="Arial"/>
                <w:szCs w:val="18"/>
                <w:lang w:val="en-GB"/>
              </w:rPr>
              <w:t>0.25 [W/</w:t>
            </w:r>
            <w:proofErr w:type="spellStart"/>
            <w:r>
              <w:rPr>
                <w:rFonts w:cs="Arial"/>
                <w:szCs w:val="18"/>
                <w:lang w:val="en-GB"/>
              </w:rPr>
              <w:t>mK</w:t>
            </w:r>
            <w:proofErr w:type="spellEnd"/>
            <w:r>
              <w:rPr>
                <w:rFonts w:cs="Arial"/>
                <w:szCs w:val="18"/>
                <w:lang w:val="en-GB"/>
              </w:rPr>
              <w:t>]</w:t>
            </w:r>
          </w:p>
        </w:tc>
        <w:tc>
          <w:tcPr>
            <w:tcW w:w="851" w:type="dxa"/>
            <w:shd w:val="clear" w:color="auto" w:fill="FFFFFF"/>
          </w:tcPr>
          <w:p w14:paraId="304A5B25" w14:textId="7A350C53" w:rsidR="00E97432" w:rsidRPr="00B57B36" w:rsidRDefault="00000000" w:rsidP="00E97432">
            <w:pPr>
              <w:pStyle w:val="CETBodytext"/>
              <w:ind w:right="-1"/>
              <w:rPr>
                <w:rFonts w:cs="Arial"/>
                <w:szCs w:val="18"/>
                <w:lang w:val="en-GB"/>
              </w:rPr>
            </w:pPr>
            <m:oMathPara>
              <m:oMath>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cool</m:t>
                    </m:r>
                  </m:sub>
                </m:sSub>
              </m:oMath>
            </m:oMathPara>
          </w:p>
        </w:tc>
        <w:tc>
          <w:tcPr>
            <w:tcW w:w="1417" w:type="dxa"/>
            <w:shd w:val="clear" w:color="auto" w:fill="FFFFFF"/>
          </w:tcPr>
          <w:p w14:paraId="2F976944" w14:textId="5FE13D7A" w:rsidR="00E97432" w:rsidRPr="00B57B36" w:rsidRDefault="00E97432" w:rsidP="00E97432">
            <w:pPr>
              <w:pStyle w:val="CETBodytext"/>
              <w:ind w:right="-1"/>
              <w:rPr>
                <w:rFonts w:cs="Arial"/>
                <w:szCs w:val="18"/>
                <w:lang w:val="en-GB"/>
              </w:rPr>
            </w:pPr>
            <w:r>
              <w:rPr>
                <w:rFonts w:cs="Arial"/>
                <w:szCs w:val="18"/>
                <w:lang w:val="en-GB"/>
              </w:rPr>
              <w:t>1.50 [</w:t>
            </w:r>
            <w:proofErr w:type="spellStart"/>
            <w:r>
              <w:rPr>
                <w:rFonts w:cs="Arial"/>
                <w:szCs w:val="18"/>
                <w:lang w:val="en-GB"/>
              </w:rPr>
              <w:t>cP</w:t>
            </w:r>
            <w:proofErr w:type="spellEnd"/>
            <w:r>
              <w:rPr>
                <w:rFonts w:cs="Arial"/>
                <w:szCs w:val="18"/>
                <w:lang w:val="en-GB"/>
              </w:rPr>
              <w:t>]</w:t>
            </w:r>
          </w:p>
        </w:tc>
        <w:tc>
          <w:tcPr>
            <w:tcW w:w="1417" w:type="dxa"/>
            <w:shd w:val="clear" w:color="auto" w:fill="FFFFFF"/>
          </w:tcPr>
          <w:p w14:paraId="7DE1E935" w14:textId="5EBA631A" w:rsidR="00E97432" w:rsidRDefault="00000000" w:rsidP="00E97432">
            <w:pPr>
              <w:pStyle w:val="CETBodytext"/>
              <w:ind w:right="-1"/>
              <w:rPr>
                <w:rFonts w:cs="Arial"/>
                <w:szCs w:val="18"/>
                <w:lang w:val="en-GB"/>
              </w:rPr>
            </w:pPr>
            <m:oMathPara>
              <m:oMath>
                <m:sSub>
                  <m:sSubPr>
                    <m:ctrlPr>
                      <w:rPr>
                        <w:rFonts w:ascii="Cambria Math" w:hAnsi="Cambria Math" w:cs="Arial"/>
                        <w:i/>
                        <w:szCs w:val="18"/>
                        <w:lang w:val="en-GB"/>
                      </w:rPr>
                    </m:ctrlPr>
                  </m:sSubPr>
                  <m:e>
                    <m:r>
                      <w:rPr>
                        <w:rFonts w:ascii="Cambria Math" w:hAnsi="Cambria Math" w:cs="Arial"/>
                        <w:szCs w:val="18"/>
                        <w:lang w:val="en-GB"/>
                      </w:rPr>
                      <m:t>c</m:t>
                    </m:r>
                  </m:e>
                  <m:sub>
                    <m:r>
                      <w:rPr>
                        <w:rFonts w:ascii="Cambria Math" w:hAnsi="Cambria Math" w:cs="Arial"/>
                        <w:szCs w:val="18"/>
                        <w:lang w:val="en-GB"/>
                      </w:rPr>
                      <m:t>p</m:t>
                    </m:r>
                    <m:r>
                      <w:rPr>
                        <w:rFonts w:ascii="Cambria Math" w:hAnsi="Cambria Math" w:cs="Arial"/>
                        <w:szCs w:val="18"/>
                        <w:lang w:val="en-GB"/>
                      </w:rPr>
                      <m:t>,</m:t>
                    </m:r>
                    <m:r>
                      <w:rPr>
                        <w:rFonts w:ascii="Cambria Math" w:hAnsi="Cambria Math" w:cs="Arial"/>
                        <w:szCs w:val="18"/>
                        <w:lang w:val="en-GB"/>
                      </w:rPr>
                      <m:t>cool</m:t>
                    </m:r>
                  </m:sub>
                </m:sSub>
              </m:oMath>
            </m:oMathPara>
          </w:p>
        </w:tc>
        <w:tc>
          <w:tcPr>
            <w:tcW w:w="1417" w:type="dxa"/>
            <w:shd w:val="clear" w:color="auto" w:fill="FFFFFF"/>
          </w:tcPr>
          <w:p w14:paraId="5EBCA48B" w14:textId="2FA1500F" w:rsidR="00E97432" w:rsidRDefault="00F044AD" w:rsidP="00E97432">
            <w:pPr>
              <w:pStyle w:val="CETBodytext"/>
              <w:ind w:right="-1"/>
              <w:rPr>
                <w:rFonts w:cs="Arial"/>
                <w:szCs w:val="18"/>
                <w:lang w:val="en-GB"/>
              </w:rPr>
            </w:pPr>
            <w:r>
              <w:rPr>
                <w:rFonts w:cs="Arial"/>
                <w:szCs w:val="18"/>
                <w:lang w:val="en-GB"/>
              </w:rPr>
              <w:t>1370</w:t>
            </w:r>
            <w:r w:rsidR="00E97432">
              <w:rPr>
                <w:rFonts w:cs="Arial"/>
                <w:szCs w:val="18"/>
                <w:lang w:val="en-GB"/>
              </w:rPr>
              <w:t xml:space="preserve"> [J/kg K]</w:t>
            </w:r>
          </w:p>
        </w:tc>
      </w:tr>
      <w:tr w:rsidR="00F044AD" w:rsidRPr="00B57B36" w14:paraId="7C958C91" w14:textId="5E27E3E5" w:rsidTr="00174AD1">
        <w:tc>
          <w:tcPr>
            <w:tcW w:w="1134" w:type="dxa"/>
            <w:shd w:val="clear" w:color="auto" w:fill="FFFFFF"/>
          </w:tcPr>
          <w:p w14:paraId="5BE1337A" w14:textId="31353758" w:rsidR="00F044AD" w:rsidRPr="00B57B36" w:rsidRDefault="00000000" w:rsidP="00F044AD">
            <w:pPr>
              <w:pStyle w:val="CETBodytext"/>
              <w:ind w:right="-1"/>
              <w:rPr>
                <w:rFonts w:cs="Arial"/>
                <w:szCs w:val="18"/>
                <w:lang w:val="en-GB"/>
              </w:rPr>
            </w:pPr>
            <m:oMathPara>
              <m:oMath>
                <m:sSub>
                  <m:sSubPr>
                    <m:ctrlPr>
                      <w:rPr>
                        <w:rFonts w:ascii="Cambria Math" w:hAnsi="Cambria Math" w:cs="Arial"/>
                        <w:i/>
                        <w:szCs w:val="18"/>
                        <w:lang w:val="en-GB"/>
                      </w:rPr>
                    </m:ctrlPr>
                  </m:sSubPr>
                  <m:e>
                    <m:r>
                      <w:rPr>
                        <w:rFonts w:ascii="Cambria Math" w:hAnsi="Cambria Math" w:cs="Arial"/>
                        <w:szCs w:val="18"/>
                        <w:lang w:val="en-GB"/>
                      </w:rPr>
                      <m:t>k</m:t>
                    </m:r>
                  </m:e>
                  <m:sub>
                    <m:r>
                      <w:rPr>
                        <w:rFonts w:ascii="Cambria Math" w:hAnsi="Cambria Math" w:cs="Arial"/>
                        <w:szCs w:val="18"/>
                        <w:lang w:val="en-GB"/>
                      </w:rPr>
                      <m:t>e</m:t>
                    </m:r>
                  </m:sub>
                </m:sSub>
              </m:oMath>
            </m:oMathPara>
          </w:p>
        </w:tc>
        <w:tc>
          <w:tcPr>
            <w:tcW w:w="1417" w:type="dxa"/>
            <w:shd w:val="clear" w:color="auto" w:fill="FFFFFF"/>
          </w:tcPr>
          <w:p w14:paraId="6980B333" w14:textId="7740AAA8" w:rsidR="00F044AD" w:rsidRPr="00B57B36" w:rsidRDefault="00F044AD" w:rsidP="00F044AD">
            <w:pPr>
              <w:pStyle w:val="CETBodytext"/>
              <w:ind w:right="-1"/>
              <w:rPr>
                <w:rFonts w:cs="Arial"/>
                <w:szCs w:val="18"/>
                <w:lang w:val="en-GB"/>
              </w:rPr>
            </w:pPr>
            <w:r>
              <w:rPr>
                <w:rFonts w:cs="Arial"/>
                <w:szCs w:val="18"/>
                <w:lang w:val="en-GB"/>
              </w:rPr>
              <w:t>0.12 [W/</w:t>
            </w:r>
            <w:proofErr w:type="spellStart"/>
            <w:r>
              <w:rPr>
                <w:rFonts w:cs="Arial"/>
                <w:szCs w:val="18"/>
                <w:lang w:val="en-GB"/>
              </w:rPr>
              <w:t>mK</w:t>
            </w:r>
            <w:proofErr w:type="spellEnd"/>
            <w:r>
              <w:rPr>
                <w:rFonts w:cs="Arial"/>
                <w:szCs w:val="18"/>
                <w:lang w:val="en-GB"/>
              </w:rPr>
              <w:t>]</w:t>
            </w:r>
          </w:p>
        </w:tc>
        <w:tc>
          <w:tcPr>
            <w:tcW w:w="851" w:type="dxa"/>
            <w:shd w:val="clear" w:color="auto" w:fill="FFFFFF"/>
          </w:tcPr>
          <w:p w14:paraId="09678A3E" w14:textId="01AC1436" w:rsidR="00F044AD" w:rsidRPr="00B57B36" w:rsidRDefault="00000000" w:rsidP="00F044AD">
            <w:pPr>
              <w:pStyle w:val="CETBodytext"/>
              <w:ind w:right="-1"/>
              <w:rPr>
                <w:rFonts w:cs="Arial"/>
                <w:szCs w:val="18"/>
                <w:lang w:val="en-GB"/>
              </w:rPr>
            </w:pPr>
            <m:oMathPara>
              <m:oMath>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W</m:t>
                    </m:r>
                  </m:sub>
                </m:sSub>
              </m:oMath>
            </m:oMathPara>
          </w:p>
        </w:tc>
        <w:tc>
          <w:tcPr>
            <w:tcW w:w="1417" w:type="dxa"/>
            <w:shd w:val="clear" w:color="auto" w:fill="FFFFFF"/>
          </w:tcPr>
          <w:p w14:paraId="642F106A" w14:textId="510421D9" w:rsidR="00F044AD" w:rsidRPr="00B57B36" w:rsidRDefault="00F044AD" w:rsidP="00F044AD">
            <w:pPr>
              <w:pStyle w:val="CETBodytext"/>
              <w:ind w:right="-1"/>
              <w:rPr>
                <w:rFonts w:cs="Arial"/>
                <w:szCs w:val="18"/>
                <w:lang w:val="en-GB"/>
              </w:rPr>
            </w:pPr>
            <w:r>
              <w:rPr>
                <w:rFonts w:cs="Arial"/>
                <w:szCs w:val="18"/>
                <w:lang w:val="en-GB"/>
              </w:rPr>
              <w:t>1.00 [</w:t>
            </w:r>
            <w:proofErr w:type="spellStart"/>
            <w:r>
              <w:rPr>
                <w:rFonts w:cs="Arial"/>
                <w:szCs w:val="18"/>
                <w:lang w:val="en-GB"/>
              </w:rPr>
              <w:t>cP</w:t>
            </w:r>
            <w:proofErr w:type="spellEnd"/>
            <w:r>
              <w:rPr>
                <w:rFonts w:cs="Arial"/>
                <w:szCs w:val="18"/>
                <w:lang w:val="en-GB"/>
              </w:rPr>
              <w:t>]</w:t>
            </w:r>
          </w:p>
        </w:tc>
        <w:tc>
          <w:tcPr>
            <w:tcW w:w="1417" w:type="dxa"/>
            <w:shd w:val="clear" w:color="auto" w:fill="FFFFFF"/>
          </w:tcPr>
          <w:p w14:paraId="3B5EB0DE" w14:textId="3A1CBF20" w:rsidR="00F044AD" w:rsidRDefault="00000000" w:rsidP="00F044AD">
            <w:pPr>
              <w:pStyle w:val="CETBodytext"/>
              <w:ind w:right="-1"/>
              <w:rPr>
                <w:rFonts w:cs="Arial"/>
                <w:szCs w:val="18"/>
                <w:lang w:val="en-GB"/>
              </w:rPr>
            </w:pPr>
            <m:oMathPara>
              <m:oMath>
                <m:sSub>
                  <m:sSubPr>
                    <m:ctrlPr>
                      <w:rPr>
                        <w:rFonts w:ascii="Cambria Math" w:hAnsi="Cambria Math" w:cs="Arial"/>
                        <w:i/>
                        <w:szCs w:val="18"/>
                        <w:lang w:val="en-GB"/>
                      </w:rPr>
                    </m:ctrlPr>
                  </m:sSubPr>
                  <m:e>
                    <m:r>
                      <w:rPr>
                        <w:rFonts w:ascii="Cambria Math" w:hAnsi="Cambria Math" w:cs="Arial"/>
                        <w:szCs w:val="18"/>
                        <w:lang w:val="en-GB"/>
                      </w:rPr>
                      <m:t>ρ</m:t>
                    </m:r>
                  </m:e>
                  <m:sub>
                    <m:r>
                      <w:rPr>
                        <w:rFonts w:ascii="Cambria Math" w:hAnsi="Cambria Math" w:cs="Arial"/>
                        <w:szCs w:val="18"/>
                        <w:lang w:val="en-GB"/>
                      </w:rPr>
                      <m:t>mix</m:t>
                    </m:r>
                  </m:sub>
                </m:sSub>
              </m:oMath>
            </m:oMathPara>
          </w:p>
        </w:tc>
        <w:tc>
          <w:tcPr>
            <w:tcW w:w="1417" w:type="dxa"/>
            <w:shd w:val="clear" w:color="auto" w:fill="FFFFFF"/>
          </w:tcPr>
          <w:p w14:paraId="3AB404F9" w14:textId="22CAB039" w:rsidR="00F044AD" w:rsidRDefault="00F044AD" w:rsidP="00F044AD">
            <w:pPr>
              <w:pStyle w:val="CETBodytext"/>
              <w:ind w:right="-1"/>
              <w:rPr>
                <w:rFonts w:cs="Arial"/>
                <w:szCs w:val="18"/>
                <w:lang w:val="en-GB"/>
              </w:rPr>
            </w:pPr>
            <w:r>
              <w:rPr>
                <w:rFonts w:cs="Arial"/>
                <w:szCs w:val="18"/>
                <w:lang w:val="en-GB"/>
              </w:rPr>
              <w:t>750 kg/m</w:t>
            </w:r>
            <w:r w:rsidRPr="00DB7637">
              <w:rPr>
                <w:rFonts w:cs="Arial"/>
                <w:szCs w:val="18"/>
                <w:vertAlign w:val="superscript"/>
                <w:lang w:val="en-GB"/>
              </w:rPr>
              <w:t>3</w:t>
            </w:r>
          </w:p>
        </w:tc>
      </w:tr>
      <w:tr w:rsidR="00FE6AB2" w:rsidRPr="00B57B36" w14:paraId="68724B9D" w14:textId="77777777" w:rsidTr="00174AD1">
        <w:tc>
          <w:tcPr>
            <w:tcW w:w="1134" w:type="dxa"/>
            <w:shd w:val="clear" w:color="auto" w:fill="FFFFFF"/>
          </w:tcPr>
          <w:p w14:paraId="78CD14A5" w14:textId="110DBAA9" w:rsidR="00FE6AB2" w:rsidRDefault="00000000" w:rsidP="00FE6AB2">
            <w:pPr>
              <w:pStyle w:val="CETBodytext"/>
              <w:ind w:right="-1"/>
              <w:rPr>
                <w:szCs w:val="18"/>
                <w:lang w:val="en-GB"/>
              </w:rPr>
            </w:pPr>
            <m:oMathPara>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i</m:t>
                    </m:r>
                  </m:sub>
                </m:sSub>
              </m:oMath>
            </m:oMathPara>
          </w:p>
        </w:tc>
        <w:tc>
          <w:tcPr>
            <w:tcW w:w="1417" w:type="dxa"/>
            <w:shd w:val="clear" w:color="auto" w:fill="FFFFFF"/>
          </w:tcPr>
          <w:p w14:paraId="6E9DEF28" w14:textId="56BEB14C" w:rsidR="00FE6AB2" w:rsidRDefault="00FE6AB2" w:rsidP="00FE6AB2">
            <w:pPr>
              <w:pStyle w:val="CETBodytext"/>
              <w:ind w:right="-1"/>
              <w:rPr>
                <w:rFonts w:cs="Arial"/>
                <w:szCs w:val="18"/>
                <w:lang w:val="en-GB"/>
              </w:rPr>
            </w:pPr>
            <w:r>
              <w:rPr>
                <w:rFonts w:cs="Arial"/>
                <w:szCs w:val="18"/>
                <w:lang w:val="en-GB"/>
              </w:rPr>
              <w:t>1e-8 [m</w:t>
            </w:r>
            <w:r w:rsidRPr="007304A9">
              <w:rPr>
                <w:rFonts w:cs="Arial"/>
                <w:szCs w:val="18"/>
                <w:vertAlign w:val="superscript"/>
                <w:lang w:val="en-GB"/>
              </w:rPr>
              <w:t>2</w:t>
            </w:r>
            <w:r>
              <w:rPr>
                <w:rFonts w:cs="Arial"/>
                <w:szCs w:val="18"/>
                <w:lang w:val="en-GB"/>
              </w:rPr>
              <w:t>/s]</w:t>
            </w:r>
          </w:p>
        </w:tc>
        <w:tc>
          <w:tcPr>
            <w:tcW w:w="851" w:type="dxa"/>
            <w:shd w:val="clear" w:color="auto" w:fill="FFFFFF"/>
          </w:tcPr>
          <w:p w14:paraId="3BECBD0E" w14:textId="74636E43" w:rsidR="00FE6AB2" w:rsidRDefault="00000000" w:rsidP="00FE6AB2">
            <w:pPr>
              <w:pStyle w:val="CETBodytext"/>
              <w:ind w:right="-1"/>
              <w:rPr>
                <w:rFonts w:cs="Arial"/>
                <w:szCs w:val="18"/>
                <w:lang w:val="en-GB"/>
              </w:rPr>
            </w:pPr>
            <m:oMathPara>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cool</m:t>
                    </m:r>
                  </m:sub>
                </m:sSub>
              </m:oMath>
            </m:oMathPara>
          </w:p>
        </w:tc>
        <w:tc>
          <w:tcPr>
            <w:tcW w:w="1417" w:type="dxa"/>
            <w:shd w:val="clear" w:color="auto" w:fill="FFFFFF"/>
          </w:tcPr>
          <w:p w14:paraId="041D8EBE" w14:textId="61AA79BE" w:rsidR="00FE6AB2" w:rsidRDefault="00FE6AB2" w:rsidP="00FE6AB2">
            <w:pPr>
              <w:pStyle w:val="CETBodytext"/>
              <w:ind w:right="-1"/>
              <w:rPr>
                <w:rFonts w:cs="Arial"/>
                <w:szCs w:val="18"/>
                <w:lang w:val="en-GB"/>
              </w:rPr>
            </w:pPr>
            <w:r>
              <w:rPr>
                <w:rFonts w:cs="Arial"/>
                <w:szCs w:val="18"/>
                <w:lang w:val="en-GB"/>
              </w:rPr>
              <w:t>0.001 [m/s]</w:t>
            </w:r>
          </w:p>
        </w:tc>
        <w:tc>
          <w:tcPr>
            <w:tcW w:w="1417" w:type="dxa"/>
            <w:shd w:val="clear" w:color="auto" w:fill="FFFFFF"/>
          </w:tcPr>
          <w:p w14:paraId="7CF9BB87" w14:textId="54D746FC" w:rsidR="00FE6AB2" w:rsidRDefault="00000000" w:rsidP="00FE6AB2">
            <w:pPr>
              <w:pStyle w:val="CETBodytext"/>
              <w:ind w:right="-1"/>
              <w:rPr>
                <w:rFonts w:cs="Arial"/>
                <w:szCs w:val="18"/>
                <w:lang w:val="en-GB"/>
              </w:rPr>
            </w:pPr>
            <m:oMathPara>
              <m:oMath>
                <m:sSub>
                  <m:sSubPr>
                    <m:ctrlPr>
                      <w:rPr>
                        <w:rFonts w:ascii="Cambria Math" w:hAnsi="Cambria Math" w:cs="Arial"/>
                        <w:i/>
                        <w:szCs w:val="18"/>
                        <w:lang w:val="en-GB"/>
                      </w:rPr>
                    </m:ctrlPr>
                  </m:sSubPr>
                  <m:e>
                    <m:r>
                      <w:rPr>
                        <w:rFonts w:ascii="Cambria Math" w:hAnsi="Cambria Math" w:cs="Arial"/>
                        <w:szCs w:val="18"/>
                        <w:lang w:val="en-GB"/>
                      </w:rPr>
                      <m:t>c</m:t>
                    </m:r>
                  </m:e>
                  <m:sub>
                    <m:r>
                      <w:rPr>
                        <w:rFonts w:ascii="Cambria Math" w:hAnsi="Cambria Math" w:cs="Arial"/>
                        <w:szCs w:val="18"/>
                        <w:lang w:val="en-GB"/>
                      </w:rPr>
                      <m:t>p</m:t>
                    </m:r>
                    <m:r>
                      <w:rPr>
                        <w:rFonts w:ascii="Cambria Math" w:hAnsi="Cambria Math" w:cs="Arial"/>
                        <w:szCs w:val="18"/>
                        <w:lang w:val="en-GB"/>
                      </w:rPr>
                      <m:t>,</m:t>
                    </m:r>
                    <m:r>
                      <w:rPr>
                        <w:rFonts w:ascii="Cambria Math" w:hAnsi="Cambria Math" w:cs="Arial"/>
                        <w:szCs w:val="18"/>
                        <w:lang w:val="en-GB"/>
                      </w:rPr>
                      <m:t>mix</m:t>
                    </m:r>
                  </m:sub>
                </m:sSub>
              </m:oMath>
            </m:oMathPara>
          </w:p>
        </w:tc>
        <w:tc>
          <w:tcPr>
            <w:tcW w:w="1417" w:type="dxa"/>
            <w:shd w:val="clear" w:color="auto" w:fill="FFFFFF"/>
          </w:tcPr>
          <w:p w14:paraId="139C2634" w14:textId="61CB07F0" w:rsidR="00FE6AB2" w:rsidRDefault="00FE6AB2" w:rsidP="00FE6AB2">
            <w:pPr>
              <w:pStyle w:val="CETBodytext"/>
              <w:ind w:right="-1"/>
              <w:rPr>
                <w:rFonts w:cs="Arial"/>
                <w:szCs w:val="18"/>
                <w:lang w:val="en-GB"/>
              </w:rPr>
            </w:pPr>
            <w:r>
              <w:rPr>
                <w:rFonts w:cs="Arial"/>
                <w:szCs w:val="18"/>
                <w:lang w:val="en-GB"/>
              </w:rPr>
              <w:t>2207 [J/kg K]</w:t>
            </w:r>
          </w:p>
        </w:tc>
      </w:tr>
      <w:tr w:rsidR="00FE6AB2" w:rsidRPr="00B57B36" w14:paraId="3D34382F" w14:textId="77777777" w:rsidTr="00174AD1">
        <w:tc>
          <w:tcPr>
            <w:tcW w:w="1134" w:type="dxa"/>
            <w:shd w:val="clear" w:color="auto" w:fill="FFFFFF"/>
          </w:tcPr>
          <w:p w14:paraId="7F44B1F5" w14:textId="6CA48A85" w:rsidR="00FE6AB2" w:rsidRDefault="00FE6AB2" w:rsidP="00FE6AB2">
            <w:pPr>
              <w:pStyle w:val="CETBodytext"/>
              <w:ind w:right="-1"/>
              <w:rPr>
                <w:szCs w:val="18"/>
                <w:lang w:val="en-GB"/>
              </w:rPr>
            </w:pPr>
            <m:oMathPara>
              <m:oMath>
                <m:r>
                  <w:rPr>
                    <w:rFonts w:ascii="Cambria Math" w:hAnsi="Cambria Math" w:cs="Arial"/>
                    <w:szCs w:val="18"/>
                    <w:lang w:val="en-GB"/>
                  </w:rPr>
                  <m:t>∆H</m:t>
                </m:r>
              </m:oMath>
            </m:oMathPara>
          </w:p>
        </w:tc>
        <w:tc>
          <w:tcPr>
            <w:tcW w:w="1417" w:type="dxa"/>
            <w:shd w:val="clear" w:color="auto" w:fill="FFFFFF"/>
          </w:tcPr>
          <w:p w14:paraId="096C0171" w14:textId="7F630F51" w:rsidR="00FE6AB2" w:rsidRDefault="00FE6AB2" w:rsidP="00FE6AB2">
            <w:pPr>
              <w:pStyle w:val="CETBodytext"/>
              <w:ind w:right="-1"/>
              <w:rPr>
                <w:rFonts w:cs="Arial"/>
                <w:szCs w:val="18"/>
                <w:lang w:val="en-GB"/>
              </w:rPr>
            </w:pPr>
            <w:r>
              <w:rPr>
                <w:rFonts w:cs="Arial"/>
                <w:szCs w:val="18"/>
                <w:lang w:val="en-GB"/>
              </w:rPr>
              <w:t>6.706e9 [J/</w:t>
            </w:r>
            <w:proofErr w:type="spellStart"/>
            <w:r>
              <w:rPr>
                <w:rFonts w:cs="Arial"/>
                <w:szCs w:val="18"/>
                <w:lang w:val="en-GB"/>
              </w:rPr>
              <w:t>kmol</w:t>
            </w:r>
            <w:proofErr w:type="spellEnd"/>
            <w:r>
              <w:rPr>
                <w:rFonts w:cs="Arial"/>
                <w:szCs w:val="18"/>
                <w:lang w:val="en-GB"/>
              </w:rPr>
              <w:t>]</w:t>
            </w:r>
          </w:p>
        </w:tc>
        <w:tc>
          <w:tcPr>
            <w:tcW w:w="851" w:type="dxa"/>
            <w:shd w:val="clear" w:color="auto" w:fill="FFFFFF"/>
          </w:tcPr>
          <w:p w14:paraId="0F7FF2CB" w14:textId="2C3004ED" w:rsidR="00FE6AB2" w:rsidRDefault="00FE6AB2" w:rsidP="00FE6AB2">
            <w:pPr>
              <w:pStyle w:val="CETBodytext"/>
              <w:ind w:right="-1"/>
              <w:rPr>
                <w:rFonts w:cs="Arial"/>
                <w:szCs w:val="18"/>
                <w:lang w:val="en-GB"/>
              </w:rPr>
            </w:pPr>
          </w:p>
        </w:tc>
        <w:tc>
          <w:tcPr>
            <w:tcW w:w="1417" w:type="dxa"/>
            <w:shd w:val="clear" w:color="auto" w:fill="FFFFFF"/>
          </w:tcPr>
          <w:p w14:paraId="3A9205B3" w14:textId="393E758A" w:rsidR="00FE6AB2" w:rsidRDefault="00FE6AB2" w:rsidP="00FE6AB2">
            <w:pPr>
              <w:pStyle w:val="CETBodytext"/>
              <w:ind w:right="-1"/>
              <w:rPr>
                <w:rFonts w:cs="Arial"/>
                <w:szCs w:val="18"/>
                <w:lang w:val="en-GB"/>
              </w:rPr>
            </w:pPr>
          </w:p>
        </w:tc>
        <w:tc>
          <w:tcPr>
            <w:tcW w:w="1417" w:type="dxa"/>
            <w:shd w:val="clear" w:color="auto" w:fill="FFFFFF"/>
          </w:tcPr>
          <w:p w14:paraId="0EF18776" w14:textId="7FB1E4CC" w:rsidR="00FE6AB2" w:rsidRDefault="00FE6AB2" w:rsidP="00FE6AB2">
            <w:pPr>
              <w:pStyle w:val="CETBodytext"/>
              <w:ind w:right="-1"/>
              <w:rPr>
                <w:rFonts w:cs="Arial"/>
                <w:szCs w:val="18"/>
                <w:lang w:val="en-GB"/>
              </w:rPr>
            </w:pPr>
            <m:oMathPara>
              <m:oMath>
                <m:r>
                  <w:rPr>
                    <w:rFonts w:ascii="Cambria Math" w:hAnsi="Cambria Math" w:cs="Arial"/>
                    <w:szCs w:val="18"/>
                    <w:lang w:val="en-GB"/>
                  </w:rPr>
                  <m:t>s</m:t>
                </m:r>
              </m:oMath>
            </m:oMathPara>
          </w:p>
        </w:tc>
        <w:tc>
          <w:tcPr>
            <w:tcW w:w="1417" w:type="dxa"/>
            <w:shd w:val="clear" w:color="auto" w:fill="FFFFFF"/>
          </w:tcPr>
          <w:p w14:paraId="62E66EC4" w14:textId="66A35F57" w:rsidR="00FE6AB2" w:rsidRDefault="00FE6AB2" w:rsidP="00FE6AB2">
            <w:pPr>
              <w:pStyle w:val="CETBodytext"/>
              <w:ind w:right="-1"/>
              <w:rPr>
                <w:rFonts w:cs="Arial"/>
                <w:szCs w:val="18"/>
                <w:lang w:val="en-GB"/>
              </w:rPr>
            </w:pPr>
            <w:r>
              <w:rPr>
                <w:rFonts w:cs="Arial"/>
                <w:szCs w:val="18"/>
                <w:lang w:val="en-GB"/>
              </w:rPr>
              <w:t>0.1 [mm]</w:t>
            </w:r>
          </w:p>
        </w:tc>
      </w:tr>
    </w:tbl>
    <w:p w14:paraId="0D6E7CF7" w14:textId="39421C5C" w:rsidR="00E30E0B" w:rsidRDefault="00FD4B70" w:rsidP="002C2286">
      <w:pPr>
        <w:pStyle w:val="CETBodytext"/>
        <w:spacing w:before="240"/>
        <w:rPr>
          <w:lang w:val="en-GB"/>
        </w:rPr>
      </w:pPr>
      <w:r>
        <w:rPr>
          <w:lang w:val="en-GB"/>
        </w:rPr>
        <w:t>T</w:t>
      </w:r>
      <w:r w:rsidR="00FE28A4">
        <w:rPr>
          <w:lang w:val="en-GB"/>
        </w:rPr>
        <w:t xml:space="preserve">he overall heat transfer coefficient </w:t>
      </w:r>
      <w:r w:rsidR="00332ABA">
        <w:rPr>
          <w:lang w:val="en-GB"/>
        </w:rPr>
        <w:t>was</w:t>
      </w:r>
      <w:r w:rsidR="00FE28A4">
        <w:rPr>
          <w:lang w:val="en-GB"/>
        </w:rPr>
        <w:t xml:space="preserve"> calculated</w:t>
      </w:r>
      <w:r w:rsidR="00332ABA">
        <w:rPr>
          <w:lang w:val="en-GB"/>
        </w:rPr>
        <w:t>, case by case,</w:t>
      </w:r>
      <w:r w:rsidR="00FE28A4">
        <w:rPr>
          <w:lang w:val="en-GB"/>
        </w:rPr>
        <w:t xml:space="preserve"> </w:t>
      </w:r>
      <w:r w:rsidR="001E5E7D">
        <w:rPr>
          <w:lang w:val="en-GB"/>
        </w:rPr>
        <w:t xml:space="preserve">considering the presence of an external bath of </w:t>
      </w:r>
      <w:r w:rsidR="00332ABA">
        <w:rPr>
          <w:lang w:val="en-GB"/>
        </w:rPr>
        <w:t xml:space="preserve">static silicon oil at a temperature equal to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w</m:t>
            </m:r>
          </m:sub>
        </m:sSub>
      </m:oMath>
      <w:r w:rsidR="00332ABA">
        <w:rPr>
          <w:lang w:val="en-GB"/>
        </w:rPr>
        <w:t xml:space="preserve"> (which is variable in the simulations</w:t>
      </w:r>
      <w:r w:rsidR="00D16FAD">
        <w:rPr>
          <w:lang w:val="en-GB"/>
        </w:rPr>
        <w:t xml:space="preserve"> but </w:t>
      </w:r>
      <w:r w:rsidR="003A23EB">
        <w:rPr>
          <w:lang w:val="en-GB"/>
        </w:rPr>
        <w:t xml:space="preserve">always </w:t>
      </w:r>
      <w:r w:rsidR="00B4108A">
        <w:rPr>
          <w:lang w:val="en-GB"/>
        </w:rPr>
        <w:t>considering</w:t>
      </w:r>
      <w:r w:rsidR="00D16FAD">
        <w:rPr>
          <w:lang w:val="en-GB"/>
        </w:rPr>
        <w:t xml:space="preserve"> that </w:t>
      </w:r>
      <w:r w:rsidR="00601B1D">
        <w:rPr>
          <w:lang w:val="en-GB"/>
        </w:rPr>
        <w:t>d</w:t>
      </w:r>
      <w:r w:rsidR="00601B1D" w:rsidRPr="00F62B99">
        <w:rPr>
          <w:lang w:val="en-GB"/>
        </w:rPr>
        <w:t>odecane boils at 216.3</w:t>
      </w:r>
      <w:r w:rsidR="00601B1D">
        <w:rPr>
          <w:lang w:val="en-GB"/>
        </w:rPr>
        <w:t xml:space="preserve"> </w:t>
      </w:r>
      <w:r w:rsidR="00601B1D" w:rsidRPr="00F62B99">
        <w:rPr>
          <w:lang w:val="en-GB"/>
        </w:rPr>
        <w:t>°C, and this is a limit for the operating temperatures</w:t>
      </w:r>
      <w:r w:rsidR="00332ABA">
        <w:rPr>
          <w:lang w:val="en-GB"/>
        </w:rPr>
        <w:t>)</w:t>
      </w:r>
      <w:r w:rsidR="00E30E0B">
        <w:rPr>
          <w:lang w:val="en-GB"/>
        </w:rPr>
        <w:t xml:space="preserve"> according to Eq.</w:t>
      </w:r>
      <w:r w:rsidR="008A1C25">
        <w:rPr>
          <w:lang w:val="en-GB"/>
        </w:rPr>
        <w:t xml:space="preserve"> </w:t>
      </w:r>
      <w:r w:rsidR="00E30E0B">
        <w:rPr>
          <w:lang w:val="en-GB"/>
        </w:rPr>
        <w:t>(5)</w:t>
      </w:r>
      <w:r w:rsidR="00332ABA">
        <w:rPr>
          <w:lang w:val="en-GB"/>
        </w:rPr>
        <w:t>.</w:t>
      </w:r>
      <w:r w:rsidR="001D4D81">
        <w:rPr>
          <w:lang w:val="en-GB"/>
        </w:rPr>
        <w:t xml:space="preserve"> </w:t>
      </w:r>
    </w:p>
    <w:p w14:paraId="17958506" w14:textId="33462A54" w:rsidR="001D4D81" w:rsidRDefault="00000000" w:rsidP="002C2286">
      <w:pPr>
        <w:pStyle w:val="CETBodytext"/>
        <w:spacing w:before="240"/>
        <w:rPr>
          <w:lang w:val="en-GB"/>
        </w:rPr>
      </w:pP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U</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i</m:t>
                </m:r>
              </m:sub>
            </m:sSub>
          </m:den>
        </m:f>
        <m:r>
          <w:rPr>
            <w:rFonts w:ascii="Cambria Math" w:hAnsi="Cambria Math"/>
            <w:lang w:val="en-GB"/>
          </w:rPr>
          <m:t>+</m:t>
        </m:r>
        <m:r>
          <w:rPr>
            <w:rFonts w:ascii="Cambria Math" w:hAnsi="Cambria Math"/>
            <w:lang w:val="en-GB"/>
          </w:rPr>
          <m:t>s</m:t>
        </m:r>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m:t>
                </m:r>
              </m:sub>
            </m:sSub>
          </m:num>
          <m:den>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r</m:t>
                </m:r>
              </m:sub>
            </m:sSub>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ln</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m:t>
                </m:r>
              </m:sub>
            </m:sSub>
          </m:num>
          <m:den>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e</m:t>
                </m:r>
              </m:sub>
            </m:sSub>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e</m:t>
                </m:r>
              </m:sub>
            </m:sSub>
          </m:den>
        </m:f>
      </m:oMath>
      <w:r w:rsidR="001D4D81">
        <w:rPr>
          <w:lang w:val="en-GB"/>
        </w:rPr>
        <w:tab/>
      </w:r>
      <w:r w:rsidR="00F71984">
        <w:rPr>
          <w:lang w:val="en-GB"/>
        </w:rPr>
        <w:tab/>
      </w:r>
      <w:r w:rsidR="00F71984">
        <w:rPr>
          <w:lang w:val="en-GB"/>
        </w:rPr>
        <w:tab/>
      </w:r>
      <w:r w:rsidR="001D4D81">
        <w:rPr>
          <w:lang w:val="en-GB"/>
        </w:rPr>
        <w:t>(5)</w:t>
      </w:r>
    </w:p>
    <w:p w14:paraId="1D757980" w14:textId="2140FD08" w:rsidR="001D4D81" w:rsidRDefault="001D4D81" w:rsidP="002C2286">
      <w:pPr>
        <w:pStyle w:val="CETBodytext"/>
        <w:spacing w:before="240"/>
        <w:rPr>
          <w:lang w:val="en-GB"/>
        </w:rPr>
      </w:pPr>
      <w:r>
        <w:rPr>
          <w:lang w:val="en-GB"/>
        </w:rPr>
        <w:t>where:</w:t>
      </w:r>
    </w:p>
    <w:p w14:paraId="30FD3F06" w14:textId="2930E3CC" w:rsidR="00D9187E" w:rsidRDefault="00000000" w:rsidP="002C2286">
      <w:pPr>
        <w:pStyle w:val="CETBodytext"/>
        <w:spacing w:before="240"/>
        <w:rPr>
          <w:lang w:val="en-GB"/>
        </w:rPr>
      </w:pP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m:t>
            </m:r>
          </m:sub>
        </m:sSub>
        <m:r>
          <w:rPr>
            <w:rFonts w:ascii="Cambria Math" w:hAnsi="Cambria Math"/>
            <w:lang w:val="en-GB"/>
          </w:rPr>
          <m:t>=</m:t>
        </m:r>
        <m:r>
          <w:rPr>
            <w:rFonts w:ascii="Cambria Math" w:hAnsi="Cambria Math"/>
            <w:lang w:val="en-GB"/>
          </w:rPr>
          <m:t>π</m:t>
        </m:r>
        <m:r>
          <w:rPr>
            <w:rFonts w:ascii="Cambria Math" w:hAnsi="Cambria Math"/>
            <w:lang w:val="en-GB"/>
          </w:rPr>
          <m:t>2</m:t>
        </m:r>
        <m:r>
          <w:rPr>
            <w:rFonts w:ascii="Cambria Math" w:hAnsi="Cambria Math"/>
            <w:lang w:val="en-GB"/>
          </w:rPr>
          <m:t>RL</m:t>
        </m:r>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e</m:t>
            </m:r>
          </m:sub>
        </m:sSub>
        <m:r>
          <w:rPr>
            <w:rFonts w:ascii="Cambria Math" w:hAnsi="Cambria Math"/>
            <w:lang w:val="en-GB"/>
          </w:rPr>
          <m:t>=</m:t>
        </m:r>
        <m:r>
          <w:rPr>
            <w:rFonts w:ascii="Cambria Math" w:hAnsi="Cambria Math"/>
            <w:lang w:val="en-GB"/>
          </w:rPr>
          <m:t>π</m:t>
        </m:r>
        <m:r>
          <w:rPr>
            <w:rFonts w:ascii="Cambria Math" w:hAnsi="Cambria Math"/>
            <w:lang w:val="en-GB"/>
          </w:rPr>
          <m:t>2</m:t>
        </m:r>
        <m:d>
          <m:dPr>
            <m:ctrlPr>
              <w:rPr>
                <w:rFonts w:ascii="Cambria Math" w:hAnsi="Cambria Math"/>
                <w:i/>
                <w:lang w:val="en-GB"/>
              </w:rPr>
            </m:ctrlPr>
          </m:dPr>
          <m:e>
            <m:r>
              <w:rPr>
                <w:rFonts w:ascii="Cambria Math" w:hAnsi="Cambria Math"/>
                <w:lang w:val="en-GB"/>
              </w:rPr>
              <m:t>R</m:t>
            </m:r>
            <m:r>
              <w:rPr>
                <w:rFonts w:ascii="Cambria Math" w:hAnsi="Cambria Math"/>
                <w:lang w:val="en-GB"/>
              </w:rPr>
              <m:t>+</m:t>
            </m:r>
            <m:r>
              <w:rPr>
                <w:rFonts w:ascii="Cambria Math" w:hAnsi="Cambria Math"/>
                <w:lang w:val="en-GB"/>
              </w:rPr>
              <m:t>s</m:t>
            </m:r>
          </m:e>
        </m:d>
        <m:r>
          <w:rPr>
            <w:rFonts w:ascii="Cambria Math" w:hAnsi="Cambria Math"/>
            <w:lang w:val="en-GB"/>
          </w:rPr>
          <m:t>L</m:t>
        </m:r>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ln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m:t>
            </m:r>
            <m:r>
              <w:rPr>
                <w:rFonts w:ascii="Cambria Math" w:hAnsi="Cambria Math"/>
                <w:lang w:val="en-GB"/>
              </w:rPr>
              <m:t>A</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e</m:t>
            </m:r>
          </m:sub>
        </m:sSub>
        <m:r>
          <w:rPr>
            <w:rFonts w:ascii="Cambria Math" w:hAnsi="Cambria Math"/>
            <w:lang w:val="en-GB"/>
          </w:rPr>
          <m:t>)/</m:t>
        </m:r>
        <m:r>
          <m:rPr>
            <m:sty m:val="p"/>
          </m:rPr>
          <w:rPr>
            <w:rFonts w:ascii="Cambria Math" w:hAnsi="Cambria Math"/>
            <w:lang w:val="en-GB"/>
          </w:rPr>
          <m:t>ln⁡</m:t>
        </m:r>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e</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i</m:t>
            </m:r>
            <m:r>
              <w:rPr>
                <w:rFonts w:ascii="Cambria Math" w:hAnsi="Cambria Math"/>
                <w:lang w:val="en-GB"/>
              </w:rPr>
              <m:t>/</m:t>
            </m:r>
            <m:r>
              <w:rPr>
                <w:rFonts w:ascii="Cambria Math" w:hAnsi="Cambria Math"/>
                <w:lang w:val="en-GB"/>
              </w:rPr>
              <m:t>e</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N</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i</m:t>
                </m:r>
                <m:r>
                  <w:rPr>
                    <w:rFonts w:ascii="Cambria Math" w:hAnsi="Cambria Math"/>
                    <w:lang w:val="en-GB"/>
                  </w:rPr>
                  <m:t>/</m:t>
                </m:r>
                <m:r>
                  <w:rPr>
                    <w:rFonts w:ascii="Cambria Math" w:hAnsi="Cambria Math"/>
                    <w:lang w:val="en-GB"/>
                  </w:rPr>
                  <m:t>e</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r>
                  <w:rPr>
                    <w:rFonts w:ascii="Cambria Math" w:hAnsi="Cambria Math"/>
                    <w:lang w:val="en-GB"/>
                  </w:rPr>
                  <m:t>/</m:t>
                </m:r>
                <m:r>
                  <w:rPr>
                    <w:rFonts w:ascii="Cambria Math" w:hAnsi="Cambria Math"/>
                    <w:lang w:val="en-GB"/>
                  </w:rPr>
                  <m:t>e</m:t>
                </m:r>
              </m:sub>
            </m:sSub>
          </m:num>
          <m:den>
            <m:r>
              <w:rPr>
                <w:rFonts w:ascii="Cambria Math" w:hAnsi="Cambria Math"/>
                <w:lang w:val="en-GB"/>
              </w:rPr>
              <m:t>2</m:t>
            </m:r>
            <m:r>
              <w:rPr>
                <w:rFonts w:ascii="Cambria Math" w:hAnsi="Cambria Math"/>
                <w:lang w:val="en-GB"/>
              </w:rPr>
              <m:t>R</m:t>
            </m:r>
            <m:r>
              <w:rPr>
                <w:rFonts w:ascii="Cambria Math" w:hAnsi="Cambria Math"/>
                <w:lang w:val="en-GB"/>
              </w:rPr>
              <m:t>(</m:t>
            </m:r>
            <m:r>
              <w:rPr>
                <w:rFonts w:ascii="Cambria Math" w:hAnsi="Cambria Math"/>
                <w:lang w:val="en-GB"/>
              </w:rPr>
              <m:t>or</m:t>
            </m:r>
            <m:r>
              <w:rPr>
                <w:rFonts w:ascii="Cambria Math" w:hAnsi="Cambria Math"/>
                <w:lang w:val="en-GB"/>
              </w:rPr>
              <m:t xml:space="preserve"> </m:t>
            </m:r>
            <m:r>
              <w:rPr>
                <w:rFonts w:ascii="Cambria Math" w:hAnsi="Cambria Math"/>
                <w:lang w:val="en-GB"/>
              </w:rPr>
              <m:t>R</m:t>
            </m:r>
            <m:r>
              <w:rPr>
                <w:rFonts w:ascii="Cambria Math" w:hAnsi="Cambria Math"/>
                <w:lang w:val="en-GB"/>
              </w:rPr>
              <m:t>+</m:t>
            </m:r>
            <m:r>
              <w:rPr>
                <w:rFonts w:ascii="Cambria Math" w:hAnsi="Cambria Math"/>
                <w:lang w:val="en-GB"/>
              </w:rPr>
              <m:t>s</m:t>
            </m:r>
            <m:r>
              <w:rPr>
                <w:rFonts w:ascii="Cambria Math" w:hAnsi="Cambria Math"/>
                <w:lang w:val="en-GB"/>
              </w:rPr>
              <m:t>)</m:t>
            </m:r>
          </m:den>
        </m:f>
      </m:oMath>
      <w:r w:rsidR="00C36FCC">
        <w:rPr>
          <w:lang w:val="en-GB"/>
        </w:rPr>
        <w:tab/>
      </w:r>
      <w:r w:rsidR="00F71984">
        <w:rPr>
          <w:lang w:val="en-GB"/>
        </w:rPr>
        <w:tab/>
      </w:r>
      <w:r w:rsidR="00F71984">
        <w:rPr>
          <w:lang w:val="en-GB"/>
        </w:rPr>
        <w:tab/>
      </w:r>
      <w:r w:rsidR="00C36FCC">
        <w:rPr>
          <w:lang w:val="en-GB"/>
        </w:rPr>
        <w:t>(</w:t>
      </w:r>
      <w:r w:rsidR="00657380">
        <w:rPr>
          <w:lang w:val="en-GB"/>
        </w:rPr>
        <w:t>6</w:t>
      </w:r>
      <w:r w:rsidR="00C36FCC">
        <w:rPr>
          <w:lang w:val="en-GB"/>
        </w:rPr>
        <w:t>)</w:t>
      </w:r>
    </w:p>
    <w:p w14:paraId="54C686FD" w14:textId="79E3301C" w:rsidR="007C1389" w:rsidRDefault="003667FA" w:rsidP="00430885">
      <w:pPr>
        <w:pStyle w:val="CETBodytext"/>
        <w:spacing w:before="240"/>
        <w:rPr>
          <w:lang w:val="en-GB"/>
        </w:rPr>
      </w:pPr>
      <m:oMath>
        <m:r>
          <w:rPr>
            <w:rFonts w:ascii="Cambria Math" w:hAnsi="Cambria Math"/>
            <w:lang w:val="en-GB"/>
          </w:rPr>
          <w:lastRenderedPageBreak/>
          <m:t>N</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i/e</m:t>
            </m:r>
          </m:sub>
        </m:sSub>
        <m:r>
          <w:rPr>
            <w:rFonts w:ascii="Cambria Math" w:hAnsi="Cambria Math"/>
            <w:lang w:val="en-GB"/>
          </w:rPr>
          <m:t>=3.66∙0.85∙G</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i/e</m:t>
            </m:r>
          </m:sub>
        </m:sSub>
        <m:r>
          <w:rPr>
            <w:rFonts w:ascii="Cambria Math" w:hAnsi="Cambria Math"/>
            <w:lang w:val="en-GB"/>
          </w:rPr>
          <m:t>∙</m:t>
        </m:r>
        <m:f>
          <m:fPr>
            <m:ctrlPr>
              <w:rPr>
                <w:rFonts w:ascii="Cambria Math" w:hAnsi="Cambria Math"/>
                <w:i/>
                <w:lang w:val="en-GB"/>
              </w:rPr>
            </m:ctrlPr>
          </m:fPr>
          <m:num>
            <m:sSup>
              <m:sSupPr>
                <m:ctrlPr>
                  <w:rPr>
                    <w:rFonts w:ascii="Cambria Math" w:hAnsi="Cambria Math"/>
                    <w:i/>
                    <w:lang w:val="en-GB"/>
                  </w:rPr>
                </m:ctrlPr>
              </m:sSupPr>
              <m:e>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μ</m:t>
                            </m:r>
                          </m:e>
                          <m:sub>
                            <m:f>
                              <m:fPr>
                                <m:ctrlPr>
                                  <w:rPr>
                                    <w:rFonts w:ascii="Cambria Math" w:hAnsi="Cambria Math"/>
                                    <w:i/>
                                    <w:lang w:val="en-GB"/>
                                  </w:rPr>
                                </m:ctrlPr>
                              </m:fPr>
                              <m:num>
                                <m:r>
                                  <w:rPr>
                                    <w:rFonts w:ascii="Cambria Math" w:hAnsi="Cambria Math"/>
                                    <w:lang w:val="en-GB"/>
                                  </w:rPr>
                                  <m:t>mix</m:t>
                                </m:r>
                              </m:num>
                              <m:den>
                                <m:r>
                                  <w:rPr>
                                    <w:rFonts w:ascii="Cambria Math" w:hAnsi="Cambria Math"/>
                                    <w:lang w:val="en-GB"/>
                                  </w:rPr>
                                  <m:t>cool</m:t>
                                </m:r>
                              </m:den>
                            </m:f>
                          </m:sub>
                        </m:sSub>
                      </m:num>
                      <m:den>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W</m:t>
                            </m:r>
                          </m:sub>
                        </m:sSub>
                      </m:den>
                    </m:f>
                  </m:e>
                </m:d>
              </m:e>
              <m:sup>
                <m:r>
                  <w:rPr>
                    <w:rFonts w:ascii="Cambria Math" w:hAnsi="Cambria Math"/>
                    <w:lang w:val="en-GB"/>
                  </w:rPr>
                  <m:t>0.14</m:t>
                </m:r>
              </m:sup>
            </m:sSup>
          </m:num>
          <m:den>
            <m:r>
              <w:rPr>
                <w:rFonts w:ascii="Cambria Math" w:hAnsi="Cambria Math"/>
                <w:lang w:val="en-GB"/>
              </w:rPr>
              <m:t>1+0.045∙G</m:t>
            </m:r>
            <m:sSubSup>
              <m:sSubSupPr>
                <m:ctrlPr>
                  <w:rPr>
                    <w:rFonts w:ascii="Cambria Math" w:hAnsi="Cambria Math"/>
                    <w:i/>
                    <w:lang w:val="en-GB"/>
                  </w:rPr>
                </m:ctrlPr>
              </m:sSubSupPr>
              <m:e>
                <m:r>
                  <w:rPr>
                    <w:rFonts w:ascii="Cambria Math" w:hAnsi="Cambria Math"/>
                    <w:lang w:val="en-GB"/>
                  </w:rPr>
                  <m:t>r</m:t>
                </m:r>
              </m:e>
              <m:sub>
                <m:r>
                  <w:rPr>
                    <w:rFonts w:ascii="Cambria Math" w:hAnsi="Cambria Math"/>
                    <w:lang w:val="en-GB"/>
                  </w:rPr>
                  <m:t>i/e</m:t>
                </m:r>
              </m:sub>
              <m:sup>
                <m:r>
                  <w:rPr>
                    <w:rFonts w:ascii="Cambria Math" w:hAnsi="Cambria Math"/>
                    <w:lang w:val="en-GB"/>
                  </w:rPr>
                  <m:t>0.66</m:t>
                </m:r>
              </m:sup>
            </m:sSubSup>
          </m:den>
        </m:f>
        <m:r>
          <w:rPr>
            <w:rFonts w:ascii="Cambria Math" w:hAnsi="Cambria Math"/>
            <w:lang w:val="en-GB"/>
          </w:rPr>
          <m:t xml:space="preserve">     G</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i/e</m:t>
            </m:r>
          </m:sub>
        </m:sSub>
        <m:r>
          <w:rPr>
            <w:rFonts w:ascii="Cambria Math" w:hAnsi="Cambria Math"/>
            <w:lang w:val="en-GB"/>
          </w:rPr>
          <m:t>=R</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i/e</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Pr</m:t>
            </m:r>
          </m:e>
          <m:sub>
            <m:r>
              <w:rPr>
                <w:rFonts w:ascii="Cambria Math" w:hAnsi="Cambria Math"/>
                <w:lang w:val="en-GB"/>
              </w:rPr>
              <m:t>i/e</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2R</m:t>
            </m:r>
            <m:d>
              <m:dPr>
                <m:ctrlPr>
                  <w:rPr>
                    <w:rFonts w:ascii="Cambria Math" w:hAnsi="Cambria Math"/>
                    <w:i/>
                    <w:lang w:val="en-GB"/>
                  </w:rPr>
                </m:ctrlPr>
              </m:dPr>
              <m:e>
                <m:r>
                  <w:rPr>
                    <w:rFonts w:ascii="Cambria Math" w:hAnsi="Cambria Math"/>
                    <w:lang w:val="en-GB"/>
                  </w:rPr>
                  <m:t>or R+s</m:t>
                </m:r>
              </m:e>
            </m:d>
          </m:num>
          <m:den>
            <m:r>
              <w:rPr>
                <w:rFonts w:ascii="Cambria Math" w:hAnsi="Cambria Math"/>
                <w:lang w:val="en-GB"/>
              </w:rPr>
              <m:t>L</m:t>
            </m:r>
          </m:den>
        </m:f>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Pr</m:t>
            </m:r>
          </m:e>
          <m:sub>
            <m:r>
              <w:rPr>
                <w:rFonts w:ascii="Cambria Math" w:hAnsi="Cambria Math"/>
                <w:lang w:val="en-GB"/>
              </w:rPr>
              <m:t>i/e</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p,(mix,cool)</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mix/cool</m:t>
                </m:r>
              </m:sub>
            </m:sSub>
          </m:num>
          <m:den>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mix/cool</m:t>
                </m:r>
              </m:sub>
            </m:sSub>
          </m:den>
        </m:f>
      </m:oMath>
      <w:r w:rsidR="00EB09A7">
        <w:rPr>
          <w:lang w:val="en-GB"/>
        </w:rPr>
        <w:tab/>
        <w:t>(</w:t>
      </w:r>
      <w:r w:rsidR="00657380">
        <w:rPr>
          <w:lang w:val="en-GB"/>
        </w:rPr>
        <w:t>7</w:t>
      </w:r>
      <w:r w:rsidR="00EB09A7">
        <w:rPr>
          <w:lang w:val="en-GB"/>
        </w:rPr>
        <w:t>)</w:t>
      </w:r>
    </w:p>
    <w:p w14:paraId="7E81FFC9" w14:textId="7D868014" w:rsidR="00A51E2F" w:rsidRDefault="00A51E2F" w:rsidP="00EB09A7">
      <w:pPr>
        <w:pStyle w:val="CETBodytext"/>
        <w:spacing w:before="240" w:after="240"/>
        <w:rPr>
          <w:lang w:val="en-GB"/>
        </w:rPr>
      </w:pPr>
      <m:oMath>
        <m:r>
          <w:rPr>
            <w:rFonts w:ascii="Cambria Math" w:hAnsi="Cambria Math"/>
            <w:lang w:val="en-GB"/>
          </w:rPr>
          <m:t>R</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i/e</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mix/cool</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0/cool</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2R</m:t>
            </m:r>
            <m:d>
              <m:dPr>
                <m:ctrlPr>
                  <w:rPr>
                    <w:rFonts w:ascii="Cambria Math" w:hAnsi="Cambria Math"/>
                    <w:i/>
                    <w:lang w:val="en-GB"/>
                  </w:rPr>
                </m:ctrlPr>
              </m:dPr>
              <m:e>
                <m:r>
                  <w:rPr>
                    <w:rFonts w:ascii="Cambria Math" w:hAnsi="Cambria Math"/>
                    <w:lang w:val="en-GB"/>
                  </w:rPr>
                  <m:t>or R+s</m:t>
                </m:r>
              </m:e>
            </m:d>
          </m:num>
          <m:den>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mix/cool</m:t>
                </m:r>
              </m:sub>
            </m:sSub>
          </m:den>
        </m:f>
      </m:oMath>
      <w:r>
        <w:rPr>
          <w:lang w:val="en-GB"/>
        </w:rPr>
        <w:tab/>
      </w:r>
      <w:r w:rsidR="00F71984">
        <w:rPr>
          <w:lang w:val="en-GB"/>
        </w:rPr>
        <w:tab/>
      </w:r>
      <w:r w:rsidR="00F71984">
        <w:rPr>
          <w:lang w:val="en-GB"/>
        </w:rPr>
        <w:tab/>
      </w:r>
      <w:r>
        <w:rPr>
          <w:lang w:val="en-GB"/>
        </w:rPr>
        <w:t>(</w:t>
      </w:r>
      <w:r w:rsidR="00F71984">
        <w:rPr>
          <w:lang w:val="en-GB"/>
        </w:rPr>
        <w:t>8</w:t>
      </w:r>
      <w:r>
        <w:rPr>
          <w:lang w:val="en-GB"/>
        </w:rPr>
        <w:t>)</w:t>
      </w:r>
    </w:p>
    <w:p w14:paraId="5ED45DEF" w14:textId="4D506978" w:rsidR="00F62B99" w:rsidRDefault="00F62B99" w:rsidP="009469CD">
      <w:pPr>
        <w:pStyle w:val="CETBodytext"/>
        <w:rPr>
          <w:lang w:val="en-GB"/>
        </w:rPr>
      </w:pPr>
      <w:r w:rsidRPr="00F62B99">
        <w:rPr>
          <w:lang w:val="en-GB"/>
        </w:rPr>
        <w:t xml:space="preserve">It was chosen to </w:t>
      </w:r>
      <w:r w:rsidR="00F326D6">
        <w:rPr>
          <w:lang w:val="en-GB"/>
        </w:rPr>
        <w:t>simulate</w:t>
      </w:r>
      <w:r w:rsidRPr="00F62B99">
        <w:rPr>
          <w:lang w:val="en-GB"/>
        </w:rPr>
        <w:t xml:space="preserve"> a </w:t>
      </w:r>
      <w:r w:rsidR="001915DF">
        <w:rPr>
          <w:lang w:val="en-GB"/>
        </w:rPr>
        <w:t>mini-</w:t>
      </w:r>
      <w:r w:rsidRPr="00F62B99">
        <w:rPr>
          <w:lang w:val="en-GB"/>
        </w:rPr>
        <w:t>tubular reactor</w:t>
      </w:r>
      <w:r w:rsidR="001915DF">
        <w:rPr>
          <w:lang w:val="en-GB"/>
        </w:rPr>
        <w:t xml:space="preserve"> </w:t>
      </w:r>
      <w:r w:rsidRPr="00F62B99">
        <w:rPr>
          <w:lang w:val="en-GB"/>
        </w:rPr>
        <w:t xml:space="preserve">because </w:t>
      </w:r>
      <w:r w:rsidR="008A72C9">
        <w:rPr>
          <w:lang w:val="en-GB"/>
        </w:rPr>
        <w:t>it</w:t>
      </w:r>
      <w:r w:rsidRPr="00F62B99">
        <w:rPr>
          <w:lang w:val="en-GB"/>
        </w:rPr>
        <w:t xml:space="preserve"> is safer than a classic</w:t>
      </w:r>
      <w:r w:rsidR="002C55EC">
        <w:rPr>
          <w:lang w:val="en-GB"/>
        </w:rPr>
        <w:t>al</w:t>
      </w:r>
      <w:r w:rsidRPr="00F62B99">
        <w:rPr>
          <w:lang w:val="en-GB"/>
        </w:rPr>
        <w:t xml:space="preserve"> tank due to the </w:t>
      </w:r>
      <w:r w:rsidR="002C55EC">
        <w:rPr>
          <w:lang w:val="en-GB"/>
        </w:rPr>
        <w:t>smaller</w:t>
      </w:r>
      <w:r w:rsidR="002C55EC" w:rsidRPr="00F62B99">
        <w:rPr>
          <w:lang w:val="en-GB"/>
        </w:rPr>
        <w:t xml:space="preserve"> </w:t>
      </w:r>
      <w:r w:rsidRPr="00F62B99">
        <w:rPr>
          <w:lang w:val="en-GB"/>
        </w:rPr>
        <w:t>reactive volumes and the high surface-volume ratio, which gives an optimal exchange with the external jacket.</w:t>
      </w:r>
      <w:r w:rsidR="00F326D6">
        <w:rPr>
          <w:lang w:val="en-GB"/>
        </w:rPr>
        <w:t xml:space="preserve"> </w:t>
      </w:r>
      <w:r w:rsidRPr="00F62B99">
        <w:rPr>
          <w:lang w:val="en-GB"/>
        </w:rPr>
        <w:t>As carbon dioxide produced over the decomposition needs to be continuously vented to avoid reactor pressurization, a Teflon AF 2400</w:t>
      </w:r>
      <w:r w:rsidRPr="004B59BA">
        <w:rPr>
          <w:lang w:val="en-GB"/>
        </w:rPr>
        <w:t>®</w:t>
      </w:r>
      <w:r w:rsidRPr="00F62B99">
        <w:rPr>
          <w:lang w:val="en-GB"/>
        </w:rPr>
        <w:t xml:space="preserve"> tube, highly permeable with respect to carbon dioxide, was s</w:t>
      </w:r>
      <w:r w:rsidR="008A72C9">
        <w:rPr>
          <w:lang w:val="en-GB"/>
        </w:rPr>
        <w:t>imulated</w:t>
      </w:r>
      <w:r w:rsidRPr="00F62B99">
        <w:rPr>
          <w:lang w:val="en-GB"/>
        </w:rPr>
        <w:t xml:space="preserve">. The tubes </w:t>
      </w:r>
      <w:r w:rsidR="00825C0C">
        <w:rPr>
          <w:lang w:val="en-GB"/>
        </w:rPr>
        <w:t xml:space="preserve">commercially </w:t>
      </w:r>
      <w:r w:rsidRPr="00F62B99">
        <w:rPr>
          <w:lang w:val="en-GB"/>
        </w:rPr>
        <w:t xml:space="preserve">available have diameters </w:t>
      </w:r>
      <w:r w:rsidR="00224ADD">
        <w:rPr>
          <w:lang w:val="en-GB"/>
        </w:rPr>
        <w:t>(</w:t>
      </w:r>
      <w:r w:rsidR="00224ADD" w:rsidRPr="00224ADD">
        <w:rPr>
          <w:i/>
          <w:iCs/>
          <w:lang w:val="en-GB"/>
        </w:rPr>
        <w:t>2R</w:t>
      </w:r>
      <w:r w:rsidR="00224ADD">
        <w:rPr>
          <w:lang w:val="en-GB"/>
        </w:rPr>
        <w:t xml:space="preserve">) </w:t>
      </w:r>
      <w:r w:rsidRPr="00F62B99">
        <w:rPr>
          <w:lang w:val="en-GB"/>
        </w:rPr>
        <w:t xml:space="preserve">of 0.8, 3 and 6 mm and a thickness </w:t>
      </w:r>
      <w:r w:rsidR="008E3335">
        <w:rPr>
          <w:lang w:val="en-GB"/>
        </w:rPr>
        <w:t>(</w:t>
      </w:r>
      <w:r w:rsidR="008E3335" w:rsidRPr="008E3335">
        <w:rPr>
          <w:i/>
          <w:iCs/>
          <w:lang w:val="en-GB"/>
        </w:rPr>
        <w:t>s</w:t>
      </w:r>
      <w:r w:rsidR="008E3335">
        <w:rPr>
          <w:lang w:val="en-GB"/>
        </w:rPr>
        <w:t xml:space="preserve">) </w:t>
      </w:r>
      <w:r w:rsidRPr="00F62B99">
        <w:rPr>
          <w:lang w:val="en-GB"/>
        </w:rPr>
        <w:t xml:space="preserve">of 0.1 mm. </w:t>
      </w:r>
      <w:r w:rsidR="0049712A">
        <w:rPr>
          <w:lang w:val="en-GB"/>
        </w:rPr>
        <w:t>Inlet flowrates</w:t>
      </w:r>
      <w:r w:rsidR="00FD0AE3">
        <w:rPr>
          <w:lang w:val="en-GB"/>
        </w:rPr>
        <w:t xml:space="preserve"> (F</w:t>
      </w:r>
      <w:r w:rsidR="00FD0AE3">
        <w:rPr>
          <w:vertAlign w:val="subscript"/>
          <w:lang w:val="en-GB"/>
        </w:rPr>
        <w:t>max</w:t>
      </w:r>
      <w:r w:rsidR="00FD0AE3">
        <w:rPr>
          <w:lang w:val="en-GB"/>
        </w:rPr>
        <w:t>)</w:t>
      </w:r>
      <w:r w:rsidR="0049712A">
        <w:rPr>
          <w:lang w:val="en-GB"/>
        </w:rPr>
        <w:t xml:space="preserve"> used for the simulated were </w:t>
      </w:r>
      <w:r w:rsidR="0049712A" w:rsidRPr="00F62B99">
        <w:rPr>
          <w:lang w:val="en-GB"/>
        </w:rPr>
        <w:t>1</w:t>
      </w:r>
      <w:r w:rsidR="0049712A">
        <w:rPr>
          <w:lang w:val="en-GB"/>
        </w:rPr>
        <w:t xml:space="preserve">, </w:t>
      </w:r>
      <w:r w:rsidR="0049712A" w:rsidRPr="00F62B99">
        <w:rPr>
          <w:lang w:val="en-GB"/>
        </w:rPr>
        <w:t>4 and 10 mL/min</w:t>
      </w:r>
      <w:r w:rsidR="0049712A">
        <w:rPr>
          <w:lang w:val="en-GB"/>
        </w:rPr>
        <w:t xml:space="preserve"> because laminar conditions </w:t>
      </w:r>
      <w:r w:rsidR="00A33F90">
        <w:rPr>
          <w:lang w:val="en-GB"/>
        </w:rPr>
        <w:t>are required by Eq. (3).</w:t>
      </w:r>
    </w:p>
    <w:p w14:paraId="68D26B83" w14:textId="526670DF" w:rsidR="00600535" w:rsidRPr="00B57B36" w:rsidRDefault="00F62B99" w:rsidP="00600535">
      <w:pPr>
        <w:pStyle w:val="CETHeading1"/>
        <w:rPr>
          <w:lang w:val="en-GB"/>
        </w:rPr>
      </w:pPr>
      <w:r w:rsidRPr="00F62B99">
        <w:rPr>
          <w:lang w:val="en-GB"/>
        </w:rPr>
        <w:t>Results and discussion</w:t>
      </w:r>
    </w:p>
    <w:p w14:paraId="5B16EA5F" w14:textId="072314FD" w:rsidR="00F62B99" w:rsidRDefault="00F62B99" w:rsidP="00F62B99">
      <w:pPr>
        <w:pStyle w:val="CETBodytext"/>
        <w:rPr>
          <w:lang w:val="en-GB"/>
        </w:rPr>
      </w:pPr>
      <w:r w:rsidRPr="00F62B99">
        <w:rPr>
          <w:lang w:val="en-GB"/>
        </w:rPr>
        <w:t>Table</w:t>
      </w:r>
      <w:r w:rsidR="00D128E6">
        <w:rPr>
          <w:lang w:val="en-GB"/>
        </w:rPr>
        <w:t xml:space="preserve"> </w:t>
      </w:r>
      <w:r w:rsidR="00A856FB">
        <w:rPr>
          <w:lang w:val="en-GB"/>
        </w:rPr>
        <w:t>2</w:t>
      </w:r>
      <w:r w:rsidRPr="00F62B99">
        <w:rPr>
          <w:lang w:val="en-GB"/>
        </w:rPr>
        <w:t xml:space="preserve"> </w:t>
      </w:r>
      <w:r w:rsidR="00F87F07">
        <w:rPr>
          <w:lang w:val="en-GB"/>
        </w:rPr>
        <w:t xml:space="preserve">reports </w:t>
      </w:r>
      <w:r w:rsidR="00906694">
        <w:rPr>
          <w:lang w:val="en-GB"/>
        </w:rPr>
        <w:t xml:space="preserve">the calculated values of Reynolds numbers and </w:t>
      </w:r>
      <w:r w:rsidRPr="00F62B99">
        <w:rPr>
          <w:lang w:val="en-GB"/>
        </w:rPr>
        <w:t xml:space="preserve">heat transfer </w:t>
      </w:r>
      <w:r w:rsidR="00F14D49">
        <w:rPr>
          <w:lang w:val="en-GB"/>
        </w:rPr>
        <w:t xml:space="preserve">coefficients </w:t>
      </w:r>
      <w:r w:rsidRPr="00F62B99">
        <w:rPr>
          <w:lang w:val="en-GB"/>
        </w:rPr>
        <w:t xml:space="preserve">for </w:t>
      </w:r>
      <w:r w:rsidR="00906694">
        <w:rPr>
          <w:lang w:val="en-GB"/>
        </w:rPr>
        <w:t xml:space="preserve">all the </w:t>
      </w:r>
      <w:r w:rsidRPr="00F62B99">
        <w:rPr>
          <w:lang w:val="en-GB"/>
        </w:rPr>
        <w:t>different diameter/flow</w:t>
      </w:r>
      <w:r w:rsidR="00906694">
        <w:rPr>
          <w:lang w:val="en-GB"/>
        </w:rPr>
        <w:t>rate</w:t>
      </w:r>
      <w:r w:rsidRPr="00F62B99">
        <w:rPr>
          <w:lang w:val="en-GB"/>
        </w:rPr>
        <w:t xml:space="preserve"> combinations</w:t>
      </w:r>
      <w:r w:rsidR="00F14D49">
        <w:rPr>
          <w:lang w:val="en-GB"/>
        </w:rPr>
        <w:t xml:space="preserve"> </w:t>
      </w:r>
      <w:r w:rsidR="00906694">
        <w:rPr>
          <w:lang w:val="en-GB"/>
        </w:rPr>
        <w:t>simulated in this work</w:t>
      </w:r>
      <w:r w:rsidRPr="00F62B99">
        <w:rPr>
          <w:lang w:val="en-GB"/>
        </w:rPr>
        <w:t>.</w:t>
      </w:r>
    </w:p>
    <w:p w14:paraId="7DA9E38C" w14:textId="52BC795D" w:rsidR="00D128E6" w:rsidRPr="00B57B36" w:rsidRDefault="00D128E6" w:rsidP="00D128E6">
      <w:pPr>
        <w:pStyle w:val="CETTabletitle"/>
      </w:pPr>
      <w:r w:rsidRPr="00B57B36">
        <w:t xml:space="preserve">Table </w:t>
      </w:r>
      <w:r w:rsidR="00A856FB">
        <w:t>2</w:t>
      </w:r>
      <w:r w:rsidRPr="00B57B36">
        <w:t xml:space="preserve">: </w:t>
      </w:r>
      <w:r>
        <w:t>H</w:t>
      </w:r>
      <w:r w:rsidRPr="00F62B99">
        <w:t>eat transfer values and Reynolds numbers used for the different diameter/flow combinations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D128E6" w:rsidRPr="00B57B36" w14:paraId="18C0CB03" w14:textId="77777777" w:rsidTr="00356569">
        <w:tc>
          <w:tcPr>
            <w:tcW w:w="1134" w:type="dxa"/>
            <w:tcBorders>
              <w:top w:val="single" w:sz="12" w:space="0" w:color="008000"/>
              <w:bottom w:val="single" w:sz="6" w:space="0" w:color="008000"/>
            </w:tcBorders>
            <w:shd w:val="clear" w:color="auto" w:fill="FFFFFF"/>
          </w:tcPr>
          <w:p w14:paraId="798B6BC4" w14:textId="462BAB46" w:rsidR="00D128E6" w:rsidRPr="00B57B36" w:rsidRDefault="00D128E6" w:rsidP="00356569">
            <w:pPr>
              <w:pStyle w:val="CETBodytext"/>
              <w:rPr>
                <w:lang w:val="en-GB"/>
              </w:rPr>
            </w:pPr>
            <w:r>
              <w:rPr>
                <w:lang w:val="en-GB"/>
              </w:rPr>
              <w:t>F</w:t>
            </w:r>
            <w:r>
              <w:rPr>
                <w:vertAlign w:val="subscript"/>
                <w:lang w:val="en-GB"/>
              </w:rPr>
              <w:t>max</w:t>
            </w:r>
            <w:r>
              <w:rPr>
                <w:lang w:val="en-GB"/>
              </w:rPr>
              <w:t xml:space="preserve"> </w:t>
            </w:r>
            <w:r w:rsidR="007C2C35">
              <w:rPr>
                <w:lang w:val="en-GB"/>
              </w:rPr>
              <w:t>[</w:t>
            </w:r>
            <w:r>
              <w:rPr>
                <w:lang w:val="en-GB"/>
              </w:rPr>
              <w:t>mL/min</w:t>
            </w:r>
            <w:r w:rsidR="007C2C35">
              <w:rPr>
                <w:lang w:val="en-GB"/>
              </w:rPr>
              <w:t>]</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74B22C6B" w14:textId="77777777" w:rsidR="00D128E6" w:rsidRPr="00B57B36" w:rsidRDefault="00D128E6" w:rsidP="00356569">
            <w:pPr>
              <w:pStyle w:val="CETBodytext"/>
              <w:rPr>
                <w:lang w:val="en-GB"/>
              </w:rPr>
            </w:pPr>
          </w:p>
        </w:tc>
        <w:tc>
          <w:tcPr>
            <w:tcW w:w="1134" w:type="dxa"/>
            <w:tcBorders>
              <w:top w:val="single" w:sz="12" w:space="0" w:color="008000"/>
              <w:bottom w:val="single" w:sz="6" w:space="0" w:color="008000"/>
            </w:tcBorders>
            <w:shd w:val="clear" w:color="auto" w:fill="FFFFFF"/>
          </w:tcPr>
          <w:p w14:paraId="725F0C90" w14:textId="05B47F02" w:rsidR="00D128E6" w:rsidRPr="00B57B36" w:rsidRDefault="00D128E6" w:rsidP="00356569">
            <w:pPr>
              <w:pStyle w:val="CETBodytext"/>
              <w:rPr>
                <w:lang w:val="en-GB"/>
              </w:rPr>
            </w:pPr>
            <w:r>
              <w:rPr>
                <w:lang w:val="en-GB"/>
              </w:rPr>
              <w:t>D=0.8 mm</w:t>
            </w:r>
          </w:p>
        </w:tc>
        <w:tc>
          <w:tcPr>
            <w:tcW w:w="1134" w:type="dxa"/>
            <w:tcBorders>
              <w:top w:val="single" w:sz="12" w:space="0" w:color="008000"/>
              <w:bottom w:val="single" w:sz="6" w:space="0" w:color="008000"/>
            </w:tcBorders>
            <w:shd w:val="clear" w:color="auto" w:fill="FFFFFF"/>
          </w:tcPr>
          <w:p w14:paraId="4371EEB7" w14:textId="7879285F" w:rsidR="00D128E6" w:rsidRPr="00B57B36" w:rsidRDefault="00D128E6" w:rsidP="00356569">
            <w:pPr>
              <w:pStyle w:val="CETBodytext"/>
              <w:ind w:right="-1"/>
              <w:rPr>
                <w:rFonts w:cs="Arial"/>
                <w:szCs w:val="18"/>
                <w:lang w:val="en-GB"/>
              </w:rPr>
            </w:pPr>
            <w:r>
              <w:rPr>
                <w:rFonts w:cs="Arial"/>
                <w:szCs w:val="18"/>
                <w:lang w:val="en-GB"/>
              </w:rPr>
              <w:t>D=3 mm</w:t>
            </w:r>
          </w:p>
        </w:tc>
        <w:tc>
          <w:tcPr>
            <w:tcW w:w="1134" w:type="dxa"/>
            <w:tcBorders>
              <w:top w:val="single" w:sz="12" w:space="0" w:color="008000"/>
              <w:bottom w:val="single" w:sz="6" w:space="0" w:color="008000"/>
            </w:tcBorders>
            <w:shd w:val="clear" w:color="auto" w:fill="FFFFFF"/>
          </w:tcPr>
          <w:p w14:paraId="04DFCCCF" w14:textId="5B0EAAA3" w:rsidR="00D128E6" w:rsidRPr="00B57B36" w:rsidRDefault="00D128E6" w:rsidP="00356569">
            <w:pPr>
              <w:pStyle w:val="CETBodytext"/>
              <w:ind w:right="-1"/>
              <w:rPr>
                <w:rFonts w:cs="Arial"/>
                <w:szCs w:val="18"/>
                <w:lang w:val="en-GB"/>
              </w:rPr>
            </w:pPr>
            <w:r>
              <w:rPr>
                <w:rFonts w:cs="Arial"/>
                <w:szCs w:val="18"/>
                <w:lang w:val="en-GB"/>
              </w:rPr>
              <w:t>D=6 mm</w:t>
            </w:r>
          </w:p>
        </w:tc>
      </w:tr>
      <w:tr w:rsidR="00D128E6" w:rsidRPr="00B57B36" w14:paraId="3E72E300" w14:textId="77777777" w:rsidTr="00356569">
        <w:tc>
          <w:tcPr>
            <w:tcW w:w="1134" w:type="dxa"/>
            <w:shd w:val="clear" w:color="auto" w:fill="FFFFFF"/>
          </w:tcPr>
          <w:p w14:paraId="116C980F" w14:textId="77777777" w:rsidR="00D128E6" w:rsidRDefault="00D128E6" w:rsidP="00356569">
            <w:pPr>
              <w:pStyle w:val="CETBodytext"/>
              <w:rPr>
                <w:lang w:val="en-GB"/>
              </w:rPr>
            </w:pPr>
            <w:r>
              <w:rPr>
                <w:lang w:val="en-GB"/>
              </w:rPr>
              <w:t>1</w:t>
            </w:r>
          </w:p>
          <w:p w14:paraId="3738F334" w14:textId="1728C079" w:rsidR="00A57A99" w:rsidRPr="00A57A99" w:rsidRDefault="00A57A99" w:rsidP="00A57A99">
            <w:pPr>
              <w:pStyle w:val="CETBodytext"/>
              <w:jc w:val="center"/>
              <w:rPr>
                <w:lang w:val="en-GB"/>
              </w:rPr>
            </w:pPr>
          </w:p>
        </w:tc>
        <w:tc>
          <w:tcPr>
            <w:tcW w:w="1134" w:type="dxa"/>
            <w:shd w:val="clear" w:color="auto" w:fill="FFFFFF"/>
          </w:tcPr>
          <w:p w14:paraId="1ED6E5D0" w14:textId="77777777" w:rsidR="00D128E6" w:rsidRDefault="00D128E6" w:rsidP="00356569">
            <w:pPr>
              <w:pStyle w:val="CETBodytext"/>
              <w:rPr>
                <w:lang w:val="en-GB"/>
              </w:rPr>
            </w:pPr>
            <w:r>
              <w:rPr>
                <w:lang w:val="en-GB"/>
              </w:rPr>
              <w:t>Re</w:t>
            </w:r>
          </w:p>
          <w:p w14:paraId="353B20D3" w14:textId="4B7F17FC" w:rsidR="00D128E6" w:rsidRPr="00B57B36" w:rsidRDefault="00D128E6" w:rsidP="00356569">
            <w:pPr>
              <w:pStyle w:val="CETBodytext"/>
              <w:rPr>
                <w:lang w:val="en-GB"/>
              </w:rPr>
            </w:pPr>
            <w:r>
              <w:rPr>
                <w:lang w:val="en-GB"/>
              </w:rPr>
              <w:t xml:space="preserve">U </w:t>
            </w:r>
            <w:r w:rsidR="007C2C35">
              <w:rPr>
                <w:lang w:val="en-GB"/>
              </w:rPr>
              <w:t>[</w:t>
            </w:r>
            <w:r>
              <w:rPr>
                <w:lang w:val="en-GB"/>
              </w:rPr>
              <w:t>W</w:t>
            </w:r>
            <w:r w:rsidR="007C2C35">
              <w:rPr>
                <w:lang w:val="en-GB"/>
              </w:rPr>
              <w:t>/</w:t>
            </w:r>
            <w:r w:rsidR="00D54F3E">
              <w:rPr>
                <w:lang w:val="en-GB"/>
              </w:rPr>
              <w:t>(</w:t>
            </w:r>
            <w:r w:rsidRPr="00F64421">
              <w:rPr>
                <w:lang w:val="en-GB"/>
              </w:rPr>
              <w:t>m</w:t>
            </w:r>
            <w:r w:rsidRPr="00F64421">
              <w:rPr>
                <w:vertAlign w:val="superscript"/>
                <w:lang w:val="en-GB"/>
              </w:rPr>
              <w:t>2</w:t>
            </w:r>
            <w:r w:rsidR="00F64421">
              <w:t>·</w:t>
            </w:r>
            <w:r>
              <w:rPr>
                <w:lang w:val="en-GB"/>
              </w:rPr>
              <w:t>K</w:t>
            </w:r>
            <w:r w:rsidR="00D54F3E">
              <w:rPr>
                <w:lang w:val="en-GB"/>
              </w:rPr>
              <w:t>)</w:t>
            </w:r>
            <w:r w:rsidR="007C2C35">
              <w:rPr>
                <w:lang w:val="en-GB"/>
              </w:rPr>
              <w:t>]</w:t>
            </w:r>
          </w:p>
        </w:tc>
        <w:tc>
          <w:tcPr>
            <w:tcW w:w="1134" w:type="dxa"/>
            <w:shd w:val="clear" w:color="auto" w:fill="FFFFFF"/>
          </w:tcPr>
          <w:p w14:paraId="38670456" w14:textId="77777777" w:rsidR="00D128E6" w:rsidRDefault="00D128E6" w:rsidP="00356569">
            <w:pPr>
              <w:pStyle w:val="CETBodytext"/>
              <w:rPr>
                <w:lang w:val="en-GB"/>
              </w:rPr>
            </w:pPr>
            <w:r>
              <w:rPr>
                <w:lang w:val="en-GB"/>
              </w:rPr>
              <w:t>14.85</w:t>
            </w:r>
          </w:p>
          <w:p w14:paraId="631E2E3B" w14:textId="77777777" w:rsidR="00D128E6" w:rsidRPr="00B57B36" w:rsidRDefault="00D128E6" w:rsidP="00356569">
            <w:pPr>
              <w:pStyle w:val="CETBodytext"/>
              <w:rPr>
                <w:lang w:val="en-GB"/>
              </w:rPr>
            </w:pPr>
            <w:r>
              <w:rPr>
                <w:lang w:val="en-GB"/>
              </w:rPr>
              <w:t>267.43</w:t>
            </w:r>
          </w:p>
        </w:tc>
        <w:tc>
          <w:tcPr>
            <w:tcW w:w="1134" w:type="dxa"/>
            <w:shd w:val="clear" w:color="auto" w:fill="FFFFFF"/>
          </w:tcPr>
          <w:p w14:paraId="17E08938" w14:textId="77777777" w:rsidR="00D128E6" w:rsidRDefault="00D128E6" w:rsidP="00356569">
            <w:pPr>
              <w:pStyle w:val="CETBodytext"/>
              <w:ind w:right="-1"/>
              <w:rPr>
                <w:rFonts w:cs="Arial"/>
                <w:szCs w:val="18"/>
                <w:lang w:val="en-GB"/>
              </w:rPr>
            </w:pPr>
            <w:r>
              <w:rPr>
                <w:rFonts w:cs="Arial"/>
                <w:szCs w:val="18"/>
                <w:lang w:val="en-GB"/>
              </w:rPr>
              <w:t>3.95</w:t>
            </w:r>
          </w:p>
          <w:p w14:paraId="1BFCDF85" w14:textId="77777777" w:rsidR="00D128E6" w:rsidRPr="00B57B36" w:rsidRDefault="00D128E6" w:rsidP="00356569">
            <w:pPr>
              <w:pStyle w:val="CETBodytext"/>
              <w:ind w:right="-1"/>
              <w:rPr>
                <w:rFonts w:cs="Arial"/>
                <w:szCs w:val="18"/>
                <w:lang w:val="en-GB"/>
              </w:rPr>
            </w:pPr>
            <w:r>
              <w:rPr>
                <w:rFonts w:cs="Arial"/>
                <w:szCs w:val="18"/>
                <w:lang w:val="en-GB"/>
              </w:rPr>
              <w:t>76.51</w:t>
            </w:r>
          </w:p>
        </w:tc>
        <w:tc>
          <w:tcPr>
            <w:tcW w:w="1134" w:type="dxa"/>
            <w:shd w:val="clear" w:color="auto" w:fill="FFFFFF"/>
          </w:tcPr>
          <w:p w14:paraId="4F17B14E" w14:textId="77777777" w:rsidR="00D128E6" w:rsidRDefault="00D128E6" w:rsidP="00356569">
            <w:pPr>
              <w:pStyle w:val="CETBodytext"/>
              <w:ind w:right="-1"/>
              <w:rPr>
                <w:rFonts w:cs="Arial"/>
                <w:szCs w:val="18"/>
                <w:lang w:val="en-GB"/>
              </w:rPr>
            </w:pPr>
            <w:r>
              <w:rPr>
                <w:rFonts w:cs="Arial"/>
                <w:szCs w:val="18"/>
                <w:lang w:val="en-GB"/>
              </w:rPr>
              <w:t>1.98</w:t>
            </w:r>
          </w:p>
          <w:p w14:paraId="5AF9DBD2" w14:textId="77777777" w:rsidR="00D128E6" w:rsidRPr="00B57B36" w:rsidRDefault="00D128E6" w:rsidP="00356569">
            <w:pPr>
              <w:pStyle w:val="CETBodytext"/>
              <w:ind w:right="-1"/>
              <w:rPr>
                <w:rFonts w:cs="Arial"/>
                <w:szCs w:val="18"/>
                <w:lang w:val="en-GB"/>
              </w:rPr>
            </w:pPr>
            <w:r>
              <w:rPr>
                <w:rFonts w:cs="Arial"/>
                <w:szCs w:val="18"/>
                <w:lang w:val="en-GB"/>
              </w:rPr>
              <w:t>38.72</w:t>
            </w:r>
          </w:p>
        </w:tc>
      </w:tr>
      <w:tr w:rsidR="00D128E6" w:rsidRPr="00B57B36" w14:paraId="5A80A1F5" w14:textId="77777777" w:rsidTr="00356569">
        <w:tc>
          <w:tcPr>
            <w:tcW w:w="1134" w:type="dxa"/>
            <w:shd w:val="clear" w:color="auto" w:fill="FFFFFF"/>
          </w:tcPr>
          <w:p w14:paraId="587B5D6D" w14:textId="77777777" w:rsidR="00D128E6" w:rsidRPr="00B57B36" w:rsidRDefault="00D128E6" w:rsidP="00356569">
            <w:pPr>
              <w:pStyle w:val="CETBodytext"/>
              <w:ind w:right="-1"/>
              <w:rPr>
                <w:rFonts w:cs="Arial"/>
                <w:szCs w:val="18"/>
                <w:lang w:val="en-GB"/>
              </w:rPr>
            </w:pPr>
            <w:r>
              <w:rPr>
                <w:rFonts w:cs="Arial"/>
                <w:szCs w:val="18"/>
                <w:lang w:val="en-GB"/>
              </w:rPr>
              <w:t>4</w:t>
            </w:r>
          </w:p>
        </w:tc>
        <w:tc>
          <w:tcPr>
            <w:tcW w:w="1134" w:type="dxa"/>
            <w:shd w:val="clear" w:color="auto" w:fill="FFFFFF"/>
          </w:tcPr>
          <w:p w14:paraId="0FBC040E" w14:textId="77777777" w:rsidR="00D128E6" w:rsidRDefault="00D128E6" w:rsidP="00356569">
            <w:pPr>
              <w:pStyle w:val="CETBodytext"/>
              <w:rPr>
                <w:lang w:val="en-GB"/>
              </w:rPr>
            </w:pPr>
            <w:r>
              <w:rPr>
                <w:lang w:val="en-GB"/>
              </w:rPr>
              <w:t>Re</w:t>
            </w:r>
          </w:p>
          <w:p w14:paraId="3AF43E51" w14:textId="11E3B3AD" w:rsidR="00D128E6" w:rsidRPr="00B57B36" w:rsidRDefault="00D128E6" w:rsidP="00356569">
            <w:pPr>
              <w:pStyle w:val="CETBodytext"/>
              <w:ind w:right="-1"/>
              <w:rPr>
                <w:rFonts w:cs="Arial"/>
                <w:szCs w:val="18"/>
                <w:lang w:val="en-GB"/>
              </w:rPr>
            </w:pPr>
            <w:r>
              <w:rPr>
                <w:lang w:val="en-GB"/>
              </w:rPr>
              <w:t xml:space="preserve">U </w:t>
            </w:r>
            <w:r w:rsidR="007C2C35">
              <w:rPr>
                <w:lang w:val="en-GB"/>
              </w:rPr>
              <w:t>[</w:t>
            </w:r>
            <w:r>
              <w:rPr>
                <w:lang w:val="en-GB"/>
              </w:rPr>
              <w:t>W</w:t>
            </w:r>
            <w:r w:rsidR="007C2C35">
              <w:rPr>
                <w:lang w:val="en-GB"/>
              </w:rPr>
              <w:t>/</w:t>
            </w:r>
            <w:r w:rsidR="00D54F3E">
              <w:rPr>
                <w:lang w:val="en-GB"/>
              </w:rPr>
              <w:t>(</w:t>
            </w:r>
            <w:r>
              <w:rPr>
                <w:lang w:val="en-GB"/>
              </w:rPr>
              <w:t>m</w:t>
            </w:r>
            <w:r w:rsidRPr="00B91BD5">
              <w:rPr>
                <w:vertAlign w:val="superscript"/>
                <w:lang w:val="en-GB"/>
              </w:rPr>
              <w:t>2</w:t>
            </w:r>
            <w:r w:rsidR="00F64421">
              <w:t>·</w:t>
            </w:r>
            <w:r>
              <w:rPr>
                <w:lang w:val="en-GB"/>
              </w:rPr>
              <w:t>K</w:t>
            </w:r>
            <w:r w:rsidR="00D54F3E">
              <w:rPr>
                <w:lang w:val="en-GB"/>
              </w:rPr>
              <w:t>)</w:t>
            </w:r>
            <w:r w:rsidR="007C2C35">
              <w:rPr>
                <w:lang w:val="en-GB"/>
              </w:rPr>
              <w:t>]</w:t>
            </w:r>
          </w:p>
        </w:tc>
        <w:tc>
          <w:tcPr>
            <w:tcW w:w="1134" w:type="dxa"/>
            <w:shd w:val="clear" w:color="auto" w:fill="FFFFFF"/>
          </w:tcPr>
          <w:p w14:paraId="470769DD" w14:textId="77777777" w:rsidR="00D128E6" w:rsidRDefault="00D128E6" w:rsidP="00356569">
            <w:pPr>
              <w:pStyle w:val="CETBodytext"/>
              <w:ind w:right="-1"/>
              <w:rPr>
                <w:rFonts w:cs="Arial"/>
                <w:szCs w:val="18"/>
                <w:lang w:val="en-GB"/>
              </w:rPr>
            </w:pPr>
            <w:r>
              <w:rPr>
                <w:rFonts w:cs="Arial"/>
                <w:szCs w:val="18"/>
                <w:lang w:val="en-GB"/>
              </w:rPr>
              <w:t>14.85</w:t>
            </w:r>
          </w:p>
          <w:p w14:paraId="02752538" w14:textId="77777777" w:rsidR="00D128E6" w:rsidRPr="00B57B36" w:rsidRDefault="00D128E6" w:rsidP="00356569">
            <w:pPr>
              <w:pStyle w:val="CETBodytext"/>
              <w:ind w:right="-1"/>
              <w:rPr>
                <w:rFonts w:cs="Arial"/>
                <w:szCs w:val="18"/>
                <w:lang w:val="en-GB"/>
              </w:rPr>
            </w:pPr>
            <w:r>
              <w:rPr>
                <w:rFonts w:cs="Arial"/>
                <w:szCs w:val="18"/>
                <w:lang w:val="en-GB"/>
              </w:rPr>
              <w:t>267.63</w:t>
            </w:r>
          </w:p>
        </w:tc>
        <w:tc>
          <w:tcPr>
            <w:tcW w:w="1134" w:type="dxa"/>
            <w:shd w:val="clear" w:color="auto" w:fill="FFFFFF"/>
          </w:tcPr>
          <w:p w14:paraId="63219854" w14:textId="77777777" w:rsidR="00D128E6" w:rsidRDefault="00D128E6" w:rsidP="00356569">
            <w:pPr>
              <w:pStyle w:val="CETBodytext"/>
              <w:ind w:right="-1"/>
              <w:rPr>
                <w:rFonts w:cs="Arial"/>
                <w:szCs w:val="18"/>
                <w:lang w:val="en-GB"/>
              </w:rPr>
            </w:pPr>
            <w:r>
              <w:rPr>
                <w:rFonts w:cs="Arial"/>
                <w:szCs w:val="18"/>
                <w:lang w:val="en-GB"/>
              </w:rPr>
              <w:t>15.83</w:t>
            </w:r>
          </w:p>
          <w:p w14:paraId="1ADDB732" w14:textId="77777777" w:rsidR="00D128E6" w:rsidRPr="00B57B36" w:rsidRDefault="00D128E6" w:rsidP="00356569">
            <w:pPr>
              <w:pStyle w:val="CETBodytext"/>
              <w:ind w:right="-1"/>
              <w:rPr>
                <w:rFonts w:cs="Arial"/>
                <w:szCs w:val="18"/>
                <w:lang w:val="en-GB"/>
              </w:rPr>
            </w:pPr>
            <w:r>
              <w:rPr>
                <w:rFonts w:cs="Arial"/>
                <w:szCs w:val="18"/>
                <w:lang w:val="en-GB"/>
              </w:rPr>
              <w:t>76.54</w:t>
            </w:r>
          </w:p>
        </w:tc>
        <w:tc>
          <w:tcPr>
            <w:tcW w:w="1134" w:type="dxa"/>
            <w:shd w:val="clear" w:color="auto" w:fill="FFFFFF"/>
          </w:tcPr>
          <w:p w14:paraId="46C9BA20" w14:textId="77777777" w:rsidR="00D128E6" w:rsidRDefault="00D128E6" w:rsidP="00356569">
            <w:pPr>
              <w:pStyle w:val="CETBodytext"/>
              <w:ind w:right="-1"/>
              <w:rPr>
                <w:rFonts w:cs="Arial"/>
                <w:szCs w:val="18"/>
                <w:lang w:val="en-GB"/>
              </w:rPr>
            </w:pPr>
            <w:r>
              <w:rPr>
                <w:rFonts w:cs="Arial"/>
                <w:szCs w:val="18"/>
                <w:lang w:val="en-GB"/>
              </w:rPr>
              <w:t>7.92</w:t>
            </w:r>
          </w:p>
          <w:p w14:paraId="43F649F9" w14:textId="77777777" w:rsidR="00D128E6" w:rsidRPr="00B57B36" w:rsidRDefault="00D128E6" w:rsidP="00356569">
            <w:pPr>
              <w:pStyle w:val="CETBodytext"/>
              <w:ind w:right="-1"/>
              <w:rPr>
                <w:rFonts w:cs="Arial"/>
                <w:szCs w:val="18"/>
                <w:lang w:val="en-GB"/>
              </w:rPr>
            </w:pPr>
            <w:r>
              <w:rPr>
                <w:rFonts w:cs="Arial"/>
                <w:szCs w:val="18"/>
                <w:lang w:val="en-GB"/>
              </w:rPr>
              <w:t>38.82</w:t>
            </w:r>
          </w:p>
        </w:tc>
      </w:tr>
      <w:tr w:rsidR="00D128E6" w:rsidRPr="00B57B36" w14:paraId="3F65F239" w14:textId="77777777" w:rsidTr="00356569">
        <w:tc>
          <w:tcPr>
            <w:tcW w:w="1134" w:type="dxa"/>
            <w:shd w:val="clear" w:color="auto" w:fill="FFFFFF"/>
          </w:tcPr>
          <w:p w14:paraId="13D21F4E" w14:textId="77777777" w:rsidR="00D128E6" w:rsidRPr="00B57B36" w:rsidRDefault="00D128E6" w:rsidP="00356569">
            <w:pPr>
              <w:pStyle w:val="CETBodytext"/>
              <w:ind w:right="-1"/>
              <w:rPr>
                <w:rFonts w:cs="Arial"/>
                <w:szCs w:val="18"/>
                <w:lang w:val="en-GB"/>
              </w:rPr>
            </w:pPr>
            <w:r>
              <w:rPr>
                <w:rFonts w:cs="Arial"/>
                <w:szCs w:val="18"/>
                <w:lang w:val="en-GB"/>
              </w:rPr>
              <w:t>10</w:t>
            </w:r>
          </w:p>
        </w:tc>
        <w:tc>
          <w:tcPr>
            <w:tcW w:w="1134" w:type="dxa"/>
            <w:shd w:val="clear" w:color="auto" w:fill="FFFFFF"/>
          </w:tcPr>
          <w:p w14:paraId="7F07AB01" w14:textId="77777777" w:rsidR="00D128E6" w:rsidRDefault="00D128E6" w:rsidP="00356569">
            <w:pPr>
              <w:pStyle w:val="CETBodytext"/>
              <w:rPr>
                <w:lang w:val="en-GB"/>
              </w:rPr>
            </w:pPr>
            <w:r>
              <w:rPr>
                <w:lang w:val="en-GB"/>
              </w:rPr>
              <w:t>Re</w:t>
            </w:r>
          </w:p>
          <w:p w14:paraId="643843FD" w14:textId="0E9E77A4" w:rsidR="00D128E6" w:rsidRPr="00B57B36" w:rsidRDefault="00D128E6" w:rsidP="00356569">
            <w:pPr>
              <w:pStyle w:val="CETBodytext"/>
              <w:ind w:right="-1"/>
              <w:rPr>
                <w:rFonts w:cs="Arial"/>
                <w:szCs w:val="18"/>
                <w:lang w:val="en-GB"/>
              </w:rPr>
            </w:pPr>
            <w:r>
              <w:rPr>
                <w:lang w:val="en-GB"/>
              </w:rPr>
              <w:t xml:space="preserve">U </w:t>
            </w:r>
            <w:r w:rsidR="007C2C35">
              <w:rPr>
                <w:lang w:val="en-GB"/>
              </w:rPr>
              <w:t>[</w:t>
            </w:r>
            <w:r>
              <w:rPr>
                <w:lang w:val="en-GB"/>
              </w:rPr>
              <w:t>W</w:t>
            </w:r>
            <w:r w:rsidR="007C2C35">
              <w:rPr>
                <w:lang w:val="en-GB"/>
              </w:rPr>
              <w:t>/</w:t>
            </w:r>
            <w:r w:rsidR="00D54F3E">
              <w:rPr>
                <w:lang w:val="en-GB"/>
              </w:rPr>
              <w:t>(</w:t>
            </w:r>
            <w:r>
              <w:rPr>
                <w:lang w:val="en-GB"/>
              </w:rPr>
              <w:t>m</w:t>
            </w:r>
            <w:r w:rsidRPr="00B91BD5">
              <w:rPr>
                <w:vertAlign w:val="superscript"/>
                <w:lang w:val="en-GB"/>
              </w:rPr>
              <w:t>2</w:t>
            </w:r>
            <w:r w:rsidR="00F64421">
              <w:t>·</w:t>
            </w:r>
            <w:r>
              <w:rPr>
                <w:lang w:val="en-GB"/>
              </w:rPr>
              <w:t>K</w:t>
            </w:r>
            <w:r w:rsidR="00D54F3E">
              <w:rPr>
                <w:lang w:val="en-GB"/>
              </w:rPr>
              <w:t>)</w:t>
            </w:r>
            <w:r w:rsidR="007C2C35">
              <w:rPr>
                <w:lang w:val="en-GB"/>
              </w:rPr>
              <w:t>]</w:t>
            </w:r>
          </w:p>
        </w:tc>
        <w:tc>
          <w:tcPr>
            <w:tcW w:w="1134" w:type="dxa"/>
            <w:shd w:val="clear" w:color="auto" w:fill="FFFFFF"/>
          </w:tcPr>
          <w:p w14:paraId="5D954036" w14:textId="77777777" w:rsidR="00D128E6" w:rsidRDefault="00D128E6" w:rsidP="00356569">
            <w:pPr>
              <w:pStyle w:val="CETBodytext"/>
              <w:ind w:right="-1"/>
              <w:rPr>
                <w:rFonts w:cs="Arial"/>
                <w:szCs w:val="18"/>
                <w:lang w:val="en-GB"/>
              </w:rPr>
            </w:pPr>
            <w:r>
              <w:rPr>
                <w:rFonts w:cs="Arial"/>
                <w:szCs w:val="18"/>
                <w:lang w:val="en-GB"/>
              </w:rPr>
              <w:t>148.46</w:t>
            </w:r>
          </w:p>
          <w:p w14:paraId="41CD48C2" w14:textId="77777777" w:rsidR="00D128E6" w:rsidRPr="00B57B36" w:rsidRDefault="00D128E6" w:rsidP="00356569">
            <w:pPr>
              <w:pStyle w:val="CETBodytext"/>
              <w:ind w:right="-1"/>
              <w:rPr>
                <w:rFonts w:cs="Arial"/>
                <w:szCs w:val="18"/>
                <w:lang w:val="en-GB"/>
              </w:rPr>
            </w:pPr>
            <w:r>
              <w:rPr>
                <w:rFonts w:cs="Arial"/>
                <w:szCs w:val="18"/>
                <w:lang w:val="en-GB"/>
              </w:rPr>
              <w:t>267.73</w:t>
            </w:r>
          </w:p>
        </w:tc>
        <w:tc>
          <w:tcPr>
            <w:tcW w:w="1134" w:type="dxa"/>
            <w:shd w:val="clear" w:color="auto" w:fill="FFFFFF"/>
          </w:tcPr>
          <w:p w14:paraId="7B6D1EF4" w14:textId="77777777" w:rsidR="00D128E6" w:rsidRDefault="00D128E6" w:rsidP="00356569">
            <w:pPr>
              <w:pStyle w:val="CETBodytext"/>
              <w:ind w:right="-1"/>
              <w:rPr>
                <w:rFonts w:cs="Arial"/>
                <w:szCs w:val="18"/>
                <w:lang w:val="en-GB"/>
              </w:rPr>
            </w:pPr>
            <w:r>
              <w:rPr>
                <w:rFonts w:cs="Arial"/>
                <w:szCs w:val="18"/>
                <w:lang w:val="en-GB"/>
              </w:rPr>
              <w:t>9.59</w:t>
            </w:r>
          </w:p>
          <w:p w14:paraId="244966BC" w14:textId="77777777" w:rsidR="00D128E6" w:rsidRPr="00B57B36" w:rsidRDefault="00D128E6" w:rsidP="00356569">
            <w:pPr>
              <w:pStyle w:val="CETBodytext"/>
              <w:ind w:right="-1"/>
              <w:rPr>
                <w:rFonts w:cs="Arial"/>
                <w:szCs w:val="18"/>
                <w:lang w:val="en-GB"/>
              </w:rPr>
            </w:pPr>
            <w:r>
              <w:rPr>
                <w:rFonts w:cs="Arial"/>
                <w:szCs w:val="18"/>
                <w:lang w:val="en-GB"/>
              </w:rPr>
              <w:t>76.60</w:t>
            </w:r>
          </w:p>
        </w:tc>
        <w:tc>
          <w:tcPr>
            <w:tcW w:w="1134" w:type="dxa"/>
            <w:shd w:val="clear" w:color="auto" w:fill="FFFFFF"/>
          </w:tcPr>
          <w:p w14:paraId="2EF709F2" w14:textId="77777777" w:rsidR="00D128E6" w:rsidRDefault="00D128E6" w:rsidP="00356569">
            <w:pPr>
              <w:pStyle w:val="CETBodytext"/>
              <w:ind w:right="-1"/>
              <w:rPr>
                <w:rFonts w:cs="Arial"/>
                <w:szCs w:val="18"/>
                <w:lang w:val="en-GB"/>
              </w:rPr>
            </w:pPr>
            <w:r>
              <w:rPr>
                <w:rFonts w:cs="Arial"/>
                <w:szCs w:val="18"/>
                <w:lang w:val="en-GB"/>
              </w:rPr>
              <w:t>9.80</w:t>
            </w:r>
          </w:p>
          <w:p w14:paraId="564565F9" w14:textId="77777777" w:rsidR="00D128E6" w:rsidRPr="00B57B36" w:rsidRDefault="00D128E6" w:rsidP="00356569">
            <w:pPr>
              <w:pStyle w:val="CETBodytext"/>
              <w:ind w:right="-1"/>
              <w:rPr>
                <w:rFonts w:cs="Arial"/>
                <w:szCs w:val="18"/>
                <w:lang w:val="en-GB"/>
              </w:rPr>
            </w:pPr>
            <w:r>
              <w:rPr>
                <w:rFonts w:cs="Arial"/>
                <w:szCs w:val="18"/>
                <w:lang w:val="en-GB"/>
              </w:rPr>
              <w:t>38.90</w:t>
            </w:r>
          </w:p>
        </w:tc>
      </w:tr>
    </w:tbl>
    <w:p w14:paraId="3E938573" w14:textId="3B8440F0" w:rsidR="00F62B99" w:rsidRDefault="00F01787" w:rsidP="00085861">
      <w:pPr>
        <w:pStyle w:val="CETBodytext"/>
        <w:spacing w:before="240"/>
        <w:rPr>
          <w:lang w:val="en-GB"/>
        </w:rPr>
      </w:pPr>
      <w:r>
        <w:rPr>
          <w:lang w:val="en-GB"/>
        </w:rPr>
        <w:t>P</w:t>
      </w:r>
      <w:r w:rsidR="00F62B99" w:rsidRPr="00F62B99">
        <w:rPr>
          <w:lang w:val="en-GB"/>
        </w:rPr>
        <w:t xml:space="preserve">arametric sensitivity </w:t>
      </w:r>
      <w:r>
        <w:rPr>
          <w:lang w:val="en-GB"/>
        </w:rPr>
        <w:t xml:space="preserve">criterion </w:t>
      </w:r>
      <w:r w:rsidR="00F62B99" w:rsidRPr="00F62B99">
        <w:rPr>
          <w:lang w:val="en-GB"/>
        </w:rPr>
        <w:t xml:space="preserve">was </w:t>
      </w:r>
      <w:r>
        <w:rPr>
          <w:lang w:val="en-GB"/>
        </w:rPr>
        <w:t xml:space="preserve">used to </w:t>
      </w:r>
      <w:r w:rsidR="003D1F75">
        <w:rPr>
          <w:lang w:val="en-GB"/>
        </w:rPr>
        <w:t xml:space="preserve">identify the runaway boundaries </w:t>
      </w:r>
      <w:r w:rsidR="003E68C9">
        <w:rPr>
          <w:lang w:val="en-GB"/>
        </w:rPr>
        <w:t xml:space="preserve">(RB) </w:t>
      </w:r>
      <w:r w:rsidR="00B82586">
        <w:rPr>
          <w:lang w:val="en-GB"/>
        </w:rPr>
        <w:t xml:space="preserve">of the system </w:t>
      </w:r>
      <w:r w:rsidR="003D1F75">
        <w:rPr>
          <w:lang w:val="en-GB"/>
        </w:rPr>
        <w:t>as a function of</w:t>
      </w:r>
      <w:r w:rsidR="00F62B99" w:rsidRPr="00F62B99">
        <w:rPr>
          <w:lang w:val="en-GB"/>
        </w:rPr>
        <w:t xml:space="preserve"> </w:t>
      </w:r>
      <w:r w:rsidR="00B82586">
        <w:rPr>
          <w:lang w:val="en-GB"/>
        </w:rPr>
        <w:t xml:space="preserve">both </w:t>
      </w:r>
      <w:r w:rsidR="00F62B99" w:rsidRPr="00F62B99">
        <w:rPr>
          <w:lang w:val="en-GB"/>
        </w:rPr>
        <w:t xml:space="preserve">the </w:t>
      </w:r>
      <w:r w:rsidR="000177A0">
        <w:rPr>
          <w:lang w:val="en-GB"/>
        </w:rPr>
        <w:t xml:space="preserve">reactor </w:t>
      </w:r>
      <w:r w:rsidR="00F62B99" w:rsidRPr="00F62B99">
        <w:rPr>
          <w:lang w:val="en-GB"/>
        </w:rPr>
        <w:t xml:space="preserve">wall temperature </w:t>
      </w:r>
      <w:r w:rsidR="00F62B99" w:rsidRPr="00906694">
        <w:rPr>
          <w:i/>
          <w:iCs/>
          <w:lang w:val="en-GB"/>
        </w:rPr>
        <w:t>T</w:t>
      </w:r>
      <w:r w:rsidR="00F62B99" w:rsidRPr="00906694">
        <w:rPr>
          <w:i/>
          <w:iCs/>
          <w:vertAlign w:val="subscript"/>
          <w:lang w:val="en-GB"/>
        </w:rPr>
        <w:t>w</w:t>
      </w:r>
      <w:r w:rsidR="00B82586">
        <w:rPr>
          <w:lang w:val="en-GB"/>
        </w:rPr>
        <w:t xml:space="preserve"> and the inlet </w:t>
      </w:r>
      <w:r w:rsidR="00EA57BC">
        <w:rPr>
          <w:lang w:val="en-GB"/>
        </w:rPr>
        <w:t xml:space="preserve">reacting mixture temperature </w:t>
      </w:r>
      <w:r w:rsidR="00EA57BC" w:rsidRPr="00906694">
        <w:rPr>
          <w:i/>
          <w:iCs/>
          <w:lang w:val="en-GB"/>
        </w:rPr>
        <w:t>T</w:t>
      </w:r>
      <w:r w:rsidR="00EA57BC" w:rsidRPr="00906694">
        <w:rPr>
          <w:i/>
          <w:iCs/>
          <w:vertAlign w:val="subscript"/>
          <w:lang w:val="en-GB"/>
        </w:rPr>
        <w:t>in</w:t>
      </w:r>
      <w:r w:rsidR="00EA57BC">
        <w:rPr>
          <w:lang w:val="en-GB"/>
        </w:rPr>
        <w:t xml:space="preserve">. </w:t>
      </w:r>
      <w:r w:rsidR="007435C4">
        <w:rPr>
          <w:lang w:val="en-GB"/>
        </w:rPr>
        <w:t xml:space="preserve">First, we investigated the </w:t>
      </w:r>
      <w:r w:rsidR="003E68C9">
        <w:rPr>
          <w:lang w:val="en-GB"/>
        </w:rPr>
        <w:t>RB with respect to t</w:t>
      </w:r>
      <w:r w:rsidR="00F62B99" w:rsidRPr="00F62B99">
        <w:rPr>
          <w:lang w:val="en-GB"/>
        </w:rPr>
        <w:t>he wall temperature</w:t>
      </w:r>
      <w:r w:rsidR="005522B0">
        <w:rPr>
          <w:lang w:val="en-GB"/>
        </w:rPr>
        <w:t>s</w:t>
      </w:r>
      <w:r w:rsidR="00865BC4">
        <w:rPr>
          <w:lang w:val="en-GB"/>
        </w:rPr>
        <w:t xml:space="preserve"> (considering </w:t>
      </w:r>
      <w:r w:rsidR="00865BC4" w:rsidRPr="00906694">
        <w:rPr>
          <w:i/>
          <w:iCs/>
          <w:lang w:val="en-GB"/>
        </w:rPr>
        <w:t>T</w:t>
      </w:r>
      <w:r w:rsidR="00865BC4" w:rsidRPr="00906694">
        <w:rPr>
          <w:i/>
          <w:iCs/>
          <w:vertAlign w:val="subscript"/>
          <w:lang w:val="en-GB"/>
        </w:rPr>
        <w:t>in</w:t>
      </w:r>
      <w:r w:rsidR="00865BC4">
        <w:rPr>
          <w:lang w:val="en-GB"/>
        </w:rPr>
        <w:t xml:space="preserve"> equal to 25 °C);</w:t>
      </w:r>
      <w:r w:rsidR="003E68C9">
        <w:rPr>
          <w:lang w:val="en-GB"/>
        </w:rPr>
        <w:t xml:space="preserve"> particularly, temperatures</w:t>
      </w:r>
      <w:r w:rsidR="00F62B99" w:rsidRPr="00F62B99">
        <w:rPr>
          <w:lang w:val="en-GB"/>
        </w:rPr>
        <w:t xml:space="preserve"> </w:t>
      </w:r>
      <w:r w:rsidR="005522B0">
        <w:rPr>
          <w:lang w:val="en-GB"/>
        </w:rPr>
        <w:t>below</w:t>
      </w:r>
      <w:r w:rsidR="00F62B99" w:rsidRPr="00F62B99">
        <w:rPr>
          <w:lang w:val="en-GB"/>
        </w:rPr>
        <w:t xml:space="preserve"> 200</w:t>
      </w:r>
      <w:r w:rsidR="007A7D0E">
        <w:rPr>
          <w:lang w:val="en-GB"/>
        </w:rPr>
        <w:t xml:space="preserve"> </w:t>
      </w:r>
      <w:r w:rsidR="00F62B99" w:rsidRPr="00F62B99">
        <w:rPr>
          <w:lang w:val="en-GB"/>
        </w:rPr>
        <w:t>°C</w:t>
      </w:r>
      <w:r w:rsidR="00CA0C88">
        <w:rPr>
          <w:lang w:val="en-GB"/>
        </w:rPr>
        <w:t xml:space="preserve"> </w:t>
      </w:r>
      <w:r w:rsidR="003E68C9">
        <w:rPr>
          <w:lang w:val="en-GB"/>
        </w:rPr>
        <w:t xml:space="preserve">were selected </w:t>
      </w:r>
      <w:r w:rsidR="00CA0C88">
        <w:rPr>
          <w:lang w:val="en-GB"/>
        </w:rPr>
        <w:t>because</w:t>
      </w:r>
      <w:r w:rsidR="00F62B99" w:rsidRPr="00F62B99">
        <w:rPr>
          <w:lang w:val="en-GB"/>
        </w:rPr>
        <w:t xml:space="preserve"> </w:t>
      </w:r>
      <w:r w:rsidR="00906694">
        <w:rPr>
          <w:lang w:val="en-GB"/>
        </w:rPr>
        <w:t>of the</w:t>
      </w:r>
      <w:r w:rsidR="00F62B99" w:rsidRPr="00F62B99">
        <w:rPr>
          <w:lang w:val="en-GB"/>
        </w:rPr>
        <w:t xml:space="preserve"> solvent</w:t>
      </w:r>
      <w:r w:rsidR="00CA0C88">
        <w:rPr>
          <w:lang w:val="en-GB"/>
        </w:rPr>
        <w:t xml:space="preserve"> </w:t>
      </w:r>
      <w:r w:rsidR="00906694">
        <w:rPr>
          <w:lang w:val="en-GB"/>
        </w:rPr>
        <w:t>boiling point</w:t>
      </w:r>
      <w:r w:rsidR="00F62B99" w:rsidRPr="00F62B99">
        <w:rPr>
          <w:lang w:val="en-GB"/>
        </w:rPr>
        <w:t xml:space="preserve">. Then, </w:t>
      </w:r>
      <w:r w:rsidR="00286684">
        <w:rPr>
          <w:lang w:val="en-GB"/>
        </w:rPr>
        <w:t xml:space="preserve">after the identification of the RB with respect to </w:t>
      </w:r>
      <w:r w:rsidR="00286684" w:rsidRPr="00906694">
        <w:rPr>
          <w:i/>
          <w:iCs/>
          <w:lang w:val="en-GB"/>
        </w:rPr>
        <w:t>T</w:t>
      </w:r>
      <w:r w:rsidR="00286684" w:rsidRPr="00906694">
        <w:rPr>
          <w:i/>
          <w:iCs/>
          <w:vertAlign w:val="subscript"/>
          <w:lang w:val="en-GB"/>
        </w:rPr>
        <w:t>w</w:t>
      </w:r>
      <w:r w:rsidR="00286684">
        <w:rPr>
          <w:lang w:val="en-GB"/>
        </w:rPr>
        <w:t xml:space="preserve">, </w:t>
      </w:r>
      <w:r w:rsidR="00F62B99" w:rsidRPr="00F62B99">
        <w:rPr>
          <w:lang w:val="en-GB"/>
        </w:rPr>
        <w:t xml:space="preserve">using </w:t>
      </w:r>
      <w:r w:rsidR="00286684">
        <w:rPr>
          <w:lang w:val="en-GB"/>
        </w:rPr>
        <w:t>a</w:t>
      </w:r>
      <w:r w:rsidR="009351EA">
        <w:rPr>
          <w:lang w:val="en-GB"/>
        </w:rPr>
        <w:t xml:space="preserve"> </w:t>
      </w:r>
      <w:r w:rsidR="00F62B99" w:rsidRPr="00F62B99">
        <w:rPr>
          <w:lang w:val="en-GB"/>
        </w:rPr>
        <w:t xml:space="preserve">value of </w:t>
      </w:r>
      <w:r w:rsidR="00F62B99" w:rsidRPr="00906694">
        <w:rPr>
          <w:i/>
          <w:iCs/>
          <w:lang w:val="en-GB"/>
        </w:rPr>
        <w:t>T</w:t>
      </w:r>
      <w:r w:rsidR="00F62B99" w:rsidRPr="00906694">
        <w:rPr>
          <w:i/>
          <w:iCs/>
          <w:vertAlign w:val="subscript"/>
          <w:lang w:val="en-GB"/>
        </w:rPr>
        <w:t>w</w:t>
      </w:r>
      <w:r w:rsidR="009351EA">
        <w:rPr>
          <w:lang w:val="en-GB"/>
        </w:rPr>
        <w:t xml:space="preserve"> lower than its detected boundary,</w:t>
      </w:r>
      <w:r w:rsidR="00F62B99" w:rsidRPr="00F62B99">
        <w:rPr>
          <w:lang w:val="en-GB"/>
        </w:rPr>
        <w:t xml:space="preserve"> the </w:t>
      </w:r>
      <w:r w:rsidR="00756997">
        <w:rPr>
          <w:lang w:val="en-GB"/>
        </w:rPr>
        <w:t xml:space="preserve">parametric </w:t>
      </w:r>
      <w:r w:rsidR="00F62B99" w:rsidRPr="00F62B99">
        <w:rPr>
          <w:lang w:val="en-GB"/>
        </w:rPr>
        <w:t xml:space="preserve">sensitivity with </w:t>
      </w:r>
      <w:r w:rsidR="00756997">
        <w:rPr>
          <w:lang w:val="en-GB"/>
        </w:rPr>
        <w:t xml:space="preserve">respect to </w:t>
      </w:r>
      <w:r w:rsidR="00932287" w:rsidRPr="00906694">
        <w:rPr>
          <w:i/>
          <w:iCs/>
          <w:lang w:val="en-GB"/>
        </w:rPr>
        <w:t>T</w:t>
      </w:r>
      <w:r w:rsidR="00932287" w:rsidRPr="00906694">
        <w:rPr>
          <w:i/>
          <w:iCs/>
          <w:vertAlign w:val="subscript"/>
          <w:lang w:val="en-GB"/>
        </w:rPr>
        <w:t>in</w:t>
      </w:r>
      <w:r w:rsidR="00F62B99" w:rsidRPr="00F62B99">
        <w:rPr>
          <w:lang w:val="en-GB"/>
        </w:rPr>
        <w:t xml:space="preserve"> </w:t>
      </w:r>
      <w:r w:rsidR="00DB7FDF">
        <w:rPr>
          <w:lang w:val="en-GB"/>
        </w:rPr>
        <w:t>was investigated</w:t>
      </w:r>
      <w:r w:rsidR="00F62B99" w:rsidRPr="00F62B99">
        <w:rPr>
          <w:lang w:val="en-GB"/>
        </w:rPr>
        <w:t>. Table</w:t>
      </w:r>
      <w:r w:rsidR="00D61CB6">
        <w:rPr>
          <w:lang w:val="en-GB"/>
        </w:rPr>
        <w:t xml:space="preserve"> </w:t>
      </w:r>
      <w:r w:rsidR="00906694">
        <w:rPr>
          <w:lang w:val="en-GB"/>
        </w:rPr>
        <w:t>3</w:t>
      </w:r>
      <w:r w:rsidR="00F62B99" w:rsidRPr="00F62B99">
        <w:rPr>
          <w:lang w:val="en-GB"/>
        </w:rPr>
        <w:t xml:space="preserve"> shows all the results obtained for the one-dimensional model</w:t>
      </w:r>
      <w:r w:rsidR="00E01041">
        <w:rPr>
          <w:lang w:val="en-GB"/>
        </w:rPr>
        <w:t xml:space="preserve"> (1-D)</w:t>
      </w:r>
      <w:r w:rsidR="00F62B99" w:rsidRPr="00F62B99">
        <w:rPr>
          <w:lang w:val="en-GB"/>
        </w:rPr>
        <w:t>.</w:t>
      </w:r>
      <w:r w:rsidR="00E01041">
        <w:rPr>
          <w:lang w:val="en-GB"/>
        </w:rPr>
        <w:t xml:space="preserve"> According to the generalized parametric sensitiv</w:t>
      </w:r>
      <w:r w:rsidR="00085861">
        <w:rPr>
          <w:lang w:val="en-GB"/>
        </w:rPr>
        <w:t>ity criterion, t</w:t>
      </w:r>
      <w:r w:rsidR="00F62B99" w:rsidRPr="00F62B99">
        <w:rPr>
          <w:lang w:val="en-GB"/>
        </w:rPr>
        <w:t>he critical value of a parameter is th</w:t>
      </w:r>
      <w:r w:rsidR="00085861">
        <w:rPr>
          <w:lang w:val="en-GB"/>
        </w:rPr>
        <w:t>at</w:t>
      </w:r>
      <w:r w:rsidR="00F62B99" w:rsidRPr="00F62B99">
        <w:rPr>
          <w:lang w:val="en-GB"/>
        </w:rPr>
        <w:t xml:space="preserve"> one </w:t>
      </w:r>
      <w:r w:rsidR="009C11A8">
        <w:rPr>
          <w:lang w:val="en-GB"/>
        </w:rPr>
        <w:t xml:space="preserve">in correspondence of which </w:t>
      </w:r>
      <w:r w:rsidR="00F62B99" w:rsidRPr="00F62B99">
        <w:rPr>
          <w:lang w:val="en-GB"/>
        </w:rPr>
        <w:t>the parametric sensitivity</w:t>
      </w:r>
      <w:r w:rsidR="00085861">
        <w:rPr>
          <w:lang w:val="en-GB"/>
        </w:rPr>
        <w:t xml:space="preserve"> function</w:t>
      </w:r>
      <w:r w:rsidR="001B6FA6">
        <w:rPr>
          <w:lang w:val="en-GB"/>
        </w:rPr>
        <w:t xml:space="preserve"> </w:t>
      </w:r>
      <m:oMath>
        <m:r>
          <w:rPr>
            <w:rFonts w:ascii="Cambria Math" w:hAnsi="Cambria Math"/>
          </w:rPr>
          <m:t>S</m:t>
        </m:r>
        <m:d>
          <m:dPr>
            <m:ctrlPr>
              <w:rPr>
                <w:rFonts w:ascii="Cambria Math" w:hAnsi="Cambria Math"/>
                <w:i/>
              </w:rPr>
            </m:ctrlPr>
          </m:dPr>
          <m:e>
            <m:sSup>
              <m:sSupPr>
                <m:ctrlPr>
                  <w:rPr>
                    <w:rFonts w:ascii="Cambria Math" w:hAnsi="Cambria Math"/>
                    <w:i/>
                  </w:rPr>
                </m:ctrlPr>
              </m:sSupPr>
              <m:e>
                <m:r>
                  <w:rPr>
                    <w:rFonts w:ascii="Cambria Math" w:hAnsi="Cambria Math"/>
                  </w:rPr>
                  <m:t>θ</m:t>
                </m:r>
              </m:e>
              <m:sup>
                <m:r>
                  <w:rPr>
                    <w:rFonts w:ascii="Cambria Math" w:hAnsi="Cambria Math"/>
                  </w:rPr>
                  <m:t>*</m:t>
                </m:r>
              </m:sup>
            </m:sSup>
            <m:r>
              <w:rPr>
                <w:rFonts w:ascii="Cambria Math" w:hAnsi="Cambria Math"/>
              </w:rPr>
              <m:t xml:space="preserve">, </m:t>
            </m:r>
            <m:r>
              <m:rPr>
                <m:sty m:val="p"/>
              </m:rPr>
              <w:rPr>
                <w:rFonts w:ascii="Cambria Math" w:hAnsi="Cambria Math"/>
              </w:rPr>
              <m:t>Φ</m:t>
            </m:r>
          </m:e>
        </m:d>
      </m:oMath>
      <w:r w:rsidR="009C11A8">
        <w:rPr>
          <w:lang w:val="en-GB"/>
        </w:rPr>
        <w:t>,</w:t>
      </w:r>
      <w:r w:rsidR="00462FD2">
        <w:rPr>
          <w:lang w:val="en-GB"/>
        </w:rPr>
        <w:t xml:space="preserve"> calculated using </w:t>
      </w:r>
      <w:r w:rsidR="00CC1C63">
        <w:rPr>
          <w:lang w:val="en-GB"/>
        </w:rPr>
        <w:t>Eq</w:t>
      </w:r>
      <w:r w:rsidR="002C55EC">
        <w:rPr>
          <w:lang w:val="en-GB"/>
        </w:rPr>
        <w:t xml:space="preserve">. </w:t>
      </w:r>
      <w:r w:rsidR="00A1788E">
        <w:rPr>
          <w:lang w:val="en-GB"/>
        </w:rPr>
        <w:t>(</w:t>
      </w:r>
      <w:r w:rsidR="00254852">
        <w:rPr>
          <w:lang w:val="en-GB"/>
        </w:rPr>
        <w:t>12</w:t>
      </w:r>
      <w:r w:rsidR="00A1788E">
        <w:rPr>
          <w:lang w:val="en-GB"/>
        </w:rPr>
        <w:t>)</w:t>
      </w:r>
      <w:r w:rsidR="009C11A8">
        <w:rPr>
          <w:lang w:val="en-GB"/>
        </w:rPr>
        <w:t>, exhibits a maximum</w:t>
      </w:r>
      <w:r w:rsidR="002C55EC">
        <w:rPr>
          <w:lang w:val="en-GB"/>
        </w:rPr>
        <w:t>.</w:t>
      </w:r>
    </w:p>
    <w:tbl>
      <w:tblPr>
        <w:tblW w:w="5000" w:type="pct"/>
        <w:tblLook w:val="04A0" w:firstRow="1" w:lastRow="0" w:firstColumn="1" w:lastColumn="0" w:noHBand="0" w:noVBand="1"/>
      </w:tblPr>
      <w:tblGrid>
        <w:gridCol w:w="7980"/>
        <w:gridCol w:w="807"/>
      </w:tblGrid>
      <w:tr w:rsidR="002C1EE9" w:rsidRPr="00B57B36" w14:paraId="52EEC241" w14:textId="77777777" w:rsidTr="00E42431">
        <w:tc>
          <w:tcPr>
            <w:tcW w:w="8188" w:type="dxa"/>
            <w:shd w:val="clear" w:color="auto" w:fill="auto"/>
            <w:vAlign w:val="center"/>
          </w:tcPr>
          <w:p w14:paraId="08632F5F" w14:textId="14A4D6CD" w:rsidR="002C1EE9" w:rsidRPr="00EB2D27" w:rsidRDefault="001B6FA6" w:rsidP="00E42431">
            <w:pPr>
              <w:pStyle w:val="CETEquation"/>
              <w:rPr>
                <w:i/>
                <w:lang w:val="en-US"/>
              </w:rPr>
            </w:pPr>
            <m:oMathPara>
              <m:oMathParaPr>
                <m:jc m:val="left"/>
              </m:oMathParaPr>
              <m:oMath>
                <m:r>
                  <w:rPr>
                    <w:rFonts w:ascii="Cambria Math" w:hAnsi="Cambria Math"/>
                  </w:rPr>
                  <m:t>S</m:t>
                </m:r>
                <m:d>
                  <m:dPr>
                    <m:ctrlPr>
                      <w:rPr>
                        <w:rFonts w:ascii="Cambria Math" w:hAnsi="Cambria Math"/>
                        <w:i/>
                      </w:rPr>
                    </m:ctrlPr>
                  </m:dPr>
                  <m:e>
                    <m:sSup>
                      <m:sSupPr>
                        <m:ctrlPr>
                          <w:rPr>
                            <w:rFonts w:ascii="Cambria Math" w:hAnsi="Cambria Math"/>
                            <w:i/>
                          </w:rPr>
                        </m:ctrlPr>
                      </m:sSupPr>
                      <m:e>
                        <m:r>
                          <w:rPr>
                            <w:rFonts w:ascii="Cambria Math" w:hAnsi="Cambria Math"/>
                          </w:rPr>
                          <m:t>θ</m:t>
                        </m:r>
                      </m:e>
                      <m:sup>
                        <m:r>
                          <w:rPr>
                            <w:rFonts w:ascii="Cambria Math" w:hAnsi="Cambria Math"/>
                          </w:rPr>
                          <m:t>*</m:t>
                        </m:r>
                      </m:sup>
                    </m:sSup>
                    <m:r>
                      <w:rPr>
                        <w:rFonts w:ascii="Cambria Math" w:hAnsi="Cambria Math"/>
                      </w:rPr>
                      <m:t xml:space="preserve">, </m:t>
                    </m:r>
                    <m:r>
                      <m:rPr>
                        <m:sty m:val="p"/>
                      </m:rPr>
                      <w:rPr>
                        <w:rFonts w:ascii="Cambria Math" w:hAnsi="Cambria Math"/>
                      </w:rPr>
                      <m:t>Φ</m:t>
                    </m:r>
                  </m:e>
                </m:d>
                <m:r>
                  <w:rPr>
                    <w:rFonts w:ascii="Cambria Math" w:hAnsi="Cambria Math"/>
                  </w:rPr>
                  <m:t>=</m:t>
                </m:r>
                <m:f>
                  <m:fPr>
                    <m:ctrlPr>
                      <w:rPr>
                        <w:rFonts w:ascii="Cambria Math" w:hAnsi="Cambria Math"/>
                        <w:i/>
                      </w:rPr>
                    </m:ctrlPr>
                  </m:fPr>
                  <m:num>
                    <m:r>
                      <m:rPr>
                        <m:sty m:val="p"/>
                      </m:rPr>
                      <w:rPr>
                        <w:rFonts w:ascii="Cambria Math" w:hAnsi="Cambria Math"/>
                      </w:rPr>
                      <m:t>Φ</m:t>
                    </m:r>
                  </m:num>
                  <m:den>
                    <m:sSup>
                      <m:sSupPr>
                        <m:ctrlPr>
                          <w:rPr>
                            <w:rFonts w:ascii="Cambria Math" w:hAnsi="Cambria Math"/>
                            <w:i/>
                          </w:rPr>
                        </m:ctrlPr>
                      </m:sSupPr>
                      <m:e>
                        <m:r>
                          <w:rPr>
                            <w:rFonts w:ascii="Cambria Math" w:hAnsi="Cambria Math"/>
                          </w:rPr>
                          <m:t>θ</m:t>
                        </m:r>
                      </m:e>
                      <m:sup>
                        <m:r>
                          <w:rPr>
                            <w:rFonts w:ascii="Cambria Math" w:hAnsi="Cambria Math"/>
                          </w:rPr>
                          <m:t>*</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∂θ</m:t>
                        </m:r>
                      </m:e>
                      <m:sup>
                        <m:r>
                          <w:rPr>
                            <w:rFonts w:ascii="Cambria Math" w:hAnsi="Cambria Math"/>
                          </w:rPr>
                          <m:t>*</m:t>
                        </m:r>
                      </m:sup>
                    </m:sSup>
                    <m:r>
                      <w:rPr>
                        <w:rFonts w:ascii="Cambria Math" w:hAnsi="Cambria Math"/>
                      </w:rPr>
                      <m:t xml:space="preserve"> ( </m:t>
                    </m:r>
                    <m:r>
                      <m:rPr>
                        <m:sty m:val="p"/>
                      </m:rPr>
                      <w:rPr>
                        <w:rFonts w:ascii="Cambria Math" w:hAnsi="Cambria Math"/>
                      </w:rPr>
                      <m:t>Φ</m:t>
                    </m:r>
                    <m:r>
                      <w:rPr>
                        <w:rFonts w:ascii="Cambria Math" w:hAnsi="Cambria Math"/>
                      </w:rPr>
                      <m:t>)</m:t>
                    </m:r>
                  </m:num>
                  <m:den>
                    <m:r>
                      <w:rPr>
                        <w:rFonts w:ascii="Cambria Math" w:hAnsi="Cambria Math"/>
                      </w:rPr>
                      <m:t>∂</m:t>
                    </m:r>
                    <m:sSup>
                      <m:sSupPr>
                        <m:ctrlPr>
                          <w:rPr>
                            <w:rFonts w:ascii="Cambria Math" w:hAnsi="Cambria Math"/>
                            <w:i/>
                          </w:rPr>
                        </m:ctrlPr>
                      </m:sSupPr>
                      <m:e>
                        <m:r>
                          <w:rPr>
                            <w:rFonts w:ascii="Cambria Math" w:hAnsi="Cambria Math"/>
                          </w:rPr>
                          <m:t>θ</m:t>
                        </m:r>
                      </m:e>
                      <m:sup>
                        <m:r>
                          <w:rPr>
                            <w:rFonts w:ascii="Cambria Math" w:hAnsi="Cambria Math"/>
                          </w:rPr>
                          <m:t>*</m:t>
                        </m:r>
                      </m:sup>
                    </m:sSup>
                  </m:den>
                </m:f>
              </m:oMath>
            </m:oMathPara>
          </w:p>
        </w:tc>
        <w:tc>
          <w:tcPr>
            <w:tcW w:w="815" w:type="dxa"/>
            <w:shd w:val="clear" w:color="auto" w:fill="auto"/>
            <w:vAlign w:val="center"/>
          </w:tcPr>
          <w:p w14:paraId="601CFBA5" w14:textId="043111B1" w:rsidR="002C1EE9" w:rsidRPr="00B57B36" w:rsidRDefault="002C1EE9" w:rsidP="00E42431">
            <w:pPr>
              <w:pStyle w:val="CETEquation"/>
              <w:jc w:val="right"/>
            </w:pPr>
            <w:r w:rsidRPr="00B57B36">
              <w:t>(</w:t>
            </w:r>
            <w:r w:rsidR="00254852">
              <w:t>12</w:t>
            </w:r>
            <w:r w:rsidRPr="00B57B36">
              <w:t>)</w:t>
            </w:r>
          </w:p>
        </w:tc>
      </w:tr>
    </w:tbl>
    <w:p w14:paraId="7E54D9EF" w14:textId="74BA32F1" w:rsidR="001B6FA6" w:rsidRDefault="001B6FA6" w:rsidP="00192294">
      <w:pPr>
        <w:pStyle w:val="CETBodytext"/>
        <w:spacing w:after="240"/>
      </w:pPr>
      <w:bookmarkStart w:id="1" w:name="_Hlk126243103"/>
      <w:bookmarkStart w:id="2" w:name="_Hlk126231298"/>
      <w:r>
        <w:t xml:space="preserve">where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rsidR="00597B71">
        <w:t xml:space="preserve"> is</w:t>
      </w:r>
      <w:r w:rsidR="008B770C">
        <w:t xml:space="preserve"> the objective function</w:t>
      </w:r>
      <w:r w:rsidR="00192294">
        <w:t xml:space="preserve"> and</w:t>
      </w:r>
      <w:r w:rsidR="008B770C">
        <w:t xml:space="preserve"> </w:t>
      </w:r>
      <m:oMath>
        <m:r>
          <m:rPr>
            <m:sty m:val="p"/>
          </m:rPr>
          <w:rPr>
            <w:rFonts w:ascii="Cambria Math" w:hAnsi="Cambria Math"/>
          </w:rPr>
          <m:t>Φ</m:t>
        </m:r>
      </m:oMath>
      <w:r w:rsidR="008B770C">
        <w:t xml:space="preserve"> is the parameter with respect to </w:t>
      </w:r>
      <m:oMath>
        <m:r>
          <w:rPr>
            <w:rFonts w:ascii="Cambria Math" w:hAnsi="Cambria Math"/>
          </w:rPr>
          <m:t>S</m:t>
        </m:r>
        <m:d>
          <m:dPr>
            <m:ctrlPr>
              <w:rPr>
                <w:rFonts w:ascii="Cambria Math" w:hAnsi="Cambria Math"/>
                <w:i/>
              </w:rPr>
            </m:ctrlPr>
          </m:dPr>
          <m:e>
            <m:sSup>
              <m:sSupPr>
                <m:ctrlPr>
                  <w:rPr>
                    <w:rFonts w:ascii="Cambria Math" w:hAnsi="Cambria Math"/>
                    <w:i/>
                  </w:rPr>
                </m:ctrlPr>
              </m:sSupPr>
              <m:e>
                <m:r>
                  <w:rPr>
                    <w:rFonts w:ascii="Cambria Math" w:hAnsi="Cambria Math"/>
                  </w:rPr>
                  <m:t>θ</m:t>
                </m:r>
              </m:e>
              <m:sup>
                <m:r>
                  <w:rPr>
                    <w:rFonts w:ascii="Cambria Math" w:hAnsi="Cambria Math"/>
                  </w:rPr>
                  <m:t>*</m:t>
                </m:r>
              </m:sup>
            </m:sSup>
            <m:r>
              <w:rPr>
                <w:rFonts w:ascii="Cambria Math" w:hAnsi="Cambria Math"/>
              </w:rPr>
              <m:t xml:space="preserve">, </m:t>
            </m:r>
            <m:r>
              <m:rPr>
                <m:sty m:val="p"/>
              </m:rPr>
              <w:rPr>
                <w:rFonts w:ascii="Cambria Math" w:hAnsi="Cambria Math"/>
              </w:rPr>
              <m:t>Φ</m:t>
            </m:r>
          </m:e>
        </m:d>
        <m:r>
          <w:rPr>
            <w:rFonts w:ascii="Cambria Math" w:hAnsi="Cambria Math"/>
          </w:rPr>
          <m:t xml:space="preserve"> </m:t>
        </m:r>
      </m:oMath>
      <w:r w:rsidR="00267264">
        <w:t>is calculated</w:t>
      </w:r>
      <w:r w:rsidR="00192294">
        <w:t xml:space="preserve">. </w:t>
      </w:r>
    </w:p>
    <w:p w14:paraId="612F036A" w14:textId="3E8094C1" w:rsidR="005620F1" w:rsidRPr="00B57B36" w:rsidRDefault="005620F1" w:rsidP="00096620">
      <w:pPr>
        <w:pStyle w:val="CETTabletitle"/>
        <w:spacing w:before="0"/>
      </w:pPr>
      <w:r w:rsidRPr="00B57B36">
        <w:t xml:space="preserve">Table </w:t>
      </w:r>
      <w:r w:rsidR="00D764E1">
        <w:t>3</w:t>
      </w:r>
      <w:r w:rsidRPr="00B57B36">
        <w:t xml:space="preserve">: </w:t>
      </w:r>
      <w:r>
        <w:t>V</w:t>
      </w:r>
      <w:r w:rsidRPr="005620F1">
        <w:t>alues</w:t>
      </w:r>
      <w:r w:rsidR="00462FD2">
        <w:t xml:space="preserve"> </w:t>
      </w:r>
      <w:r w:rsidRPr="005620F1">
        <w:t xml:space="preserve">of </w:t>
      </w:r>
      <w:proofErr w:type="spellStart"/>
      <w:proofErr w:type="gramStart"/>
      <w:r>
        <w:t>T</w:t>
      </w:r>
      <w:r w:rsidR="006E2F7A">
        <w:rPr>
          <w:vertAlign w:val="subscript"/>
        </w:rPr>
        <w:t>w</w:t>
      </w:r>
      <w:r w:rsidRPr="005620F1">
        <w:rPr>
          <w:vertAlign w:val="subscript"/>
        </w:rPr>
        <w:t>,cr</w:t>
      </w:r>
      <w:proofErr w:type="spellEnd"/>
      <w:proofErr w:type="gramEnd"/>
      <w:r w:rsidRPr="005620F1">
        <w:t xml:space="preserve"> and </w:t>
      </w:r>
      <w:proofErr w:type="spellStart"/>
      <w:r>
        <w:t>T</w:t>
      </w:r>
      <w:r w:rsidRPr="005620F1">
        <w:rPr>
          <w:vertAlign w:val="subscript"/>
        </w:rPr>
        <w:t>in,cr</w:t>
      </w:r>
      <w:proofErr w:type="spellEnd"/>
      <w:r w:rsidRPr="005620F1">
        <w:t xml:space="preserve"> obtained for different configurations (1</w:t>
      </w:r>
      <w:r w:rsidR="00462FD2">
        <w:t>-</w:t>
      </w:r>
      <w:r w:rsidRPr="005620F1">
        <w:t>D)</w:t>
      </w:r>
      <w:bookmarkEnd w:id="1"/>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56"/>
        <w:gridCol w:w="1596"/>
        <w:gridCol w:w="1984"/>
        <w:gridCol w:w="2314"/>
        <w:gridCol w:w="1937"/>
      </w:tblGrid>
      <w:tr w:rsidR="009351EA" w:rsidRPr="00B57B36" w14:paraId="5779EEA7" w14:textId="77777777" w:rsidTr="00E002B2">
        <w:tc>
          <w:tcPr>
            <w:tcW w:w="956" w:type="dxa"/>
            <w:tcBorders>
              <w:top w:val="single" w:sz="12" w:space="0" w:color="008000"/>
              <w:bottom w:val="single" w:sz="6" w:space="0" w:color="008000"/>
            </w:tcBorders>
            <w:shd w:val="clear" w:color="auto" w:fill="FFFFFF"/>
          </w:tcPr>
          <w:p w14:paraId="63A2D777" w14:textId="77777777" w:rsidR="009351EA" w:rsidRPr="00B57B36" w:rsidRDefault="009351EA" w:rsidP="00356569">
            <w:pPr>
              <w:pStyle w:val="CETBodytext"/>
              <w:rPr>
                <w:lang w:val="en-GB"/>
              </w:rPr>
            </w:pPr>
          </w:p>
        </w:tc>
        <w:tc>
          <w:tcPr>
            <w:tcW w:w="1596" w:type="dxa"/>
            <w:tcBorders>
              <w:top w:val="single" w:sz="12" w:space="0" w:color="008000"/>
              <w:bottom w:val="single" w:sz="6" w:space="0" w:color="008000"/>
            </w:tcBorders>
            <w:shd w:val="clear" w:color="auto" w:fill="FFFFFF"/>
          </w:tcPr>
          <w:p w14:paraId="6D4E4F62" w14:textId="620A62EA" w:rsidR="009351EA" w:rsidRDefault="009351EA" w:rsidP="009351EA">
            <w:pPr>
              <w:pStyle w:val="CETBodytext"/>
              <w:jc w:val="center"/>
              <w:rPr>
                <w:lang w:val="en-GB"/>
              </w:rPr>
            </w:pPr>
            <w:r>
              <w:rPr>
                <w:lang w:val="en-GB"/>
              </w:rPr>
              <w:t>Reactor Diameter [mm]</w:t>
            </w:r>
          </w:p>
        </w:tc>
        <w:tc>
          <w:tcPr>
            <w:tcW w:w="1984" w:type="dxa"/>
            <w:tcBorders>
              <w:top w:val="single" w:sz="12" w:space="0" w:color="008000"/>
              <w:bottom w:val="single" w:sz="6" w:space="0" w:color="008000"/>
            </w:tcBorders>
            <w:shd w:val="clear" w:color="auto" w:fill="FFFFFF"/>
            <w:vAlign w:val="center"/>
          </w:tcPr>
          <w:p w14:paraId="7930E7E3" w14:textId="209E206A" w:rsidR="009351EA" w:rsidRPr="00B91BD5" w:rsidRDefault="009351EA" w:rsidP="00DE4CFA">
            <w:pPr>
              <w:pStyle w:val="CETBodytext"/>
              <w:spacing w:line="480" w:lineRule="auto"/>
              <w:jc w:val="center"/>
              <w:rPr>
                <w:lang w:val="en-GB"/>
              </w:rPr>
            </w:pPr>
            <w:r>
              <w:rPr>
                <w:lang w:val="en-GB"/>
              </w:rPr>
              <w:t>F</w:t>
            </w:r>
            <w:r>
              <w:rPr>
                <w:vertAlign w:val="subscript"/>
                <w:lang w:val="en-GB"/>
              </w:rPr>
              <w:t>max</w:t>
            </w:r>
            <w:r>
              <w:rPr>
                <w:lang w:val="en-GB"/>
              </w:rPr>
              <w:t>=1 mL/min</w:t>
            </w:r>
          </w:p>
        </w:tc>
        <w:tc>
          <w:tcPr>
            <w:tcW w:w="2314" w:type="dxa"/>
            <w:tcBorders>
              <w:top w:val="single" w:sz="12" w:space="0" w:color="008000"/>
              <w:bottom w:val="single" w:sz="6" w:space="0" w:color="008000"/>
            </w:tcBorders>
            <w:shd w:val="clear" w:color="auto" w:fill="FFFFFF"/>
          </w:tcPr>
          <w:p w14:paraId="643CF2BD" w14:textId="664E7B45" w:rsidR="009351EA" w:rsidRDefault="009351EA" w:rsidP="009351EA">
            <w:pPr>
              <w:pStyle w:val="CETBodytext"/>
              <w:ind w:right="-1"/>
              <w:jc w:val="center"/>
              <w:rPr>
                <w:lang w:val="en-GB"/>
              </w:rPr>
            </w:pPr>
            <w:r w:rsidRPr="00B91BD5">
              <w:rPr>
                <w:lang w:val="en-GB"/>
              </w:rPr>
              <w:t>F</w:t>
            </w:r>
            <w:r w:rsidRPr="00B91BD5">
              <w:rPr>
                <w:vertAlign w:val="subscript"/>
                <w:lang w:val="en-GB"/>
              </w:rPr>
              <w:t>max</w:t>
            </w:r>
            <w:r>
              <w:rPr>
                <w:lang w:val="en-GB"/>
              </w:rPr>
              <w:t>=4 mL/min</w:t>
            </w:r>
          </w:p>
        </w:tc>
        <w:tc>
          <w:tcPr>
            <w:tcW w:w="1937" w:type="dxa"/>
            <w:tcBorders>
              <w:top w:val="single" w:sz="12" w:space="0" w:color="008000"/>
              <w:bottom w:val="single" w:sz="6" w:space="0" w:color="008000"/>
            </w:tcBorders>
            <w:shd w:val="clear" w:color="auto" w:fill="FFFFFF"/>
          </w:tcPr>
          <w:p w14:paraId="11391F7E" w14:textId="77777777" w:rsidR="009351EA" w:rsidRDefault="009351EA" w:rsidP="009351EA">
            <w:pPr>
              <w:pStyle w:val="CETBodytext"/>
              <w:ind w:right="-1"/>
              <w:jc w:val="center"/>
              <w:rPr>
                <w:rFonts w:cs="Arial"/>
                <w:szCs w:val="18"/>
                <w:lang w:val="en-GB"/>
              </w:rPr>
            </w:pPr>
            <w:r>
              <w:rPr>
                <w:lang w:val="en-GB"/>
              </w:rPr>
              <w:t>F</w:t>
            </w:r>
            <w:r>
              <w:rPr>
                <w:vertAlign w:val="subscript"/>
                <w:lang w:val="en-GB"/>
              </w:rPr>
              <w:t>max</w:t>
            </w:r>
            <w:r>
              <w:rPr>
                <w:lang w:val="en-GB"/>
              </w:rPr>
              <w:t>=10 mL/min</w:t>
            </w:r>
          </w:p>
        </w:tc>
      </w:tr>
      <w:tr w:rsidR="00DE4CFA" w:rsidRPr="00B57B36" w14:paraId="6B29EB08" w14:textId="77777777" w:rsidTr="00E002B2">
        <w:tc>
          <w:tcPr>
            <w:tcW w:w="956" w:type="dxa"/>
            <w:tcBorders>
              <w:top w:val="single" w:sz="6" w:space="0" w:color="008000"/>
              <w:bottom w:val="nil"/>
            </w:tcBorders>
            <w:shd w:val="clear" w:color="auto" w:fill="FFFFFF"/>
          </w:tcPr>
          <w:p w14:paraId="7BC55A40" w14:textId="1F2D8BFC" w:rsidR="00DE4CFA" w:rsidRPr="004E3064" w:rsidRDefault="00DE4CFA" w:rsidP="00DE4CFA">
            <w:pPr>
              <w:pStyle w:val="CETBodytext"/>
              <w:jc w:val="center"/>
              <w:rPr>
                <w:lang w:val="en-GB"/>
              </w:rPr>
            </w:pPr>
            <w:proofErr w:type="spellStart"/>
            <w:proofErr w:type="gramStart"/>
            <w:r>
              <w:rPr>
                <w:lang w:val="en-GB"/>
              </w:rPr>
              <w:t>T</w:t>
            </w:r>
            <w:r w:rsidR="006E2F7A">
              <w:rPr>
                <w:vertAlign w:val="subscript"/>
                <w:lang w:val="en-GB"/>
              </w:rPr>
              <w:t>w</w:t>
            </w:r>
            <w:r w:rsidRPr="00CC71EE">
              <w:rPr>
                <w:vertAlign w:val="subscript"/>
                <w:lang w:val="en-GB"/>
              </w:rPr>
              <w:t>,cr</w:t>
            </w:r>
            <w:proofErr w:type="spellEnd"/>
            <w:proofErr w:type="gramEnd"/>
          </w:p>
        </w:tc>
        <w:tc>
          <w:tcPr>
            <w:tcW w:w="1596" w:type="dxa"/>
            <w:tcBorders>
              <w:top w:val="single" w:sz="6" w:space="0" w:color="008000"/>
              <w:bottom w:val="nil"/>
            </w:tcBorders>
            <w:shd w:val="clear" w:color="auto" w:fill="FFFFFF"/>
          </w:tcPr>
          <w:p w14:paraId="086254E8" w14:textId="77777777" w:rsidR="00DE4CFA" w:rsidRDefault="00DE4CFA" w:rsidP="00DE4CFA">
            <w:pPr>
              <w:pStyle w:val="CETBodytext"/>
              <w:jc w:val="center"/>
              <w:rPr>
                <w:lang w:val="en-GB"/>
              </w:rPr>
            </w:pPr>
            <w:r>
              <w:rPr>
                <w:lang w:val="en-GB"/>
              </w:rPr>
              <w:t>0.8</w:t>
            </w:r>
          </w:p>
          <w:p w14:paraId="67AD4148" w14:textId="43753375" w:rsidR="00DE4CFA" w:rsidRDefault="00DE4CFA" w:rsidP="00DE4CFA">
            <w:pPr>
              <w:pStyle w:val="CETBodytext"/>
              <w:jc w:val="center"/>
              <w:rPr>
                <w:lang w:val="en-GB"/>
              </w:rPr>
            </w:pPr>
            <w:r>
              <w:rPr>
                <w:lang w:val="en-GB"/>
              </w:rPr>
              <w:t>3</w:t>
            </w:r>
          </w:p>
        </w:tc>
        <w:tc>
          <w:tcPr>
            <w:tcW w:w="1984" w:type="dxa"/>
            <w:vMerge w:val="restart"/>
            <w:tcBorders>
              <w:top w:val="single" w:sz="6" w:space="0" w:color="008000"/>
              <w:bottom w:val="nil"/>
            </w:tcBorders>
            <w:shd w:val="clear" w:color="auto" w:fill="FFFFFF"/>
          </w:tcPr>
          <w:p w14:paraId="76AB2646" w14:textId="77777777" w:rsidR="00DE4CFA" w:rsidRDefault="00DE4CFA" w:rsidP="00DE4CFA">
            <w:pPr>
              <w:pStyle w:val="CETBodytext"/>
              <w:jc w:val="center"/>
              <w:rPr>
                <w:lang w:val="en-GB"/>
              </w:rPr>
            </w:pPr>
            <w:r>
              <w:rPr>
                <w:lang w:val="en-GB"/>
              </w:rPr>
              <w:t>176.15 °C</w:t>
            </w:r>
          </w:p>
          <w:p w14:paraId="670004E2" w14:textId="77777777" w:rsidR="00DE4CFA" w:rsidRDefault="00DE4CFA" w:rsidP="00DE4CFA">
            <w:pPr>
              <w:pStyle w:val="CETBodytext"/>
              <w:jc w:val="center"/>
              <w:rPr>
                <w:lang w:val="en-GB"/>
              </w:rPr>
            </w:pPr>
            <w:r>
              <w:rPr>
                <w:lang w:val="en-GB"/>
              </w:rPr>
              <w:t>129.15 °C</w:t>
            </w:r>
          </w:p>
          <w:p w14:paraId="1EE84D48" w14:textId="0836C925" w:rsidR="00DE4CFA" w:rsidRDefault="00DE4CFA" w:rsidP="00DE4CFA">
            <w:pPr>
              <w:pStyle w:val="CETBodytext"/>
              <w:ind w:right="-1"/>
              <w:jc w:val="center"/>
              <w:rPr>
                <w:lang w:val="en-GB"/>
              </w:rPr>
            </w:pPr>
            <w:r>
              <w:rPr>
                <w:rFonts w:cs="Arial"/>
                <w:szCs w:val="18"/>
                <w:lang w:val="en-GB"/>
              </w:rPr>
              <w:t>107.15 °C</w:t>
            </w:r>
          </w:p>
        </w:tc>
        <w:tc>
          <w:tcPr>
            <w:tcW w:w="2314" w:type="dxa"/>
            <w:vMerge w:val="restart"/>
            <w:tcBorders>
              <w:top w:val="single" w:sz="6" w:space="0" w:color="008000"/>
              <w:bottom w:val="nil"/>
            </w:tcBorders>
            <w:shd w:val="clear" w:color="auto" w:fill="FFFFFF"/>
          </w:tcPr>
          <w:p w14:paraId="1128941E" w14:textId="77777777" w:rsidR="00DE4CFA" w:rsidRDefault="00DE4CFA" w:rsidP="00DE4CFA">
            <w:pPr>
              <w:pStyle w:val="CETBodytext"/>
              <w:jc w:val="center"/>
              <w:rPr>
                <w:lang w:val="en-GB"/>
              </w:rPr>
            </w:pPr>
            <w:r>
              <w:rPr>
                <w:lang w:val="en-GB"/>
              </w:rPr>
              <w:t>176.15 °C</w:t>
            </w:r>
          </w:p>
          <w:p w14:paraId="7AF0DB22" w14:textId="77777777" w:rsidR="00DE4CFA" w:rsidRDefault="00DE4CFA" w:rsidP="00DE4CFA">
            <w:pPr>
              <w:pStyle w:val="CETBodytext"/>
              <w:ind w:right="-1"/>
              <w:jc w:val="center"/>
              <w:rPr>
                <w:rFonts w:cs="Arial"/>
                <w:szCs w:val="18"/>
                <w:lang w:val="en-GB"/>
              </w:rPr>
            </w:pPr>
            <w:r>
              <w:rPr>
                <w:lang w:val="en-GB"/>
              </w:rPr>
              <w:t>129.15 °C</w:t>
            </w:r>
          </w:p>
          <w:p w14:paraId="5CC70E46" w14:textId="0A6A742D" w:rsidR="00DE4CFA" w:rsidRDefault="00DE4CFA" w:rsidP="00DE4CFA">
            <w:pPr>
              <w:pStyle w:val="CETBodytext"/>
              <w:ind w:right="-1"/>
              <w:jc w:val="center"/>
              <w:rPr>
                <w:rFonts w:cs="Arial"/>
                <w:szCs w:val="18"/>
                <w:lang w:val="en-GB"/>
              </w:rPr>
            </w:pPr>
            <w:r>
              <w:rPr>
                <w:rFonts w:cs="Arial"/>
                <w:szCs w:val="18"/>
                <w:lang w:val="en-GB"/>
              </w:rPr>
              <w:t>107.15 °C</w:t>
            </w:r>
          </w:p>
        </w:tc>
        <w:tc>
          <w:tcPr>
            <w:tcW w:w="1937" w:type="dxa"/>
            <w:vMerge w:val="restart"/>
            <w:tcBorders>
              <w:top w:val="single" w:sz="6" w:space="0" w:color="008000"/>
              <w:bottom w:val="nil"/>
            </w:tcBorders>
            <w:shd w:val="clear" w:color="auto" w:fill="FFFFFF"/>
          </w:tcPr>
          <w:p w14:paraId="43C2FC28" w14:textId="77777777" w:rsidR="00DE4CFA" w:rsidRDefault="00DE4CFA" w:rsidP="00DE4CFA">
            <w:pPr>
              <w:pStyle w:val="CETBodytext"/>
              <w:jc w:val="center"/>
              <w:rPr>
                <w:lang w:val="en-GB"/>
              </w:rPr>
            </w:pPr>
            <w:r>
              <w:rPr>
                <w:lang w:val="en-GB"/>
              </w:rPr>
              <w:t>176.15 °C</w:t>
            </w:r>
          </w:p>
          <w:p w14:paraId="67C3B30F" w14:textId="77777777" w:rsidR="00DE4CFA" w:rsidRDefault="00DE4CFA" w:rsidP="00DE4CFA">
            <w:pPr>
              <w:pStyle w:val="CETBodytext"/>
              <w:ind w:right="-1"/>
              <w:jc w:val="center"/>
              <w:rPr>
                <w:rFonts w:cs="Arial"/>
                <w:szCs w:val="18"/>
                <w:lang w:val="en-GB"/>
              </w:rPr>
            </w:pPr>
            <w:r>
              <w:rPr>
                <w:lang w:val="en-GB"/>
              </w:rPr>
              <w:t>129.15 °C</w:t>
            </w:r>
          </w:p>
          <w:p w14:paraId="2A5071C9" w14:textId="5A6B056F" w:rsidR="00DE4CFA" w:rsidRDefault="00DE4CFA" w:rsidP="00DE4CFA">
            <w:pPr>
              <w:pStyle w:val="CETBodytext"/>
              <w:ind w:right="-1"/>
              <w:jc w:val="center"/>
              <w:rPr>
                <w:rFonts w:cs="Arial"/>
                <w:szCs w:val="18"/>
                <w:lang w:val="en-GB"/>
              </w:rPr>
            </w:pPr>
            <w:r>
              <w:rPr>
                <w:rFonts w:cs="Arial"/>
                <w:szCs w:val="18"/>
                <w:lang w:val="en-GB"/>
              </w:rPr>
              <w:t>107.15 °C</w:t>
            </w:r>
          </w:p>
        </w:tc>
      </w:tr>
      <w:tr w:rsidR="00DE4CFA" w:rsidRPr="00B57B36" w14:paraId="713E66E5" w14:textId="77777777" w:rsidTr="00E002B2">
        <w:tc>
          <w:tcPr>
            <w:tcW w:w="956" w:type="dxa"/>
            <w:tcBorders>
              <w:top w:val="nil"/>
              <w:bottom w:val="single" w:sz="4" w:space="0" w:color="auto"/>
            </w:tcBorders>
            <w:shd w:val="clear" w:color="auto" w:fill="FFFFFF"/>
          </w:tcPr>
          <w:p w14:paraId="422A88E4" w14:textId="77777777" w:rsidR="00DE4CFA" w:rsidRPr="00B57B36" w:rsidRDefault="00DE4CFA" w:rsidP="00DE4CFA">
            <w:pPr>
              <w:pStyle w:val="CETBodytext"/>
              <w:ind w:right="-1"/>
              <w:jc w:val="center"/>
              <w:rPr>
                <w:rFonts w:cs="Arial"/>
                <w:szCs w:val="18"/>
                <w:lang w:val="en-GB"/>
              </w:rPr>
            </w:pPr>
          </w:p>
        </w:tc>
        <w:tc>
          <w:tcPr>
            <w:tcW w:w="1596" w:type="dxa"/>
            <w:tcBorders>
              <w:top w:val="nil"/>
              <w:bottom w:val="single" w:sz="4" w:space="0" w:color="auto"/>
            </w:tcBorders>
            <w:shd w:val="clear" w:color="auto" w:fill="FFFFFF"/>
          </w:tcPr>
          <w:p w14:paraId="78E8682C" w14:textId="0243DC29" w:rsidR="00DE4CFA" w:rsidRDefault="00DE4CFA" w:rsidP="00DE4CFA">
            <w:pPr>
              <w:pStyle w:val="CETBodytext"/>
              <w:jc w:val="center"/>
              <w:rPr>
                <w:lang w:val="en-GB"/>
              </w:rPr>
            </w:pPr>
            <w:r>
              <w:rPr>
                <w:lang w:val="en-GB"/>
              </w:rPr>
              <w:t>6</w:t>
            </w:r>
          </w:p>
        </w:tc>
        <w:tc>
          <w:tcPr>
            <w:tcW w:w="1984" w:type="dxa"/>
            <w:vMerge/>
            <w:tcBorders>
              <w:top w:val="nil"/>
              <w:bottom w:val="single" w:sz="4" w:space="0" w:color="auto"/>
            </w:tcBorders>
            <w:shd w:val="clear" w:color="auto" w:fill="FFFFFF"/>
          </w:tcPr>
          <w:p w14:paraId="4A2F104E" w14:textId="1575DFD7" w:rsidR="00DE4CFA" w:rsidRDefault="00DE4CFA" w:rsidP="00DE4CFA">
            <w:pPr>
              <w:pStyle w:val="CETBodytext"/>
              <w:ind w:right="-1"/>
              <w:jc w:val="center"/>
              <w:rPr>
                <w:rFonts w:cs="Arial"/>
                <w:szCs w:val="18"/>
                <w:lang w:val="en-GB"/>
              </w:rPr>
            </w:pPr>
          </w:p>
        </w:tc>
        <w:tc>
          <w:tcPr>
            <w:tcW w:w="2314" w:type="dxa"/>
            <w:vMerge/>
            <w:tcBorders>
              <w:top w:val="nil"/>
              <w:bottom w:val="single" w:sz="4" w:space="0" w:color="auto"/>
            </w:tcBorders>
            <w:shd w:val="clear" w:color="auto" w:fill="FFFFFF"/>
          </w:tcPr>
          <w:p w14:paraId="081D20EA" w14:textId="4081D1A6" w:rsidR="00DE4CFA" w:rsidRDefault="00DE4CFA" w:rsidP="00DE4CFA">
            <w:pPr>
              <w:pStyle w:val="CETBodytext"/>
              <w:ind w:right="-1"/>
              <w:jc w:val="center"/>
              <w:rPr>
                <w:rFonts w:cs="Arial"/>
                <w:szCs w:val="18"/>
                <w:lang w:val="en-GB"/>
              </w:rPr>
            </w:pPr>
          </w:p>
        </w:tc>
        <w:tc>
          <w:tcPr>
            <w:tcW w:w="1937" w:type="dxa"/>
            <w:vMerge/>
            <w:tcBorders>
              <w:top w:val="nil"/>
              <w:bottom w:val="single" w:sz="4" w:space="0" w:color="auto"/>
            </w:tcBorders>
            <w:shd w:val="clear" w:color="auto" w:fill="FFFFFF"/>
          </w:tcPr>
          <w:p w14:paraId="54DE5A63" w14:textId="0CC7B12E" w:rsidR="00DE4CFA" w:rsidRDefault="00DE4CFA" w:rsidP="00DE4CFA">
            <w:pPr>
              <w:pStyle w:val="CETBodytext"/>
              <w:ind w:right="-1"/>
              <w:jc w:val="center"/>
              <w:rPr>
                <w:rFonts w:cs="Arial"/>
                <w:szCs w:val="18"/>
                <w:lang w:val="en-GB"/>
              </w:rPr>
            </w:pPr>
          </w:p>
        </w:tc>
      </w:tr>
      <w:tr w:rsidR="00752F9D" w:rsidRPr="00B57B36" w14:paraId="18DE6535" w14:textId="77777777" w:rsidTr="0079695B">
        <w:tc>
          <w:tcPr>
            <w:tcW w:w="956" w:type="dxa"/>
            <w:tcBorders>
              <w:top w:val="single" w:sz="4" w:space="0" w:color="auto"/>
            </w:tcBorders>
            <w:shd w:val="clear" w:color="auto" w:fill="FFFFFF"/>
          </w:tcPr>
          <w:p w14:paraId="5F244CB6" w14:textId="77777777" w:rsidR="00752F9D" w:rsidRPr="00B57B36" w:rsidRDefault="00752F9D" w:rsidP="00E002B2">
            <w:pPr>
              <w:pStyle w:val="CETBodytext"/>
              <w:ind w:right="-1"/>
              <w:jc w:val="center"/>
              <w:rPr>
                <w:rFonts w:cs="Arial"/>
                <w:szCs w:val="18"/>
                <w:lang w:val="en-GB"/>
              </w:rPr>
            </w:pPr>
            <w:proofErr w:type="spellStart"/>
            <w:proofErr w:type="gramStart"/>
            <w:r>
              <w:rPr>
                <w:rFonts w:cs="Arial"/>
                <w:szCs w:val="18"/>
                <w:lang w:val="en-GB"/>
              </w:rPr>
              <w:t>T</w:t>
            </w:r>
            <w:r w:rsidRPr="00CC71EE">
              <w:rPr>
                <w:rFonts w:cs="Arial"/>
                <w:szCs w:val="18"/>
                <w:vertAlign w:val="subscript"/>
                <w:lang w:val="en-GB"/>
              </w:rPr>
              <w:t>in,cr</w:t>
            </w:r>
            <w:proofErr w:type="spellEnd"/>
            <w:proofErr w:type="gramEnd"/>
          </w:p>
        </w:tc>
        <w:tc>
          <w:tcPr>
            <w:tcW w:w="1596" w:type="dxa"/>
            <w:tcBorders>
              <w:top w:val="single" w:sz="4" w:space="0" w:color="auto"/>
            </w:tcBorders>
            <w:shd w:val="clear" w:color="auto" w:fill="FFFFFF"/>
          </w:tcPr>
          <w:p w14:paraId="62D6E616" w14:textId="77777777" w:rsidR="00752F9D" w:rsidRDefault="00752F9D" w:rsidP="00E002B2">
            <w:pPr>
              <w:pStyle w:val="CETBodytext"/>
              <w:jc w:val="center"/>
              <w:rPr>
                <w:lang w:val="en-GB"/>
              </w:rPr>
            </w:pPr>
            <w:r>
              <w:rPr>
                <w:lang w:val="en-GB"/>
              </w:rPr>
              <w:t>0.8</w:t>
            </w:r>
          </w:p>
          <w:p w14:paraId="69253364" w14:textId="6945C849" w:rsidR="00752F9D" w:rsidRDefault="00752F9D" w:rsidP="00E002B2">
            <w:pPr>
              <w:pStyle w:val="CETBodytext"/>
              <w:jc w:val="center"/>
              <w:rPr>
                <w:lang w:val="en-GB"/>
              </w:rPr>
            </w:pPr>
            <w:r>
              <w:rPr>
                <w:lang w:val="en-GB"/>
              </w:rPr>
              <w:t>3</w:t>
            </w:r>
          </w:p>
        </w:tc>
        <w:tc>
          <w:tcPr>
            <w:tcW w:w="1984" w:type="dxa"/>
            <w:vMerge w:val="restart"/>
            <w:tcBorders>
              <w:top w:val="single" w:sz="4" w:space="0" w:color="auto"/>
            </w:tcBorders>
            <w:shd w:val="clear" w:color="auto" w:fill="FFFFFF"/>
          </w:tcPr>
          <w:p w14:paraId="10D17A65" w14:textId="77777777" w:rsidR="00752F9D" w:rsidRDefault="00752F9D" w:rsidP="00E002B2">
            <w:pPr>
              <w:pStyle w:val="CETBodytext"/>
              <w:ind w:right="-1"/>
              <w:jc w:val="center"/>
              <w:rPr>
                <w:rFonts w:cs="Arial"/>
                <w:szCs w:val="18"/>
                <w:lang w:val="en-GB"/>
              </w:rPr>
            </w:pPr>
            <w:r>
              <w:rPr>
                <w:rFonts w:cs="Arial"/>
                <w:szCs w:val="18"/>
                <w:lang w:val="en-GB"/>
              </w:rPr>
              <w:t>222 °C</w:t>
            </w:r>
          </w:p>
          <w:p w14:paraId="7708F098" w14:textId="77777777" w:rsidR="00752F9D" w:rsidRDefault="00752F9D" w:rsidP="00E002B2">
            <w:pPr>
              <w:pStyle w:val="CETBodytext"/>
              <w:ind w:right="-1"/>
              <w:jc w:val="center"/>
              <w:rPr>
                <w:rFonts w:cs="Arial"/>
                <w:szCs w:val="18"/>
                <w:lang w:val="en-GB"/>
              </w:rPr>
            </w:pPr>
            <w:r>
              <w:rPr>
                <w:rFonts w:cs="Arial"/>
                <w:szCs w:val="18"/>
                <w:lang w:val="en-GB"/>
              </w:rPr>
              <w:t>167 °C</w:t>
            </w:r>
          </w:p>
          <w:p w14:paraId="2D02E01F" w14:textId="65E50C68" w:rsidR="00752F9D" w:rsidRDefault="00752F9D" w:rsidP="00092599">
            <w:pPr>
              <w:pStyle w:val="CETBodytext"/>
              <w:ind w:right="-1"/>
              <w:jc w:val="center"/>
              <w:rPr>
                <w:rFonts w:cs="Arial"/>
                <w:szCs w:val="18"/>
                <w:lang w:val="en-GB"/>
              </w:rPr>
            </w:pPr>
            <w:r>
              <w:rPr>
                <w:rFonts w:cs="Arial"/>
                <w:szCs w:val="18"/>
                <w:lang w:val="en-GB"/>
              </w:rPr>
              <w:t>145 °C</w:t>
            </w:r>
          </w:p>
        </w:tc>
        <w:tc>
          <w:tcPr>
            <w:tcW w:w="2314" w:type="dxa"/>
            <w:vMerge w:val="restart"/>
            <w:tcBorders>
              <w:top w:val="single" w:sz="4" w:space="0" w:color="auto"/>
            </w:tcBorders>
            <w:shd w:val="clear" w:color="auto" w:fill="FFFFFF"/>
          </w:tcPr>
          <w:p w14:paraId="47671E1D" w14:textId="77777777" w:rsidR="00752F9D" w:rsidRDefault="00752F9D" w:rsidP="00E002B2">
            <w:pPr>
              <w:pStyle w:val="CETBodytext"/>
              <w:ind w:right="-1"/>
              <w:jc w:val="center"/>
              <w:rPr>
                <w:rFonts w:cs="Arial"/>
                <w:szCs w:val="18"/>
                <w:lang w:val="en-GB"/>
              </w:rPr>
            </w:pPr>
            <w:r>
              <w:rPr>
                <w:rFonts w:cs="Arial"/>
                <w:szCs w:val="18"/>
                <w:lang w:val="en-GB"/>
              </w:rPr>
              <w:t>221 °C</w:t>
            </w:r>
          </w:p>
          <w:p w14:paraId="0F0B81C2" w14:textId="77777777" w:rsidR="00752F9D" w:rsidRDefault="00752F9D" w:rsidP="00E002B2">
            <w:pPr>
              <w:pStyle w:val="CETBodytext"/>
              <w:ind w:right="-1"/>
              <w:jc w:val="center"/>
              <w:rPr>
                <w:rFonts w:cs="Arial"/>
                <w:szCs w:val="18"/>
                <w:lang w:val="en-GB"/>
              </w:rPr>
            </w:pPr>
            <w:r>
              <w:rPr>
                <w:rFonts w:cs="Arial"/>
                <w:szCs w:val="18"/>
                <w:lang w:val="en-GB"/>
              </w:rPr>
              <w:t>168 °C</w:t>
            </w:r>
          </w:p>
          <w:p w14:paraId="477DBA2E" w14:textId="7753EA7B" w:rsidR="00752F9D" w:rsidRDefault="00752F9D" w:rsidP="00092599">
            <w:pPr>
              <w:pStyle w:val="CETBodytext"/>
              <w:ind w:right="-1"/>
              <w:jc w:val="center"/>
              <w:rPr>
                <w:rFonts w:cs="Arial"/>
                <w:szCs w:val="18"/>
                <w:lang w:val="en-GB"/>
              </w:rPr>
            </w:pPr>
            <w:r>
              <w:rPr>
                <w:rFonts w:cs="Arial"/>
                <w:szCs w:val="18"/>
                <w:lang w:val="en-GB"/>
              </w:rPr>
              <w:t>145 °C</w:t>
            </w:r>
          </w:p>
        </w:tc>
        <w:tc>
          <w:tcPr>
            <w:tcW w:w="1937" w:type="dxa"/>
            <w:vMerge w:val="restart"/>
            <w:tcBorders>
              <w:top w:val="single" w:sz="4" w:space="0" w:color="auto"/>
            </w:tcBorders>
            <w:shd w:val="clear" w:color="auto" w:fill="FFFFFF"/>
          </w:tcPr>
          <w:p w14:paraId="49BB504A" w14:textId="77777777" w:rsidR="00752F9D" w:rsidRDefault="00752F9D" w:rsidP="00E002B2">
            <w:pPr>
              <w:pStyle w:val="CETBodytext"/>
              <w:ind w:right="-1"/>
              <w:jc w:val="center"/>
              <w:rPr>
                <w:rFonts w:cs="Arial"/>
                <w:szCs w:val="18"/>
                <w:lang w:val="en-GB"/>
              </w:rPr>
            </w:pPr>
            <w:r>
              <w:rPr>
                <w:rFonts w:cs="Arial"/>
                <w:szCs w:val="18"/>
                <w:lang w:val="en-GB"/>
              </w:rPr>
              <w:t>222 °C</w:t>
            </w:r>
          </w:p>
          <w:p w14:paraId="5F62E1F4" w14:textId="77777777" w:rsidR="00752F9D" w:rsidRDefault="00752F9D" w:rsidP="00E002B2">
            <w:pPr>
              <w:pStyle w:val="CETBodytext"/>
              <w:ind w:right="-1"/>
              <w:jc w:val="center"/>
              <w:rPr>
                <w:rFonts w:cs="Arial"/>
                <w:szCs w:val="18"/>
                <w:lang w:val="en-GB"/>
              </w:rPr>
            </w:pPr>
            <w:r>
              <w:rPr>
                <w:rFonts w:cs="Arial"/>
                <w:szCs w:val="18"/>
                <w:lang w:val="en-GB"/>
              </w:rPr>
              <w:t>168 °C</w:t>
            </w:r>
          </w:p>
          <w:p w14:paraId="6F833D95" w14:textId="3F069628" w:rsidR="00752F9D" w:rsidRDefault="00752F9D" w:rsidP="00092599">
            <w:pPr>
              <w:pStyle w:val="CETBodytext"/>
              <w:ind w:right="-1"/>
              <w:jc w:val="center"/>
              <w:rPr>
                <w:rFonts w:cs="Arial"/>
                <w:szCs w:val="18"/>
                <w:lang w:val="en-GB"/>
              </w:rPr>
            </w:pPr>
            <w:r>
              <w:rPr>
                <w:rFonts w:cs="Arial"/>
                <w:szCs w:val="18"/>
                <w:lang w:val="en-GB"/>
              </w:rPr>
              <w:t>145 °C</w:t>
            </w:r>
          </w:p>
        </w:tc>
      </w:tr>
      <w:tr w:rsidR="00752F9D" w:rsidRPr="00B57B36" w14:paraId="4BA1F1A3" w14:textId="77777777" w:rsidTr="0079695B">
        <w:tc>
          <w:tcPr>
            <w:tcW w:w="956" w:type="dxa"/>
            <w:shd w:val="clear" w:color="auto" w:fill="FFFFFF"/>
          </w:tcPr>
          <w:p w14:paraId="26DD6145" w14:textId="77777777" w:rsidR="00752F9D" w:rsidRDefault="00752F9D" w:rsidP="00E002B2">
            <w:pPr>
              <w:pStyle w:val="CETBodytext"/>
              <w:ind w:right="-1"/>
              <w:jc w:val="center"/>
              <w:rPr>
                <w:rFonts w:cs="Arial"/>
                <w:szCs w:val="18"/>
                <w:lang w:val="en-GB"/>
              </w:rPr>
            </w:pPr>
          </w:p>
        </w:tc>
        <w:tc>
          <w:tcPr>
            <w:tcW w:w="1596" w:type="dxa"/>
            <w:shd w:val="clear" w:color="auto" w:fill="FFFFFF"/>
          </w:tcPr>
          <w:p w14:paraId="1F2DF9B8" w14:textId="352180BF" w:rsidR="00752F9D" w:rsidRDefault="00752F9D" w:rsidP="00E002B2">
            <w:pPr>
              <w:pStyle w:val="CETBodytext"/>
              <w:jc w:val="center"/>
              <w:rPr>
                <w:lang w:val="en-GB"/>
              </w:rPr>
            </w:pPr>
            <w:r>
              <w:rPr>
                <w:lang w:val="en-GB"/>
              </w:rPr>
              <w:t>6</w:t>
            </w:r>
          </w:p>
        </w:tc>
        <w:tc>
          <w:tcPr>
            <w:tcW w:w="1984" w:type="dxa"/>
            <w:vMerge/>
            <w:shd w:val="clear" w:color="auto" w:fill="FFFFFF"/>
          </w:tcPr>
          <w:p w14:paraId="6C833F7A" w14:textId="6422F374" w:rsidR="00752F9D" w:rsidRDefault="00752F9D" w:rsidP="00E002B2">
            <w:pPr>
              <w:pStyle w:val="CETBodytext"/>
              <w:ind w:right="-1"/>
              <w:jc w:val="center"/>
              <w:rPr>
                <w:rFonts w:cs="Arial"/>
                <w:szCs w:val="18"/>
                <w:lang w:val="en-GB"/>
              </w:rPr>
            </w:pPr>
          </w:p>
        </w:tc>
        <w:tc>
          <w:tcPr>
            <w:tcW w:w="2314" w:type="dxa"/>
            <w:vMerge/>
            <w:shd w:val="clear" w:color="auto" w:fill="FFFFFF"/>
          </w:tcPr>
          <w:p w14:paraId="65BDCF2A" w14:textId="01E26D2D" w:rsidR="00752F9D" w:rsidRDefault="00752F9D" w:rsidP="00E002B2">
            <w:pPr>
              <w:pStyle w:val="CETBodytext"/>
              <w:ind w:right="-1"/>
              <w:jc w:val="center"/>
              <w:rPr>
                <w:rFonts w:cs="Arial"/>
                <w:szCs w:val="18"/>
                <w:lang w:val="en-GB"/>
              </w:rPr>
            </w:pPr>
          </w:p>
        </w:tc>
        <w:tc>
          <w:tcPr>
            <w:tcW w:w="1937" w:type="dxa"/>
            <w:vMerge/>
            <w:shd w:val="clear" w:color="auto" w:fill="FFFFFF"/>
          </w:tcPr>
          <w:p w14:paraId="08AC0E01" w14:textId="322F8AC2" w:rsidR="00752F9D" w:rsidRDefault="00752F9D" w:rsidP="00E002B2">
            <w:pPr>
              <w:pStyle w:val="CETBodytext"/>
              <w:ind w:right="-1"/>
              <w:jc w:val="center"/>
              <w:rPr>
                <w:rFonts w:cs="Arial"/>
                <w:szCs w:val="18"/>
                <w:lang w:val="en-GB"/>
              </w:rPr>
            </w:pPr>
          </w:p>
        </w:tc>
      </w:tr>
    </w:tbl>
    <w:bookmarkEnd w:id="2"/>
    <w:p w14:paraId="3CD0F175" w14:textId="35DC5797" w:rsidR="00F62B99" w:rsidRDefault="00CC64C6" w:rsidP="00307DCB">
      <w:pPr>
        <w:pStyle w:val="CETBodytext"/>
        <w:spacing w:before="240" w:after="240"/>
        <w:rPr>
          <w:lang w:val="en-GB"/>
        </w:rPr>
      </w:pPr>
      <w:r>
        <w:rPr>
          <w:lang w:val="en-GB"/>
        </w:rPr>
        <w:t xml:space="preserve">As the sake of example, </w:t>
      </w:r>
      <w:r w:rsidR="00A4057C">
        <w:rPr>
          <w:lang w:val="en-GB"/>
        </w:rPr>
        <w:t xml:space="preserve">Figure </w:t>
      </w:r>
      <w:r w:rsidR="007A2AC5">
        <w:rPr>
          <w:lang w:val="en-GB"/>
        </w:rPr>
        <w:t>2</w:t>
      </w:r>
      <w:r w:rsidR="00A4057C">
        <w:rPr>
          <w:lang w:val="en-GB"/>
        </w:rPr>
        <w:t xml:space="preserve"> and </w:t>
      </w:r>
      <w:r>
        <w:rPr>
          <w:lang w:val="en-GB"/>
        </w:rPr>
        <w:t xml:space="preserve">Figure </w:t>
      </w:r>
      <w:r w:rsidR="007A2AC5">
        <w:rPr>
          <w:lang w:val="en-GB"/>
        </w:rPr>
        <w:t>3</w:t>
      </w:r>
      <w:r w:rsidR="00A4057C">
        <w:rPr>
          <w:lang w:val="en-GB"/>
        </w:rPr>
        <w:t xml:space="preserve"> report</w:t>
      </w:r>
      <w:r w:rsidR="00F62B99" w:rsidRPr="00F62B99">
        <w:rPr>
          <w:lang w:val="en-GB"/>
        </w:rPr>
        <w:t xml:space="preserve"> the sensitivity </w:t>
      </w:r>
      <m:oMath>
        <m:r>
          <w:rPr>
            <w:rFonts w:ascii="Cambria Math" w:hAnsi="Cambria Math"/>
          </w:rPr>
          <m:t>S</m:t>
        </m:r>
        <m:d>
          <m:dPr>
            <m:ctrlPr>
              <w:rPr>
                <w:rFonts w:ascii="Cambria Math" w:hAnsi="Cambria Math"/>
                <w:i/>
              </w:rPr>
            </m:ctrlPr>
          </m:dPr>
          <m:e>
            <m:sSup>
              <m:sSupPr>
                <m:ctrlPr>
                  <w:rPr>
                    <w:rFonts w:ascii="Cambria Math" w:hAnsi="Cambria Math"/>
                    <w:i/>
                  </w:rPr>
                </m:ctrlPr>
              </m:sSupPr>
              <m:e>
                <m:r>
                  <w:rPr>
                    <w:rFonts w:ascii="Cambria Math" w:hAnsi="Cambria Math"/>
                  </w:rPr>
                  <m:t>θ</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 xml:space="preserve">, </m:t>
            </m:r>
            <m:r>
              <m:rPr>
                <m:sty m:val="p"/>
              </m:rPr>
              <w:rPr>
                <w:rFonts w:ascii="Cambria Math" w:hAnsi="Cambria Math"/>
              </w:rPr>
              <m:t>Φ</m:t>
            </m:r>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w</m:t>
                </m:r>
              </m:sub>
            </m:sSub>
          </m:e>
        </m:d>
        <m:r>
          <w:rPr>
            <w:rFonts w:ascii="Cambria Math" w:hAnsi="Cambria Math"/>
          </w:rPr>
          <m:t xml:space="preserve"> </m:t>
        </m:r>
      </m:oMath>
      <w:r w:rsidR="004B41E2">
        <w:rPr>
          <w:lang w:val="en-GB"/>
        </w:rPr>
        <w:t xml:space="preserve"> </w:t>
      </w:r>
      <w:r w:rsidR="00EB2D27">
        <w:rPr>
          <w:lang w:val="en-GB"/>
        </w:rPr>
        <w:t xml:space="preserve">as a function of </w:t>
      </w:r>
      <w:r w:rsidR="00EB2D27" w:rsidRPr="008E1516">
        <w:rPr>
          <w:i/>
          <w:iCs/>
          <w:lang w:val="en-GB"/>
        </w:rPr>
        <w:t>T</w:t>
      </w:r>
      <w:r w:rsidR="00EB2D27" w:rsidRPr="008E1516">
        <w:rPr>
          <w:i/>
          <w:iCs/>
          <w:vertAlign w:val="subscript"/>
          <w:lang w:val="en-GB"/>
        </w:rPr>
        <w:t>w</w:t>
      </w:r>
      <w:r w:rsidR="004E7004">
        <w:rPr>
          <w:lang w:val="en-GB"/>
        </w:rPr>
        <w:t xml:space="preserve"> and </w:t>
      </w:r>
      <w:r w:rsidR="004E7004" w:rsidRPr="008D1193">
        <w:rPr>
          <w:i/>
          <w:iCs/>
          <w:lang w:val="en-GB"/>
        </w:rPr>
        <w:t>T</w:t>
      </w:r>
      <w:r w:rsidR="004E7004" w:rsidRPr="008D1193">
        <w:rPr>
          <w:i/>
          <w:iCs/>
          <w:vertAlign w:val="subscript"/>
          <w:lang w:val="en-GB"/>
        </w:rPr>
        <w:t>in</w:t>
      </w:r>
      <w:r w:rsidR="004E7004">
        <w:rPr>
          <w:lang w:val="en-GB"/>
        </w:rPr>
        <w:t>, respectively.</w:t>
      </w:r>
      <w:r w:rsidR="00952D33">
        <w:rPr>
          <w:lang w:val="en-GB"/>
        </w:rPr>
        <w:t xml:space="preserve"> </w:t>
      </w:r>
      <w:r w:rsidR="00377F23">
        <w:rPr>
          <w:lang w:val="en-GB"/>
        </w:rPr>
        <w:t xml:space="preserve">Figure </w:t>
      </w:r>
      <w:r w:rsidR="007A2AC5">
        <w:rPr>
          <w:lang w:val="en-GB"/>
        </w:rPr>
        <w:t>2</w:t>
      </w:r>
      <w:r w:rsidR="00377F23">
        <w:rPr>
          <w:lang w:val="en-GB"/>
        </w:rPr>
        <w:t xml:space="preserve"> </w:t>
      </w:r>
      <w:r w:rsidR="00764F14">
        <w:rPr>
          <w:lang w:val="en-GB"/>
        </w:rPr>
        <w:t>was</w:t>
      </w:r>
      <w:r w:rsidR="004B41E2">
        <w:rPr>
          <w:lang w:val="en-GB"/>
        </w:rPr>
        <w:t xml:space="preserve"> calculated using: </w:t>
      </w:r>
      <w:r w:rsidR="00F62B99" w:rsidRPr="00F62B99">
        <w:rPr>
          <w:lang w:val="en-GB"/>
        </w:rPr>
        <w:t>D=3 mm, F</w:t>
      </w:r>
      <w:r w:rsidR="00F62B99" w:rsidRPr="0021401C">
        <w:rPr>
          <w:vertAlign w:val="subscript"/>
          <w:lang w:val="en-GB"/>
        </w:rPr>
        <w:t>max</w:t>
      </w:r>
      <w:r w:rsidR="00F62B99" w:rsidRPr="00F62B99">
        <w:rPr>
          <w:lang w:val="en-GB"/>
        </w:rPr>
        <w:t>=4 mL/min</w:t>
      </w:r>
      <w:r w:rsidR="004B41E2">
        <w:rPr>
          <w:lang w:val="en-GB"/>
        </w:rPr>
        <w:t xml:space="preserve">, </w:t>
      </w:r>
      <w:r w:rsidR="009E0C80" w:rsidRPr="009E0C80">
        <w:rPr>
          <w:lang w:val="en-GB"/>
        </w:rPr>
        <w:t>T</w:t>
      </w:r>
      <w:r w:rsidR="009E0C80" w:rsidRPr="009E0C80">
        <w:rPr>
          <w:vertAlign w:val="subscript"/>
          <w:lang w:val="en-GB"/>
        </w:rPr>
        <w:t>in</w:t>
      </w:r>
      <w:r w:rsidR="009E0C80" w:rsidRPr="009E0C80">
        <w:rPr>
          <w:lang w:val="en-GB"/>
        </w:rPr>
        <w:t>=25 °C</w:t>
      </w:r>
      <w:r w:rsidR="00D005CF">
        <w:rPr>
          <w:lang w:val="en-GB"/>
        </w:rPr>
        <w:t xml:space="preserve">, </w:t>
      </w:r>
      <w:r w:rsidR="00307DCB">
        <w:rPr>
          <w:lang w:val="en-GB"/>
        </w:rPr>
        <w:t xml:space="preserve">and </w:t>
      </w:r>
      <w:r w:rsidR="009E0C80" w:rsidRPr="009E0C80">
        <w:rPr>
          <w:lang w:val="en-GB"/>
        </w:rPr>
        <w:t>v</w:t>
      </w:r>
      <w:r w:rsidR="00001F41">
        <w:rPr>
          <w:vertAlign w:val="subscript"/>
          <w:lang w:val="en-GB"/>
        </w:rPr>
        <w:t>0</w:t>
      </w:r>
      <w:r w:rsidR="009E0C80" w:rsidRPr="009E0C80">
        <w:rPr>
          <w:lang w:val="en-GB"/>
        </w:rPr>
        <w:t>=0.0094 m/s</w:t>
      </w:r>
      <w:r w:rsidR="00616913">
        <w:rPr>
          <w:lang w:val="en-GB"/>
        </w:rPr>
        <w:t xml:space="preserve">; </w:t>
      </w:r>
      <w:r w:rsidR="009143C4">
        <w:rPr>
          <w:lang w:val="en-GB"/>
        </w:rPr>
        <w:t>while</w:t>
      </w:r>
      <w:r w:rsidR="00616913">
        <w:rPr>
          <w:lang w:val="en-GB"/>
        </w:rPr>
        <w:t xml:space="preserve"> Figure </w:t>
      </w:r>
      <w:r w:rsidR="007A2AC5">
        <w:rPr>
          <w:lang w:val="en-GB"/>
        </w:rPr>
        <w:t>3</w:t>
      </w:r>
      <w:r w:rsidR="00616913">
        <w:rPr>
          <w:lang w:val="en-GB"/>
        </w:rPr>
        <w:t xml:space="preserve"> was calculated using: </w:t>
      </w:r>
      <w:r w:rsidR="00616913" w:rsidRPr="00F62B99">
        <w:rPr>
          <w:lang w:val="en-GB"/>
        </w:rPr>
        <w:t>D=3 mm, F</w:t>
      </w:r>
      <w:r w:rsidR="00616913" w:rsidRPr="0021401C">
        <w:rPr>
          <w:vertAlign w:val="subscript"/>
          <w:lang w:val="en-GB"/>
        </w:rPr>
        <w:t>max</w:t>
      </w:r>
      <w:r w:rsidR="00616913" w:rsidRPr="00F62B99">
        <w:rPr>
          <w:lang w:val="en-GB"/>
        </w:rPr>
        <w:t>=4 mL/min</w:t>
      </w:r>
      <w:r w:rsidR="00616913">
        <w:rPr>
          <w:lang w:val="en-GB"/>
        </w:rPr>
        <w:t xml:space="preserve">, </w:t>
      </w:r>
      <w:r w:rsidR="00616913" w:rsidRPr="009E0C80">
        <w:rPr>
          <w:lang w:val="en-GB"/>
        </w:rPr>
        <w:t>T</w:t>
      </w:r>
      <w:r w:rsidR="00616913">
        <w:rPr>
          <w:vertAlign w:val="subscript"/>
          <w:lang w:val="en-GB"/>
        </w:rPr>
        <w:t>w</w:t>
      </w:r>
      <w:r w:rsidR="00616913" w:rsidRPr="009E0C80">
        <w:rPr>
          <w:lang w:val="en-GB"/>
        </w:rPr>
        <w:t>=</w:t>
      </w:r>
      <w:r w:rsidR="00616913">
        <w:rPr>
          <w:lang w:val="en-GB"/>
        </w:rPr>
        <w:t>11</w:t>
      </w:r>
      <w:r w:rsidR="00616913" w:rsidRPr="009E0C80">
        <w:rPr>
          <w:lang w:val="en-GB"/>
        </w:rPr>
        <w:t>5 °C</w:t>
      </w:r>
      <w:r w:rsidR="00616913">
        <w:rPr>
          <w:lang w:val="en-GB"/>
        </w:rPr>
        <w:t xml:space="preserve">, and </w:t>
      </w:r>
      <w:r w:rsidR="00616913" w:rsidRPr="009E0C80">
        <w:rPr>
          <w:lang w:val="en-GB"/>
        </w:rPr>
        <w:t>v</w:t>
      </w:r>
      <w:r w:rsidR="00616913">
        <w:rPr>
          <w:vertAlign w:val="subscript"/>
          <w:lang w:val="en-GB"/>
        </w:rPr>
        <w:t>0</w:t>
      </w:r>
      <w:r w:rsidR="00616913" w:rsidRPr="009E0C80">
        <w:rPr>
          <w:lang w:val="en-GB"/>
        </w:rPr>
        <w:t>=0.0094 m/s</w:t>
      </w:r>
      <w:r w:rsidR="00616913">
        <w:rPr>
          <w:lang w:val="en-GB"/>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430885" w14:paraId="1ACC109A" w14:textId="77777777" w:rsidTr="00430885">
        <w:tc>
          <w:tcPr>
            <w:tcW w:w="4388" w:type="dxa"/>
          </w:tcPr>
          <w:p w14:paraId="2B509F8B" w14:textId="25D32A3D" w:rsidR="00430885" w:rsidRDefault="00CD5543" w:rsidP="00307DCB">
            <w:pPr>
              <w:pStyle w:val="CETBodytext"/>
              <w:spacing w:before="240" w:after="240"/>
              <w:rPr>
                <w:lang w:val="en-GB"/>
              </w:rPr>
            </w:pPr>
            <w:r>
              <w:rPr>
                <w:noProof/>
              </w:rPr>
              <w:lastRenderedPageBreak/>
              <w:drawing>
                <wp:inline distT="0" distB="0" distL="0" distR="0" wp14:anchorId="31083E6D" wp14:editId="244FB464">
                  <wp:extent cx="1980000" cy="1530000"/>
                  <wp:effectExtent l="0" t="0" r="1270" b="0"/>
                  <wp:docPr id="79" name="image48.pn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48.png" descr="Immagine che contiene testo  Descrizione generata automaticamente"/>
                          <pic:cNvPicPr>
                            <a:picLocks noChangeAspect="1"/>
                          </pic:cNvPicPr>
                        </pic:nvPicPr>
                        <pic:blipFill>
                          <a:blip r:embed="rId11" cstate="print"/>
                          <a:stretch>
                            <a:fillRect/>
                          </a:stretch>
                        </pic:blipFill>
                        <pic:spPr>
                          <a:xfrm>
                            <a:off x="0" y="0"/>
                            <a:ext cx="1980000" cy="1530000"/>
                          </a:xfrm>
                          <a:prstGeom prst="rect">
                            <a:avLst/>
                          </a:prstGeom>
                        </pic:spPr>
                      </pic:pic>
                    </a:graphicData>
                  </a:graphic>
                </wp:inline>
              </w:drawing>
            </w:r>
          </w:p>
        </w:tc>
        <w:tc>
          <w:tcPr>
            <w:tcW w:w="4389" w:type="dxa"/>
          </w:tcPr>
          <w:p w14:paraId="4F055649" w14:textId="1F221C6C" w:rsidR="00430885" w:rsidRDefault="008A7C05" w:rsidP="00307DCB">
            <w:pPr>
              <w:pStyle w:val="CETBodytext"/>
              <w:spacing w:before="240" w:after="240"/>
              <w:rPr>
                <w:lang w:val="en-GB"/>
              </w:rPr>
            </w:pPr>
            <w:r>
              <w:rPr>
                <w:noProof/>
              </w:rPr>
              <w:drawing>
                <wp:inline distT="0" distB="0" distL="0" distR="0" wp14:anchorId="7AA92F60" wp14:editId="478B7567">
                  <wp:extent cx="1979930" cy="1525905"/>
                  <wp:effectExtent l="0" t="0" r="1270" b="0"/>
                  <wp:docPr id="83"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0.png"/>
                          <pic:cNvPicPr/>
                        </pic:nvPicPr>
                        <pic:blipFill>
                          <a:blip r:embed="rId12" cstate="print"/>
                          <a:stretch>
                            <a:fillRect/>
                          </a:stretch>
                        </pic:blipFill>
                        <pic:spPr>
                          <a:xfrm>
                            <a:off x="0" y="0"/>
                            <a:ext cx="1979930" cy="1525905"/>
                          </a:xfrm>
                          <a:prstGeom prst="rect">
                            <a:avLst/>
                          </a:prstGeom>
                        </pic:spPr>
                      </pic:pic>
                    </a:graphicData>
                  </a:graphic>
                </wp:inline>
              </w:drawing>
            </w:r>
          </w:p>
        </w:tc>
      </w:tr>
      <w:tr w:rsidR="00430885" w14:paraId="614FBBB3" w14:textId="77777777" w:rsidTr="00430885">
        <w:tc>
          <w:tcPr>
            <w:tcW w:w="4388" w:type="dxa"/>
          </w:tcPr>
          <w:p w14:paraId="21A5B4DF" w14:textId="17D2BCD3" w:rsidR="00430885" w:rsidRDefault="004B3487" w:rsidP="008A7C05">
            <w:pPr>
              <w:pStyle w:val="CETCaption"/>
              <w:spacing w:before="0" w:after="0"/>
            </w:pPr>
            <w:r>
              <w:t xml:space="preserve">Figure </w:t>
            </w:r>
            <w:r w:rsidR="007A2AC5">
              <w:t>2</w:t>
            </w:r>
            <w:r>
              <w:t xml:space="preserve">: </w:t>
            </w:r>
            <w:r w:rsidR="00191B78" w:rsidRPr="00191B78">
              <w:t>Sensitivity with respect to T</w:t>
            </w:r>
            <w:r w:rsidR="00191B78" w:rsidRPr="008B5999">
              <w:rPr>
                <w:vertAlign w:val="subscript"/>
              </w:rPr>
              <w:t>w</w:t>
            </w:r>
          </w:p>
        </w:tc>
        <w:tc>
          <w:tcPr>
            <w:tcW w:w="4389" w:type="dxa"/>
          </w:tcPr>
          <w:p w14:paraId="6D188914" w14:textId="1E5C49D9" w:rsidR="00430885" w:rsidRDefault="00191B78" w:rsidP="008A7C05">
            <w:pPr>
              <w:pStyle w:val="CETCaption"/>
              <w:spacing w:before="0" w:after="0"/>
            </w:pPr>
            <w:r>
              <w:t xml:space="preserve">Figure </w:t>
            </w:r>
            <w:r w:rsidR="007A2AC5">
              <w:t>3</w:t>
            </w:r>
            <w:r>
              <w:t xml:space="preserve">: </w:t>
            </w:r>
            <w:r w:rsidR="008B5999" w:rsidRPr="008B5999">
              <w:t>Sensitivity with respect to T</w:t>
            </w:r>
            <w:r w:rsidR="008B5999" w:rsidRPr="008B5999">
              <w:rPr>
                <w:vertAlign w:val="subscript"/>
              </w:rPr>
              <w:t>in</w:t>
            </w:r>
          </w:p>
        </w:tc>
      </w:tr>
    </w:tbl>
    <w:p w14:paraId="36CBE740" w14:textId="1A8ED366" w:rsidR="00F62B99" w:rsidRDefault="009D5D74" w:rsidP="000B5254">
      <w:pPr>
        <w:pStyle w:val="CETBodytext"/>
        <w:spacing w:before="240"/>
        <w:rPr>
          <w:lang w:val="en-GB"/>
        </w:rPr>
      </w:pPr>
      <w:r>
        <w:rPr>
          <w:lang w:val="en-GB"/>
        </w:rPr>
        <w:t xml:space="preserve">Once RB were calculated, </w:t>
      </w:r>
      <w:r w:rsidR="00C10CAE">
        <w:rPr>
          <w:lang w:val="en-GB"/>
        </w:rPr>
        <w:t>it was decided to use</w:t>
      </w:r>
      <w:r w:rsidR="000B0F3A" w:rsidRPr="00F62B99">
        <w:rPr>
          <w:lang w:val="en-GB"/>
        </w:rPr>
        <w:t xml:space="preserve"> 25 °C (ambient temperature) </w:t>
      </w:r>
      <w:r w:rsidR="00C10CAE">
        <w:rPr>
          <w:lang w:val="en-GB"/>
        </w:rPr>
        <w:t xml:space="preserve">as inlet temperature </w:t>
      </w:r>
      <w:r w:rsidR="00B07390">
        <w:rPr>
          <w:lang w:val="en-GB"/>
        </w:rPr>
        <w:t xml:space="preserve">and </w:t>
      </w:r>
      <w:r w:rsidR="009655AB">
        <w:rPr>
          <w:lang w:val="en-GB"/>
        </w:rPr>
        <w:t xml:space="preserve">the maximum safe </w:t>
      </w:r>
      <w:r w:rsidR="000B0F3A" w:rsidRPr="00F62B99">
        <w:rPr>
          <w:lang w:val="en-GB"/>
        </w:rPr>
        <w:t>T</w:t>
      </w:r>
      <w:r w:rsidR="000B0F3A" w:rsidRPr="004222DA">
        <w:rPr>
          <w:vertAlign w:val="subscript"/>
          <w:lang w:val="en-GB"/>
        </w:rPr>
        <w:t>w</w:t>
      </w:r>
      <w:r w:rsidR="000B0F3A" w:rsidRPr="00F62B99">
        <w:rPr>
          <w:lang w:val="en-GB"/>
        </w:rPr>
        <w:t xml:space="preserve"> </w:t>
      </w:r>
      <w:r w:rsidR="006D40CB">
        <w:rPr>
          <w:lang w:val="en-GB"/>
        </w:rPr>
        <w:t>for each diameter and flowrate to calculate</w:t>
      </w:r>
      <w:r w:rsidR="000B0F3A" w:rsidRPr="00F62B99">
        <w:rPr>
          <w:lang w:val="en-GB"/>
        </w:rPr>
        <w:t xml:space="preserve"> the </w:t>
      </w:r>
      <w:r w:rsidR="006D40CB">
        <w:rPr>
          <w:lang w:val="en-GB"/>
        </w:rPr>
        <w:t xml:space="preserve">reactor </w:t>
      </w:r>
      <w:r w:rsidR="000B0F3A" w:rsidRPr="00F62B99">
        <w:rPr>
          <w:lang w:val="en-GB"/>
        </w:rPr>
        <w:t xml:space="preserve">lengths necessary to obtain conversions equal to 90% and 95%. </w:t>
      </w:r>
      <w:r w:rsidR="00F62B99" w:rsidRPr="00F62B99">
        <w:rPr>
          <w:lang w:val="en-GB"/>
        </w:rPr>
        <w:t xml:space="preserve">The results obtained are shown in </w:t>
      </w:r>
      <w:r w:rsidR="00462C51">
        <w:rPr>
          <w:lang w:val="en-GB"/>
        </w:rPr>
        <w:t xml:space="preserve">Table </w:t>
      </w:r>
      <w:r w:rsidR="00D764E1">
        <w:rPr>
          <w:lang w:val="en-GB"/>
        </w:rPr>
        <w:t>4</w:t>
      </w:r>
      <w:r w:rsidR="00F62B99" w:rsidRPr="00F62B99">
        <w:rPr>
          <w:lang w:val="en-GB"/>
        </w:rPr>
        <w:t>.</w:t>
      </w:r>
    </w:p>
    <w:p w14:paraId="3FD338ED" w14:textId="572DCC97" w:rsidR="008322AB" w:rsidRPr="00B57B36" w:rsidRDefault="008322AB" w:rsidP="008322AB">
      <w:pPr>
        <w:pStyle w:val="CETTabletitle"/>
      </w:pPr>
      <w:r w:rsidRPr="00B57B36">
        <w:t xml:space="preserve">Table </w:t>
      </w:r>
      <w:r w:rsidR="00D764E1">
        <w:t>4</w:t>
      </w:r>
      <w:r w:rsidRPr="00B57B36">
        <w:t xml:space="preserve">: </w:t>
      </w:r>
      <w:r w:rsidR="006203CE" w:rsidRPr="006203CE">
        <w:t xml:space="preserve">Reactor lengths </w:t>
      </w:r>
      <w:r w:rsidR="003B2EA3">
        <w:t xml:space="preserve">for </w:t>
      </w:r>
      <w:r w:rsidR="006203CE" w:rsidRPr="006203CE">
        <w:t>9</w:t>
      </w:r>
      <w:r w:rsidR="00DE2BA5">
        <w:t>0-</w:t>
      </w:r>
      <w:r w:rsidR="006203CE" w:rsidRPr="006203CE">
        <w:t>95</w:t>
      </w:r>
      <w:r w:rsidR="00DE2BA5">
        <w:t xml:space="preserve"> </w:t>
      </w:r>
      <w:r w:rsidR="006203CE" w:rsidRPr="006203CE">
        <w:t xml:space="preserve">% conversions </w:t>
      </w:r>
      <w:r w:rsidR="003B2EA3">
        <w:t>using</w:t>
      </w:r>
      <w:r w:rsidR="006203CE" w:rsidRPr="006203CE">
        <w:t xml:space="preserve"> different configurations (1</w:t>
      </w:r>
      <w:r w:rsidR="003B2EA3">
        <w:t>-</w:t>
      </w:r>
      <w:r w:rsidR="006203CE" w:rsidRPr="006203CE">
        <w:t>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7"/>
        <w:gridCol w:w="1062"/>
        <w:gridCol w:w="950"/>
        <w:gridCol w:w="992"/>
        <w:gridCol w:w="1367"/>
        <w:gridCol w:w="1043"/>
        <w:gridCol w:w="60"/>
        <w:gridCol w:w="932"/>
        <w:gridCol w:w="1274"/>
      </w:tblGrid>
      <w:tr w:rsidR="00483D0F" w:rsidRPr="00B57B36" w14:paraId="3C9D5E80" w14:textId="169A1253" w:rsidTr="00A6565A">
        <w:tc>
          <w:tcPr>
            <w:tcW w:w="1107" w:type="dxa"/>
            <w:tcBorders>
              <w:top w:val="single" w:sz="12" w:space="0" w:color="008000"/>
              <w:bottom w:val="single" w:sz="6" w:space="0" w:color="008000"/>
            </w:tcBorders>
            <w:shd w:val="clear" w:color="auto" w:fill="FFFFFF"/>
          </w:tcPr>
          <w:p w14:paraId="5BC8ACE3" w14:textId="178BFBAD" w:rsidR="00483D0F" w:rsidRPr="00B57B36" w:rsidRDefault="00483D0F" w:rsidP="004E3064">
            <w:pPr>
              <w:pStyle w:val="CETBodytext"/>
              <w:rPr>
                <w:lang w:val="en-GB"/>
              </w:rPr>
            </w:pPr>
            <w:r>
              <w:rPr>
                <w:lang w:val="en-GB"/>
              </w:rPr>
              <w:t>Diameter [mm]</w:t>
            </w:r>
          </w:p>
        </w:tc>
        <w:tc>
          <w:tcPr>
            <w:tcW w:w="1062" w:type="dxa"/>
            <w:tcBorders>
              <w:top w:val="single" w:sz="12" w:space="0" w:color="008000"/>
              <w:bottom w:val="single" w:sz="6" w:space="0" w:color="008000"/>
            </w:tcBorders>
            <w:shd w:val="clear" w:color="auto" w:fill="FFFFFF"/>
          </w:tcPr>
          <w:p w14:paraId="078AE6EB" w14:textId="77777777" w:rsidR="00483D0F" w:rsidRDefault="00483D0F" w:rsidP="004E3064">
            <w:pPr>
              <w:pStyle w:val="CETBodytext"/>
              <w:rPr>
                <w:lang w:val="en-GB"/>
              </w:rPr>
            </w:pPr>
            <w:r>
              <w:rPr>
                <w:lang w:val="en-GB"/>
              </w:rPr>
              <w:t>Tw</w:t>
            </w:r>
          </w:p>
          <w:p w14:paraId="0F048BA1" w14:textId="5B4459B8" w:rsidR="00483D0F" w:rsidRDefault="00483D0F" w:rsidP="004E3064">
            <w:pPr>
              <w:pStyle w:val="CETBodytext"/>
              <w:rPr>
                <w:lang w:val="en-GB"/>
              </w:rPr>
            </w:pPr>
            <w:r>
              <w:rPr>
                <w:lang w:val="en-GB"/>
              </w:rPr>
              <w:t>[°C]</w:t>
            </w:r>
          </w:p>
        </w:tc>
        <w:tc>
          <w:tcPr>
            <w:tcW w:w="1942" w:type="dxa"/>
            <w:gridSpan w:val="2"/>
            <w:tcBorders>
              <w:top w:val="single" w:sz="12" w:space="0" w:color="008000"/>
              <w:bottom w:val="single" w:sz="6" w:space="0" w:color="008000"/>
            </w:tcBorders>
            <w:shd w:val="clear" w:color="auto" w:fill="FFFFFF"/>
          </w:tcPr>
          <w:p w14:paraId="0059E902" w14:textId="74931AD7" w:rsidR="00483D0F" w:rsidRDefault="00483D0F" w:rsidP="00483D0F">
            <w:pPr>
              <w:pStyle w:val="CETBodytext"/>
              <w:jc w:val="left"/>
              <w:rPr>
                <w:lang w:val="en-GB"/>
              </w:rPr>
            </w:pPr>
            <w:r>
              <w:rPr>
                <w:lang w:val="en-GB"/>
              </w:rPr>
              <w:t>F</w:t>
            </w:r>
            <w:r w:rsidRPr="00462C51">
              <w:rPr>
                <w:vertAlign w:val="subscript"/>
                <w:lang w:val="en-GB"/>
              </w:rPr>
              <w:t>max</w:t>
            </w:r>
            <w:r>
              <w:rPr>
                <w:lang w:val="en-GB"/>
              </w:rPr>
              <w:t>=1 mL/min</w:t>
            </w:r>
          </w:p>
          <w:p w14:paraId="04184EA3" w14:textId="77476382" w:rsidR="00483D0F" w:rsidRDefault="00483D0F" w:rsidP="00483D0F">
            <w:pPr>
              <w:pStyle w:val="CETBodytext"/>
              <w:jc w:val="center"/>
              <w:rPr>
                <w:lang w:val="en-GB"/>
              </w:rPr>
            </w:pPr>
          </w:p>
        </w:tc>
        <w:tc>
          <w:tcPr>
            <w:tcW w:w="2410" w:type="dxa"/>
            <w:gridSpan w:val="2"/>
            <w:tcBorders>
              <w:top w:val="single" w:sz="12" w:space="0" w:color="008000"/>
              <w:bottom w:val="single" w:sz="6" w:space="0" w:color="008000"/>
            </w:tcBorders>
            <w:shd w:val="clear" w:color="auto" w:fill="FFFFFF"/>
          </w:tcPr>
          <w:p w14:paraId="11112B7F" w14:textId="77777777" w:rsidR="00483D0F" w:rsidRDefault="00483D0F" w:rsidP="00483D0F">
            <w:pPr>
              <w:pStyle w:val="CETBodytext"/>
              <w:jc w:val="left"/>
              <w:rPr>
                <w:lang w:val="en-GB"/>
              </w:rPr>
            </w:pPr>
            <w:r>
              <w:rPr>
                <w:lang w:val="en-GB"/>
              </w:rPr>
              <w:t>F</w:t>
            </w:r>
            <w:r w:rsidRPr="00462C51">
              <w:rPr>
                <w:vertAlign w:val="subscript"/>
                <w:lang w:val="en-GB"/>
              </w:rPr>
              <w:t>max</w:t>
            </w:r>
            <w:r>
              <w:rPr>
                <w:lang w:val="en-GB"/>
              </w:rPr>
              <w:t>=4 mL/min</w:t>
            </w:r>
          </w:p>
          <w:p w14:paraId="19BE0727" w14:textId="4773EC49" w:rsidR="00483D0F" w:rsidRDefault="00483D0F" w:rsidP="004E3064">
            <w:pPr>
              <w:pStyle w:val="CETBodytext"/>
              <w:rPr>
                <w:lang w:val="en-GB"/>
              </w:rPr>
            </w:pPr>
          </w:p>
        </w:tc>
        <w:tc>
          <w:tcPr>
            <w:tcW w:w="2266" w:type="dxa"/>
            <w:gridSpan w:val="3"/>
            <w:tcBorders>
              <w:top w:val="single" w:sz="12" w:space="0" w:color="008000"/>
              <w:bottom w:val="single" w:sz="6" w:space="0" w:color="008000"/>
            </w:tcBorders>
            <w:shd w:val="clear" w:color="auto" w:fill="FFFFFF"/>
          </w:tcPr>
          <w:p w14:paraId="46EDD1F5" w14:textId="77777777" w:rsidR="00483D0F" w:rsidRDefault="00483D0F" w:rsidP="008650DF">
            <w:pPr>
              <w:pStyle w:val="CETBodytext"/>
              <w:jc w:val="left"/>
              <w:rPr>
                <w:lang w:val="en-GB"/>
              </w:rPr>
            </w:pPr>
            <w:r>
              <w:rPr>
                <w:lang w:val="en-GB"/>
              </w:rPr>
              <w:t>F</w:t>
            </w:r>
            <w:r w:rsidRPr="00462C51">
              <w:rPr>
                <w:vertAlign w:val="subscript"/>
                <w:lang w:val="en-GB"/>
              </w:rPr>
              <w:t>max</w:t>
            </w:r>
            <w:r>
              <w:rPr>
                <w:lang w:val="en-GB"/>
              </w:rPr>
              <w:t>=10 mL/min</w:t>
            </w:r>
          </w:p>
          <w:p w14:paraId="2FBDC7A1" w14:textId="3696A27B" w:rsidR="00483D0F" w:rsidRDefault="00483D0F" w:rsidP="004E3064">
            <w:pPr>
              <w:pStyle w:val="CETBodytext"/>
              <w:rPr>
                <w:lang w:val="en-GB"/>
              </w:rPr>
            </w:pPr>
          </w:p>
        </w:tc>
      </w:tr>
      <w:tr w:rsidR="00483D0F" w:rsidRPr="00B57B36" w14:paraId="00B1C337" w14:textId="77777777" w:rsidTr="00483D0F">
        <w:tc>
          <w:tcPr>
            <w:tcW w:w="1107" w:type="dxa"/>
            <w:tcBorders>
              <w:top w:val="single" w:sz="6" w:space="0" w:color="008000"/>
              <w:bottom w:val="single" w:sz="4" w:space="0" w:color="auto"/>
            </w:tcBorders>
            <w:shd w:val="clear" w:color="auto" w:fill="FFFFFF"/>
          </w:tcPr>
          <w:p w14:paraId="11043415" w14:textId="77777777" w:rsidR="00483D0F" w:rsidRDefault="00483D0F" w:rsidP="00483D0F">
            <w:pPr>
              <w:pStyle w:val="CETBodytext"/>
              <w:rPr>
                <w:lang w:val="en-GB"/>
              </w:rPr>
            </w:pPr>
          </w:p>
        </w:tc>
        <w:tc>
          <w:tcPr>
            <w:tcW w:w="1062" w:type="dxa"/>
            <w:tcBorders>
              <w:top w:val="single" w:sz="6" w:space="0" w:color="008000"/>
              <w:bottom w:val="single" w:sz="4" w:space="0" w:color="auto"/>
            </w:tcBorders>
            <w:shd w:val="clear" w:color="auto" w:fill="FFFFFF"/>
          </w:tcPr>
          <w:p w14:paraId="694ED0E2" w14:textId="77777777" w:rsidR="00483D0F" w:rsidRDefault="00483D0F" w:rsidP="00483D0F">
            <w:pPr>
              <w:pStyle w:val="CETBodytext"/>
              <w:rPr>
                <w:lang w:val="en-GB"/>
              </w:rPr>
            </w:pPr>
          </w:p>
        </w:tc>
        <w:tc>
          <w:tcPr>
            <w:tcW w:w="950" w:type="dxa"/>
            <w:tcBorders>
              <w:top w:val="single" w:sz="6" w:space="0" w:color="008000"/>
              <w:bottom w:val="single" w:sz="4" w:space="0" w:color="auto"/>
            </w:tcBorders>
            <w:shd w:val="clear" w:color="auto" w:fill="FFFFFF"/>
          </w:tcPr>
          <w:p w14:paraId="0FB06457" w14:textId="7173D6A5" w:rsidR="00483D0F" w:rsidRDefault="00483D0F" w:rsidP="00483D0F">
            <w:pPr>
              <w:pStyle w:val="CETBodytext"/>
              <w:rPr>
                <w:lang w:val="en-GB"/>
              </w:rPr>
            </w:pPr>
            <w:r>
              <w:rPr>
                <w:lang w:val="en-GB"/>
              </w:rPr>
              <w:t>90%</w:t>
            </w:r>
          </w:p>
        </w:tc>
        <w:tc>
          <w:tcPr>
            <w:tcW w:w="992" w:type="dxa"/>
            <w:tcBorders>
              <w:top w:val="single" w:sz="6" w:space="0" w:color="008000"/>
              <w:bottom w:val="single" w:sz="4" w:space="0" w:color="auto"/>
            </w:tcBorders>
            <w:shd w:val="clear" w:color="auto" w:fill="FFFFFF"/>
          </w:tcPr>
          <w:p w14:paraId="7D062934" w14:textId="5D1DAC0C" w:rsidR="00483D0F" w:rsidRDefault="00483D0F" w:rsidP="00483D0F">
            <w:pPr>
              <w:pStyle w:val="CETBodytext"/>
              <w:rPr>
                <w:lang w:val="en-GB"/>
              </w:rPr>
            </w:pPr>
            <w:r>
              <w:rPr>
                <w:lang w:val="en-GB"/>
              </w:rPr>
              <w:t>95%</w:t>
            </w:r>
          </w:p>
        </w:tc>
        <w:tc>
          <w:tcPr>
            <w:tcW w:w="1367" w:type="dxa"/>
            <w:tcBorders>
              <w:top w:val="single" w:sz="6" w:space="0" w:color="008000"/>
              <w:bottom w:val="single" w:sz="4" w:space="0" w:color="auto"/>
            </w:tcBorders>
            <w:shd w:val="clear" w:color="auto" w:fill="FFFFFF"/>
          </w:tcPr>
          <w:p w14:paraId="7067BAA8" w14:textId="0108A1BE" w:rsidR="00483D0F" w:rsidRDefault="00483D0F" w:rsidP="00483D0F">
            <w:pPr>
              <w:pStyle w:val="CETBodytext"/>
              <w:rPr>
                <w:lang w:val="en-GB"/>
              </w:rPr>
            </w:pPr>
            <w:r>
              <w:rPr>
                <w:lang w:val="en-GB"/>
              </w:rPr>
              <w:t>90%</w:t>
            </w:r>
          </w:p>
        </w:tc>
        <w:tc>
          <w:tcPr>
            <w:tcW w:w="1103" w:type="dxa"/>
            <w:gridSpan w:val="2"/>
            <w:tcBorders>
              <w:top w:val="single" w:sz="6" w:space="0" w:color="008000"/>
              <w:bottom w:val="single" w:sz="4" w:space="0" w:color="auto"/>
            </w:tcBorders>
            <w:shd w:val="clear" w:color="auto" w:fill="FFFFFF"/>
          </w:tcPr>
          <w:p w14:paraId="5670A828" w14:textId="1E935345" w:rsidR="00483D0F" w:rsidRDefault="00483D0F" w:rsidP="00483D0F">
            <w:pPr>
              <w:pStyle w:val="CETBodytext"/>
              <w:rPr>
                <w:lang w:val="en-GB"/>
              </w:rPr>
            </w:pPr>
            <w:r>
              <w:rPr>
                <w:lang w:val="en-GB"/>
              </w:rPr>
              <w:t>95%</w:t>
            </w:r>
          </w:p>
        </w:tc>
        <w:tc>
          <w:tcPr>
            <w:tcW w:w="932" w:type="dxa"/>
            <w:tcBorders>
              <w:top w:val="single" w:sz="6" w:space="0" w:color="008000"/>
              <w:bottom w:val="single" w:sz="4" w:space="0" w:color="auto"/>
            </w:tcBorders>
            <w:shd w:val="clear" w:color="auto" w:fill="FFFFFF"/>
          </w:tcPr>
          <w:p w14:paraId="3AEFDA60" w14:textId="39B9614E" w:rsidR="00483D0F" w:rsidRDefault="00483D0F" w:rsidP="00483D0F">
            <w:pPr>
              <w:pStyle w:val="CETBodytext"/>
              <w:rPr>
                <w:lang w:val="en-GB"/>
              </w:rPr>
            </w:pPr>
            <w:r>
              <w:rPr>
                <w:lang w:val="en-GB"/>
              </w:rPr>
              <w:t>90%</w:t>
            </w:r>
          </w:p>
        </w:tc>
        <w:tc>
          <w:tcPr>
            <w:tcW w:w="1274" w:type="dxa"/>
            <w:tcBorders>
              <w:top w:val="single" w:sz="6" w:space="0" w:color="008000"/>
              <w:bottom w:val="single" w:sz="4" w:space="0" w:color="auto"/>
            </w:tcBorders>
            <w:shd w:val="clear" w:color="auto" w:fill="FFFFFF"/>
          </w:tcPr>
          <w:p w14:paraId="1E997888" w14:textId="3CCBE0A1" w:rsidR="00483D0F" w:rsidRDefault="00483D0F" w:rsidP="00483D0F">
            <w:pPr>
              <w:pStyle w:val="CETBodytext"/>
              <w:rPr>
                <w:lang w:val="en-GB"/>
              </w:rPr>
            </w:pPr>
            <w:r>
              <w:rPr>
                <w:lang w:val="en-GB"/>
              </w:rPr>
              <w:t>95%</w:t>
            </w:r>
          </w:p>
        </w:tc>
      </w:tr>
      <w:tr w:rsidR="00483D0F" w:rsidRPr="00B57B36" w14:paraId="42C87A8E" w14:textId="1EA03E49" w:rsidTr="00483D0F">
        <w:tc>
          <w:tcPr>
            <w:tcW w:w="1107" w:type="dxa"/>
            <w:tcBorders>
              <w:top w:val="single" w:sz="4" w:space="0" w:color="auto"/>
            </w:tcBorders>
            <w:shd w:val="clear" w:color="auto" w:fill="FFFFFF"/>
          </w:tcPr>
          <w:p w14:paraId="1EA533FF" w14:textId="2EBF0895" w:rsidR="00483D0F" w:rsidRPr="00B57B36" w:rsidRDefault="00483D0F" w:rsidP="00483D0F">
            <w:pPr>
              <w:pStyle w:val="CETBodytext"/>
              <w:rPr>
                <w:lang w:val="en-GB"/>
              </w:rPr>
            </w:pPr>
            <w:r>
              <w:rPr>
                <w:lang w:val="en-GB"/>
              </w:rPr>
              <w:t>0.8</w:t>
            </w:r>
          </w:p>
        </w:tc>
        <w:tc>
          <w:tcPr>
            <w:tcW w:w="1062" w:type="dxa"/>
            <w:tcBorders>
              <w:top w:val="single" w:sz="4" w:space="0" w:color="auto"/>
            </w:tcBorders>
            <w:shd w:val="clear" w:color="auto" w:fill="FFFFFF"/>
          </w:tcPr>
          <w:p w14:paraId="48541F12" w14:textId="2E8B255E" w:rsidR="00483D0F" w:rsidRDefault="00483D0F" w:rsidP="00483D0F">
            <w:pPr>
              <w:pStyle w:val="CETBodytext"/>
              <w:rPr>
                <w:lang w:val="en-GB"/>
              </w:rPr>
            </w:pPr>
            <w:r>
              <w:rPr>
                <w:lang w:val="en-GB"/>
              </w:rPr>
              <w:t>160</w:t>
            </w:r>
          </w:p>
        </w:tc>
        <w:tc>
          <w:tcPr>
            <w:tcW w:w="950" w:type="dxa"/>
            <w:tcBorders>
              <w:top w:val="single" w:sz="4" w:space="0" w:color="auto"/>
            </w:tcBorders>
            <w:shd w:val="clear" w:color="auto" w:fill="FFFFFF"/>
          </w:tcPr>
          <w:p w14:paraId="69A3062F" w14:textId="3C6D4DF2" w:rsidR="00483D0F" w:rsidRDefault="00483D0F" w:rsidP="00483D0F">
            <w:pPr>
              <w:pStyle w:val="CETBodytext"/>
              <w:rPr>
                <w:lang w:val="en-GB"/>
              </w:rPr>
            </w:pPr>
            <w:r>
              <w:rPr>
                <w:lang w:val="en-GB"/>
              </w:rPr>
              <w:t>4.5</w:t>
            </w:r>
          </w:p>
        </w:tc>
        <w:tc>
          <w:tcPr>
            <w:tcW w:w="992" w:type="dxa"/>
            <w:tcBorders>
              <w:top w:val="single" w:sz="4" w:space="0" w:color="auto"/>
            </w:tcBorders>
            <w:shd w:val="clear" w:color="auto" w:fill="FFFFFF"/>
          </w:tcPr>
          <w:p w14:paraId="56F2203F" w14:textId="7FD56E60" w:rsidR="00483D0F" w:rsidRDefault="00483D0F" w:rsidP="00483D0F">
            <w:pPr>
              <w:pStyle w:val="CETBodytext"/>
              <w:rPr>
                <w:lang w:val="en-GB"/>
              </w:rPr>
            </w:pPr>
            <w:r>
              <w:rPr>
                <w:lang w:val="en-GB"/>
              </w:rPr>
              <w:t>5</w:t>
            </w:r>
          </w:p>
        </w:tc>
        <w:tc>
          <w:tcPr>
            <w:tcW w:w="1367" w:type="dxa"/>
            <w:tcBorders>
              <w:top w:val="single" w:sz="4" w:space="0" w:color="auto"/>
            </w:tcBorders>
            <w:shd w:val="clear" w:color="auto" w:fill="FFFFFF"/>
          </w:tcPr>
          <w:p w14:paraId="6609C686" w14:textId="48DBEB8C" w:rsidR="00483D0F" w:rsidRDefault="00483D0F" w:rsidP="00483D0F">
            <w:pPr>
              <w:pStyle w:val="CETBodytext"/>
              <w:rPr>
                <w:lang w:val="en-GB"/>
              </w:rPr>
            </w:pPr>
            <w:r>
              <w:rPr>
                <w:lang w:val="en-GB"/>
              </w:rPr>
              <w:t>16.5</w:t>
            </w:r>
          </w:p>
        </w:tc>
        <w:tc>
          <w:tcPr>
            <w:tcW w:w="1103" w:type="dxa"/>
            <w:gridSpan w:val="2"/>
            <w:tcBorders>
              <w:top w:val="single" w:sz="4" w:space="0" w:color="auto"/>
            </w:tcBorders>
            <w:shd w:val="clear" w:color="auto" w:fill="FFFFFF"/>
          </w:tcPr>
          <w:p w14:paraId="6CA320F2" w14:textId="6DB7B1F8" w:rsidR="00483D0F" w:rsidRDefault="00483D0F" w:rsidP="00483D0F">
            <w:pPr>
              <w:pStyle w:val="CETBodytext"/>
              <w:rPr>
                <w:lang w:val="en-GB"/>
              </w:rPr>
            </w:pPr>
            <w:r>
              <w:rPr>
                <w:lang w:val="en-GB"/>
              </w:rPr>
              <w:t>18.5</w:t>
            </w:r>
          </w:p>
        </w:tc>
        <w:tc>
          <w:tcPr>
            <w:tcW w:w="932" w:type="dxa"/>
            <w:tcBorders>
              <w:top w:val="single" w:sz="4" w:space="0" w:color="auto"/>
            </w:tcBorders>
            <w:shd w:val="clear" w:color="auto" w:fill="FFFFFF"/>
          </w:tcPr>
          <w:p w14:paraId="4E70FA01" w14:textId="45B0087D" w:rsidR="00483D0F" w:rsidRDefault="00483D0F" w:rsidP="00483D0F">
            <w:pPr>
              <w:pStyle w:val="CETBodytext"/>
              <w:rPr>
                <w:lang w:val="en-GB"/>
              </w:rPr>
            </w:pPr>
            <w:r>
              <w:rPr>
                <w:lang w:val="en-GB"/>
              </w:rPr>
              <w:t>40.5</w:t>
            </w:r>
          </w:p>
        </w:tc>
        <w:tc>
          <w:tcPr>
            <w:tcW w:w="1274" w:type="dxa"/>
            <w:tcBorders>
              <w:top w:val="single" w:sz="4" w:space="0" w:color="auto"/>
            </w:tcBorders>
            <w:shd w:val="clear" w:color="auto" w:fill="FFFFFF"/>
          </w:tcPr>
          <w:p w14:paraId="04824559" w14:textId="3AA735F5" w:rsidR="00483D0F" w:rsidRDefault="00483D0F" w:rsidP="00483D0F">
            <w:pPr>
              <w:pStyle w:val="CETBodytext"/>
              <w:rPr>
                <w:lang w:val="en-GB"/>
              </w:rPr>
            </w:pPr>
            <w:r>
              <w:rPr>
                <w:lang w:val="en-GB"/>
              </w:rPr>
              <w:t>46</w:t>
            </w:r>
          </w:p>
        </w:tc>
      </w:tr>
      <w:tr w:rsidR="00483D0F" w:rsidRPr="00B57B36" w14:paraId="79912312" w14:textId="77777777" w:rsidTr="00483D0F">
        <w:tc>
          <w:tcPr>
            <w:tcW w:w="1107" w:type="dxa"/>
            <w:shd w:val="clear" w:color="auto" w:fill="FFFFFF"/>
          </w:tcPr>
          <w:p w14:paraId="6903003A" w14:textId="5C3BC196" w:rsidR="00483D0F" w:rsidRDefault="00483D0F" w:rsidP="00483D0F">
            <w:pPr>
              <w:pStyle w:val="CETBodytext"/>
              <w:rPr>
                <w:lang w:val="en-GB"/>
              </w:rPr>
            </w:pPr>
            <w:r>
              <w:rPr>
                <w:lang w:val="en-GB"/>
              </w:rPr>
              <w:t>3</w:t>
            </w:r>
          </w:p>
        </w:tc>
        <w:tc>
          <w:tcPr>
            <w:tcW w:w="1062" w:type="dxa"/>
            <w:shd w:val="clear" w:color="auto" w:fill="FFFFFF"/>
          </w:tcPr>
          <w:p w14:paraId="442DD146" w14:textId="6D88835E" w:rsidR="00483D0F" w:rsidRDefault="00483D0F" w:rsidP="00483D0F">
            <w:pPr>
              <w:pStyle w:val="CETBodytext"/>
              <w:rPr>
                <w:lang w:val="en-GB"/>
              </w:rPr>
            </w:pPr>
            <w:r>
              <w:rPr>
                <w:lang w:val="en-GB"/>
              </w:rPr>
              <w:t>115</w:t>
            </w:r>
          </w:p>
        </w:tc>
        <w:tc>
          <w:tcPr>
            <w:tcW w:w="950" w:type="dxa"/>
            <w:shd w:val="clear" w:color="auto" w:fill="FFFFFF"/>
          </w:tcPr>
          <w:p w14:paraId="332CA715" w14:textId="5E38CD6E" w:rsidR="00483D0F" w:rsidRDefault="00483D0F" w:rsidP="00483D0F">
            <w:pPr>
              <w:pStyle w:val="CETBodytext"/>
              <w:rPr>
                <w:lang w:val="en-GB"/>
              </w:rPr>
            </w:pPr>
            <w:r>
              <w:rPr>
                <w:lang w:val="en-GB"/>
              </w:rPr>
              <w:t>6</w:t>
            </w:r>
          </w:p>
        </w:tc>
        <w:tc>
          <w:tcPr>
            <w:tcW w:w="992" w:type="dxa"/>
            <w:shd w:val="clear" w:color="auto" w:fill="FFFFFF"/>
          </w:tcPr>
          <w:p w14:paraId="5312ADB0" w14:textId="744BF297" w:rsidR="00483D0F" w:rsidRDefault="00483D0F" w:rsidP="00483D0F">
            <w:pPr>
              <w:pStyle w:val="CETBodytext"/>
              <w:rPr>
                <w:lang w:val="en-GB"/>
              </w:rPr>
            </w:pPr>
            <w:r>
              <w:rPr>
                <w:lang w:val="en-GB"/>
              </w:rPr>
              <w:t>6.5</w:t>
            </w:r>
          </w:p>
        </w:tc>
        <w:tc>
          <w:tcPr>
            <w:tcW w:w="1367" w:type="dxa"/>
            <w:shd w:val="clear" w:color="auto" w:fill="FFFFFF"/>
          </w:tcPr>
          <w:p w14:paraId="0E9E29B5" w14:textId="73846E84" w:rsidR="00483D0F" w:rsidRDefault="00483D0F" w:rsidP="00483D0F">
            <w:pPr>
              <w:pStyle w:val="CETBodytext"/>
              <w:rPr>
                <w:lang w:val="en-GB"/>
              </w:rPr>
            </w:pPr>
            <w:r>
              <w:rPr>
                <w:lang w:val="en-GB"/>
              </w:rPr>
              <w:t>22</w:t>
            </w:r>
          </w:p>
        </w:tc>
        <w:tc>
          <w:tcPr>
            <w:tcW w:w="1103" w:type="dxa"/>
            <w:gridSpan w:val="2"/>
            <w:shd w:val="clear" w:color="auto" w:fill="FFFFFF"/>
          </w:tcPr>
          <w:p w14:paraId="64B2C664" w14:textId="3F661289" w:rsidR="00483D0F" w:rsidRDefault="00483D0F" w:rsidP="00483D0F">
            <w:pPr>
              <w:pStyle w:val="CETBodytext"/>
              <w:rPr>
                <w:lang w:val="en-GB"/>
              </w:rPr>
            </w:pPr>
            <w:r>
              <w:rPr>
                <w:lang w:val="en-GB"/>
              </w:rPr>
              <w:t>25</w:t>
            </w:r>
          </w:p>
        </w:tc>
        <w:tc>
          <w:tcPr>
            <w:tcW w:w="932" w:type="dxa"/>
            <w:shd w:val="clear" w:color="auto" w:fill="FFFFFF"/>
          </w:tcPr>
          <w:p w14:paraId="3971C8AA" w14:textId="15C33744" w:rsidR="00483D0F" w:rsidRDefault="00483D0F" w:rsidP="00483D0F">
            <w:pPr>
              <w:pStyle w:val="CETBodytext"/>
              <w:rPr>
                <w:lang w:val="en-GB"/>
              </w:rPr>
            </w:pPr>
            <w:r>
              <w:rPr>
                <w:lang w:val="en-GB"/>
              </w:rPr>
              <w:t>54.5</w:t>
            </w:r>
          </w:p>
        </w:tc>
        <w:tc>
          <w:tcPr>
            <w:tcW w:w="1274" w:type="dxa"/>
            <w:shd w:val="clear" w:color="auto" w:fill="FFFFFF"/>
          </w:tcPr>
          <w:p w14:paraId="5D2BEF88" w14:textId="347CCAE6" w:rsidR="00483D0F" w:rsidRDefault="00483D0F" w:rsidP="00483D0F">
            <w:pPr>
              <w:pStyle w:val="CETBodytext"/>
              <w:rPr>
                <w:lang w:val="en-GB"/>
              </w:rPr>
            </w:pPr>
            <w:r>
              <w:rPr>
                <w:lang w:val="en-GB"/>
              </w:rPr>
              <w:t>62.5</w:t>
            </w:r>
          </w:p>
        </w:tc>
      </w:tr>
      <w:tr w:rsidR="00483D0F" w:rsidRPr="00B57B36" w14:paraId="29EB2A69" w14:textId="77777777" w:rsidTr="00483D0F">
        <w:tc>
          <w:tcPr>
            <w:tcW w:w="1107" w:type="dxa"/>
            <w:shd w:val="clear" w:color="auto" w:fill="FFFFFF"/>
          </w:tcPr>
          <w:p w14:paraId="56015413" w14:textId="7C39BA41" w:rsidR="00483D0F" w:rsidRDefault="00483D0F" w:rsidP="00483D0F">
            <w:pPr>
              <w:pStyle w:val="CETBodytext"/>
              <w:rPr>
                <w:lang w:val="en-GB"/>
              </w:rPr>
            </w:pPr>
            <w:r>
              <w:rPr>
                <w:lang w:val="en-GB"/>
              </w:rPr>
              <w:t>8.5</w:t>
            </w:r>
          </w:p>
        </w:tc>
        <w:tc>
          <w:tcPr>
            <w:tcW w:w="1062" w:type="dxa"/>
            <w:shd w:val="clear" w:color="auto" w:fill="FFFFFF"/>
          </w:tcPr>
          <w:p w14:paraId="327FEB39" w14:textId="4E025E9B" w:rsidR="00483D0F" w:rsidRDefault="00483D0F" w:rsidP="00483D0F">
            <w:pPr>
              <w:pStyle w:val="CETBodytext"/>
              <w:rPr>
                <w:lang w:val="en-GB"/>
              </w:rPr>
            </w:pPr>
            <w:r>
              <w:rPr>
                <w:lang w:val="en-GB"/>
              </w:rPr>
              <w:t>92</w:t>
            </w:r>
          </w:p>
        </w:tc>
        <w:tc>
          <w:tcPr>
            <w:tcW w:w="950" w:type="dxa"/>
            <w:shd w:val="clear" w:color="auto" w:fill="FFFFFF"/>
          </w:tcPr>
          <w:p w14:paraId="0C034308" w14:textId="2F3E03F4" w:rsidR="00483D0F" w:rsidRDefault="00483D0F" w:rsidP="00483D0F">
            <w:pPr>
              <w:pStyle w:val="CETBodytext"/>
              <w:rPr>
                <w:lang w:val="en-GB"/>
              </w:rPr>
            </w:pPr>
            <w:r>
              <w:rPr>
                <w:lang w:val="en-GB"/>
              </w:rPr>
              <w:t>8.5</w:t>
            </w:r>
          </w:p>
        </w:tc>
        <w:tc>
          <w:tcPr>
            <w:tcW w:w="992" w:type="dxa"/>
            <w:shd w:val="clear" w:color="auto" w:fill="FFFFFF"/>
          </w:tcPr>
          <w:p w14:paraId="742F537C" w14:textId="47FD9097" w:rsidR="00483D0F" w:rsidRDefault="00483D0F" w:rsidP="00483D0F">
            <w:pPr>
              <w:pStyle w:val="CETBodytext"/>
              <w:rPr>
                <w:lang w:val="en-GB"/>
              </w:rPr>
            </w:pPr>
            <w:r>
              <w:rPr>
                <w:lang w:val="en-GB"/>
              </w:rPr>
              <w:t>10</w:t>
            </w:r>
          </w:p>
        </w:tc>
        <w:tc>
          <w:tcPr>
            <w:tcW w:w="1367" w:type="dxa"/>
            <w:shd w:val="clear" w:color="auto" w:fill="FFFFFF"/>
          </w:tcPr>
          <w:p w14:paraId="56A2A41F" w14:textId="6FEB38FA" w:rsidR="00483D0F" w:rsidRDefault="00483D0F" w:rsidP="00483D0F">
            <w:pPr>
              <w:pStyle w:val="CETBodytext"/>
              <w:rPr>
                <w:lang w:val="en-GB"/>
              </w:rPr>
            </w:pPr>
            <w:r>
              <w:rPr>
                <w:lang w:val="en-GB"/>
              </w:rPr>
              <w:t>33.5</w:t>
            </w:r>
          </w:p>
        </w:tc>
        <w:tc>
          <w:tcPr>
            <w:tcW w:w="1103" w:type="dxa"/>
            <w:gridSpan w:val="2"/>
            <w:shd w:val="clear" w:color="auto" w:fill="FFFFFF"/>
          </w:tcPr>
          <w:p w14:paraId="387F1EA4" w14:textId="2B66474D" w:rsidR="00483D0F" w:rsidRDefault="00483D0F" w:rsidP="00483D0F">
            <w:pPr>
              <w:pStyle w:val="CETBodytext"/>
              <w:rPr>
                <w:lang w:val="en-GB"/>
              </w:rPr>
            </w:pPr>
            <w:r>
              <w:rPr>
                <w:lang w:val="en-GB"/>
              </w:rPr>
              <w:t>38.5</w:t>
            </w:r>
          </w:p>
        </w:tc>
        <w:tc>
          <w:tcPr>
            <w:tcW w:w="932" w:type="dxa"/>
            <w:shd w:val="clear" w:color="auto" w:fill="FFFFFF"/>
          </w:tcPr>
          <w:p w14:paraId="7FC74A33" w14:textId="5E9D84F1" w:rsidR="00483D0F" w:rsidRDefault="00483D0F" w:rsidP="00483D0F">
            <w:pPr>
              <w:pStyle w:val="CETBodytext"/>
              <w:rPr>
                <w:lang w:val="en-GB"/>
              </w:rPr>
            </w:pPr>
            <w:r>
              <w:rPr>
                <w:lang w:val="en-GB"/>
              </w:rPr>
              <w:t>84.5</w:t>
            </w:r>
          </w:p>
        </w:tc>
        <w:tc>
          <w:tcPr>
            <w:tcW w:w="1274" w:type="dxa"/>
            <w:shd w:val="clear" w:color="auto" w:fill="FFFFFF"/>
          </w:tcPr>
          <w:p w14:paraId="1B767174" w14:textId="5820983F" w:rsidR="00483D0F" w:rsidRDefault="00483D0F" w:rsidP="00483D0F">
            <w:pPr>
              <w:pStyle w:val="CETBodytext"/>
              <w:rPr>
                <w:lang w:val="en-GB"/>
              </w:rPr>
            </w:pPr>
            <w:r>
              <w:rPr>
                <w:lang w:val="en-GB"/>
              </w:rPr>
              <w:t>95.5</w:t>
            </w:r>
          </w:p>
        </w:tc>
      </w:tr>
    </w:tbl>
    <w:p w14:paraId="5698EF94" w14:textId="52FFCA0A" w:rsidR="00F62B99" w:rsidRDefault="00841885" w:rsidP="008A7C05">
      <w:pPr>
        <w:pStyle w:val="CETBodytext"/>
        <w:spacing w:before="240"/>
        <w:rPr>
          <w:lang w:val="en-GB"/>
        </w:rPr>
      </w:pPr>
      <w:r>
        <w:rPr>
          <w:lang w:val="en-GB"/>
        </w:rPr>
        <w:t xml:space="preserve">As it is possible to see from Table </w:t>
      </w:r>
      <w:r w:rsidR="00A6565A">
        <w:rPr>
          <w:lang w:val="en-GB"/>
        </w:rPr>
        <w:t>4</w:t>
      </w:r>
      <w:r w:rsidR="00932403">
        <w:rPr>
          <w:lang w:val="en-GB"/>
        </w:rPr>
        <w:t xml:space="preserve">, the lower the diameter of the reactor the higher the </w:t>
      </w:r>
      <w:r w:rsidR="00537F7A">
        <w:rPr>
          <w:lang w:val="en-GB"/>
        </w:rPr>
        <w:t xml:space="preserve">wall temperature could be, also minimizing the reactor length </w:t>
      </w:r>
      <w:r w:rsidR="00183D7B">
        <w:rPr>
          <w:lang w:val="en-GB"/>
        </w:rPr>
        <w:t xml:space="preserve">required to </w:t>
      </w:r>
      <w:r w:rsidR="00071D11">
        <w:rPr>
          <w:lang w:val="en-GB"/>
        </w:rPr>
        <w:t xml:space="preserve">obtain commercially sustainable conversions. </w:t>
      </w:r>
      <w:r w:rsidR="00A77330">
        <w:rPr>
          <w:lang w:val="en-GB"/>
        </w:rPr>
        <w:t xml:space="preserve">The minimum reactor length was obtained for </w:t>
      </w:r>
      <w:r w:rsidR="006E6711">
        <w:rPr>
          <w:lang w:val="en-GB"/>
        </w:rPr>
        <w:t>the combination: F</w:t>
      </w:r>
      <w:r w:rsidR="006E6711" w:rsidRPr="00462C51">
        <w:rPr>
          <w:vertAlign w:val="subscript"/>
          <w:lang w:val="en-GB"/>
        </w:rPr>
        <w:t>max</w:t>
      </w:r>
      <w:r w:rsidR="006E6711">
        <w:rPr>
          <w:lang w:val="en-GB"/>
        </w:rPr>
        <w:t xml:space="preserve">=1 mL/min and </w:t>
      </w:r>
      <w:r w:rsidR="001F1C28">
        <w:rPr>
          <w:lang w:val="en-GB"/>
        </w:rPr>
        <w:t xml:space="preserve">D=0.8 mm. </w:t>
      </w:r>
      <w:r w:rsidR="006F6524">
        <w:rPr>
          <w:lang w:val="en-GB"/>
        </w:rPr>
        <w:t xml:space="preserve">Such a set of operating conditions corresponded to </w:t>
      </w:r>
      <w:r w:rsidR="00B45BEA">
        <w:rPr>
          <w:lang w:val="en-GB"/>
        </w:rPr>
        <w:t xml:space="preserve">a </w:t>
      </w:r>
      <w:r w:rsidR="006F6524">
        <w:rPr>
          <w:lang w:val="en-GB"/>
        </w:rPr>
        <w:t xml:space="preserve">contact time </w:t>
      </w:r>
      <w:r w:rsidR="00B45BEA">
        <w:rPr>
          <w:lang w:val="en-GB"/>
        </w:rPr>
        <w:t xml:space="preserve">within the reactor </w:t>
      </w:r>
      <w:r w:rsidR="006F6524">
        <w:rPr>
          <w:lang w:val="en-GB"/>
        </w:rPr>
        <w:t xml:space="preserve">equal to </w:t>
      </w:r>
      <w:r w:rsidR="0031519A">
        <w:rPr>
          <w:lang w:val="en-GB"/>
        </w:rPr>
        <w:t>140-150 s</w:t>
      </w:r>
      <w:r w:rsidR="006A4CB6">
        <w:rPr>
          <w:lang w:val="en-GB"/>
        </w:rPr>
        <w:t xml:space="preserve">, which </w:t>
      </w:r>
      <w:r w:rsidR="00E803EE">
        <w:rPr>
          <w:lang w:val="en-GB"/>
        </w:rPr>
        <w:t xml:space="preserve">is </w:t>
      </w:r>
      <w:r w:rsidR="00E028F7">
        <w:rPr>
          <w:lang w:val="en-GB"/>
        </w:rPr>
        <w:t xml:space="preserve">the same for </w:t>
      </w:r>
      <w:r w:rsidR="00DC07B3">
        <w:rPr>
          <w:lang w:val="en-GB"/>
        </w:rPr>
        <w:t xml:space="preserve">all reactors having an internal diameter of 0.8 mm. </w:t>
      </w:r>
      <w:r w:rsidR="00F62B99" w:rsidRPr="00F62B99">
        <w:rPr>
          <w:lang w:val="en-GB"/>
        </w:rPr>
        <w:t xml:space="preserve">The procedure performed for the </w:t>
      </w:r>
      <w:r w:rsidR="00E4294B">
        <w:rPr>
          <w:lang w:val="en-GB"/>
        </w:rPr>
        <w:t>1-D</w:t>
      </w:r>
      <w:r w:rsidR="00F62B99" w:rsidRPr="00F62B99">
        <w:rPr>
          <w:lang w:val="en-GB"/>
        </w:rPr>
        <w:t xml:space="preserve"> model </w:t>
      </w:r>
      <w:r w:rsidR="00E4294B">
        <w:rPr>
          <w:lang w:val="en-GB"/>
        </w:rPr>
        <w:t>was then repeated using a</w:t>
      </w:r>
      <w:r w:rsidR="00F62B99" w:rsidRPr="00F62B99">
        <w:rPr>
          <w:lang w:val="en-GB"/>
        </w:rPr>
        <w:t xml:space="preserve"> </w:t>
      </w:r>
      <w:r w:rsidR="004A76D5">
        <w:rPr>
          <w:lang w:val="en-GB"/>
        </w:rPr>
        <w:t>two-dimensional (</w:t>
      </w:r>
      <w:r w:rsidR="00F62B99" w:rsidRPr="00F62B99">
        <w:rPr>
          <w:lang w:val="en-GB"/>
        </w:rPr>
        <w:t>2</w:t>
      </w:r>
      <w:r w:rsidR="004A76D5">
        <w:rPr>
          <w:lang w:val="en-GB"/>
        </w:rPr>
        <w:t>-</w:t>
      </w:r>
      <w:r w:rsidR="00F62B99" w:rsidRPr="00F62B99">
        <w:rPr>
          <w:lang w:val="en-GB"/>
        </w:rPr>
        <w:t>D</w:t>
      </w:r>
      <w:r w:rsidR="004A76D5">
        <w:rPr>
          <w:lang w:val="en-GB"/>
        </w:rPr>
        <w:t>)</w:t>
      </w:r>
      <w:r w:rsidR="00F62B99" w:rsidRPr="00F62B99">
        <w:rPr>
          <w:lang w:val="en-GB"/>
        </w:rPr>
        <w:t xml:space="preserve"> model. Table </w:t>
      </w:r>
      <w:r w:rsidR="00691E48">
        <w:rPr>
          <w:lang w:val="en-GB"/>
        </w:rPr>
        <w:t>5</w:t>
      </w:r>
      <w:r w:rsidR="00F62B99" w:rsidRPr="00F62B99">
        <w:rPr>
          <w:lang w:val="en-GB"/>
        </w:rPr>
        <w:t xml:space="preserve"> shows the results obtained.</w:t>
      </w:r>
    </w:p>
    <w:p w14:paraId="6B9743A2" w14:textId="18C06330" w:rsidR="00C328D8" w:rsidRDefault="00C328D8" w:rsidP="00C328D8">
      <w:pPr>
        <w:pStyle w:val="CETTabletitle"/>
      </w:pPr>
      <w:r w:rsidRPr="00B57B36">
        <w:t xml:space="preserve">Table </w:t>
      </w:r>
      <w:r w:rsidR="00691E48">
        <w:t>5</w:t>
      </w:r>
      <w:r w:rsidRPr="00B57B36">
        <w:t xml:space="preserve">: </w:t>
      </w:r>
      <w:r>
        <w:t>V</w:t>
      </w:r>
      <w:r w:rsidRPr="005620F1">
        <w:t xml:space="preserve">alues of </w:t>
      </w:r>
      <w:proofErr w:type="spellStart"/>
      <w:proofErr w:type="gramStart"/>
      <w:r>
        <w:t>T</w:t>
      </w:r>
      <w:r w:rsidR="00691E48">
        <w:rPr>
          <w:vertAlign w:val="subscript"/>
        </w:rPr>
        <w:t>w</w:t>
      </w:r>
      <w:r w:rsidRPr="005620F1">
        <w:rPr>
          <w:vertAlign w:val="subscript"/>
        </w:rPr>
        <w:t>,cr</w:t>
      </w:r>
      <w:proofErr w:type="spellEnd"/>
      <w:proofErr w:type="gramEnd"/>
      <w:r w:rsidRPr="005620F1">
        <w:t xml:space="preserve"> and </w:t>
      </w:r>
      <w:proofErr w:type="spellStart"/>
      <w:r>
        <w:t>T</w:t>
      </w:r>
      <w:r w:rsidRPr="005620F1">
        <w:rPr>
          <w:vertAlign w:val="subscript"/>
        </w:rPr>
        <w:t>in,cr</w:t>
      </w:r>
      <w:proofErr w:type="spellEnd"/>
      <w:r w:rsidRPr="005620F1">
        <w:t xml:space="preserve"> obtained for different configurations (</w:t>
      </w:r>
      <w:r>
        <w:t>2</w:t>
      </w:r>
      <w:r w:rsidR="004A76D5">
        <w:t>-</w:t>
      </w:r>
      <w:r w:rsidRPr="005620F1">
        <w:t>D)</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56"/>
        <w:gridCol w:w="1596"/>
        <w:gridCol w:w="1984"/>
        <w:gridCol w:w="2314"/>
        <w:gridCol w:w="1937"/>
      </w:tblGrid>
      <w:tr w:rsidR="009B775E" w14:paraId="1DC6A6A8" w14:textId="77777777" w:rsidTr="00A273B0">
        <w:tc>
          <w:tcPr>
            <w:tcW w:w="956" w:type="dxa"/>
            <w:tcBorders>
              <w:top w:val="single" w:sz="12" w:space="0" w:color="008000"/>
              <w:bottom w:val="single" w:sz="6" w:space="0" w:color="008000"/>
            </w:tcBorders>
            <w:shd w:val="clear" w:color="auto" w:fill="FFFFFF"/>
          </w:tcPr>
          <w:p w14:paraId="1C319186" w14:textId="77777777" w:rsidR="009B775E" w:rsidRPr="00B57B36" w:rsidRDefault="009B775E" w:rsidP="00A273B0">
            <w:pPr>
              <w:pStyle w:val="CETBodytext"/>
              <w:rPr>
                <w:lang w:val="en-GB"/>
              </w:rPr>
            </w:pPr>
          </w:p>
        </w:tc>
        <w:tc>
          <w:tcPr>
            <w:tcW w:w="1596" w:type="dxa"/>
            <w:tcBorders>
              <w:top w:val="single" w:sz="12" w:space="0" w:color="008000"/>
              <w:bottom w:val="single" w:sz="6" w:space="0" w:color="008000"/>
            </w:tcBorders>
            <w:shd w:val="clear" w:color="auto" w:fill="FFFFFF"/>
          </w:tcPr>
          <w:p w14:paraId="34A872FC" w14:textId="77777777" w:rsidR="009B775E" w:rsidRDefault="009B775E" w:rsidP="00A273B0">
            <w:pPr>
              <w:pStyle w:val="CETBodytext"/>
              <w:jc w:val="center"/>
              <w:rPr>
                <w:lang w:val="en-GB"/>
              </w:rPr>
            </w:pPr>
            <w:r>
              <w:rPr>
                <w:lang w:val="en-GB"/>
              </w:rPr>
              <w:t>Reactor Diameter [mm]</w:t>
            </w:r>
          </w:p>
        </w:tc>
        <w:tc>
          <w:tcPr>
            <w:tcW w:w="1984" w:type="dxa"/>
            <w:tcBorders>
              <w:top w:val="single" w:sz="12" w:space="0" w:color="008000"/>
              <w:bottom w:val="single" w:sz="6" w:space="0" w:color="008000"/>
            </w:tcBorders>
            <w:shd w:val="clear" w:color="auto" w:fill="FFFFFF"/>
            <w:vAlign w:val="center"/>
          </w:tcPr>
          <w:p w14:paraId="3D4FF4F4" w14:textId="77777777" w:rsidR="009B775E" w:rsidRPr="00B91BD5" w:rsidRDefault="009B775E" w:rsidP="00A273B0">
            <w:pPr>
              <w:pStyle w:val="CETBodytext"/>
              <w:spacing w:line="480" w:lineRule="auto"/>
              <w:jc w:val="center"/>
              <w:rPr>
                <w:lang w:val="en-GB"/>
              </w:rPr>
            </w:pPr>
            <w:r>
              <w:rPr>
                <w:lang w:val="en-GB"/>
              </w:rPr>
              <w:t>F</w:t>
            </w:r>
            <w:r>
              <w:rPr>
                <w:vertAlign w:val="subscript"/>
                <w:lang w:val="en-GB"/>
              </w:rPr>
              <w:t>max</w:t>
            </w:r>
            <w:r>
              <w:rPr>
                <w:lang w:val="en-GB"/>
              </w:rPr>
              <w:t>=1 mL/min</w:t>
            </w:r>
          </w:p>
        </w:tc>
        <w:tc>
          <w:tcPr>
            <w:tcW w:w="2314" w:type="dxa"/>
            <w:tcBorders>
              <w:top w:val="single" w:sz="12" w:space="0" w:color="008000"/>
              <w:bottom w:val="single" w:sz="6" w:space="0" w:color="008000"/>
            </w:tcBorders>
            <w:shd w:val="clear" w:color="auto" w:fill="FFFFFF"/>
          </w:tcPr>
          <w:p w14:paraId="3F751274" w14:textId="77777777" w:rsidR="009B775E" w:rsidRDefault="009B775E" w:rsidP="00A273B0">
            <w:pPr>
              <w:pStyle w:val="CETBodytext"/>
              <w:ind w:right="-1"/>
              <w:jc w:val="center"/>
              <w:rPr>
                <w:lang w:val="en-GB"/>
              </w:rPr>
            </w:pPr>
            <w:r w:rsidRPr="00B91BD5">
              <w:rPr>
                <w:lang w:val="en-GB"/>
              </w:rPr>
              <w:t>F</w:t>
            </w:r>
            <w:r w:rsidRPr="00B91BD5">
              <w:rPr>
                <w:vertAlign w:val="subscript"/>
                <w:lang w:val="en-GB"/>
              </w:rPr>
              <w:t>max</w:t>
            </w:r>
            <w:r>
              <w:rPr>
                <w:lang w:val="en-GB"/>
              </w:rPr>
              <w:t>=4 mL/min</w:t>
            </w:r>
          </w:p>
        </w:tc>
        <w:tc>
          <w:tcPr>
            <w:tcW w:w="1937" w:type="dxa"/>
            <w:tcBorders>
              <w:top w:val="single" w:sz="12" w:space="0" w:color="008000"/>
              <w:bottom w:val="single" w:sz="6" w:space="0" w:color="008000"/>
            </w:tcBorders>
            <w:shd w:val="clear" w:color="auto" w:fill="FFFFFF"/>
          </w:tcPr>
          <w:p w14:paraId="0951AF81" w14:textId="77777777" w:rsidR="009B775E" w:rsidRDefault="009B775E" w:rsidP="00A273B0">
            <w:pPr>
              <w:pStyle w:val="CETBodytext"/>
              <w:ind w:right="-1"/>
              <w:jc w:val="center"/>
              <w:rPr>
                <w:rFonts w:cs="Arial"/>
                <w:szCs w:val="18"/>
                <w:lang w:val="en-GB"/>
              </w:rPr>
            </w:pPr>
            <w:r>
              <w:rPr>
                <w:lang w:val="en-GB"/>
              </w:rPr>
              <w:t>F</w:t>
            </w:r>
            <w:r>
              <w:rPr>
                <w:vertAlign w:val="subscript"/>
                <w:lang w:val="en-GB"/>
              </w:rPr>
              <w:t>max</w:t>
            </w:r>
            <w:r>
              <w:rPr>
                <w:lang w:val="en-GB"/>
              </w:rPr>
              <w:t>=10 mL/min</w:t>
            </w:r>
          </w:p>
        </w:tc>
      </w:tr>
      <w:tr w:rsidR="009B775E" w14:paraId="16325F07" w14:textId="77777777" w:rsidTr="00A273B0">
        <w:tc>
          <w:tcPr>
            <w:tcW w:w="956" w:type="dxa"/>
            <w:tcBorders>
              <w:top w:val="single" w:sz="6" w:space="0" w:color="008000"/>
              <w:bottom w:val="nil"/>
            </w:tcBorders>
            <w:shd w:val="clear" w:color="auto" w:fill="FFFFFF"/>
          </w:tcPr>
          <w:p w14:paraId="68F436BF" w14:textId="77777777" w:rsidR="009B775E" w:rsidRPr="004E3064" w:rsidRDefault="009B775E" w:rsidP="009B775E">
            <w:pPr>
              <w:pStyle w:val="CETBodytext"/>
              <w:jc w:val="center"/>
              <w:rPr>
                <w:lang w:val="en-GB"/>
              </w:rPr>
            </w:pPr>
            <w:proofErr w:type="spellStart"/>
            <w:proofErr w:type="gramStart"/>
            <w:r>
              <w:rPr>
                <w:lang w:val="en-GB"/>
              </w:rPr>
              <w:t>T</w:t>
            </w:r>
            <w:r>
              <w:rPr>
                <w:vertAlign w:val="subscript"/>
                <w:lang w:val="en-GB"/>
              </w:rPr>
              <w:t>w</w:t>
            </w:r>
            <w:r w:rsidRPr="00CC71EE">
              <w:rPr>
                <w:vertAlign w:val="subscript"/>
                <w:lang w:val="en-GB"/>
              </w:rPr>
              <w:t>,cr</w:t>
            </w:r>
            <w:proofErr w:type="spellEnd"/>
            <w:proofErr w:type="gramEnd"/>
          </w:p>
        </w:tc>
        <w:tc>
          <w:tcPr>
            <w:tcW w:w="1596" w:type="dxa"/>
            <w:tcBorders>
              <w:top w:val="single" w:sz="6" w:space="0" w:color="008000"/>
              <w:bottom w:val="nil"/>
            </w:tcBorders>
            <w:shd w:val="clear" w:color="auto" w:fill="FFFFFF"/>
          </w:tcPr>
          <w:p w14:paraId="7BE534AB" w14:textId="77777777" w:rsidR="009B775E" w:rsidRDefault="009B775E" w:rsidP="009B775E">
            <w:pPr>
              <w:pStyle w:val="CETBodytext"/>
              <w:jc w:val="center"/>
              <w:rPr>
                <w:lang w:val="en-GB"/>
              </w:rPr>
            </w:pPr>
            <w:r>
              <w:rPr>
                <w:lang w:val="en-GB"/>
              </w:rPr>
              <w:t>0.8</w:t>
            </w:r>
          </w:p>
          <w:p w14:paraId="23228AEB" w14:textId="77777777" w:rsidR="009B775E" w:rsidRDefault="009B775E" w:rsidP="009B775E">
            <w:pPr>
              <w:pStyle w:val="CETBodytext"/>
              <w:jc w:val="center"/>
              <w:rPr>
                <w:lang w:val="en-GB"/>
              </w:rPr>
            </w:pPr>
            <w:r>
              <w:rPr>
                <w:lang w:val="en-GB"/>
              </w:rPr>
              <w:t>3</w:t>
            </w:r>
          </w:p>
        </w:tc>
        <w:tc>
          <w:tcPr>
            <w:tcW w:w="1984" w:type="dxa"/>
            <w:vMerge w:val="restart"/>
            <w:tcBorders>
              <w:top w:val="single" w:sz="6" w:space="0" w:color="008000"/>
              <w:bottom w:val="nil"/>
            </w:tcBorders>
            <w:shd w:val="clear" w:color="auto" w:fill="FFFFFF"/>
          </w:tcPr>
          <w:p w14:paraId="42536C29" w14:textId="77777777" w:rsidR="009B775E" w:rsidRDefault="009B775E" w:rsidP="009B775E">
            <w:pPr>
              <w:pStyle w:val="CETBodytext"/>
              <w:jc w:val="center"/>
              <w:rPr>
                <w:lang w:val="en-GB"/>
              </w:rPr>
            </w:pPr>
            <w:r>
              <w:rPr>
                <w:lang w:val="en-GB"/>
              </w:rPr>
              <w:t>158.65 °C</w:t>
            </w:r>
          </w:p>
          <w:p w14:paraId="2CF29F3F" w14:textId="77777777" w:rsidR="009B775E" w:rsidRDefault="009B775E" w:rsidP="009B775E">
            <w:pPr>
              <w:pStyle w:val="CETBodytext"/>
              <w:ind w:right="-1"/>
              <w:jc w:val="center"/>
              <w:rPr>
                <w:lang w:val="en-GB"/>
              </w:rPr>
            </w:pPr>
            <w:r>
              <w:rPr>
                <w:lang w:val="en-GB"/>
              </w:rPr>
              <w:t>115.15 °C</w:t>
            </w:r>
          </w:p>
          <w:p w14:paraId="0225A51C" w14:textId="72D3F60C" w:rsidR="009B775E" w:rsidRDefault="009B775E" w:rsidP="009B775E">
            <w:pPr>
              <w:pStyle w:val="CETBodytext"/>
              <w:ind w:right="-1"/>
              <w:jc w:val="center"/>
              <w:rPr>
                <w:lang w:val="en-GB"/>
              </w:rPr>
            </w:pPr>
            <w:r>
              <w:rPr>
                <w:rFonts w:cs="Arial"/>
                <w:szCs w:val="18"/>
                <w:lang w:val="en-GB"/>
              </w:rPr>
              <w:t>95.15 °C</w:t>
            </w:r>
          </w:p>
        </w:tc>
        <w:tc>
          <w:tcPr>
            <w:tcW w:w="2314" w:type="dxa"/>
            <w:vMerge w:val="restart"/>
            <w:tcBorders>
              <w:top w:val="single" w:sz="6" w:space="0" w:color="008000"/>
              <w:bottom w:val="nil"/>
            </w:tcBorders>
            <w:shd w:val="clear" w:color="auto" w:fill="FFFFFF"/>
          </w:tcPr>
          <w:p w14:paraId="7E4994D9" w14:textId="77777777" w:rsidR="009B775E" w:rsidRDefault="009B775E" w:rsidP="009B775E">
            <w:pPr>
              <w:pStyle w:val="CETBodytext"/>
              <w:jc w:val="center"/>
              <w:rPr>
                <w:lang w:val="en-GB"/>
              </w:rPr>
            </w:pPr>
            <w:r>
              <w:rPr>
                <w:lang w:val="en-GB"/>
              </w:rPr>
              <w:t>159.15 °C</w:t>
            </w:r>
          </w:p>
          <w:p w14:paraId="554C9A08" w14:textId="77777777" w:rsidR="009B775E" w:rsidRDefault="009B775E" w:rsidP="009B775E">
            <w:pPr>
              <w:pStyle w:val="CETBodytext"/>
              <w:ind w:right="-1"/>
              <w:jc w:val="center"/>
              <w:rPr>
                <w:rFonts w:cs="Arial"/>
                <w:szCs w:val="18"/>
                <w:lang w:val="en-GB"/>
              </w:rPr>
            </w:pPr>
            <w:r>
              <w:rPr>
                <w:lang w:val="en-GB"/>
              </w:rPr>
              <w:t>118.65 °C</w:t>
            </w:r>
          </w:p>
          <w:p w14:paraId="26F56C43" w14:textId="76BE03B0" w:rsidR="009B775E" w:rsidRDefault="009B775E" w:rsidP="009B775E">
            <w:pPr>
              <w:pStyle w:val="CETBodytext"/>
              <w:ind w:right="-1"/>
              <w:jc w:val="center"/>
              <w:rPr>
                <w:rFonts w:cs="Arial"/>
                <w:szCs w:val="18"/>
                <w:lang w:val="en-GB"/>
              </w:rPr>
            </w:pPr>
            <w:r>
              <w:rPr>
                <w:rFonts w:cs="Arial"/>
                <w:szCs w:val="18"/>
                <w:lang w:val="en-GB"/>
              </w:rPr>
              <w:t>96.65 °C</w:t>
            </w:r>
          </w:p>
        </w:tc>
        <w:tc>
          <w:tcPr>
            <w:tcW w:w="1937" w:type="dxa"/>
            <w:vMerge w:val="restart"/>
            <w:tcBorders>
              <w:top w:val="single" w:sz="6" w:space="0" w:color="008000"/>
              <w:bottom w:val="nil"/>
            </w:tcBorders>
            <w:shd w:val="clear" w:color="auto" w:fill="FFFFFF"/>
          </w:tcPr>
          <w:p w14:paraId="3B252F5B" w14:textId="77777777" w:rsidR="009B775E" w:rsidRDefault="009B775E" w:rsidP="009B775E">
            <w:pPr>
              <w:pStyle w:val="CETBodytext"/>
              <w:jc w:val="center"/>
              <w:rPr>
                <w:lang w:val="en-GB"/>
              </w:rPr>
            </w:pPr>
            <w:r>
              <w:rPr>
                <w:lang w:val="en-GB"/>
              </w:rPr>
              <w:t>158.65 °C</w:t>
            </w:r>
          </w:p>
          <w:p w14:paraId="68A0D67C" w14:textId="77777777" w:rsidR="009B775E" w:rsidRDefault="009B775E" w:rsidP="009B775E">
            <w:pPr>
              <w:pStyle w:val="CETBodytext"/>
              <w:ind w:right="-1"/>
              <w:jc w:val="center"/>
              <w:rPr>
                <w:rFonts w:cs="Arial"/>
                <w:szCs w:val="18"/>
                <w:lang w:val="en-GB"/>
              </w:rPr>
            </w:pPr>
            <w:r>
              <w:rPr>
                <w:lang w:val="en-GB"/>
              </w:rPr>
              <w:t>115.15 °C</w:t>
            </w:r>
          </w:p>
          <w:p w14:paraId="13F41766" w14:textId="7D5144C9" w:rsidR="009B775E" w:rsidRDefault="009B775E" w:rsidP="009B775E">
            <w:pPr>
              <w:pStyle w:val="CETBodytext"/>
              <w:ind w:right="-1"/>
              <w:jc w:val="center"/>
              <w:rPr>
                <w:rFonts w:cs="Arial"/>
                <w:szCs w:val="18"/>
                <w:lang w:val="en-GB"/>
              </w:rPr>
            </w:pPr>
            <w:r>
              <w:rPr>
                <w:rFonts w:cs="Arial"/>
                <w:szCs w:val="18"/>
                <w:lang w:val="en-GB"/>
              </w:rPr>
              <w:t>95.65 °C</w:t>
            </w:r>
          </w:p>
        </w:tc>
      </w:tr>
      <w:tr w:rsidR="009B775E" w14:paraId="2B9F23F9" w14:textId="77777777" w:rsidTr="00A273B0">
        <w:tc>
          <w:tcPr>
            <w:tcW w:w="956" w:type="dxa"/>
            <w:tcBorders>
              <w:top w:val="nil"/>
              <w:bottom w:val="single" w:sz="4" w:space="0" w:color="auto"/>
            </w:tcBorders>
            <w:shd w:val="clear" w:color="auto" w:fill="FFFFFF"/>
          </w:tcPr>
          <w:p w14:paraId="25744126" w14:textId="77777777" w:rsidR="009B775E" w:rsidRPr="00B57B36" w:rsidRDefault="009B775E" w:rsidP="009B775E">
            <w:pPr>
              <w:pStyle w:val="CETBodytext"/>
              <w:ind w:right="-1"/>
              <w:jc w:val="center"/>
              <w:rPr>
                <w:rFonts w:cs="Arial"/>
                <w:szCs w:val="18"/>
                <w:lang w:val="en-GB"/>
              </w:rPr>
            </w:pPr>
          </w:p>
        </w:tc>
        <w:tc>
          <w:tcPr>
            <w:tcW w:w="1596" w:type="dxa"/>
            <w:tcBorders>
              <w:top w:val="nil"/>
              <w:bottom w:val="single" w:sz="4" w:space="0" w:color="auto"/>
            </w:tcBorders>
            <w:shd w:val="clear" w:color="auto" w:fill="FFFFFF"/>
          </w:tcPr>
          <w:p w14:paraId="77F40BB8" w14:textId="77777777" w:rsidR="009B775E" w:rsidRDefault="009B775E" w:rsidP="009B775E">
            <w:pPr>
              <w:pStyle w:val="CETBodytext"/>
              <w:jc w:val="center"/>
              <w:rPr>
                <w:lang w:val="en-GB"/>
              </w:rPr>
            </w:pPr>
            <w:r>
              <w:rPr>
                <w:lang w:val="en-GB"/>
              </w:rPr>
              <w:t>6</w:t>
            </w:r>
          </w:p>
        </w:tc>
        <w:tc>
          <w:tcPr>
            <w:tcW w:w="1984" w:type="dxa"/>
            <w:vMerge/>
            <w:tcBorders>
              <w:top w:val="nil"/>
              <w:bottom w:val="single" w:sz="4" w:space="0" w:color="auto"/>
            </w:tcBorders>
            <w:shd w:val="clear" w:color="auto" w:fill="FFFFFF"/>
          </w:tcPr>
          <w:p w14:paraId="68728588" w14:textId="77777777" w:rsidR="009B775E" w:rsidRDefault="009B775E" w:rsidP="009B775E">
            <w:pPr>
              <w:pStyle w:val="CETBodytext"/>
              <w:ind w:right="-1"/>
              <w:jc w:val="center"/>
              <w:rPr>
                <w:rFonts w:cs="Arial"/>
                <w:szCs w:val="18"/>
                <w:lang w:val="en-GB"/>
              </w:rPr>
            </w:pPr>
          </w:p>
        </w:tc>
        <w:tc>
          <w:tcPr>
            <w:tcW w:w="2314" w:type="dxa"/>
            <w:vMerge/>
            <w:tcBorders>
              <w:top w:val="nil"/>
              <w:bottom w:val="single" w:sz="4" w:space="0" w:color="auto"/>
            </w:tcBorders>
            <w:shd w:val="clear" w:color="auto" w:fill="FFFFFF"/>
          </w:tcPr>
          <w:p w14:paraId="0C799DA2" w14:textId="77777777" w:rsidR="009B775E" w:rsidRDefault="009B775E" w:rsidP="009B775E">
            <w:pPr>
              <w:pStyle w:val="CETBodytext"/>
              <w:ind w:right="-1"/>
              <w:jc w:val="center"/>
              <w:rPr>
                <w:rFonts w:cs="Arial"/>
                <w:szCs w:val="18"/>
                <w:lang w:val="en-GB"/>
              </w:rPr>
            </w:pPr>
          </w:p>
        </w:tc>
        <w:tc>
          <w:tcPr>
            <w:tcW w:w="1937" w:type="dxa"/>
            <w:vMerge/>
            <w:tcBorders>
              <w:top w:val="nil"/>
              <w:bottom w:val="single" w:sz="4" w:space="0" w:color="auto"/>
            </w:tcBorders>
            <w:shd w:val="clear" w:color="auto" w:fill="FFFFFF"/>
          </w:tcPr>
          <w:p w14:paraId="30A1008E" w14:textId="77777777" w:rsidR="009B775E" w:rsidRDefault="009B775E" w:rsidP="009B775E">
            <w:pPr>
              <w:pStyle w:val="CETBodytext"/>
              <w:ind w:right="-1"/>
              <w:jc w:val="center"/>
              <w:rPr>
                <w:rFonts w:cs="Arial"/>
                <w:szCs w:val="18"/>
                <w:lang w:val="en-GB"/>
              </w:rPr>
            </w:pPr>
          </w:p>
        </w:tc>
      </w:tr>
      <w:tr w:rsidR="009B775E" w14:paraId="05964D9A" w14:textId="77777777" w:rsidTr="00A273B0">
        <w:tc>
          <w:tcPr>
            <w:tcW w:w="956" w:type="dxa"/>
            <w:tcBorders>
              <w:top w:val="single" w:sz="4" w:space="0" w:color="auto"/>
            </w:tcBorders>
            <w:shd w:val="clear" w:color="auto" w:fill="FFFFFF"/>
          </w:tcPr>
          <w:p w14:paraId="1333DFE0" w14:textId="77777777" w:rsidR="009B775E" w:rsidRPr="00B57B36" w:rsidRDefault="009B775E" w:rsidP="009B775E">
            <w:pPr>
              <w:pStyle w:val="CETBodytext"/>
              <w:ind w:right="-1"/>
              <w:jc w:val="center"/>
              <w:rPr>
                <w:rFonts w:cs="Arial"/>
                <w:szCs w:val="18"/>
                <w:lang w:val="en-GB"/>
              </w:rPr>
            </w:pPr>
            <w:proofErr w:type="spellStart"/>
            <w:proofErr w:type="gramStart"/>
            <w:r>
              <w:rPr>
                <w:rFonts w:cs="Arial"/>
                <w:szCs w:val="18"/>
                <w:lang w:val="en-GB"/>
              </w:rPr>
              <w:t>T</w:t>
            </w:r>
            <w:r w:rsidRPr="00CC71EE">
              <w:rPr>
                <w:rFonts w:cs="Arial"/>
                <w:szCs w:val="18"/>
                <w:vertAlign w:val="subscript"/>
                <w:lang w:val="en-GB"/>
              </w:rPr>
              <w:t>in,cr</w:t>
            </w:r>
            <w:proofErr w:type="spellEnd"/>
            <w:proofErr w:type="gramEnd"/>
          </w:p>
        </w:tc>
        <w:tc>
          <w:tcPr>
            <w:tcW w:w="1596" w:type="dxa"/>
            <w:tcBorders>
              <w:top w:val="single" w:sz="4" w:space="0" w:color="auto"/>
            </w:tcBorders>
            <w:shd w:val="clear" w:color="auto" w:fill="FFFFFF"/>
          </w:tcPr>
          <w:p w14:paraId="482054BD" w14:textId="77777777" w:rsidR="009B775E" w:rsidRDefault="009B775E" w:rsidP="009B775E">
            <w:pPr>
              <w:pStyle w:val="CETBodytext"/>
              <w:jc w:val="center"/>
              <w:rPr>
                <w:lang w:val="en-GB"/>
              </w:rPr>
            </w:pPr>
            <w:r>
              <w:rPr>
                <w:lang w:val="en-GB"/>
              </w:rPr>
              <w:t>0.8</w:t>
            </w:r>
          </w:p>
          <w:p w14:paraId="0C12E79E" w14:textId="77777777" w:rsidR="009B775E" w:rsidRDefault="009B775E" w:rsidP="009B775E">
            <w:pPr>
              <w:pStyle w:val="CETBodytext"/>
              <w:jc w:val="center"/>
              <w:rPr>
                <w:lang w:val="en-GB"/>
              </w:rPr>
            </w:pPr>
            <w:r>
              <w:rPr>
                <w:lang w:val="en-GB"/>
              </w:rPr>
              <w:t>3</w:t>
            </w:r>
          </w:p>
          <w:p w14:paraId="1B5FB1A0" w14:textId="4C4C4AC0" w:rsidR="009B775E" w:rsidRDefault="009B775E" w:rsidP="009B775E">
            <w:pPr>
              <w:pStyle w:val="CETBodytext"/>
              <w:jc w:val="center"/>
              <w:rPr>
                <w:lang w:val="en-GB"/>
              </w:rPr>
            </w:pPr>
            <w:r>
              <w:rPr>
                <w:lang w:val="en-GB"/>
              </w:rPr>
              <w:t>6</w:t>
            </w:r>
          </w:p>
        </w:tc>
        <w:tc>
          <w:tcPr>
            <w:tcW w:w="1984" w:type="dxa"/>
            <w:tcBorders>
              <w:top w:val="single" w:sz="4" w:space="0" w:color="auto"/>
            </w:tcBorders>
            <w:shd w:val="clear" w:color="auto" w:fill="FFFFFF"/>
          </w:tcPr>
          <w:p w14:paraId="713B719F" w14:textId="77777777" w:rsidR="00775306" w:rsidRDefault="00775306" w:rsidP="0064789F">
            <w:pPr>
              <w:pStyle w:val="CETBodytext"/>
              <w:ind w:right="-1"/>
              <w:jc w:val="center"/>
              <w:rPr>
                <w:rFonts w:cs="Arial"/>
                <w:szCs w:val="18"/>
                <w:lang w:val="en-GB"/>
              </w:rPr>
            </w:pPr>
            <w:r>
              <w:rPr>
                <w:rFonts w:cs="Arial"/>
                <w:szCs w:val="18"/>
                <w:lang w:val="en-GB"/>
              </w:rPr>
              <w:t>223.15 °C</w:t>
            </w:r>
          </w:p>
          <w:p w14:paraId="2104290A" w14:textId="559908D3" w:rsidR="0064789F" w:rsidRDefault="00775306" w:rsidP="0064789F">
            <w:pPr>
              <w:pStyle w:val="CETBodytext"/>
              <w:ind w:right="-1"/>
              <w:jc w:val="center"/>
              <w:rPr>
                <w:rFonts w:cs="Arial"/>
                <w:szCs w:val="18"/>
                <w:lang w:val="en-GB"/>
              </w:rPr>
            </w:pPr>
            <w:r>
              <w:rPr>
                <w:rFonts w:cs="Arial"/>
                <w:szCs w:val="18"/>
                <w:lang w:val="en-GB"/>
              </w:rPr>
              <w:t>167.15 °C</w:t>
            </w:r>
          </w:p>
          <w:p w14:paraId="4BE86124" w14:textId="24512DEF" w:rsidR="009B775E" w:rsidRDefault="009B775E" w:rsidP="0064789F">
            <w:pPr>
              <w:pStyle w:val="CETBodytext"/>
              <w:ind w:right="-1"/>
              <w:jc w:val="center"/>
              <w:rPr>
                <w:rFonts w:cs="Arial"/>
                <w:szCs w:val="18"/>
                <w:lang w:val="en-GB"/>
              </w:rPr>
            </w:pPr>
            <w:r>
              <w:rPr>
                <w:rFonts w:cs="Arial"/>
                <w:szCs w:val="18"/>
                <w:lang w:val="en-GB"/>
              </w:rPr>
              <w:t>14</w:t>
            </w:r>
            <w:r w:rsidR="0064789F">
              <w:rPr>
                <w:rFonts w:cs="Arial"/>
                <w:szCs w:val="18"/>
                <w:lang w:val="en-GB"/>
              </w:rPr>
              <w:t>1</w:t>
            </w:r>
            <w:r>
              <w:rPr>
                <w:rFonts w:cs="Arial"/>
                <w:szCs w:val="18"/>
                <w:lang w:val="en-GB"/>
              </w:rPr>
              <w:t xml:space="preserve"> °C</w:t>
            </w:r>
          </w:p>
        </w:tc>
        <w:tc>
          <w:tcPr>
            <w:tcW w:w="2314" w:type="dxa"/>
            <w:tcBorders>
              <w:top w:val="single" w:sz="4" w:space="0" w:color="auto"/>
            </w:tcBorders>
            <w:shd w:val="clear" w:color="auto" w:fill="FFFFFF"/>
          </w:tcPr>
          <w:p w14:paraId="2CE385BC" w14:textId="63823A65" w:rsidR="009B775E" w:rsidRDefault="009B775E" w:rsidP="009B775E">
            <w:pPr>
              <w:pStyle w:val="CETBodytext"/>
              <w:ind w:right="-1"/>
              <w:jc w:val="center"/>
              <w:rPr>
                <w:rFonts w:cs="Arial"/>
                <w:szCs w:val="18"/>
                <w:lang w:val="en-GB"/>
              </w:rPr>
            </w:pPr>
            <w:r>
              <w:rPr>
                <w:rFonts w:cs="Arial"/>
                <w:szCs w:val="18"/>
                <w:lang w:val="en-GB"/>
              </w:rPr>
              <w:t>22</w:t>
            </w:r>
            <w:r w:rsidR="0064789F">
              <w:rPr>
                <w:rFonts w:cs="Arial"/>
                <w:szCs w:val="18"/>
                <w:lang w:val="en-GB"/>
              </w:rPr>
              <w:t>3.15</w:t>
            </w:r>
            <w:r>
              <w:rPr>
                <w:rFonts w:cs="Arial"/>
                <w:szCs w:val="18"/>
                <w:lang w:val="en-GB"/>
              </w:rPr>
              <w:t xml:space="preserve"> °C</w:t>
            </w:r>
          </w:p>
          <w:p w14:paraId="2F8E471A" w14:textId="071DD145" w:rsidR="009B775E" w:rsidRDefault="009B775E" w:rsidP="009B775E">
            <w:pPr>
              <w:pStyle w:val="CETBodytext"/>
              <w:ind w:right="-1"/>
              <w:jc w:val="center"/>
              <w:rPr>
                <w:rFonts w:cs="Arial"/>
                <w:szCs w:val="18"/>
                <w:lang w:val="en-GB"/>
              </w:rPr>
            </w:pPr>
            <w:r>
              <w:rPr>
                <w:rFonts w:cs="Arial"/>
                <w:szCs w:val="18"/>
                <w:lang w:val="en-GB"/>
              </w:rPr>
              <w:t>16</w:t>
            </w:r>
            <w:r w:rsidR="0064789F">
              <w:rPr>
                <w:rFonts w:cs="Arial"/>
                <w:szCs w:val="18"/>
                <w:lang w:val="en-GB"/>
              </w:rPr>
              <w:t>7.15</w:t>
            </w:r>
            <w:r>
              <w:rPr>
                <w:rFonts w:cs="Arial"/>
                <w:szCs w:val="18"/>
                <w:lang w:val="en-GB"/>
              </w:rPr>
              <w:t xml:space="preserve"> °C</w:t>
            </w:r>
          </w:p>
          <w:p w14:paraId="004A8711" w14:textId="6450FC95" w:rsidR="009B775E" w:rsidRDefault="009B775E" w:rsidP="009B775E">
            <w:pPr>
              <w:pStyle w:val="CETBodytext"/>
              <w:ind w:right="-1"/>
              <w:jc w:val="center"/>
              <w:rPr>
                <w:rFonts w:cs="Arial"/>
                <w:szCs w:val="18"/>
                <w:lang w:val="en-GB"/>
              </w:rPr>
            </w:pPr>
            <w:r>
              <w:rPr>
                <w:rFonts w:cs="Arial"/>
                <w:szCs w:val="18"/>
                <w:lang w:val="en-GB"/>
              </w:rPr>
              <w:t>14</w:t>
            </w:r>
            <w:r w:rsidR="0064789F">
              <w:rPr>
                <w:rFonts w:cs="Arial"/>
                <w:szCs w:val="18"/>
                <w:lang w:val="en-GB"/>
              </w:rPr>
              <w:t>1</w:t>
            </w:r>
            <w:r>
              <w:rPr>
                <w:rFonts w:cs="Arial"/>
                <w:szCs w:val="18"/>
                <w:lang w:val="en-GB"/>
              </w:rPr>
              <w:t xml:space="preserve"> °C</w:t>
            </w:r>
          </w:p>
        </w:tc>
        <w:tc>
          <w:tcPr>
            <w:tcW w:w="1937" w:type="dxa"/>
            <w:tcBorders>
              <w:top w:val="single" w:sz="4" w:space="0" w:color="auto"/>
            </w:tcBorders>
            <w:shd w:val="clear" w:color="auto" w:fill="FFFFFF"/>
          </w:tcPr>
          <w:p w14:paraId="462C49C1" w14:textId="7F7B9D8B" w:rsidR="009B775E" w:rsidRDefault="009B775E" w:rsidP="009B775E">
            <w:pPr>
              <w:pStyle w:val="CETBodytext"/>
              <w:ind w:right="-1"/>
              <w:jc w:val="center"/>
              <w:rPr>
                <w:rFonts w:cs="Arial"/>
                <w:szCs w:val="18"/>
                <w:lang w:val="en-GB"/>
              </w:rPr>
            </w:pPr>
            <w:r>
              <w:rPr>
                <w:rFonts w:cs="Arial"/>
                <w:szCs w:val="18"/>
                <w:lang w:val="en-GB"/>
              </w:rPr>
              <w:t>22</w:t>
            </w:r>
            <w:r w:rsidR="00A72B53">
              <w:rPr>
                <w:rFonts w:cs="Arial"/>
                <w:szCs w:val="18"/>
                <w:lang w:val="en-GB"/>
              </w:rPr>
              <w:t>3.15</w:t>
            </w:r>
            <w:r>
              <w:rPr>
                <w:rFonts w:cs="Arial"/>
                <w:szCs w:val="18"/>
                <w:lang w:val="en-GB"/>
              </w:rPr>
              <w:t xml:space="preserve"> °C</w:t>
            </w:r>
          </w:p>
          <w:p w14:paraId="2C163BE5" w14:textId="2A97098B" w:rsidR="009B775E" w:rsidRDefault="009B775E" w:rsidP="009B775E">
            <w:pPr>
              <w:pStyle w:val="CETBodytext"/>
              <w:ind w:right="-1"/>
              <w:jc w:val="center"/>
              <w:rPr>
                <w:rFonts w:cs="Arial"/>
                <w:szCs w:val="18"/>
                <w:lang w:val="en-GB"/>
              </w:rPr>
            </w:pPr>
            <w:r>
              <w:rPr>
                <w:rFonts w:cs="Arial"/>
                <w:szCs w:val="18"/>
                <w:lang w:val="en-GB"/>
              </w:rPr>
              <w:t>16</w:t>
            </w:r>
            <w:r w:rsidR="00A72B53">
              <w:rPr>
                <w:rFonts w:cs="Arial"/>
                <w:szCs w:val="18"/>
                <w:lang w:val="en-GB"/>
              </w:rPr>
              <w:t>7.15</w:t>
            </w:r>
            <w:r>
              <w:rPr>
                <w:rFonts w:cs="Arial"/>
                <w:szCs w:val="18"/>
                <w:lang w:val="en-GB"/>
              </w:rPr>
              <w:t xml:space="preserve"> °C</w:t>
            </w:r>
          </w:p>
          <w:p w14:paraId="6C048CB1" w14:textId="1AD030AE" w:rsidR="009B775E" w:rsidRDefault="009B775E" w:rsidP="009B775E">
            <w:pPr>
              <w:pStyle w:val="CETBodytext"/>
              <w:ind w:right="-1"/>
              <w:jc w:val="center"/>
              <w:rPr>
                <w:rFonts w:cs="Arial"/>
                <w:szCs w:val="18"/>
                <w:lang w:val="en-GB"/>
              </w:rPr>
            </w:pPr>
            <w:r>
              <w:rPr>
                <w:rFonts w:cs="Arial"/>
                <w:szCs w:val="18"/>
                <w:lang w:val="en-GB"/>
              </w:rPr>
              <w:t>14</w:t>
            </w:r>
            <w:r w:rsidR="00A72B53">
              <w:rPr>
                <w:rFonts w:cs="Arial"/>
                <w:szCs w:val="18"/>
                <w:lang w:val="en-GB"/>
              </w:rPr>
              <w:t>1</w:t>
            </w:r>
            <w:r>
              <w:rPr>
                <w:rFonts w:cs="Arial"/>
                <w:szCs w:val="18"/>
                <w:lang w:val="en-GB"/>
              </w:rPr>
              <w:t xml:space="preserve"> °C</w:t>
            </w:r>
          </w:p>
        </w:tc>
      </w:tr>
    </w:tbl>
    <w:p w14:paraId="442BD74F" w14:textId="7A7DDE8B" w:rsidR="00F62B99" w:rsidRDefault="002A4901" w:rsidP="00AC7BB4">
      <w:pPr>
        <w:pStyle w:val="CETBodytext"/>
        <w:spacing w:before="240"/>
        <w:rPr>
          <w:lang w:val="en-GB"/>
        </w:rPr>
      </w:pPr>
      <w:r>
        <w:rPr>
          <w:lang w:val="en-GB"/>
        </w:rPr>
        <w:t>As observed with the 1-D model sensitivity analysis</w:t>
      </w:r>
      <w:r w:rsidR="00C21901" w:rsidRPr="00F62B99">
        <w:rPr>
          <w:lang w:val="en-GB"/>
        </w:rPr>
        <w:t xml:space="preserve">, increasing the diameter of the reactor </w:t>
      </w:r>
      <w:r w:rsidR="00525222">
        <w:rPr>
          <w:lang w:val="en-GB"/>
        </w:rPr>
        <w:t>implied</w:t>
      </w:r>
      <w:r w:rsidR="00C21901" w:rsidRPr="00F62B99">
        <w:rPr>
          <w:lang w:val="en-GB"/>
        </w:rPr>
        <w:t xml:space="preserve"> </w:t>
      </w:r>
      <w:r w:rsidR="00525222">
        <w:rPr>
          <w:lang w:val="en-GB"/>
        </w:rPr>
        <w:t xml:space="preserve">a shift </w:t>
      </w:r>
      <w:r w:rsidR="00974309">
        <w:rPr>
          <w:lang w:val="en-GB"/>
        </w:rPr>
        <w:t>of the RB</w:t>
      </w:r>
      <w:r w:rsidR="00C21901" w:rsidRPr="00F62B99">
        <w:rPr>
          <w:lang w:val="en-GB"/>
        </w:rPr>
        <w:t xml:space="preserve"> towards less conservative values. </w:t>
      </w:r>
      <w:r w:rsidR="00E6409E" w:rsidRPr="00F62B99">
        <w:rPr>
          <w:lang w:val="en-GB"/>
        </w:rPr>
        <w:t xml:space="preserve">This trend is justified by the values of the </w:t>
      </w:r>
      <w:r w:rsidR="00E6409E">
        <w:rPr>
          <w:lang w:val="en-GB"/>
        </w:rPr>
        <w:t xml:space="preserve">overall heat transfer </w:t>
      </w:r>
      <w:r w:rsidR="00E6409E" w:rsidRPr="00F62B99">
        <w:rPr>
          <w:lang w:val="en-GB"/>
        </w:rPr>
        <w:t xml:space="preserve">coefficient, which </w:t>
      </w:r>
      <w:r w:rsidR="003A1BF6">
        <w:rPr>
          <w:lang w:val="en-GB"/>
        </w:rPr>
        <w:t>were</w:t>
      </w:r>
      <w:r w:rsidR="00E6409E" w:rsidRPr="00F62B99">
        <w:rPr>
          <w:lang w:val="en-GB"/>
        </w:rPr>
        <w:t xml:space="preserve"> reported in </w:t>
      </w:r>
      <w:r w:rsidR="00E6409E" w:rsidRPr="004926D1">
        <w:rPr>
          <w:lang w:val="en-GB"/>
        </w:rPr>
        <w:t xml:space="preserve">Table </w:t>
      </w:r>
      <w:r w:rsidR="00A72B53">
        <w:rPr>
          <w:lang w:val="en-GB"/>
        </w:rPr>
        <w:t>2</w:t>
      </w:r>
      <w:r w:rsidR="00E6409E" w:rsidRPr="00F62B99">
        <w:rPr>
          <w:lang w:val="en-GB"/>
        </w:rPr>
        <w:t>. Larger diameter values correspond</w:t>
      </w:r>
      <w:r w:rsidR="003A1BF6">
        <w:rPr>
          <w:lang w:val="en-GB"/>
        </w:rPr>
        <w:t>ed</w:t>
      </w:r>
      <w:r w:rsidR="00E6409E" w:rsidRPr="00F62B99">
        <w:rPr>
          <w:lang w:val="en-GB"/>
        </w:rPr>
        <w:t xml:space="preserve"> to lower </w:t>
      </w:r>
      <w:r w:rsidR="003A1BF6">
        <w:rPr>
          <w:lang w:val="en-GB"/>
        </w:rPr>
        <w:t xml:space="preserve">heat </w:t>
      </w:r>
      <w:r w:rsidR="00E6409E" w:rsidRPr="00F62B99">
        <w:rPr>
          <w:lang w:val="en-GB"/>
        </w:rPr>
        <w:t>exchange efficiency, due to the reduced surface-to-volume ratio. This result suggest</w:t>
      </w:r>
      <w:r w:rsidR="003A1BF6">
        <w:rPr>
          <w:lang w:val="en-GB"/>
        </w:rPr>
        <w:t>s</w:t>
      </w:r>
      <w:r w:rsidR="00E6409E" w:rsidRPr="00F62B99">
        <w:rPr>
          <w:lang w:val="en-GB"/>
        </w:rPr>
        <w:t xml:space="preserve"> the choice of reactors with smaller diameters </w:t>
      </w:r>
      <w:r w:rsidR="003A1BF6">
        <w:rPr>
          <w:lang w:val="en-GB"/>
        </w:rPr>
        <w:t>because they</w:t>
      </w:r>
      <w:r w:rsidR="00E6409E" w:rsidRPr="00F62B99">
        <w:rPr>
          <w:lang w:val="en-GB"/>
        </w:rPr>
        <w:t xml:space="preserve"> can tolerate </w:t>
      </w:r>
      <w:r w:rsidR="003A1BF6">
        <w:rPr>
          <w:lang w:val="en-GB"/>
        </w:rPr>
        <w:t xml:space="preserve">safely </w:t>
      </w:r>
      <w:r w:rsidR="00E6409E" w:rsidRPr="00F62B99">
        <w:rPr>
          <w:lang w:val="en-GB"/>
        </w:rPr>
        <w:t xml:space="preserve">higher wall temperatures. </w:t>
      </w:r>
      <w:r w:rsidR="005F7606">
        <w:rPr>
          <w:lang w:val="en-GB"/>
        </w:rPr>
        <w:t>It is worth to notice that a</w:t>
      </w:r>
      <w:r w:rsidR="00E6409E" w:rsidRPr="00F62B99">
        <w:rPr>
          <w:lang w:val="en-GB"/>
        </w:rPr>
        <w:t>ll the temperatures considered are compatible with the use of silicone oil as heat transfer fluid and Teflon AF 2400</w:t>
      </w:r>
      <w:r w:rsidR="00E6409E" w:rsidRPr="004B59BA">
        <w:rPr>
          <w:lang w:val="en-GB"/>
        </w:rPr>
        <w:t>®</w:t>
      </w:r>
      <w:r w:rsidR="00E6409E" w:rsidRPr="00F62B99">
        <w:rPr>
          <w:lang w:val="en-GB"/>
        </w:rPr>
        <w:t xml:space="preserve"> material </w:t>
      </w:r>
      <w:r w:rsidR="003C78F3">
        <w:rPr>
          <w:lang w:val="en-GB"/>
        </w:rPr>
        <w:t>has reactor material</w:t>
      </w:r>
      <w:r w:rsidR="00E6409E" w:rsidRPr="00F62B99">
        <w:rPr>
          <w:lang w:val="en-GB"/>
        </w:rPr>
        <w:t>.</w:t>
      </w:r>
      <w:r w:rsidR="003C78F3">
        <w:rPr>
          <w:lang w:val="en-GB"/>
        </w:rPr>
        <w:t xml:space="preserve"> </w:t>
      </w:r>
      <w:r w:rsidR="00A96551">
        <w:rPr>
          <w:lang w:val="en-GB"/>
        </w:rPr>
        <w:t>Moreover, c</w:t>
      </w:r>
      <w:r w:rsidR="000A21CA">
        <w:rPr>
          <w:lang w:val="en-GB"/>
        </w:rPr>
        <w:t xml:space="preserve">oncerning the absolute values of the </w:t>
      </w:r>
      <w:r w:rsidR="00CE301F">
        <w:rPr>
          <w:lang w:val="en-GB"/>
        </w:rPr>
        <w:t xml:space="preserve">critical </w:t>
      </w:r>
      <w:r w:rsidR="00C21901" w:rsidRPr="00F62B99">
        <w:rPr>
          <w:lang w:val="en-GB"/>
        </w:rPr>
        <w:t>wall temperature</w:t>
      </w:r>
      <w:r w:rsidR="000A21CA">
        <w:rPr>
          <w:lang w:val="en-GB"/>
        </w:rPr>
        <w:t xml:space="preserve">, </w:t>
      </w:r>
      <w:r w:rsidR="00722C67">
        <w:rPr>
          <w:lang w:val="en-GB"/>
        </w:rPr>
        <w:t xml:space="preserve">it is possible to observe that </w:t>
      </w:r>
      <w:r w:rsidR="00206810">
        <w:rPr>
          <w:lang w:val="en-GB"/>
        </w:rPr>
        <w:t xml:space="preserve">the </w:t>
      </w:r>
      <w:r w:rsidR="0095323C">
        <w:rPr>
          <w:lang w:val="en-GB"/>
        </w:rPr>
        <w:t>presence</w:t>
      </w:r>
      <w:r w:rsidR="00206810">
        <w:rPr>
          <w:lang w:val="en-GB"/>
        </w:rPr>
        <w:t xml:space="preserve"> of radial </w:t>
      </w:r>
      <w:r w:rsidR="0095323C">
        <w:rPr>
          <w:lang w:val="en-GB"/>
        </w:rPr>
        <w:t xml:space="preserve">heat and material </w:t>
      </w:r>
      <w:r w:rsidR="00206810">
        <w:rPr>
          <w:lang w:val="en-GB"/>
        </w:rPr>
        <w:t xml:space="preserve">dispersion </w:t>
      </w:r>
      <w:r w:rsidR="00974309">
        <w:rPr>
          <w:lang w:val="en-GB"/>
        </w:rPr>
        <w:t>leads to more conservative estimation of the RB</w:t>
      </w:r>
      <w:r w:rsidR="005D14B2">
        <w:rPr>
          <w:lang w:val="en-GB"/>
        </w:rPr>
        <w:t xml:space="preserve">; </w:t>
      </w:r>
      <w:r w:rsidR="006969C3">
        <w:rPr>
          <w:lang w:val="en-GB"/>
        </w:rPr>
        <w:t>consequently</w:t>
      </w:r>
      <w:r w:rsidR="005D14B2">
        <w:rPr>
          <w:lang w:val="en-GB"/>
        </w:rPr>
        <w:t xml:space="preserve">, </w:t>
      </w:r>
      <w:r w:rsidR="00362307">
        <w:rPr>
          <w:lang w:val="en-GB"/>
        </w:rPr>
        <w:t xml:space="preserve">optimal and </w:t>
      </w:r>
      <w:r w:rsidR="005D14B2">
        <w:rPr>
          <w:lang w:val="en-GB"/>
        </w:rPr>
        <w:t xml:space="preserve">safe operating conditions </w:t>
      </w:r>
      <w:r w:rsidR="00BA32E4">
        <w:rPr>
          <w:lang w:val="en-GB"/>
        </w:rPr>
        <w:t xml:space="preserve">must be chosen </w:t>
      </w:r>
      <w:r w:rsidR="00B66321">
        <w:rPr>
          <w:lang w:val="en-GB"/>
        </w:rPr>
        <w:t>considering</w:t>
      </w:r>
      <w:r w:rsidR="00BA32E4">
        <w:rPr>
          <w:lang w:val="en-GB"/>
        </w:rPr>
        <w:t xml:space="preserve"> the </w:t>
      </w:r>
      <w:r w:rsidR="00974309">
        <w:rPr>
          <w:lang w:val="en-GB"/>
        </w:rPr>
        <w:t xml:space="preserve">possible </w:t>
      </w:r>
      <w:r w:rsidR="00BA32E4">
        <w:rPr>
          <w:lang w:val="en-GB"/>
        </w:rPr>
        <w:t xml:space="preserve">presence of such dispersions. </w:t>
      </w:r>
      <w:r w:rsidR="00C21901" w:rsidRPr="00F62B99">
        <w:rPr>
          <w:lang w:val="en-GB"/>
        </w:rPr>
        <w:t xml:space="preserve">The trends obtained for the sensitivity </w:t>
      </w:r>
      <w:r w:rsidR="005470D1">
        <w:rPr>
          <w:lang w:val="en-GB"/>
        </w:rPr>
        <w:t>analysis with respect to</w:t>
      </w:r>
      <w:r w:rsidR="00C21901" w:rsidRPr="00F62B99">
        <w:rPr>
          <w:lang w:val="en-GB"/>
        </w:rPr>
        <w:t xml:space="preserve"> the wall temperature </w:t>
      </w:r>
      <w:r w:rsidR="00120DF3">
        <w:rPr>
          <w:lang w:val="en-GB"/>
        </w:rPr>
        <w:t>were</w:t>
      </w:r>
      <w:r w:rsidR="00C21901" w:rsidRPr="00F62B99">
        <w:rPr>
          <w:lang w:val="en-GB"/>
        </w:rPr>
        <w:t xml:space="preserve"> also confirmed for the inlet temperature. </w:t>
      </w:r>
      <w:r w:rsidR="00120DF3">
        <w:rPr>
          <w:lang w:val="en-GB"/>
        </w:rPr>
        <w:t xml:space="preserve">It was also confirmed the general trend according to which the 2-D model is </w:t>
      </w:r>
      <w:r w:rsidR="00EB7A39">
        <w:rPr>
          <w:lang w:val="en-GB"/>
        </w:rPr>
        <w:t xml:space="preserve">more conservative with respect to the 1-D model. </w:t>
      </w:r>
      <w:r w:rsidR="005234EC">
        <w:rPr>
          <w:lang w:val="en-GB"/>
        </w:rPr>
        <w:t xml:space="preserve">As previously done for the 1-D model, </w:t>
      </w:r>
      <w:r w:rsidR="00D05EDF">
        <w:rPr>
          <w:lang w:val="en-GB"/>
        </w:rPr>
        <w:t>it was decided to use</w:t>
      </w:r>
      <w:r w:rsidR="00D05EDF" w:rsidRPr="00F62B99">
        <w:rPr>
          <w:lang w:val="en-GB"/>
        </w:rPr>
        <w:t xml:space="preserve"> 25 °C (ambient temperature) </w:t>
      </w:r>
      <w:r w:rsidR="00D05EDF">
        <w:rPr>
          <w:lang w:val="en-GB"/>
        </w:rPr>
        <w:t xml:space="preserve">as inlet temperature and the maximum safe </w:t>
      </w:r>
      <w:r w:rsidR="00D05EDF" w:rsidRPr="009944C0">
        <w:rPr>
          <w:i/>
          <w:iCs/>
          <w:lang w:val="en-GB"/>
        </w:rPr>
        <w:t>T</w:t>
      </w:r>
      <w:r w:rsidR="00D05EDF" w:rsidRPr="009944C0">
        <w:rPr>
          <w:i/>
          <w:iCs/>
          <w:vertAlign w:val="subscript"/>
          <w:lang w:val="en-GB"/>
        </w:rPr>
        <w:t>w</w:t>
      </w:r>
      <w:r w:rsidR="00D05EDF" w:rsidRPr="00F62B99">
        <w:rPr>
          <w:lang w:val="en-GB"/>
        </w:rPr>
        <w:t xml:space="preserve"> </w:t>
      </w:r>
      <w:r w:rsidR="00D05EDF">
        <w:rPr>
          <w:lang w:val="en-GB"/>
        </w:rPr>
        <w:t xml:space="preserve">for each diameter and flowrate to </w:t>
      </w:r>
      <w:r w:rsidR="00D05EDF">
        <w:rPr>
          <w:lang w:val="en-GB"/>
        </w:rPr>
        <w:lastRenderedPageBreak/>
        <w:t>calculate</w:t>
      </w:r>
      <w:r w:rsidR="00D05EDF" w:rsidRPr="00F62B99">
        <w:rPr>
          <w:lang w:val="en-GB"/>
        </w:rPr>
        <w:t xml:space="preserve"> the </w:t>
      </w:r>
      <w:r w:rsidR="00D05EDF">
        <w:rPr>
          <w:lang w:val="en-GB"/>
        </w:rPr>
        <w:t xml:space="preserve">reactor </w:t>
      </w:r>
      <w:r w:rsidR="00D05EDF" w:rsidRPr="00F62B99">
        <w:rPr>
          <w:lang w:val="en-GB"/>
        </w:rPr>
        <w:t xml:space="preserve">lengths necessary to obtain conversions equal to 90% and 95%. The results obtained are shown in </w:t>
      </w:r>
      <w:r w:rsidR="00D05EDF">
        <w:rPr>
          <w:lang w:val="en-GB"/>
        </w:rPr>
        <w:t xml:space="preserve">Table </w:t>
      </w:r>
      <w:r w:rsidR="00F7219F">
        <w:rPr>
          <w:lang w:val="en-GB"/>
        </w:rPr>
        <w:t>6</w:t>
      </w:r>
      <w:r w:rsidR="00D05EDF" w:rsidRPr="00F62B99">
        <w:rPr>
          <w:lang w:val="en-GB"/>
        </w:rPr>
        <w:t>.</w:t>
      </w:r>
    </w:p>
    <w:p w14:paraId="7F9A5F41" w14:textId="32E865AC" w:rsidR="00C328D8" w:rsidRDefault="00C328D8" w:rsidP="00C328D8">
      <w:pPr>
        <w:pStyle w:val="CETTabletitle"/>
      </w:pPr>
      <w:r w:rsidRPr="00B57B36">
        <w:t xml:space="preserve">Table </w:t>
      </w:r>
      <w:r w:rsidR="00F7219F">
        <w:t>6</w:t>
      </w:r>
      <w:r w:rsidRPr="00B57B36">
        <w:t xml:space="preserve">: </w:t>
      </w:r>
      <w:r w:rsidRPr="006203CE">
        <w:t xml:space="preserve">Reactor lengths </w:t>
      </w:r>
      <w:r w:rsidR="00D05EDF">
        <w:t xml:space="preserve">for </w:t>
      </w:r>
      <w:r w:rsidRPr="006203CE">
        <w:t>90</w:t>
      </w:r>
      <w:r w:rsidR="00DE2BA5">
        <w:t>-</w:t>
      </w:r>
      <w:r w:rsidRPr="006203CE">
        <w:t xml:space="preserve">95% conversions </w:t>
      </w:r>
      <w:r w:rsidR="00587FB6">
        <w:t>using</w:t>
      </w:r>
      <w:r w:rsidRPr="006203CE">
        <w:t xml:space="preserve"> different configurations (</w:t>
      </w:r>
      <w:r>
        <w:t>2</w:t>
      </w:r>
      <w:r w:rsidR="00587FB6">
        <w:t>-</w:t>
      </w:r>
      <w:r w:rsidRPr="006203CE">
        <w:t>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7"/>
        <w:gridCol w:w="1062"/>
        <w:gridCol w:w="950"/>
        <w:gridCol w:w="992"/>
        <w:gridCol w:w="1367"/>
        <w:gridCol w:w="1043"/>
        <w:gridCol w:w="60"/>
        <w:gridCol w:w="932"/>
        <w:gridCol w:w="1274"/>
      </w:tblGrid>
      <w:tr w:rsidR="00AC3435" w:rsidRPr="00B57B36" w14:paraId="5F186A1F" w14:textId="77777777" w:rsidTr="00A273B0">
        <w:tc>
          <w:tcPr>
            <w:tcW w:w="1107" w:type="dxa"/>
            <w:tcBorders>
              <w:top w:val="single" w:sz="12" w:space="0" w:color="008000"/>
              <w:bottom w:val="single" w:sz="6" w:space="0" w:color="008000"/>
            </w:tcBorders>
            <w:shd w:val="clear" w:color="auto" w:fill="FFFFFF"/>
          </w:tcPr>
          <w:p w14:paraId="1709B733" w14:textId="77777777" w:rsidR="00AC3435" w:rsidRPr="00B57B36" w:rsidRDefault="00AC3435" w:rsidP="00A273B0">
            <w:pPr>
              <w:pStyle w:val="CETBodytext"/>
              <w:rPr>
                <w:lang w:val="en-GB"/>
              </w:rPr>
            </w:pPr>
            <w:r>
              <w:rPr>
                <w:lang w:val="en-GB"/>
              </w:rPr>
              <w:t>Diameter [mm]</w:t>
            </w:r>
          </w:p>
        </w:tc>
        <w:tc>
          <w:tcPr>
            <w:tcW w:w="1062" w:type="dxa"/>
            <w:tcBorders>
              <w:top w:val="single" w:sz="12" w:space="0" w:color="008000"/>
              <w:bottom w:val="single" w:sz="6" w:space="0" w:color="008000"/>
            </w:tcBorders>
            <w:shd w:val="clear" w:color="auto" w:fill="FFFFFF"/>
          </w:tcPr>
          <w:p w14:paraId="6AC5F013" w14:textId="77777777" w:rsidR="00AC3435" w:rsidRDefault="00AC3435" w:rsidP="00A273B0">
            <w:pPr>
              <w:pStyle w:val="CETBodytext"/>
              <w:rPr>
                <w:lang w:val="en-GB"/>
              </w:rPr>
            </w:pPr>
            <w:r>
              <w:rPr>
                <w:lang w:val="en-GB"/>
              </w:rPr>
              <w:t>Tw</w:t>
            </w:r>
          </w:p>
          <w:p w14:paraId="4697ECDB" w14:textId="77777777" w:rsidR="00AC3435" w:rsidRDefault="00AC3435" w:rsidP="00A273B0">
            <w:pPr>
              <w:pStyle w:val="CETBodytext"/>
              <w:rPr>
                <w:lang w:val="en-GB"/>
              </w:rPr>
            </w:pPr>
            <w:r>
              <w:rPr>
                <w:lang w:val="en-GB"/>
              </w:rPr>
              <w:t>[°C]</w:t>
            </w:r>
          </w:p>
        </w:tc>
        <w:tc>
          <w:tcPr>
            <w:tcW w:w="1942" w:type="dxa"/>
            <w:gridSpan w:val="2"/>
            <w:tcBorders>
              <w:top w:val="single" w:sz="12" w:space="0" w:color="008000"/>
              <w:bottom w:val="single" w:sz="6" w:space="0" w:color="008000"/>
            </w:tcBorders>
            <w:shd w:val="clear" w:color="auto" w:fill="FFFFFF"/>
          </w:tcPr>
          <w:p w14:paraId="4D667363" w14:textId="77777777" w:rsidR="00AC3435" w:rsidRDefault="00AC3435" w:rsidP="00A273B0">
            <w:pPr>
              <w:pStyle w:val="CETBodytext"/>
              <w:jc w:val="left"/>
              <w:rPr>
                <w:lang w:val="en-GB"/>
              </w:rPr>
            </w:pPr>
            <w:r>
              <w:rPr>
                <w:lang w:val="en-GB"/>
              </w:rPr>
              <w:t>F</w:t>
            </w:r>
            <w:r w:rsidRPr="00462C51">
              <w:rPr>
                <w:vertAlign w:val="subscript"/>
                <w:lang w:val="en-GB"/>
              </w:rPr>
              <w:t>max</w:t>
            </w:r>
            <w:r>
              <w:rPr>
                <w:lang w:val="en-GB"/>
              </w:rPr>
              <w:t>=1 mL/min</w:t>
            </w:r>
          </w:p>
          <w:p w14:paraId="6E657108" w14:textId="77777777" w:rsidR="00AC3435" w:rsidRDefault="00AC3435" w:rsidP="00A273B0">
            <w:pPr>
              <w:pStyle w:val="CETBodytext"/>
              <w:jc w:val="center"/>
              <w:rPr>
                <w:lang w:val="en-GB"/>
              </w:rPr>
            </w:pPr>
          </w:p>
        </w:tc>
        <w:tc>
          <w:tcPr>
            <w:tcW w:w="2410" w:type="dxa"/>
            <w:gridSpan w:val="2"/>
            <w:tcBorders>
              <w:top w:val="single" w:sz="12" w:space="0" w:color="008000"/>
              <w:bottom w:val="single" w:sz="6" w:space="0" w:color="008000"/>
            </w:tcBorders>
            <w:shd w:val="clear" w:color="auto" w:fill="FFFFFF"/>
          </w:tcPr>
          <w:p w14:paraId="44AE3877" w14:textId="77777777" w:rsidR="00AC3435" w:rsidRDefault="00AC3435" w:rsidP="00A273B0">
            <w:pPr>
              <w:pStyle w:val="CETBodytext"/>
              <w:jc w:val="left"/>
              <w:rPr>
                <w:lang w:val="en-GB"/>
              </w:rPr>
            </w:pPr>
            <w:r>
              <w:rPr>
                <w:lang w:val="en-GB"/>
              </w:rPr>
              <w:t>F</w:t>
            </w:r>
            <w:r w:rsidRPr="00462C51">
              <w:rPr>
                <w:vertAlign w:val="subscript"/>
                <w:lang w:val="en-GB"/>
              </w:rPr>
              <w:t>max</w:t>
            </w:r>
            <w:r>
              <w:rPr>
                <w:lang w:val="en-GB"/>
              </w:rPr>
              <w:t>=4 mL/min</w:t>
            </w:r>
          </w:p>
          <w:p w14:paraId="6AB9111C" w14:textId="77777777" w:rsidR="00AC3435" w:rsidRDefault="00AC3435" w:rsidP="00A273B0">
            <w:pPr>
              <w:pStyle w:val="CETBodytext"/>
              <w:rPr>
                <w:lang w:val="en-GB"/>
              </w:rPr>
            </w:pPr>
          </w:p>
        </w:tc>
        <w:tc>
          <w:tcPr>
            <w:tcW w:w="2266" w:type="dxa"/>
            <w:gridSpan w:val="3"/>
            <w:tcBorders>
              <w:top w:val="single" w:sz="12" w:space="0" w:color="008000"/>
              <w:bottom w:val="single" w:sz="6" w:space="0" w:color="008000"/>
            </w:tcBorders>
            <w:shd w:val="clear" w:color="auto" w:fill="FFFFFF"/>
          </w:tcPr>
          <w:p w14:paraId="58D23DE1" w14:textId="77777777" w:rsidR="00AC3435" w:rsidRDefault="00AC3435" w:rsidP="00A273B0">
            <w:pPr>
              <w:pStyle w:val="CETBodytext"/>
              <w:jc w:val="left"/>
              <w:rPr>
                <w:lang w:val="en-GB"/>
              </w:rPr>
            </w:pPr>
            <w:r>
              <w:rPr>
                <w:lang w:val="en-GB"/>
              </w:rPr>
              <w:t>F</w:t>
            </w:r>
            <w:r w:rsidRPr="00462C51">
              <w:rPr>
                <w:vertAlign w:val="subscript"/>
                <w:lang w:val="en-GB"/>
              </w:rPr>
              <w:t>max</w:t>
            </w:r>
            <w:r>
              <w:rPr>
                <w:lang w:val="en-GB"/>
              </w:rPr>
              <w:t>=10 mL/min</w:t>
            </w:r>
          </w:p>
          <w:p w14:paraId="149CD15C" w14:textId="77777777" w:rsidR="00AC3435" w:rsidRDefault="00AC3435" w:rsidP="00A273B0">
            <w:pPr>
              <w:pStyle w:val="CETBodytext"/>
              <w:rPr>
                <w:lang w:val="en-GB"/>
              </w:rPr>
            </w:pPr>
          </w:p>
        </w:tc>
      </w:tr>
      <w:tr w:rsidR="00AC3435" w:rsidRPr="00B57B36" w14:paraId="36DFFF68" w14:textId="77777777" w:rsidTr="00A273B0">
        <w:tc>
          <w:tcPr>
            <w:tcW w:w="1107" w:type="dxa"/>
            <w:tcBorders>
              <w:top w:val="single" w:sz="6" w:space="0" w:color="008000"/>
              <w:bottom w:val="single" w:sz="4" w:space="0" w:color="auto"/>
            </w:tcBorders>
            <w:shd w:val="clear" w:color="auto" w:fill="FFFFFF"/>
          </w:tcPr>
          <w:p w14:paraId="46AC0DD7" w14:textId="77777777" w:rsidR="00AC3435" w:rsidRDefault="00AC3435" w:rsidP="00A273B0">
            <w:pPr>
              <w:pStyle w:val="CETBodytext"/>
              <w:rPr>
                <w:lang w:val="en-GB"/>
              </w:rPr>
            </w:pPr>
          </w:p>
        </w:tc>
        <w:tc>
          <w:tcPr>
            <w:tcW w:w="1062" w:type="dxa"/>
            <w:tcBorders>
              <w:top w:val="single" w:sz="6" w:space="0" w:color="008000"/>
              <w:bottom w:val="single" w:sz="4" w:space="0" w:color="auto"/>
            </w:tcBorders>
            <w:shd w:val="clear" w:color="auto" w:fill="FFFFFF"/>
          </w:tcPr>
          <w:p w14:paraId="519BBE22" w14:textId="77777777" w:rsidR="00AC3435" w:rsidRDefault="00AC3435" w:rsidP="00A273B0">
            <w:pPr>
              <w:pStyle w:val="CETBodytext"/>
              <w:rPr>
                <w:lang w:val="en-GB"/>
              </w:rPr>
            </w:pPr>
          </w:p>
        </w:tc>
        <w:tc>
          <w:tcPr>
            <w:tcW w:w="950" w:type="dxa"/>
            <w:tcBorders>
              <w:top w:val="single" w:sz="6" w:space="0" w:color="008000"/>
              <w:bottom w:val="single" w:sz="4" w:space="0" w:color="auto"/>
            </w:tcBorders>
            <w:shd w:val="clear" w:color="auto" w:fill="FFFFFF"/>
          </w:tcPr>
          <w:p w14:paraId="5ED9EDB3" w14:textId="77777777" w:rsidR="00AC3435" w:rsidRDefault="00AC3435" w:rsidP="00A273B0">
            <w:pPr>
              <w:pStyle w:val="CETBodytext"/>
              <w:rPr>
                <w:lang w:val="en-GB"/>
              </w:rPr>
            </w:pPr>
            <w:r>
              <w:rPr>
                <w:lang w:val="en-GB"/>
              </w:rPr>
              <w:t>90%</w:t>
            </w:r>
          </w:p>
        </w:tc>
        <w:tc>
          <w:tcPr>
            <w:tcW w:w="992" w:type="dxa"/>
            <w:tcBorders>
              <w:top w:val="single" w:sz="6" w:space="0" w:color="008000"/>
              <w:bottom w:val="single" w:sz="4" w:space="0" w:color="auto"/>
            </w:tcBorders>
            <w:shd w:val="clear" w:color="auto" w:fill="FFFFFF"/>
          </w:tcPr>
          <w:p w14:paraId="6980D393" w14:textId="77777777" w:rsidR="00AC3435" w:rsidRDefault="00AC3435" w:rsidP="00A273B0">
            <w:pPr>
              <w:pStyle w:val="CETBodytext"/>
              <w:rPr>
                <w:lang w:val="en-GB"/>
              </w:rPr>
            </w:pPr>
            <w:r>
              <w:rPr>
                <w:lang w:val="en-GB"/>
              </w:rPr>
              <w:t>95%</w:t>
            </w:r>
          </w:p>
        </w:tc>
        <w:tc>
          <w:tcPr>
            <w:tcW w:w="1367" w:type="dxa"/>
            <w:tcBorders>
              <w:top w:val="single" w:sz="6" w:space="0" w:color="008000"/>
              <w:bottom w:val="single" w:sz="4" w:space="0" w:color="auto"/>
            </w:tcBorders>
            <w:shd w:val="clear" w:color="auto" w:fill="FFFFFF"/>
          </w:tcPr>
          <w:p w14:paraId="0E41AFA8" w14:textId="77777777" w:rsidR="00AC3435" w:rsidRDefault="00AC3435" w:rsidP="00A273B0">
            <w:pPr>
              <w:pStyle w:val="CETBodytext"/>
              <w:rPr>
                <w:lang w:val="en-GB"/>
              </w:rPr>
            </w:pPr>
            <w:r>
              <w:rPr>
                <w:lang w:val="en-GB"/>
              </w:rPr>
              <w:t>90%</w:t>
            </w:r>
          </w:p>
        </w:tc>
        <w:tc>
          <w:tcPr>
            <w:tcW w:w="1103" w:type="dxa"/>
            <w:gridSpan w:val="2"/>
            <w:tcBorders>
              <w:top w:val="single" w:sz="6" w:space="0" w:color="008000"/>
              <w:bottom w:val="single" w:sz="4" w:space="0" w:color="auto"/>
            </w:tcBorders>
            <w:shd w:val="clear" w:color="auto" w:fill="FFFFFF"/>
          </w:tcPr>
          <w:p w14:paraId="08FC802C" w14:textId="77777777" w:rsidR="00AC3435" w:rsidRDefault="00AC3435" w:rsidP="00A273B0">
            <w:pPr>
              <w:pStyle w:val="CETBodytext"/>
              <w:rPr>
                <w:lang w:val="en-GB"/>
              </w:rPr>
            </w:pPr>
            <w:r>
              <w:rPr>
                <w:lang w:val="en-GB"/>
              </w:rPr>
              <w:t>95%</w:t>
            </w:r>
          </w:p>
        </w:tc>
        <w:tc>
          <w:tcPr>
            <w:tcW w:w="932" w:type="dxa"/>
            <w:tcBorders>
              <w:top w:val="single" w:sz="6" w:space="0" w:color="008000"/>
              <w:bottom w:val="single" w:sz="4" w:space="0" w:color="auto"/>
            </w:tcBorders>
            <w:shd w:val="clear" w:color="auto" w:fill="FFFFFF"/>
          </w:tcPr>
          <w:p w14:paraId="59CDDE0B" w14:textId="77777777" w:rsidR="00AC3435" w:rsidRDefault="00AC3435" w:rsidP="00A273B0">
            <w:pPr>
              <w:pStyle w:val="CETBodytext"/>
              <w:rPr>
                <w:lang w:val="en-GB"/>
              </w:rPr>
            </w:pPr>
            <w:r>
              <w:rPr>
                <w:lang w:val="en-GB"/>
              </w:rPr>
              <w:t>90%</w:t>
            </w:r>
          </w:p>
        </w:tc>
        <w:tc>
          <w:tcPr>
            <w:tcW w:w="1274" w:type="dxa"/>
            <w:tcBorders>
              <w:top w:val="single" w:sz="6" w:space="0" w:color="008000"/>
              <w:bottom w:val="single" w:sz="4" w:space="0" w:color="auto"/>
            </w:tcBorders>
            <w:shd w:val="clear" w:color="auto" w:fill="FFFFFF"/>
          </w:tcPr>
          <w:p w14:paraId="49CC1F77" w14:textId="77777777" w:rsidR="00AC3435" w:rsidRDefault="00AC3435" w:rsidP="00A273B0">
            <w:pPr>
              <w:pStyle w:val="CETBodytext"/>
              <w:rPr>
                <w:lang w:val="en-GB"/>
              </w:rPr>
            </w:pPr>
            <w:r>
              <w:rPr>
                <w:lang w:val="en-GB"/>
              </w:rPr>
              <w:t>95%</w:t>
            </w:r>
          </w:p>
        </w:tc>
      </w:tr>
      <w:tr w:rsidR="00AC3435" w:rsidRPr="00B57B36" w14:paraId="564C6416" w14:textId="77777777" w:rsidTr="00A273B0">
        <w:tc>
          <w:tcPr>
            <w:tcW w:w="1107" w:type="dxa"/>
            <w:tcBorders>
              <w:top w:val="single" w:sz="4" w:space="0" w:color="auto"/>
            </w:tcBorders>
            <w:shd w:val="clear" w:color="auto" w:fill="FFFFFF"/>
          </w:tcPr>
          <w:p w14:paraId="4A561731" w14:textId="77777777" w:rsidR="00AC3435" w:rsidRPr="00B57B36" w:rsidRDefault="00AC3435" w:rsidP="00A273B0">
            <w:pPr>
              <w:pStyle w:val="CETBodytext"/>
              <w:rPr>
                <w:lang w:val="en-GB"/>
              </w:rPr>
            </w:pPr>
            <w:r>
              <w:rPr>
                <w:lang w:val="en-GB"/>
              </w:rPr>
              <w:t>0.8</w:t>
            </w:r>
          </w:p>
        </w:tc>
        <w:tc>
          <w:tcPr>
            <w:tcW w:w="1062" w:type="dxa"/>
            <w:tcBorders>
              <w:top w:val="single" w:sz="4" w:space="0" w:color="auto"/>
            </w:tcBorders>
            <w:shd w:val="clear" w:color="auto" w:fill="FFFFFF"/>
          </w:tcPr>
          <w:p w14:paraId="63C4878B" w14:textId="77777777" w:rsidR="00AC3435" w:rsidRDefault="00AC3435" w:rsidP="00A273B0">
            <w:pPr>
              <w:pStyle w:val="CETBodytext"/>
              <w:rPr>
                <w:lang w:val="en-GB"/>
              </w:rPr>
            </w:pPr>
            <w:r>
              <w:rPr>
                <w:lang w:val="en-GB"/>
              </w:rPr>
              <w:t>160</w:t>
            </w:r>
          </w:p>
        </w:tc>
        <w:tc>
          <w:tcPr>
            <w:tcW w:w="950" w:type="dxa"/>
            <w:tcBorders>
              <w:top w:val="single" w:sz="4" w:space="0" w:color="auto"/>
            </w:tcBorders>
            <w:shd w:val="clear" w:color="auto" w:fill="FFFFFF"/>
          </w:tcPr>
          <w:p w14:paraId="0590CA0C" w14:textId="2E044A0D" w:rsidR="00AC3435" w:rsidRDefault="00AC3435" w:rsidP="00A273B0">
            <w:pPr>
              <w:pStyle w:val="CETBodytext"/>
              <w:rPr>
                <w:lang w:val="en-GB"/>
              </w:rPr>
            </w:pPr>
            <w:r>
              <w:rPr>
                <w:lang w:val="en-GB"/>
              </w:rPr>
              <w:t>8</w:t>
            </w:r>
          </w:p>
        </w:tc>
        <w:tc>
          <w:tcPr>
            <w:tcW w:w="992" w:type="dxa"/>
            <w:tcBorders>
              <w:top w:val="single" w:sz="4" w:space="0" w:color="auto"/>
            </w:tcBorders>
            <w:shd w:val="clear" w:color="auto" w:fill="FFFFFF"/>
          </w:tcPr>
          <w:p w14:paraId="1EA3ED14" w14:textId="241278C1" w:rsidR="00AC3435" w:rsidRDefault="00AC3435" w:rsidP="00A273B0">
            <w:pPr>
              <w:pStyle w:val="CETBodytext"/>
              <w:rPr>
                <w:lang w:val="en-GB"/>
              </w:rPr>
            </w:pPr>
            <w:r>
              <w:rPr>
                <w:lang w:val="en-GB"/>
              </w:rPr>
              <w:t>9.5</w:t>
            </w:r>
          </w:p>
        </w:tc>
        <w:tc>
          <w:tcPr>
            <w:tcW w:w="1367" w:type="dxa"/>
            <w:tcBorders>
              <w:top w:val="single" w:sz="4" w:space="0" w:color="auto"/>
            </w:tcBorders>
            <w:shd w:val="clear" w:color="auto" w:fill="FFFFFF"/>
          </w:tcPr>
          <w:p w14:paraId="11CACD05" w14:textId="4E2B6E37" w:rsidR="00AC3435" w:rsidRDefault="003A461C" w:rsidP="00A273B0">
            <w:pPr>
              <w:pStyle w:val="CETBodytext"/>
              <w:rPr>
                <w:lang w:val="en-GB"/>
              </w:rPr>
            </w:pPr>
            <w:r>
              <w:rPr>
                <w:lang w:val="en-GB"/>
              </w:rPr>
              <w:t>32</w:t>
            </w:r>
          </w:p>
        </w:tc>
        <w:tc>
          <w:tcPr>
            <w:tcW w:w="1103" w:type="dxa"/>
            <w:gridSpan w:val="2"/>
            <w:tcBorders>
              <w:top w:val="single" w:sz="4" w:space="0" w:color="auto"/>
            </w:tcBorders>
            <w:shd w:val="clear" w:color="auto" w:fill="FFFFFF"/>
          </w:tcPr>
          <w:p w14:paraId="2C27E780" w14:textId="498A65AD" w:rsidR="00AC3435" w:rsidRDefault="003A461C" w:rsidP="00A273B0">
            <w:pPr>
              <w:pStyle w:val="CETBodytext"/>
              <w:rPr>
                <w:lang w:val="en-GB"/>
              </w:rPr>
            </w:pPr>
            <w:r>
              <w:rPr>
                <w:lang w:val="en-GB"/>
              </w:rPr>
              <w:t>38</w:t>
            </w:r>
          </w:p>
        </w:tc>
        <w:tc>
          <w:tcPr>
            <w:tcW w:w="932" w:type="dxa"/>
            <w:tcBorders>
              <w:top w:val="single" w:sz="4" w:space="0" w:color="auto"/>
            </w:tcBorders>
            <w:shd w:val="clear" w:color="auto" w:fill="FFFFFF"/>
          </w:tcPr>
          <w:p w14:paraId="11E8D333" w14:textId="01CFE6ED" w:rsidR="00AC3435" w:rsidRDefault="003A461C" w:rsidP="00A273B0">
            <w:pPr>
              <w:pStyle w:val="CETBodytext"/>
              <w:rPr>
                <w:lang w:val="en-GB"/>
              </w:rPr>
            </w:pPr>
            <w:r>
              <w:rPr>
                <w:lang w:val="en-GB"/>
              </w:rPr>
              <w:t>79</w:t>
            </w:r>
          </w:p>
        </w:tc>
        <w:tc>
          <w:tcPr>
            <w:tcW w:w="1274" w:type="dxa"/>
            <w:tcBorders>
              <w:top w:val="single" w:sz="4" w:space="0" w:color="auto"/>
            </w:tcBorders>
            <w:shd w:val="clear" w:color="auto" w:fill="FFFFFF"/>
          </w:tcPr>
          <w:p w14:paraId="2BFAF9C2" w14:textId="1A25628D" w:rsidR="00AC3435" w:rsidRDefault="003A461C" w:rsidP="00A273B0">
            <w:pPr>
              <w:pStyle w:val="CETBodytext"/>
              <w:rPr>
                <w:lang w:val="en-GB"/>
              </w:rPr>
            </w:pPr>
            <w:r>
              <w:rPr>
                <w:lang w:val="en-GB"/>
              </w:rPr>
              <w:t>90</w:t>
            </w:r>
          </w:p>
        </w:tc>
      </w:tr>
      <w:tr w:rsidR="00AC3435" w:rsidRPr="00B57B36" w14:paraId="0E317ED2" w14:textId="77777777" w:rsidTr="00A273B0">
        <w:tc>
          <w:tcPr>
            <w:tcW w:w="1107" w:type="dxa"/>
            <w:shd w:val="clear" w:color="auto" w:fill="FFFFFF"/>
          </w:tcPr>
          <w:p w14:paraId="4BA88D50" w14:textId="77777777" w:rsidR="00AC3435" w:rsidRDefault="00AC3435" w:rsidP="00A273B0">
            <w:pPr>
              <w:pStyle w:val="CETBodytext"/>
              <w:rPr>
                <w:lang w:val="en-GB"/>
              </w:rPr>
            </w:pPr>
            <w:r>
              <w:rPr>
                <w:lang w:val="en-GB"/>
              </w:rPr>
              <w:t>3</w:t>
            </w:r>
          </w:p>
        </w:tc>
        <w:tc>
          <w:tcPr>
            <w:tcW w:w="1062" w:type="dxa"/>
            <w:shd w:val="clear" w:color="auto" w:fill="FFFFFF"/>
          </w:tcPr>
          <w:p w14:paraId="1C42106E" w14:textId="77777777" w:rsidR="00AC3435" w:rsidRDefault="00AC3435" w:rsidP="00A273B0">
            <w:pPr>
              <w:pStyle w:val="CETBodytext"/>
              <w:rPr>
                <w:lang w:val="en-GB"/>
              </w:rPr>
            </w:pPr>
            <w:r>
              <w:rPr>
                <w:lang w:val="en-GB"/>
              </w:rPr>
              <w:t>115</w:t>
            </w:r>
          </w:p>
        </w:tc>
        <w:tc>
          <w:tcPr>
            <w:tcW w:w="950" w:type="dxa"/>
            <w:shd w:val="clear" w:color="auto" w:fill="FFFFFF"/>
          </w:tcPr>
          <w:p w14:paraId="2D7D01B0" w14:textId="3C020AAA" w:rsidR="00AC3435" w:rsidRDefault="003A461C" w:rsidP="00A273B0">
            <w:pPr>
              <w:pStyle w:val="CETBodytext"/>
              <w:rPr>
                <w:lang w:val="en-GB"/>
              </w:rPr>
            </w:pPr>
            <w:r>
              <w:rPr>
                <w:lang w:val="en-GB"/>
              </w:rPr>
              <w:t>9</w:t>
            </w:r>
          </w:p>
        </w:tc>
        <w:tc>
          <w:tcPr>
            <w:tcW w:w="992" w:type="dxa"/>
            <w:shd w:val="clear" w:color="auto" w:fill="FFFFFF"/>
          </w:tcPr>
          <w:p w14:paraId="2FB6797B" w14:textId="15E30598" w:rsidR="00AC3435" w:rsidRDefault="003A461C" w:rsidP="00A273B0">
            <w:pPr>
              <w:pStyle w:val="CETBodytext"/>
              <w:rPr>
                <w:lang w:val="en-GB"/>
              </w:rPr>
            </w:pPr>
            <w:r>
              <w:rPr>
                <w:lang w:val="en-GB"/>
              </w:rPr>
              <w:t>10</w:t>
            </w:r>
          </w:p>
        </w:tc>
        <w:tc>
          <w:tcPr>
            <w:tcW w:w="1367" w:type="dxa"/>
            <w:shd w:val="clear" w:color="auto" w:fill="FFFFFF"/>
          </w:tcPr>
          <w:p w14:paraId="065F3489" w14:textId="72A4418D" w:rsidR="00AC3435" w:rsidRDefault="003A461C" w:rsidP="00A273B0">
            <w:pPr>
              <w:pStyle w:val="CETBodytext"/>
              <w:rPr>
                <w:lang w:val="en-GB"/>
              </w:rPr>
            </w:pPr>
            <w:r>
              <w:rPr>
                <w:lang w:val="en-GB"/>
              </w:rPr>
              <w:t>35</w:t>
            </w:r>
          </w:p>
        </w:tc>
        <w:tc>
          <w:tcPr>
            <w:tcW w:w="1103" w:type="dxa"/>
            <w:gridSpan w:val="2"/>
            <w:shd w:val="clear" w:color="auto" w:fill="FFFFFF"/>
          </w:tcPr>
          <w:p w14:paraId="0D6F1EE0" w14:textId="322097E3" w:rsidR="00AC3435" w:rsidRDefault="003A461C" w:rsidP="00A273B0">
            <w:pPr>
              <w:pStyle w:val="CETBodytext"/>
              <w:rPr>
                <w:lang w:val="en-GB"/>
              </w:rPr>
            </w:pPr>
            <w:r>
              <w:rPr>
                <w:lang w:val="en-GB"/>
              </w:rPr>
              <w:t>39</w:t>
            </w:r>
          </w:p>
        </w:tc>
        <w:tc>
          <w:tcPr>
            <w:tcW w:w="932" w:type="dxa"/>
            <w:shd w:val="clear" w:color="auto" w:fill="FFFFFF"/>
          </w:tcPr>
          <w:p w14:paraId="7B002634" w14:textId="6C1A74E5" w:rsidR="00AC3435" w:rsidRDefault="003A461C" w:rsidP="00A273B0">
            <w:pPr>
              <w:pStyle w:val="CETBodytext"/>
              <w:rPr>
                <w:lang w:val="en-GB"/>
              </w:rPr>
            </w:pPr>
            <w:r>
              <w:rPr>
                <w:lang w:val="en-GB"/>
              </w:rPr>
              <w:t>88</w:t>
            </w:r>
          </w:p>
        </w:tc>
        <w:tc>
          <w:tcPr>
            <w:tcW w:w="1274" w:type="dxa"/>
            <w:shd w:val="clear" w:color="auto" w:fill="FFFFFF"/>
          </w:tcPr>
          <w:p w14:paraId="4FC686E2" w14:textId="3DB60FC5" w:rsidR="00AC3435" w:rsidRDefault="003A461C" w:rsidP="00A273B0">
            <w:pPr>
              <w:pStyle w:val="CETBodytext"/>
              <w:rPr>
                <w:lang w:val="en-GB"/>
              </w:rPr>
            </w:pPr>
            <w:r>
              <w:rPr>
                <w:lang w:val="en-GB"/>
              </w:rPr>
              <w:t>97</w:t>
            </w:r>
          </w:p>
        </w:tc>
      </w:tr>
      <w:tr w:rsidR="00AC3435" w:rsidRPr="00B57B36" w14:paraId="77850197" w14:textId="77777777" w:rsidTr="00A273B0">
        <w:tc>
          <w:tcPr>
            <w:tcW w:w="1107" w:type="dxa"/>
            <w:shd w:val="clear" w:color="auto" w:fill="FFFFFF"/>
          </w:tcPr>
          <w:p w14:paraId="1BDAF54A" w14:textId="77777777" w:rsidR="00AC3435" w:rsidRDefault="00AC3435" w:rsidP="00A273B0">
            <w:pPr>
              <w:pStyle w:val="CETBodytext"/>
              <w:rPr>
                <w:lang w:val="en-GB"/>
              </w:rPr>
            </w:pPr>
            <w:r>
              <w:rPr>
                <w:lang w:val="en-GB"/>
              </w:rPr>
              <w:t>8.5</w:t>
            </w:r>
          </w:p>
        </w:tc>
        <w:tc>
          <w:tcPr>
            <w:tcW w:w="1062" w:type="dxa"/>
            <w:shd w:val="clear" w:color="auto" w:fill="FFFFFF"/>
          </w:tcPr>
          <w:p w14:paraId="3A00D7CC" w14:textId="77777777" w:rsidR="00AC3435" w:rsidRDefault="00AC3435" w:rsidP="00A273B0">
            <w:pPr>
              <w:pStyle w:val="CETBodytext"/>
              <w:rPr>
                <w:lang w:val="en-GB"/>
              </w:rPr>
            </w:pPr>
            <w:r>
              <w:rPr>
                <w:lang w:val="en-GB"/>
              </w:rPr>
              <w:t>92</w:t>
            </w:r>
          </w:p>
        </w:tc>
        <w:tc>
          <w:tcPr>
            <w:tcW w:w="950" w:type="dxa"/>
            <w:shd w:val="clear" w:color="auto" w:fill="FFFFFF"/>
          </w:tcPr>
          <w:p w14:paraId="4D6384A0" w14:textId="784E6C97" w:rsidR="00AC3435" w:rsidRDefault="003A461C" w:rsidP="00A273B0">
            <w:pPr>
              <w:pStyle w:val="CETBodytext"/>
              <w:rPr>
                <w:lang w:val="en-GB"/>
              </w:rPr>
            </w:pPr>
            <w:r>
              <w:rPr>
                <w:lang w:val="en-GB"/>
              </w:rPr>
              <w:t>10</w:t>
            </w:r>
          </w:p>
        </w:tc>
        <w:tc>
          <w:tcPr>
            <w:tcW w:w="992" w:type="dxa"/>
            <w:shd w:val="clear" w:color="auto" w:fill="FFFFFF"/>
          </w:tcPr>
          <w:p w14:paraId="7DE3CDF4" w14:textId="307D36E4" w:rsidR="00AC3435" w:rsidRDefault="00AC3435" w:rsidP="00A273B0">
            <w:pPr>
              <w:pStyle w:val="CETBodytext"/>
              <w:rPr>
                <w:lang w:val="en-GB"/>
              </w:rPr>
            </w:pPr>
            <w:r>
              <w:rPr>
                <w:lang w:val="en-GB"/>
              </w:rPr>
              <w:t>1</w:t>
            </w:r>
            <w:r w:rsidR="003A461C">
              <w:rPr>
                <w:lang w:val="en-GB"/>
              </w:rPr>
              <w:t>1</w:t>
            </w:r>
          </w:p>
        </w:tc>
        <w:tc>
          <w:tcPr>
            <w:tcW w:w="1367" w:type="dxa"/>
            <w:shd w:val="clear" w:color="auto" w:fill="FFFFFF"/>
          </w:tcPr>
          <w:p w14:paraId="2761160F" w14:textId="035F69F2" w:rsidR="00AC3435" w:rsidRDefault="003A461C" w:rsidP="00A273B0">
            <w:pPr>
              <w:pStyle w:val="CETBodytext"/>
              <w:rPr>
                <w:lang w:val="en-GB"/>
              </w:rPr>
            </w:pPr>
            <w:r>
              <w:rPr>
                <w:lang w:val="en-GB"/>
              </w:rPr>
              <w:t>40.5</w:t>
            </w:r>
          </w:p>
        </w:tc>
        <w:tc>
          <w:tcPr>
            <w:tcW w:w="1103" w:type="dxa"/>
            <w:gridSpan w:val="2"/>
            <w:shd w:val="clear" w:color="auto" w:fill="FFFFFF"/>
          </w:tcPr>
          <w:p w14:paraId="52980036" w14:textId="583ED1E2" w:rsidR="00AC3435" w:rsidRDefault="003A461C" w:rsidP="00A273B0">
            <w:pPr>
              <w:pStyle w:val="CETBodytext"/>
              <w:rPr>
                <w:lang w:val="en-GB"/>
              </w:rPr>
            </w:pPr>
            <w:r>
              <w:rPr>
                <w:lang w:val="en-GB"/>
              </w:rPr>
              <w:t>45</w:t>
            </w:r>
          </w:p>
        </w:tc>
        <w:tc>
          <w:tcPr>
            <w:tcW w:w="932" w:type="dxa"/>
            <w:shd w:val="clear" w:color="auto" w:fill="FFFFFF"/>
          </w:tcPr>
          <w:p w14:paraId="2C4CEB63" w14:textId="2C81DE11" w:rsidR="00AC3435" w:rsidRDefault="003A461C" w:rsidP="00A273B0">
            <w:pPr>
              <w:pStyle w:val="CETBodytext"/>
              <w:rPr>
                <w:lang w:val="en-GB"/>
              </w:rPr>
            </w:pPr>
            <w:r>
              <w:rPr>
                <w:lang w:val="en-GB"/>
              </w:rPr>
              <w:t>98</w:t>
            </w:r>
          </w:p>
        </w:tc>
        <w:tc>
          <w:tcPr>
            <w:tcW w:w="1274" w:type="dxa"/>
            <w:shd w:val="clear" w:color="auto" w:fill="FFFFFF"/>
          </w:tcPr>
          <w:p w14:paraId="1DEF11A7" w14:textId="4B979530" w:rsidR="00AC3435" w:rsidRDefault="003A461C" w:rsidP="00A273B0">
            <w:pPr>
              <w:pStyle w:val="CETBodytext"/>
              <w:rPr>
                <w:lang w:val="en-GB"/>
              </w:rPr>
            </w:pPr>
            <w:r>
              <w:rPr>
                <w:lang w:val="en-GB"/>
              </w:rPr>
              <w:t>112</w:t>
            </w:r>
          </w:p>
        </w:tc>
      </w:tr>
    </w:tbl>
    <w:p w14:paraId="5E9141D1" w14:textId="023C61BE" w:rsidR="00F62B99" w:rsidRDefault="00F62B99" w:rsidP="00AC7BB4">
      <w:pPr>
        <w:pStyle w:val="CETBodytext"/>
        <w:spacing w:before="240"/>
        <w:rPr>
          <w:lang w:val="en-GB"/>
        </w:rPr>
      </w:pPr>
      <w:r w:rsidRPr="00F62B99">
        <w:rPr>
          <w:lang w:val="en-GB"/>
        </w:rPr>
        <w:t xml:space="preserve">The two-dimensional model </w:t>
      </w:r>
      <w:r w:rsidR="00B57723">
        <w:rPr>
          <w:lang w:val="en-GB"/>
        </w:rPr>
        <w:t>predicts</w:t>
      </w:r>
      <w:r w:rsidRPr="00F62B99">
        <w:rPr>
          <w:lang w:val="en-GB"/>
        </w:rPr>
        <w:t xml:space="preserve"> greater </w:t>
      </w:r>
      <w:r w:rsidR="00B57723">
        <w:rPr>
          <w:lang w:val="en-GB"/>
        </w:rPr>
        <w:t xml:space="preserve">reactor </w:t>
      </w:r>
      <w:r w:rsidRPr="00F62B99">
        <w:rPr>
          <w:lang w:val="en-GB"/>
        </w:rPr>
        <w:t xml:space="preserve">lengths </w:t>
      </w:r>
      <w:r w:rsidR="00B57723">
        <w:rPr>
          <w:lang w:val="en-GB"/>
        </w:rPr>
        <w:t xml:space="preserve">than the 1-D model </w:t>
      </w:r>
      <w:r w:rsidRPr="00F62B99">
        <w:rPr>
          <w:lang w:val="en-GB"/>
        </w:rPr>
        <w:t xml:space="preserve">due to the lower wall temperatures </w:t>
      </w:r>
      <w:r w:rsidR="00B57723">
        <w:rPr>
          <w:lang w:val="en-GB"/>
        </w:rPr>
        <w:t xml:space="preserve">necessary to </w:t>
      </w:r>
      <w:r w:rsidR="00C0701A">
        <w:rPr>
          <w:lang w:val="en-GB"/>
        </w:rPr>
        <w:t xml:space="preserve">operate outside the </w:t>
      </w:r>
      <w:r w:rsidR="00192171">
        <w:rPr>
          <w:lang w:val="en-GB"/>
        </w:rPr>
        <w:t>runaway region</w:t>
      </w:r>
      <w:r w:rsidRPr="00F62B99">
        <w:rPr>
          <w:lang w:val="en-GB"/>
        </w:rPr>
        <w:t xml:space="preserve">. A modest difference is observed between the lengths of the reactors needed to have a conversion of 90% and 95%, </w:t>
      </w:r>
      <w:r w:rsidR="00B15010">
        <w:rPr>
          <w:lang w:val="en-GB"/>
        </w:rPr>
        <w:t>forcing</w:t>
      </w:r>
      <w:r w:rsidRPr="00F62B99">
        <w:rPr>
          <w:lang w:val="en-GB"/>
        </w:rPr>
        <w:t xml:space="preserve"> t</w:t>
      </w:r>
      <w:r w:rsidR="00B15010">
        <w:rPr>
          <w:lang w:val="en-GB"/>
        </w:rPr>
        <w:t>o</w:t>
      </w:r>
      <w:r w:rsidRPr="00F62B99">
        <w:rPr>
          <w:lang w:val="en-GB"/>
        </w:rPr>
        <w:t xml:space="preserve"> cho</w:t>
      </w:r>
      <w:r w:rsidR="00B15010">
        <w:rPr>
          <w:lang w:val="en-GB"/>
        </w:rPr>
        <w:t>ose</w:t>
      </w:r>
      <w:r w:rsidRPr="00F62B99">
        <w:rPr>
          <w:lang w:val="en-GB"/>
        </w:rPr>
        <w:t xml:space="preserve"> </w:t>
      </w:r>
      <w:r w:rsidR="00B15010">
        <w:rPr>
          <w:lang w:val="en-GB"/>
        </w:rPr>
        <w:t>a desired final conversion of</w:t>
      </w:r>
      <w:r w:rsidRPr="00F62B99">
        <w:rPr>
          <w:lang w:val="en-GB"/>
        </w:rPr>
        <w:t xml:space="preserve"> 95</w:t>
      </w:r>
      <w:r w:rsidR="005F2B60">
        <w:rPr>
          <w:lang w:val="en-GB"/>
        </w:rPr>
        <w:t xml:space="preserve"> </w:t>
      </w:r>
      <w:r w:rsidRPr="00F62B99">
        <w:rPr>
          <w:lang w:val="en-GB"/>
        </w:rPr>
        <w:t xml:space="preserve">% for </w:t>
      </w:r>
      <w:r w:rsidR="00B15010">
        <w:rPr>
          <w:lang w:val="en-GB"/>
        </w:rPr>
        <w:t xml:space="preserve">guaranteeing </w:t>
      </w:r>
      <w:r w:rsidRPr="00F62B99">
        <w:rPr>
          <w:lang w:val="en-GB"/>
        </w:rPr>
        <w:t>less waste of reactant. The reactor lengths var</w:t>
      </w:r>
      <w:r w:rsidR="00123DE4">
        <w:rPr>
          <w:lang w:val="en-GB"/>
        </w:rPr>
        <w:t>ied</w:t>
      </w:r>
      <w:r w:rsidRPr="00F62B99">
        <w:rPr>
          <w:lang w:val="en-GB"/>
        </w:rPr>
        <w:t xml:space="preserve"> between 9</w:t>
      </w:r>
      <w:r w:rsidR="005F2B60">
        <w:rPr>
          <w:lang w:val="en-GB"/>
        </w:rPr>
        <w:t xml:space="preserve"> </w:t>
      </w:r>
      <w:r w:rsidRPr="00F62B99">
        <w:rPr>
          <w:lang w:val="en-GB"/>
        </w:rPr>
        <w:t>m and 112</w:t>
      </w:r>
      <w:r w:rsidR="005F2B60">
        <w:rPr>
          <w:lang w:val="en-GB"/>
        </w:rPr>
        <w:t xml:space="preserve"> </w:t>
      </w:r>
      <w:r w:rsidRPr="00F62B99">
        <w:rPr>
          <w:lang w:val="en-GB"/>
        </w:rPr>
        <w:t xml:space="preserve">m, depending on the flowrates and diameters chosen. </w:t>
      </w:r>
      <w:r w:rsidR="00FC4DA2" w:rsidRPr="00F62B99">
        <w:rPr>
          <w:lang w:val="en-GB"/>
        </w:rPr>
        <w:t>So,</w:t>
      </w:r>
      <w:r w:rsidRPr="00F62B99">
        <w:rPr>
          <w:lang w:val="en-GB"/>
        </w:rPr>
        <w:t xml:space="preserve"> it is possible to have both very long reactors and a shorter multi-tubular reactor. However, all </w:t>
      </w:r>
      <w:r w:rsidR="00822CE9">
        <w:rPr>
          <w:lang w:val="en-GB"/>
        </w:rPr>
        <w:t>predicted</w:t>
      </w:r>
      <w:r w:rsidRPr="00F62B99">
        <w:rPr>
          <w:lang w:val="en-GB"/>
        </w:rPr>
        <w:t xml:space="preserve"> lengths can be used industrially</w:t>
      </w:r>
      <w:r w:rsidR="00392D3D">
        <w:rPr>
          <w:lang w:val="en-GB"/>
        </w:rPr>
        <w:t xml:space="preserve"> </w:t>
      </w:r>
      <w:r w:rsidR="00156BCD">
        <w:rPr>
          <w:lang w:val="en-GB"/>
        </w:rPr>
        <w:t xml:space="preserve">because they </w:t>
      </w:r>
      <w:r w:rsidR="007D365F">
        <w:rPr>
          <w:lang w:val="en-GB"/>
        </w:rPr>
        <w:t>can guarantee</w:t>
      </w:r>
      <w:r w:rsidR="00156BCD">
        <w:rPr>
          <w:lang w:val="en-GB"/>
        </w:rPr>
        <w:t xml:space="preserve"> the production of 2</w:t>
      </w:r>
      <w:r w:rsidR="00927436">
        <w:rPr>
          <w:lang w:val="en-GB"/>
        </w:rPr>
        <w:t xml:space="preserve"> to </w:t>
      </w:r>
      <w:r w:rsidR="00156BCD">
        <w:rPr>
          <w:lang w:val="en-GB"/>
        </w:rPr>
        <w:t xml:space="preserve">20 kg of </w:t>
      </w:r>
      <w:r w:rsidR="008570A0">
        <w:rPr>
          <w:lang w:val="en-GB"/>
        </w:rPr>
        <w:t xml:space="preserve">pure </w:t>
      </w:r>
      <w:r w:rsidR="008570A0">
        <w:t>16-hexadecanolide (4% w/w TCTP in dodecane and 16% of maximum select</w:t>
      </w:r>
      <w:r w:rsidR="00927436">
        <w:t xml:space="preserve">ivity were considered), </w:t>
      </w:r>
      <w:r w:rsidR="00855336">
        <w:t xml:space="preserve">using from 1 mL/min to 10 mL/min of </w:t>
      </w:r>
      <w:r w:rsidR="007D365F">
        <w:t>reacting mixture flowrate</w:t>
      </w:r>
      <w:r w:rsidRPr="00F62B99">
        <w:rPr>
          <w:lang w:val="en-GB"/>
        </w:rPr>
        <w:t>.</w:t>
      </w:r>
      <w:r w:rsidR="00822CE9">
        <w:rPr>
          <w:lang w:val="en-GB"/>
        </w:rPr>
        <w:t xml:space="preserve"> </w:t>
      </w:r>
    </w:p>
    <w:p w14:paraId="4AE8D0B2" w14:textId="2AEF9672" w:rsidR="00FD6909" w:rsidRPr="00B57B36" w:rsidRDefault="00FD6909" w:rsidP="00FD6909">
      <w:pPr>
        <w:pStyle w:val="CETHeading1"/>
        <w:rPr>
          <w:lang w:val="en-GB"/>
        </w:rPr>
      </w:pPr>
      <w:r w:rsidRPr="00FD6909">
        <w:rPr>
          <w:lang w:val="en-GB"/>
        </w:rPr>
        <w:t>Conclusions</w:t>
      </w:r>
    </w:p>
    <w:p w14:paraId="6597FC7C" w14:textId="435120F7" w:rsidR="00CD23B7" w:rsidRDefault="00FD6909" w:rsidP="00111807">
      <w:r w:rsidRPr="00FD6909">
        <w:t>In this work a configuration for the continuous production of 16-hexadecanolide has been proposed. Specifically, Story's synthesis was chosen, based on the decomposition of tricyclohexil</w:t>
      </w:r>
      <w:r w:rsidR="004C23BE">
        <w:t>id</w:t>
      </w:r>
      <w:r w:rsidRPr="00FD6909">
        <w:t>ene triperoxide. A tubular reactor composed of Teflon AF 2400</w:t>
      </w:r>
      <w:r w:rsidR="00E810D7" w:rsidRPr="004B59BA">
        <w:t>®</w:t>
      </w:r>
      <w:r w:rsidRPr="00FD6909">
        <w:t xml:space="preserve"> was chosen. As the reaction produces carbon dioxide, this material was chosen as it is permeable to gas, allowing CO</w:t>
      </w:r>
      <w:r w:rsidRPr="00BB0C49">
        <w:rPr>
          <w:vertAlign w:val="subscript"/>
        </w:rPr>
        <w:t>2</w:t>
      </w:r>
      <w:r w:rsidRPr="00FD6909">
        <w:t xml:space="preserve"> to be </w:t>
      </w:r>
      <w:r w:rsidR="004C23BE">
        <w:t>vented</w:t>
      </w:r>
      <w:r w:rsidRPr="00FD6909">
        <w:t xml:space="preserve">. </w:t>
      </w:r>
      <w:r w:rsidR="00D14900">
        <w:t xml:space="preserve">Safe and optimal </w:t>
      </w:r>
      <w:r w:rsidRPr="00FD6909">
        <w:t xml:space="preserve">operating conditions </w:t>
      </w:r>
      <w:r w:rsidR="00D14900">
        <w:t>were</w:t>
      </w:r>
      <w:r w:rsidRPr="00FD6909">
        <w:t xml:space="preserve"> determined </w:t>
      </w:r>
      <w:r w:rsidR="00D14900">
        <w:t>using</w:t>
      </w:r>
      <w:r w:rsidRPr="00FD6909">
        <w:t xml:space="preserve"> the </w:t>
      </w:r>
      <w:r w:rsidR="00D14900">
        <w:t xml:space="preserve">generalized </w:t>
      </w:r>
      <w:r w:rsidRPr="00FD6909">
        <w:t xml:space="preserve">parametric sensitivity </w:t>
      </w:r>
      <w:r w:rsidR="00D14900">
        <w:t>criterion</w:t>
      </w:r>
      <w:r w:rsidRPr="00FD6909">
        <w:t xml:space="preserve"> </w:t>
      </w:r>
      <w:r w:rsidR="00A13962">
        <w:t xml:space="preserve">applied to the maximum reactor temperature with respect to </w:t>
      </w:r>
      <w:r w:rsidRPr="00FD6909">
        <w:t xml:space="preserve">the main process variables (wall and inlet temperature). Sensitivity </w:t>
      </w:r>
      <w:r w:rsidR="00C81728" w:rsidRPr="00FD6909">
        <w:t>analysis</w:t>
      </w:r>
      <w:r w:rsidRPr="00FD6909">
        <w:t xml:space="preserve"> showed that </w:t>
      </w:r>
      <w:r w:rsidR="00153F6F">
        <w:t>safe</w:t>
      </w:r>
      <w:r w:rsidRPr="00FD6909">
        <w:t xml:space="preserve"> optimum wall temperatures </w:t>
      </w:r>
      <w:r w:rsidR="00153F6F">
        <w:t>ranged</w:t>
      </w:r>
      <w:r w:rsidRPr="00FD6909">
        <w:t xml:space="preserve"> between 95</w:t>
      </w:r>
      <w:r w:rsidR="00BB0C49">
        <w:t xml:space="preserve"> </w:t>
      </w:r>
      <w:r w:rsidRPr="00FD6909">
        <w:t>°C and 160</w:t>
      </w:r>
      <w:r w:rsidR="00BB0C49">
        <w:t xml:space="preserve"> </w:t>
      </w:r>
      <w:r w:rsidRPr="00FD6909">
        <w:t>°C, depending on the model</w:t>
      </w:r>
      <w:r w:rsidR="00165E75">
        <w:t xml:space="preserve"> (1-D, </w:t>
      </w:r>
      <w:r w:rsidR="00E95859">
        <w:t>considering</w:t>
      </w:r>
      <w:r w:rsidR="00165E75">
        <w:t xml:space="preserve"> axial dispersion, or 2-D, to </w:t>
      </w:r>
      <w:r w:rsidR="00474B0A">
        <w:t>consider</w:t>
      </w:r>
      <w:r w:rsidR="00165E75">
        <w:t xml:space="preserve"> radial dispersion too)</w:t>
      </w:r>
      <w:r w:rsidRPr="00FD6909">
        <w:t xml:space="preserve"> and </w:t>
      </w:r>
      <w:r w:rsidR="00165E75">
        <w:t>the diameter</w:t>
      </w:r>
      <w:r w:rsidR="00165E75" w:rsidRPr="00FD6909">
        <w:t xml:space="preserve"> </w:t>
      </w:r>
      <w:r w:rsidRPr="00FD6909">
        <w:t xml:space="preserve">of reactor chosen. </w:t>
      </w:r>
    </w:p>
    <w:p w14:paraId="22659094" w14:textId="240A1AAC" w:rsidR="00111807" w:rsidRPr="0059055C" w:rsidRDefault="00111807" w:rsidP="00111807">
      <w:r w:rsidRPr="0059055C">
        <w:t>Results highlighted how, using a 2</w:t>
      </w:r>
      <w:r w:rsidR="00EA2EBA">
        <w:t>-</w:t>
      </w:r>
      <w:r w:rsidRPr="0059055C">
        <w:t xml:space="preserve">D model, the runaway </w:t>
      </w:r>
      <w:r w:rsidR="00EA2EBA">
        <w:t>boundaries</w:t>
      </w:r>
      <w:r w:rsidRPr="0059055C">
        <w:t xml:space="preserve"> shift</w:t>
      </w:r>
      <w:r w:rsidR="001C4B0F">
        <w:t>ed</w:t>
      </w:r>
      <w:r w:rsidRPr="0059055C">
        <w:t xml:space="preserve"> significantly towards </w:t>
      </w:r>
      <w:r w:rsidR="00F0697F">
        <w:t>more</w:t>
      </w:r>
      <w:r w:rsidRPr="0059055C">
        <w:t xml:space="preserve"> conservative values of the operating temperatures, highlighting the limitations of simple 1</w:t>
      </w:r>
      <w:r w:rsidR="00280D19">
        <w:t>-</w:t>
      </w:r>
      <w:r w:rsidRPr="0059055C">
        <w:t>D tubular reactor models</w:t>
      </w:r>
      <w:r w:rsidR="00280D19">
        <w:t xml:space="preserve"> without radial dispersions</w:t>
      </w:r>
      <w:r w:rsidRPr="0059055C">
        <w:t>. Knowing the critical temperatures from the 2</w:t>
      </w:r>
      <w:r w:rsidR="00FC45B8">
        <w:t>-</w:t>
      </w:r>
      <w:r w:rsidRPr="0059055C">
        <w:t xml:space="preserve">D model, </w:t>
      </w:r>
      <w:r w:rsidR="006F31DD">
        <w:t xml:space="preserve">it was possible to select the best reactor layout </w:t>
      </w:r>
      <w:r w:rsidR="00B3142F">
        <w:t xml:space="preserve">given a desired productivity. Particularly, </w:t>
      </w:r>
      <w:r w:rsidR="007D365F">
        <w:t>a</w:t>
      </w:r>
      <w:r w:rsidRPr="0059055C">
        <w:t xml:space="preserve"> reactor diameter </w:t>
      </w:r>
      <w:r w:rsidR="007D365F">
        <w:t xml:space="preserve">of </w:t>
      </w:r>
      <w:r w:rsidR="00E95859">
        <w:t>0.8</w:t>
      </w:r>
      <w:r w:rsidRPr="0059055C">
        <w:t xml:space="preserve"> mm</w:t>
      </w:r>
      <w:r w:rsidR="007D365F">
        <w:t xml:space="preserve"> </w:t>
      </w:r>
      <w:r w:rsidR="00E95859">
        <w:t>c</w:t>
      </w:r>
      <w:r w:rsidR="007D365F">
        <w:t xml:space="preserve">ould be selected to have the sufficient contact time experimentally observed to </w:t>
      </w:r>
      <w:r w:rsidR="00FD4EC0">
        <w:t>reach the full TCTP conversion</w:t>
      </w:r>
      <w:r w:rsidR="001015C0">
        <w:t xml:space="preserve">. </w:t>
      </w:r>
      <w:r w:rsidR="00B622A1">
        <w:t>Selecting an in</w:t>
      </w:r>
      <w:r w:rsidRPr="0059055C">
        <w:t xml:space="preserve">line flowrate </w:t>
      </w:r>
      <w:r w:rsidR="00B622A1">
        <w:t xml:space="preserve">of </w:t>
      </w:r>
      <w:r w:rsidRPr="0059055C">
        <w:t>10 mL/min</w:t>
      </w:r>
      <w:r w:rsidR="00B622A1">
        <w:t xml:space="preserve"> (corresponding to </w:t>
      </w:r>
      <w:r w:rsidR="00E33550">
        <w:t>an overall annual productivity of 20 kg of 16-hexadecanolide</w:t>
      </w:r>
      <w:r w:rsidRPr="0059055C">
        <w:t xml:space="preserve">), </w:t>
      </w:r>
      <w:r w:rsidR="006248FB">
        <w:t xml:space="preserve">a </w:t>
      </w:r>
      <w:r w:rsidRPr="0059055C">
        <w:t xml:space="preserve">coolant temperature </w:t>
      </w:r>
      <w:r w:rsidR="006248FB">
        <w:t>of 1</w:t>
      </w:r>
      <w:r w:rsidR="0049234F">
        <w:t>58</w:t>
      </w:r>
      <w:r w:rsidRPr="0059055C">
        <w:t xml:space="preserve"> °C</w:t>
      </w:r>
      <w:r w:rsidR="006248FB">
        <w:t xml:space="preserve"> should not be exce</w:t>
      </w:r>
      <w:r w:rsidR="002463BF">
        <w:t>ed</w:t>
      </w:r>
      <w:r w:rsidRPr="0059055C">
        <w:t xml:space="preserve">. In correspondence </w:t>
      </w:r>
      <w:r w:rsidR="002463BF">
        <w:t>of</w:t>
      </w:r>
      <w:r w:rsidRPr="0059055C">
        <w:t xml:space="preserve"> these process parameters and operating conditions, the length of the reactor resulted to be </w:t>
      </w:r>
      <w:r w:rsidR="002463BF">
        <w:t xml:space="preserve">around </w:t>
      </w:r>
      <w:r w:rsidR="0049234F">
        <w:t>9</w:t>
      </w:r>
      <w:r w:rsidRPr="0059055C">
        <w:t>0 m.</w:t>
      </w:r>
    </w:p>
    <w:p w14:paraId="00A66FF9" w14:textId="77777777" w:rsidR="007146BE" w:rsidRPr="0098093E" w:rsidRDefault="007146BE" w:rsidP="007146BE">
      <w:pPr>
        <w:pStyle w:val="CETReference"/>
        <w:rPr>
          <w:lang w:val="en-US"/>
        </w:rPr>
      </w:pPr>
      <w:r w:rsidRPr="0098093E">
        <w:rPr>
          <w:lang w:val="en-US"/>
        </w:rPr>
        <w:t>References</w:t>
      </w:r>
    </w:p>
    <w:p w14:paraId="5391F7C7" w14:textId="595B33D6" w:rsidR="0088374F" w:rsidRPr="0098093E" w:rsidRDefault="0088374F" w:rsidP="001848DA">
      <w:pPr>
        <w:pStyle w:val="Bibliografia"/>
        <w:rPr>
          <w:rFonts w:cs="Arial"/>
          <w:lang w:val="en-US"/>
        </w:rPr>
      </w:pPr>
      <w:proofErr w:type="spellStart"/>
      <w:r w:rsidRPr="0098093E">
        <w:rPr>
          <w:rFonts w:cs="Arial"/>
          <w:lang w:val="en-US"/>
        </w:rPr>
        <w:t>Copelli</w:t>
      </w:r>
      <w:proofErr w:type="spellEnd"/>
      <w:r w:rsidRPr="0098093E">
        <w:rPr>
          <w:rFonts w:cs="Arial"/>
          <w:lang w:val="en-US"/>
        </w:rPr>
        <w:t xml:space="preserve"> S., Petrucci N.B., </w:t>
      </w:r>
      <w:proofErr w:type="spellStart"/>
      <w:r w:rsidRPr="0098093E">
        <w:rPr>
          <w:rFonts w:cs="Arial"/>
          <w:lang w:val="en-US"/>
        </w:rPr>
        <w:t>Florit</w:t>
      </w:r>
      <w:proofErr w:type="spellEnd"/>
      <w:r w:rsidRPr="0098093E">
        <w:rPr>
          <w:rFonts w:cs="Arial"/>
          <w:lang w:val="en-US"/>
        </w:rPr>
        <w:t xml:space="preserve"> F., Barozzi M., 2022, Increasing Safety by Shifting Semi-Batch Polymerizations into Semi-Continuous Production, Chemical Engineering Transactions, 90, 601–606.</w:t>
      </w:r>
    </w:p>
    <w:p w14:paraId="2DED90E0" w14:textId="77777777" w:rsidR="0098093E" w:rsidRPr="0098093E" w:rsidRDefault="00620D5A" w:rsidP="0098093E">
      <w:pPr>
        <w:pStyle w:val="Bibliografia"/>
        <w:rPr>
          <w:rFonts w:cs="Arial"/>
        </w:rPr>
      </w:pPr>
      <w:r>
        <w:fldChar w:fldCharType="begin"/>
      </w:r>
      <w:r w:rsidR="001848DA" w:rsidRPr="002F46EB">
        <w:rPr>
          <w:lang w:val="it-IT"/>
        </w:rPr>
        <w:instrText xml:space="preserve"> ADDIN ZOTERO_BIBL {"uncited":[],"omitted":[],"custom":[]} CSL_BIBLIOGRAPHY </w:instrText>
      </w:r>
      <w:r>
        <w:fldChar w:fldCharType="separate"/>
      </w:r>
      <w:r w:rsidR="0098093E" w:rsidRPr="0098093E">
        <w:rPr>
          <w:rFonts w:cs="Arial"/>
          <w:lang w:val="it-IT"/>
        </w:rPr>
        <w:t xml:space="preserve">Copelli, S., Barozzi, M., Maestri, F., Rota, R., 2017. </w:t>
      </w:r>
      <w:r w:rsidR="0098093E" w:rsidRPr="0098093E">
        <w:rPr>
          <w:rFonts w:cs="Arial"/>
        </w:rPr>
        <w:t xml:space="preserve">Safe Intensification of Potentially Runaway Reactions: from </w:t>
      </w:r>
      <w:proofErr w:type="spellStart"/>
      <w:r w:rsidR="0098093E" w:rsidRPr="0098093E">
        <w:rPr>
          <w:rFonts w:cs="Arial"/>
        </w:rPr>
        <w:t>Semibatch</w:t>
      </w:r>
      <w:proofErr w:type="spellEnd"/>
      <w:r w:rsidR="0098093E" w:rsidRPr="0098093E">
        <w:rPr>
          <w:rFonts w:cs="Arial"/>
        </w:rPr>
        <w:t xml:space="preserve"> to Continuous Processes. Chemical Engineering Transactions 57, 1687–1692.</w:t>
      </w:r>
    </w:p>
    <w:p w14:paraId="0DDBBF57" w14:textId="77777777" w:rsidR="0098093E" w:rsidRPr="0098093E" w:rsidRDefault="0098093E" w:rsidP="0098093E">
      <w:pPr>
        <w:pStyle w:val="Bibliografia"/>
        <w:rPr>
          <w:rFonts w:cs="Arial"/>
        </w:rPr>
      </w:pPr>
      <w:proofErr w:type="spellStart"/>
      <w:r w:rsidRPr="0098093E">
        <w:rPr>
          <w:rFonts w:cs="Arial"/>
        </w:rPr>
        <w:t>Copelli</w:t>
      </w:r>
      <w:proofErr w:type="spellEnd"/>
      <w:r w:rsidRPr="0098093E">
        <w:rPr>
          <w:rFonts w:cs="Arial"/>
        </w:rPr>
        <w:t xml:space="preserve"> S., </w:t>
      </w:r>
      <w:proofErr w:type="spellStart"/>
      <w:r w:rsidRPr="0098093E">
        <w:rPr>
          <w:rFonts w:cs="Arial"/>
        </w:rPr>
        <w:t>Croci</w:t>
      </w:r>
      <w:proofErr w:type="spellEnd"/>
      <w:r w:rsidRPr="0098093E">
        <w:rPr>
          <w:rFonts w:cs="Arial"/>
        </w:rPr>
        <w:t xml:space="preserve"> S., </w:t>
      </w:r>
      <w:proofErr w:type="spellStart"/>
      <w:r w:rsidRPr="0098093E">
        <w:rPr>
          <w:rFonts w:cs="Arial"/>
        </w:rPr>
        <w:t>Fumagalli</w:t>
      </w:r>
      <w:proofErr w:type="spellEnd"/>
      <w:r w:rsidRPr="0098093E">
        <w:rPr>
          <w:rFonts w:cs="Arial"/>
        </w:rPr>
        <w:t xml:space="preserve"> A., </w:t>
      </w:r>
      <w:proofErr w:type="spellStart"/>
      <w:r w:rsidRPr="0098093E">
        <w:rPr>
          <w:rFonts w:cs="Arial"/>
        </w:rPr>
        <w:t>Derudi</w:t>
      </w:r>
      <w:proofErr w:type="spellEnd"/>
      <w:r w:rsidRPr="0098093E">
        <w:rPr>
          <w:rFonts w:cs="Arial"/>
        </w:rPr>
        <w:t xml:space="preserve"> M., Rota R., Barozzi M., 2016. Runaway problems in unsteady state tubular reactors. Chemical Engineering Transactions 53, 85–90.</w:t>
      </w:r>
    </w:p>
    <w:p w14:paraId="4248178A" w14:textId="77777777" w:rsidR="0098093E" w:rsidRPr="0098093E" w:rsidRDefault="0098093E" w:rsidP="0098093E">
      <w:pPr>
        <w:pStyle w:val="Bibliografia"/>
        <w:rPr>
          <w:rFonts w:cs="Arial"/>
        </w:rPr>
      </w:pPr>
      <w:r w:rsidRPr="0098093E">
        <w:rPr>
          <w:rFonts w:cs="Arial"/>
        </w:rPr>
        <w:t xml:space="preserve">De </w:t>
      </w:r>
      <w:proofErr w:type="spellStart"/>
      <w:r w:rsidRPr="0098093E">
        <w:rPr>
          <w:rFonts w:cs="Arial"/>
        </w:rPr>
        <w:t>Armas</w:t>
      </w:r>
      <w:proofErr w:type="spellEnd"/>
      <w:r w:rsidRPr="0098093E">
        <w:rPr>
          <w:rFonts w:cs="Arial"/>
        </w:rPr>
        <w:t xml:space="preserve">, D., 2015. </w:t>
      </w:r>
      <w:proofErr w:type="spellStart"/>
      <w:r w:rsidRPr="0098093E">
        <w:rPr>
          <w:rFonts w:cs="Arial"/>
        </w:rPr>
        <w:t>Síntesis</w:t>
      </w:r>
      <w:proofErr w:type="spellEnd"/>
      <w:r w:rsidRPr="0098093E">
        <w:rPr>
          <w:rFonts w:cs="Arial"/>
        </w:rPr>
        <w:t xml:space="preserve"> de </w:t>
      </w:r>
      <w:proofErr w:type="spellStart"/>
      <w:r w:rsidRPr="0098093E">
        <w:rPr>
          <w:rFonts w:cs="Arial"/>
        </w:rPr>
        <w:t>macrolactona</w:t>
      </w:r>
      <w:proofErr w:type="spellEnd"/>
      <w:r w:rsidRPr="0098093E">
        <w:rPr>
          <w:rFonts w:cs="Arial"/>
        </w:rPr>
        <w:t xml:space="preserve"> </w:t>
      </w:r>
      <w:proofErr w:type="spellStart"/>
      <w:r w:rsidRPr="0098093E">
        <w:rPr>
          <w:rFonts w:cs="Arial"/>
        </w:rPr>
        <w:t>cíclicas</w:t>
      </w:r>
      <w:proofErr w:type="spellEnd"/>
      <w:r w:rsidRPr="0098093E">
        <w:rPr>
          <w:rFonts w:cs="Arial"/>
        </w:rPr>
        <w:t xml:space="preserve"> (PhD Thesis). IQS School of Engineering, Spain.</w:t>
      </w:r>
    </w:p>
    <w:p w14:paraId="62BBE60B" w14:textId="77777777" w:rsidR="0098093E" w:rsidRPr="0098093E" w:rsidRDefault="0098093E" w:rsidP="0098093E">
      <w:pPr>
        <w:pStyle w:val="Bibliografia"/>
        <w:rPr>
          <w:rFonts w:cs="Arial"/>
          <w:lang w:val="it-IT"/>
        </w:rPr>
      </w:pPr>
      <w:r w:rsidRPr="0098093E">
        <w:rPr>
          <w:rFonts w:cs="Arial"/>
        </w:rPr>
        <w:t xml:space="preserve">Ferrer, N., Serra, E., </w:t>
      </w:r>
      <w:proofErr w:type="spellStart"/>
      <w:r w:rsidRPr="0098093E">
        <w:rPr>
          <w:rFonts w:cs="Arial"/>
        </w:rPr>
        <w:t>Nomen</w:t>
      </w:r>
      <w:proofErr w:type="spellEnd"/>
      <w:r w:rsidRPr="0098093E">
        <w:rPr>
          <w:rFonts w:cs="Arial"/>
        </w:rPr>
        <w:t xml:space="preserve">, R., </w:t>
      </w:r>
      <w:proofErr w:type="spellStart"/>
      <w:r w:rsidRPr="0098093E">
        <w:rPr>
          <w:rFonts w:cs="Arial"/>
        </w:rPr>
        <w:t>Sempere</w:t>
      </w:r>
      <w:proofErr w:type="spellEnd"/>
      <w:r w:rsidRPr="0098093E">
        <w:rPr>
          <w:rFonts w:cs="Arial"/>
        </w:rPr>
        <w:t xml:space="preserve">, J., 2018. Thermal decomposition of </w:t>
      </w:r>
      <w:proofErr w:type="spellStart"/>
      <w:r w:rsidRPr="0098093E">
        <w:rPr>
          <w:rFonts w:cs="Arial"/>
        </w:rPr>
        <w:t>tricyclohexylidene</w:t>
      </w:r>
      <w:proofErr w:type="spellEnd"/>
      <w:r w:rsidRPr="0098093E">
        <w:rPr>
          <w:rFonts w:cs="Arial"/>
        </w:rPr>
        <w:t xml:space="preserve"> triperoxide. </w:t>
      </w:r>
      <w:r w:rsidRPr="0098093E">
        <w:rPr>
          <w:rFonts w:cs="Arial"/>
          <w:lang w:val="it-IT"/>
        </w:rPr>
        <w:t xml:space="preserve">J </w:t>
      </w:r>
      <w:proofErr w:type="spellStart"/>
      <w:r w:rsidRPr="0098093E">
        <w:rPr>
          <w:rFonts w:cs="Arial"/>
          <w:lang w:val="it-IT"/>
        </w:rPr>
        <w:t>Therm</w:t>
      </w:r>
      <w:proofErr w:type="spellEnd"/>
      <w:r w:rsidRPr="0098093E">
        <w:rPr>
          <w:rFonts w:cs="Arial"/>
          <w:lang w:val="it-IT"/>
        </w:rPr>
        <w:t xml:space="preserve"> </w:t>
      </w:r>
      <w:proofErr w:type="spellStart"/>
      <w:r w:rsidRPr="0098093E">
        <w:rPr>
          <w:rFonts w:cs="Arial"/>
          <w:lang w:val="it-IT"/>
        </w:rPr>
        <w:t>Anal</w:t>
      </w:r>
      <w:proofErr w:type="spellEnd"/>
      <w:r w:rsidRPr="0098093E">
        <w:rPr>
          <w:rFonts w:cs="Arial"/>
          <w:lang w:val="it-IT"/>
        </w:rPr>
        <w:t xml:space="preserve"> </w:t>
      </w:r>
      <w:proofErr w:type="spellStart"/>
      <w:r w:rsidRPr="0098093E">
        <w:rPr>
          <w:rFonts w:cs="Arial"/>
          <w:lang w:val="it-IT"/>
        </w:rPr>
        <w:t>Calorim</w:t>
      </w:r>
      <w:proofErr w:type="spellEnd"/>
      <w:r w:rsidRPr="0098093E">
        <w:rPr>
          <w:rFonts w:cs="Arial"/>
          <w:lang w:val="it-IT"/>
        </w:rPr>
        <w:t xml:space="preserve"> 134, 1293–1298.</w:t>
      </w:r>
    </w:p>
    <w:p w14:paraId="5D7516D3" w14:textId="77777777" w:rsidR="0098093E" w:rsidRPr="0098093E" w:rsidRDefault="0098093E" w:rsidP="0098093E">
      <w:pPr>
        <w:pStyle w:val="Bibliografia"/>
        <w:rPr>
          <w:rFonts w:cs="Arial"/>
        </w:rPr>
      </w:pPr>
      <w:r w:rsidRPr="0098093E">
        <w:rPr>
          <w:rFonts w:cs="Arial"/>
          <w:lang w:val="it-IT"/>
        </w:rPr>
        <w:t xml:space="preserve">Maestri, F., Copelli, S., Barozzi, M., Rota, R., 2020. </w:t>
      </w:r>
      <w:r w:rsidRPr="0098093E">
        <w:rPr>
          <w:rFonts w:cs="Arial"/>
        </w:rPr>
        <w:t>Kinetic-free discontinuous to continuous transformation of fine chemical reactions: A general experimental procedure. Chemical Engineering Journal 395. https://doi.org/10.1016/j.cej.2020.125061</w:t>
      </w:r>
    </w:p>
    <w:p w14:paraId="6FF98CE4" w14:textId="77777777" w:rsidR="0098093E" w:rsidRPr="0098093E" w:rsidRDefault="0098093E" w:rsidP="0098093E">
      <w:pPr>
        <w:pStyle w:val="Bibliografia"/>
        <w:rPr>
          <w:rFonts w:cs="Arial"/>
        </w:rPr>
      </w:pPr>
      <w:proofErr w:type="spellStart"/>
      <w:r w:rsidRPr="0098093E">
        <w:rPr>
          <w:rFonts w:cs="Arial"/>
        </w:rPr>
        <w:t>Shono</w:t>
      </w:r>
      <w:proofErr w:type="spellEnd"/>
      <w:r w:rsidRPr="0098093E">
        <w:rPr>
          <w:rFonts w:cs="Arial"/>
        </w:rPr>
        <w:t xml:space="preserve">, T., </w:t>
      </w:r>
      <w:proofErr w:type="spellStart"/>
      <w:r w:rsidRPr="0098093E">
        <w:rPr>
          <w:rFonts w:cs="Arial"/>
        </w:rPr>
        <w:t>Ishige</w:t>
      </w:r>
      <w:proofErr w:type="spellEnd"/>
      <w:r w:rsidRPr="0098093E">
        <w:rPr>
          <w:rFonts w:cs="Arial"/>
        </w:rPr>
        <w:t xml:space="preserve">, O., </w:t>
      </w:r>
      <w:proofErr w:type="spellStart"/>
      <w:r w:rsidRPr="0098093E">
        <w:rPr>
          <w:rFonts w:cs="Arial"/>
        </w:rPr>
        <w:t>Uyama</w:t>
      </w:r>
      <w:proofErr w:type="spellEnd"/>
      <w:r w:rsidRPr="0098093E">
        <w:rPr>
          <w:rFonts w:cs="Arial"/>
        </w:rPr>
        <w:t xml:space="preserve">, H., </w:t>
      </w:r>
      <w:proofErr w:type="spellStart"/>
      <w:r w:rsidRPr="0098093E">
        <w:rPr>
          <w:rFonts w:cs="Arial"/>
        </w:rPr>
        <w:t>Kashimura</w:t>
      </w:r>
      <w:proofErr w:type="spellEnd"/>
      <w:r w:rsidRPr="0098093E">
        <w:rPr>
          <w:rFonts w:cs="Arial"/>
        </w:rPr>
        <w:t xml:space="preserve">, S., 1986. </w:t>
      </w:r>
      <w:proofErr w:type="spellStart"/>
      <w:r w:rsidRPr="0098093E">
        <w:rPr>
          <w:rFonts w:cs="Arial"/>
        </w:rPr>
        <w:t>Electroorganic</w:t>
      </w:r>
      <w:proofErr w:type="spellEnd"/>
      <w:r w:rsidRPr="0098093E">
        <w:rPr>
          <w:rFonts w:cs="Arial"/>
        </w:rPr>
        <w:t xml:space="preserve"> chemistry. 91. A novel base useful for synthesis of esters and macrolides. J. Org. Chem. 51, 546–549.</w:t>
      </w:r>
    </w:p>
    <w:p w14:paraId="539F0AC7" w14:textId="77777777" w:rsidR="0098093E" w:rsidRPr="0098093E" w:rsidRDefault="0098093E" w:rsidP="0098093E">
      <w:pPr>
        <w:pStyle w:val="Bibliografia"/>
        <w:rPr>
          <w:rFonts w:cs="Arial"/>
        </w:rPr>
      </w:pPr>
      <w:r w:rsidRPr="0098093E">
        <w:rPr>
          <w:rFonts w:cs="Arial"/>
        </w:rPr>
        <w:t xml:space="preserve">Story, P.R., Denson, D.D., Bishop, C.E., Clark, </w:t>
      </w:r>
      <w:proofErr w:type="spellStart"/>
      <w:r w:rsidRPr="0098093E">
        <w:rPr>
          <w:rFonts w:cs="Arial"/>
        </w:rPr>
        <w:t>B.C.Jr</w:t>
      </w:r>
      <w:proofErr w:type="spellEnd"/>
      <w:r w:rsidRPr="0098093E">
        <w:rPr>
          <w:rFonts w:cs="Arial"/>
        </w:rPr>
        <w:t xml:space="preserve">., </w:t>
      </w:r>
      <w:proofErr w:type="spellStart"/>
      <w:r w:rsidRPr="0098093E">
        <w:rPr>
          <w:rFonts w:cs="Arial"/>
        </w:rPr>
        <w:t>Farine</w:t>
      </w:r>
      <w:proofErr w:type="spellEnd"/>
      <w:r w:rsidRPr="0098093E">
        <w:rPr>
          <w:rFonts w:cs="Arial"/>
        </w:rPr>
        <w:t>, J.-C., 1968. A new general synthesis of macrocyclic compounds. J. Am. Chem. Soc. 90, 817–818.</w:t>
      </w:r>
    </w:p>
    <w:p w14:paraId="176D4931" w14:textId="77777777" w:rsidR="0098093E" w:rsidRPr="0098093E" w:rsidRDefault="0098093E" w:rsidP="0098093E">
      <w:pPr>
        <w:pStyle w:val="Bibliografia"/>
        <w:rPr>
          <w:rFonts w:cs="Arial"/>
        </w:rPr>
      </w:pPr>
      <w:r w:rsidRPr="0098093E">
        <w:rPr>
          <w:rFonts w:cs="Arial"/>
        </w:rPr>
        <w:t>Story, P.R., Lee, B., Bishop, C.E., Denson, D.D., Busch, P., 1970. Macrocyclic synthesis. II. Cyclohexanone peroxides. J. Org. Chem. 35, 3059–3062.</w:t>
      </w:r>
    </w:p>
    <w:p w14:paraId="4498725A" w14:textId="0593852D" w:rsidR="00414774" w:rsidRDefault="0098093E" w:rsidP="00D75FB3">
      <w:pPr>
        <w:pStyle w:val="Bibliografia"/>
      </w:pPr>
      <w:r w:rsidRPr="0098093E">
        <w:rPr>
          <w:rFonts w:cs="Arial"/>
        </w:rPr>
        <w:t xml:space="preserve">Varma, A., </w:t>
      </w:r>
      <w:proofErr w:type="spellStart"/>
      <w:r w:rsidRPr="0098093E">
        <w:rPr>
          <w:rFonts w:cs="Arial"/>
        </w:rPr>
        <w:t>Morbidelli</w:t>
      </w:r>
      <w:proofErr w:type="spellEnd"/>
      <w:r w:rsidRPr="0098093E">
        <w:rPr>
          <w:rFonts w:cs="Arial"/>
        </w:rPr>
        <w:t>, M., Wu, H., 1999. Parametric Sensitivity in Chemical Systems, Cambridge Series in Chemical Engineering. Cambridge University Press, Cambridge.</w:t>
      </w:r>
      <w:r w:rsidR="00620D5A">
        <w:fldChar w:fldCharType="end"/>
      </w:r>
    </w:p>
    <w:sectPr w:rsidR="0041477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ACED" w14:textId="77777777" w:rsidR="008C2E79" w:rsidRDefault="008C2E79" w:rsidP="004F5E36">
      <w:r>
        <w:separator/>
      </w:r>
    </w:p>
  </w:endnote>
  <w:endnote w:type="continuationSeparator" w:id="0">
    <w:p w14:paraId="225B81D0" w14:textId="77777777" w:rsidR="008C2E79" w:rsidRDefault="008C2E7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48DB" w14:textId="77777777" w:rsidR="008C2E79" w:rsidRDefault="008C2E79" w:rsidP="004F5E36">
      <w:r>
        <w:separator/>
      </w:r>
    </w:p>
  </w:footnote>
  <w:footnote w:type="continuationSeparator" w:id="0">
    <w:p w14:paraId="139B2A56" w14:textId="77777777" w:rsidR="008C2E79" w:rsidRDefault="008C2E7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D3626FB"/>
    <w:multiLevelType w:val="hybridMultilevel"/>
    <w:tmpl w:val="7D802FA0"/>
    <w:lvl w:ilvl="0" w:tplc="04100017">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F8B2558"/>
    <w:multiLevelType w:val="hybridMultilevel"/>
    <w:tmpl w:val="76EA7B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632490362">
    <w:abstractNumId w:val="11"/>
  </w:num>
  <w:num w:numId="24" w16cid:durableId="19927108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F41"/>
    <w:rsid w:val="000027C0"/>
    <w:rsid w:val="000052FB"/>
    <w:rsid w:val="0000709C"/>
    <w:rsid w:val="000117CB"/>
    <w:rsid w:val="00013ECB"/>
    <w:rsid w:val="0001436D"/>
    <w:rsid w:val="000175B1"/>
    <w:rsid w:val="000177A0"/>
    <w:rsid w:val="0002741C"/>
    <w:rsid w:val="00027A4D"/>
    <w:rsid w:val="0003148D"/>
    <w:rsid w:val="00031EEC"/>
    <w:rsid w:val="0003215E"/>
    <w:rsid w:val="000326CF"/>
    <w:rsid w:val="000330D0"/>
    <w:rsid w:val="00046CFA"/>
    <w:rsid w:val="00051566"/>
    <w:rsid w:val="000517CC"/>
    <w:rsid w:val="0005274F"/>
    <w:rsid w:val="000562A9"/>
    <w:rsid w:val="000568E0"/>
    <w:rsid w:val="00061A14"/>
    <w:rsid w:val="00062A9A"/>
    <w:rsid w:val="000639EB"/>
    <w:rsid w:val="00065058"/>
    <w:rsid w:val="00071D11"/>
    <w:rsid w:val="0007414D"/>
    <w:rsid w:val="00075DD4"/>
    <w:rsid w:val="00082EE4"/>
    <w:rsid w:val="00085861"/>
    <w:rsid w:val="00086C39"/>
    <w:rsid w:val="0009226D"/>
    <w:rsid w:val="00092599"/>
    <w:rsid w:val="0009373B"/>
    <w:rsid w:val="00096620"/>
    <w:rsid w:val="000A03B2"/>
    <w:rsid w:val="000A21CA"/>
    <w:rsid w:val="000A2D32"/>
    <w:rsid w:val="000B0F3A"/>
    <w:rsid w:val="000B5254"/>
    <w:rsid w:val="000D0268"/>
    <w:rsid w:val="000D34BE"/>
    <w:rsid w:val="000D5BC9"/>
    <w:rsid w:val="000E102F"/>
    <w:rsid w:val="000E2B34"/>
    <w:rsid w:val="000E36F1"/>
    <w:rsid w:val="000E3A73"/>
    <w:rsid w:val="000E414A"/>
    <w:rsid w:val="000E6C67"/>
    <w:rsid w:val="000F093C"/>
    <w:rsid w:val="000F4197"/>
    <w:rsid w:val="000F4D8F"/>
    <w:rsid w:val="000F787B"/>
    <w:rsid w:val="001015C0"/>
    <w:rsid w:val="001038CE"/>
    <w:rsid w:val="00111807"/>
    <w:rsid w:val="0011571B"/>
    <w:rsid w:val="00115E2B"/>
    <w:rsid w:val="00117241"/>
    <w:rsid w:val="0012091F"/>
    <w:rsid w:val="00120DF3"/>
    <w:rsid w:val="00123DE4"/>
    <w:rsid w:val="00126BC2"/>
    <w:rsid w:val="001308B6"/>
    <w:rsid w:val="0013121F"/>
    <w:rsid w:val="00131FE6"/>
    <w:rsid w:val="0013263F"/>
    <w:rsid w:val="001331DF"/>
    <w:rsid w:val="00134DE4"/>
    <w:rsid w:val="0014034D"/>
    <w:rsid w:val="00143ED3"/>
    <w:rsid w:val="00144D16"/>
    <w:rsid w:val="00145A0C"/>
    <w:rsid w:val="00150CDD"/>
    <w:rsid w:val="00150E59"/>
    <w:rsid w:val="00152DE3"/>
    <w:rsid w:val="00153F6F"/>
    <w:rsid w:val="00156BCD"/>
    <w:rsid w:val="00161601"/>
    <w:rsid w:val="00162106"/>
    <w:rsid w:val="00164CF9"/>
    <w:rsid w:val="00165E75"/>
    <w:rsid w:val="001667A6"/>
    <w:rsid w:val="00166A5B"/>
    <w:rsid w:val="00174AD1"/>
    <w:rsid w:val="00183D7B"/>
    <w:rsid w:val="001848DA"/>
    <w:rsid w:val="00184AD6"/>
    <w:rsid w:val="00186C38"/>
    <w:rsid w:val="00186D51"/>
    <w:rsid w:val="0019011B"/>
    <w:rsid w:val="00190D3F"/>
    <w:rsid w:val="001915DF"/>
    <w:rsid w:val="00191B78"/>
    <w:rsid w:val="00192171"/>
    <w:rsid w:val="00192294"/>
    <w:rsid w:val="00194833"/>
    <w:rsid w:val="00195965"/>
    <w:rsid w:val="00197308"/>
    <w:rsid w:val="001A4AF7"/>
    <w:rsid w:val="001A512F"/>
    <w:rsid w:val="001B0349"/>
    <w:rsid w:val="001B1E93"/>
    <w:rsid w:val="001B65C1"/>
    <w:rsid w:val="001B6FA6"/>
    <w:rsid w:val="001C4250"/>
    <w:rsid w:val="001C4B0F"/>
    <w:rsid w:val="001C684B"/>
    <w:rsid w:val="001D0B82"/>
    <w:rsid w:val="001D0CFB"/>
    <w:rsid w:val="001D15F3"/>
    <w:rsid w:val="001D21AF"/>
    <w:rsid w:val="001D4D81"/>
    <w:rsid w:val="001D53FC"/>
    <w:rsid w:val="001E5E7D"/>
    <w:rsid w:val="001F1C28"/>
    <w:rsid w:val="001F42A5"/>
    <w:rsid w:val="001F7B9D"/>
    <w:rsid w:val="00200667"/>
    <w:rsid w:val="00201C93"/>
    <w:rsid w:val="00205317"/>
    <w:rsid w:val="00206810"/>
    <w:rsid w:val="0021401C"/>
    <w:rsid w:val="0021507B"/>
    <w:rsid w:val="002224B4"/>
    <w:rsid w:val="00224ADD"/>
    <w:rsid w:val="00236F24"/>
    <w:rsid w:val="002447EF"/>
    <w:rsid w:val="002463BF"/>
    <w:rsid w:val="00251550"/>
    <w:rsid w:val="00254852"/>
    <w:rsid w:val="00263B05"/>
    <w:rsid w:val="00267264"/>
    <w:rsid w:val="0027221A"/>
    <w:rsid w:val="00274FE1"/>
    <w:rsid w:val="00275B61"/>
    <w:rsid w:val="00280D19"/>
    <w:rsid w:val="00280FAF"/>
    <w:rsid w:val="00282656"/>
    <w:rsid w:val="00285468"/>
    <w:rsid w:val="00286684"/>
    <w:rsid w:val="00294F24"/>
    <w:rsid w:val="00296B83"/>
    <w:rsid w:val="00297264"/>
    <w:rsid w:val="002A4901"/>
    <w:rsid w:val="002A613A"/>
    <w:rsid w:val="002B4015"/>
    <w:rsid w:val="002B78CE"/>
    <w:rsid w:val="002C064A"/>
    <w:rsid w:val="002C1EE9"/>
    <w:rsid w:val="002C2286"/>
    <w:rsid w:val="002C2FB6"/>
    <w:rsid w:val="002C55EC"/>
    <w:rsid w:val="002D115D"/>
    <w:rsid w:val="002E2592"/>
    <w:rsid w:val="002E5FA7"/>
    <w:rsid w:val="002F3309"/>
    <w:rsid w:val="002F46EB"/>
    <w:rsid w:val="003008CE"/>
    <w:rsid w:val="0030093B"/>
    <w:rsid w:val="003009B7"/>
    <w:rsid w:val="00300E56"/>
    <w:rsid w:val="0030152C"/>
    <w:rsid w:val="0030469C"/>
    <w:rsid w:val="00307AFE"/>
    <w:rsid w:val="00307DCB"/>
    <w:rsid w:val="0031519A"/>
    <w:rsid w:val="00321CA6"/>
    <w:rsid w:val="00323763"/>
    <w:rsid w:val="0032399E"/>
    <w:rsid w:val="00323C5F"/>
    <w:rsid w:val="00326ADC"/>
    <w:rsid w:val="00327334"/>
    <w:rsid w:val="00332ABA"/>
    <w:rsid w:val="00334C09"/>
    <w:rsid w:val="00337269"/>
    <w:rsid w:val="003474B9"/>
    <w:rsid w:val="00351A8F"/>
    <w:rsid w:val="00355945"/>
    <w:rsid w:val="00356B9D"/>
    <w:rsid w:val="00356C83"/>
    <w:rsid w:val="00362307"/>
    <w:rsid w:val="003667FA"/>
    <w:rsid w:val="003723D4"/>
    <w:rsid w:val="0037515A"/>
    <w:rsid w:val="00377F23"/>
    <w:rsid w:val="00380133"/>
    <w:rsid w:val="00381905"/>
    <w:rsid w:val="003844D5"/>
    <w:rsid w:val="00384CC8"/>
    <w:rsid w:val="003871FD"/>
    <w:rsid w:val="00392D3D"/>
    <w:rsid w:val="00397594"/>
    <w:rsid w:val="003A0755"/>
    <w:rsid w:val="003A1BF6"/>
    <w:rsid w:val="003A1E30"/>
    <w:rsid w:val="003A23EB"/>
    <w:rsid w:val="003A2829"/>
    <w:rsid w:val="003A461C"/>
    <w:rsid w:val="003A7D1C"/>
    <w:rsid w:val="003B2EA3"/>
    <w:rsid w:val="003B304B"/>
    <w:rsid w:val="003B3146"/>
    <w:rsid w:val="003B42A0"/>
    <w:rsid w:val="003C1965"/>
    <w:rsid w:val="003C1BA2"/>
    <w:rsid w:val="003C78F3"/>
    <w:rsid w:val="003D1F75"/>
    <w:rsid w:val="003D6C76"/>
    <w:rsid w:val="003E0D69"/>
    <w:rsid w:val="003E67A3"/>
    <w:rsid w:val="003E68C9"/>
    <w:rsid w:val="003F015E"/>
    <w:rsid w:val="00400414"/>
    <w:rsid w:val="0041446B"/>
    <w:rsid w:val="00414774"/>
    <w:rsid w:val="004222DA"/>
    <w:rsid w:val="00426882"/>
    <w:rsid w:val="00427C42"/>
    <w:rsid w:val="00430885"/>
    <w:rsid w:val="00431AFA"/>
    <w:rsid w:val="00434839"/>
    <w:rsid w:val="00437A82"/>
    <w:rsid w:val="0044071E"/>
    <w:rsid w:val="0044329C"/>
    <w:rsid w:val="00443305"/>
    <w:rsid w:val="0044337F"/>
    <w:rsid w:val="00453E24"/>
    <w:rsid w:val="00456642"/>
    <w:rsid w:val="00457456"/>
    <w:rsid w:val="004577FE"/>
    <w:rsid w:val="00457B9C"/>
    <w:rsid w:val="0046164A"/>
    <w:rsid w:val="004628D2"/>
    <w:rsid w:val="00462C51"/>
    <w:rsid w:val="00462DCD"/>
    <w:rsid w:val="00462FD2"/>
    <w:rsid w:val="004648AD"/>
    <w:rsid w:val="004703A9"/>
    <w:rsid w:val="00471F39"/>
    <w:rsid w:val="0047437B"/>
    <w:rsid w:val="00474B0A"/>
    <w:rsid w:val="004760DE"/>
    <w:rsid w:val="004763D7"/>
    <w:rsid w:val="00483D0F"/>
    <w:rsid w:val="004851D9"/>
    <w:rsid w:val="00487429"/>
    <w:rsid w:val="0049234F"/>
    <w:rsid w:val="0049267F"/>
    <w:rsid w:val="004926D1"/>
    <w:rsid w:val="00494D6C"/>
    <w:rsid w:val="0049531C"/>
    <w:rsid w:val="0049712A"/>
    <w:rsid w:val="004A004E"/>
    <w:rsid w:val="004A24CF"/>
    <w:rsid w:val="004A4B94"/>
    <w:rsid w:val="004A4CEA"/>
    <w:rsid w:val="004A59B1"/>
    <w:rsid w:val="004A5ACC"/>
    <w:rsid w:val="004A76D5"/>
    <w:rsid w:val="004B3487"/>
    <w:rsid w:val="004B41E2"/>
    <w:rsid w:val="004B52B4"/>
    <w:rsid w:val="004B59BA"/>
    <w:rsid w:val="004C0201"/>
    <w:rsid w:val="004C23BE"/>
    <w:rsid w:val="004C2ADA"/>
    <w:rsid w:val="004C3D1D"/>
    <w:rsid w:val="004C3D84"/>
    <w:rsid w:val="004C426F"/>
    <w:rsid w:val="004C7913"/>
    <w:rsid w:val="004D4EEE"/>
    <w:rsid w:val="004D5D50"/>
    <w:rsid w:val="004E1540"/>
    <w:rsid w:val="004E3064"/>
    <w:rsid w:val="004E30F9"/>
    <w:rsid w:val="004E416C"/>
    <w:rsid w:val="004E4DD6"/>
    <w:rsid w:val="004E6A4E"/>
    <w:rsid w:val="004E7004"/>
    <w:rsid w:val="004E7372"/>
    <w:rsid w:val="004F5E36"/>
    <w:rsid w:val="004F618B"/>
    <w:rsid w:val="004F7583"/>
    <w:rsid w:val="005062BF"/>
    <w:rsid w:val="00507B47"/>
    <w:rsid w:val="00507B5F"/>
    <w:rsid w:val="00507BEF"/>
    <w:rsid w:val="00507CC9"/>
    <w:rsid w:val="005119A5"/>
    <w:rsid w:val="00517072"/>
    <w:rsid w:val="0052138E"/>
    <w:rsid w:val="005234EC"/>
    <w:rsid w:val="00525222"/>
    <w:rsid w:val="005278B7"/>
    <w:rsid w:val="00530F8F"/>
    <w:rsid w:val="00532016"/>
    <w:rsid w:val="005346C8"/>
    <w:rsid w:val="005374BB"/>
    <w:rsid w:val="00537F7A"/>
    <w:rsid w:val="00543E7D"/>
    <w:rsid w:val="005470D1"/>
    <w:rsid w:val="00547746"/>
    <w:rsid w:val="00547941"/>
    <w:rsid w:val="00547A68"/>
    <w:rsid w:val="00547A7A"/>
    <w:rsid w:val="00551086"/>
    <w:rsid w:val="005522B0"/>
    <w:rsid w:val="0055273C"/>
    <w:rsid w:val="005531C9"/>
    <w:rsid w:val="00556927"/>
    <w:rsid w:val="005620F1"/>
    <w:rsid w:val="005663CB"/>
    <w:rsid w:val="00570C43"/>
    <w:rsid w:val="00580027"/>
    <w:rsid w:val="0058257A"/>
    <w:rsid w:val="00587FB6"/>
    <w:rsid w:val="00592EAC"/>
    <w:rsid w:val="00593375"/>
    <w:rsid w:val="00593A01"/>
    <w:rsid w:val="00597B71"/>
    <w:rsid w:val="005B2110"/>
    <w:rsid w:val="005B46C1"/>
    <w:rsid w:val="005B61E6"/>
    <w:rsid w:val="005B778A"/>
    <w:rsid w:val="005C5D11"/>
    <w:rsid w:val="005C77E1"/>
    <w:rsid w:val="005D0B6B"/>
    <w:rsid w:val="005D14B2"/>
    <w:rsid w:val="005D572C"/>
    <w:rsid w:val="005D668A"/>
    <w:rsid w:val="005D6A2F"/>
    <w:rsid w:val="005E1A82"/>
    <w:rsid w:val="005E2A83"/>
    <w:rsid w:val="005E345E"/>
    <w:rsid w:val="005E5474"/>
    <w:rsid w:val="005E794C"/>
    <w:rsid w:val="005F0A28"/>
    <w:rsid w:val="005F0E5E"/>
    <w:rsid w:val="005F2B60"/>
    <w:rsid w:val="005F5FC7"/>
    <w:rsid w:val="005F7606"/>
    <w:rsid w:val="00600535"/>
    <w:rsid w:val="00601B1D"/>
    <w:rsid w:val="00601D2E"/>
    <w:rsid w:val="00610CD6"/>
    <w:rsid w:val="0061153D"/>
    <w:rsid w:val="0061173A"/>
    <w:rsid w:val="006132FB"/>
    <w:rsid w:val="006145BC"/>
    <w:rsid w:val="00616913"/>
    <w:rsid w:val="0062027B"/>
    <w:rsid w:val="006203CE"/>
    <w:rsid w:val="00620D5A"/>
    <w:rsid w:val="00620DEE"/>
    <w:rsid w:val="00621F92"/>
    <w:rsid w:val="0062280A"/>
    <w:rsid w:val="006248FB"/>
    <w:rsid w:val="00624DCB"/>
    <w:rsid w:val="00625639"/>
    <w:rsid w:val="00627121"/>
    <w:rsid w:val="00631B33"/>
    <w:rsid w:val="0063221E"/>
    <w:rsid w:val="00636A56"/>
    <w:rsid w:val="00636E7C"/>
    <w:rsid w:val="0064018F"/>
    <w:rsid w:val="0064184D"/>
    <w:rsid w:val="00641A2A"/>
    <w:rsid w:val="006422CC"/>
    <w:rsid w:val="0064789F"/>
    <w:rsid w:val="00652702"/>
    <w:rsid w:val="00653C97"/>
    <w:rsid w:val="00657380"/>
    <w:rsid w:val="00657464"/>
    <w:rsid w:val="0066013E"/>
    <w:rsid w:val="00660748"/>
    <w:rsid w:val="00660E3E"/>
    <w:rsid w:val="00662B84"/>
    <w:rsid w:val="00662E74"/>
    <w:rsid w:val="00665EBD"/>
    <w:rsid w:val="00671BF5"/>
    <w:rsid w:val="00680C23"/>
    <w:rsid w:val="0068715C"/>
    <w:rsid w:val="006872B7"/>
    <w:rsid w:val="00691E48"/>
    <w:rsid w:val="00693766"/>
    <w:rsid w:val="006969C3"/>
    <w:rsid w:val="006A3281"/>
    <w:rsid w:val="006A4CB6"/>
    <w:rsid w:val="006B09C1"/>
    <w:rsid w:val="006B1B21"/>
    <w:rsid w:val="006B4888"/>
    <w:rsid w:val="006C085E"/>
    <w:rsid w:val="006C2E45"/>
    <w:rsid w:val="006C359C"/>
    <w:rsid w:val="006C4941"/>
    <w:rsid w:val="006C54E4"/>
    <w:rsid w:val="006C5579"/>
    <w:rsid w:val="006C771E"/>
    <w:rsid w:val="006D2063"/>
    <w:rsid w:val="006D40CB"/>
    <w:rsid w:val="006D6E8B"/>
    <w:rsid w:val="006E2F7A"/>
    <w:rsid w:val="006E4402"/>
    <w:rsid w:val="006E6070"/>
    <w:rsid w:val="006E6711"/>
    <w:rsid w:val="006E737D"/>
    <w:rsid w:val="006F20AF"/>
    <w:rsid w:val="006F31DD"/>
    <w:rsid w:val="006F6524"/>
    <w:rsid w:val="00701721"/>
    <w:rsid w:val="00713973"/>
    <w:rsid w:val="00713C35"/>
    <w:rsid w:val="007146BE"/>
    <w:rsid w:val="00715514"/>
    <w:rsid w:val="00716C89"/>
    <w:rsid w:val="00720A24"/>
    <w:rsid w:val="00722C67"/>
    <w:rsid w:val="00722F07"/>
    <w:rsid w:val="00730403"/>
    <w:rsid w:val="007304A9"/>
    <w:rsid w:val="00732386"/>
    <w:rsid w:val="00734D02"/>
    <w:rsid w:val="0073502A"/>
    <w:rsid w:val="0073514D"/>
    <w:rsid w:val="0073654F"/>
    <w:rsid w:val="0074149C"/>
    <w:rsid w:val="007435C4"/>
    <w:rsid w:val="007447F3"/>
    <w:rsid w:val="0074529E"/>
    <w:rsid w:val="007473E4"/>
    <w:rsid w:val="00752F9D"/>
    <w:rsid w:val="0075439D"/>
    <w:rsid w:val="0075499F"/>
    <w:rsid w:val="00756997"/>
    <w:rsid w:val="00762CA6"/>
    <w:rsid w:val="00764C7A"/>
    <w:rsid w:val="00764F14"/>
    <w:rsid w:val="007661C8"/>
    <w:rsid w:val="0077098D"/>
    <w:rsid w:val="00775306"/>
    <w:rsid w:val="00775CFC"/>
    <w:rsid w:val="0077764D"/>
    <w:rsid w:val="0078351B"/>
    <w:rsid w:val="00784772"/>
    <w:rsid w:val="00784B86"/>
    <w:rsid w:val="00786F63"/>
    <w:rsid w:val="00792FAA"/>
    <w:rsid w:val="007931FA"/>
    <w:rsid w:val="0079729F"/>
    <w:rsid w:val="007A2AC5"/>
    <w:rsid w:val="007A39B6"/>
    <w:rsid w:val="007A4861"/>
    <w:rsid w:val="007A6919"/>
    <w:rsid w:val="007A7454"/>
    <w:rsid w:val="007A7BBA"/>
    <w:rsid w:val="007A7D0E"/>
    <w:rsid w:val="007B0C50"/>
    <w:rsid w:val="007B48F9"/>
    <w:rsid w:val="007C1389"/>
    <w:rsid w:val="007C1A43"/>
    <w:rsid w:val="007C2C35"/>
    <w:rsid w:val="007D0951"/>
    <w:rsid w:val="007D365F"/>
    <w:rsid w:val="007E0ED3"/>
    <w:rsid w:val="007E30DB"/>
    <w:rsid w:val="007E5086"/>
    <w:rsid w:val="007F165E"/>
    <w:rsid w:val="0080013E"/>
    <w:rsid w:val="00802F4E"/>
    <w:rsid w:val="00803D8F"/>
    <w:rsid w:val="00807CF9"/>
    <w:rsid w:val="00813288"/>
    <w:rsid w:val="008160D9"/>
    <w:rsid w:val="008168FC"/>
    <w:rsid w:val="0081733D"/>
    <w:rsid w:val="00821BF9"/>
    <w:rsid w:val="00822CE9"/>
    <w:rsid w:val="0082536A"/>
    <w:rsid w:val="00825C0C"/>
    <w:rsid w:val="00825CD3"/>
    <w:rsid w:val="00827C53"/>
    <w:rsid w:val="00830996"/>
    <w:rsid w:val="008322AB"/>
    <w:rsid w:val="008345F1"/>
    <w:rsid w:val="008359B8"/>
    <w:rsid w:val="00841885"/>
    <w:rsid w:val="008468C2"/>
    <w:rsid w:val="0085074B"/>
    <w:rsid w:val="00851125"/>
    <w:rsid w:val="00851770"/>
    <w:rsid w:val="00855336"/>
    <w:rsid w:val="008570A0"/>
    <w:rsid w:val="00857181"/>
    <w:rsid w:val="00857CC7"/>
    <w:rsid w:val="00861442"/>
    <w:rsid w:val="00862F13"/>
    <w:rsid w:val="008636AC"/>
    <w:rsid w:val="008650DF"/>
    <w:rsid w:val="00865B07"/>
    <w:rsid w:val="00865BC4"/>
    <w:rsid w:val="008667EA"/>
    <w:rsid w:val="00866B1D"/>
    <w:rsid w:val="00867D5E"/>
    <w:rsid w:val="0087637F"/>
    <w:rsid w:val="00882FDD"/>
    <w:rsid w:val="0088374F"/>
    <w:rsid w:val="00884CCE"/>
    <w:rsid w:val="0089046D"/>
    <w:rsid w:val="00890F90"/>
    <w:rsid w:val="00892AD5"/>
    <w:rsid w:val="00893B50"/>
    <w:rsid w:val="008941A9"/>
    <w:rsid w:val="008951EB"/>
    <w:rsid w:val="008A1512"/>
    <w:rsid w:val="008A1C25"/>
    <w:rsid w:val="008A72C9"/>
    <w:rsid w:val="008A783D"/>
    <w:rsid w:val="008A7C05"/>
    <w:rsid w:val="008B0823"/>
    <w:rsid w:val="008B343B"/>
    <w:rsid w:val="008B34E7"/>
    <w:rsid w:val="008B5999"/>
    <w:rsid w:val="008B770C"/>
    <w:rsid w:val="008C2E79"/>
    <w:rsid w:val="008D1193"/>
    <w:rsid w:val="008D32B9"/>
    <w:rsid w:val="008D433B"/>
    <w:rsid w:val="008D4A16"/>
    <w:rsid w:val="008D7517"/>
    <w:rsid w:val="008E1372"/>
    <w:rsid w:val="008E1516"/>
    <w:rsid w:val="008E3335"/>
    <w:rsid w:val="008E566E"/>
    <w:rsid w:val="008E7E84"/>
    <w:rsid w:val="008F2B5F"/>
    <w:rsid w:val="008F2E37"/>
    <w:rsid w:val="008F5C49"/>
    <w:rsid w:val="008F63A2"/>
    <w:rsid w:val="0090161A"/>
    <w:rsid w:val="00901EB6"/>
    <w:rsid w:val="00904C62"/>
    <w:rsid w:val="009052D3"/>
    <w:rsid w:val="00906694"/>
    <w:rsid w:val="0091333B"/>
    <w:rsid w:val="009138B8"/>
    <w:rsid w:val="009143C4"/>
    <w:rsid w:val="00915BEE"/>
    <w:rsid w:val="009167C5"/>
    <w:rsid w:val="00917D8A"/>
    <w:rsid w:val="00922BA8"/>
    <w:rsid w:val="00924DAC"/>
    <w:rsid w:val="00927058"/>
    <w:rsid w:val="00927436"/>
    <w:rsid w:val="00932287"/>
    <w:rsid w:val="00932403"/>
    <w:rsid w:val="009351EA"/>
    <w:rsid w:val="0093667E"/>
    <w:rsid w:val="00942750"/>
    <w:rsid w:val="009450CE"/>
    <w:rsid w:val="009459BB"/>
    <w:rsid w:val="009469CD"/>
    <w:rsid w:val="00947179"/>
    <w:rsid w:val="0095164B"/>
    <w:rsid w:val="00952D33"/>
    <w:rsid w:val="0095323C"/>
    <w:rsid w:val="00954090"/>
    <w:rsid w:val="00956DBC"/>
    <w:rsid w:val="009573E7"/>
    <w:rsid w:val="0096013B"/>
    <w:rsid w:val="00963E05"/>
    <w:rsid w:val="00964736"/>
    <w:rsid w:val="00964A45"/>
    <w:rsid w:val="009655AB"/>
    <w:rsid w:val="00967843"/>
    <w:rsid w:val="00967D54"/>
    <w:rsid w:val="00971028"/>
    <w:rsid w:val="00974309"/>
    <w:rsid w:val="0097631F"/>
    <w:rsid w:val="00980392"/>
    <w:rsid w:val="0098093E"/>
    <w:rsid w:val="00980FAA"/>
    <w:rsid w:val="00981103"/>
    <w:rsid w:val="00984CA7"/>
    <w:rsid w:val="00993B84"/>
    <w:rsid w:val="009944C0"/>
    <w:rsid w:val="00996483"/>
    <w:rsid w:val="00996F5A"/>
    <w:rsid w:val="009A19F0"/>
    <w:rsid w:val="009A6E8F"/>
    <w:rsid w:val="009B041A"/>
    <w:rsid w:val="009B0734"/>
    <w:rsid w:val="009B2194"/>
    <w:rsid w:val="009B775E"/>
    <w:rsid w:val="009C11A8"/>
    <w:rsid w:val="009C204F"/>
    <w:rsid w:val="009C3544"/>
    <w:rsid w:val="009C37C3"/>
    <w:rsid w:val="009C7C86"/>
    <w:rsid w:val="009D2FF7"/>
    <w:rsid w:val="009D5D74"/>
    <w:rsid w:val="009D6235"/>
    <w:rsid w:val="009D7B4B"/>
    <w:rsid w:val="009E0C80"/>
    <w:rsid w:val="009E0C91"/>
    <w:rsid w:val="009E7884"/>
    <w:rsid w:val="009E788A"/>
    <w:rsid w:val="009F0E08"/>
    <w:rsid w:val="009F571D"/>
    <w:rsid w:val="009F64F2"/>
    <w:rsid w:val="009F76CD"/>
    <w:rsid w:val="009F7F97"/>
    <w:rsid w:val="00A03C33"/>
    <w:rsid w:val="00A04646"/>
    <w:rsid w:val="00A1295D"/>
    <w:rsid w:val="00A13962"/>
    <w:rsid w:val="00A1763D"/>
    <w:rsid w:val="00A1788E"/>
    <w:rsid w:val="00A17CEC"/>
    <w:rsid w:val="00A22F98"/>
    <w:rsid w:val="00A263EA"/>
    <w:rsid w:val="00A26C44"/>
    <w:rsid w:val="00A27EF0"/>
    <w:rsid w:val="00A33F90"/>
    <w:rsid w:val="00A4057C"/>
    <w:rsid w:val="00A42361"/>
    <w:rsid w:val="00A460D2"/>
    <w:rsid w:val="00A50B20"/>
    <w:rsid w:val="00A51390"/>
    <w:rsid w:val="00A517B7"/>
    <w:rsid w:val="00A51E2F"/>
    <w:rsid w:val="00A5500E"/>
    <w:rsid w:val="00A57A99"/>
    <w:rsid w:val="00A60D13"/>
    <w:rsid w:val="00A65588"/>
    <w:rsid w:val="00A6565A"/>
    <w:rsid w:val="00A7223D"/>
    <w:rsid w:val="00A7227D"/>
    <w:rsid w:val="00A72745"/>
    <w:rsid w:val="00A72B53"/>
    <w:rsid w:val="00A76EFC"/>
    <w:rsid w:val="00A77330"/>
    <w:rsid w:val="00A80B99"/>
    <w:rsid w:val="00A856FB"/>
    <w:rsid w:val="00A860A0"/>
    <w:rsid w:val="00A87D50"/>
    <w:rsid w:val="00A91010"/>
    <w:rsid w:val="00A96551"/>
    <w:rsid w:val="00A97F29"/>
    <w:rsid w:val="00AA4432"/>
    <w:rsid w:val="00AA576B"/>
    <w:rsid w:val="00AA702E"/>
    <w:rsid w:val="00AA7D26"/>
    <w:rsid w:val="00AA7D8A"/>
    <w:rsid w:val="00AB0964"/>
    <w:rsid w:val="00AB5011"/>
    <w:rsid w:val="00AC3435"/>
    <w:rsid w:val="00AC70BB"/>
    <w:rsid w:val="00AC7368"/>
    <w:rsid w:val="00AC79B8"/>
    <w:rsid w:val="00AC7BB4"/>
    <w:rsid w:val="00AD16B9"/>
    <w:rsid w:val="00AD6A72"/>
    <w:rsid w:val="00AD702D"/>
    <w:rsid w:val="00AE377D"/>
    <w:rsid w:val="00AE7586"/>
    <w:rsid w:val="00AF0EBA"/>
    <w:rsid w:val="00AF38CE"/>
    <w:rsid w:val="00AF46A3"/>
    <w:rsid w:val="00AF64F0"/>
    <w:rsid w:val="00B02C8A"/>
    <w:rsid w:val="00B06640"/>
    <w:rsid w:val="00B07390"/>
    <w:rsid w:val="00B15010"/>
    <w:rsid w:val="00B15A8B"/>
    <w:rsid w:val="00B15BEB"/>
    <w:rsid w:val="00B17731"/>
    <w:rsid w:val="00B17FBD"/>
    <w:rsid w:val="00B3142F"/>
    <w:rsid w:val="00B315A6"/>
    <w:rsid w:val="00B31813"/>
    <w:rsid w:val="00B33365"/>
    <w:rsid w:val="00B4108A"/>
    <w:rsid w:val="00B43887"/>
    <w:rsid w:val="00B44323"/>
    <w:rsid w:val="00B45BEA"/>
    <w:rsid w:val="00B55EFD"/>
    <w:rsid w:val="00B55FAF"/>
    <w:rsid w:val="00B57723"/>
    <w:rsid w:val="00B57B36"/>
    <w:rsid w:val="00B57E6F"/>
    <w:rsid w:val="00B622A1"/>
    <w:rsid w:val="00B66321"/>
    <w:rsid w:val="00B706D1"/>
    <w:rsid w:val="00B72248"/>
    <w:rsid w:val="00B73B55"/>
    <w:rsid w:val="00B7579C"/>
    <w:rsid w:val="00B807EA"/>
    <w:rsid w:val="00B82586"/>
    <w:rsid w:val="00B83D6A"/>
    <w:rsid w:val="00B8686D"/>
    <w:rsid w:val="00B93F69"/>
    <w:rsid w:val="00B94ABF"/>
    <w:rsid w:val="00B94F91"/>
    <w:rsid w:val="00BA32E4"/>
    <w:rsid w:val="00BA4FD3"/>
    <w:rsid w:val="00BB0C49"/>
    <w:rsid w:val="00BB1DDC"/>
    <w:rsid w:val="00BB3628"/>
    <w:rsid w:val="00BC10EE"/>
    <w:rsid w:val="00BC121B"/>
    <w:rsid w:val="00BC30C9"/>
    <w:rsid w:val="00BC4E63"/>
    <w:rsid w:val="00BD077D"/>
    <w:rsid w:val="00BE39DE"/>
    <w:rsid w:val="00BE3E58"/>
    <w:rsid w:val="00BE6943"/>
    <w:rsid w:val="00BF60FD"/>
    <w:rsid w:val="00C01616"/>
    <w:rsid w:val="00C0162B"/>
    <w:rsid w:val="00C03B40"/>
    <w:rsid w:val="00C0570B"/>
    <w:rsid w:val="00C068ED"/>
    <w:rsid w:val="00C0701A"/>
    <w:rsid w:val="00C10CAE"/>
    <w:rsid w:val="00C128CB"/>
    <w:rsid w:val="00C153E0"/>
    <w:rsid w:val="00C15BD0"/>
    <w:rsid w:val="00C21901"/>
    <w:rsid w:val="00C22E0C"/>
    <w:rsid w:val="00C24BB0"/>
    <w:rsid w:val="00C26D86"/>
    <w:rsid w:val="00C328D8"/>
    <w:rsid w:val="00C345B1"/>
    <w:rsid w:val="00C36FCC"/>
    <w:rsid w:val="00C40142"/>
    <w:rsid w:val="00C4401F"/>
    <w:rsid w:val="00C516F6"/>
    <w:rsid w:val="00C52C3C"/>
    <w:rsid w:val="00C57182"/>
    <w:rsid w:val="00C57863"/>
    <w:rsid w:val="00C640AF"/>
    <w:rsid w:val="00C655FD"/>
    <w:rsid w:val="00C70212"/>
    <w:rsid w:val="00C73886"/>
    <w:rsid w:val="00C75407"/>
    <w:rsid w:val="00C76480"/>
    <w:rsid w:val="00C811C7"/>
    <w:rsid w:val="00C81728"/>
    <w:rsid w:val="00C83B4B"/>
    <w:rsid w:val="00C870A8"/>
    <w:rsid w:val="00C94434"/>
    <w:rsid w:val="00C948FE"/>
    <w:rsid w:val="00C97319"/>
    <w:rsid w:val="00CA0C88"/>
    <w:rsid w:val="00CA0D75"/>
    <w:rsid w:val="00CA1C95"/>
    <w:rsid w:val="00CA5A9C"/>
    <w:rsid w:val="00CB0EA2"/>
    <w:rsid w:val="00CB239D"/>
    <w:rsid w:val="00CB2490"/>
    <w:rsid w:val="00CB47AE"/>
    <w:rsid w:val="00CC1C63"/>
    <w:rsid w:val="00CC4C20"/>
    <w:rsid w:val="00CC64C6"/>
    <w:rsid w:val="00CC7FD6"/>
    <w:rsid w:val="00CD161E"/>
    <w:rsid w:val="00CD1DDC"/>
    <w:rsid w:val="00CD23B7"/>
    <w:rsid w:val="00CD3517"/>
    <w:rsid w:val="00CD5543"/>
    <w:rsid w:val="00CD5FE2"/>
    <w:rsid w:val="00CD69C1"/>
    <w:rsid w:val="00CE301F"/>
    <w:rsid w:val="00CE7C68"/>
    <w:rsid w:val="00CF1C66"/>
    <w:rsid w:val="00CF467D"/>
    <w:rsid w:val="00D005CF"/>
    <w:rsid w:val="00D00945"/>
    <w:rsid w:val="00D02347"/>
    <w:rsid w:val="00D02B4C"/>
    <w:rsid w:val="00D040C4"/>
    <w:rsid w:val="00D04919"/>
    <w:rsid w:val="00D05231"/>
    <w:rsid w:val="00D05EDF"/>
    <w:rsid w:val="00D128E6"/>
    <w:rsid w:val="00D14900"/>
    <w:rsid w:val="00D16FAD"/>
    <w:rsid w:val="00D207A3"/>
    <w:rsid w:val="00D20AD1"/>
    <w:rsid w:val="00D36DDF"/>
    <w:rsid w:val="00D46B7E"/>
    <w:rsid w:val="00D54F3E"/>
    <w:rsid w:val="00D57C84"/>
    <w:rsid w:val="00D6057D"/>
    <w:rsid w:val="00D61CB6"/>
    <w:rsid w:val="00D632F8"/>
    <w:rsid w:val="00D71640"/>
    <w:rsid w:val="00D75FB3"/>
    <w:rsid w:val="00D764E1"/>
    <w:rsid w:val="00D76AC9"/>
    <w:rsid w:val="00D77869"/>
    <w:rsid w:val="00D808BA"/>
    <w:rsid w:val="00D809FE"/>
    <w:rsid w:val="00D836C5"/>
    <w:rsid w:val="00D84576"/>
    <w:rsid w:val="00D85092"/>
    <w:rsid w:val="00D8774C"/>
    <w:rsid w:val="00D9187E"/>
    <w:rsid w:val="00DA1399"/>
    <w:rsid w:val="00DA24C6"/>
    <w:rsid w:val="00DA4D7B"/>
    <w:rsid w:val="00DA6953"/>
    <w:rsid w:val="00DB42A5"/>
    <w:rsid w:val="00DB7637"/>
    <w:rsid w:val="00DB7FDF"/>
    <w:rsid w:val="00DC049A"/>
    <w:rsid w:val="00DC07B3"/>
    <w:rsid w:val="00DC4875"/>
    <w:rsid w:val="00DD271C"/>
    <w:rsid w:val="00DE05D0"/>
    <w:rsid w:val="00DE264A"/>
    <w:rsid w:val="00DE2BA5"/>
    <w:rsid w:val="00DE2E2E"/>
    <w:rsid w:val="00DE4CFA"/>
    <w:rsid w:val="00DE555F"/>
    <w:rsid w:val="00DE590B"/>
    <w:rsid w:val="00DF5072"/>
    <w:rsid w:val="00E002B2"/>
    <w:rsid w:val="00E01041"/>
    <w:rsid w:val="00E028F7"/>
    <w:rsid w:val="00E02D18"/>
    <w:rsid w:val="00E041E7"/>
    <w:rsid w:val="00E049FF"/>
    <w:rsid w:val="00E06FA8"/>
    <w:rsid w:val="00E111E4"/>
    <w:rsid w:val="00E117AF"/>
    <w:rsid w:val="00E14D0D"/>
    <w:rsid w:val="00E23CA1"/>
    <w:rsid w:val="00E26B78"/>
    <w:rsid w:val="00E2777E"/>
    <w:rsid w:val="00E30E0B"/>
    <w:rsid w:val="00E33550"/>
    <w:rsid w:val="00E342EB"/>
    <w:rsid w:val="00E409A8"/>
    <w:rsid w:val="00E416D0"/>
    <w:rsid w:val="00E4294B"/>
    <w:rsid w:val="00E507AA"/>
    <w:rsid w:val="00E50C12"/>
    <w:rsid w:val="00E543C9"/>
    <w:rsid w:val="00E546E4"/>
    <w:rsid w:val="00E548DE"/>
    <w:rsid w:val="00E55204"/>
    <w:rsid w:val="00E554B5"/>
    <w:rsid w:val="00E557DA"/>
    <w:rsid w:val="00E5703E"/>
    <w:rsid w:val="00E63357"/>
    <w:rsid w:val="00E63FE2"/>
    <w:rsid w:val="00E6409E"/>
    <w:rsid w:val="00E641DD"/>
    <w:rsid w:val="00E65912"/>
    <w:rsid w:val="00E65B91"/>
    <w:rsid w:val="00E660B5"/>
    <w:rsid w:val="00E7209D"/>
    <w:rsid w:val="00E7299E"/>
    <w:rsid w:val="00E72EAD"/>
    <w:rsid w:val="00E77223"/>
    <w:rsid w:val="00E803EE"/>
    <w:rsid w:val="00E810D7"/>
    <w:rsid w:val="00E84AE0"/>
    <w:rsid w:val="00E8528B"/>
    <w:rsid w:val="00E85B94"/>
    <w:rsid w:val="00E93435"/>
    <w:rsid w:val="00E95859"/>
    <w:rsid w:val="00E964C5"/>
    <w:rsid w:val="00E97432"/>
    <w:rsid w:val="00E978D0"/>
    <w:rsid w:val="00EA2EBA"/>
    <w:rsid w:val="00EA4613"/>
    <w:rsid w:val="00EA57BC"/>
    <w:rsid w:val="00EA7F91"/>
    <w:rsid w:val="00EB09A7"/>
    <w:rsid w:val="00EB1523"/>
    <w:rsid w:val="00EB1F1B"/>
    <w:rsid w:val="00EB2D27"/>
    <w:rsid w:val="00EB6116"/>
    <w:rsid w:val="00EB7A39"/>
    <w:rsid w:val="00EB7C5B"/>
    <w:rsid w:val="00EC0E49"/>
    <w:rsid w:val="00EC101F"/>
    <w:rsid w:val="00EC1D9F"/>
    <w:rsid w:val="00ED117B"/>
    <w:rsid w:val="00ED178B"/>
    <w:rsid w:val="00ED61B6"/>
    <w:rsid w:val="00EE0131"/>
    <w:rsid w:val="00EE17B0"/>
    <w:rsid w:val="00EF06D9"/>
    <w:rsid w:val="00EF3A25"/>
    <w:rsid w:val="00EF3F04"/>
    <w:rsid w:val="00EF5615"/>
    <w:rsid w:val="00EF7FFD"/>
    <w:rsid w:val="00F01787"/>
    <w:rsid w:val="00F021D1"/>
    <w:rsid w:val="00F044AD"/>
    <w:rsid w:val="00F0605B"/>
    <w:rsid w:val="00F0697F"/>
    <w:rsid w:val="00F14D49"/>
    <w:rsid w:val="00F2624E"/>
    <w:rsid w:val="00F3049E"/>
    <w:rsid w:val="00F3058C"/>
    <w:rsid w:val="00F30C64"/>
    <w:rsid w:val="00F326D6"/>
    <w:rsid w:val="00F3282A"/>
    <w:rsid w:val="00F328D8"/>
    <w:rsid w:val="00F32BA2"/>
    <w:rsid w:val="00F32CDB"/>
    <w:rsid w:val="00F44E6C"/>
    <w:rsid w:val="00F4629B"/>
    <w:rsid w:val="00F52796"/>
    <w:rsid w:val="00F55657"/>
    <w:rsid w:val="00F565FE"/>
    <w:rsid w:val="00F6185A"/>
    <w:rsid w:val="00F62B99"/>
    <w:rsid w:val="00F63A70"/>
    <w:rsid w:val="00F63D8C"/>
    <w:rsid w:val="00F64421"/>
    <w:rsid w:val="00F71898"/>
    <w:rsid w:val="00F71984"/>
    <w:rsid w:val="00F7219F"/>
    <w:rsid w:val="00F7534E"/>
    <w:rsid w:val="00F8617C"/>
    <w:rsid w:val="00F86C50"/>
    <w:rsid w:val="00F86F14"/>
    <w:rsid w:val="00F87331"/>
    <w:rsid w:val="00F87F07"/>
    <w:rsid w:val="00F93EDF"/>
    <w:rsid w:val="00F959EF"/>
    <w:rsid w:val="00FA156B"/>
    <w:rsid w:val="00FA1802"/>
    <w:rsid w:val="00FA21D0"/>
    <w:rsid w:val="00FA32CB"/>
    <w:rsid w:val="00FA5F5F"/>
    <w:rsid w:val="00FB26DD"/>
    <w:rsid w:val="00FB31A8"/>
    <w:rsid w:val="00FB730C"/>
    <w:rsid w:val="00FC0E66"/>
    <w:rsid w:val="00FC2695"/>
    <w:rsid w:val="00FC33C9"/>
    <w:rsid w:val="00FC3E03"/>
    <w:rsid w:val="00FC3FC1"/>
    <w:rsid w:val="00FC45B8"/>
    <w:rsid w:val="00FC48F1"/>
    <w:rsid w:val="00FC4DA2"/>
    <w:rsid w:val="00FD0AE3"/>
    <w:rsid w:val="00FD4B70"/>
    <w:rsid w:val="00FD4EC0"/>
    <w:rsid w:val="00FD4F26"/>
    <w:rsid w:val="00FD548A"/>
    <w:rsid w:val="00FD6909"/>
    <w:rsid w:val="00FD7DAA"/>
    <w:rsid w:val="00FE11C0"/>
    <w:rsid w:val="00FE1F9C"/>
    <w:rsid w:val="00FE28A4"/>
    <w:rsid w:val="00FE33D8"/>
    <w:rsid w:val="00FE6AB2"/>
    <w:rsid w:val="00FF06E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1"/>
    <w:unhideWhenUsed/>
    <w:qFormat/>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9F571D"/>
    <w:rPr>
      <w:color w:val="808080"/>
    </w:rPr>
  </w:style>
  <w:style w:type="paragraph" w:styleId="Revisione">
    <w:name w:val="Revision"/>
    <w:hidden/>
    <w:uiPriority w:val="99"/>
    <w:semiHidden/>
    <w:rsid w:val="00984CA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488">
      <w:bodyDiv w:val="1"/>
      <w:marLeft w:val="0"/>
      <w:marRight w:val="0"/>
      <w:marTop w:val="0"/>
      <w:marBottom w:val="0"/>
      <w:divBdr>
        <w:top w:val="none" w:sz="0" w:space="0" w:color="auto"/>
        <w:left w:val="none" w:sz="0" w:space="0" w:color="auto"/>
        <w:bottom w:val="none" w:sz="0" w:space="0" w:color="auto"/>
        <w:right w:val="none" w:sz="0" w:space="0" w:color="auto"/>
      </w:divBdr>
    </w:div>
    <w:div w:id="5718693">
      <w:bodyDiv w:val="1"/>
      <w:marLeft w:val="0"/>
      <w:marRight w:val="0"/>
      <w:marTop w:val="0"/>
      <w:marBottom w:val="0"/>
      <w:divBdr>
        <w:top w:val="none" w:sz="0" w:space="0" w:color="auto"/>
        <w:left w:val="none" w:sz="0" w:space="0" w:color="auto"/>
        <w:bottom w:val="none" w:sz="0" w:space="0" w:color="auto"/>
        <w:right w:val="none" w:sz="0" w:space="0" w:color="auto"/>
      </w:divBdr>
    </w:div>
    <w:div w:id="188953268">
      <w:bodyDiv w:val="1"/>
      <w:marLeft w:val="0"/>
      <w:marRight w:val="0"/>
      <w:marTop w:val="0"/>
      <w:marBottom w:val="0"/>
      <w:divBdr>
        <w:top w:val="none" w:sz="0" w:space="0" w:color="auto"/>
        <w:left w:val="none" w:sz="0" w:space="0" w:color="auto"/>
        <w:bottom w:val="none" w:sz="0" w:space="0" w:color="auto"/>
        <w:right w:val="none" w:sz="0" w:space="0" w:color="auto"/>
      </w:divBdr>
    </w:div>
    <w:div w:id="254555133">
      <w:bodyDiv w:val="1"/>
      <w:marLeft w:val="0"/>
      <w:marRight w:val="0"/>
      <w:marTop w:val="0"/>
      <w:marBottom w:val="0"/>
      <w:divBdr>
        <w:top w:val="none" w:sz="0" w:space="0" w:color="auto"/>
        <w:left w:val="none" w:sz="0" w:space="0" w:color="auto"/>
        <w:bottom w:val="none" w:sz="0" w:space="0" w:color="auto"/>
        <w:right w:val="none" w:sz="0" w:space="0" w:color="auto"/>
      </w:divBdr>
    </w:div>
    <w:div w:id="268515448">
      <w:bodyDiv w:val="1"/>
      <w:marLeft w:val="0"/>
      <w:marRight w:val="0"/>
      <w:marTop w:val="0"/>
      <w:marBottom w:val="0"/>
      <w:divBdr>
        <w:top w:val="none" w:sz="0" w:space="0" w:color="auto"/>
        <w:left w:val="none" w:sz="0" w:space="0" w:color="auto"/>
        <w:bottom w:val="none" w:sz="0" w:space="0" w:color="auto"/>
        <w:right w:val="none" w:sz="0" w:space="0" w:color="auto"/>
      </w:divBdr>
    </w:div>
    <w:div w:id="392386040">
      <w:bodyDiv w:val="1"/>
      <w:marLeft w:val="0"/>
      <w:marRight w:val="0"/>
      <w:marTop w:val="0"/>
      <w:marBottom w:val="0"/>
      <w:divBdr>
        <w:top w:val="none" w:sz="0" w:space="0" w:color="auto"/>
        <w:left w:val="none" w:sz="0" w:space="0" w:color="auto"/>
        <w:bottom w:val="none" w:sz="0" w:space="0" w:color="auto"/>
        <w:right w:val="none" w:sz="0" w:space="0" w:color="auto"/>
      </w:divBdr>
    </w:div>
    <w:div w:id="395205270">
      <w:bodyDiv w:val="1"/>
      <w:marLeft w:val="0"/>
      <w:marRight w:val="0"/>
      <w:marTop w:val="0"/>
      <w:marBottom w:val="0"/>
      <w:divBdr>
        <w:top w:val="none" w:sz="0" w:space="0" w:color="auto"/>
        <w:left w:val="none" w:sz="0" w:space="0" w:color="auto"/>
        <w:bottom w:val="none" w:sz="0" w:space="0" w:color="auto"/>
        <w:right w:val="none" w:sz="0" w:space="0" w:color="auto"/>
      </w:divBdr>
    </w:div>
    <w:div w:id="450901110">
      <w:bodyDiv w:val="1"/>
      <w:marLeft w:val="0"/>
      <w:marRight w:val="0"/>
      <w:marTop w:val="0"/>
      <w:marBottom w:val="0"/>
      <w:divBdr>
        <w:top w:val="none" w:sz="0" w:space="0" w:color="auto"/>
        <w:left w:val="none" w:sz="0" w:space="0" w:color="auto"/>
        <w:bottom w:val="none" w:sz="0" w:space="0" w:color="auto"/>
        <w:right w:val="none" w:sz="0" w:space="0" w:color="auto"/>
      </w:divBdr>
    </w:div>
    <w:div w:id="481040096">
      <w:bodyDiv w:val="1"/>
      <w:marLeft w:val="0"/>
      <w:marRight w:val="0"/>
      <w:marTop w:val="0"/>
      <w:marBottom w:val="0"/>
      <w:divBdr>
        <w:top w:val="none" w:sz="0" w:space="0" w:color="auto"/>
        <w:left w:val="none" w:sz="0" w:space="0" w:color="auto"/>
        <w:bottom w:val="none" w:sz="0" w:space="0" w:color="auto"/>
        <w:right w:val="none" w:sz="0" w:space="0" w:color="auto"/>
      </w:divBdr>
    </w:div>
    <w:div w:id="524563811">
      <w:bodyDiv w:val="1"/>
      <w:marLeft w:val="0"/>
      <w:marRight w:val="0"/>
      <w:marTop w:val="0"/>
      <w:marBottom w:val="0"/>
      <w:divBdr>
        <w:top w:val="none" w:sz="0" w:space="0" w:color="auto"/>
        <w:left w:val="none" w:sz="0" w:space="0" w:color="auto"/>
        <w:bottom w:val="none" w:sz="0" w:space="0" w:color="auto"/>
        <w:right w:val="none" w:sz="0" w:space="0" w:color="auto"/>
      </w:divBdr>
    </w:div>
    <w:div w:id="57613737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84603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53">
      <w:bodyDiv w:val="1"/>
      <w:marLeft w:val="0"/>
      <w:marRight w:val="0"/>
      <w:marTop w:val="0"/>
      <w:marBottom w:val="0"/>
      <w:divBdr>
        <w:top w:val="none" w:sz="0" w:space="0" w:color="auto"/>
        <w:left w:val="none" w:sz="0" w:space="0" w:color="auto"/>
        <w:bottom w:val="none" w:sz="0" w:space="0" w:color="auto"/>
        <w:right w:val="none" w:sz="0" w:space="0" w:color="auto"/>
      </w:divBdr>
    </w:div>
    <w:div w:id="1079131752">
      <w:bodyDiv w:val="1"/>
      <w:marLeft w:val="0"/>
      <w:marRight w:val="0"/>
      <w:marTop w:val="0"/>
      <w:marBottom w:val="0"/>
      <w:divBdr>
        <w:top w:val="none" w:sz="0" w:space="0" w:color="auto"/>
        <w:left w:val="none" w:sz="0" w:space="0" w:color="auto"/>
        <w:bottom w:val="none" w:sz="0" w:space="0" w:color="auto"/>
        <w:right w:val="none" w:sz="0" w:space="0" w:color="auto"/>
      </w:divBdr>
    </w:div>
    <w:div w:id="1136682318">
      <w:bodyDiv w:val="1"/>
      <w:marLeft w:val="0"/>
      <w:marRight w:val="0"/>
      <w:marTop w:val="0"/>
      <w:marBottom w:val="0"/>
      <w:divBdr>
        <w:top w:val="none" w:sz="0" w:space="0" w:color="auto"/>
        <w:left w:val="none" w:sz="0" w:space="0" w:color="auto"/>
        <w:bottom w:val="none" w:sz="0" w:space="0" w:color="auto"/>
        <w:right w:val="none" w:sz="0" w:space="0" w:color="auto"/>
      </w:divBdr>
    </w:div>
    <w:div w:id="1206020139">
      <w:bodyDiv w:val="1"/>
      <w:marLeft w:val="0"/>
      <w:marRight w:val="0"/>
      <w:marTop w:val="0"/>
      <w:marBottom w:val="0"/>
      <w:divBdr>
        <w:top w:val="none" w:sz="0" w:space="0" w:color="auto"/>
        <w:left w:val="none" w:sz="0" w:space="0" w:color="auto"/>
        <w:bottom w:val="none" w:sz="0" w:space="0" w:color="auto"/>
        <w:right w:val="none" w:sz="0" w:space="0" w:color="auto"/>
      </w:divBdr>
    </w:div>
    <w:div w:id="133333890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9395006">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2063258">
      <w:bodyDiv w:val="1"/>
      <w:marLeft w:val="0"/>
      <w:marRight w:val="0"/>
      <w:marTop w:val="0"/>
      <w:marBottom w:val="0"/>
      <w:divBdr>
        <w:top w:val="none" w:sz="0" w:space="0" w:color="auto"/>
        <w:left w:val="none" w:sz="0" w:space="0" w:color="auto"/>
        <w:bottom w:val="none" w:sz="0" w:space="0" w:color="auto"/>
        <w:right w:val="none" w:sz="0" w:space="0" w:color="auto"/>
      </w:divBdr>
    </w:div>
    <w:div w:id="1546793107">
      <w:bodyDiv w:val="1"/>
      <w:marLeft w:val="0"/>
      <w:marRight w:val="0"/>
      <w:marTop w:val="0"/>
      <w:marBottom w:val="0"/>
      <w:divBdr>
        <w:top w:val="none" w:sz="0" w:space="0" w:color="auto"/>
        <w:left w:val="none" w:sz="0" w:space="0" w:color="auto"/>
        <w:bottom w:val="none" w:sz="0" w:space="0" w:color="auto"/>
        <w:right w:val="none" w:sz="0" w:space="0" w:color="auto"/>
      </w:divBdr>
    </w:div>
    <w:div w:id="167988970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2372">
      <w:bodyDiv w:val="1"/>
      <w:marLeft w:val="0"/>
      <w:marRight w:val="0"/>
      <w:marTop w:val="0"/>
      <w:marBottom w:val="0"/>
      <w:divBdr>
        <w:top w:val="none" w:sz="0" w:space="0" w:color="auto"/>
        <w:left w:val="none" w:sz="0" w:space="0" w:color="auto"/>
        <w:bottom w:val="none" w:sz="0" w:space="0" w:color="auto"/>
        <w:right w:val="none" w:sz="0" w:space="0" w:color="auto"/>
      </w:divBdr>
    </w:div>
    <w:div w:id="1894733123">
      <w:bodyDiv w:val="1"/>
      <w:marLeft w:val="0"/>
      <w:marRight w:val="0"/>
      <w:marTop w:val="0"/>
      <w:marBottom w:val="0"/>
      <w:divBdr>
        <w:top w:val="none" w:sz="0" w:space="0" w:color="auto"/>
        <w:left w:val="none" w:sz="0" w:space="0" w:color="auto"/>
        <w:bottom w:val="none" w:sz="0" w:space="0" w:color="auto"/>
        <w:right w:val="none" w:sz="0" w:space="0" w:color="auto"/>
      </w:divBdr>
    </w:div>
    <w:div w:id="1938128787">
      <w:bodyDiv w:val="1"/>
      <w:marLeft w:val="0"/>
      <w:marRight w:val="0"/>
      <w:marTop w:val="0"/>
      <w:marBottom w:val="0"/>
      <w:divBdr>
        <w:top w:val="none" w:sz="0" w:space="0" w:color="auto"/>
        <w:left w:val="none" w:sz="0" w:space="0" w:color="auto"/>
        <w:bottom w:val="none" w:sz="0" w:space="0" w:color="auto"/>
        <w:right w:val="none" w:sz="0" w:space="0" w:color="auto"/>
      </w:divBdr>
    </w:div>
    <w:div w:id="208217479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5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6</Pages>
  <Words>6027</Words>
  <Characters>34360</Characters>
  <Application>Microsoft Office Word</Application>
  <DocSecurity>0</DocSecurity>
  <Lines>286</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Marco Barozzi</cp:lastModifiedBy>
  <cp:revision>307</cp:revision>
  <cp:lastPrinted>2015-05-12T18:31:00Z</cp:lastPrinted>
  <dcterms:created xsi:type="dcterms:W3CDTF">2023-02-13T19:07:00Z</dcterms:created>
  <dcterms:modified xsi:type="dcterms:W3CDTF">2023-04-17T13:51:00Z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id="H3rIAUMC"/&gt;&lt;style id="http://www.zotero.org/styles/journal-of-loss-prevention-in-the-process-industries" hasBibliography="1" bibliographyStyleHasBeenSet="1"/&gt;&lt;prefs&gt;&lt;pref name="fieldType" value="</vt:lpwstr>
  </property>
  <property fmtid="{D5CDD505-2E9C-101B-9397-08002B2CF9AE}" pid="3" name="ZOTERO_PREF_2">
    <vt:lpwstr>Field"/&gt;&lt;pref name="storeReferences" value="true"/&gt;&lt;/prefs&gt;&lt;/data&gt;</vt:lpwstr>
  </property>
</Properties>
</file>