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F15F6" w14:paraId="2A131A54" w14:textId="77777777" w:rsidTr="003901FD">
        <w:trPr>
          <w:trHeight w:val="852"/>
          <w:jc w:val="center"/>
        </w:trPr>
        <w:tc>
          <w:tcPr>
            <w:tcW w:w="6940" w:type="dxa"/>
            <w:vMerge w:val="restart"/>
            <w:tcBorders>
              <w:right w:val="single" w:sz="4" w:space="0" w:color="auto"/>
            </w:tcBorders>
          </w:tcPr>
          <w:p w14:paraId="38C3D2BA" w14:textId="77777777" w:rsidR="000A03B2" w:rsidRPr="001F15F6" w:rsidRDefault="000A03B2" w:rsidP="00E6447B">
            <w:pPr>
              <w:tabs>
                <w:tab w:val="left" w:pos="0"/>
              </w:tabs>
              <w:ind w:left="-108"/>
              <w:jc w:val="left"/>
              <w:rPr>
                <w:rFonts w:cs="Arial"/>
                <w:b/>
                <w:bCs/>
                <w:i/>
                <w:iCs/>
                <w:color w:val="000066"/>
                <w:sz w:val="12"/>
                <w:szCs w:val="12"/>
                <w:lang w:eastAsia="it-IT"/>
              </w:rPr>
            </w:pPr>
            <w:r w:rsidRPr="001F15F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F15F6">
              <w:rPr>
                <w:rFonts w:ascii="AdvP6960" w:hAnsi="AdvP6960" w:cs="AdvP6960"/>
                <w:color w:val="241F20"/>
                <w:szCs w:val="18"/>
                <w:lang w:eastAsia="it-IT"/>
              </w:rPr>
              <w:t xml:space="preserve"> </w:t>
            </w:r>
            <w:r w:rsidRPr="001F15F6">
              <w:rPr>
                <w:rFonts w:cs="Arial"/>
                <w:b/>
                <w:bCs/>
                <w:i/>
                <w:iCs/>
                <w:color w:val="000066"/>
                <w:sz w:val="24"/>
                <w:szCs w:val="24"/>
                <w:lang w:eastAsia="it-IT"/>
              </w:rPr>
              <w:t>CHEMICAL ENGINEERING</w:t>
            </w:r>
            <w:r w:rsidRPr="001F15F6">
              <w:rPr>
                <w:rFonts w:cs="Arial"/>
                <w:b/>
                <w:bCs/>
                <w:i/>
                <w:iCs/>
                <w:color w:val="0033FF"/>
                <w:sz w:val="24"/>
                <w:szCs w:val="24"/>
                <w:lang w:eastAsia="it-IT"/>
              </w:rPr>
              <w:t xml:space="preserve"> </w:t>
            </w:r>
            <w:r w:rsidRPr="001F15F6">
              <w:rPr>
                <w:rFonts w:cs="Arial"/>
                <w:b/>
                <w:bCs/>
                <w:i/>
                <w:iCs/>
                <w:color w:val="666666"/>
                <w:sz w:val="24"/>
                <w:szCs w:val="24"/>
                <w:lang w:eastAsia="it-IT"/>
              </w:rPr>
              <w:t>TRANSACTIONS</w:t>
            </w:r>
            <w:r w:rsidRPr="001F15F6">
              <w:rPr>
                <w:color w:val="333333"/>
                <w:sz w:val="24"/>
                <w:szCs w:val="24"/>
                <w:lang w:eastAsia="it-IT"/>
              </w:rPr>
              <w:t xml:space="preserve"> </w:t>
            </w:r>
            <w:r w:rsidRPr="001F15F6">
              <w:rPr>
                <w:rFonts w:cs="Arial"/>
                <w:b/>
                <w:bCs/>
                <w:i/>
                <w:iCs/>
                <w:color w:val="000066"/>
                <w:sz w:val="27"/>
                <w:szCs w:val="27"/>
                <w:lang w:eastAsia="it-IT"/>
              </w:rPr>
              <w:br/>
            </w:r>
          </w:p>
          <w:p w14:paraId="4B780582" w14:textId="530285EB" w:rsidR="000A03B2" w:rsidRPr="001F15F6" w:rsidRDefault="00A76EFC" w:rsidP="00E6447B">
            <w:pPr>
              <w:tabs>
                <w:tab w:val="left" w:pos="0"/>
              </w:tabs>
              <w:ind w:left="-108"/>
              <w:rPr>
                <w:rFonts w:cs="Arial"/>
                <w:b/>
                <w:bCs/>
                <w:i/>
                <w:iCs/>
                <w:color w:val="000066"/>
                <w:sz w:val="22"/>
                <w:szCs w:val="22"/>
                <w:lang w:eastAsia="it-IT"/>
              </w:rPr>
            </w:pPr>
            <w:r w:rsidRPr="001F15F6">
              <w:rPr>
                <w:rFonts w:cs="Arial"/>
                <w:b/>
                <w:bCs/>
                <w:i/>
                <w:iCs/>
                <w:color w:val="000066"/>
                <w:sz w:val="22"/>
                <w:szCs w:val="22"/>
                <w:lang w:eastAsia="it-IT"/>
              </w:rPr>
              <w:t xml:space="preserve">VOL. </w:t>
            </w:r>
            <w:r w:rsidR="0030152C" w:rsidRPr="001F15F6">
              <w:rPr>
                <w:rFonts w:cs="Arial"/>
                <w:b/>
                <w:bCs/>
                <w:i/>
                <w:iCs/>
                <w:color w:val="000066"/>
                <w:sz w:val="22"/>
                <w:szCs w:val="22"/>
                <w:lang w:eastAsia="it-IT"/>
              </w:rPr>
              <w:t xml:space="preserve">   </w:t>
            </w:r>
            <w:r w:rsidR="007B48F9" w:rsidRPr="001F15F6">
              <w:rPr>
                <w:rFonts w:cs="Arial"/>
                <w:b/>
                <w:bCs/>
                <w:i/>
                <w:iCs/>
                <w:color w:val="000066"/>
                <w:sz w:val="22"/>
                <w:szCs w:val="22"/>
                <w:lang w:eastAsia="it-IT"/>
              </w:rPr>
              <w:t>,</w:t>
            </w:r>
            <w:r w:rsidR="00FA5F5F" w:rsidRPr="001F15F6">
              <w:rPr>
                <w:rFonts w:cs="Arial"/>
                <w:b/>
                <w:bCs/>
                <w:i/>
                <w:iCs/>
                <w:color w:val="000066"/>
                <w:sz w:val="22"/>
                <w:szCs w:val="22"/>
                <w:lang w:eastAsia="it-IT"/>
              </w:rPr>
              <w:t xml:space="preserve"> </w:t>
            </w:r>
            <w:r w:rsidR="0030152C" w:rsidRPr="001F15F6">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1F15F6" w:rsidRDefault="000A03B2" w:rsidP="00E6447B">
            <w:pPr>
              <w:tabs>
                <w:tab w:val="left" w:pos="0"/>
              </w:tabs>
              <w:spacing w:line="140" w:lineRule="atLeast"/>
              <w:ind w:left="-108"/>
              <w:jc w:val="right"/>
              <w:rPr>
                <w:rFonts w:cs="Arial"/>
                <w:sz w:val="14"/>
                <w:szCs w:val="14"/>
              </w:rPr>
            </w:pPr>
            <w:r w:rsidRPr="001F15F6">
              <w:rPr>
                <w:rFonts w:cs="Arial"/>
                <w:sz w:val="14"/>
                <w:szCs w:val="14"/>
              </w:rPr>
              <w:t>A publication of</w:t>
            </w:r>
          </w:p>
          <w:p w14:paraId="599E5441" w14:textId="77777777" w:rsidR="000A03B2" w:rsidRPr="001F15F6" w:rsidRDefault="000A03B2" w:rsidP="00E6447B">
            <w:pPr>
              <w:tabs>
                <w:tab w:val="left" w:pos="0"/>
              </w:tabs>
              <w:ind w:left="-108"/>
              <w:jc w:val="right"/>
            </w:pPr>
            <w:r w:rsidRPr="001F15F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F15F6" w14:paraId="380FA3CD" w14:textId="77777777" w:rsidTr="003901FD">
        <w:trPr>
          <w:trHeight w:val="567"/>
          <w:jc w:val="center"/>
        </w:trPr>
        <w:tc>
          <w:tcPr>
            <w:tcW w:w="6940" w:type="dxa"/>
            <w:vMerge/>
            <w:tcBorders>
              <w:right w:val="single" w:sz="4" w:space="0" w:color="auto"/>
            </w:tcBorders>
          </w:tcPr>
          <w:p w14:paraId="39E5E4C1" w14:textId="77777777" w:rsidR="000A03B2" w:rsidRPr="001F15F6" w:rsidRDefault="000A03B2" w:rsidP="00E6447B">
            <w:pPr>
              <w:tabs>
                <w:tab w:val="left" w:pos="0"/>
              </w:tabs>
              <w:ind w:left="-108"/>
            </w:pPr>
          </w:p>
        </w:tc>
        <w:tc>
          <w:tcPr>
            <w:tcW w:w="1842" w:type="dxa"/>
            <w:tcBorders>
              <w:left w:val="single" w:sz="4" w:space="0" w:color="auto"/>
              <w:bottom w:val="nil"/>
              <w:right w:val="single" w:sz="4" w:space="0" w:color="auto"/>
            </w:tcBorders>
          </w:tcPr>
          <w:p w14:paraId="43858A98" w14:textId="77777777" w:rsidR="000A03B2" w:rsidRPr="001F15F6" w:rsidRDefault="000A03B2" w:rsidP="00E6447B">
            <w:pPr>
              <w:tabs>
                <w:tab w:val="left" w:pos="0"/>
              </w:tabs>
              <w:spacing w:line="140" w:lineRule="atLeast"/>
              <w:ind w:left="-108"/>
              <w:jc w:val="right"/>
              <w:rPr>
                <w:rFonts w:cs="Arial"/>
                <w:sz w:val="14"/>
                <w:szCs w:val="14"/>
              </w:rPr>
            </w:pPr>
            <w:r w:rsidRPr="001F15F6">
              <w:rPr>
                <w:rFonts w:cs="Arial"/>
                <w:sz w:val="14"/>
                <w:szCs w:val="14"/>
              </w:rPr>
              <w:t>The Italian Association</w:t>
            </w:r>
          </w:p>
          <w:p w14:paraId="7522B1D2" w14:textId="77777777" w:rsidR="000A03B2" w:rsidRPr="001F15F6" w:rsidRDefault="000A03B2" w:rsidP="00E6447B">
            <w:pPr>
              <w:tabs>
                <w:tab w:val="left" w:pos="0"/>
              </w:tabs>
              <w:spacing w:line="140" w:lineRule="atLeast"/>
              <w:ind w:left="-108"/>
              <w:jc w:val="right"/>
              <w:rPr>
                <w:rFonts w:cs="Arial"/>
                <w:sz w:val="14"/>
                <w:szCs w:val="14"/>
              </w:rPr>
            </w:pPr>
            <w:r w:rsidRPr="001F15F6">
              <w:rPr>
                <w:rFonts w:cs="Arial"/>
                <w:sz w:val="14"/>
                <w:szCs w:val="14"/>
              </w:rPr>
              <w:t>of Chemical Engineering</w:t>
            </w:r>
          </w:p>
          <w:p w14:paraId="4F0CC5DE" w14:textId="47FDB2FC" w:rsidR="000A03B2" w:rsidRPr="001F15F6" w:rsidRDefault="000D0268" w:rsidP="00E6447B">
            <w:pPr>
              <w:tabs>
                <w:tab w:val="left" w:pos="0"/>
              </w:tabs>
              <w:spacing w:line="140" w:lineRule="atLeast"/>
              <w:ind w:left="-108"/>
              <w:jc w:val="right"/>
              <w:rPr>
                <w:rFonts w:cs="Arial"/>
                <w:sz w:val="13"/>
                <w:szCs w:val="13"/>
              </w:rPr>
            </w:pPr>
            <w:r w:rsidRPr="001F15F6">
              <w:rPr>
                <w:rFonts w:cs="Arial"/>
                <w:sz w:val="13"/>
                <w:szCs w:val="13"/>
              </w:rPr>
              <w:t>Online at www.cetjournal.it</w:t>
            </w:r>
          </w:p>
        </w:tc>
      </w:tr>
      <w:tr w:rsidR="000A03B2" w:rsidRPr="001F15F6" w14:paraId="2D1B7169" w14:textId="77777777" w:rsidTr="003901FD">
        <w:trPr>
          <w:trHeight w:val="68"/>
          <w:jc w:val="center"/>
        </w:trPr>
        <w:tc>
          <w:tcPr>
            <w:tcW w:w="8782" w:type="dxa"/>
            <w:gridSpan w:val="2"/>
          </w:tcPr>
          <w:p w14:paraId="1D8DD3C9" w14:textId="086598E2" w:rsidR="00AA7D26" w:rsidRPr="001F15F6" w:rsidRDefault="00AA7D26" w:rsidP="00E6447B">
            <w:pPr>
              <w:tabs>
                <w:tab w:val="left" w:pos="0"/>
              </w:tabs>
              <w:ind w:left="-108"/>
              <w:outlineLvl w:val="2"/>
              <w:rPr>
                <w:rFonts w:ascii="Tahoma" w:hAnsi="Tahoma" w:cs="Tahoma"/>
                <w:bCs/>
                <w:color w:val="000000"/>
                <w:sz w:val="14"/>
                <w:szCs w:val="14"/>
                <w:lang w:eastAsia="it-IT"/>
              </w:rPr>
            </w:pPr>
            <w:r w:rsidRPr="001F15F6">
              <w:rPr>
                <w:rFonts w:ascii="Tahoma" w:hAnsi="Tahoma" w:cs="Tahoma"/>
                <w:iCs/>
                <w:color w:val="333333"/>
                <w:sz w:val="14"/>
                <w:szCs w:val="14"/>
                <w:lang w:eastAsia="it-IT"/>
              </w:rPr>
              <w:t>Guest Editors:</w:t>
            </w:r>
            <w:r w:rsidRPr="001F15F6">
              <w:rPr>
                <w:rFonts w:ascii="Tahoma" w:hAnsi="Tahoma" w:cs="Tahoma"/>
                <w:color w:val="000000"/>
                <w:sz w:val="14"/>
                <w:szCs w:val="14"/>
                <w:shd w:val="clear" w:color="auto" w:fill="FFFFFF"/>
              </w:rPr>
              <w:t xml:space="preserve"> </w:t>
            </w:r>
          </w:p>
          <w:p w14:paraId="1B0F1814" w14:textId="1CDEFB22" w:rsidR="000A03B2" w:rsidRPr="001F15F6" w:rsidRDefault="00AA7D26" w:rsidP="00E6447B">
            <w:pPr>
              <w:tabs>
                <w:tab w:val="left" w:pos="0"/>
              </w:tabs>
              <w:spacing w:line="140" w:lineRule="atLeast"/>
              <w:ind w:left="-108"/>
              <w:jc w:val="left"/>
            </w:pPr>
            <w:r w:rsidRPr="001F15F6">
              <w:rPr>
                <w:rFonts w:ascii="Tahoma" w:hAnsi="Tahoma" w:cs="Tahoma"/>
                <w:iCs/>
                <w:color w:val="333333"/>
                <w:sz w:val="14"/>
                <w:szCs w:val="14"/>
                <w:lang w:eastAsia="it-IT"/>
              </w:rPr>
              <w:t xml:space="preserve">Copyright © 2023, AIDIC </w:t>
            </w:r>
            <w:proofErr w:type="spellStart"/>
            <w:r w:rsidRPr="001F15F6">
              <w:rPr>
                <w:rFonts w:ascii="Tahoma" w:hAnsi="Tahoma" w:cs="Tahoma"/>
                <w:iCs/>
                <w:color w:val="333333"/>
                <w:sz w:val="14"/>
                <w:szCs w:val="14"/>
                <w:lang w:eastAsia="it-IT"/>
              </w:rPr>
              <w:t>Servizi</w:t>
            </w:r>
            <w:proofErr w:type="spellEnd"/>
            <w:r w:rsidRPr="001F15F6">
              <w:rPr>
                <w:rFonts w:ascii="Tahoma" w:hAnsi="Tahoma" w:cs="Tahoma"/>
                <w:iCs/>
                <w:color w:val="333333"/>
                <w:sz w:val="14"/>
                <w:szCs w:val="14"/>
                <w:lang w:eastAsia="it-IT"/>
              </w:rPr>
              <w:t xml:space="preserve"> </w:t>
            </w:r>
            <w:proofErr w:type="spellStart"/>
            <w:r w:rsidRPr="001F15F6">
              <w:rPr>
                <w:rFonts w:ascii="Tahoma" w:hAnsi="Tahoma" w:cs="Tahoma"/>
                <w:iCs/>
                <w:color w:val="333333"/>
                <w:sz w:val="14"/>
                <w:szCs w:val="14"/>
                <w:lang w:eastAsia="it-IT"/>
              </w:rPr>
              <w:t>S.r.l</w:t>
            </w:r>
            <w:proofErr w:type="spellEnd"/>
            <w:r w:rsidRPr="001F15F6">
              <w:rPr>
                <w:rFonts w:ascii="Tahoma" w:hAnsi="Tahoma" w:cs="Tahoma"/>
                <w:iCs/>
                <w:color w:val="333333"/>
                <w:sz w:val="14"/>
                <w:szCs w:val="14"/>
                <w:lang w:eastAsia="it-IT"/>
              </w:rPr>
              <w:t>.</w:t>
            </w:r>
            <w:r w:rsidRPr="001F15F6">
              <w:rPr>
                <w:rFonts w:ascii="Tahoma" w:hAnsi="Tahoma" w:cs="Tahoma"/>
                <w:iCs/>
                <w:color w:val="333333"/>
                <w:sz w:val="14"/>
                <w:szCs w:val="14"/>
                <w:lang w:eastAsia="it-IT"/>
              </w:rPr>
              <w:br/>
            </w:r>
            <w:r w:rsidRPr="001F15F6">
              <w:rPr>
                <w:rFonts w:ascii="Tahoma" w:hAnsi="Tahoma" w:cs="Tahoma"/>
                <w:b/>
                <w:iCs/>
                <w:color w:val="000000"/>
                <w:sz w:val="14"/>
                <w:szCs w:val="14"/>
                <w:lang w:eastAsia="it-IT"/>
              </w:rPr>
              <w:t>ISBN</w:t>
            </w:r>
            <w:r w:rsidRPr="001F15F6">
              <w:rPr>
                <w:rFonts w:ascii="Tahoma" w:hAnsi="Tahoma" w:cs="Tahoma"/>
                <w:iCs/>
                <w:color w:val="000000"/>
                <w:sz w:val="14"/>
                <w:szCs w:val="14"/>
                <w:lang w:eastAsia="it-IT"/>
              </w:rPr>
              <w:t xml:space="preserve"> </w:t>
            </w:r>
            <w:r w:rsidR="00D2582C" w:rsidRPr="001F15F6">
              <w:rPr>
                <w:rFonts w:ascii="Tahoma" w:hAnsi="Tahoma" w:cs="Tahoma"/>
                <w:sz w:val="14"/>
                <w:szCs w:val="14"/>
              </w:rPr>
              <w:t>979-12-81206-</w:t>
            </w:r>
            <w:r w:rsidR="00557E00" w:rsidRPr="001F15F6">
              <w:rPr>
                <w:rFonts w:ascii="Tahoma" w:hAnsi="Tahoma" w:cs="Tahoma"/>
                <w:sz w:val="14"/>
                <w:szCs w:val="14"/>
              </w:rPr>
              <w:t>XX</w:t>
            </w:r>
            <w:r w:rsidR="00D2582C" w:rsidRPr="001F15F6">
              <w:rPr>
                <w:rFonts w:ascii="Tahoma" w:hAnsi="Tahoma" w:cs="Tahoma"/>
                <w:sz w:val="14"/>
                <w:szCs w:val="14"/>
              </w:rPr>
              <w:t>-</w:t>
            </w:r>
            <w:r w:rsidR="00557E00" w:rsidRPr="001F15F6">
              <w:rPr>
                <w:rFonts w:ascii="Tahoma" w:hAnsi="Tahoma" w:cs="Tahoma"/>
                <w:sz w:val="14"/>
                <w:szCs w:val="14"/>
              </w:rPr>
              <w:t>X</w:t>
            </w:r>
            <w:r w:rsidRPr="001F15F6">
              <w:rPr>
                <w:rFonts w:ascii="Tahoma" w:hAnsi="Tahoma" w:cs="Tahoma"/>
                <w:iCs/>
                <w:color w:val="333333"/>
                <w:sz w:val="14"/>
                <w:szCs w:val="14"/>
                <w:lang w:eastAsia="it-IT"/>
              </w:rPr>
              <w:t xml:space="preserve">; </w:t>
            </w:r>
            <w:r w:rsidRPr="001F15F6">
              <w:rPr>
                <w:rFonts w:ascii="Tahoma" w:hAnsi="Tahoma" w:cs="Tahoma"/>
                <w:b/>
                <w:iCs/>
                <w:color w:val="333333"/>
                <w:sz w:val="14"/>
                <w:szCs w:val="14"/>
                <w:lang w:eastAsia="it-IT"/>
              </w:rPr>
              <w:t>ISSN</w:t>
            </w:r>
            <w:r w:rsidRPr="001F15F6">
              <w:rPr>
                <w:rFonts w:ascii="Tahoma" w:hAnsi="Tahoma" w:cs="Tahoma"/>
                <w:iCs/>
                <w:color w:val="333333"/>
                <w:sz w:val="14"/>
                <w:szCs w:val="14"/>
                <w:lang w:eastAsia="it-IT"/>
              </w:rPr>
              <w:t xml:space="preserve"> 2283-9216</w:t>
            </w:r>
          </w:p>
        </w:tc>
      </w:tr>
    </w:tbl>
    <w:p w14:paraId="7F6EC5D7" w14:textId="77777777" w:rsidR="003901FD" w:rsidRPr="001F15F6" w:rsidRDefault="003901FD" w:rsidP="00E6447B">
      <w:pPr>
        <w:tabs>
          <w:tab w:val="left" w:pos="0"/>
        </w:tabs>
        <w:ind w:left="-108"/>
        <w:jc w:val="center"/>
        <w:rPr>
          <w:sz w:val="32"/>
        </w:rPr>
      </w:pPr>
    </w:p>
    <w:p w14:paraId="5601F134" w14:textId="50CF6B41" w:rsidR="003901FD" w:rsidRPr="001F15F6" w:rsidRDefault="003901FD" w:rsidP="00155271">
      <w:pPr>
        <w:tabs>
          <w:tab w:val="left" w:pos="0"/>
        </w:tabs>
        <w:ind w:right="-2"/>
        <w:jc w:val="center"/>
        <w:rPr>
          <w:sz w:val="32"/>
        </w:rPr>
      </w:pPr>
      <w:r w:rsidRPr="001F15F6">
        <w:rPr>
          <w:sz w:val="32"/>
        </w:rPr>
        <w:t xml:space="preserve">Life Cycle Assessment to support waste </w:t>
      </w:r>
      <w:r w:rsidR="001F15F6" w:rsidRPr="001F15F6">
        <w:rPr>
          <w:sz w:val="32"/>
        </w:rPr>
        <w:t>valorisation</w:t>
      </w:r>
      <w:r w:rsidRPr="001F15F6">
        <w:rPr>
          <w:sz w:val="32"/>
        </w:rPr>
        <w:t xml:space="preserve"> to </w:t>
      </w:r>
      <w:proofErr w:type="spellStart"/>
      <w:r w:rsidRPr="001F15F6">
        <w:rPr>
          <w:sz w:val="32"/>
        </w:rPr>
        <w:t>biocomposite</w:t>
      </w:r>
      <w:proofErr w:type="spellEnd"/>
      <w:r w:rsidRPr="001F15F6">
        <w:rPr>
          <w:sz w:val="32"/>
        </w:rPr>
        <w:t xml:space="preserve"> in French olive oil circular economy</w:t>
      </w:r>
    </w:p>
    <w:p w14:paraId="359111FD" w14:textId="77777777" w:rsidR="003901FD" w:rsidRPr="001F15F6" w:rsidRDefault="003901FD" w:rsidP="00155271">
      <w:pPr>
        <w:pStyle w:val="CETAuthors"/>
        <w:tabs>
          <w:tab w:val="left" w:pos="0"/>
        </w:tabs>
        <w:ind w:right="-2"/>
      </w:pPr>
    </w:p>
    <w:p w14:paraId="298828D8" w14:textId="170D7527" w:rsidR="003901FD" w:rsidRPr="0082262C" w:rsidRDefault="003901FD" w:rsidP="007511E6">
      <w:pPr>
        <w:pStyle w:val="CETAuthors"/>
        <w:rPr>
          <w:vertAlign w:val="superscript"/>
          <w:lang w:val="fr-FR"/>
        </w:rPr>
      </w:pPr>
      <w:r w:rsidRPr="0082262C">
        <w:rPr>
          <w:lang w:val="fr-FR"/>
        </w:rPr>
        <w:t>Gabriela ESPADAS-ALDANA</w:t>
      </w:r>
      <w:r w:rsidRPr="0082262C">
        <w:rPr>
          <w:vertAlign w:val="superscript"/>
          <w:lang w:val="fr-FR"/>
        </w:rPr>
        <w:t>1</w:t>
      </w:r>
      <w:r w:rsidRPr="0082262C">
        <w:rPr>
          <w:lang w:val="fr-FR"/>
        </w:rPr>
        <w:t>, Claire VIALLE</w:t>
      </w:r>
      <w:r w:rsidRPr="0082262C">
        <w:rPr>
          <w:vertAlign w:val="superscript"/>
          <w:lang w:val="fr-FR"/>
        </w:rPr>
        <w:t>1</w:t>
      </w:r>
      <w:r w:rsidRPr="0082262C">
        <w:rPr>
          <w:lang w:val="fr-FR"/>
        </w:rPr>
        <w:t>, Jean-Pierre BELAUD</w:t>
      </w:r>
      <w:r w:rsidRPr="0082262C">
        <w:rPr>
          <w:vertAlign w:val="superscript"/>
          <w:lang w:val="fr-FR"/>
        </w:rPr>
        <w:t>2</w:t>
      </w:r>
      <w:r w:rsidRPr="0082262C">
        <w:rPr>
          <w:lang w:val="fr-FR"/>
        </w:rPr>
        <w:t>, Caroline SABLAYROLLES</w:t>
      </w:r>
      <w:r w:rsidRPr="0082262C">
        <w:rPr>
          <w:vertAlign w:val="superscript"/>
          <w:lang w:val="fr-FR"/>
        </w:rPr>
        <w:t>1*</w:t>
      </w:r>
    </w:p>
    <w:p w14:paraId="6793B97D" w14:textId="39AAAE61" w:rsidR="003901FD" w:rsidRPr="001F15F6" w:rsidRDefault="003901FD" w:rsidP="007511E6">
      <w:pPr>
        <w:pStyle w:val="CETAddress"/>
        <w:rPr>
          <w:lang w:val="fr-FR"/>
        </w:rPr>
      </w:pPr>
      <w:r w:rsidRPr="001F15F6">
        <w:rPr>
          <w:vertAlign w:val="superscript"/>
          <w:lang w:val="fr-FR"/>
        </w:rPr>
        <w:t>1</w:t>
      </w:r>
      <w:r w:rsidRPr="001F15F6">
        <w:rPr>
          <w:lang w:val="fr-FR"/>
        </w:rPr>
        <w:t>Laboratoire de Chimie Agro-industrielle (LCA), Université de Toulouse, INRAE, Toulouse INP, Toulouse, France; caroline.sablayrolles@ensiacet.fr</w:t>
      </w:r>
    </w:p>
    <w:p w14:paraId="293FD424" w14:textId="1D9E036D" w:rsidR="003901FD" w:rsidRPr="001F15F6" w:rsidRDefault="001F15F6" w:rsidP="007511E6">
      <w:pPr>
        <w:pStyle w:val="CETAddress"/>
        <w:rPr>
          <w:lang w:val="fr-FR"/>
        </w:rPr>
      </w:pPr>
      <w:r w:rsidRPr="001F15F6">
        <w:rPr>
          <w:vertAlign w:val="superscript"/>
          <w:lang w:val="fr-FR"/>
        </w:rPr>
        <w:t>2</w:t>
      </w:r>
      <w:r w:rsidR="003901FD" w:rsidRPr="001F15F6">
        <w:rPr>
          <w:lang w:val="fr-FR"/>
        </w:rPr>
        <w:t xml:space="preserve">Laboratoire de Génie Chimique (LGC), Université de Toulouse, CNRS, </w:t>
      </w:r>
      <w:r w:rsidR="009038AC" w:rsidRPr="001F15F6">
        <w:rPr>
          <w:lang w:val="fr-FR"/>
        </w:rPr>
        <w:t>Toulouse INP, Toulouse, France</w:t>
      </w:r>
    </w:p>
    <w:p w14:paraId="200C7F77" w14:textId="77777777" w:rsidR="00AB5374" w:rsidRPr="001F15F6" w:rsidRDefault="00AB5374" w:rsidP="007511E6">
      <w:pPr>
        <w:pStyle w:val="CETAddress"/>
        <w:rPr>
          <w:szCs w:val="18"/>
          <w:lang w:val="fr-FR"/>
        </w:rPr>
      </w:pPr>
    </w:p>
    <w:p w14:paraId="248BB333" w14:textId="77777777" w:rsidR="00AB5374" w:rsidRPr="001F15F6" w:rsidRDefault="00AB5374" w:rsidP="00155271">
      <w:pPr>
        <w:tabs>
          <w:tab w:val="left" w:pos="0"/>
        </w:tabs>
        <w:spacing w:line="240" w:lineRule="auto"/>
        <w:ind w:right="-2"/>
        <w:rPr>
          <w:szCs w:val="18"/>
          <w:lang w:val="fr-FR"/>
        </w:rPr>
      </w:pPr>
    </w:p>
    <w:p w14:paraId="0BC4D46C" w14:textId="0CC2FA32" w:rsidR="00AB5374" w:rsidRPr="001F15F6" w:rsidRDefault="003901FD" w:rsidP="007511E6">
      <w:pPr>
        <w:pStyle w:val="CETBodytext"/>
        <w:rPr>
          <w:szCs w:val="18"/>
        </w:rPr>
      </w:pPr>
      <w:r w:rsidRPr="001F15F6">
        <w:rPr>
          <w:szCs w:val="18"/>
        </w:rPr>
        <w:t xml:space="preserve">This study </w:t>
      </w:r>
      <w:r w:rsidR="00AB5374" w:rsidRPr="001F15F6">
        <w:rPr>
          <w:szCs w:val="18"/>
        </w:rPr>
        <w:t xml:space="preserve">is focused on </w:t>
      </w:r>
      <w:r w:rsidR="00AB5374" w:rsidRPr="001F15F6">
        <w:t>Life Cycle Assessment</w:t>
      </w:r>
      <w:r w:rsidR="0041308C" w:rsidRPr="001F15F6">
        <w:t xml:space="preserve"> (LCA)</w:t>
      </w:r>
      <w:r w:rsidR="00AB5374" w:rsidRPr="001F15F6">
        <w:t xml:space="preserve"> method to support the waste valorisation to bio-based composite material in French olive oil circular economy</w:t>
      </w:r>
      <w:r w:rsidR="001F15F6">
        <w:t xml:space="preserve"> (CE)</w:t>
      </w:r>
      <w:r w:rsidR="00AB5374" w:rsidRPr="001F15F6">
        <w:t xml:space="preserve">. </w:t>
      </w:r>
      <w:r w:rsidR="00AB5374" w:rsidRPr="001F15F6">
        <w:rPr>
          <w:szCs w:val="18"/>
        </w:rPr>
        <w:t xml:space="preserve">Its aim is to demonstrate how to shift from a traditional linear production to a circular olive production system that recovers materials from organic residues. On one hand, a comprehensive environmental assessment of eleven scenarios representing French olive oil production </w:t>
      </w:r>
      <w:r w:rsidR="0082262C">
        <w:rPr>
          <w:szCs w:val="18"/>
        </w:rPr>
        <w:t>is</w:t>
      </w:r>
      <w:r w:rsidR="00AB5374" w:rsidRPr="001F15F6">
        <w:rPr>
          <w:szCs w:val="18"/>
        </w:rPr>
        <w:t xml:space="preserve"> performed. A comparison of the environmental performance from a life cycle perspective </w:t>
      </w:r>
      <w:r w:rsidR="0082262C">
        <w:rPr>
          <w:szCs w:val="18"/>
        </w:rPr>
        <w:t>is</w:t>
      </w:r>
      <w:r w:rsidR="00AB5374" w:rsidRPr="001F15F6">
        <w:rPr>
          <w:szCs w:val="18"/>
        </w:rPr>
        <w:t xml:space="preserve"> made among the different scenarios. This analysis </w:t>
      </w:r>
      <w:r w:rsidR="0082262C">
        <w:rPr>
          <w:szCs w:val="18"/>
        </w:rPr>
        <w:t>is</w:t>
      </w:r>
      <w:r w:rsidR="00AB5374" w:rsidRPr="001F15F6">
        <w:rPr>
          <w:szCs w:val="18"/>
        </w:rPr>
        <w:t xml:space="preserve"> conducted from a business-as-usual</w:t>
      </w:r>
      <w:r w:rsidR="00AB5374" w:rsidRPr="001F15F6" w:rsidDel="00CF2069">
        <w:rPr>
          <w:szCs w:val="18"/>
        </w:rPr>
        <w:t xml:space="preserve"> </w:t>
      </w:r>
      <w:r w:rsidR="00AB5374" w:rsidRPr="001F15F6">
        <w:rPr>
          <w:szCs w:val="18"/>
        </w:rPr>
        <w:t xml:space="preserve">perspective: a linear production without </w:t>
      </w:r>
      <w:r w:rsidR="001F15F6" w:rsidRPr="001F15F6">
        <w:rPr>
          <w:szCs w:val="18"/>
        </w:rPr>
        <w:t>valorisation</w:t>
      </w:r>
      <w:r w:rsidR="00AB5374" w:rsidRPr="001F15F6">
        <w:rPr>
          <w:szCs w:val="18"/>
        </w:rPr>
        <w:t xml:space="preserve"> of by-products. On the other hand, the environmental performance of an Olive Pomace based-composite for the decking sector </w:t>
      </w:r>
      <w:r w:rsidR="0082262C">
        <w:rPr>
          <w:szCs w:val="18"/>
        </w:rPr>
        <w:t>is</w:t>
      </w:r>
      <w:r w:rsidR="00AB5374" w:rsidRPr="001F15F6">
        <w:rPr>
          <w:szCs w:val="18"/>
        </w:rPr>
        <w:t xml:space="preserve"> evaluate</w:t>
      </w:r>
      <w:r w:rsidR="00B71F13" w:rsidRPr="001F15F6">
        <w:rPr>
          <w:szCs w:val="18"/>
        </w:rPr>
        <w:t>d</w:t>
      </w:r>
      <w:r w:rsidR="00AB5374" w:rsidRPr="001F15F6">
        <w:rPr>
          <w:szCs w:val="18"/>
        </w:rPr>
        <w:t>. The last part addresses the connection of the LCA from a business-as-usual perspective with the LCA of olive pomace valorisation to demonstrate how LCA can support the transition from traditional linear to circular olive production</w:t>
      </w:r>
      <w:r w:rsidR="0082262C">
        <w:rPr>
          <w:szCs w:val="18"/>
        </w:rPr>
        <w:t xml:space="preserve"> and can feed decision-making process</w:t>
      </w:r>
      <w:r w:rsidR="00AB5374" w:rsidRPr="001F15F6">
        <w:rPr>
          <w:szCs w:val="18"/>
        </w:rPr>
        <w:t xml:space="preserve">. In the transition to a circular system in </w:t>
      </w:r>
      <w:r w:rsidR="001F15F6">
        <w:rPr>
          <w:szCs w:val="18"/>
        </w:rPr>
        <w:t>which waste is recovered for recycling</w:t>
      </w:r>
      <w:r w:rsidR="00AB5374" w:rsidRPr="001F15F6">
        <w:rPr>
          <w:szCs w:val="18"/>
        </w:rPr>
        <w:t>, a new product is created that can replace another product with the same function. The results confirm that LCA method contributes to objectify the expected environmental benefits of the circular economy approach.</w:t>
      </w:r>
    </w:p>
    <w:p w14:paraId="3F4FB48E" w14:textId="1A54737D" w:rsidR="00AB5374" w:rsidRPr="001F15F6" w:rsidRDefault="00AB5374" w:rsidP="00155271">
      <w:pPr>
        <w:tabs>
          <w:tab w:val="left" w:pos="0"/>
        </w:tabs>
        <w:spacing w:line="240" w:lineRule="auto"/>
        <w:ind w:right="-2"/>
        <w:rPr>
          <w:szCs w:val="18"/>
        </w:rPr>
      </w:pPr>
    </w:p>
    <w:p w14:paraId="476B2F2E" w14:textId="77777777" w:rsidR="00600535" w:rsidRPr="002D4A29" w:rsidRDefault="00600535" w:rsidP="002D4A29">
      <w:pPr>
        <w:pStyle w:val="CETHeading1"/>
      </w:pPr>
      <w:r w:rsidRPr="002D4A29">
        <w:t>Introduction</w:t>
      </w:r>
    </w:p>
    <w:p w14:paraId="5E324A9A" w14:textId="16F28951" w:rsidR="0041308C" w:rsidRPr="001F15F6" w:rsidRDefault="0041308C" w:rsidP="007511E6">
      <w:pPr>
        <w:pStyle w:val="CETBodytext"/>
      </w:pPr>
      <w:r w:rsidRPr="001F15F6">
        <w:t xml:space="preserve">Since 2015, French authorities have developed “the Energy Transition Law for Green Growth”. This law </w:t>
      </w:r>
      <w:r w:rsidR="0082262C">
        <w:t>focuses</w:t>
      </w:r>
      <w:r w:rsidRPr="001F15F6">
        <w:t xml:space="preserve"> on waste management as an essential pillar to ensure the transition to a circular economy (CE) model </w:t>
      </w:r>
      <w:r w:rsidR="001F15F6">
        <w:t>(Belaud et al., 2019)</w:t>
      </w:r>
      <w:r w:rsidRPr="001F15F6">
        <w:t xml:space="preserve">. </w:t>
      </w:r>
      <w:r w:rsidR="0082262C">
        <w:t>The</w:t>
      </w:r>
      <w:r w:rsidRPr="001F15F6">
        <w:t xml:space="preserve"> use of the CE is becoming increasingly important, especially in the field of agriculture, one of the main suppliers of waste. The CE aims to create a closed-loop system; therefore, the </w:t>
      </w:r>
      <w:proofErr w:type="spellStart"/>
      <w:r w:rsidRPr="001F15F6">
        <w:t>utilisation</w:t>
      </w:r>
      <w:proofErr w:type="spellEnd"/>
      <w:r w:rsidRPr="001F15F6">
        <w:t xml:space="preserve"> of plant residues and agricultural </w:t>
      </w:r>
      <w:r w:rsidR="00BF740A" w:rsidRPr="001F15F6">
        <w:t>fibbers play</w:t>
      </w:r>
      <w:r w:rsidRPr="001F15F6">
        <w:t xml:space="preserve"> a key role in </w:t>
      </w:r>
      <w:r w:rsidR="00BF740A" w:rsidRPr="001F15F6">
        <w:t>bio-based composite material sector</w:t>
      </w:r>
      <w:r w:rsidRPr="001F15F6">
        <w:t>. Residues treated before as waste can become the feed for a new process (Kaya et al., 2018)</w:t>
      </w:r>
      <w:r w:rsidR="00BF740A" w:rsidRPr="001F15F6">
        <w:t xml:space="preserve">. </w:t>
      </w:r>
      <w:r w:rsidRPr="001F15F6">
        <w:t>This vision has allowed the development of new companies and projects that use agricultural waste</w:t>
      </w:r>
      <w:r w:rsidR="0082262C">
        <w:t>s</w:t>
      </w:r>
      <w:r w:rsidRPr="001F15F6">
        <w:t xml:space="preserve"> disposal as filler for polymeric matrices. </w:t>
      </w:r>
    </w:p>
    <w:p w14:paraId="7149E90D" w14:textId="4D56D142" w:rsidR="00403B13" w:rsidRPr="001F15F6" w:rsidRDefault="00403B13" w:rsidP="007511E6">
      <w:pPr>
        <w:pStyle w:val="CETBodytext"/>
      </w:pPr>
      <w:r w:rsidRPr="001F15F6">
        <w:t>The estimated production of oliv</w:t>
      </w:r>
      <w:r w:rsidR="00BB6A26" w:rsidRPr="001F15F6">
        <w:t>e oil in the European Union</w:t>
      </w:r>
      <w:r w:rsidRPr="001F15F6">
        <w:t xml:space="preserve"> is 1</w:t>
      </w:r>
      <w:r w:rsidR="00BB6A26" w:rsidRPr="001F15F6">
        <w:t>.9</w:t>
      </w:r>
      <w:r w:rsidRPr="001F15F6">
        <w:t xml:space="preserve"> </w:t>
      </w:r>
      <w:r w:rsidR="00BB6A26" w:rsidRPr="001F15F6">
        <w:t>million</w:t>
      </w:r>
      <w:r w:rsidRPr="001F15F6">
        <w:t xml:space="preserve"> </w:t>
      </w:r>
      <w:proofErr w:type="spellStart"/>
      <w:r w:rsidRPr="001F15F6">
        <w:t>tonnes</w:t>
      </w:r>
      <w:proofErr w:type="spellEnd"/>
      <w:r w:rsidRPr="001F15F6">
        <w:t xml:space="preserve"> for May </w:t>
      </w:r>
      <w:r w:rsidR="00BB6A26" w:rsidRPr="001F15F6">
        <w:t>2020 (European Commission, 2020</w:t>
      </w:r>
      <w:r w:rsidRPr="001F15F6">
        <w:t xml:space="preserve">). Olive pomace is one of the major outputs of olive oil production. The production of olive pomace is around </w:t>
      </w:r>
      <w:r w:rsidRPr="001F15F6">
        <w:rPr>
          <w:color w:val="000000" w:themeColor="text1"/>
        </w:rPr>
        <w:t xml:space="preserve">6.8-8.0 million </w:t>
      </w:r>
      <w:proofErr w:type="spellStart"/>
      <w:r w:rsidRPr="001F15F6">
        <w:t>tonnes</w:t>
      </w:r>
      <w:proofErr w:type="spellEnd"/>
      <w:r w:rsidRPr="001F15F6">
        <w:t xml:space="preserve"> per year in Europe (</w:t>
      </w:r>
      <w:proofErr w:type="spellStart"/>
      <w:r w:rsidRPr="001F15F6">
        <w:t>Cossu</w:t>
      </w:r>
      <w:proofErr w:type="spellEnd"/>
      <w:r w:rsidRPr="001F15F6">
        <w:t xml:space="preserve"> et al., 2013</w:t>
      </w:r>
      <w:r w:rsidR="00BB6A26" w:rsidRPr="001F15F6">
        <w:t xml:space="preserve">). </w:t>
      </w:r>
      <w:r w:rsidR="001F15F6">
        <w:t>Usually</w:t>
      </w:r>
      <w:r w:rsidRPr="001F15F6">
        <w:t>, olive oil by-products are discharged on agricultural land by controlled spreading (</w:t>
      </w:r>
      <w:proofErr w:type="spellStart"/>
      <w:r w:rsidRPr="001F15F6">
        <w:t>Dermeche</w:t>
      </w:r>
      <w:proofErr w:type="spellEnd"/>
      <w:r w:rsidRPr="001F15F6">
        <w:t xml:space="preserve"> et al., 2013).</w:t>
      </w:r>
    </w:p>
    <w:p w14:paraId="17216E83" w14:textId="77777777" w:rsidR="00FA0F01" w:rsidRDefault="00FA0F01" w:rsidP="007511E6">
      <w:pPr>
        <w:pStyle w:val="CETBodytext"/>
      </w:pPr>
    </w:p>
    <w:p w14:paraId="583401B4" w14:textId="72508C40" w:rsidR="0041308C" w:rsidRPr="001F15F6" w:rsidRDefault="0041308C" w:rsidP="007511E6">
      <w:pPr>
        <w:pStyle w:val="CETBodytext"/>
      </w:pPr>
      <w:r w:rsidRPr="001F15F6">
        <w:t>Despite all the circular opportunities provided by the by-products of olive oil production, there has not been enough effort to evaluate the sustainability of the potential side production processes and compare the linear and business-as-usual paradigms with circular patterns (Ncube et al., 2022). Few studies compare circularity indicators (</w:t>
      </w:r>
      <w:r w:rsidR="009F21E3" w:rsidRPr="001F15F6">
        <w:t>EMF, 2015</w:t>
      </w:r>
      <w:r w:rsidRPr="001F15F6">
        <w:t>) with environmental performance or link the circularity indicators between society levels. Adequate tools exist at each level (</w:t>
      </w:r>
      <w:r w:rsidRPr="001F15F6">
        <w:rPr>
          <w:i/>
          <w:iCs/>
        </w:rPr>
        <w:t>e.g</w:t>
      </w:r>
      <w:r w:rsidRPr="001F15F6">
        <w:t xml:space="preserve">. LCA at the micro-level) to provide the ability to adequately </w:t>
      </w:r>
      <w:r w:rsidRPr="001F15F6">
        <w:lastRenderedPageBreak/>
        <w:t>assess and track the CE performance if placed within a suitable framework. The challenge of connecting the micro and macro levels is still ongoing (Harris et al., 2021).</w:t>
      </w:r>
    </w:p>
    <w:p w14:paraId="218D20C4" w14:textId="62DB6228" w:rsidR="009426B6" w:rsidRPr="002D4A29" w:rsidRDefault="009426B6" w:rsidP="002D4A29">
      <w:pPr>
        <w:pStyle w:val="CETHeading1"/>
        <w:rPr>
          <w:rFonts w:eastAsiaTheme="minorHAnsi"/>
        </w:rPr>
      </w:pPr>
      <w:r w:rsidRPr="002D4A29">
        <w:rPr>
          <w:rFonts w:eastAsiaTheme="minorHAnsi"/>
        </w:rPr>
        <w:t xml:space="preserve">Life Cycle Assessment of </w:t>
      </w:r>
      <w:r w:rsidR="009038AC" w:rsidRPr="002D4A29">
        <w:rPr>
          <w:rFonts w:eastAsiaTheme="minorHAnsi"/>
        </w:rPr>
        <w:t xml:space="preserve">traditional linear </w:t>
      </w:r>
      <w:r w:rsidRPr="002D4A29">
        <w:rPr>
          <w:rFonts w:eastAsiaTheme="minorHAnsi"/>
        </w:rPr>
        <w:t xml:space="preserve">olive oil production in France </w:t>
      </w:r>
    </w:p>
    <w:p w14:paraId="600AB534" w14:textId="7C7892D6" w:rsidR="003F429D" w:rsidRPr="002D4A29" w:rsidRDefault="003F429D" w:rsidP="002D4A29">
      <w:pPr>
        <w:pStyle w:val="CETheadingx"/>
      </w:pPr>
      <w:r w:rsidRPr="002D4A29">
        <w:t>Material and methods</w:t>
      </w:r>
    </w:p>
    <w:p w14:paraId="36C62176" w14:textId="00BF20C8" w:rsidR="00C569A6" w:rsidRPr="001F15F6" w:rsidRDefault="007D228A" w:rsidP="007511E6">
      <w:pPr>
        <w:pStyle w:val="CETBodytext"/>
        <w:rPr>
          <w:rFonts w:eastAsiaTheme="minorHAnsi" w:cs="Arial"/>
          <w:color w:val="000000"/>
          <w:szCs w:val="18"/>
        </w:rPr>
      </w:pPr>
      <w:r w:rsidRPr="001F15F6">
        <w:t xml:space="preserve">The LCA methodology was adopted for each of its four phases (goal and scope definition, life cycle inventory analysis, life cycle impact assessment, </w:t>
      </w:r>
      <w:r w:rsidR="009F68A2" w:rsidRPr="001F15F6">
        <w:t xml:space="preserve">and life cycle </w:t>
      </w:r>
      <w:r w:rsidR="009F68A2" w:rsidRPr="002D4A29">
        <w:t>interpretation) (</w:t>
      </w:r>
      <w:r w:rsidR="009F68A2" w:rsidRPr="002D4A29">
        <w:rPr>
          <w:lang w:eastAsia="fr-FR"/>
        </w:rPr>
        <w:t>ISO 14040-44, 2006).</w:t>
      </w:r>
      <w:r w:rsidR="009F68A2" w:rsidRPr="001F15F6">
        <w:rPr>
          <w:lang w:eastAsia="fr-FR"/>
        </w:rPr>
        <w:t xml:space="preserve"> </w:t>
      </w:r>
      <w:r w:rsidRPr="001F15F6">
        <w:t xml:space="preserve">The </w:t>
      </w:r>
      <w:r w:rsidRPr="001F15F6">
        <w:rPr>
          <w:rFonts w:eastAsiaTheme="minorHAnsi" w:cs="Arial"/>
          <w:color w:val="000000"/>
          <w:szCs w:val="18"/>
        </w:rPr>
        <w:t>functional unit</w:t>
      </w:r>
      <w:r w:rsidRPr="001F15F6">
        <w:t xml:space="preserve"> </w:t>
      </w:r>
      <w:r w:rsidR="001F15F6">
        <w:t xml:space="preserve">(FU) </w:t>
      </w:r>
      <w:r w:rsidRPr="001F15F6">
        <w:t xml:space="preserve">was to "produce one </w:t>
      </w:r>
      <w:proofErr w:type="spellStart"/>
      <w:r w:rsidR="00B41B74" w:rsidRPr="001F15F6">
        <w:t>lit</w:t>
      </w:r>
      <w:r w:rsidR="001F15F6">
        <w:t>re</w:t>
      </w:r>
      <w:proofErr w:type="spellEnd"/>
      <w:r w:rsidRPr="001F15F6">
        <w:t xml:space="preserve"> of virgin/extr</w:t>
      </w:r>
      <w:r w:rsidR="0040107B">
        <w:t>a virgin olive oil" from cradle-to-</w:t>
      </w:r>
      <w:r w:rsidRPr="001F15F6">
        <w:t>grave, using the attributional approach.</w:t>
      </w:r>
      <w:r w:rsidR="009F68A2" w:rsidRPr="001F15F6">
        <w:t xml:space="preserve"> The </w:t>
      </w:r>
      <w:r w:rsidR="001F15F6">
        <w:t>system boundary</w:t>
      </w:r>
      <w:r w:rsidR="006A55EF" w:rsidRPr="001F15F6">
        <w:t xml:space="preserve"> </w:t>
      </w:r>
      <w:r w:rsidR="009F68A2" w:rsidRPr="001F15F6">
        <w:t>is presented in Figure 1.</w:t>
      </w:r>
      <w:r w:rsidRPr="001F15F6">
        <w:t xml:space="preserve"> </w:t>
      </w:r>
      <w:r w:rsidR="009426B6" w:rsidRPr="001F15F6">
        <w:rPr>
          <w:rFonts w:eastAsiaTheme="minorHAnsi" w:cs="Arial"/>
          <w:color w:val="000000"/>
          <w:szCs w:val="18"/>
        </w:rPr>
        <w:t xml:space="preserve">Eleven scenarios of the agricultural upstream part, with the 2-phase extraction technology, were elaborated. </w:t>
      </w:r>
      <w:r w:rsidR="001B328D" w:rsidRPr="001F15F6">
        <w:rPr>
          <w:rFonts w:eastAsiaTheme="minorHAnsi" w:cs="Arial"/>
          <w:color w:val="000000"/>
          <w:szCs w:val="18"/>
        </w:rPr>
        <w:t>Data’s</w:t>
      </w:r>
      <w:r w:rsidR="009426B6" w:rsidRPr="001F15F6">
        <w:rPr>
          <w:rFonts w:eastAsiaTheme="minorHAnsi" w:cs="Arial"/>
          <w:color w:val="000000"/>
          <w:szCs w:val="18"/>
        </w:rPr>
        <w:t xml:space="preserve"> on olive cultivation were collected in 2014 with the help of the Centre Technique de </w:t>
      </w:r>
      <w:proofErr w:type="spellStart"/>
      <w:r w:rsidR="009426B6" w:rsidRPr="001F15F6">
        <w:rPr>
          <w:rFonts w:eastAsiaTheme="minorHAnsi" w:cs="Arial"/>
          <w:color w:val="000000"/>
          <w:szCs w:val="18"/>
        </w:rPr>
        <w:t>l'Olivier</w:t>
      </w:r>
      <w:proofErr w:type="spellEnd"/>
      <w:r w:rsidR="009426B6" w:rsidRPr="001F15F6">
        <w:rPr>
          <w:rFonts w:eastAsiaTheme="minorHAnsi" w:cs="Arial"/>
          <w:color w:val="000000"/>
          <w:szCs w:val="18"/>
        </w:rPr>
        <w:t xml:space="preserve"> </w:t>
      </w:r>
      <w:r w:rsidR="001B328D" w:rsidRPr="001F15F6">
        <w:rPr>
          <w:rFonts w:eastAsiaTheme="minorHAnsi" w:cs="Arial"/>
          <w:color w:val="000000"/>
          <w:szCs w:val="18"/>
        </w:rPr>
        <w:t>(</w:t>
      </w:r>
      <w:r w:rsidR="009426B6" w:rsidRPr="001F15F6">
        <w:rPr>
          <w:rFonts w:eastAsiaTheme="minorHAnsi" w:cs="Arial"/>
          <w:color w:val="000000"/>
          <w:szCs w:val="18"/>
        </w:rPr>
        <w:t>France). They came from eleven different orchards in the south of France for the agricultural part</w:t>
      </w:r>
      <w:r w:rsidR="003F429D" w:rsidRPr="001F15F6">
        <w:rPr>
          <w:rFonts w:eastAsiaTheme="minorHAnsi" w:cs="Arial"/>
          <w:color w:val="000000"/>
          <w:szCs w:val="18"/>
        </w:rPr>
        <w:t xml:space="preserve"> and from seven mills located in the same geographical area f</w:t>
      </w:r>
      <w:r w:rsidR="009426B6" w:rsidRPr="001F15F6">
        <w:rPr>
          <w:rFonts w:eastAsiaTheme="minorHAnsi" w:cs="Arial"/>
          <w:color w:val="000000"/>
          <w:szCs w:val="18"/>
        </w:rPr>
        <w:t>or the processing part</w:t>
      </w:r>
      <w:r w:rsidR="003F429D" w:rsidRPr="001F15F6">
        <w:rPr>
          <w:rFonts w:eastAsiaTheme="minorHAnsi" w:cs="Arial"/>
          <w:color w:val="000000"/>
          <w:szCs w:val="18"/>
        </w:rPr>
        <w:t>. A</w:t>
      </w:r>
      <w:r w:rsidR="009426B6" w:rsidRPr="001F15F6">
        <w:rPr>
          <w:rFonts w:eastAsiaTheme="minorHAnsi" w:cs="Arial"/>
          <w:color w:val="000000"/>
          <w:szCs w:val="18"/>
        </w:rPr>
        <w:t>n average of these seven mills was us</w:t>
      </w:r>
      <w:r w:rsidR="003F429D" w:rsidRPr="001F15F6">
        <w:rPr>
          <w:rFonts w:eastAsiaTheme="minorHAnsi" w:cs="Arial"/>
          <w:color w:val="000000"/>
          <w:szCs w:val="18"/>
        </w:rPr>
        <w:t xml:space="preserve">ed for the different scenarios. </w:t>
      </w:r>
      <w:r w:rsidR="009426B6" w:rsidRPr="001F15F6">
        <w:rPr>
          <w:rFonts w:eastAsiaTheme="minorHAnsi" w:cs="Arial"/>
          <w:color w:val="000000"/>
          <w:szCs w:val="18"/>
        </w:rPr>
        <w:t xml:space="preserve">The choice of French olive oil producers was guided by the three options chosen to construct the scenarios: </w:t>
      </w:r>
      <w:r w:rsidR="00043E7D" w:rsidRPr="001F15F6">
        <w:rPr>
          <w:rFonts w:eastAsiaTheme="minorHAnsi" w:cs="Arial"/>
          <w:color w:val="000000"/>
          <w:szCs w:val="18"/>
        </w:rPr>
        <w:t>(</w:t>
      </w:r>
      <w:r w:rsidR="009426B6" w:rsidRPr="001F15F6">
        <w:rPr>
          <w:rFonts w:eastAsiaTheme="minorHAnsi" w:cs="Arial"/>
          <w:color w:val="000000"/>
          <w:szCs w:val="18"/>
        </w:rPr>
        <w:t xml:space="preserve">1) Principle of agriculture (Conventional/Organic), </w:t>
      </w:r>
      <w:r w:rsidR="00043E7D" w:rsidRPr="001F15F6">
        <w:rPr>
          <w:rFonts w:eastAsiaTheme="minorHAnsi" w:cs="Arial"/>
          <w:color w:val="000000"/>
          <w:szCs w:val="18"/>
        </w:rPr>
        <w:t>(</w:t>
      </w:r>
      <w:r w:rsidR="009426B6" w:rsidRPr="001F15F6">
        <w:rPr>
          <w:rFonts w:eastAsiaTheme="minorHAnsi" w:cs="Arial"/>
          <w:color w:val="000000"/>
          <w:szCs w:val="18"/>
        </w:rPr>
        <w:t xml:space="preserve">2) Type of farming (Traditional/Intensive), and </w:t>
      </w:r>
      <w:r w:rsidR="00043E7D" w:rsidRPr="001F15F6">
        <w:rPr>
          <w:rFonts w:eastAsiaTheme="minorHAnsi" w:cs="Arial"/>
          <w:color w:val="000000"/>
          <w:szCs w:val="18"/>
        </w:rPr>
        <w:t>(</w:t>
      </w:r>
      <w:r w:rsidR="009426B6" w:rsidRPr="001F15F6">
        <w:rPr>
          <w:rFonts w:eastAsiaTheme="minorHAnsi" w:cs="Arial"/>
          <w:color w:val="000000"/>
          <w:szCs w:val="18"/>
        </w:rPr>
        <w:t xml:space="preserve">3) Irrigation system (Irrigated/Dry). A complete inventory of the life cycle of all types of olive growing systems in France was provided. </w:t>
      </w:r>
      <w:r w:rsidR="001F15F6">
        <w:rPr>
          <w:rFonts w:eastAsiaTheme="minorHAnsi" w:cs="Arial"/>
          <w:color w:val="000000"/>
          <w:szCs w:val="18"/>
        </w:rPr>
        <w:t>The b</w:t>
      </w:r>
      <w:r w:rsidR="009038AC" w:rsidRPr="001F15F6">
        <w:rPr>
          <w:rFonts w:eastAsiaTheme="minorHAnsi" w:cs="Arial"/>
          <w:color w:val="000000"/>
          <w:szCs w:val="18"/>
        </w:rPr>
        <w:t xml:space="preserve">ackground data </w:t>
      </w:r>
      <w:r w:rsidR="00B34808">
        <w:rPr>
          <w:rFonts w:eastAsiaTheme="minorHAnsi" w:cs="Arial"/>
          <w:color w:val="000000"/>
          <w:szCs w:val="18"/>
        </w:rPr>
        <w:t>was from</w:t>
      </w:r>
      <w:r w:rsidR="009038AC" w:rsidRPr="001F15F6">
        <w:rPr>
          <w:rFonts w:eastAsiaTheme="minorHAnsi" w:cs="Arial"/>
          <w:color w:val="000000"/>
          <w:szCs w:val="18"/>
        </w:rPr>
        <w:t xml:space="preserve"> </w:t>
      </w:r>
      <w:r w:rsidR="00B34808">
        <w:rPr>
          <w:rFonts w:eastAsiaTheme="minorHAnsi" w:cs="Arial"/>
          <w:color w:val="000000"/>
          <w:szCs w:val="18"/>
        </w:rPr>
        <w:t xml:space="preserve">the </w:t>
      </w:r>
      <w:r w:rsidR="009038AC" w:rsidRPr="001F15F6">
        <w:rPr>
          <w:rFonts w:eastAsiaTheme="minorHAnsi" w:cs="Arial"/>
          <w:color w:val="000000"/>
          <w:szCs w:val="18"/>
        </w:rPr>
        <w:t>Ecoinvent v3</w:t>
      </w:r>
      <w:r w:rsidR="00B34808">
        <w:rPr>
          <w:rFonts w:eastAsiaTheme="minorHAnsi" w:cs="Arial"/>
          <w:color w:val="000000"/>
          <w:szCs w:val="18"/>
        </w:rPr>
        <w:t>.6</w:t>
      </w:r>
      <w:r w:rsidR="009038AC" w:rsidRPr="001F15F6">
        <w:rPr>
          <w:rFonts w:eastAsiaTheme="minorHAnsi" w:cs="Arial"/>
          <w:color w:val="000000"/>
          <w:szCs w:val="18"/>
        </w:rPr>
        <w:t xml:space="preserve"> database</w:t>
      </w:r>
      <w:r w:rsidR="00B34808">
        <w:rPr>
          <w:rFonts w:eastAsiaTheme="minorHAnsi" w:cs="Arial"/>
          <w:color w:val="000000"/>
          <w:szCs w:val="18"/>
        </w:rPr>
        <w:t xml:space="preserve"> (Allocation, cut-off by classification)</w:t>
      </w:r>
      <w:r w:rsidR="009038AC" w:rsidRPr="001F15F6">
        <w:rPr>
          <w:rFonts w:eastAsiaTheme="minorHAnsi" w:cs="Arial"/>
          <w:color w:val="000000"/>
          <w:szCs w:val="18"/>
        </w:rPr>
        <w:t xml:space="preserve">. </w:t>
      </w:r>
      <w:r w:rsidR="001F15F6" w:rsidRPr="001F15F6">
        <w:t xml:space="preserve">The system scenarios were developed </w:t>
      </w:r>
      <w:r w:rsidR="00B34808" w:rsidRPr="001F15F6">
        <w:t xml:space="preserve">with </w:t>
      </w:r>
      <w:proofErr w:type="spellStart"/>
      <w:r w:rsidR="00B34808" w:rsidRPr="001F15F6">
        <w:t>SimaPro</w:t>
      </w:r>
      <w:proofErr w:type="spellEnd"/>
      <w:r w:rsidR="00B34808" w:rsidRPr="001F15F6">
        <w:t xml:space="preserve"> PhD 9.1 software </w:t>
      </w:r>
      <w:r w:rsidR="001F15F6" w:rsidRPr="001F15F6">
        <w:t xml:space="preserve">and </w:t>
      </w:r>
      <w:r w:rsidR="00B34808">
        <w:t xml:space="preserve">assessed by </w:t>
      </w:r>
      <w:proofErr w:type="spellStart"/>
      <w:r w:rsidR="00B34808">
        <w:t>ReCiPe</w:t>
      </w:r>
      <w:proofErr w:type="spellEnd"/>
      <w:r w:rsidR="00B34808">
        <w:t xml:space="preserve"> 2016 Midpoint and Endpoint v1.1 (</w:t>
      </w:r>
      <w:proofErr w:type="spellStart"/>
      <w:r w:rsidR="00B34808">
        <w:t>Hierarchist</w:t>
      </w:r>
      <w:proofErr w:type="spellEnd"/>
      <w:r w:rsidR="00B34808">
        <w:t>; H)</w:t>
      </w:r>
      <w:r w:rsidR="001F15F6" w:rsidRPr="001F15F6">
        <w:t xml:space="preserve">. </w:t>
      </w:r>
      <w:r w:rsidR="00B34808">
        <w:rPr>
          <w:rFonts w:eastAsiaTheme="minorHAnsi" w:cs="Arial"/>
          <w:color w:val="000000"/>
          <w:szCs w:val="18"/>
        </w:rPr>
        <w:t>The r</w:t>
      </w:r>
      <w:r w:rsidR="00C748BE" w:rsidRPr="001F15F6">
        <w:rPr>
          <w:rFonts w:eastAsiaTheme="minorHAnsi" w:cs="Arial"/>
          <w:color w:val="000000"/>
          <w:szCs w:val="18"/>
        </w:rPr>
        <w:t>esults</w:t>
      </w:r>
      <w:r w:rsidR="00B34808">
        <w:rPr>
          <w:rFonts w:eastAsiaTheme="minorHAnsi" w:cs="Arial"/>
          <w:color w:val="000000"/>
          <w:szCs w:val="18"/>
        </w:rPr>
        <w:t xml:space="preserve"> analysis</w:t>
      </w:r>
      <w:r w:rsidR="00C748BE" w:rsidRPr="001F15F6">
        <w:rPr>
          <w:rFonts w:eastAsiaTheme="minorHAnsi" w:cs="Arial"/>
          <w:color w:val="000000"/>
          <w:szCs w:val="18"/>
        </w:rPr>
        <w:t xml:space="preserve"> focus</w:t>
      </w:r>
      <w:r w:rsidR="0041308C" w:rsidRPr="001F15F6">
        <w:rPr>
          <w:rFonts w:eastAsiaTheme="minorHAnsi" w:cs="Arial"/>
          <w:color w:val="000000"/>
          <w:szCs w:val="18"/>
        </w:rPr>
        <w:t>ed</w:t>
      </w:r>
      <w:r w:rsidR="00C748BE" w:rsidRPr="001F15F6">
        <w:rPr>
          <w:rFonts w:eastAsiaTheme="minorHAnsi" w:cs="Arial"/>
          <w:color w:val="000000"/>
          <w:szCs w:val="18"/>
        </w:rPr>
        <w:t xml:space="preserve"> on the Climate Change impact </w:t>
      </w:r>
      <w:r w:rsidR="00C748BE" w:rsidRPr="00B34808">
        <w:rPr>
          <w:rFonts w:eastAsiaTheme="minorHAnsi" w:cs="Arial"/>
          <w:color w:val="000000"/>
          <w:szCs w:val="18"/>
        </w:rPr>
        <w:t>category (IPCC</w:t>
      </w:r>
      <w:r w:rsidR="001B328D" w:rsidRPr="00B34808">
        <w:rPr>
          <w:rFonts w:eastAsiaTheme="minorHAnsi" w:cs="Arial"/>
          <w:color w:val="000000"/>
          <w:szCs w:val="18"/>
        </w:rPr>
        <w:t>, 2006</w:t>
      </w:r>
      <w:r w:rsidR="00C748BE" w:rsidRPr="00B34808">
        <w:rPr>
          <w:rFonts w:eastAsiaTheme="minorHAnsi" w:cs="Arial"/>
          <w:color w:val="000000"/>
          <w:szCs w:val="18"/>
        </w:rPr>
        <w:t>).</w:t>
      </w:r>
    </w:p>
    <w:p w14:paraId="099183EE" w14:textId="77777777" w:rsidR="00B71F13" w:rsidRPr="001F15F6" w:rsidRDefault="00B71F13" w:rsidP="00E6447B">
      <w:pPr>
        <w:tabs>
          <w:tab w:val="left" w:pos="0"/>
        </w:tabs>
        <w:spacing w:line="240" w:lineRule="auto"/>
      </w:pPr>
    </w:p>
    <w:p w14:paraId="2E7EEDD2" w14:textId="77777777" w:rsidR="00B71F13" w:rsidRPr="001F15F6" w:rsidRDefault="00B71F13" w:rsidP="008F5A57">
      <w:pPr>
        <w:keepNext/>
        <w:tabs>
          <w:tab w:val="left" w:pos="0"/>
        </w:tabs>
        <w:jc w:val="left"/>
      </w:pPr>
      <w:r w:rsidRPr="001F15F6">
        <w:rPr>
          <w:noProof/>
          <w:lang w:val="en-US"/>
        </w:rPr>
        <w:drawing>
          <wp:inline distT="0" distB="0" distL="0" distR="0" wp14:anchorId="1546C1B4" wp14:editId="68B2F287">
            <wp:extent cx="5479576" cy="3441712"/>
            <wp:effectExtent l="0" t="0" r="6985" b="635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3122" cy="3462782"/>
                    </a:xfrm>
                    <a:prstGeom prst="rect">
                      <a:avLst/>
                    </a:prstGeom>
                  </pic:spPr>
                </pic:pic>
              </a:graphicData>
            </a:graphic>
          </wp:inline>
        </w:drawing>
      </w:r>
    </w:p>
    <w:p w14:paraId="56765925" w14:textId="77840891" w:rsidR="00B71F13" w:rsidRPr="001F15F6" w:rsidRDefault="00B71F13" w:rsidP="008F5A57">
      <w:pPr>
        <w:pStyle w:val="CETCaption"/>
      </w:pPr>
      <w:bookmarkStart w:id="0" w:name="_Ref93506312"/>
      <w:bookmarkStart w:id="1" w:name="_Ref93506286"/>
      <w:proofErr w:type="gramStart"/>
      <w:r w:rsidRPr="001F15F6">
        <w:t xml:space="preserve">Figure </w:t>
      </w:r>
      <w:r w:rsidRPr="001F15F6">
        <w:fldChar w:fldCharType="begin"/>
      </w:r>
      <w:r w:rsidRPr="001F15F6">
        <w:instrText xml:space="preserve"> SEQ Figure_II- \* ARABIC </w:instrText>
      </w:r>
      <w:r w:rsidRPr="001F15F6">
        <w:fldChar w:fldCharType="separate"/>
      </w:r>
      <w:r w:rsidRPr="001F15F6">
        <w:t>1</w:t>
      </w:r>
      <w:r w:rsidRPr="001F15F6">
        <w:fldChar w:fldCharType="end"/>
      </w:r>
      <w:bookmarkEnd w:id="0"/>
      <w:r w:rsidRPr="001F15F6">
        <w:t>.</w:t>
      </w:r>
      <w:proofErr w:type="gramEnd"/>
      <w:r w:rsidRPr="001F15F6">
        <w:t xml:space="preserve"> </w:t>
      </w:r>
      <w:proofErr w:type="gramStart"/>
      <w:r w:rsidRPr="001F15F6">
        <w:t>Process tree of the olive oil production in France.</w:t>
      </w:r>
      <w:bookmarkEnd w:id="1"/>
      <w:proofErr w:type="gramEnd"/>
    </w:p>
    <w:p w14:paraId="5B1C86CF" w14:textId="2AAFD154" w:rsidR="003F429D" w:rsidRPr="001F15F6" w:rsidRDefault="003F429D" w:rsidP="002D4A29">
      <w:pPr>
        <w:pStyle w:val="CETheadingx"/>
      </w:pPr>
      <w:r w:rsidRPr="001F15F6">
        <w:t>Results and discussion</w:t>
      </w:r>
    </w:p>
    <w:p w14:paraId="1C8DDC80" w14:textId="6ED484C9" w:rsidR="009F68A2" w:rsidRPr="001F15F6" w:rsidRDefault="002337A8" w:rsidP="007511E6">
      <w:pPr>
        <w:pStyle w:val="CETBodytext"/>
        <w:rPr>
          <w:rFonts w:eastAsiaTheme="minorHAnsi" w:cs="Arial"/>
          <w:szCs w:val="18"/>
        </w:rPr>
      </w:pPr>
      <w:r w:rsidRPr="001F15F6">
        <w:t xml:space="preserve">Figure </w:t>
      </w:r>
      <w:r w:rsidR="009F68A2" w:rsidRPr="001F15F6">
        <w:t>2</w:t>
      </w:r>
      <w:r w:rsidRPr="001F15F6">
        <w:t xml:space="preserve"> shows the distribution of the impact of the life cycle of olive oil production in the Climate change category. The results went from 2.80 </w:t>
      </w:r>
      <w:r w:rsidR="00C748BE" w:rsidRPr="001F15F6">
        <w:t>to</w:t>
      </w:r>
      <w:r w:rsidR="009F68A2" w:rsidRPr="001F15F6">
        <w:t xml:space="preserve"> </w:t>
      </w:r>
      <w:r w:rsidR="001458ED" w:rsidRPr="001F15F6">
        <w:t>7.10</w:t>
      </w:r>
      <w:r w:rsidR="00C748BE" w:rsidRPr="001F15F6">
        <w:t xml:space="preserve"> </w:t>
      </w:r>
      <w:r w:rsidR="001458ED" w:rsidRPr="001F15F6">
        <w:t>kg CO</w:t>
      </w:r>
      <w:r w:rsidR="001458ED" w:rsidRPr="001F15F6">
        <w:rPr>
          <w:vertAlign w:val="subscript"/>
        </w:rPr>
        <w:t>2</w:t>
      </w:r>
      <w:r w:rsidR="001458ED" w:rsidRPr="001F15F6">
        <w:t>-eq/L.</w:t>
      </w:r>
      <w:r w:rsidRPr="001F15F6">
        <w:t xml:space="preserve"> These values are in concordance with previous studies </w:t>
      </w:r>
      <w:r w:rsidRPr="00B34808">
        <w:rPr>
          <w:szCs w:val="24"/>
        </w:rPr>
        <w:t xml:space="preserve">(El </w:t>
      </w:r>
      <w:proofErr w:type="spellStart"/>
      <w:r w:rsidRPr="00B34808">
        <w:rPr>
          <w:szCs w:val="24"/>
        </w:rPr>
        <w:t>Hanandeh</w:t>
      </w:r>
      <w:proofErr w:type="spellEnd"/>
      <w:r w:rsidRPr="00B34808">
        <w:rPr>
          <w:szCs w:val="24"/>
        </w:rPr>
        <w:t xml:space="preserve"> and </w:t>
      </w:r>
      <w:proofErr w:type="spellStart"/>
      <w:r w:rsidRPr="00B34808">
        <w:rPr>
          <w:szCs w:val="24"/>
        </w:rPr>
        <w:t>Gharaibeh</w:t>
      </w:r>
      <w:proofErr w:type="spellEnd"/>
      <w:r w:rsidRPr="00B34808">
        <w:rPr>
          <w:szCs w:val="24"/>
        </w:rPr>
        <w:t xml:space="preserve">, 2016; </w:t>
      </w:r>
      <w:proofErr w:type="spellStart"/>
      <w:r w:rsidRPr="00B34808">
        <w:rPr>
          <w:szCs w:val="24"/>
        </w:rPr>
        <w:t>Espi</w:t>
      </w:r>
      <w:proofErr w:type="spellEnd"/>
      <w:r w:rsidRPr="00B34808">
        <w:rPr>
          <w:szCs w:val="24"/>
        </w:rPr>
        <w:t xml:space="preserve"> et al., 2013; </w:t>
      </w:r>
      <w:proofErr w:type="spellStart"/>
      <w:r w:rsidRPr="00B34808">
        <w:rPr>
          <w:szCs w:val="24"/>
        </w:rPr>
        <w:t>Pattara</w:t>
      </w:r>
      <w:proofErr w:type="spellEnd"/>
      <w:r w:rsidRPr="00B34808">
        <w:rPr>
          <w:szCs w:val="24"/>
        </w:rPr>
        <w:t xml:space="preserve"> et al., 2016; </w:t>
      </w:r>
      <w:proofErr w:type="spellStart"/>
      <w:r w:rsidRPr="00B34808">
        <w:rPr>
          <w:szCs w:val="24"/>
        </w:rPr>
        <w:t>Proietti</w:t>
      </w:r>
      <w:proofErr w:type="spellEnd"/>
      <w:r w:rsidRPr="00B34808">
        <w:rPr>
          <w:szCs w:val="24"/>
        </w:rPr>
        <w:t xml:space="preserve"> et al., 2017)</w:t>
      </w:r>
      <w:r w:rsidRPr="00B34808">
        <w:t xml:space="preserve">. </w:t>
      </w:r>
      <w:r w:rsidRPr="001F15F6">
        <w:rPr>
          <w:rFonts w:eastAsiaTheme="minorHAnsi" w:cs="Arial"/>
          <w:color w:val="000000"/>
          <w:szCs w:val="18"/>
        </w:rPr>
        <w:t>The climate change impact results showed that the irrigated systems turned out to have a positive environmental impact (</w:t>
      </w:r>
      <w:r w:rsidRPr="001F15F6">
        <w:rPr>
          <w:rFonts w:eastAsiaTheme="minorHAnsi" w:cs="Arial"/>
          <w:i/>
          <w:iCs/>
          <w:color w:val="000000"/>
          <w:szCs w:val="18"/>
        </w:rPr>
        <w:t>i.e</w:t>
      </w:r>
      <w:r w:rsidRPr="001F15F6">
        <w:rPr>
          <w:rFonts w:eastAsiaTheme="minorHAnsi" w:cs="Arial"/>
          <w:color w:val="000000"/>
          <w:szCs w:val="18"/>
        </w:rPr>
        <w:t>. less CO</w:t>
      </w:r>
      <w:r w:rsidRPr="001F15F6">
        <w:rPr>
          <w:rFonts w:eastAsiaTheme="minorHAnsi" w:cs="Arial"/>
          <w:color w:val="000000"/>
          <w:szCs w:val="18"/>
          <w:vertAlign w:val="subscript"/>
        </w:rPr>
        <w:t>2</w:t>
      </w:r>
      <w:r w:rsidRPr="001F15F6">
        <w:rPr>
          <w:rFonts w:eastAsiaTheme="minorHAnsi" w:cs="Arial"/>
          <w:color w:val="000000"/>
          <w:szCs w:val="18"/>
        </w:rPr>
        <w:t xml:space="preserve">-eq emissions) compared to the scenarios with the </w:t>
      </w:r>
      <w:r w:rsidRPr="001F15F6">
        <w:rPr>
          <w:rFonts w:eastAsiaTheme="minorHAnsi" w:cs="Arial"/>
          <w:szCs w:val="18"/>
        </w:rPr>
        <w:t>same type of</w:t>
      </w:r>
      <w:r w:rsidRPr="001F15F6">
        <w:rPr>
          <w:rFonts w:eastAsiaTheme="minorHAnsi"/>
          <w:sz w:val="22"/>
          <w:szCs w:val="22"/>
        </w:rPr>
        <w:t xml:space="preserve"> </w:t>
      </w:r>
      <w:r w:rsidRPr="001F15F6">
        <w:rPr>
          <w:rFonts w:eastAsiaTheme="minorHAnsi" w:cs="Arial"/>
          <w:szCs w:val="18"/>
        </w:rPr>
        <w:t xml:space="preserve">agriculture and intensity. This suggested that the large difference in olive productivity per hectare is positively influenced </w:t>
      </w:r>
      <w:r w:rsidR="009F68A2" w:rsidRPr="001F15F6">
        <w:rPr>
          <w:rFonts w:eastAsiaTheme="minorHAnsi" w:cs="Arial"/>
          <w:szCs w:val="18"/>
        </w:rPr>
        <w:t>mainly by the use of irrigation</w:t>
      </w:r>
      <w:r w:rsidRPr="001F15F6">
        <w:rPr>
          <w:rFonts w:eastAsiaTheme="minorHAnsi" w:cs="Arial"/>
          <w:szCs w:val="18"/>
        </w:rPr>
        <w:t>. The best scenario among the eleven cases was S5</w:t>
      </w:r>
      <w:r w:rsidR="00B34808">
        <w:rPr>
          <w:rFonts w:eastAsiaTheme="minorHAnsi" w:cs="Arial"/>
          <w:szCs w:val="18"/>
        </w:rPr>
        <w:t>-CTI (conventional, traditional</w:t>
      </w:r>
      <w:r w:rsidRPr="001F15F6">
        <w:rPr>
          <w:rFonts w:eastAsiaTheme="minorHAnsi" w:cs="Arial"/>
          <w:szCs w:val="18"/>
        </w:rPr>
        <w:t xml:space="preserve"> </w:t>
      </w:r>
      <w:r w:rsidR="00B34808" w:rsidRPr="001F15F6">
        <w:rPr>
          <w:rFonts w:eastAsiaTheme="minorHAnsi" w:cs="Arial"/>
          <w:szCs w:val="18"/>
        </w:rPr>
        <w:t>and irrigated</w:t>
      </w:r>
      <w:r w:rsidRPr="001F15F6">
        <w:rPr>
          <w:rFonts w:eastAsiaTheme="minorHAnsi" w:cs="Arial"/>
          <w:szCs w:val="18"/>
        </w:rPr>
        <w:t xml:space="preserve">) and the least environmentally </w:t>
      </w:r>
      <w:r w:rsidR="00EA5A04" w:rsidRPr="001F15F6">
        <w:rPr>
          <w:rFonts w:eastAsiaTheme="minorHAnsi" w:cs="Arial"/>
          <w:szCs w:val="18"/>
        </w:rPr>
        <w:t xml:space="preserve">attractive </w:t>
      </w:r>
      <w:r w:rsidRPr="001F15F6">
        <w:rPr>
          <w:rFonts w:eastAsiaTheme="minorHAnsi" w:cs="Arial"/>
          <w:szCs w:val="18"/>
        </w:rPr>
        <w:t xml:space="preserve">was </w:t>
      </w:r>
      <w:r w:rsidR="00B34808">
        <w:rPr>
          <w:rFonts w:eastAsiaTheme="minorHAnsi" w:cs="Arial"/>
          <w:szCs w:val="18"/>
        </w:rPr>
        <w:t>S9-CID (conventional, intensive and</w:t>
      </w:r>
      <w:r w:rsidRPr="001F15F6">
        <w:rPr>
          <w:rFonts w:eastAsiaTheme="minorHAnsi" w:cs="Arial"/>
          <w:szCs w:val="18"/>
        </w:rPr>
        <w:t xml:space="preserve"> dry) which had almost three times less oil per hectare. </w:t>
      </w:r>
      <w:r w:rsidR="009F68A2" w:rsidRPr="001F15F6">
        <w:t xml:space="preserve">This </w:t>
      </w:r>
      <w:proofErr w:type="gramStart"/>
      <w:r w:rsidR="009F68A2" w:rsidRPr="001F15F6">
        <w:t>arise</w:t>
      </w:r>
      <w:r w:rsidR="00EA5A04">
        <w:t>s</w:t>
      </w:r>
      <w:proofErr w:type="gramEnd"/>
      <w:r w:rsidR="009F68A2" w:rsidRPr="001F15F6">
        <w:t xml:space="preserve"> the question of how </w:t>
      </w:r>
      <w:r w:rsidR="009F68A2" w:rsidRPr="001F15F6">
        <w:rPr>
          <w:color w:val="000000" w:themeColor="text1"/>
        </w:rPr>
        <w:t xml:space="preserve">the </w:t>
      </w:r>
      <w:r w:rsidR="00B34808">
        <w:t>FU</w:t>
      </w:r>
      <w:r w:rsidR="009F68A2" w:rsidRPr="001F15F6">
        <w:rPr>
          <w:color w:val="000000" w:themeColor="text1"/>
        </w:rPr>
        <w:t xml:space="preserve"> significantly influences the way </w:t>
      </w:r>
      <w:r w:rsidR="009F68A2" w:rsidRPr="001F15F6">
        <w:lastRenderedPageBreak/>
        <w:t>an</w:t>
      </w:r>
      <w:r w:rsidR="009F68A2" w:rsidRPr="001F15F6">
        <w:rPr>
          <w:color w:val="000000" w:themeColor="text1"/>
        </w:rPr>
        <w:t xml:space="preserve"> LCA is performed, </w:t>
      </w:r>
      <w:r w:rsidR="009F68A2" w:rsidRPr="001F15F6">
        <w:t xml:space="preserve">as well as </w:t>
      </w:r>
      <w:r w:rsidR="009F68A2" w:rsidRPr="001F15F6">
        <w:rPr>
          <w:color w:val="000000" w:themeColor="text1"/>
        </w:rPr>
        <w:t xml:space="preserve">its results and </w:t>
      </w:r>
      <w:r w:rsidR="009F68A2" w:rsidRPr="001F15F6">
        <w:t xml:space="preserve">their </w:t>
      </w:r>
      <w:r w:rsidR="009F68A2" w:rsidRPr="001F15F6">
        <w:rPr>
          <w:color w:val="000000" w:themeColor="text1"/>
        </w:rPr>
        <w:t xml:space="preserve">interpretation. This issue has been </w:t>
      </w:r>
      <w:r w:rsidR="00B34808">
        <w:rPr>
          <w:color w:val="000000" w:themeColor="text1"/>
        </w:rPr>
        <w:t xml:space="preserve">also </w:t>
      </w:r>
      <w:r w:rsidR="009F68A2" w:rsidRPr="001F15F6">
        <w:rPr>
          <w:color w:val="000000" w:themeColor="text1"/>
        </w:rPr>
        <w:t xml:space="preserve">addressed by several authors in the assessment of organic </w:t>
      </w:r>
      <w:r w:rsidR="009F68A2" w:rsidRPr="00B34808">
        <w:rPr>
          <w:i/>
          <w:color w:val="000000" w:themeColor="text1"/>
        </w:rPr>
        <w:t>vs</w:t>
      </w:r>
      <w:r w:rsidR="009F68A2" w:rsidRPr="001F15F6">
        <w:rPr>
          <w:color w:val="000000" w:themeColor="text1"/>
        </w:rPr>
        <w:t xml:space="preserve"> conventional food products </w:t>
      </w:r>
      <w:r w:rsidR="009F68A2" w:rsidRPr="00B34808">
        <w:t>(Roy et al., 2009; van der Werf et al., 2020)</w:t>
      </w:r>
      <w:r w:rsidR="009F68A2" w:rsidRPr="00B34808">
        <w:rPr>
          <w:color w:val="000000" w:themeColor="text1"/>
        </w:rPr>
        <w:t>.</w:t>
      </w:r>
      <w:r w:rsidR="009F68A2" w:rsidRPr="001F15F6">
        <w:rPr>
          <w:color w:val="000000" w:themeColor="text1"/>
        </w:rPr>
        <w:t xml:space="preserve"> </w:t>
      </w:r>
    </w:p>
    <w:p w14:paraId="60E1DEF9" w14:textId="4DF92E87" w:rsidR="002337A8" w:rsidRPr="001F15F6" w:rsidRDefault="002337A8" w:rsidP="007511E6">
      <w:pPr>
        <w:pStyle w:val="CETBodytext"/>
      </w:pPr>
      <w:r w:rsidRPr="001F15F6">
        <w:t>Moreover, t</w:t>
      </w:r>
      <w:r w:rsidRPr="001F15F6">
        <w:rPr>
          <w:rFonts w:eastAsiaTheme="minorHAnsi" w:cs="Arial"/>
          <w:color w:val="000000"/>
          <w:szCs w:val="18"/>
        </w:rPr>
        <w:t>he agricultural upstream was shown</w:t>
      </w:r>
      <w:r w:rsidR="007D228A" w:rsidRPr="001F15F6">
        <w:rPr>
          <w:rFonts w:eastAsiaTheme="minorHAnsi" w:cs="Arial"/>
          <w:color w:val="000000"/>
          <w:szCs w:val="18"/>
        </w:rPr>
        <w:t xml:space="preserve"> </w:t>
      </w:r>
      <w:r w:rsidRPr="001F15F6">
        <w:rPr>
          <w:rFonts w:eastAsiaTheme="minorHAnsi" w:cs="Arial"/>
          <w:color w:val="000000"/>
          <w:szCs w:val="18"/>
        </w:rPr>
        <w:t>to be</w:t>
      </w:r>
      <w:r w:rsidR="009426B6" w:rsidRPr="001F15F6">
        <w:rPr>
          <w:rFonts w:eastAsiaTheme="minorHAnsi" w:cs="Arial"/>
          <w:color w:val="000000"/>
          <w:szCs w:val="18"/>
        </w:rPr>
        <w:t xml:space="preserve"> an unambiguously environmental hotspot</w:t>
      </w:r>
      <w:r w:rsidRPr="001F15F6">
        <w:rPr>
          <w:rFonts w:eastAsiaTheme="minorHAnsi" w:cs="Arial"/>
          <w:color w:val="000000"/>
          <w:szCs w:val="18"/>
        </w:rPr>
        <w:t xml:space="preserve"> as already demonstrated in literature</w:t>
      </w:r>
      <w:r w:rsidR="00B34808">
        <w:rPr>
          <w:rFonts w:eastAsiaTheme="minorHAnsi" w:cs="Arial"/>
          <w:color w:val="000000"/>
          <w:szCs w:val="18"/>
        </w:rPr>
        <w:t xml:space="preserve"> (Espadas-Aldana et al., 2019)</w:t>
      </w:r>
      <w:r w:rsidRPr="001F15F6">
        <w:rPr>
          <w:rFonts w:eastAsiaTheme="minorHAnsi" w:cs="Arial"/>
          <w:color w:val="000000"/>
          <w:szCs w:val="18"/>
        </w:rPr>
        <w:t xml:space="preserve">. </w:t>
      </w:r>
      <w:r w:rsidR="009F68A2" w:rsidRPr="001F15F6">
        <w:rPr>
          <w:rFonts w:eastAsiaTheme="minorHAnsi" w:cs="Arial"/>
          <w:color w:val="000000"/>
          <w:szCs w:val="18"/>
        </w:rPr>
        <w:t>In c</w:t>
      </w:r>
      <w:r w:rsidR="009426B6" w:rsidRPr="001F15F6">
        <w:rPr>
          <w:rFonts w:eastAsiaTheme="minorHAnsi" w:cs="Arial"/>
          <w:color w:val="000000"/>
          <w:szCs w:val="18"/>
        </w:rPr>
        <w:t>omparison</w:t>
      </w:r>
      <w:r w:rsidR="009F68A2" w:rsidRPr="001F15F6">
        <w:rPr>
          <w:rFonts w:eastAsiaTheme="minorHAnsi" w:cs="Arial"/>
          <w:color w:val="000000"/>
          <w:szCs w:val="18"/>
        </w:rPr>
        <w:t xml:space="preserve"> the</w:t>
      </w:r>
      <w:r w:rsidR="009426B6" w:rsidRPr="001F15F6">
        <w:rPr>
          <w:rFonts w:eastAsiaTheme="minorHAnsi" w:cs="Arial"/>
          <w:color w:val="000000"/>
          <w:szCs w:val="18"/>
        </w:rPr>
        <w:t xml:space="preserve"> extraction technologies appeared to be the less variable step of all stages in olive oil production. </w:t>
      </w:r>
      <w:r w:rsidRPr="001F15F6">
        <w:t xml:space="preserve">The hotspot in the agricultural phase is </w:t>
      </w:r>
      <w:proofErr w:type="spellStart"/>
      <w:r w:rsidRPr="001F15F6">
        <w:t>fertilisation</w:t>
      </w:r>
      <w:proofErr w:type="spellEnd"/>
      <w:r w:rsidRPr="001F15F6">
        <w:t xml:space="preserve"> followed by tillage, which is mainly due to the nitrogen </w:t>
      </w:r>
      <w:proofErr w:type="spellStart"/>
      <w:r w:rsidRPr="001F15F6">
        <w:t>fertiliser</w:t>
      </w:r>
      <w:proofErr w:type="spellEnd"/>
      <w:r w:rsidRPr="001F15F6">
        <w:t xml:space="preserve"> employed and to use of the tractor for the spreading of </w:t>
      </w:r>
      <w:proofErr w:type="spellStart"/>
      <w:r w:rsidRPr="001F15F6">
        <w:t>fertilisers</w:t>
      </w:r>
      <w:proofErr w:type="spellEnd"/>
      <w:r w:rsidRPr="001F15F6">
        <w:t xml:space="preserve"> and pesticides</w:t>
      </w:r>
      <w:r w:rsidR="00E6447B" w:rsidRPr="001F15F6">
        <w:t>.</w:t>
      </w:r>
    </w:p>
    <w:p w14:paraId="2ABC6A0A" w14:textId="77777777" w:rsidR="00FA0F01" w:rsidRDefault="00FA0F01" w:rsidP="007511E6">
      <w:pPr>
        <w:pStyle w:val="CETBodytext"/>
      </w:pPr>
    </w:p>
    <w:p w14:paraId="445CB413" w14:textId="7899436B" w:rsidR="009F68A2" w:rsidRPr="001F15F6" w:rsidRDefault="009F68A2" w:rsidP="007511E6">
      <w:pPr>
        <w:pStyle w:val="CETBodytext"/>
      </w:pPr>
      <w:r w:rsidRPr="001F15F6">
        <w:t>The biogenic carbon from the permanent tree components was taken into account. Calculations of the CO</w:t>
      </w:r>
      <w:r w:rsidRPr="001F15F6">
        <w:rPr>
          <w:sz w:val="14"/>
          <w:szCs w:val="14"/>
        </w:rPr>
        <w:t xml:space="preserve">2 </w:t>
      </w:r>
      <w:r w:rsidRPr="001F15F6">
        <w:t xml:space="preserve">sources and sinks to obtain the net carbon stock of the olive grove and its relation to the impact on climate change were done. </w:t>
      </w:r>
      <w:r w:rsidR="006A55EF" w:rsidRPr="002D4A29">
        <w:rPr>
          <w:bCs/>
          <w:szCs w:val="24"/>
        </w:rPr>
        <w:t>Fernández-Lobato et al. (2021</w:t>
      </w:r>
      <w:r w:rsidRPr="002D4A29">
        <w:rPr>
          <w:bCs/>
          <w:szCs w:val="24"/>
        </w:rPr>
        <w:t>)</w:t>
      </w:r>
      <w:r w:rsidRPr="002D4A29">
        <w:rPr>
          <w:bCs/>
        </w:rPr>
        <w:t xml:space="preserve"> </w:t>
      </w:r>
      <w:r w:rsidRPr="001F15F6">
        <w:t xml:space="preserve">also reported negative C footprint values and found a significant relationship between olive fruit yield and the magnitude of C footprint: the higher the olive fruit yield, the more negative the C footprint was. </w:t>
      </w:r>
    </w:p>
    <w:p w14:paraId="483B4874" w14:textId="255766AE" w:rsidR="00B71F13" w:rsidRPr="001F15F6" w:rsidRDefault="00B71F13" w:rsidP="007511E6">
      <w:pPr>
        <w:pStyle w:val="CETBodytext"/>
        <w:rPr>
          <w:rFonts w:eastAsiaTheme="minorHAnsi" w:cs="Arial"/>
          <w:color w:val="000000"/>
          <w:szCs w:val="18"/>
        </w:rPr>
      </w:pPr>
    </w:p>
    <w:p w14:paraId="2D6E4003" w14:textId="5DECC017" w:rsidR="00B71F13" w:rsidRPr="001F15F6" w:rsidRDefault="00BE1789" w:rsidP="008F5A57">
      <w:pPr>
        <w:keepNext/>
        <w:tabs>
          <w:tab w:val="left" w:pos="0"/>
        </w:tabs>
        <w:jc w:val="left"/>
      </w:pPr>
      <w:r w:rsidRPr="00AF67EE">
        <w:rPr>
          <w:noProof/>
          <w:lang w:val="en-US"/>
        </w:rPr>
        <w:drawing>
          <wp:inline distT="0" distB="0" distL="0" distR="0" wp14:anchorId="5E92230C" wp14:editId="4C1B174F">
            <wp:extent cx="5579745" cy="2655418"/>
            <wp:effectExtent l="0" t="0" r="1905" b="12065"/>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E4C3D3" w14:textId="6A052BD9" w:rsidR="00C20F02" w:rsidRPr="0012236C" w:rsidRDefault="00B71F13" w:rsidP="006B3F89">
      <w:pPr>
        <w:pStyle w:val="CETCaption"/>
      </w:pPr>
      <w:bookmarkStart w:id="2" w:name="_Ref92750921"/>
      <w:proofErr w:type="gramStart"/>
      <w:r w:rsidRPr="006B3F89">
        <w:rPr>
          <w:rStyle w:val="CETAddressCarattere"/>
          <w:noProof w:val="0"/>
          <w:sz w:val="18"/>
        </w:rPr>
        <w:t xml:space="preserve">Figure </w:t>
      </w:r>
      <w:bookmarkEnd w:id="2"/>
      <w:r w:rsidRPr="006B3F89">
        <w:rPr>
          <w:rStyle w:val="CETAddressCarattere"/>
          <w:noProof w:val="0"/>
          <w:sz w:val="18"/>
        </w:rPr>
        <w:t>2.</w:t>
      </w:r>
      <w:proofErr w:type="gramEnd"/>
      <w:r w:rsidRPr="006B3F89">
        <w:rPr>
          <w:rStyle w:val="CETAddressCarattere"/>
          <w:noProof w:val="0"/>
          <w:sz w:val="18"/>
        </w:rPr>
        <w:t xml:space="preserve"> </w:t>
      </w:r>
      <w:proofErr w:type="gramStart"/>
      <w:r w:rsidRPr="006B3F89">
        <w:rPr>
          <w:rStyle w:val="CETAddressCarattere"/>
          <w:noProof w:val="0"/>
          <w:sz w:val="18"/>
        </w:rPr>
        <w:t>Distribution of the impact of the life cycle of olive oil production in the Climate change category</w:t>
      </w:r>
      <w:r w:rsidRPr="006B3F89">
        <w:t>.</w:t>
      </w:r>
      <w:proofErr w:type="gramEnd"/>
      <w:r w:rsidR="006B3F89">
        <w:t xml:space="preserve"> </w:t>
      </w:r>
      <w:r w:rsidR="00C77924">
        <w:t xml:space="preserve">The </w:t>
      </w:r>
      <w:r w:rsidR="00C77924" w:rsidRPr="00AF67EE">
        <w:t xml:space="preserve">code </w:t>
      </w:r>
      <w:r w:rsidR="00C77924">
        <w:t xml:space="preserve">name </w:t>
      </w:r>
      <w:r w:rsidR="006B3F89">
        <w:t>is</w:t>
      </w:r>
      <w:r w:rsidR="00C77924" w:rsidRPr="00AF67EE">
        <w:t xml:space="preserve"> “SX-Y</w:t>
      </w:r>
      <w:r w:rsidR="00C77924" w:rsidRPr="00C77924">
        <w:rPr>
          <w:vertAlign w:val="subscript"/>
        </w:rPr>
        <w:t>1</w:t>
      </w:r>
      <w:r w:rsidR="00C77924" w:rsidRPr="00AF67EE">
        <w:t>Y</w:t>
      </w:r>
      <w:r w:rsidR="00C77924" w:rsidRPr="00C77924">
        <w:rPr>
          <w:vertAlign w:val="subscript"/>
        </w:rPr>
        <w:t>2</w:t>
      </w:r>
      <w:r w:rsidR="00C77924" w:rsidRPr="00AF67EE">
        <w:t>Y</w:t>
      </w:r>
      <w:r w:rsidR="00C77924" w:rsidRPr="00C77924">
        <w:rPr>
          <w:vertAlign w:val="subscript"/>
        </w:rPr>
        <w:t>3</w:t>
      </w:r>
      <w:r w:rsidR="00C77924" w:rsidRPr="00AF67EE">
        <w:t>”</w:t>
      </w:r>
      <w:r w:rsidR="00C77924">
        <w:t>;</w:t>
      </w:r>
      <w:r w:rsidR="00C77924" w:rsidRPr="00AF67EE">
        <w:t xml:space="preserve"> S</w:t>
      </w:r>
      <w:r w:rsidR="00C77924">
        <w:t xml:space="preserve">: </w:t>
      </w:r>
      <w:r w:rsidR="00C77924" w:rsidRPr="00AF67EE">
        <w:t>scenario</w:t>
      </w:r>
      <w:r w:rsidR="00C77924">
        <w:t xml:space="preserve">, </w:t>
      </w:r>
      <w:r w:rsidR="00C77924" w:rsidRPr="00AF67EE">
        <w:t>X</w:t>
      </w:r>
      <w:r w:rsidR="00C77924">
        <w:t xml:space="preserve">: </w:t>
      </w:r>
      <w:r w:rsidR="00C77924" w:rsidRPr="00AF67EE">
        <w:t xml:space="preserve">1 </w:t>
      </w:r>
      <w:r w:rsidR="00C77924">
        <w:t xml:space="preserve">to </w:t>
      </w:r>
      <w:r w:rsidR="00C77924" w:rsidRPr="00AF67EE">
        <w:t xml:space="preserve">11 </w:t>
      </w:r>
      <w:r w:rsidR="00C77924">
        <w:t>(</w:t>
      </w:r>
      <w:r w:rsidR="00C77924" w:rsidRPr="00AF67EE">
        <w:t>eleven scenarios</w:t>
      </w:r>
      <w:r w:rsidR="00C77924">
        <w:t xml:space="preserve">), </w:t>
      </w:r>
      <w:r w:rsidR="00C77924" w:rsidRPr="00AF67EE">
        <w:t>Y</w:t>
      </w:r>
      <w:r w:rsidR="00C77924" w:rsidRPr="00C77924">
        <w:rPr>
          <w:vertAlign w:val="subscript"/>
        </w:rPr>
        <w:t>1</w:t>
      </w:r>
      <w:r w:rsidR="00C77924">
        <w:t xml:space="preserve">: </w:t>
      </w:r>
      <w:r w:rsidR="00C77924" w:rsidRPr="00AF67EE">
        <w:t>type of agriculture (</w:t>
      </w:r>
      <w:r w:rsidR="00C77924" w:rsidRPr="0012236C">
        <w:t xml:space="preserve">C: </w:t>
      </w:r>
      <w:r w:rsidR="00C77924">
        <w:t>C</w:t>
      </w:r>
      <w:r w:rsidR="00C77924" w:rsidRPr="0012236C">
        <w:t>onventional - O: Organic</w:t>
      </w:r>
      <w:r w:rsidR="00C77924" w:rsidRPr="00AF67EE">
        <w:t>), Y</w:t>
      </w:r>
      <w:r w:rsidR="00C77924" w:rsidRPr="00C77924">
        <w:rPr>
          <w:vertAlign w:val="subscript"/>
        </w:rPr>
        <w:t>2</w:t>
      </w:r>
      <w:r w:rsidR="00C77924" w:rsidRPr="00C77924">
        <w:t>:</w:t>
      </w:r>
      <w:r w:rsidR="00C77924">
        <w:rPr>
          <w:vertAlign w:val="subscript"/>
        </w:rPr>
        <w:t xml:space="preserve"> </w:t>
      </w:r>
      <w:r w:rsidR="00C77924" w:rsidRPr="00AF67EE">
        <w:t>type of farming (</w:t>
      </w:r>
      <w:r w:rsidR="00C77924" w:rsidRPr="0012236C">
        <w:t xml:space="preserve">T: </w:t>
      </w:r>
      <w:r w:rsidR="00C77924">
        <w:t>T</w:t>
      </w:r>
      <w:r w:rsidR="00C77924" w:rsidRPr="0012236C">
        <w:t>raditional – I: Intensive</w:t>
      </w:r>
      <w:r w:rsidR="00C77924" w:rsidRPr="00AF67EE">
        <w:t xml:space="preserve">), </w:t>
      </w:r>
      <w:r w:rsidR="00C77924">
        <w:t>Y</w:t>
      </w:r>
      <w:r w:rsidR="00C77924" w:rsidRPr="00C77924">
        <w:rPr>
          <w:vertAlign w:val="subscript"/>
        </w:rPr>
        <w:t>3</w:t>
      </w:r>
      <w:r w:rsidR="00C77924">
        <w:t>:</w:t>
      </w:r>
      <w:r w:rsidR="00C77924" w:rsidRPr="00C77924">
        <w:rPr>
          <w:vertAlign w:val="subscript"/>
        </w:rPr>
        <w:t xml:space="preserve"> </w:t>
      </w:r>
      <w:r w:rsidR="00C77924">
        <w:t xml:space="preserve"> </w:t>
      </w:r>
      <w:r w:rsidR="00C77924" w:rsidRPr="00AF67EE">
        <w:t>irrigation system (</w:t>
      </w:r>
      <w:r w:rsidR="00C20F02" w:rsidRPr="0012236C">
        <w:t>I: Irrigated - D: Dry</w:t>
      </w:r>
      <w:r w:rsidR="00C77924">
        <w:t>).</w:t>
      </w:r>
    </w:p>
    <w:p w14:paraId="4BF8A21A" w14:textId="35A3A17F" w:rsidR="003F429D" w:rsidRPr="001F15F6" w:rsidRDefault="003F429D" w:rsidP="00E6447B">
      <w:pPr>
        <w:pStyle w:val="CETHeading1"/>
        <w:tabs>
          <w:tab w:val="left" w:pos="0"/>
        </w:tabs>
        <w:rPr>
          <w:rFonts w:eastAsiaTheme="minorHAnsi"/>
          <w:lang w:val="en-GB"/>
        </w:rPr>
      </w:pPr>
      <w:r w:rsidRPr="001F15F6">
        <w:rPr>
          <w:rFonts w:eastAsiaTheme="minorHAnsi"/>
          <w:lang w:val="en-GB"/>
        </w:rPr>
        <w:t xml:space="preserve">Environmental assessment of olive pomace </w:t>
      </w:r>
      <w:r w:rsidR="001458ED" w:rsidRPr="001F15F6">
        <w:rPr>
          <w:rFonts w:eastAsiaTheme="minorHAnsi"/>
          <w:lang w:val="en-GB"/>
        </w:rPr>
        <w:t>valori</w:t>
      </w:r>
      <w:r w:rsidR="0040107B">
        <w:rPr>
          <w:rFonts w:eastAsiaTheme="minorHAnsi"/>
          <w:lang w:val="en-GB"/>
        </w:rPr>
        <w:t>s</w:t>
      </w:r>
      <w:r w:rsidR="001458ED" w:rsidRPr="001F15F6">
        <w:rPr>
          <w:rFonts w:eastAsiaTheme="minorHAnsi"/>
          <w:lang w:val="en-GB"/>
        </w:rPr>
        <w:t>ation</w:t>
      </w:r>
      <w:r w:rsidRPr="001F15F6">
        <w:rPr>
          <w:rFonts w:eastAsiaTheme="minorHAnsi"/>
          <w:lang w:val="en-GB"/>
        </w:rPr>
        <w:t xml:space="preserve"> in composite materials </w:t>
      </w:r>
    </w:p>
    <w:p w14:paraId="35705D4C" w14:textId="63983D3B" w:rsidR="00E6447B" w:rsidRPr="001F15F6" w:rsidRDefault="00E6447B" w:rsidP="007511E6">
      <w:pPr>
        <w:pStyle w:val="CETBodytext"/>
        <w:rPr>
          <w:rFonts w:eastAsiaTheme="minorHAnsi"/>
        </w:rPr>
      </w:pPr>
      <w:r w:rsidRPr="001F15F6">
        <w:rPr>
          <w:rFonts w:eastAsiaTheme="minorHAnsi"/>
        </w:rPr>
        <w:t>During the olive oil extraction process, the olive stone is crushed and discarded in the olive pomace</w:t>
      </w:r>
      <w:r w:rsidR="0040107B">
        <w:rPr>
          <w:rFonts w:eastAsiaTheme="minorHAnsi"/>
        </w:rPr>
        <w:t xml:space="preserve"> (OP)</w:t>
      </w:r>
      <w:r w:rsidRPr="001F15F6">
        <w:rPr>
          <w:rFonts w:eastAsiaTheme="minorHAnsi"/>
        </w:rPr>
        <w:t xml:space="preserve">. However, olive stone flour can be recovered as </w:t>
      </w:r>
      <w:proofErr w:type="gramStart"/>
      <w:r w:rsidRPr="001F15F6">
        <w:rPr>
          <w:rFonts w:eastAsiaTheme="minorHAnsi"/>
        </w:rPr>
        <w:t>a filler</w:t>
      </w:r>
      <w:proofErr w:type="gramEnd"/>
      <w:r w:rsidRPr="001F15F6">
        <w:rPr>
          <w:rFonts w:eastAsiaTheme="minorHAnsi"/>
        </w:rPr>
        <w:t xml:space="preserve"> for polymer composites. </w:t>
      </w:r>
    </w:p>
    <w:p w14:paraId="6AE9794C" w14:textId="113FAAAF" w:rsidR="003F429D" w:rsidRPr="001F15F6" w:rsidRDefault="003F429D" w:rsidP="002D4A29">
      <w:pPr>
        <w:pStyle w:val="CETheadingx"/>
      </w:pPr>
      <w:r w:rsidRPr="001F15F6">
        <w:t>Material and methods</w:t>
      </w:r>
    </w:p>
    <w:p w14:paraId="684F9D7A" w14:textId="69992CFA" w:rsidR="00F40DD9" w:rsidRPr="0040107B" w:rsidRDefault="00533225" w:rsidP="007511E6">
      <w:pPr>
        <w:pStyle w:val="CETBodytext"/>
      </w:pPr>
      <w:r w:rsidRPr="0040107B">
        <w:rPr>
          <w:rFonts w:eastAsiaTheme="minorHAnsi"/>
        </w:rPr>
        <w:t xml:space="preserve">An LCA of the valorisation of olive pomace was carried out focusing on the manufacturing process of a </w:t>
      </w:r>
      <w:proofErr w:type="spellStart"/>
      <w:r w:rsidRPr="0040107B">
        <w:rPr>
          <w:rFonts w:eastAsiaTheme="minorHAnsi"/>
        </w:rPr>
        <w:t>biocomposite</w:t>
      </w:r>
      <w:proofErr w:type="spellEnd"/>
      <w:r w:rsidRPr="0040107B">
        <w:rPr>
          <w:rFonts w:eastAsiaTheme="minorHAnsi"/>
        </w:rPr>
        <w:t xml:space="preserve"> composed of olive stone fraction</w:t>
      </w:r>
      <w:r w:rsidR="00F808A6">
        <w:rPr>
          <w:rFonts w:eastAsiaTheme="minorHAnsi"/>
        </w:rPr>
        <w:t xml:space="preserve"> (OSF)</w:t>
      </w:r>
      <w:r w:rsidRPr="0040107B">
        <w:rPr>
          <w:rFonts w:eastAsiaTheme="minorHAnsi"/>
        </w:rPr>
        <w:t xml:space="preserve"> and polyethylene </w:t>
      </w:r>
      <w:r w:rsidR="0040107B" w:rsidRPr="0040107B">
        <w:rPr>
          <w:rFonts w:eastAsiaTheme="minorHAnsi"/>
        </w:rPr>
        <w:t>(</w:t>
      </w:r>
      <w:r w:rsidRPr="0040107B">
        <w:rPr>
          <w:rFonts w:eastAsiaTheme="minorHAnsi"/>
        </w:rPr>
        <w:t>PE</w:t>
      </w:r>
      <w:r w:rsidR="0040107B" w:rsidRPr="0040107B">
        <w:rPr>
          <w:rFonts w:eastAsiaTheme="minorHAnsi"/>
        </w:rPr>
        <w:t>)</w:t>
      </w:r>
      <w:r w:rsidRPr="0040107B">
        <w:rPr>
          <w:rFonts w:eastAsiaTheme="minorHAnsi"/>
        </w:rPr>
        <w:t xml:space="preserve"> thermoplastic matrix. </w:t>
      </w:r>
      <w:r w:rsidR="00F40DD9" w:rsidRPr="0040107B">
        <w:rPr>
          <w:rFonts w:eastAsiaTheme="minorHAnsi"/>
        </w:rPr>
        <w:t>The development of the bio</w:t>
      </w:r>
      <w:r w:rsidR="0040107B" w:rsidRPr="0040107B">
        <w:rPr>
          <w:rFonts w:eastAsiaTheme="minorHAnsi"/>
        </w:rPr>
        <w:t>-</w:t>
      </w:r>
      <w:r w:rsidR="00F40DD9" w:rsidRPr="0040107B">
        <w:rPr>
          <w:rFonts w:eastAsiaTheme="minorHAnsi"/>
        </w:rPr>
        <w:t xml:space="preserve">based lath </w:t>
      </w:r>
      <w:r w:rsidR="00653D48" w:rsidRPr="0040107B">
        <w:rPr>
          <w:rFonts w:eastAsiaTheme="minorHAnsi"/>
        </w:rPr>
        <w:t>was</w:t>
      </w:r>
      <w:r w:rsidR="00F40DD9" w:rsidRPr="0040107B">
        <w:rPr>
          <w:rFonts w:eastAsiaTheme="minorHAnsi"/>
        </w:rPr>
        <w:t xml:space="preserve"> carried out </w:t>
      </w:r>
      <w:r w:rsidRPr="0040107B">
        <w:rPr>
          <w:rFonts w:eastAsiaTheme="minorHAnsi"/>
        </w:rPr>
        <w:t xml:space="preserve">in </w:t>
      </w:r>
      <w:r w:rsidR="0040107B" w:rsidRPr="0040107B">
        <w:rPr>
          <w:rFonts w:eastAsiaTheme="minorHAnsi"/>
        </w:rPr>
        <w:t>the</w:t>
      </w:r>
      <w:r w:rsidR="005B1C38">
        <w:rPr>
          <w:rFonts w:eastAsiaTheme="minorHAnsi"/>
        </w:rPr>
        <w:t xml:space="preserve"> </w:t>
      </w:r>
      <w:r w:rsidRPr="0040107B">
        <w:rPr>
          <w:rFonts w:eastAsiaTheme="minorHAnsi"/>
        </w:rPr>
        <w:t>Laboratory</w:t>
      </w:r>
      <w:r w:rsidR="00F40DD9" w:rsidRPr="0040107B">
        <w:rPr>
          <w:rFonts w:eastAsiaTheme="minorHAnsi"/>
        </w:rPr>
        <w:t xml:space="preserve"> (</w:t>
      </w:r>
      <w:r w:rsidR="00F40DD9" w:rsidRPr="0040107B">
        <w:rPr>
          <w:rFonts w:eastAsiaTheme="minorHAnsi"/>
          <w:i/>
          <w:iCs/>
        </w:rPr>
        <w:t xml:space="preserve">Université de Toulouse, </w:t>
      </w:r>
      <w:r w:rsidR="00F40DD9" w:rsidRPr="0040107B">
        <w:rPr>
          <w:rFonts w:eastAsiaTheme="minorHAnsi"/>
        </w:rPr>
        <w:t>France) (</w:t>
      </w:r>
      <w:proofErr w:type="spellStart"/>
      <w:r w:rsidR="00F40DD9" w:rsidRPr="0040107B">
        <w:rPr>
          <w:rFonts w:eastAsiaTheme="minorHAnsi"/>
        </w:rPr>
        <w:t>Uitterhaegen</w:t>
      </w:r>
      <w:proofErr w:type="spellEnd"/>
      <w:r w:rsidR="00F40DD9" w:rsidRPr="0040107B">
        <w:rPr>
          <w:rFonts w:eastAsiaTheme="minorHAnsi"/>
        </w:rPr>
        <w:t xml:space="preserve"> et al., 2018). </w:t>
      </w:r>
      <w:r w:rsidR="0040107B" w:rsidRPr="0040107B">
        <w:rPr>
          <w:rFonts w:eastAsiaTheme="minorHAnsi"/>
          <w:bCs/>
        </w:rPr>
        <w:t>Data for the compounding process come from a pilot-scale experiment.</w:t>
      </w:r>
      <w:r w:rsidR="0040107B" w:rsidRPr="0040107B">
        <w:rPr>
          <w:rFonts w:eastAsiaTheme="minorHAnsi"/>
        </w:rPr>
        <w:t xml:space="preserve"> The composite</w:t>
      </w:r>
      <w:r w:rsidR="00F40DD9" w:rsidRPr="0040107B">
        <w:rPr>
          <w:rFonts w:eastAsiaTheme="minorHAnsi"/>
        </w:rPr>
        <w:t xml:space="preserve"> had been produced by mixing the OP (60% filler) in </w:t>
      </w:r>
      <w:r w:rsidR="00653D48" w:rsidRPr="0040107B">
        <w:rPr>
          <w:rFonts w:eastAsiaTheme="minorHAnsi"/>
        </w:rPr>
        <w:t xml:space="preserve">a </w:t>
      </w:r>
      <w:r w:rsidR="0040107B" w:rsidRPr="0040107B">
        <w:rPr>
          <w:rFonts w:eastAsiaTheme="minorHAnsi"/>
        </w:rPr>
        <w:t>PE matrix</w:t>
      </w:r>
      <w:r w:rsidR="00F40DD9" w:rsidRPr="0040107B">
        <w:rPr>
          <w:rFonts w:eastAsiaTheme="minorHAnsi"/>
        </w:rPr>
        <w:t xml:space="preserve">. The addition of a coupling agent </w:t>
      </w:r>
      <w:r w:rsidR="00653D48" w:rsidRPr="0040107B">
        <w:rPr>
          <w:rFonts w:eastAsiaTheme="minorHAnsi"/>
        </w:rPr>
        <w:t>was</w:t>
      </w:r>
      <w:r w:rsidR="00F40DD9" w:rsidRPr="0040107B">
        <w:rPr>
          <w:rFonts w:eastAsiaTheme="minorHAnsi"/>
        </w:rPr>
        <w:t xml:space="preserve"> </w:t>
      </w:r>
      <w:r w:rsidRPr="0040107B">
        <w:rPr>
          <w:rFonts w:eastAsiaTheme="minorHAnsi"/>
        </w:rPr>
        <w:t>necessary</w:t>
      </w:r>
      <w:r w:rsidR="00F40DD9" w:rsidRPr="0040107B">
        <w:rPr>
          <w:rFonts w:eastAsiaTheme="minorHAnsi"/>
        </w:rPr>
        <w:t xml:space="preserve"> to reinforce the matrix/</w:t>
      </w:r>
      <w:proofErr w:type="spellStart"/>
      <w:r w:rsidR="0040107B" w:rsidRPr="0040107B">
        <w:rPr>
          <w:rFonts w:eastAsiaTheme="minorHAnsi"/>
        </w:rPr>
        <w:t>fib</w:t>
      </w:r>
      <w:r w:rsidR="00653D48" w:rsidRPr="0040107B">
        <w:rPr>
          <w:rFonts w:eastAsiaTheme="minorHAnsi"/>
        </w:rPr>
        <w:t>r</w:t>
      </w:r>
      <w:r w:rsidR="0040107B" w:rsidRPr="0040107B">
        <w:rPr>
          <w:rFonts w:eastAsiaTheme="minorHAnsi"/>
        </w:rPr>
        <w:t>e</w:t>
      </w:r>
      <w:proofErr w:type="spellEnd"/>
      <w:r w:rsidR="00F40DD9" w:rsidRPr="0040107B">
        <w:rPr>
          <w:rFonts w:eastAsiaTheme="minorHAnsi"/>
        </w:rPr>
        <w:t xml:space="preserve"> interface. </w:t>
      </w:r>
      <w:r w:rsidR="00653D48" w:rsidRPr="0040107B">
        <w:rPr>
          <w:rFonts w:eastAsiaTheme="minorHAnsi"/>
        </w:rPr>
        <w:t>The functional unit was the production of 1 m</w:t>
      </w:r>
      <w:r w:rsidR="00653D48" w:rsidRPr="0040107B">
        <w:rPr>
          <w:rFonts w:eastAsiaTheme="minorHAnsi"/>
          <w:vertAlign w:val="superscript"/>
        </w:rPr>
        <w:t>2</w:t>
      </w:r>
      <w:r w:rsidR="00653D48" w:rsidRPr="0040107B">
        <w:rPr>
          <w:rFonts w:eastAsiaTheme="minorHAnsi"/>
        </w:rPr>
        <w:t xml:space="preserve"> of olive pomace-based </w:t>
      </w:r>
      <w:proofErr w:type="spellStart"/>
      <w:r w:rsidR="00653D48" w:rsidRPr="0040107B">
        <w:rPr>
          <w:rFonts w:eastAsiaTheme="minorHAnsi"/>
        </w:rPr>
        <w:t>biocomposite</w:t>
      </w:r>
      <w:proofErr w:type="spellEnd"/>
      <w:r w:rsidR="00653D48" w:rsidRPr="0040107B">
        <w:rPr>
          <w:rFonts w:eastAsiaTheme="minorHAnsi"/>
        </w:rPr>
        <w:t xml:space="preserve"> lath </w:t>
      </w:r>
      <w:r w:rsidR="00653D48" w:rsidRPr="0040107B">
        <w:t>(building material), from cradle-to-gate.</w:t>
      </w:r>
      <w:r w:rsidR="000E6ACE" w:rsidRPr="0040107B">
        <w:t xml:space="preserve"> </w:t>
      </w:r>
      <w:r w:rsidR="000E6ACE" w:rsidRPr="0040107B">
        <w:rPr>
          <w:rFonts w:eastAsiaTheme="minorHAnsi"/>
        </w:rPr>
        <w:t xml:space="preserve">The detailed </w:t>
      </w:r>
      <w:r w:rsidR="0040107B">
        <w:rPr>
          <w:rFonts w:eastAsiaTheme="minorHAnsi"/>
        </w:rPr>
        <w:t>model is</w:t>
      </w:r>
      <w:r w:rsidR="000E6ACE" w:rsidRPr="0040107B">
        <w:rPr>
          <w:rFonts w:eastAsiaTheme="minorHAnsi"/>
        </w:rPr>
        <w:t xml:space="preserve"> provided in </w:t>
      </w:r>
      <w:r w:rsidR="005B1C38">
        <w:rPr>
          <w:rFonts w:eastAsiaTheme="minorHAnsi"/>
        </w:rPr>
        <w:t>Espadas-Aldana et al. (</w:t>
      </w:r>
      <w:r w:rsidR="000E6ACE" w:rsidRPr="0040107B">
        <w:rPr>
          <w:rFonts w:eastAsiaTheme="minorHAnsi"/>
        </w:rPr>
        <w:t>2021</w:t>
      </w:r>
      <w:r w:rsidR="005B1C38">
        <w:rPr>
          <w:rFonts w:eastAsiaTheme="minorHAnsi"/>
        </w:rPr>
        <w:t>)</w:t>
      </w:r>
      <w:r w:rsidR="000E6ACE" w:rsidRPr="0040107B">
        <w:rPr>
          <w:rFonts w:eastAsiaTheme="minorHAnsi"/>
        </w:rPr>
        <w:t>.</w:t>
      </w:r>
    </w:p>
    <w:p w14:paraId="4BA0E56D" w14:textId="77777777" w:rsidR="00B41B74" w:rsidRPr="001F15F6" w:rsidRDefault="00B41B74" w:rsidP="002D4A29">
      <w:pPr>
        <w:pStyle w:val="CETheadingx"/>
      </w:pPr>
      <w:r w:rsidRPr="001F15F6">
        <w:t>Results and discussion</w:t>
      </w:r>
    </w:p>
    <w:p w14:paraId="27B7FCDB" w14:textId="3B4271AA" w:rsidR="007D228A" w:rsidRPr="001F15F6" w:rsidRDefault="003F429D" w:rsidP="007511E6">
      <w:pPr>
        <w:pStyle w:val="CETBodytext"/>
        <w:rPr>
          <w:rFonts w:eastAsiaTheme="minorHAnsi"/>
        </w:rPr>
      </w:pPr>
      <w:r w:rsidRPr="001F15F6">
        <w:rPr>
          <w:rFonts w:eastAsiaTheme="minorHAnsi"/>
        </w:rPr>
        <w:t>The results indicate that the hotspot of the whole process in both scenarios was the twin-screw compounding process in most of</w:t>
      </w:r>
      <w:r w:rsidR="00155271" w:rsidRPr="001F15F6">
        <w:rPr>
          <w:rFonts w:eastAsiaTheme="minorHAnsi"/>
        </w:rPr>
        <w:t xml:space="preserve"> the midpoint impact categories (Figure 3)</w:t>
      </w:r>
      <w:r w:rsidR="00533225" w:rsidRPr="001F15F6">
        <w:rPr>
          <w:rFonts w:eastAsiaTheme="minorHAnsi"/>
        </w:rPr>
        <w:t>.</w:t>
      </w:r>
      <w:r w:rsidR="007D228A" w:rsidRPr="001F15F6">
        <w:rPr>
          <w:rFonts w:eastAsiaTheme="minorHAnsi"/>
        </w:rPr>
        <w:t xml:space="preserve"> Compounding was mainly affected by the production of the </w:t>
      </w:r>
      <w:r w:rsidR="00155271" w:rsidRPr="001F15F6">
        <w:rPr>
          <w:rFonts w:eastAsiaTheme="minorHAnsi"/>
        </w:rPr>
        <w:t>polymer</w:t>
      </w:r>
      <w:r w:rsidR="007D228A" w:rsidRPr="001F15F6">
        <w:rPr>
          <w:rFonts w:eastAsiaTheme="minorHAnsi"/>
        </w:rPr>
        <w:t xml:space="preserve">. </w:t>
      </w:r>
    </w:p>
    <w:p w14:paraId="7F0F5368" w14:textId="3F1798D7" w:rsidR="006A55EF" w:rsidRDefault="006A55EF" w:rsidP="00E6447B">
      <w:pPr>
        <w:pStyle w:val="Default"/>
        <w:tabs>
          <w:tab w:val="left" w:pos="0"/>
        </w:tabs>
        <w:jc w:val="both"/>
        <w:rPr>
          <w:rFonts w:ascii="Arial" w:eastAsiaTheme="minorHAnsi" w:hAnsi="Arial" w:cs="Arial"/>
          <w:sz w:val="18"/>
          <w:szCs w:val="18"/>
          <w:lang w:val="en-GB" w:eastAsia="en-US"/>
        </w:rPr>
      </w:pPr>
    </w:p>
    <w:p w14:paraId="08F9CD66" w14:textId="77777777" w:rsidR="007511E6" w:rsidRPr="006658F0" w:rsidRDefault="007511E6" w:rsidP="006658F0">
      <w:pPr>
        <w:pStyle w:val="CETBodytext"/>
        <w:rPr>
          <w:rFonts w:eastAsiaTheme="minorHAnsi"/>
        </w:rPr>
      </w:pPr>
      <w:r w:rsidRPr="006658F0">
        <w:rPr>
          <w:rFonts w:eastAsiaTheme="minorHAnsi"/>
        </w:rPr>
        <w:lastRenderedPageBreak/>
        <w:t xml:space="preserve">The comparison of the olive pomace-based composite with the business-as-usual scenario of decking materials indicated that the </w:t>
      </w:r>
      <w:proofErr w:type="spellStart"/>
      <w:r w:rsidRPr="006658F0">
        <w:rPr>
          <w:rFonts w:eastAsiaTheme="minorHAnsi"/>
        </w:rPr>
        <w:t>biocomposite</w:t>
      </w:r>
      <w:proofErr w:type="spellEnd"/>
      <w:r w:rsidRPr="006658F0">
        <w:rPr>
          <w:rFonts w:eastAsiaTheme="minorHAnsi"/>
        </w:rPr>
        <w:t xml:space="preserve"> released half of the pollution produced by the polyvinylchloride (PVC) decking when considering the same functional unit. Besides, given the long lifespan of the </w:t>
      </w:r>
      <w:proofErr w:type="spellStart"/>
      <w:r w:rsidRPr="006658F0">
        <w:rPr>
          <w:rFonts w:eastAsiaTheme="minorHAnsi"/>
        </w:rPr>
        <w:t>biocomposites</w:t>
      </w:r>
      <w:proofErr w:type="spellEnd"/>
      <w:r w:rsidRPr="006658F0">
        <w:rPr>
          <w:rFonts w:eastAsiaTheme="minorHAnsi"/>
        </w:rPr>
        <w:t>, the CO</w:t>
      </w:r>
      <w:r w:rsidRPr="00254368">
        <w:rPr>
          <w:rFonts w:eastAsiaTheme="minorHAnsi"/>
          <w:vertAlign w:val="subscript"/>
        </w:rPr>
        <w:t>2</w:t>
      </w:r>
      <w:r w:rsidRPr="006658F0">
        <w:rPr>
          <w:rFonts w:eastAsiaTheme="minorHAnsi"/>
        </w:rPr>
        <w:t xml:space="preserve"> stored into them can mitigate climate change because of the delay in the carbon emissions into the </w:t>
      </w:r>
      <w:proofErr w:type="spellStart"/>
      <w:r w:rsidRPr="006658F0">
        <w:rPr>
          <w:rFonts w:eastAsiaTheme="minorHAnsi"/>
        </w:rPr>
        <w:t>technosphere</w:t>
      </w:r>
      <w:proofErr w:type="spellEnd"/>
      <w:r w:rsidRPr="006658F0">
        <w:rPr>
          <w:rFonts w:eastAsiaTheme="minorHAnsi"/>
        </w:rPr>
        <w:t xml:space="preserve">. </w:t>
      </w:r>
    </w:p>
    <w:p w14:paraId="074F5197" w14:textId="77777777" w:rsidR="007511E6" w:rsidRPr="001F15F6" w:rsidRDefault="007511E6" w:rsidP="00E6447B">
      <w:pPr>
        <w:pStyle w:val="Default"/>
        <w:tabs>
          <w:tab w:val="left" w:pos="0"/>
        </w:tabs>
        <w:jc w:val="both"/>
        <w:rPr>
          <w:rFonts w:ascii="Arial" w:eastAsiaTheme="minorHAnsi" w:hAnsi="Arial" w:cs="Arial"/>
          <w:sz w:val="18"/>
          <w:szCs w:val="18"/>
          <w:lang w:val="en-GB" w:eastAsia="en-US"/>
        </w:rPr>
      </w:pPr>
    </w:p>
    <w:p w14:paraId="1D06DDD4" w14:textId="3F0E76DF" w:rsidR="006B058A" w:rsidRPr="001F15F6" w:rsidRDefault="004967D1" w:rsidP="008F5A57">
      <w:pPr>
        <w:keepNext/>
        <w:tabs>
          <w:tab w:val="left" w:pos="0"/>
        </w:tabs>
        <w:jc w:val="left"/>
      </w:pPr>
      <w:r w:rsidRPr="004967D1">
        <w:rPr>
          <w:noProof/>
          <w:lang w:val="en-US"/>
        </w:rPr>
        <w:drawing>
          <wp:inline distT="0" distB="0" distL="0" distR="0" wp14:anchorId="28F32F37" wp14:editId="5FC4488F">
            <wp:extent cx="5579745" cy="2354580"/>
            <wp:effectExtent l="0" t="0" r="1905"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3"/>
                    <a:stretch>
                      <a:fillRect/>
                    </a:stretch>
                  </pic:blipFill>
                  <pic:spPr>
                    <a:xfrm>
                      <a:off x="0" y="0"/>
                      <a:ext cx="5579745" cy="2354580"/>
                    </a:xfrm>
                    <a:prstGeom prst="rect">
                      <a:avLst/>
                    </a:prstGeom>
                  </pic:spPr>
                </pic:pic>
              </a:graphicData>
            </a:graphic>
          </wp:inline>
        </w:drawing>
      </w:r>
    </w:p>
    <w:p w14:paraId="3544A971" w14:textId="7C8953B7" w:rsidR="00F40DD9" w:rsidRPr="001F15F6" w:rsidRDefault="00F40DD9" w:rsidP="006B3F89">
      <w:pPr>
        <w:pStyle w:val="CETCaption"/>
      </w:pPr>
      <w:bookmarkStart w:id="3" w:name="_Ref95172865"/>
      <w:proofErr w:type="gramStart"/>
      <w:r w:rsidRPr="001F15F6">
        <w:t xml:space="preserve">Figure </w:t>
      </w:r>
      <w:bookmarkEnd w:id="3"/>
      <w:r w:rsidR="0070073F" w:rsidRPr="001F15F6">
        <w:t>3</w:t>
      </w:r>
      <w:r w:rsidRPr="001F15F6">
        <w:t>.</w:t>
      </w:r>
      <w:proofErr w:type="gramEnd"/>
      <w:r w:rsidRPr="001F15F6">
        <w:t xml:space="preserve"> </w:t>
      </w:r>
      <w:proofErr w:type="gramStart"/>
      <w:r w:rsidRPr="001F15F6">
        <w:t>Contribution of each process to potent</w:t>
      </w:r>
      <w:r w:rsidR="00155271" w:rsidRPr="001F15F6">
        <w:t xml:space="preserve">ial environmental impact of </w:t>
      </w:r>
      <w:r w:rsidRPr="001F15F6">
        <w:t>OSF/PE scenario.</w:t>
      </w:r>
      <w:proofErr w:type="gramEnd"/>
      <w:r w:rsidRPr="001F15F6">
        <w:t xml:space="preserve"> </w:t>
      </w:r>
      <w:proofErr w:type="spellStart"/>
      <w:proofErr w:type="gramStart"/>
      <w:r w:rsidRPr="001F15F6">
        <w:t>ReCiPe</w:t>
      </w:r>
      <w:proofErr w:type="spellEnd"/>
      <w:r w:rsidRPr="001F15F6">
        <w:t xml:space="preserve"> 2016 Midpoint (H).</w:t>
      </w:r>
      <w:proofErr w:type="gramEnd"/>
    </w:p>
    <w:p w14:paraId="387416DA" w14:textId="2D853A03" w:rsidR="00391970" w:rsidRPr="001F15F6" w:rsidRDefault="00494A8D" w:rsidP="00391970">
      <w:pPr>
        <w:pStyle w:val="CETHeading1"/>
        <w:tabs>
          <w:tab w:val="left" w:pos="0"/>
          <w:tab w:val="num" w:pos="360"/>
        </w:tabs>
        <w:rPr>
          <w:rFonts w:eastAsiaTheme="minorHAnsi"/>
          <w:lang w:val="en-GB"/>
        </w:rPr>
      </w:pPr>
      <w:r w:rsidRPr="001F15F6">
        <w:rPr>
          <w:rFonts w:eastAsiaTheme="minorHAnsi"/>
          <w:lang w:val="en-GB"/>
        </w:rPr>
        <w:t xml:space="preserve">Discussion on </w:t>
      </w:r>
      <w:r w:rsidR="00391970" w:rsidRPr="001F15F6">
        <w:rPr>
          <w:rFonts w:eastAsiaTheme="minorHAnsi"/>
          <w:lang w:val="en-GB"/>
        </w:rPr>
        <w:t>L</w:t>
      </w:r>
      <w:r w:rsidR="006A55EF" w:rsidRPr="001F15F6">
        <w:rPr>
          <w:rFonts w:eastAsiaTheme="minorHAnsi"/>
          <w:lang w:val="en-GB"/>
        </w:rPr>
        <w:t>ife Cycle Assessment</w:t>
      </w:r>
      <w:r w:rsidR="00391970" w:rsidRPr="001F15F6">
        <w:rPr>
          <w:rFonts w:eastAsiaTheme="minorHAnsi"/>
          <w:lang w:val="en-GB"/>
        </w:rPr>
        <w:t xml:space="preserve"> method to support the transition toward</w:t>
      </w:r>
      <w:r w:rsidR="005B1C38">
        <w:rPr>
          <w:rFonts w:eastAsiaTheme="minorHAnsi"/>
          <w:lang w:val="en-GB"/>
        </w:rPr>
        <w:t>s</w:t>
      </w:r>
      <w:r w:rsidR="00391970" w:rsidRPr="001F15F6">
        <w:rPr>
          <w:rFonts w:eastAsiaTheme="minorHAnsi"/>
          <w:lang w:val="en-GB"/>
        </w:rPr>
        <w:t xml:space="preserve"> a circular economy </w:t>
      </w:r>
    </w:p>
    <w:p w14:paraId="5C6F9587" w14:textId="159132EB" w:rsidR="006A55EF" w:rsidRPr="007511E6" w:rsidRDefault="006A55EF" w:rsidP="007511E6">
      <w:pPr>
        <w:pStyle w:val="CETBodytext"/>
      </w:pPr>
      <w:r w:rsidRPr="007511E6">
        <w:t>In the business-as-</w:t>
      </w:r>
      <w:r w:rsidR="00391970" w:rsidRPr="007511E6">
        <w:t xml:space="preserve">usual scenario, </w:t>
      </w:r>
      <w:r w:rsidR="00CF6F8F" w:rsidRPr="007511E6">
        <w:t>100% of the olive pomace is spread out in the agricultural field</w:t>
      </w:r>
      <w:r w:rsidRPr="007511E6">
        <w:t xml:space="preserve"> (Figure 4)</w:t>
      </w:r>
      <w:r w:rsidR="00CF6F8F" w:rsidRPr="007511E6">
        <w:t>. The production of this waste is estimated at 4.4 kg OP/L olive oil, and the pomace spreading is estimated at 4</w:t>
      </w:r>
      <w:r w:rsidR="00774E0B" w:rsidRPr="007511E6">
        <w:t xml:space="preserve"> </w:t>
      </w:r>
      <w:r w:rsidR="00CF6F8F" w:rsidRPr="007511E6">
        <w:t xml:space="preserve">tons per hour with the help of a tractor. Accordingly, 100% of the impacts caused by OP spreading are allocated to olive oil production. The direct emission of OP in the field was not quantified. No avoided product is considered as the spreading does not replace amendment or </w:t>
      </w:r>
      <w:proofErr w:type="spellStart"/>
      <w:r w:rsidR="00CF6F8F" w:rsidRPr="007511E6">
        <w:t>fertilising</w:t>
      </w:r>
      <w:proofErr w:type="spellEnd"/>
      <w:r w:rsidR="00CF6F8F" w:rsidRPr="007511E6">
        <w:t xml:space="preserve"> use.</w:t>
      </w:r>
      <w:r w:rsidRPr="007511E6">
        <w:t xml:space="preserve"> Figure 5 shows how the system is bounded if the OP valorisation in composite materials is included to conduct a circular olive production system that recovers materials from organic residues. This is assuming that 100% of the OP is used for the production of OP-based composite laths for the decking sector. The dotted lines mean that it is an avoided impact, i.e. laths avoided to be produced with other materials. These other decking materials that serve an equivalent function include plastic (cellular PVC) and wood-plastic composites (WPCs) (Bergman et al., 2013).</w:t>
      </w:r>
    </w:p>
    <w:p w14:paraId="154DE4A1" w14:textId="06826DF5" w:rsidR="00CF6F8F" w:rsidRPr="001F15F6" w:rsidRDefault="00CF6F8F" w:rsidP="00E6447B">
      <w:pPr>
        <w:pStyle w:val="CETBodytext"/>
        <w:tabs>
          <w:tab w:val="left" w:pos="0"/>
        </w:tabs>
        <w:rPr>
          <w:szCs w:val="18"/>
          <w:lang w:val="en-GB"/>
        </w:rPr>
      </w:pPr>
    </w:p>
    <w:tbl>
      <w:tblPr>
        <w:tblStyle w:val="Grilledutableau"/>
        <w:tblW w:w="0" w:type="auto"/>
        <w:tblLook w:val="04A0" w:firstRow="1" w:lastRow="0" w:firstColumn="1" w:lastColumn="0" w:noHBand="0" w:noVBand="1"/>
      </w:tblPr>
      <w:tblGrid>
        <w:gridCol w:w="4347"/>
        <w:gridCol w:w="4656"/>
      </w:tblGrid>
      <w:tr w:rsidR="006A55EF" w:rsidRPr="001F15F6" w14:paraId="2E3A2F48" w14:textId="77777777" w:rsidTr="006A55EF">
        <w:trPr>
          <w:trHeight w:val="2908"/>
        </w:trPr>
        <w:tc>
          <w:tcPr>
            <w:tcW w:w="4388" w:type="dxa"/>
          </w:tcPr>
          <w:p w14:paraId="1243D3F6" w14:textId="79D40672" w:rsidR="006A55EF" w:rsidRPr="001F15F6" w:rsidRDefault="006A55EF" w:rsidP="009038AC">
            <w:pPr>
              <w:spacing w:before="240"/>
            </w:pPr>
            <w:r w:rsidRPr="001F15F6">
              <w:rPr>
                <w:noProof/>
                <w:lang w:val="en-US"/>
              </w:rPr>
              <w:drawing>
                <wp:inline distT="0" distB="0" distL="0" distR="0" wp14:anchorId="560838E7" wp14:editId="147BC891">
                  <wp:extent cx="2535185" cy="1558594"/>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 diagram v2 HQ.jpg"/>
                          <pic:cNvPicPr/>
                        </pic:nvPicPr>
                        <pic:blipFill rotWithShape="1">
                          <a:blip r:embed="rId14">
                            <a:extLst>
                              <a:ext uri="{28A0092B-C50C-407E-A947-70E740481C1C}">
                                <a14:useLocalDpi xmlns:a14="http://schemas.microsoft.com/office/drawing/2010/main" val="0"/>
                              </a:ext>
                            </a:extLst>
                          </a:blip>
                          <a:srcRect r="3058"/>
                          <a:stretch/>
                        </pic:blipFill>
                        <pic:spPr bwMode="auto">
                          <a:xfrm>
                            <a:off x="0" y="0"/>
                            <a:ext cx="2563386" cy="1575931"/>
                          </a:xfrm>
                          <a:prstGeom prst="rect">
                            <a:avLst/>
                          </a:prstGeom>
                          <a:ln>
                            <a:noFill/>
                          </a:ln>
                          <a:extLst>
                            <a:ext uri="{53640926-AAD7-44D8-BBD7-CCE9431645EC}">
                              <a14:shadowObscured xmlns:a14="http://schemas.microsoft.com/office/drawing/2010/main"/>
                            </a:ext>
                          </a:extLst>
                        </pic:spPr>
                      </pic:pic>
                    </a:graphicData>
                  </a:graphic>
                </wp:inline>
              </w:drawing>
            </w:r>
          </w:p>
        </w:tc>
        <w:tc>
          <w:tcPr>
            <w:tcW w:w="4389" w:type="dxa"/>
          </w:tcPr>
          <w:p w14:paraId="4F273572" w14:textId="19F83494" w:rsidR="006A55EF" w:rsidRPr="001F15F6" w:rsidRDefault="006A55EF" w:rsidP="009038AC">
            <w:pPr>
              <w:spacing w:before="240"/>
            </w:pPr>
            <w:r w:rsidRPr="001F15F6">
              <w:rPr>
                <w:noProof/>
                <w:lang w:val="en-US"/>
              </w:rPr>
              <w:drawing>
                <wp:inline distT="0" distB="0" distL="0" distR="0" wp14:anchorId="2CC9DA6C" wp14:editId="7B37618B">
                  <wp:extent cx="2816352" cy="1513840"/>
                  <wp:effectExtent l="0" t="0" r="3175"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 diagram v2 HQ.jpg"/>
                          <pic:cNvPicPr/>
                        </pic:nvPicPr>
                        <pic:blipFill rotWithShape="1">
                          <a:blip r:embed="rId15">
                            <a:extLst>
                              <a:ext uri="{28A0092B-C50C-407E-A947-70E740481C1C}">
                                <a14:useLocalDpi xmlns:a14="http://schemas.microsoft.com/office/drawing/2010/main" val="0"/>
                              </a:ext>
                            </a:extLst>
                          </a:blip>
                          <a:srcRect b="1671"/>
                          <a:stretch/>
                        </pic:blipFill>
                        <pic:spPr bwMode="auto">
                          <a:xfrm>
                            <a:off x="0" y="0"/>
                            <a:ext cx="2840211" cy="1526665"/>
                          </a:xfrm>
                          <a:prstGeom prst="rect">
                            <a:avLst/>
                          </a:prstGeom>
                          <a:ln>
                            <a:noFill/>
                          </a:ln>
                          <a:extLst>
                            <a:ext uri="{53640926-AAD7-44D8-BBD7-CCE9431645EC}">
                              <a14:shadowObscured xmlns:a14="http://schemas.microsoft.com/office/drawing/2010/main"/>
                            </a:ext>
                          </a:extLst>
                        </pic:spPr>
                      </pic:pic>
                    </a:graphicData>
                  </a:graphic>
                </wp:inline>
              </w:drawing>
            </w:r>
          </w:p>
        </w:tc>
      </w:tr>
      <w:tr w:rsidR="006A55EF" w:rsidRPr="001F15F6" w14:paraId="59B5E23C" w14:textId="77777777" w:rsidTr="006A55EF">
        <w:tc>
          <w:tcPr>
            <w:tcW w:w="4388" w:type="dxa"/>
          </w:tcPr>
          <w:p w14:paraId="0934A0F8" w14:textId="5FF374AD" w:rsidR="006A55EF" w:rsidRPr="001F15F6" w:rsidRDefault="006A55EF" w:rsidP="006B3F89">
            <w:pPr>
              <w:pStyle w:val="CETCaption"/>
            </w:pPr>
            <w:r w:rsidRPr="001F15F6">
              <w:t>Figure 4. System boundary of linear production, focus on waste management.</w:t>
            </w:r>
          </w:p>
        </w:tc>
        <w:tc>
          <w:tcPr>
            <w:tcW w:w="4389" w:type="dxa"/>
          </w:tcPr>
          <w:p w14:paraId="43100C55" w14:textId="5EC64BA9" w:rsidR="006A55EF" w:rsidRPr="001F15F6" w:rsidRDefault="006A55EF" w:rsidP="006B3F89">
            <w:pPr>
              <w:pStyle w:val="CETAddress"/>
            </w:pPr>
            <w:r w:rsidRPr="006B3F89">
              <w:rPr>
                <w:rStyle w:val="CETCaptionCarattere"/>
              </w:rPr>
              <w:t>Figure 5. System boundary including olive pomace valori</w:t>
            </w:r>
            <w:r w:rsidR="005B1C38" w:rsidRPr="006B3F89">
              <w:rPr>
                <w:rStyle w:val="CETCaptionCarattere"/>
              </w:rPr>
              <w:t>s</w:t>
            </w:r>
            <w:r w:rsidRPr="006B3F89">
              <w:rPr>
                <w:rStyle w:val="CETCaptionCarattere"/>
              </w:rPr>
              <w:t>ation to conduct a circular olive production system</w:t>
            </w:r>
            <w:r w:rsidR="00D3013E">
              <w:t>.</w:t>
            </w:r>
          </w:p>
        </w:tc>
      </w:tr>
    </w:tbl>
    <w:p w14:paraId="52689836" w14:textId="77777777" w:rsidR="009038AC" w:rsidRPr="001F15F6" w:rsidRDefault="009038AC" w:rsidP="00E6447B">
      <w:pPr>
        <w:pStyle w:val="CETBodytext"/>
        <w:tabs>
          <w:tab w:val="left" w:pos="0"/>
        </w:tabs>
        <w:rPr>
          <w:szCs w:val="18"/>
          <w:lang w:val="en-GB"/>
        </w:rPr>
      </w:pPr>
    </w:p>
    <w:p w14:paraId="78DA6A81" w14:textId="791140B5" w:rsidR="00525ED5" w:rsidRPr="007511E6" w:rsidRDefault="00525ED5" w:rsidP="007511E6">
      <w:pPr>
        <w:pStyle w:val="CETBodytext"/>
      </w:pPr>
      <w:r w:rsidRPr="007511E6">
        <w:t xml:space="preserve">Hence, it can be observed that when moving to a circular system in which waste is recovered for valorisation, a new product is created that can replace another product with the same function. In this case, it is possible to </w:t>
      </w:r>
      <w:r w:rsidRPr="007511E6">
        <w:lastRenderedPageBreak/>
        <w:t xml:space="preserve">avoid the production of decking by another route. Now these avoiding decking can be from three types: cellular PVC, virgin WPC, and recycled WPC. </w:t>
      </w:r>
      <w:r w:rsidR="00CF6F8F" w:rsidRPr="007511E6">
        <w:rPr>
          <w:rFonts w:eastAsiaTheme="minorHAnsi"/>
        </w:rPr>
        <w:t xml:space="preserve">The results show that it is interesting from an environmental point of view to move to a circular production approach when the objective is to replace the production of cellular PVC and </w:t>
      </w:r>
      <w:r w:rsidR="00391970" w:rsidRPr="007511E6">
        <w:rPr>
          <w:rFonts w:eastAsiaTheme="minorHAnsi"/>
        </w:rPr>
        <w:t>virgin WPC decking</w:t>
      </w:r>
      <w:r w:rsidR="00CF6F8F" w:rsidRPr="007511E6">
        <w:rPr>
          <w:rFonts w:eastAsiaTheme="minorHAnsi"/>
        </w:rPr>
        <w:t>.</w:t>
      </w:r>
      <w:r w:rsidR="0070073F" w:rsidRPr="007511E6">
        <w:rPr>
          <w:rFonts w:eastAsiaTheme="minorHAnsi"/>
        </w:rPr>
        <w:t xml:space="preserve"> Figure </w:t>
      </w:r>
      <w:r w:rsidR="005B1C38" w:rsidRPr="007511E6">
        <w:rPr>
          <w:rFonts w:eastAsiaTheme="minorHAnsi"/>
        </w:rPr>
        <w:t>6</w:t>
      </w:r>
      <w:r w:rsidRPr="007511E6">
        <w:t xml:space="preserve"> illustrates the comparison in </w:t>
      </w:r>
      <w:r w:rsidR="005B1C38" w:rsidRPr="007511E6">
        <w:t>C</w:t>
      </w:r>
      <w:r w:rsidRPr="007511E6">
        <w:t xml:space="preserve">limate change of the linear production of 1 L of French olive oil compared to three circular production pathways. </w:t>
      </w:r>
    </w:p>
    <w:p w14:paraId="6E34D7D0" w14:textId="5AD6E354" w:rsidR="00525ED5" w:rsidRDefault="006658F0" w:rsidP="00525ED5">
      <w:pPr>
        <w:keepNext/>
      </w:pPr>
      <w:r>
        <w:rPr>
          <w:noProof/>
          <w:lang w:val="en-US"/>
        </w:rPr>
        <w:drawing>
          <wp:inline distT="0" distB="0" distL="0" distR="0" wp14:anchorId="00DBFD76" wp14:editId="7D47D9B3">
            <wp:extent cx="5449824" cy="1528445"/>
            <wp:effectExtent l="0" t="0" r="17780" b="14605"/>
            <wp:docPr id="594" name="Graphique 5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4837A0" w14:textId="190AB718" w:rsidR="00525ED5" w:rsidRPr="001F15F6" w:rsidRDefault="00525ED5" w:rsidP="007511E6">
      <w:pPr>
        <w:pStyle w:val="CETCaption"/>
      </w:pPr>
      <w:bookmarkStart w:id="4" w:name="_Ref99636287"/>
      <w:proofErr w:type="gramStart"/>
      <w:r w:rsidRPr="001F15F6">
        <w:t xml:space="preserve">Figure </w:t>
      </w:r>
      <w:bookmarkEnd w:id="4"/>
      <w:r w:rsidR="005B1C38">
        <w:t>6</w:t>
      </w:r>
      <w:r w:rsidRPr="001F15F6">
        <w:t>.</w:t>
      </w:r>
      <w:proofErr w:type="gramEnd"/>
      <w:r w:rsidRPr="001F15F6">
        <w:t xml:space="preserve"> Linear production of 1 L of French olive oil compared to three circular production pathways.</w:t>
      </w:r>
    </w:p>
    <w:p w14:paraId="6CA4B360" w14:textId="3C843080" w:rsidR="00CF6F8F" w:rsidRPr="005B1C38" w:rsidRDefault="00CF6F8F" w:rsidP="007511E6">
      <w:pPr>
        <w:pStyle w:val="CETBodytext"/>
        <w:rPr>
          <w:rFonts w:eastAsiaTheme="minorHAnsi" w:cs="Arial"/>
          <w:color w:val="000000"/>
          <w:szCs w:val="18"/>
        </w:rPr>
      </w:pPr>
      <w:r w:rsidRPr="001F15F6">
        <w:rPr>
          <w:rFonts w:eastAsiaTheme="minorHAnsi" w:cs="Arial"/>
          <w:color w:val="000000"/>
          <w:szCs w:val="18"/>
        </w:rPr>
        <w:t xml:space="preserve">Thanks to the </w:t>
      </w:r>
      <w:r w:rsidR="00391970" w:rsidRPr="001F15F6">
        <w:rPr>
          <w:rFonts w:eastAsiaTheme="minorHAnsi" w:cs="Arial"/>
          <w:color w:val="000000"/>
          <w:szCs w:val="18"/>
        </w:rPr>
        <w:t>valori</w:t>
      </w:r>
      <w:r w:rsidR="005B1C38">
        <w:rPr>
          <w:rFonts w:eastAsiaTheme="minorHAnsi" w:cs="Arial"/>
          <w:color w:val="000000"/>
          <w:szCs w:val="18"/>
        </w:rPr>
        <w:t>s</w:t>
      </w:r>
      <w:r w:rsidR="00391970" w:rsidRPr="001F15F6">
        <w:rPr>
          <w:rFonts w:eastAsiaTheme="minorHAnsi" w:cs="Arial"/>
          <w:color w:val="000000"/>
          <w:szCs w:val="18"/>
        </w:rPr>
        <w:t>ation</w:t>
      </w:r>
      <w:r w:rsidRPr="001F15F6">
        <w:rPr>
          <w:rFonts w:eastAsiaTheme="minorHAnsi" w:cs="Arial"/>
          <w:color w:val="000000"/>
          <w:szCs w:val="18"/>
        </w:rPr>
        <w:t xml:space="preserve"> of waste and residues by expanding the boundaries of the study system, the sustainability of a linear system is ensured through the development of circular models that feedback material residues to previous stages of the same process. In doing so, the overall impact on a larger scale decreases and real benefits are achieved promoting circularity throughout the production chain of this highly valued product in the Mediterranean region. The great advantage of </w:t>
      </w:r>
      <w:proofErr w:type="spellStart"/>
      <w:r w:rsidR="00EF0D31" w:rsidRPr="001F15F6">
        <w:rPr>
          <w:rFonts w:eastAsiaTheme="minorHAnsi" w:cs="Arial"/>
          <w:color w:val="000000"/>
          <w:szCs w:val="18"/>
        </w:rPr>
        <w:t>valori</w:t>
      </w:r>
      <w:r w:rsidR="005B1C38">
        <w:rPr>
          <w:rFonts w:eastAsiaTheme="minorHAnsi" w:cs="Arial"/>
          <w:color w:val="000000"/>
          <w:szCs w:val="18"/>
        </w:rPr>
        <w:t>s</w:t>
      </w:r>
      <w:r w:rsidR="00EF0D31" w:rsidRPr="001F15F6">
        <w:rPr>
          <w:rFonts w:eastAsiaTheme="minorHAnsi" w:cs="Arial"/>
          <w:color w:val="000000"/>
          <w:szCs w:val="18"/>
        </w:rPr>
        <w:t>ing</w:t>
      </w:r>
      <w:proofErr w:type="spellEnd"/>
      <w:r w:rsidRPr="001F15F6">
        <w:rPr>
          <w:rFonts w:eastAsiaTheme="minorHAnsi" w:cs="Arial"/>
          <w:color w:val="000000"/>
          <w:szCs w:val="18"/>
        </w:rPr>
        <w:t xml:space="preserve"> co-products and by-products in the framework </w:t>
      </w:r>
      <w:r w:rsidRPr="005B1C38">
        <w:rPr>
          <w:rFonts w:eastAsiaTheme="minorHAnsi" w:cs="Arial"/>
          <w:color w:val="000000"/>
          <w:szCs w:val="18"/>
        </w:rPr>
        <w:t xml:space="preserve">of the CE is based on the avoided impacts derived from feeding them to replace some (or all) of the conventional production inflows. In this case, the first two principles of CE (EMF, 2021) are touched: </w:t>
      </w:r>
    </w:p>
    <w:p w14:paraId="05825673" w14:textId="77777777" w:rsidR="00CF6F8F" w:rsidRPr="005B1C38" w:rsidRDefault="00CF6F8F" w:rsidP="007511E6">
      <w:pPr>
        <w:pStyle w:val="CETBodytext"/>
        <w:rPr>
          <w:rFonts w:eastAsiaTheme="minorHAnsi" w:cs="Arial"/>
          <w:color w:val="000000"/>
          <w:szCs w:val="18"/>
        </w:rPr>
      </w:pPr>
      <w:r w:rsidRPr="005B1C38">
        <w:rPr>
          <w:rFonts w:eastAsiaTheme="minorHAnsi" w:cs="Arial"/>
          <w:color w:val="000000"/>
          <w:szCs w:val="18"/>
        </w:rPr>
        <w:t xml:space="preserve">1) Eliminate waste and pollution: eliminate the olive pomace by-product to convert it into a co-product (olive pomace-based composite laths). </w:t>
      </w:r>
    </w:p>
    <w:p w14:paraId="27529D4C" w14:textId="6674E39C" w:rsidR="0041308C" w:rsidRPr="005B1C38" w:rsidRDefault="00CF6F8F" w:rsidP="007511E6">
      <w:pPr>
        <w:pStyle w:val="CETBodytext"/>
        <w:rPr>
          <w:rFonts w:eastAsiaTheme="minorHAnsi" w:cs="Arial"/>
          <w:color w:val="000000"/>
          <w:szCs w:val="18"/>
        </w:rPr>
      </w:pPr>
      <w:r w:rsidRPr="005B1C38">
        <w:rPr>
          <w:rFonts w:eastAsiaTheme="minorHAnsi" w:cs="Arial"/>
          <w:color w:val="000000"/>
          <w:szCs w:val="18"/>
        </w:rPr>
        <w:t xml:space="preserve">2) To circulate products and materials at their highest value keeping the materials in use: with the production of the laths made of olive pomace, this olive pomace remains in use </w:t>
      </w:r>
      <w:r w:rsidR="0041308C" w:rsidRPr="005B1C38">
        <w:rPr>
          <w:rFonts w:eastAsiaTheme="minorHAnsi" w:cs="Arial"/>
          <w:color w:val="000000"/>
          <w:szCs w:val="18"/>
        </w:rPr>
        <w:t>during the lifespan of the lath and then as spread material on the agricultural soil at the end</w:t>
      </w:r>
      <w:r w:rsidR="00D3013E">
        <w:rPr>
          <w:rFonts w:eastAsiaTheme="minorHAnsi" w:cs="Arial"/>
          <w:color w:val="000000"/>
          <w:szCs w:val="18"/>
        </w:rPr>
        <w:t>-</w:t>
      </w:r>
      <w:r w:rsidR="0041308C" w:rsidRPr="005B1C38">
        <w:rPr>
          <w:rFonts w:eastAsiaTheme="minorHAnsi" w:cs="Arial"/>
          <w:color w:val="000000"/>
          <w:szCs w:val="18"/>
        </w:rPr>
        <w:t>of</w:t>
      </w:r>
      <w:r w:rsidR="00D3013E">
        <w:rPr>
          <w:rFonts w:eastAsiaTheme="minorHAnsi" w:cs="Arial"/>
          <w:color w:val="000000"/>
          <w:szCs w:val="18"/>
        </w:rPr>
        <w:t>-</w:t>
      </w:r>
      <w:r w:rsidR="0041308C" w:rsidRPr="005B1C38">
        <w:rPr>
          <w:rFonts w:eastAsiaTheme="minorHAnsi" w:cs="Arial"/>
          <w:color w:val="000000"/>
          <w:szCs w:val="18"/>
        </w:rPr>
        <w:t xml:space="preserve">life of the lath. </w:t>
      </w:r>
    </w:p>
    <w:p w14:paraId="6A9C1D7D" w14:textId="77777777" w:rsidR="00391970" w:rsidRPr="005B1C38" w:rsidRDefault="00391970" w:rsidP="007511E6">
      <w:pPr>
        <w:pStyle w:val="CETBodytext"/>
        <w:rPr>
          <w:rFonts w:eastAsiaTheme="minorHAnsi" w:cs="Arial"/>
          <w:color w:val="000000"/>
          <w:szCs w:val="18"/>
        </w:rPr>
      </w:pPr>
    </w:p>
    <w:p w14:paraId="5BB6B0AE" w14:textId="55CD4882" w:rsidR="0041308C" w:rsidRPr="005B1C38" w:rsidRDefault="0041308C" w:rsidP="007511E6">
      <w:pPr>
        <w:pStyle w:val="CETBodytext"/>
        <w:rPr>
          <w:rFonts w:eastAsiaTheme="minorHAnsi" w:cs="Arial"/>
          <w:color w:val="000000"/>
          <w:szCs w:val="18"/>
        </w:rPr>
      </w:pPr>
      <w:r w:rsidRPr="005B1C38">
        <w:rPr>
          <w:rFonts w:eastAsiaTheme="minorHAnsi" w:cs="Arial"/>
          <w:color w:val="000000"/>
          <w:szCs w:val="18"/>
        </w:rPr>
        <w:t xml:space="preserve">When considering the circular options, the use and end-of-life phase of some by-products is included in a recycling/recovery perspective. Unfortunately, although the circularity of materials is often taken to be synonymous with environmental efficiency, in many cases a properly conducted LCA reveals that this is not true. When considering a circular approach to reduce impacts and </w:t>
      </w:r>
      <w:proofErr w:type="spellStart"/>
      <w:r w:rsidRPr="005B1C38">
        <w:rPr>
          <w:rFonts w:eastAsiaTheme="minorHAnsi" w:cs="Arial"/>
          <w:color w:val="000000"/>
          <w:szCs w:val="18"/>
        </w:rPr>
        <w:t>optimise</w:t>
      </w:r>
      <w:proofErr w:type="spellEnd"/>
      <w:r w:rsidRPr="005B1C38">
        <w:rPr>
          <w:rFonts w:eastAsiaTheme="minorHAnsi" w:cs="Arial"/>
          <w:color w:val="000000"/>
          <w:szCs w:val="18"/>
        </w:rPr>
        <w:t xml:space="preserve"> the reuse of co-products, some choices have to be made. These choices represent one of the</w:t>
      </w:r>
      <w:r w:rsidR="00EF0D31" w:rsidRPr="005B1C38">
        <w:rPr>
          <w:rFonts w:eastAsiaTheme="minorHAnsi" w:cs="Arial"/>
          <w:color w:val="000000"/>
          <w:szCs w:val="18"/>
        </w:rPr>
        <w:t xml:space="preserve"> challenges of the bioeconomy</w:t>
      </w:r>
      <w:r w:rsidRPr="005B1C38">
        <w:rPr>
          <w:rFonts w:eastAsiaTheme="minorHAnsi" w:cs="Arial"/>
          <w:color w:val="000000"/>
          <w:szCs w:val="18"/>
        </w:rPr>
        <w:t xml:space="preserve">: while environmental benefits may be obvious, in some cases, increased circularity may lead to a worse performance in terms of environmental sustainability (Ncube et al., 2022). For the CE to be effective, there is a need to evaluate and assess the sustainability aspects and its performance before </w:t>
      </w:r>
      <w:r w:rsidR="0082262C">
        <w:rPr>
          <w:rFonts w:eastAsiaTheme="minorHAnsi" w:cs="Arial"/>
          <w:color w:val="000000"/>
          <w:szCs w:val="18"/>
        </w:rPr>
        <w:t xml:space="preserve">decision and </w:t>
      </w:r>
      <w:r w:rsidRPr="005B1C38">
        <w:rPr>
          <w:rFonts w:eastAsiaTheme="minorHAnsi" w:cs="Arial"/>
          <w:color w:val="000000"/>
          <w:szCs w:val="18"/>
        </w:rPr>
        <w:t xml:space="preserve">implementation, especially in the absence of coherent policies at a micro (local, product level), </w:t>
      </w:r>
      <w:proofErr w:type="spellStart"/>
      <w:r w:rsidRPr="005B1C38">
        <w:rPr>
          <w:rFonts w:eastAsiaTheme="minorHAnsi" w:cs="Arial"/>
          <w:color w:val="000000"/>
          <w:szCs w:val="18"/>
        </w:rPr>
        <w:t>meso</w:t>
      </w:r>
      <w:proofErr w:type="spellEnd"/>
      <w:r w:rsidRPr="005B1C38">
        <w:rPr>
          <w:rFonts w:eastAsiaTheme="minorHAnsi" w:cs="Arial"/>
          <w:color w:val="000000"/>
          <w:szCs w:val="18"/>
        </w:rPr>
        <w:t xml:space="preserve"> (industrial state) and macro level (global level) (Harris et al., 2021). The current understanding of CE strategy modelling lacks a </w:t>
      </w:r>
      <w:r w:rsidR="00774E0B">
        <w:rPr>
          <w:rFonts w:eastAsiaTheme="minorHAnsi" w:cs="Arial"/>
          <w:color w:val="000000"/>
          <w:szCs w:val="18"/>
        </w:rPr>
        <w:t>systemic view to link the micro-</w:t>
      </w:r>
      <w:r w:rsidRPr="005B1C38">
        <w:rPr>
          <w:rFonts w:eastAsiaTheme="minorHAnsi" w:cs="Arial"/>
          <w:color w:val="000000"/>
          <w:szCs w:val="18"/>
        </w:rPr>
        <w:t>lev</w:t>
      </w:r>
      <w:r w:rsidR="00774E0B">
        <w:rPr>
          <w:rFonts w:eastAsiaTheme="minorHAnsi" w:cs="Arial"/>
          <w:color w:val="000000"/>
          <w:szCs w:val="18"/>
        </w:rPr>
        <w:t>el</w:t>
      </w:r>
      <w:r w:rsidRPr="005B1C38">
        <w:rPr>
          <w:rFonts w:eastAsiaTheme="minorHAnsi" w:cs="Arial"/>
          <w:color w:val="000000"/>
          <w:szCs w:val="18"/>
        </w:rPr>
        <w:t>s an</w:t>
      </w:r>
      <w:r w:rsidR="00774E0B">
        <w:rPr>
          <w:rFonts w:eastAsiaTheme="minorHAnsi" w:cs="Arial"/>
          <w:color w:val="000000"/>
          <w:szCs w:val="18"/>
        </w:rPr>
        <w:t>d the consequences at the macro-</w:t>
      </w:r>
      <w:r w:rsidRPr="005B1C38">
        <w:rPr>
          <w:rFonts w:eastAsiaTheme="minorHAnsi" w:cs="Arial"/>
          <w:color w:val="000000"/>
          <w:szCs w:val="18"/>
        </w:rPr>
        <w:t>scale. A CE assessment tool should account for both scales to drive the transition toward a holistic circularity (</w:t>
      </w:r>
      <w:proofErr w:type="spellStart"/>
      <w:r w:rsidRPr="005B1C38">
        <w:rPr>
          <w:rFonts w:eastAsiaTheme="minorHAnsi" w:cs="Arial"/>
          <w:color w:val="000000"/>
          <w:szCs w:val="18"/>
        </w:rPr>
        <w:t>Lonca</w:t>
      </w:r>
      <w:proofErr w:type="spellEnd"/>
      <w:r w:rsidRPr="005B1C38">
        <w:rPr>
          <w:rFonts w:eastAsiaTheme="minorHAnsi" w:cs="Arial"/>
          <w:color w:val="000000"/>
          <w:szCs w:val="18"/>
        </w:rPr>
        <w:t xml:space="preserve"> et al., 2018).</w:t>
      </w:r>
    </w:p>
    <w:p w14:paraId="4FB98CA1" w14:textId="3CD8255F" w:rsidR="00494A8D" w:rsidRPr="002D4A29" w:rsidRDefault="00F40DD9" w:rsidP="002D4A29">
      <w:pPr>
        <w:pStyle w:val="CETHeading1"/>
        <w:rPr>
          <w:color w:val="000000" w:themeColor="text1"/>
        </w:rPr>
      </w:pPr>
      <w:r w:rsidRPr="002D4A29">
        <w:rPr>
          <w:color w:val="000000" w:themeColor="text1"/>
        </w:rPr>
        <w:t>Conclusion</w:t>
      </w:r>
    </w:p>
    <w:p w14:paraId="1BB86061" w14:textId="60370059" w:rsidR="00BB6A26" w:rsidRPr="007511E6" w:rsidRDefault="00494A8D" w:rsidP="007511E6">
      <w:pPr>
        <w:pStyle w:val="CETBodytext"/>
        <w:rPr>
          <w:rStyle w:val="CETBodytextCarattere"/>
        </w:rPr>
      </w:pPr>
      <w:r w:rsidRPr="007511E6">
        <w:rPr>
          <w:rStyle w:val="CETBodytextCarattere"/>
        </w:rPr>
        <w:t>In this article</w:t>
      </w:r>
      <w:r w:rsidR="00C748BE" w:rsidRPr="007511E6">
        <w:rPr>
          <w:rStyle w:val="CETBodytextCarattere"/>
        </w:rPr>
        <w:t>,</w:t>
      </w:r>
      <w:r w:rsidRPr="007511E6">
        <w:rPr>
          <w:rStyle w:val="CETBodytextCarattere"/>
        </w:rPr>
        <w:t xml:space="preserve"> </w:t>
      </w:r>
      <w:r w:rsidR="009038AC" w:rsidRPr="007511E6">
        <w:rPr>
          <w:rFonts w:eastAsiaTheme="minorHAnsi"/>
        </w:rPr>
        <w:t>environmental concerns linked to linear olive oil production were assessed</w:t>
      </w:r>
      <w:r w:rsidR="009038AC" w:rsidRPr="007511E6">
        <w:rPr>
          <w:rStyle w:val="CETBodytextCarattere"/>
        </w:rPr>
        <w:t xml:space="preserve"> by a cradle-to-grave </w:t>
      </w:r>
      <w:r w:rsidR="005B1C38" w:rsidRPr="007511E6">
        <w:rPr>
          <w:rStyle w:val="CETBodytextCarattere"/>
        </w:rPr>
        <w:t>LCA</w:t>
      </w:r>
      <w:r w:rsidR="009038AC" w:rsidRPr="007511E6">
        <w:rPr>
          <w:rStyle w:val="CETBodytextCarattere"/>
        </w:rPr>
        <w:t xml:space="preserve"> method</w:t>
      </w:r>
      <w:r w:rsidR="009038AC" w:rsidRPr="007511E6">
        <w:rPr>
          <w:rFonts w:eastAsiaTheme="minorHAnsi"/>
        </w:rPr>
        <w:t xml:space="preserve">. </w:t>
      </w:r>
      <w:r w:rsidR="006A55EF" w:rsidRPr="007511E6">
        <w:rPr>
          <w:rStyle w:val="CETBodytextCarattere"/>
        </w:rPr>
        <w:t>Inventory data was obtained from collection protocol on real site in</w:t>
      </w:r>
      <w:r w:rsidR="008F5A57" w:rsidRPr="007511E6">
        <w:rPr>
          <w:rStyle w:val="CETBodytextCarattere"/>
        </w:rPr>
        <w:t xml:space="preserve"> the</w:t>
      </w:r>
      <w:r w:rsidR="006A55EF" w:rsidRPr="007511E6">
        <w:rPr>
          <w:rStyle w:val="CETBodytextCarattere"/>
        </w:rPr>
        <w:t xml:space="preserve"> south of France. Eleven scenarios with </w:t>
      </w:r>
      <w:r w:rsidR="005B1C38" w:rsidRPr="007511E6">
        <w:rPr>
          <w:rStyle w:val="CETBodytextCarattere"/>
        </w:rPr>
        <w:t xml:space="preserve">six </w:t>
      </w:r>
      <w:r w:rsidR="006A55EF" w:rsidRPr="007511E6">
        <w:rPr>
          <w:rStyle w:val="CETBodytextCarattere"/>
        </w:rPr>
        <w:t xml:space="preserve">different </w:t>
      </w:r>
      <w:r w:rsidR="005B1C38" w:rsidRPr="007511E6">
        <w:rPr>
          <w:rStyle w:val="CETBodytextCarattere"/>
        </w:rPr>
        <w:t xml:space="preserve">configurations </w:t>
      </w:r>
      <w:r w:rsidR="006A55EF" w:rsidRPr="007511E6">
        <w:rPr>
          <w:rStyle w:val="CETBodytextCarattere"/>
        </w:rPr>
        <w:t xml:space="preserve">of culture were studied. </w:t>
      </w:r>
      <w:r w:rsidR="009038AC" w:rsidRPr="007511E6">
        <w:rPr>
          <w:rFonts w:eastAsiaTheme="minorHAnsi"/>
        </w:rPr>
        <w:t>Identification of hotspots and comparison of different alternative systems related to olive cultivation and processing</w:t>
      </w:r>
      <w:r w:rsidR="009038AC" w:rsidRPr="007511E6">
        <w:rPr>
          <w:rStyle w:val="CETBodytextCarattere"/>
        </w:rPr>
        <w:t xml:space="preserve"> w</w:t>
      </w:r>
      <w:r w:rsidR="0082262C" w:rsidRPr="007511E6">
        <w:rPr>
          <w:rStyle w:val="CETBodytextCarattere"/>
        </w:rPr>
        <w:t>ere</w:t>
      </w:r>
      <w:r w:rsidR="009038AC" w:rsidRPr="007511E6">
        <w:rPr>
          <w:rStyle w:val="CETBodytextCarattere"/>
        </w:rPr>
        <w:t xml:space="preserve"> performed. </w:t>
      </w:r>
    </w:p>
    <w:p w14:paraId="7FA60AC2" w14:textId="3A5F938B" w:rsidR="00C748BE" w:rsidRPr="007511E6" w:rsidRDefault="00403B13" w:rsidP="007511E6">
      <w:pPr>
        <w:pStyle w:val="CETBodytext"/>
        <w:rPr>
          <w:rStyle w:val="CETBodytextCarattere"/>
        </w:rPr>
      </w:pPr>
      <w:r w:rsidRPr="007511E6">
        <w:rPr>
          <w:rStyle w:val="CETBodytextCarattere"/>
        </w:rPr>
        <w:t xml:space="preserve">Moreover, </w:t>
      </w:r>
      <w:r w:rsidR="00BB6A26" w:rsidRPr="007511E6">
        <w:rPr>
          <w:rStyle w:val="CETBodytextCarattere"/>
        </w:rPr>
        <w:t>the</w:t>
      </w:r>
      <w:r w:rsidR="00BB6A26" w:rsidRPr="007511E6">
        <w:t xml:space="preserve"> LCA of the manufacturing process of an olive pomace </w:t>
      </w:r>
      <w:proofErr w:type="spellStart"/>
      <w:r w:rsidR="00BB6A26" w:rsidRPr="007511E6">
        <w:t>biocomposite</w:t>
      </w:r>
      <w:proofErr w:type="spellEnd"/>
      <w:r w:rsidR="00BB6A26" w:rsidRPr="007511E6">
        <w:t xml:space="preserve"> was conducted in order to evaluate the environmental performance of a </w:t>
      </w:r>
      <w:proofErr w:type="spellStart"/>
      <w:r w:rsidR="00BB6A26" w:rsidRPr="007511E6">
        <w:t>biocomposite</w:t>
      </w:r>
      <w:proofErr w:type="spellEnd"/>
      <w:r w:rsidR="00BB6A26" w:rsidRPr="007511E6">
        <w:t xml:space="preserve"> composed of olive pomace and a thermoplastic matrix. Data for the compounding process come from a pilot-scale experiment to produce lath for terraces.</w:t>
      </w:r>
    </w:p>
    <w:p w14:paraId="351D8C24" w14:textId="2D1C0269" w:rsidR="00391970" w:rsidRPr="007511E6" w:rsidRDefault="00BB6A26" w:rsidP="007511E6">
      <w:pPr>
        <w:pStyle w:val="CETBodytext"/>
        <w:rPr>
          <w:rFonts w:eastAsiaTheme="minorHAnsi"/>
        </w:rPr>
      </w:pPr>
      <w:r w:rsidRPr="007511E6">
        <w:rPr>
          <w:rFonts w:eastAsiaTheme="minorHAnsi"/>
        </w:rPr>
        <w:t>W</w:t>
      </w:r>
      <w:r w:rsidR="00391970" w:rsidRPr="007511E6">
        <w:rPr>
          <w:rFonts w:eastAsiaTheme="minorHAnsi"/>
        </w:rPr>
        <w:t>hen moving to a circular system in which waste is recovered for valorisation, a new product is created that can replace another product with the same function. In this case, it is possible to avoid the production of three types of decking (cellular PVC, virgin WPC, and recycled WPC). The results showed that it is interesting from an environmental point of view to move to a circular production approach when the objective is to replace the production of cellular PVC.</w:t>
      </w:r>
      <w:r w:rsidR="00DB77C2">
        <w:rPr>
          <w:rFonts w:eastAsiaTheme="minorHAnsi"/>
        </w:rPr>
        <w:t xml:space="preserve"> </w:t>
      </w:r>
      <w:r w:rsidR="00DB77C2" w:rsidRPr="00CC6391">
        <w:t xml:space="preserve">It would be </w:t>
      </w:r>
      <w:r w:rsidR="00DB77C2" w:rsidRPr="00DB77C2">
        <w:t>worth studying</w:t>
      </w:r>
      <w:r w:rsidR="00DB77C2">
        <w:t xml:space="preserve"> </w:t>
      </w:r>
      <w:r w:rsidR="00DB77C2" w:rsidRPr="00CC6391">
        <w:t>all</w:t>
      </w:r>
      <w:r w:rsidR="00DB77C2">
        <w:t xml:space="preserve"> the possible options of valoris</w:t>
      </w:r>
      <w:r w:rsidR="00DB77C2" w:rsidRPr="00CC6391">
        <w:t>ation of all the vegetal residues produced throughout the olive oil life cycle (permanent and non-permanent parts of the tree).</w:t>
      </w:r>
    </w:p>
    <w:p w14:paraId="4F1327F8" w14:textId="02933D9B" w:rsidR="00600535" w:rsidRPr="00410A4F" w:rsidRDefault="00600535" w:rsidP="00E6447B">
      <w:pPr>
        <w:pStyle w:val="CETReference"/>
        <w:tabs>
          <w:tab w:val="left" w:pos="0"/>
        </w:tabs>
        <w:rPr>
          <w:color w:val="000000" w:themeColor="text1"/>
          <w:lang w:val="es-ES"/>
        </w:rPr>
      </w:pPr>
      <w:proofErr w:type="spellStart"/>
      <w:r w:rsidRPr="00410A4F">
        <w:rPr>
          <w:color w:val="000000" w:themeColor="text1"/>
          <w:lang w:val="es-ES"/>
        </w:rPr>
        <w:lastRenderedPageBreak/>
        <w:t>References</w:t>
      </w:r>
      <w:proofErr w:type="spellEnd"/>
    </w:p>
    <w:p w14:paraId="1F0396E3" w14:textId="605E7C8F" w:rsidR="009426B6" w:rsidRPr="00254368" w:rsidRDefault="009426B6" w:rsidP="006B058A">
      <w:pPr>
        <w:pStyle w:val="CETReferencetext"/>
        <w:spacing w:line="240" w:lineRule="auto"/>
        <w:rPr>
          <w:rStyle w:val="Lienhypertexte"/>
          <w:color w:val="auto"/>
          <w:sz w:val="17"/>
          <w:szCs w:val="17"/>
          <w:u w:val="none"/>
        </w:rPr>
      </w:pPr>
      <w:r w:rsidRPr="00254368">
        <w:rPr>
          <w:sz w:val="17"/>
          <w:szCs w:val="17"/>
          <w:lang w:val="es-ES"/>
        </w:rPr>
        <w:t xml:space="preserve">Belaud, J.-P., Adoue, C., Vialle, C., Chorro, A., Sablayrolles, C., 2019. </w:t>
      </w:r>
      <w:r w:rsidRPr="00254368">
        <w:rPr>
          <w:sz w:val="17"/>
          <w:szCs w:val="17"/>
        </w:rPr>
        <w:t xml:space="preserve">A circular economy and industrial ecology toolbox for developing an eco-industrial park: perspectives from French policy. Clean Technol. Environ. Policy 21, 967–985. </w:t>
      </w:r>
      <w:r w:rsidR="002337A8" w:rsidRPr="00254368">
        <w:rPr>
          <w:sz w:val="17"/>
          <w:szCs w:val="17"/>
        </w:rPr>
        <w:t>doi.org/10.1007/s10098-019-01677-1</w:t>
      </w:r>
    </w:p>
    <w:p w14:paraId="78096323" w14:textId="77777777" w:rsidR="004F4947" w:rsidRPr="00254368" w:rsidRDefault="004F4947" w:rsidP="006B058A">
      <w:pPr>
        <w:pStyle w:val="CETReferencetext"/>
        <w:spacing w:line="240" w:lineRule="auto"/>
        <w:rPr>
          <w:sz w:val="17"/>
          <w:szCs w:val="17"/>
        </w:rPr>
      </w:pPr>
      <w:proofErr w:type="gramStart"/>
      <w:r w:rsidRPr="00254368">
        <w:rPr>
          <w:sz w:val="17"/>
          <w:szCs w:val="17"/>
        </w:rPr>
        <w:t xml:space="preserve">Bergman, R., Suo-Han, H., </w:t>
      </w:r>
      <w:proofErr w:type="spellStart"/>
      <w:r w:rsidRPr="00254368">
        <w:rPr>
          <w:sz w:val="17"/>
          <w:szCs w:val="17"/>
        </w:rPr>
        <w:t>Oneil</w:t>
      </w:r>
      <w:proofErr w:type="spellEnd"/>
      <w:r w:rsidRPr="00254368">
        <w:rPr>
          <w:sz w:val="17"/>
          <w:szCs w:val="17"/>
        </w:rPr>
        <w:t>, E., Eastin, I., 2013.</w:t>
      </w:r>
      <w:proofErr w:type="gramEnd"/>
      <w:r w:rsidRPr="00254368">
        <w:rPr>
          <w:sz w:val="17"/>
          <w:szCs w:val="17"/>
        </w:rPr>
        <w:t xml:space="preserve"> </w:t>
      </w:r>
      <w:proofErr w:type="gramStart"/>
      <w:r w:rsidRPr="00254368">
        <w:rPr>
          <w:sz w:val="17"/>
          <w:szCs w:val="17"/>
        </w:rPr>
        <w:t>Life-cycle assessment of redwood decking in the United States with a comparison to three other decking materials.</w:t>
      </w:r>
      <w:proofErr w:type="gramEnd"/>
      <w:r w:rsidRPr="00254368">
        <w:rPr>
          <w:sz w:val="17"/>
          <w:szCs w:val="17"/>
        </w:rPr>
        <w:t xml:space="preserve"> Consort. Res. Renew. </w:t>
      </w:r>
      <w:proofErr w:type="gramStart"/>
      <w:r w:rsidRPr="00254368">
        <w:rPr>
          <w:sz w:val="17"/>
          <w:szCs w:val="17"/>
        </w:rPr>
        <w:t>Ind. Mater.</w:t>
      </w:r>
      <w:proofErr w:type="gramEnd"/>
      <w:r w:rsidRPr="00254368">
        <w:rPr>
          <w:sz w:val="17"/>
          <w:szCs w:val="17"/>
        </w:rPr>
        <w:t xml:space="preserve"> 101.</w:t>
      </w:r>
    </w:p>
    <w:p w14:paraId="480728E9" w14:textId="77777777" w:rsidR="004F4947" w:rsidRPr="00254368" w:rsidRDefault="004F4947" w:rsidP="006B058A">
      <w:pPr>
        <w:pStyle w:val="CETReferencetext"/>
        <w:spacing w:line="240" w:lineRule="auto"/>
        <w:rPr>
          <w:sz w:val="17"/>
          <w:szCs w:val="17"/>
        </w:rPr>
      </w:pPr>
      <w:r w:rsidRPr="00254368">
        <w:rPr>
          <w:sz w:val="17"/>
          <w:szCs w:val="17"/>
          <w:lang w:val="fr-FR"/>
        </w:rPr>
        <w:t xml:space="preserve">Cossu, A., Degl’Innocenti, S., Agnolucci, M., Cristani, C., Bedini, S., Nuti, M., 2013. </w:t>
      </w:r>
      <w:proofErr w:type="gramStart"/>
      <w:r w:rsidRPr="00254368">
        <w:rPr>
          <w:sz w:val="17"/>
          <w:szCs w:val="17"/>
        </w:rPr>
        <w:t xml:space="preserve">Assessment of the Life Cycle Environmental Impact of the Olive </w:t>
      </w:r>
      <w:proofErr w:type="spellStart"/>
      <w:r w:rsidRPr="00254368">
        <w:rPr>
          <w:sz w:val="17"/>
          <w:szCs w:val="17"/>
        </w:rPr>
        <w:t>OilExtraction</w:t>
      </w:r>
      <w:proofErr w:type="spellEnd"/>
      <w:r w:rsidRPr="00254368">
        <w:rPr>
          <w:sz w:val="17"/>
          <w:szCs w:val="17"/>
        </w:rPr>
        <w:t xml:space="preserve"> Solid Wastes in the European Union.</w:t>
      </w:r>
      <w:proofErr w:type="gramEnd"/>
      <w:r w:rsidRPr="00254368">
        <w:rPr>
          <w:sz w:val="17"/>
          <w:szCs w:val="17"/>
        </w:rPr>
        <w:t xml:space="preserve"> Open Waste </w:t>
      </w:r>
      <w:proofErr w:type="spellStart"/>
      <w:r w:rsidRPr="00254368">
        <w:rPr>
          <w:sz w:val="17"/>
          <w:szCs w:val="17"/>
        </w:rPr>
        <w:t>Manag</w:t>
      </w:r>
      <w:proofErr w:type="spellEnd"/>
      <w:r w:rsidRPr="00254368">
        <w:rPr>
          <w:sz w:val="17"/>
          <w:szCs w:val="17"/>
        </w:rPr>
        <w:t>. J. 6, 12–20. doi.org/10.2174/1876400220131014001</w:t>
      </w:r>
    </w:p>
    <w:p w14:paraId="253E2777" w14:textId="77777777" w:rsidR="004F4947" w:rsidRPr="00254368" w:rsidRDefault="004F4947" w:rsidP="006B058A">
      <w:pPr>
        <w:pStyle w:val="CETReferencetext"/>
        <w:spacing w:line="240" w:lineRule="auto"/>
        <w:rPr>
          <w:sz w:val="17"/>
          <w:szCs w:val="17"/>
          <w:lang w:val="es-ES"/>
        </w:rPr>
      </w:pPr>
      <w:r w:rsidRPr="00254368">
        <w:rPr>
          <w:sz w:val="17"/>
          <w:szCs w:val="17"/>
          <w:lang w:val="fr-FR"/>
        </w:rPr>
        <w:t xml:space="preserve">Dermeche, S., Nadour, M., Larroche, C., Moulti-Mati, F., Michaud, P., 2013. </w:t>
      </w:r>
      <w:r w:rsidRPr="00254368">
        <w:rPr>
          <w:sz w:val="17"/>
          <w:szCs w:val="17"/>
        </w:rPr>
        <w:t xml:space="preserve">Olive mill wastes: Biochemical characterizations and </w:t>
      </w:r>
      <w:proofErr w:type="spellStart"/>
      <w:r w:rsidRPr="00254368">
        <w:rPr>
          <w:sz w:val="17"/>
          <w:szCs w:val="17"/>
        </w:rPr>
        <w:t>valorization</w:t>
      </w:r>
      <w:proofErr w:type="spellEnd"/>
      <w:r w:rsidRPr="00254368">
        <w:rPr>
          <w:sz w:val="17"/>
          <w:szCs w:val="17"/>
        </w:rPr>
        <w:t xml:space="preserve"> strategies. </w:t>
      </w:r>
      <w:proofErr w:type="gramStart"/>
      <w:r w:rsidRPr="00254368">
        <w:rPr>
          <w:sz w:val="17"/>
          <w:szCs w:val="17"/>
        </w:rPr>
        <w:t xml:space="preserve">Process </w:t>
      </w:r>
      <w:proofErr w:type="spellStart"/>
      <w:r w:rsidRPr="00254368">
        <w:rPr>
          <w:sz w:val="17"/>
          <w:szCs w:val="17"/>
        </w:rPr>
        <w:t>Biochem</w:t>
      </w:r>
      <w:proofErr w:type="spellEnd"/>
      <w:r w:rsidRPr="00254368">
        <w:rPr>
          <w:sz w:val="17"/>
          <w:szCs w:val="17"/>
        </w:rPr>
        <w:t>.</w:t>
      </w:r>
      <w:proofErr w:type="gramEnd"/>
      <w:r w:rsidRPr="00254368">
        <w:rPr>
          <w:sz w:val="17"/>
          <w:szCs w:val="17"/>
        </w:rPr>
        <w:t xml:space="preserve"> </w:t>
      </w:r>
      <w:r w:rsidRPr="00254368">
        <w:rPr>
          <w:sz w:val="17"/>
          <w:szCs w:val="17"/>
          <w:lang w:val="es-ES"/>
        </w:rPr>
        <w:t>48, 1532–1552. doi.org/10.1016/j.procbio.2013.07.010</w:t>
      </w:r>
    </w:p>
    <w:p w14:paraId="0E54CD2C" w14:textId="77777777" w:rsidR="004F4947" w:rsidRPr="00254368" w:rsidRDefault="004F4947" w:rsidP="006B058A">
      <w:pPr>
        <w:pStyle w:val="CETReferencetext"/>
        <w:spacing w:line="240" w:lineRule="auto"/>
        <w:rPr>
          <w:sz w:val="17"/>
          <w:szCs w:val="17"/>
        </w:rPr>
      </w:pPr>
      <w:r w:rsidRPr="00254368">
        <w:rPr>
          <w:sz w:val="17"/>
          <w:szCs w:val="17"/>
          <w:lang w:val="es-ES"/>
        </w:rPr>
        <w:t xml:space="preserve">El Hanandeh, A., Gharaibeh, M.A., 2016. </w:t>
      </w:r>
      <w:r w:rsidRPr="00254368">
        <w:rPr>
          <w:sz w:val="17"/>
          <w:szCs w:val="17"/>
        </w:rPr>
        <w:t>Environmental efficiency of olive oil production by small and micro-scale farmers in northern Jordan: Life cycle assessment. Agric. Syst. 148, 169–177. doi.org/10.1016/j.agsy.2016.08.003</w:t>
      </w:r>
    </w:p>
    <w:p w14:paraId="2B1C1F4B" w14:textId="77777777" w:rsidR="004F4947" w:rsidRPr="00254368" w:rsidRDefault="004F4947" w:rsidP="006B058A">
      <w:pPr>
        <w:pStyle w:val="CETReferencetext"/>
        <w:spacing w:line="240" w:lineRule="auto"/>
        <w:rPr>
          <w:sz w:val="17"/>
          <w:szCs w:val="17"/>
        </w:rPr>
      </w:pPr>
      <w:proofErr w:type="gramStart"/>
      <w:r w:rsidRPr="00254368">
        <w:rPr>
          <w:sz w:val="17"/>
          <w:szCs w:val="17"/>
        </w:rPr>
        <w:t>EMF, 2021.</w:t>
      </w:r>
      <w:proofErr w:type="gramEnd"/>
      <w:r w:rsidRPr="00254368">
        <w:rPr>
          <w:sz w:val="17"/>
          <w:szCs w:val="17"/>
        </w:rPr>
        <w:t xml:space="preserve"> </w:t>
      </w:r>
      <w:proofErr w:type="gramStart"/>
      <w:r w:rsidRPr="00254368">
        <w:rPr>
          <w:sz w:val="17"/>
          <w:szCs w:val="17"/>
        </w:rPr>
        <w:t>Circular economy introduction [WWW Document].</w:t>
      </w:r>
      <w:proofErr w:type="gramEnd"/>
      <w:r w:rsidRPr="00254368">
        <w:rPr>
          <w:sz w:val="17"/>
          <w:szCs w:val="17"/>
        </w:rPr>
        <w:t xml:space="preserve"> URL ellenmacarthurfoundation.org/topics/circular-economy-introduction/overview (accessed 2.24.22).</w:t>
      </w:r>
    </w:p>
    <w:p w14:paraId="230C53A0" w14:textId="77777777" w:rsidR="004F4947" w:rsidRPr="00254368" w:rsidRDefault="004F4947" w:rsidP="006B058A">
      <w:pPr>
        <w:pStyle w:val="CETReferencetext"/>
        <w:spacing w:line="240" w:lineRule="auto"/>
        <w:rPr>
          <w:sz w:val="17"/>
          <w:szCs w:val="17"/>
        </w:rPr>
      </w:pPr>
      <w:r w:rsidRPr="00254368">
        <w:rPr>
          <w:sz w:val="17"/>
          <w:szCs w:val="17"/>
          <w:lang w:val="es-ES"/>
        </w:rPr>
        <w:t xml:space="preserve">Espadas-Aldana, G., </w:t>
      </w:r>
      <w:proofErr w:type="spellStart"/>
      <w:r w:rsidRPr="00254368">
        <w:rPr>
          <w:sz w:val="17"/>
          <w:szCs w:val="17"/>
          <w:lang w:val="es-ES"/>
        </w:rPr>
        <w:t>Guaygua-Amaguaña</w:t>
      </w:r>
      <w:proofErr w:type="spellEnd"/>
      <w:r w:rsidRPr="00254368">
        <w:rPr>
          <w:sz w:val="17"/>
          <w:szCs w:val="17"/>
          <w:lang w:val="es-ES"/>
        </w:rPr>
        <w:t xml:space="preserve">, P., Vialle, C., Belaud, J.-P., </w:t>
      </w:r>
      <w:proofErr w:type="spellStart"/>
      <w:r w:rsidRPr="00254368">
        <w:rPr>
          <w:sz w:val="17"/>
          <w:szCs w:val="17"/>
          <w:lang w:val="es-ES"/>
        </w:rPr>
        <w:t>Evon</w:t>
      </w:r>
      <w:proofErr w:type="spellEnd"/>
      <w:r w:rsidRPr="00254368">
        <w:rPr>
          <w:sz w:val="17"/>
          <w:szCs w:val="17"/>
          <w:lang w:val="es-ES"/>
        </w:rPr>
        <w:t xml:space="preserve">, P., Sablayrolles, C., 2021. </w:t>
      </w:r>
      <w:r w:rsidRPr="00254368">
        <w:rPr>
          <w:sz w:val="17"/>
          <w:szCs w:val="17"/>
        </w:rPr>
        <w:t xml:space="preserve">Life Cycle Assessment of Olive Pomace as </w:t>
      </w:r>
      <w:proofErr w:type="gramStart"/>
      <w:r w:rsidRPr="00254368">
        <w:rPr>
          <w:sz w:val="17"/>
          <w:szCs w:val="17"/>
        </w:rPr>
        <w:t>a Reinforcement</w:t>
      </w:r>
      <w:proofErr w:type="gramEnd"/>
      <w:r w:rsidRPr="00254368">
        <w:rPr>
          <w:sz w:val="17"/>
          <w:szCs w:val="17"/>
        </w:rPr>
        <w:t xml:space="preserve"> in Polypropylene and Polyethylene </w:t>
      </w:r>
      <w:proofErr w:type="spellStart"/>
      <w:r w:rsidRPr="00254368">
        <w:rPr>
          <w:sz w:val="17"/>
          <w:szCs w:val="17"/>
        </w:rPr>
        <w:t>Biocomposite</w:t>
      </w:r>
      <w:proofErr w:type="spellEnd"/>
      <w:r w:rsidRPr="00254368">
        <w:rPr>
          <w:sz w:val="17"/>
          <w:szCs w:val="17"/>
        </w:rPr>
        <w:t xml:space="preserve"> Materials: A New Perspective for the </w:t>
      </w:r>
      <w:proofErr w:type="spellStart"/>
      <w:r w:rsidRPr="00254368">
        <w:rPr>
          <w:sz w:val="17"/>
          <w:szCs w:val="17"/>
        </w:rPr>
        <w:t>Valorization</w:t>
      </w:r>
      <w:proofErr w:type="spellEnd"/>
      <w:r w:rsidRPr="00254368">
        <w:rPr>
          <w:sz w:val="17"/>
          <w:szCs w:val="17"/>
        </w:rPr>
        <w:t xml:space="preserve"> of This Agricultural By-Product. </w:t>
      </w:r>
      <w:proofErr w:type="gramStart"/>
      <w:r w:rsidRPr="00254368">
        <w:rPr>
          <w:sz w:val="17"/>
          <w:szCs w:val="17"/>
        </w:rPr>
        <w:t>Coatings 11, 525.</w:t>
      </w:r>
      <w:proofErr w:type="gramEnd"/>
      <w:r w:rsidRPr="00254368">
        <w:rPr>
          <w:sz w:val="17"/>
          <w:szCs w:val="17"/>
        </w:rPr>
        <w:t xml:space="preserve"> doi.org/10.3390/coatings11050525</w:t>
      </w:r>
    </w:p>
    <w:p w14:paraId="2AF0E397" w14:textId="77777777" w:rsidR="004F4947" w:rsidRPr="00254368" w:rsidRDefault="004F4947" w:rsidP="006B058A">
      <w:pPr>
        <w:pStyle w:val="CETReferencetext"/>
        <w:spacing w:line="240" w:lineRule="auto"/>
        <w:rPr>
          <w:sz w:val="17"/>
          <w:szCs w:val="17"/>
        </w:rPr>
      </w:pPr>
      <w:proofErr w:type="gramStart"/>
      <w:r w:rsidRPr="00254368">
        <w:rPr>
          <w:sz w:val="17"/>
          <w:szCs w:val="17"/>
        </w:rPr>
        <w:t>Espadas-Aldana, G., Vialle, C., Belaud, J.-P., Vaca-Garcia, C., Sablayrolles, C., 2019.</w:t>
      </w:r>
      <w:proofErr w:type="gramEnd"/>
      <w:r w:rsidRPr="00254368">
        <w:rPr>
          <w:sz w:val="17"/>
          <w:szCs w:val="17"/>
        </w:rPr>
        <w:t xml:space="preserve"> Analysis and trends for Life Cycle Assessment of olive oil production. </w:t>
      </w:r>
      <w:proofErr w:type="gramStart"/>
      <w:r w:rsidRPr="00254368">
        <w:rPr>
          <w:sz w:val="17"/>
          <w:szCs w:val="17"/>
        </w:rPr>
        <w:t>Sustainable Production and Consumption.</w:t>
      </w:r>
      <w:proofErr w:type="gramEnd"/>
      <w:r w:rsidRPr="00254368">
        <w:rPr>
          <w:sz w:val="17"/>
          <w:szCs w:val="17"/>
        </w:rPr>
        <w:t xml:space="preserve"> 19, 216–230. doi.org/10.1016/j.spc.2019.04.003</w:t>
      </w:r>
    </w:p>
    <w:p w14:paraId="5B51C8DC" w14:textId="77777777" w:rsidR="004F4947" w:rsidRPr="00254368" w:rsidRDefault="004F4947" w:rsidP="006B058A">
      <w:pPr>
        <w:pStyle w:val="CETReferencetext"/>
        <w:spacing w:line="240" w:lineRule="auto"/>
        <w:rPr>
          <w:sz w:val="17"/>
          <w:szCs w:val="17"/>
        </w:rPr>
      </w:pPr>
      <w:r w:rsidRPr="00254368">
        <w:rPr>
          <w:sz w:val="17"/>
          <w:szCs w:val="17"/>
          <w:lang w:val="es-ES"/>
        </w:rPr>
        <w:t xml:space="preserve">Espi, J.J., Clarens, F., Busset, G., Sablayrolles, C., Montrejaud-Vignoles, M., Carvalho, J., Fonseca, B., Delgado, F., Chacon, L., Capiscol, C., Trillo, R., 2013. </w:t>
      </w:r>
      <w:r w:rsidRPr="00254368">
        <w:rPr>
          <w:sz w:val="17"/>
          <w:szCs w:val="17"/>
        </w:rPr>
        <w:t xml:space="preserve">Enhancing the competitiveness and reducing the carbon footprint of the olive oil sector through waste management optimisation: OILCA (with critical revision) [in </w:t>
      </w:r>
      <w:proofErr w:type="spellStart"/>
      <w:proofErr w:type="gramStart"/>
      <w:r w:rsidRPr="00254368">
        <w:rPr>
          <w:sz w:val="17"/>
          <w:szCs w:val="17"/>
        </w:rPr>
        <w:t>spanish</w:t>
      </w:r>
      <w:proofErr w:type="spellEnd"/>
      <w:proofErr w:type="gramEnd"/>
      <w:r w:rsidRPr="00254368">
        <w:rPr>
          <w:sz w:val="17"/>
          <w:szCs w:val="17"/>
        </w:rPr>
        <w:t>].</w:t>
      </w:r>
    </w:p>
    <w:p w14:paraId="4CBFF016" w14:textId="0084B449" w:rsidR="00BB6A26" w:rsidRPr="00254368" w:rsidRDefault="00BB6A26" w:rsidP="006B058A">
      <w:pPr>
        <w:pStyle w:val="CETReferencetext"/>
        <w:spacing w:line="240" w:lineRule="auto"/>
        <w:rPr>
          <w:sz w:val="17"/>
          <w:szCs w:val="17"/>
        </w:rPr>
      </w:pPr>
      <w:proofErr w:type="gramStart"/>
      <w:r w:rsidRPr="00254368">
        <w:rPr>
          <w:sz w:val="17"/>
          <w:szCs w:val="17"/>
        </w:rPr>
        <w:t>European Commission, 2020a.</w:t>
      </w:r>
      <w:proofErr w:type="gramEnd"/>
      <w:r w:rsidRPr="00254368">
        <w:rPr>
          <w:sz w:val="17"/>
          <w:szCs w:val="17"/>
        </w:rPr>
        <w:t xml:space="preserve"> </w:t>
      </w:r>
      <w:proofErr w:type="gramStart"/>
      <w:r w:rsidRPr="00254368">
        <w:rPr>
          <w:sz w:val="17"/>
          <w:szCs w:val="17"/>
        </w:rPr>
        <w:t>Monthly EU Olive Oil production (2019-2020) [WWW Document].</w:t>
      </w:r>
      <w:proofErr w:type="gramEnd"/>
      <w:r w:rsidRPr="00254368">
        <w:rPr>
          <w:sz w:val="17"/>
          <w:szCs w:val="17"/>
        </w:rPr>
        <w:t xml:space="preserve"> </w:t>
      </w:r>
      <w:proofErr w:type="gramStart"/>
      <w:r w:rsidRPr="00254368">
        <w:rPr>
          <w:sz w:val="17"/>
          <w:szCs w:val="17"/>
        </w:rPr>
        <w:t>Eur. Comm. - Eur. Comm. URL ec.europa.eu/info/food-farming-fisheries/farming/facts-and-figures/markets/prices/price-monitoring-sector/plant-products/olive-oil_en (accessed 6.3.20).</w:t>
      </w:r>
      <w:proofErr w:type="gramEnd"/>
    </w:p>
    <w:p w14:paraId="5C6E767C" w14:textId="77777777" w:rsidR="004F4947" w:rsidRPr="00254368" w:rsidRDefault="004F4947" w:rsidP="006B058A">
      <w:pPr>
        <w:pStyle w:val="CETReferencetext"/>
        <w:spacing w:line="240" w:lineRule="auto"/>
        <w:rPr>
          <w:sz w:val="17"/>
          <w:szCs w:val="17"/>
        </w:rPr>
      </w:pPr>
      <w:r w:rsidRPr="00254368">
        <w:rPr>
          <w:sz w:val="17"/>
          <w:szCs w:val="17"/>
          <w:lang w:val="es-ES"/>
        </w:rPr>
        <w:t xml:space="preserve">Fernández-Lobato, L., López-Sánchez, Y., </w:t>
      </w:r>
      <w:proofErr w:type="spellStart"/>
      <w:r w:rsidRPr="00254368">
        <w:rPr>
          <w:sz w:val="17"/>
          <w:szCs w:val="17"/>
          <w:lang w:val="es-ES"/>
        </w:rPr>
        <w:t>Blejman</w:t>
      </w:r>
      <w:proofErr w:type="spellEnd"/>
      <w:r w:rsidRPr="00254368">
        <w:rPr>
          <w:sz w:val="17"/>
          <w:szCs w:val="17"/>
          <w:lang w:val="es-ES"/>
        </w:rPr>
        <w:t xml:space="preserve">, G., Jurado, F., Moyano-Fuentes, J., Vera, D., 2021. </w:t>
      </w:r>
      <w:r w:rsidRPr="00254368">
        <w:rPr>
          <w:sz w:val="17"/>
          <w:szCs w:val="17"/>
        </w:rPr>
        <w:t xml:space="preserve">Life cycle assessment of the Spanish virgin olive oil production: A case study for Andalusian region. J. Clean. Prod. </w:t>
      </w:r>
      <w:proofErr w:type="gramStart"/>
      <w:r w:rsidRPr="00254368">
        <w:rPr>
          <w:sz w:val="17"/>
          <w:szCs w:val="17"/>
        </w:rPr>
        <w:t>290, 125677.</w:t>
      </w:r>
      <w:proofErr w:type="gramEnd"/>
      <w:r w:rsidRPr="00254368">
        <w:rPr>
          <w:sz w:val="17"/>
          <w:szCs w:val="17"/>
        </w:rPr>
        <w:t xml:space="preserve"> doi.org/10.1016/j.jclepro.2020.125677</w:t>
      </w:r>
    </w:p>
    <w:p w14:paraId="6B35571F" w14:textId="651531C8" w:rsidR="009F21E3" w:rsidRPr="00254368" w:rsidRDefault="009F21E3" w:rsidP="006B058A">
      <w:pPr>
        <w:pStyle w:val="CETReferencetext"/>
        <w:spacing w:line="240" w:lineRule="auto"/>
        <w:rPr>
          <w:sz w:val="17"/>
          <w:szCs w:val="17"/>
        </w:rPr>
      </w:pPr>
      <w:proofErr w:type="gramStart"/>
      <w:r w:rsidRPr="00254368">
        <w:rPr>
          <w:sz w:val="17"/>
          <w:szCs w:val="17"/>
        </w:rPr>
        <w:t>Harris, S., Martin, M., Diener, D., 2021.</w:t>
      </w:r>
      <w:proofErr w:type="gramEnd"/>
      <w:r w:rsidRPr="00254368">
        <w:rPr>
          <w:sz w:val="17"/>
          <w:szCs w:val="17"/>
        </w:rPr>
        <w:t xml:space="preserve"> </w:t>
      </w:r>
      <w:proofErr w:type="gramStart"/>
      <w:r w:rsidRPr="00254368">
        <w:rPr>
          <w:sz w:val="17"/>
          <w:szCs w:val="17"/>
        </w:rPr>
        <w:t>Circularity for circularity’s sake?</w:t>
      </w:r>
      <w:proofErr w:type="gramEnd"/>
      <w:r w:rsidRPr="00254368">
        <w:rPr>
          <w:sz w:val="17"/>
          <w:szCs w:val="17"/>
        </w:rPr>
        <w:t xml:space="preserve"> </w:t>
      </w:r>
      <w:proofErr w:type="gramStart"/>
      <w:r w:rsidRPr="00254368">
        <w:rPr>
          <w:sz w:val="17"/>
          <w:szCs w:val="17"/>
        </w:rPr>
        <w:t>Scoping review of assessment methods for environmental performance in the circular economy.</w:t>
      </w:r>
      <w:proofErr w:type="gramEnd"/>
      <w:r w:rsidRPr="00254368">
        <w:rPr>
          <w:sz w:val="17"/>
          <w:szCs w:val="17"/>
        </w:rPr>
        <w:t xml:space="preserve"> Sustain. Prod. </w:t>
      </w:r>
      <w:proofErr w:type="spellStart"/>
      <w:proofErr w:type="gramStart"/>
      <w:r w:rsidRPr="00254368">
        <w:rPr>
          <w:sz w:val="17"/>
          <w:szCs w:val="17"/>
        </w:rPr>
        <w:t>Consum</w:t>
      </w:r>
      <w:proofErr w:type="spellEnd"/>
      <w:r w:rsidRPr="00254368">
        <w:rPr>
          <w:sz w:val="17"/>
          <w:szCs w:val="17"/>
        </w:rPr>
        <w:t>.</w:t>
      </w:r>
      <w:proofErr w:type="gramEnd"/>
      <w:r w:rsidRPr="00254368">
        <w:rPr>
          <w:sz w:val="17"/>
          <w:szCs w:val="17"/>
        </w:rPr>
        <w:t xml:space="preserve"> 26, 172–186. doi.org/10.1016/j.spc.2020.09.018</w:t>
      </w:r>
    </w:p>
    <w:p w14:paraId="3F8DCA8A" w14:textId="77777777" w:rsidR="001B328D" w:rsidRPr="00254368" w:rsidRDefault="001B328D" w:rsidP="006B058A">
      <w:pPr>
        <w:pStyle w:val="CETReferencetext"/>
        <w:spacing w:line="240" w:lineRule="auto"/>
        <w:rPr>
          <w:rFonts w:eastAsiaTheme="minorHAnsi"/>
          <w:sz w:val="17"/>
          <w:szCs w:val="17"/>
        </w:rPr>
      </w:pPr>
      <w:proofErr w:type="gramStart"/>
      <w:r w:rsidRPr="00254368">
        <w:rPr>
          <w:rFonts w:eastAsiaTheme="minorHAnsi"/>
          <w:sz w:val="17"/>
          <w:szCs w:val="17"/>
        </w:rPr>
        <w:t>IPCC, 2006.</w:t>
      </w:r>
      <w:proofErr w:type="gramEnd"/>
      <w:r w:rsidRPr="00254368">
        <w:rPr>
          <w:rFonts w:eastAsiaTheme="minorHAnsi"/>
          <w:sz w:val="17"/>
          <w:szCs w:val="17"/>
        </w:rPr>
        <w:t xml:space="preserve"> 2006 IPCC Guidelines for National Greenhouse Gas Inventories, Prepared by National Greenhouse Gas Inventories Programme, Eggleston H.S., </w:t>
      </w:r>
      <w:proofErr w:type="spellStart"/>
      <w:r w:rsidRPr="00254368">
        <w:rPr>
          <w:rFonts w:eastAsiaTheme="minorHAnsi"/>
          <w:sz w:val="17"/>
          <w:szCs w:val="17"/>
        </w:rPr>
        <w:t>Buendia</w:t>
      </w:r>
      <w:proofErr w:type="spellEnd"/>
      <w:r w:rsidRPr="00254368">
        <w:rPr>
          <w:rFonts w:eastAsiaTheme="minorHAnsi"/>
          <w:sz w:val="17"/>
          <w:szCs w:val="17"/>
        </w:rPr>
        <w:t xml:space="preserve"> L., Miwa K., </w:t>
      </w:r>
      <w:proofErr w:type="spellStart"/>
      <w:r w:rsidRPr="00254368">
        <w:rPr>
          <w:rFonts w:eastAsiaTheme="minorHAnsi"/>
          <w:sz w:val="17"/>
          <w:szCs w:val="17"/>
        </w:rPr>
        <w:t>Ngara</w:t>
      </w:r>
      <w:proofErr w:type="spellEnd"/>
      <w:r w:rsidRPr="00254368">
        <w:rPr>
          <w:rFonts w:eastAsiaTheme="minorHAnsi"/>
          <w:sz w:val="17"/>
          <w:szCs w:val="17"/>
        </w:rPr>
        <w:t xml:space="preserve"> T., </w:t>
      </w:r>
      <w:proofErr w:type="spellStart"/>
      <w:proofErr w:type="gramStart"/>
      <w:r w:rsidRPr="00254368">
        <w:rPr>
          <w:rFonts w:eastAsiaTheme="minorHAnsi"/>
          <w:sz w:val="17"/>
          <w:szCs w:val="17"/>
        </w:rPr>
        <w:t>Tabane</w:t>
      </w:r>
      <w:proofErr w:type="spellEnd"/>
      <w:proofErr w:type="gramEnd"/>
      <w:r w:rsidRPr="00254368">
        <w:rPr>
          <w:rFonts w:eastAsiaTheme="minorHAnsi"/>
          <w:sz w:val="17"/>
          <w:szCs w:val="17"/>
        </w:rPr>
        <w:t xml:space="preserve"> K. ed. IGES, Japan. </w:t>
      </w:r>
    </w:p>
    <w:p w14:paraId="60500679" w14:textId="77777777" w:rsidR="004F4947" w:rsidRPr="00254368" w:rsidRDefault="004F4947" w:rsidP="006B058A">
      <w:pPr>
        <w:pStyle w:val="CETReferencetext"/>
        <w:spacing w:line="240" w:lineRule="auto"/>
        <w:rPr>
          <w:rFonts w:eastAsiaTheme="minorHAnsi"/>
          <w:sz w:val="17"/>
          <w:szCs w:val="17"/>
        </w:rPr>
      </w:pPr>
      <w:r w:rsidRPr="00254368">
        <w:rPr>
          <w:rFonts w:eastAsiaTheme="minorHAnsi"/>
          <w:sz w:val="17"/>
          <w:szCs w:val="17"/>
        </w:rPr>
        <w:t xml:space="preserve">ISO 14040-44: Environmental Management: Life Cycle Assessment, Principles and framework Assessment, Requirements and Guidelines. </w:t>
      </w:r>
      <w:proofErr w:type="gramStart"/>
      <w:r w:rsidRPr="00254368">
        <w:rPr>
          <w:rFonts w:eastAsiaTheme="minorHAnsi"/>
          <w:sz w:val="17"/>
          <w:szCs w:val="17"/>
        </w:rPr>
        <w:t>International Organization for Standardization (ISO).</w:t>
      </w:r>
      <w:proofErr w:type="gramEnd"/>
      <w:r w:rsidRPr="00254368">
        <w:rPr>
          <w:rFonts w:eastAsiaTheme="minorHAnsi"/>
          <w:sz w:val="17"/>
          <w:szCs w:val="17"/>
        </w:rPr>
        <w:t xml:space="preserve"> Geneve, </w:t>
      </w:r>
      <w:proofErr w:type="gramStart"/>
      <w:r w:rsidRPr="00254368">
        <w:rPr>
          <w:rFonts w:eastAsiaTheme="minorHAnsi"/>
          <w:sz w:val="17"/>
          <w:szCs w:val="17"/>
        </w:rPr>
        <w:t>Switzerland.,</w:t>
      </w:r>
      <w:proofErr w:type="gramEnd"/>
      <w:r w:rsidRPr="00254368">
        <w:rPr>
          <w:rFonts w:eastAsiaTheme="minorHAnsi"/>
          <w:sz w:val="17"/>
          <w:szCs w:val="17"/>
        </w:rPr>
        <w:t xml:space="preserve"> 2006. </w:t>
      </w:r>
    </w:p>
    <w:p w14:paraId="2F6EF639" w14:textId="77777777" w:rsidR="004F4947" w:rsidRPr="00254368" w:rsidRDefault="004F4947" w:rsidP="006B058A">
      <w:pPr>
        <w:pStyle w:val="CETReferencetext"/>
        <w:spacing w:line="240" w:lineRule="auto"/>
        <w:rPr>
          <w:sz w:val="17"/>
          <w:szCs w:val="17"/>
        </w:rPr>
      </w:pPr>
      <w:r w:rsidRPr="00254368">
        <w:rPr>
          <w:sz w:val="17"/>
          <w:szCs w:val="17"/>
        </w:rPr>
        <w:t xml:space="preserve">Kaya, N., </w:t>
      </w:r>
      <w:proofErr w:type="spellStart"/>
      <w:r w:rsidRPr="00254368">
        <w:rPr>
          <w:sz w:val="17"/>
          <w:szCs w:val="17"/>
        </w:rPr>
        <w:t>Atagur</w:t>
      </w:r>
      <w:proofErr w:type="spellEnd"/>
      <w:r w:rsidRPr="00254368">
        <w:rPr>
          <w:sz w:val="17"/>
          <w:szCs w:val="17"/>
        </w:rPr>
        <w:t xml:space="preserve">, M., </w:t>
      </w:r>
      <w:proofErr w:type="spellStart"/>
      <w:r w:rsidRPr="00254368">
        <w:rPr>
          <w:sz w:val="17"/>
          <w:szCs w:val="17"/>
        </w:rPr>
        <w:t>Akyuz</w:t>
      </w:r>
      <w:proofErr w:type="spellEnd"/>
      <w:r w:rsidRPr="00254368">
        <w:rPr>
          <w:sz w:val="17"/>
          <w:szCs w:val="17"/>
        </w:rPr>
        <w:t xml:space="preserve">, O., Seki, Y., </w:t>
      </w:r>
      <w:proofErr w:type="spellStart"/>
      <w:r w:rsidRPr="00254368">
        <w:rPr>
          <w:sz w:val="17"/>
          <w:szCs w:val="17"/>
        </w:rPr>
        <w:t>Sarikanat</w:t>
      </w:r>
      <w:proofErr w:type="spellEnd"/>
      <w:r w:rsidRPr="00254368">
        <w:rPr>
          <w:sz w:val="17"/>
          <w:szCs w:val="17"/>
        </w:rPr>
        <w:t xml:space="preserve">, M., </w:t>
      </w:r>
      <w:proofErr w:type="spellStart"/>
      <w:r w:rsidRPr="00254368">
        <w:rPr>
          <w:sz w:val="17"/>
          <w:szCs w:val="17"/>
        </w:rPr>
        <w:t>Sutcu</w:t>
      </w:r>
      <w:proofErr w:type="spellEnd"/>
      <w:r w:rsidRPr="00254368">
        <w:rPr>
          <w:sz w:val="17"/>
          <w:szCs w:val="17"/>
        </w:rPr>
        <w:t xml:space="preserve">, M., </w:t>
      </w:r>
      <w:proofErr w:type="spellStart"/>
      <w:r w:rsidRPr="00254368">
        <w:rPr>
          <w:sz w:val="17"/>
          <w:szCs w:val="17"/>
        </w:rPr>
        <w:t>Seydibeyoglu</w:t>
      </w:r>
      <w:proofErr w:type="spellEnd"/>
      <w:r w:rsidRPr="00254368">
        <w:rPr>
          <w:sz w:val="17"/>
          <w:szCs w:val="17"/>
        </w:rPr>
        <w:t xml:space="preserve">, M.O., Sever, K., 2018. Fabrication and characterization of olive pomace filled PP composites. </w:t>
      </w:r>
      <w:proofErr w:type="gramStart"/>
      <w:r w:rsidRPr="00254368">
        <w:rPr>
          <w:sz w:val="17"/>
          <w:szCs w:val="17"/>
        </w:rPr>
        <w:t>Compos.</w:t>
      </w:r>
      <w:proofErr w:type="gramEnd"/>
      <w:r w:rsidRPr="00254368">
        <w:rPr>
          <w:sz w:val="17"/>
          <w:szCs w:val="17"/>
        </w:rPr>
        <w:t xml:space="preserve"> Part B Eng. 150, 277–283. doi.org/10.1016/j.compositesb.2017.08.017</w:t>
      </w:r>
    </w:p>
    <w:p w14:paraId="62ED8BE2" w14:textId="5318255F" w:rsidR="00FF4970" w:rsidRPr="00254368" w:rsidRDefault="00FF4970" w:rsidP="006B058A">
      <w:pPr>
        <w:pStyle w:val="CETReferencetext"/>
        <w:spacing w:line="240" w:lineRule="auto"/>
        <w:rPr>
          <w:sz w:val="17"/>
          <w:szCs w:val="17"/>
          <w:lang w:val="es-ES"/>
        </w:rPr>
      </w:pPr>
      <w:proofErr w:type="spellStart"/>
      <w:proofErr w:type="gramStart"/>
      <w:r w:rsidRPr="00254368">
        <w:rPr>
          <w:sz w:val="17"/>
          <w:szCs w:val="17"/>
        </w:rPr>
        <w:t>Lonca</w:t>
      </w:r>
      <w:proofErr w:type="spellEnd"/>
      <w:r w:rsidRPr="00254368">
        <w:rPr>
          <w:sz w:val="17"/>
          <w:szCs w:val="17"/>
        </w:rPr>
        <w:t xml:space="preserve">, G., </w:t>
      </w:r>
      <w:proofErr w:type="spellStart"/>
      <w:r w:rsidRPr="00254368">
        <w:rPr>
          <w:sz w:val="17"/>
          <w:szCs w:val="17"/>
        </w:rPr>
        <w:t>Muggéo</w:t>
      </w:r>
      <w:proofErr w:type="spellEnd"/>
      <w:r w:rsidRPr="00254368">
        <w:rPr>
          <w:sz w:val="17"/>
          <w:szCs w:val="17"/>
        </w:rPr>
        <w:t xml:space="preserve">, R., </w:t>
      </w:r>
      <w:proofErr w:type="spellStart"/>
      <w:r w:rsidRPr="00254368">
        <w:rPr>
          <w:sz w:val="17"/>
          <w:szCs w:val="17"/>
        </w:rPr>
        <w:t>Imbeault-Tétreault</w:t>
      </w:r>
      <w:proofErr w:type="spellEnd"/>
      <w:r w:rsidRPr="00254368">
        <w:rPr>
          <w:sz w:val="17"/>
          <w:szCs w:val="17"/>
        </w:rPr>
        <w:t xml:space="preserve">, H., Bernard, S., </w:t>
      </w:r>
      <w:proofErr w:type="spellStart"/>
      <w:r w:rsidRPr="00254368">
        <w:rPr>
          <w:sz w:val="17"/>
          <w:szCs w:val="17"/>
        </w:rPr>
        <w:t>Margni</w:t>
      </w:r>
      <w:proofErr w:type="spellEnd"/>
      <w:r w:rsidRPr="00254368">
        <w:rPr>
          <w:sz w:val="17"/>
          <w:szCs w:val="17"/>
        </w:rPr>
        <w:t>, M., 2018.</w:t>
      </w:r>
      <w:proofErr w:type="gramEnd"/>
      <w:r w:rsidRPr="00254368">
        <w:rPr>
          <w:sz w:val="17"/>
          <w:szCs w:val="17"/>
        </w:rPr>
        <w:t xml:space="preserve"> Does material circularity rhyme with environmental efficiency? Case studies on used tires. </w:t>
      </w:r>
      <w:r w:rsidRPr="00254368">
        <w:rPr>
          <w:sz w:val="17"/>
          <w:szCs w:val="17"/>
          <w:lang w:val="es-ES"/>
        </w:rPr>
        <w:t xml:space="preserve">J. </w:t>
      </w:r>
      <w:proofErr w:type="spellStart"/>
      <w:r w:rsidRPr="00254368">
        <w:rPr>
          <w:sz w:val="17"/>
          <w:szCs w:val="17"/>
          <w:lang w:val="es-ES"/>
        </w:rPr>
        <w:t>Clean</w:t>
      </w:r>
      <w:proofErr w:type="spellEnd"/>
      <w:r w:rsidRPr="00254368">
        <w:rPr>
          <w:sz w:val="17"/>
          <w:szCs w:val="17"/>
          <w:lang w:val="es-ES"/>
        </w:rPr>
        <w:t xml:space="preserve">. </w:t>
      </w:r>
      <w:proofErr w:type="spellStart"/>
      <w:r w:rsidRPr="00254368">
        <w:rPr>
          <w:sz w:val="17"/>
          <w:szCs w:val="17"/>
          <w:lang w:val="es-ES"/>
        </w:rPr>
        <w:t>Prod</w:t>
      </w:r>
      <w:proofErr w:type="spellEnd"/>
      <w:r w:rsidRPr="00254368">
        <w:rPr>
          <w:sz w:val="17"/>
          <w:szCs w:val="17"/>
          <w:lang w:val="es-ES"/>
        </w:rPr>
        <w:t>. 183, 424–435. doi.org/10.1016/j.jclepro.2018.02.108</w:t>
      </w:r>
    </w:p>
    <w:p w14:paraId="786A19FF" w14:textId="77777777" w:rsidR="004F4947" w:rsidRPr="00254368" w:rsidRDefault="004F4947" w:rsidP="006B058A">
      <w:pPr>
        <w:pStyle w:val="CETReferencetext"/>
        <w:spacing w:line="240" w:lineRule="auto"/>
        <w:rPr>
          <w:sz w:val="17"/>
          <w:szCs w:val="17"/>
        </w:rPr>
      </w:pPr>
      <w:proofErr w:type="spellStart"/>
      <w:r w:rsidRPr="00254368">
        <w:rPr>
          <w:sz w:val="17"/>
          <w:szCs w:val="17"/>
          <w:lang w:val="es-ES"/>
        </w:rPr>
        <w:t>Ncube</w:t>
      </w:r>
      <w:proofErr w:type="spellEnd"/>
      <w:r w:rsidRPr="00254368">
        <w:rPr>
          <w:sz w:val="17"/>
          <w:szCs w:val="17"/>
          <w:lang w:val="es-ES"/>
        </w:rPr>
        <w:t xml:space="preserve">, A., </w:t>
      </w:r>
      <w:proofErr w:type="spellStart"/>
      <w:r w:rsidRPr="00254368">
        <w:rPr>
          <w:sz w:val="17"/>
          <w:szCs w:val="17"/>
          <w:lang w:val="es-ES"/>
        </w:rPr>
        <w:t>Fiorentino</w:t>
      </w:r>
      <w:proofErr w:type="spellEnd"/>
      <w:r w:rsidRPr="00254368">
        <w:rPr>
          <w:sz w:val="17"/>
          <w:szCs w:val="17"/>
          <w:lang w:val="es-ES"/>
        </w:rPr>
        <w:t xml:space="preserve">, G., </w:t>
      </w:r>
      <w:proofErr w:type="spellStart"/>
      <w:r w:rsidRPr="00254368">
        <w:rPr>
          <w:sz w:val="17"/>
          <w:szCs w:val="17"/>
          <w:lang w:val="es-ES"/>
        </w:rPr>
        <w:t>Panfilo</w:t>
      </w:r>
      <w:proofErr w:type="spellEnd"/>
      <w:r w:rsidRPr="00254368">
        <w:rPr>
          <w:sz w:val="17"/>
          <w:szCs w:val="17"/>
          <w:lang w:val="es-ES"/>
        </w:rPr>
        <w:t xml:space="preserve">, C., De Falco, M., </w:t>
      </w:r>
      <w:proofErr w:type="spellStart"/>
      <w:r w:rsidRPr="00254368">
        <w:rPr>
          <w:sz w:val="17"/>
          <w:szCs w:val="17"/>
          <w:lang w:val="es-ES"/>
        </w:rPr>
        <w:t>Ulgiati</w:t>
      </w:r>
      <w:proofErr w:type="spellEnd"/>
      <w:r w:rsidRPr="00254368">
        <w:rPr>
          <w:sz w:val="17"/>
          <w:szCs w:val="17"/>
          <w:lang w:val="es-ES"/>
        </w:rPr>
        <w:t xml:space="preserve">, S., 2022. </w:t>
      </w:r>
      <w:r w:rsidRPr="00254368">
        <w:rPr>
          <w:sz w:val="17"/>
          <w:szCs w:val="17"/>
        </w:rPr>
        <w:t>Circular economy paths in the olive oil industry: a Life Cycle Assessment look into environmental performance and benefits. Int. J. Life Cycle Assess. doi.org/10.1007/s11367-022-02031-2</w:t>
      </w:r>
    </w:p>
    <w:p w14:paraId="3B39D586" w14:textId="77777777" w:rsidR="004F4947" w:rsidRPr="00254368" w:rsidRDefault="004F4947" w:rsidP="006B058A">
      <w:pPr>
        <w:pStyle w:val="CETReferencetext"/>
        <w:spacing w:line="240" w:lineRule="auto"/>
        <w:rPr>
          <w:sz w:val="17"/>
          <w:szCs w:val="17"/>
        </w:rPr>
      </w:pPr>
      <w:proofErr w:type="spellStart"/>
      <w:r w:rsidRPr="00254368">
        <w:rPr>
          <w:sz w:val="17"/>
          <w:szCs w:val="17"/>
        </w:rPr>
        <w:t>Pattara</w:t>
      </w:r>
      <w:proofErr w:type="spellEnd"/>
      <w:r w:rsidRPr="00254368">
        <w:rPr>
          <w:sz w:val="17"/>
          <w:szCs w:val="17"/>
        </w:rPr>
        <w:t xml:space="preserve">, C., </w:t>
      </w:r>
      <w:proofErr w:type="spellStart"/>
      <w:r w:rsidRPr="00254368">
        <w:rPr>
          <w:sz w:val="17"/>
          <w:szCs w:val="17"/>
        </w:rPr>
        <w:t>Salomone</w:t>
      </w:r>
      <w:proofErr w:type="spellEnd"/>
      <w:r w:rsidRPr="00254368">
        <w:rPr>
          <w:sz w:val="17"/>
          <w:szCs w:val="17"/>
        </w:rPr>
        <w:t xml:space="preserve">, R., </w:t>
      </w:r>
      <w:proofErr w:type="spellStart"/>
      <w:r w:rsidRPr="00254368">
        <w:rPr>
          <w:sz w:val="17"/>
          <w:szCs w:val="17"/>
        </w:rPr>
        <w:t>Cichelli</w:t>
      </w:r>
      <w:proofErr w:type="spellEnd"/>
      <w:r w:rsidRPr="00254368">
        <w:rPr>
          <w:sz w:val="17"/>
          <w:szCs w:val="17"/>
        </w:rPr>
        <w:t>, A., 2016. Carbon footprint of extra virgin olive oil: a comparative and driver analysis of different production processes in Centre Italy. J. Clean. Prod. 127, 533–547. doi.org/10.1016/j.jclepro.2016.03.152</w:t>
      </w:r>
    </w:p>
    <w:p w14:paraId="34C157D6" w14:textId="77777777" w:rsidR="004F4947" w:rsidRPr="00254368" w:rsidRDefault="004F4947" w:rsidP="006B058A">
      <w:pPr>
        <w:pStyle w:val="CETReferencetext"/>
        <w:spacing w:line="240" w:lineRule="auto"/>
        <w:rPr>
          <w:sz w:val="17"/>
          <w:szCs w:val="17"/>
        </w:rPr>
      </w:pPr>
      <w:proofErr w:type="spellStart"/>
      <w:proofErr w:type="gramStart"/>
      <w:r w:rsidRPr="00254368">
        <w:rPr>
          <w:sz w:val="17"/>
          <w:szCs w:val="17"/>
        </w:rPr>
        <w:t>Proietti</w:t>
      </w:r>
      <w:proofErr w:type="spellEnd"/>
      <w:r w:rsidRPr="00254368">
        <w:rPr>
          <w:sz w:val="17"/>
          <w:szCs w:val="17"/>
        </w:rPr>
        <w:t xml:space="preserve">, S., </w:t>
      </w:r>
      <w:proofErr w:type="spellStart"/>
      <w:r w:rsidRPr="00254368">
        <w:rPr>
          <w:sz w:val="17"/>
          <w:szCs w:val="17"/>
        </w:rPr>
        <w:t>Sdringola</w:t>
      </w:r>
      <w:proofErr w:type="spellEnd"/>
      <w:r w:rsidRPr="00254368">
        <w:rPr>
          <w:sz w:val="17"/>
          <w:szCs w:val="17"/>
        </w:rPr>
        <w:t xml:space="preserve">, P., Regni, L., </w:t>
      </w:r>
      <w:proofErr w:type="spellStart"/>
      <w:r w:rsidRPr="00254368">
        <w:rPr>
          <w:sz w:val="17"/>
          <w:szCs w:val="17"/>
        </w:rPr>
        <w:t>Evangelisti</w:t>
      </w:r>
      <w:proofErr w:type="spellEnd"/>
      <w:r w:rsidRPr="00254368">
        <w:rPr>
          <w:sz w:val="17"/>
          <w:szCs w:val="17"/>
        </w:rPr>
        <w:t xml:space="preserve">, N., </w:t>
      </w:r>
      <w:proofErr w:type="spellStart"/>
      <w:r w:rsidRPr="00254368">
        <w:rPr>
          <w:sz w:val="17"/>
          <w:szCs w:val="17"/>
        </w:rPr>
        <w:t>Brunori</w:t>
      </w:r>
      <w:proofErr w:type="spellEnd"/>
      <w:r w:rsidRPr="00254368">
        <w:rPr>
          <w:sz w:val="17"/>
          <w:szCs w:val="17"/>
        </w:rPr>
        <w:t xml:space="preserve">, A., </w:t>
      </w:r>
      <w:proofErr w:type="spellStart"/>
      <w:r w:rsidRPr="00254368">
        <w:rPr>
          <w:sz w:val="17"/>
          <w:szCs w:val="17"/>
        </w:rPr>
        <w:t>Ilarioni</w:t>
      </w:r>
      <w:proofErr w:type="spellEnd"/>
      <w:r w:rsidRPr="00254368">
        <w:rPr>
          <w:sz w:val="17"/>
          <w:szCs w:val="17"/>
        </w:rPr>
        <w:t xml:space="preserve">, L., </w:t>
      </w:r>
      <w:proofErr w:type="spellStart"/>
      <w:r w:rsidRPr="00254368">
        <w:rPr>
          <w:sz w:val="17"/>
          <w:szCs w:val="17"/>
        </w:rPr>
        <w:t>Nasini</w:t>
      </w:r>
      <w:proofErr w:type="spellEnd"/>
      <w:r w:rsidRPr="00254368">
        <w:rPr>
          <w:sz w:val="17"/>
          <w:szCs w:val="17"/>
        </w:rPr>
        <w:t xml:space="preserve">, L., </w:t>
      </w:r>
      <w:proofErr w:type="spellStart"/>
      <w:r w:rsidRPr="00254368">
        <w:rPr>
          <w:sz w:val="17"/>
          <w:szCs w:val="17"/>
        </w:rPr>
        <w:t>Proietti</w:t>
      </w:r>
      <w:proofErr w:type="spellEnd"/>
      <w:r w:rsidRPr="00254368">
        <w:rPr>
          <w:sz w:val="17"/>
          <w:szCs w:val="17"/>
        </w:rPr>
        <w:t>, P., 2017.</w:t>
      </w:r>
      <w:proofErr w:type="gramEnd"/>
      <w:r w:rsidRPr="00254368">
        <w:rPr>
          <w:sz w:val="17"/>
          <w:szCs w:val="17"/>
        </w:rPr>
        <w:t xml:space="preserve"> Extra Virgin Olive oil as carbon negative product: Experimental analysis and validation of results. J. Clean. Prod. 166, 550–562. doi.org/10.1016/j.jclepro.2017.07.230</w:t>
      </w:r>
    </w:p>
    <w:p w14:paraId="785384A1" w14:textId="77777777" w:rsidR="004F4947" w:rsidRPr="00254368" w:rsidRDefault="004F4947" w:rsidP="006B058A">
      <w:pPr>
        <w:pStyle w:val="CETReferencetext"/>
        <w:spacing w:line="240" w:lineRule="auto"/>
        <w:rPr>
          <w:sz w:val="17"/>
          <w:szCs w:val="17"/>
        </w:rPr>
      </w:pPr>
      <w:proofErr w:type="gramStart"/>
      <w:r w:rsidRPr="00254368">
        <w:rPr>
          <w:sz w:val="17"/>
          <w:szCs w:val="17"/>
        </w:rPr>
        <w:t xml:space="preserve">Roy, P., </w:t>
      </w:r>
      <w:proofErr w:type="spellStart"/>
      <w:r w:rsidRPr="00254368">
        <w:rPr>
          <w:sz w:val="17"/>
          <w:szCs w:val="17"/>
        </w:rPr>
        <w:t>Nei</w:t>
      </w:r>
      <w:proofErr w:type="spellEnd"/>
      <w:r w:rsidRPr="00254368">
        <w:rPr>
          <w:sz w:val="17"/>
          <w:szCs w:val="17"/>
        </w:rPr>
        <w:t xml:space="preserve">, D., </w:t>
      </w:r>
      <w:proofErr w:type="spellStart"/>
      <w:r w:rsidRPr="00254368">
        <w:rPr>
          <w:sz w:val="17"/>
          <w:szCs w:val="17"/>
        </w:rPr>
        <w:t>Orikasa</w:t>
      </w:r>
      <w:proofErr w:type="spellEnd"/>
      <w:r w:rsidRPr="00254368">
        <w:rPr>
          <w:sz w:val="17"/>
          <w:szCs w:val="17"/>
        </w:rPr>
        <w:t xml:space="preserve">, T., Xu, Q., </w:t>
      </w:r>
      <w:proofErr w:type="spellStart"/>
      <w:r w:rsidRPr="00254368">
        <w:rPr>
          <w:sz w:val="17"/>
          <w:szCs w:val="17"/>
        </w:rPr>
        <w:t>Okadome</w:t>
      </w:r>
      <w:proofErr w:type="spellEnd"/>
      <w:r w:rsidRPr="00254368">
        <w:rPr>
          <w:sz w:val="17"/>
          <w:szCs w:val="17"/>
        </w:rPr>
        <w:t xml:space="preserve">, H., Nakamura, N., </w:t>
      </w:r>
      <w:proofErr w:type="spellStart"/>
      <w:r w:rsidRPr="00254368">
        <w:rPr>
          <w:sz w:val="17"/>
          <w:szCs w:val="17"/>
        </w:rPr>
        <w:t>Shiina</w:t>
      </w:r>
      <w:proofErr w:type="spellEnd"/>
      <w:r w:rsidRPr="00254368">
        <w:rPr>
          <w:sz w:val="17"/>
          <w:szCs w:val="17"/>
        </w:rPr>
        <w:t>, T., 2009.</w:t>
      </w:r>
      <w:proofErr w:type="gramEnd"/>
      <w:r w:rsidRPr="00254368">
        <w:rPr>
          <w:sz w:val="17"/>
          <w:szCs w:val="17"/>
        </w:rPr>
        <w:t xml:space="preserve"> </w:t>
      </w:r>
      <w:proofErr w:type="gramStart"/>
      <w:r w:rsidRPr="00254368">
        <w:rPr>
          <w:sz w:val="17"/>
          <w:szCs w:val="17"/>
        </w:rPr>
        <w:t>A review of life cycle assessment (LCA) on some food products.</w:t>
      </w:r>
      <w:proofErr w:type="gramEnd"/>
      <w:r w:rsidRPr="00254368">
        <w:rPr>
          <w:sz w:val="17"/>
          <w:szCs w:val="17"/>
        </w:rPr>
        <w:t xml:space="preserve"> J. Food Eng. 90, 1-10. doi.org/10.1016/j.jfoodeng.2008.06.016</w:t>
      </w:r>
    </w:p>
    <w:p w14:paraId="14794686" w14:textId="77777777" w:rsidR="00410A4F" w:rsidRPr="00254368" w:rsidRDefault="004F4947" w:rsidP="006B058A">
      <w:pPr>
        <w:pStyle w:val="CETReferencetext"/>
        <w:spacing w:line="240" w:lineRule="auto"/>
        <w:rPr>
          <w:sz w:val="17"/>
          <w:szCs w:val="17"/>
        </w:rPr>
      </w:pPr>
      <w:r w:rsidRPr="00254368">
        <w:rPr>
          <w:sz w:val="17"/>
          <w:szCs w:val="17"/>
          <w:lang w:val="fr-FR"/>
        </w:rPr>
        <w:t xml:space="preserve">Uitterhaegen, E., Parinet, J., Labonne, L., Mérian, T., Ballas, S., Véronèse, T., Merah, O., Talou, T., Stevens, C.V., Chabert, F., Evon, Ph., 2018. </w:t>
      </w:r>
      <w:r w:rsidRPr="00254368">
        <w:rPr>
          <w:sz w:val="17"/>
          <w:szCs w:val="17"/>
        </w:rPr>
        <w:t xml:space="preserve">Performance, durability and recycling of thermoplastic </w:t>
      </w:r>
      <w:proofErr w:type="spellStart"/>
      <w:r w:rsidRPr="00254368">
        <w:rPr>
          <w:sz w:val="17"/>
          <w:szCs w:val="17"/>
        </w:rPr>
        <w:t>biocomposites</w:t>
      </w:r>
      <w:proofErr w:type="spellEnd"/>
      <w:r w:rsidRPr="00254368">
        <w:rPr>
          <w:sz w:val="17"/>
          <w:szCs w:val="17"/>
        </w:rPr>
        <w:t xml:space="preserve"> reinforced with coriander straw. </w:t>
      </w:r>
      <w:proofErr w:type="gramStart"/>
      <w:r w:rsidRPr="00254368">
        <w:rPr>
          <w:sz w:val="17"/>
          <w:szCs w:val="17"/>
        </w:rPr>
        <w:t>Compos.</w:t>
      </w:r>
      <w:proofErr w:type="gramEnd"/>
      <w:r w:rsidRPr="00254368">
        <w:rPr>
          <w:sz w:val="17"/>
          <w:szCs w:val="17"/>
        </w:rPr>
        <w:t xml:space="preserve"> Part Appl. Sci. Manuf. 113, 254–263. doi.org/10.1016/j.compositesa.2018.07.038</w:t>
      </w:r>
    </w:p>
    <w:p w14:paraId="6EF234A5" w14:textId="0B933B07" w:rsidR="004F4947" w:rsidRPr="00254368" w:rsidRDefault="004F4947" w:rsidP="006B058A">
      <w:pPr>
        <w:pStyle w:val="CETReferencetext"/>
        <w:spacing w:line="240" w:lineRule="auto"/>
        <w:rPr>
          <w:sz w:val="17"/>
          <w:szCs w:val="17"/>
        </w:rPr>
      </w:pPr>
      <w:proofErr w:type="gramStart"/>
      <w:r w:rsidRPr="00254368">
        <w:rPr>
          <w:sz w:val="17"/>
          <w:szCs w:val="17"/>
        </w:rPr>
        <w:t>van</w:t>
      </w:r>
      <w:proofErr w:type="gramEnd"/>
      <w:r w:rsidRPr="00254368">
        <w:rPr>
          <w:sz w:val="17"/>
          <w:szCs w:val="17"/>
        </w:rPr>
        <w:t xml:space="preserve"> der Werf, H., Knudsen, M., Cederberg, C., 2020. </w:t>
      </w:r>
      <w:proofErr w:type="gramStart"/>
      <w:r w:rsidRPr="00254368">
        <w:rPr>
          <w:sz w:val="17"/>
          <w:szCs w:val="17"/>
        </w:rPr>
        <w:t>Towards better representation of organic agriculture in life cycle assessment.</w:t>
      </w:r>
      <w:proofErr w:type="gramEnd"/>
      <w:r w:rsidRPr="00254368">
        <w:rPr>
          <w:sz w:val="17"/>
          <w:szCs w:val="17"/>
        </w:rPr>
        <w:t xml:space="preserve"> Nat. Sustain. 3, 419–425. doi.org/10.1038/s41893-020-0489-6</w:t>
      </w:r>
    </w:p>
    <w:p w14:paraId="2EE8056B" w14:textId="4EE8A94B" w:rsidR="004F4947" w:rsidRDefault="004F4947">
      <w:pPr>
        <w:pStyle w:val="CETReferencetext"/>
      </w:pPr>
    </w:p>
    <w:p w14:paraId="3B3B1837" w14:textId="77777777" w:rsidR="00DB77C2" w:rsidRPr="001F15F6" w:rsidRDefault="00DB77C2">
      <w:pPr>
        <w:pStyle w:val="CETReferencetext"/>
      </w:pPr>
      <w:bookmarkStart w:id="5" w:name="_GoBack"/>
      <w:bookmarkEnd w:id="5"/>
    </w:p>
    <w:sectPr w:rsidR="00DB77C2" w:rsidRPr="001F15F6" w:rsidSect="004F494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8723A" w14:textId="77777777" w:rsidR="000C36BF" w:rsidRDefault="000C36BF" w:rsidP="004F5E36">
      <w:r>
        <w:separator/>
      </w:r>
    </w:p>
  </w:endnote>
  <w:endnote w:type="continuationSeparator" w:id="0">
    <w:p w14:paraId="6617CB29" w14:textId="77777777" w:rsidR="000C36BF" w:rsidRDefault="000C36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B6059" w14:textId="77777777" w:rsidR="000C36BF" w:rsidRDefault="000C36BF" w:rsidP="004F5E36">
      <w:r>
        <w:separator/>
      </w:r>
    </w:p>
  </w:footnote>
  <w:footnote w:type="continuationSeparator" w:id="0">
    <w:p w14:paraId="5C6522F3" w14:textId="77777777" w:rsidR="000C36BF" w:rsidRDefault="000C36B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95B2389"/>
    <w:multiLevelType w:val="multilevel"/>
    <w:tmpl w:val="CDEC849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38217E"/>
    <w:multiLevelType w:val="multilevel"/>
    <w:tmpl w:val="EE8E62C6"/>
    <w:lvl w:ilvl="0">
      <w:start w:val="1"/>
      <w:numFmt w:val="decimal"/>
      <w:suff w:val="space"/>
      <w:lvlText w:val="Chapter %1"/>
      <w:lvlJc w:val="left"/>
      <w:pPr>
        <w:ind w:left="284"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36003"/>
    <w:rsid w:val="00043E7D"/>
    <w:rsid w:val="00051566"/>
    <w:rsid w:val="00054288"/>
    <w:rsid w:val="000562A9"/>
    <w:rsid w:val="00062A9A"/>
    <w:rsid w:val="00063006"/>
    <w:rsid w:val="00065058"/>
    <w:rsid w:val="00086C39"/>
    <w:rsid w:val="000A03B2"/>
    <w:rsid w:val="000C36BF"/>
    <w:rsid w:val="000D0268"/>
    <w:rsid w:val="000D34BE"/>
    <w:rsid w:val="000E102F"/>
    <w:rsid w:val="000E36F1"/>
    <w:rsid w:val="000E3A73"/>
    <w:rsid w:val="000E414A"/>
    <w:rsid w:val="000E491C"/>
    <w:rsid w:val="000E6ACE"/>
    <w:rsid w:val="000F093C"/>
    <w:rsid w:val="000F787B"/>
    <w:rsid w:val="0012091F"/>
    <w:rsid w:val="00126BC2"/>
    <w:rsid w:val="001308B6"/>
    <w:rsid w:val="0013121F"/>
    <w:rsid w:val="00131FE6"/>
    <w:rsid w:val="0013263F"/>
    <w:rsid w:val="001331DF"/>
    <w:rsid w:val="00134DE4"/>
    <w:rsid w:val="0014034D"/>
    <w:rsid w:val="0014359C"/>
    <w:rsid w:val="00144D16"/>
    <w:rsid w:val="001458ED"/>
    <w:rsid w:val="00150E59"/>
    <w:rsid w:val="00152DE3"/>
    <w:rsid w:val="00155271"/>
    <w:rsid w:val="001568EA"/>
    <w:rsid w:val="00164CF9"/>
    <w:rsid w:val="001667A6"/>
    <w:rsid w:val="00176E7F"/>
    <w:rsid w:val="00184AD6"/>
    <w:rsid w:val="001903CF"/>
    <w:rsid w:val="001A4AF7"/>
    <w:rsid w:val="001B0349"/>
    <w:rsid w:val="001B1110"/>
    <w:rsid w:val="001B1E93"/>
    <w:rsid w:val="001B328D"/>
    <w:rsid w:val="001B65C1"/>
    <w:rsid w:val="001C684B"/>
    <w:rsid w:val="001D0CFB"/>
    <w:rsid w:val="001D21AF"/>
    <w:rsid w:val="001D53FC"/>
    <w:rsid w:val="001F15F6"/>
    <w:rsid w:val="001F42A5"/>
    <w:rsid w:val="001F7B9D"/>
    <w:rsid w:val="00201C93"/>
    <w:rsid w:val="002224B4"/>
    <w:rsid w:val="002337A8"/>
    <w:rsid w:val="00237B67"/>
    <w:rsid w:val="002447EF"/>
    <w:rsid w:val="00251550"/>
    <w:rsid w:val="00254368"/>
    <w:rsid w:val="00263B05"/>
    <w:rsid w:val="0027221A"/>
    <w:rsid w:val="00275B61"/>
    <w:rsid w:val="00280FAF"/>
    <w:rsid w:val="00281FAA"/>
    <w:rsid w:val="00282656"/>
    <w:rsid w:val="00296B83"/>
    <w:rsid w:val="002B4015"/>
    <w:rsid w:val="002B78CE"/>
    <w:rsid w:val="002C2FB6"/>
    <w:rsid w:val="002D4A29"/>
    <w:rsid w:val="002E5FA7"/>
    <w:rsid w:val="002F3309"/>
    <w:rsid w:val="003008CE"/>
    <w:rsid w:val="003009B7"/>
    <w:rsid w:val="00300E56"/>
    <w:rsid w:val="0030152C"/>
    <w:rsid w:val="00302311"/>
    <w:rsid w:val="0030469C"/>
    <w:rsid w:val="00321CA6"/>
    <w:rsid w:val="00323763"/>
    <w:rsid w:val="00323C5F"/>
    <w:rsid w:val="00334C09"/>
    <w:rsid w:val="0034462F"/>
    <w:rsid w:val="003723D4"/>
    <w:rsid w:val="00381905"/>
    <w:rsid w:val="00384CC8"/>
    <w:rsid w:val="003871FD"/>
    <w:rsid w:val="003901FD"/>
    <w:rsid w:val="00391970"/>
    <w:rsid w:val="003A1E30"/>
    <w:rsid w:val="003A2829"/>
    <w:rsid w:val="003A7D1C"/>
    <w:rsid w:val="003B304B"/>
    <w:rsid w:val="003B3146"/>
    <w:rsid w:val="003B39C2"/>
    <w:rsid w:val="003C1063"/>
    <w:rsid w:val="003F015E"/>
    <w:rsid w:val="003F429D"/>
    <w:rsid w:val="00400414"/>
    <w:rsid w:val="0040107B"/>
    <w:rsid w:val="00403B13"/>
    <w:rsid w:val="00410A4F"/>
    <w:rsid w:val="0041308C"/>
    <w:rsid w:val="0041446B"/>
    <w:rsid w:val="0044071E"/>
    <w:rsid w:val="0044329C"/>
    <w:rsid w:val="00453E24"/>
    <w:rsid w:val="00457456"/>
    <w:rsid w:val="004577FE"/>
    <w:rsid w:val="00457B9C"/>
    <w:rsid w:val="0046164A"/>
    <w:rsid w:val="004628D2"/>
    <w:rsid w:val="00462DCD"/>
    <w:rsid w:val="004648AD"/>
    <w:rsid w:val="004703A9"/>
    <w:rsid w:val="0047556E"/>
    <w:rsid w:val="004760DE"/>
    <w:rsid w:val="004763D7"/>
    <w:rsid w:val="00494A8D"/>
    <w:rsid w:val="004967D1"/>
    <w:rsid w:val="004A004E"/>
    <w:rsid w:val="004A24CF"/>
    <w:rsid w:val="004C3D1D"/>
    <w:rsid w:val="004C3D84"/>
    <w:rsid w:val="004C7913"/>
    <w:rsid w:val="004E4DD6"/>
    <w:rsid w:val="004F4947"/>
    <w:rsid w:val="004F5E36"/>
    <w:rsid w:val="00505B64"/>
    <w:rsid w:val="00507B47"/>
    <w:rsid w:val="00507BEF"/>
    <w:rsid w:val="00507CC9"/>
    <w:rsid w:val="005119A5"/>
    <w:rsid w:val="00525ED5"/>
    <w:rsid w:val="005278B7"/>
    <w:rsid w:val="00532016"/>
    <w:rsid w:val="00533225"/>
    <w:rsid w:val="005346C8"/>
    <w:rsid w:val="00543E7D"/>
    <w:rsid w:val="00547A68"/>
    <w:rsid w:val="005531C9"/>
    <w:rsid w:val="00557E00"/>
    <w:rsid w:val="00570C43"/>
    <w:rsid w:val="005B1C38"/>
    <w:rsid w:val="005B2110"/>
    <w:rsid w:val="005B61E6"/>
    <w:rsid w:val="005C77E1"/>
    <w:rsid w:val="005D220A"/>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3D48"/>
    <w:rsid w:val="00657E03"/>
    <w:rsid w:val="00660E3E"/>
    <w:rsid w:val="00662E74"/>
    <w:rsid w:val="006658F0"/>
    <w:rsid w:val="00680C23"/>
    <w:rsid w:val="00693766"/>
    <w:rsid w:val="006A3281"/>
    <w:rsid w:val="006A55EF"/>
    <w:rsid w:val="006B058A"/>
    <w:rsid w:val="006B3F89"/>
    <w:rsid w:val="006B4888"/>
    <w:rsid w:val="006C2E45"/>
    <w:rsid w:val="006C359C"/>
    <w:rsid w:val="006C5579"/>
    <w:rsid w:val="006D6E8B"/>
    <w:rsid w:val="006E737D"/>
    <w:rsid w:val="0070064A"/>
    <w:rsid w:val="0070073F"/>
    <w:rsid w:val="00704F1B"/>
    <w:rsid w:val="00707DD1"/>
    <w:rsid w:val="00713973"/>
    <w:rsid w:val="00720A24"/>
    <w:rsid w:val="00730C36"/>
    <w:rsid w:val="00732386"/>
    <w:rsid w:val="0073514D"/>
    <w:rsid w:val="007447F3"/>
    <w:rsid w:val="007511E6"/>
    <w:rsid w:val="00752F01"/>
    <w:rsid w:val="0075499F"/>
    <w:rsid w:val="007661C8"/>
    <w:rsid w:val="0077098D"/>
    <w:rsid w:val="00774E0B"/>
    <w:rsid w:val="00775588"/>
    <w:rsid w:val="007931FA"/>
    <w:rsid w:val="007A4861"/>
    <w:rsid w:val="007A7BBA"/>
    <w:rsid w:val="007B0C50"/>
    <w:rsid w:val="007B48F9"/>
    <w:rsid w:val="007C1A43"/>
    <w:rsid w:val="007D0951"/>
    <w:rsid w:val="007D1DA3"/>
    <w:rsid w:val="007D228A"/>
    <w:rsid w:val="0080013E"/>
    <w:rsid w:val="00813288"/>
    <w:rsid w:val="008168FC"/>
    <w:rsid w:val="0082262C"/>
    <w:rsid w:val="00823B62"/>
    <w:rsid w:val="00830996"/>
    <w:rsid w:val="008345F1"/>
    <w:rsid w:val="008651ED"/>
    <w:rsid w:val="00865B07"/>
    <w:rsid w:val="008667EA"/>
    <w:rsid w:val="0087637F"/>
    <w:rsid w:val="00892AD5"/>
    <w:rsid w:val="008A1512"/>
    <w:rsid w:val="008D32B9"/>
    <w:rsid w:val="008D433B"/>
    <w:rsid w:val="008D4A16"/>
    <w:rsid w:val="008E566E"/>
    <w:rsid w:val="008F5A57"/>
    <w:rsid w:val="0090161A"/>
    <w:rsid w:val="00901EB6"/>
    <w:rsid w:val="009038AC"/>
    <w:rsid w:val="00904C62"/>
    <w:rsid w:val="00922BA8"/>
    <w:rsid w:val="00924DAC"/>
    <w:rsid w:val="00927058"/>
    <w:rsid w:val="009426B6"/>
    <w:rsid w:val="00942750"/>
    <w:rsid w:val="009450CE"/>
    <w:rsid w:val="009459BB"/>
    <w:rsid w:val="00947179"/>
    <w:rsid w:val="0095164B"/>
    <w:rsid w:val="00954090"/>
    <w:rsid w:val="009573E7"/>
    <w:rsid w:val="00963348"/>
    <w:rsid w:val="00963E05"/>
    <w:rsid w:val="00964A45"/>
    <w:rsid w:val="00967843"/>
    <w:rsid w:val="00967D54"/>
    <w:rsid w:val="00971028"/>
    <w:rsid w:val="00980963"/>
    <w:rsid w:val="00993B84"/>
    <w:rsid w:val="00996483"/>
    <w:rsid w:val="00996F5A"/>
    <w:rsid w:val="009B041A"/>
    <w:rsid w:val="009C37C3"/>
    <w:rsid w:val="009C7C86"/>
    <w:rsid w:val="009D2FF7"/>
    <w:rsid w:val="009E7884"/>
    <w:rsid w:val="009E788A"/>
    <w:rsid w:val="009F0E08"/>
    <w:rsid w:val="009F21E3"/>
    <w:rsid w:val="009F68A2"/>
    <w:rsid w:val="00A11333"/>
    <w:rsid w:val="00A1763D"/>
    <w:rsid w:val="00A17CEC"/>
    <w:rsid w:val="00A27EF0"/>
    <w:rsid w:val="00A42361"/>
    <w:rsid w:val="00A50B20"/>
    <w:rsid w:val="00A51390"/>
    <w:rsid w:val="00A60D13"/>
    <w:rsid w:val="00A70235"/>
    <w:rsid w:val="00A7223D"/>
    <w:rsid w:val="00A72745"/>
    <w:rsid w:val="00A76EFC"/>
    <w:rsid w:val="00A87D50"/>
    <w:rsid w:val="00A91010"/>
    <w:rsid w:val="00A97F29"/>
    <w:rsid w:val="00AA702E"/>
    <w:rsid w:val="00AA7D26"/>
    <w:rsid w:val="00AB0964"/>
    <w:rsid w:val="00AB5011"/>
    <w:rsid w:val="00AB5374"/>
    <w:rsid w:val="00AC7368"/>
    <w:rsid w:val="00AD16B9"/>
    <w:rsid w:val="00AE377D"/>
    <w:rsid w:val="00AE46F8"/>
    <w:rsid w:val="00AF0EBA"/>
    <w:rsid w:val="00B02C8A"/>
    <w:rsid w:val="00B17FBD"/>
    <w:rsid w:val="00B269DF"/>
    <w:rsid w:val="00B315A6"/>
    <w:rsid w:val="00B31813"/>
    <w:rsid w:val="00B33365"/>
    <w:rsid w:val="00B34808"/>
    <w:rsid w:val="00B41B74"/>
    <w:rsid w:val="00B57B36"/>
    <w:rsid w:val="00B57E6F"/>
    <w:rsid w:val="00B71F13"/>
    <w:rsid w:val="00B723AB"/>
    <w:rsid w:val="00B8686D"/>
    <w:rsid w:val="00B93F69"/>
    <w:rsid w:val="00BB1DDC"/>
    <w:rsid w:val="00BB6A26"/>
    <w:rsid w:val="00BC30C9"/>
    <w:rsid w:val="00BD077D"/>
    <w:rsid w:val="00BE1789"/>
    <w:rsid w:val="00BE3E58"/>
    <w:rsid w:val="00BF740A"/>
    <w:rsid w:val="00C01616"/>
    <w:rsid w:val="00C0162B"/>
    <w:rsid w:val="00C068ED"/>
    <w:rsid w:val="00C20F02"/>
    <w:rsid w:val="00C22E0C"/>
    <w:rsid w:val="00C33952"/>
    <w:rsid w:val="00C345B1"/>
    <w:rsid w:val="00C363D7"/>
    <w:rsid w:val="00C373A2"/>
    <w:rsid w:val="00C40142"/>
    <w:rsid w:val="00C4335E"/>
    <w:rsid w:val="00C52AEA"/>
    <w:rsid w:val="00C52C3C"/>
    <w:rsid w:val="00C569A6"/>
    <w:rsid w:val="00C57182"/>
    <w:rsid w:val="00C57863"/>
    <w:rsid w:val="00C640AF"/>
    <w:rsid w:val="00C655FD"/>
    <w:rsid w:val="00C748BE"/>
    <w:rsid w:val="00C75407"/>
    <w:rsid w:val="00C77924"/>
    <w:rsid w:val="00C841C6"/>
    <w:rsid w:val="00C86F23"/>
    <w:rsid w:val="00C870A8"/>
    <w:rsid w:val="00C94434"/>
    <w:rsid w:val="00CA0D75"/>
    <w:rsid w:val="00CA1C95"/>
    <w:rsid w:val="00CA45F6"/>
    <w:rsid w:val="00CA5A9C"/>
    <w:rsid w:val="00CC4C20"/>
    <w:rsid w:val="00CC7425"/>
    <w:rsid w:val="00CD3517"/>
    <w:rsid w:val="00CD5FE2"/>
    <w:rsid w:val="00CE7C68"/>
    <w:rsid w:val="00CF6F8F"/>
    <w:rsid w:val="00D02B4C"/>
    <w:rsid w:val="00D040C4"/>
    <w:rsid w:val="00D20AD1"/>
    <w:rsid w:val="00D2582C"/>
    <w:rsid w:val="00D3013E"/>
    <w:rsid w:val="00D46B7E"/>
    <w:rsid w:val="00D47881"/>
    <w:rsid w:val="00D57C84"/>
    <w:rsid w:val="00D6057D"/>
    <w:rsid w:val="00D71640"/>
    <w:rsid w:val="00D836C5"/>
    <w:rsid w:val="00D84576"/>
    <w:rsid w:val="00DA1399"/>
    <w:rsid w:val="00DA24C6"/>
    <w:rsid w:val="00DA4D7B"/>
    <w:rsid w:val="00DB77C2"/>
    <w:rsid w:val="00DD271C"/>
    <w:rsid w:val="00DE264A"/>
    <w:rsid w:val="00DF3087"/>
    <w:rsid w:val="00DF5072"/>
    <w:rsid w:val="00E02D18"/>
    <w:rsid w:val="00E041E7"/>
    <w:rsid w:val="00E048A6"/>
    <w:rsid w:val="00E11BDB"/>
    <w:rsid w:val="00E23CA1"/>
    <w:rsid w:val="00E25673"/>
    <w:rsid w:val="00E30F31"/>
    <w:rsid w:val="00E409A8"/>
    <w:rsid w:val="00E50C12"/>
    <w:rsid w:val="00E6447B"/>
    <w:rsid w:val="00E65B91"/>
    <w:rsid w:val="00E7209D"/>
    <w:rsid w:val="00E72EAD"/>
    <w:rsid w:val="00E77223"/>
    <w:rsid w:val="00E8528B"/>
    <w:rsid w:val="00E85B94"/>
    <w:rsid w:val="00E978D0"/>
    <w:rsid w:val="00EA4613"/>
    <w:rsid w:val="00EA5A04"/>
    <w:rsid w:val="00EA7F91"/>
    <w:rsid w:val="00EB1523"/>
    <w:rsid w:val="00EB4854"/>
    <w:rsid w:val="00EC0E49"/>
    <w:rsid w:val="00EC101F"/>
    <w:rsid w:val="00EC1D9F"/>
    <w:rsid w:val="00EC641C"/>
    <w:rsid w:val="00EE0131"/>
    <w:rsid w:val="00EE17B0"/>
    <w:rsid w:val="00EF06D9"/>
    <w:rsid w:val="00EF0D31"/>
    <w:rsid w:val="00EF5AFB"/>
    <w:rsid w:val="00F3049E"/>
    <w:rsid w:val="00F30C64"/>
    <w:rsid w:val="00F32BA2"/>
    <w:rsid w:val="00F32CDB"/>
    <w:rsid w:val="00F40DD9"/>
    <w:rsid w:val="00F565FE"/>
    <w:rsid w:val="00F63A70"/>
    <w:rsid w:val="00F63D8C"/>
    <w:rsid w:val="00F6434A"/>
    <w:rsid w:val="00F7534E"/>
    <w:rsid w:val="00F808A6"/>
    <w:rsid w:val="00F93EDF"/>
    <w:rsid w:val="00FA0F01"/>
    <w:rsid w:val="00FA1802"/>
    <w:rsid w:val="00FA21D0"/>
    <w:rsid w:val="00FA5F5F"/>
    <w:rsid w:val="00FB730C"/>
    <w:rsid w:val="00FC2695"/>
    <w:rsid w:val="00FC3E03"/>
    <w:rsid w:val="00FC3FC1"/>
    <w:rsid w:val="00FF497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D4A29"/>
    <w:pPr>
      <w:keepNext/>
      <w:numPr>
        <w:ilvl w:val="2"/>
        <w:numId w:val="1"/>
      </w:numPr>
      <w:tabs>
        <w:tab w:val="left" w:pos="0"/>
      </w:tabs>
      <w:suppressAutoHyphens/>
      <w:spacing w:before="120" w:after="120" w:line="240" w:lineRule="auto"/>
    </w:pPr>
    <w:rPr>
      <w:rFonts w:ascii="Arial" w:eastAsia="Times New Roman" w:hAnsi="Arial" w:cs="Times New Roman"/>
      <w:b/>
      <w:color w:val="000000" w:themeColor="text1"/>
      <w:sz w:val="18"/>
      <w:szCs w:val="20"/>
      <w:lang w:val="en-GB" w:eastAsia="fr-FR"/>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1903CF"/>
    <w:pPr>
      <w:spacing w:before="12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D4A29"/>
    <w:rPr>
      <w:rFonts w:ascii="Arial" w:eastAsia="Times New Roman" w:hAnsi="Arial" w:cs="Times New Roman"/>
      <w:b/>
      <w:color w:val="000000" w:themeColor="text1"/>
      <w:sz w:val="18"/>
      <w:szCs w:val="20"/>
      <w:lang w:val="en-GB" w:eastAsia="fr-FR"/>
    </w:rPr>
  </w:style>
  <w:style w:type="character" w:customStyle="1" w:styleId="CETCaptionCarattere">
    <w:name w:val="CET Caption Carattere"/>
    <w:link w:val="CETCaption"/>
    <w:rsid w:val="001903CF"/>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eastAsia="fr-FR"/>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customStyle="1" w:styleId="y2iqfc">
    <w:name w:val="y2iqfc"/>
    <w:basedOn w:val="Policepardfaut"/>
    <w:rsid w:val="00EC641C"/>
  </w:style>
  <w:style w:type="paragraph" w:customStyle="1" w:styleId="Default">
    <w:name w:val="Default"/>
    <w:rsid w:val="003901FD"/>
    <w:pPr>
      <w:autoSpaceDE w:val="0"/>
      <w:autoSpaceDN w:val="0"/>
      <w:adjustRightInd w:val="0"/>
      <w:spacing w:after="0" w:line="240" w:lineRule="auto"/>
    </w:pPr>
    <w:rPr>
      <w:rFonts w:ascii="Cambria" w:eastAsia="Arial" w:hAnsi="Cambria" w:cs="Cambria"/>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D4A29"/>
    <w:pPr>
      <w:keepNext/>
      <w:numPr>
        <w:ilvl w:val="2"/>
        <w:numId w:val="1"/>
      </w:numPr>
      <w:tabs>
        <w:tab w:val="left" w:pos="0"/>
      </w:tabs>
      <w:suppressAutoHyphens/>
      <w:spacing w:before="120" w:after="120" w:line="240" w:lineRule="auto"/>
    </w:pPr>
    <w:rPr>
      <w:rFonts w:ascii="Arial" w:eastAsia="Times New Roman" w:hAnsi="Arial" w:cs="Times New Roman"/>
      <w:b/>
      <w:color w:val="000000" w:themeColor="text1"/>
      <w:sz w:val="18"/>
      <w:szCs w:val="20"/>
      <w:lang w:val="en-GB" w:eastAsia="fr-FR"/>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1903CF"/>
    <w:pPr>
      <w:spacing w:before="12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D4A29"/>
    <w:rPr>
      <w:rFonts w:ascii="Arial" w:eastAsia="Times New Roman" w:hAnsi="Arial" w:cs="Times New Roman"/>
      <w:b/>
      <w:color w:val="000000" w:themeColor="text1"/>
      <w:sz w:val="18"/>
      <w:szCs w:val="20"/>
      <w:lang w:val="en-GB" w:eastAsia="fr-FR"/>
    </w:rPr>
  </w:style>
  <w:style w:type="character" w:customStyle="1" w:styleId="CETCaptionCarattere">
    <w:name w:val="CET Caption Carattere"/>
    <w:link w:val="CETCaption"/>
    <w:rsid w:val="001903CF"/>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eastAsia="fr-FR"/>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customStyle="1" w:styleId="y2iqfc">
    <w:name w:val="y2iqfc"/>
    <w:basedOn w:val="Policepardfaut"/>
    <w:rsid w:val="00EC641C"/>
  </w:style>
  <w:style w:type="paragraph" w:customStyle="1" w:styleId="Default">
    <w:name w:val="Default"/>
    <w:rsid w:val="003901FD"/>
    <w:pPr>
      <w:autoSpaceDE w:val="0"/>
      <w:autoSpaceDN w:val="0"/>
      <w:adjustRightInd w:val="0"/>
      <w:spacing w:after="0" w:line="240" w:lineRule="auto"/>
    </w:pPr>
    <w:rPr>
      <w:rFonts w:ascii="Cambria" w:eastAsia="Arial" w:hAnsi="Cambria" w:cs="Cambri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179">
      <w:bodyDiv w:val="1"/>
      <w:marLeft w:val="0"/>
      <w:marRight w:val="0"/>
      <w:marTop w:val="0"/>
      <w:marBottom w:val="0"/>
      <w:divBdr>
        <w:top w:val="none" w:sz="0" w:space="0" w:color="auto"/>
        <w:left w:val="none" w:sz="0" w:space="0" w:color="auto"/>
        <w:bottom w:val="none" w:sz="0" w:space="0" w:color="auto"/>
        <w:right w:val="none" w:sz="0" w:space="0" w:color="auto"/>
      </w:divBdr>
      <w:divsChild>
        <w:div w:id="409425316">
          <w:marLeft w:val="0"/>
          <w:marRight w:val="0"/>
          <w:marTop w:val="0"/>
          <w:marBottom w:val="0"/>
          <w:divBdr>
            <w:top w:val="none" w:sz="0" w:space="0" w:color="auto"/>
            <w:left w:val="none" w:sz="0" w:space="0" w:color="auto"/>
            <w:bottom w:val="none" w:sz="0" w:space="0" w:color="auto"/>
            <w:right w:val="none" w:sz="0" w:space="0" w:color="auto"/>
          </w:divBdr>
        </w:div>
      </w:divsChild>
    </w:div>
    <w:div w:id="181601407">
      <w:bodyDiv w:val="1"/>
      <w:marLeft w:val="0"/>
      <w:marRight w:val="0"/>
      <w:marTop w:val="0"/>
      <w:marBottom w:val="0"/>
      <w:divBdr>
        <w:top w:val="none" w:sz="0" w:space="0" w:color="auto"/>
        <w:left w:val="none" w:sz="0" w:space="0" w:color="auto"/>
        <w:bottom w:val="none" w:sz="0" w:space="0" w:color="auto"/>
        <w:right w:val="none" w:sz="0" w:space="0" w:color="auto"/>
      </w:divBdr>
      <w:divsChild>
        <w:div w:id="146553457">
          <w:marLeft w:val="0"/>
          <w:marRight w:val="0"/>
          <w:marTop w:val="0"/>
          <w:marBottom w:val="0"/>
          <w:divBdr>
            <w:top w:val="none" w:sz="0" w:space="0" w:color="auto"/>
            <w:left w:val="none" w:sz="0" w:space="0" w:color="auto"/>
            <w:bottom w:val="none" w:sz="0" w:space="0" w:color="auto"/>
            <w:right w:val="none" w:sz="0" w:space="0" w:color="auto"/>
          </w:divBdr>
        </w:div>
      </w:divsChild>
    </w:div>
    <w:div w:id="184948538">
      <w:bodyDiv w:val="1"/>
      <w:marLeft w:val="0"/>
      <w:marRight w:val="0"/>
      <w:marTop w:val="0"/>
      <w:marBottom w:val="0"/>
      <w:divBdr>
        <w:top w:val="none" w:sz="0" w:space="0" w:color="auto"/>
        <w:left w:val="none" w:sz="0" w:space="0" w:color="auto"/>
        <w:bottom w:val="none" w:sz="0" w:space="0" w:color="auto"/>
        <w:right w:val="none" w:sz="0" w:space="0" w:color="auto"/>
      </w:divBdr>
      <w:divsChild>
        <w:div w:id="1905216354">
          <w:marLeft w:val="0"/>
          <w:marRight w:val="0"/>
          <w:marTop w:val="0"/>
          <w:marBottom w:val="0"/>
          <w:divBdr>
            <w:top w:val="none" w:sz="0" w:space="0" w:color="auto"/>
            <w:left w:val="none" w:sz="0" w:space="0" w:color="auto"/>
            <w:bottom w:val="none" w:sz="0" w:space="0" w:color="auto"/>
            <w:right w:val="none" w:sz="0" w:space="0" w:color="auto"/>
          </w:divBdr>
        </w:div>
      </w:divsChild>
    </w:div>
    <w:div w:id="256789528">
      <w:bodyDiv w:val="1"/>
      <w:marLeft w:val="0"/>
      <w:marRight w:val="0"/>
      <w:marTop w:val="0"/>
      <w:marBottom w:val="0"/>
      <w:divBdr>
        <w:top w:val="none" w:sz="0" w:space="0" w:color="auto"/>
        <w:left w:val="none" w:sz="0" w:space="0" w:color="auto"/>
        <w:bottom w:val="none" w:sz="0" w:space="0" w:color="auto"/>
        <w:right w:val="none" w:sz="0" w:space="0" w:color="auto"/>
      </w:divBdr>
      <w:divsChild>
        <w:div w:id="1834568760">
          <w:marLeft w:val="0"/>
          <w:marRight w:val="0"/>
          <w:marTop w:val="0"/>
          <w:marBottom w:val="0"/>
          <w:divBdr>
            <w:top w:val="none" w:sz="0" w:space="0" w:color="auto"/>
            <w:left w:val="none" w:sz="0" w:space="0" w:color="auto"/>
            <w:bottom w:val="none" w:sz="0" w:space="0" w:color="auto"/>
            <w:right w:val="none" w:sz="0" w:space="0" w:color="auto"/>
          </w:divBdr>
        </w:div>
      </w:divsChild>
    </w:div>
    <w:div w:id="360322892">
      <w:bodyDiv w:val="1"/>
      <w:marLeft w:val="0"/>
      <w:marRight w:val="0"/>
      <w:marTop w:val="0"/>
      <w:marBottom w:val="0"/>
      <w:divBdr>
        <w:top w:val="none" w:sz="0" w:space="0" w:color="auto"/>
        <w:left w:val="none" w:sz="0" w:space="0" w:color="auto"/>
        <w:bottom w:val="none" w:sz="0" w:space="0" w:color="auto"/>
        <w:right w:val="none" w:sz="0" w:space="0" w:color="auto"/>
      </w:divBdr>
    </w:div>
    <w:div w:id="378090198">
      <w:bodyDiv w:val="1"/>
      <w:marLeft w:val="0"/>
      <w:marRight w:val="0"/>
      <w:marTop w:val="0"/>
      <w:marBottom w:val="0"/>
      <w:divBdr>
        <w:top w:val="none" w:sz="0" w:space="0" w:color="auto"/>
        <w:left w:val="none" w:sz="0" w:space="0" w:color="auto"/>
        <w:bottom w:val="none" w:sz="0" w:space="0" w:color="auto"/>
        <w:right w:val="none" w:sz="0" w:space="0" w:color="auto"/>
      </w:divBdr>
      <w:divsChild>
        <w:div w:id="1518692440">
          <w:marLeft w:val="0"/>
          <w:marRight w:val="0"/>
          <w:marTop w:val="0"/>
          <w:marBottom w:val="0"/>
          <w:divBdr>
            <w:top w:val="none" w:sz="0" w:space="0" w:color="auto"/>
            <w:left w:val="none" w:sz="0" w:space="0" w:color="auto"/>
            <w:bottom w:val="none" w:sz="0" w:space="0" w:color="auto"/>
            <w:right w:val="none" w:sz="0" w:space="0" w:color="auto"/>
          </w:divBdr>
        </w:div>
      </w:divsChild>
    </w:div>
    <w:div w:id="389184509">
      <w:bodyDiv w:val="1"/>
      <w:marLeft w:val="0"/>
      <w:marRight w:val="0"/>
      <w:marTop w:val="0"/>
      <w:marBottom w:val="0"/>
      <w:divBdr>
        <w:top w:val="none" w:sz="0" w:space="0" w:color="auto"/>
        <w:left w:val="none" w:sz="0" w:space="0" w:color="auto"/>
        <w:bottom w:val="none" w:sz="0" w:space="0" w:color="auto"/>
        <w:right w:val="none" w:sz="0" w:space="0" w:color="auto"/>
      </w:divBdr>
      <w:divsChild>
        <w:div w:id="162013714">
          <w:marLeft w:val="0"/>
          <w:marRight w:val="0"/>
          <w:marTop w:val="0"/>
          <w:marBottom w:val="0"/>
          <w:divBdr>
            <w:top w:val="none" w:sz="0" w:space="0" w:color="auto"/>
            <w:left w:val="none" w:sz="0" w:space="0" w:color="auto"/>
            <w:bottom w:val="none" w:sz="0" w:space="0" w:color="auto"/>
            <w:right w:val="none" w:sz="0" w:space="0" w:color="auto"/>
          </w:divBdr>
        </w:div>
      </w:divsChild>
    </w:div>
    <w:div w:id="546524811">
      <w:bodyDiv w:val="1"/>
      <w:marLeft w:val="0"/>
      <w:marRight w:val="0"/>
      <w:marTop w:val="0"/>
      <w:marBottom w:val="0"/>
      <w:divBdr>
        <w:top w:val="none" w:sz="0" w:space="0" w:color="auto"/>
        <w:left w:val="none" w:sz="0" w:space="0" w:color="auto"/>
        <w:bottom w:val="none" w:sz="0" w:space="0" w:color="auto"/>
        <w:right w:val="none" w:sz="0" w:space="0" w:color="auto"/>
      </w:divBdr>
      <w:divsChild>
        <w:div w:id="339820429">
          <w:marLeft w:val="0"/>
          <w:marRight w:val="0"/>
          <w:marTop w:val="0"/>
          <w:marBottom w:val="0"/>
          <w:divBdr>
            <w:top w:val="none" w:sz="0" w:space="0" w:color="auto"/>
            <w:left w:val="none" w:sz="0" w:space="0" w:color="auto"/>
            <w:bottom w:val="none" w:sz="0" w:space="0" w:color="auto"/>
            <w:right w:val="none" w:sz="0" w:space="0" w:color="auto"/>
          </w:divBdr>
        </w:div>
      </w:divsChild>
    </w:div>
    <w:div w:id="654797257">
      <w:bodyDiv w:val="1"/>
      <w:marLeft w:val="0"/>
      <w:marRight w:val="0"/>
      <w:marTop w:val="0"/>
      <w:marBottom w:val="0"/>
      <w:divBdr>
        <w:top w:val="none" w:sz="0" w:space="0" w:color="auto"/>
        <w:left w:val="none" w:sz="0" w:space="0" w:color="auto"/>
        <w:bottom w:val="none" w:sz="0" w:space="0" w:color="auto"/>
        <w:right w:val="none" w:sz="0" w:space="0" w:color="auto"/>
      </w:divBdr>
      <w:divsChild>
        <w:div w:id="1514346222">
          <w:marLeft w:val="0"/>
          <w:marRight w:val="0"/>
          <w:marTop w:val="0"/>
          <w:marBottom w:val="0"/>
          <w:divBdr>
            <w:top w:val="none" w:sz="0" w:space="0" w:color="auto"/>
            <w:left w:val="none" w:sz="0" w:space="0" w:color="auto"/>
            <w:bottom w:val="none" w:sz="0" w:space="0" w:color="auto"/>
            <w:right w:val="none" w:sz="0" w:space="0" w:color="auto"/>
          </w:divBdr>
        </w:div>
      </w:divsChild>
    </w:div>
    <w:div w:id="688945902">
      <w:bodyDiv w:val="1"/>
      <w:marLeft w:val="0"/>
      <w:marRight w:val="0"/>
      <w:marTop w:val="0"/>
      <w:marBottom w:val="0"/>
      <w:divBdr>
        <w:top w:val="none" w:sz="0" w:space="0" w:color="auto"/>
        <w:left w:val="none" w:sz="0" w:space="0" w:color="auto"/>
        <w:bottom w:val="none" w:sz="0" w:space="0" w:color="auto"/>
        <w:right w:val="none" w:sz="0" w:space="0" w:color="auto"/>
      </w:divBdr>
      <w:divsChild>
        <w:div w:id="153885405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8084">
      <w:bodyDiv w:val="1"/>
      <w:marLeft w:val="0"/>
      <w:marRight w:val="0"/>
      <w:marTop w:val="0"/>
      <w:marBottom w:val="0"/>
      <w:divBdr>
        <w:top w:val="none" w:sz="0" w:space="0" w:color="auto"/>
        <w:left w:val="none" w:sz="0" w:space="0" w:color="auto"/>
        <w:bottom w:val="none" w:sz="0" w:space="0" w:color="auto"/>
        <w:right w:val="none" w:sz="0" w:space="0" w:color="auto"/>
      </w:divBdr>
      <w:divsChild>
        <w:div w:id="1659066822">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086630">
      <w:bodyDiv w:val="1"/>
      <w:marLeft w:val="0"/>
      <w:marRight w:val="0"/>
      <w:marTop w:val="0"/>
      <w:marBottom w:val="0"/>
      <w:divBdr>
        <w:top w:val="none" w:sz="0" w:space="0" w:color="auto"/>
        <w:left w:val="none" w:sz="0" w:space="0" w:color="auto"/>
        <w:bottom w:val="none" w:sz="0" w:space="0" w:color="auto"/>
        <w:right w:val="none" w:sz="0" w:space="0" w:color="auto"/>
      </w:divBdr>
    </w:div>
    <w:div w:id="916402792">
      <w:bodyDiv w:val="1"/>
      <w:marLeft w:val="0"/>
      <w:marRight w:val="0"/>
      <w:marTop w:val="0"/>
      <w:marBottom w:val="0"/>
      <w:divBdr>
        <w:top w:val="none" w:sz="0" w:space="0" w:color="auto"/>
        <w:left w:val="none" w:sz="0" w:space="0" w:color="auto"/>
        <w:bottom w:val="none" w:sz="0" w:space="0" w:color="auto"/>
        <w:right w:val="none" w:sz="0" w:space="0" w:color="auto"/>
      </w:divBdr>
      <w:divsChild>
        <w:div w:id="1154956210">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833">
      <w:bodyDiv w:val="1"/>
      <w:marLeft w:val="0"/>
      <w:marRight w:val="0"/>
      <w:marTop w:val="0"/>
      <w:marBottom w:val="0"/>
      <w:divBdr>
        <w:top w:val="none" w:sz="0" w:space="0" w:color="auto"/>
        <w:left w:val="none" w:sz="0" w:space="0" w:color="auto"/>
        <w:bottom w:val="none" w:sz="0" w:space="0" w:color="auto"/>
        <w:right w:val="none" w:sz="0" w:space="0" w:color="auto"/>
      </w:divBdr>
    </w:div>
    <w:div w:id="961571152">
      <w:bodyDiv w:val="1"/>
      <w:marLeft w:val="0"/>
      <w:marRight w:val="0"/>
      <w:marTop w:val="0"/>
      <w:marBottom w:val="0"/>
      <w:divBdr>
        <w:top w:val="none" w:sz="0" w:space="0" w:color="auto"/>
        <w:left w:val="none" w:sz="0" w:space="0" w:color="auto"/>
        <w:bottom w:val="none" w:sz="0" w:space="0" w:color="auto"/>
        <w:right w:val="none" w:sz="0" w:space="0" w:color="auto"/>
      </w:divBdr>
    </w:div>
    <w:div w:id="1088388401">
      <w:bodyDiv w:val="1"/>
      <w:marLeft w:val="0"/>
      <w:marRight w:val="0"/>
      <w:marTop w:val="0"/>
      <w:marBottom w:val="0"/>
      <w:divBdr>
        <w:top w:val="none" w:sz="0" w:space="0" w:color="auto"/>
        <w:left w:val="none" w:sz="0" w:space="0" w:color="auto"/>
        <w:bottom w:val="none" w:sz="0" w:space="0" w:color="auto"/>
        <w:right w:val="none" w:sz="0" w:space="0" w:color="auto"/>
      </w:divBdr>
      <w:divsChild>
        <w:div w:id="403793542">
          <w:marLeft w:val="0"/>
          <w:marRight w:val="0"/>
          <w:marTop w:val="0"/>
          <w:marBottom w:val="0"/>
          <w:divBdr>
            <w:top w:val="none" w:sz="0" w:space="0" w:color="auto"/>
            <w:left w:val="none" w:sz="0" w:space="0" w:color="auto"/>
            <w:bottom w:val="none" w:sz="0" w:space="0" w:color="auto"/>
            <w:right w:val="none" w:sz="0" w:space="0" w:color="auto"/>
          </w:divBdr>
        </w:div>
      </w:divsChild>
    </w:div>
    <w:div w:id="1109858389">
      <w:bodyDiv w:val="1"/>
      <w:marLeft w:val="0"/>
      <w:marRight w:val="0"/>
      <w:marTop w:val="0"/>
      <w:marBottom w:val="0"/>
      <w:divBdr>
        <w:top w:val="none" w:sz="0" w:space="0" w:color="auto"/>
        <w:left w:val="none" w:sz="0" w:space="0" w:color="auto"/>
        <w:bottom w:val="none" w:sz="0" w:space="0" w:color="auto"/>
        <w:right w:val="none" w:sz="0" w:space="0" w:color="auto"/>
      </w:divBdr>
      <w:divsChild>
        <w:div w:id="347757473">
          <w:marLeft w:val="0"/>
          <w:marRight w:val="0"/>
          <w:marTop w:val="0"/>
          <w:marBottom w:val="0"/>
          <w:divBdr>
            <w:top w:val="none" w:sz="0" w:space="0" w:color="auto"/>
            <w:left w:val="none" w:sz="0" w:space="0" w:color="auto"/>
            <w:bottom w:val="none" w:sz="0" w:space="0" w:color="auto"/>
            <w:right w:val="none" w:sz="0" w:space="0" w:color="auto"/>
          </w:divBdr>
        </w:div>
      </w:divsChild>
    </w:div>
    <w:div w:id="1179854026">
      <w:bodyDiv w:val="1"/>
      <w:marLeft w:val="0"/>
      <w:marRight w:val="0"/>
      <w:marTop w:val="0"/>
      <w:marBottom w:val="0"/>
      <w:divBdr>
        <w:top w:val="none" w:sz="0" w:space="0" w:color="auto"/>
        <w:left w:val="none" w:sz="0" w:space="0" w:color="auto"/>
        <w:bottom w:val="none" w:sz="0" w:space="0" w:color="auto"/>
        <w:right w:val="none" w:sz="0" w:space="0" w:color="auto"/>
      </w:divBdr>
      <w:divsChild>
        <w:div w:id="742213886">
          <w:marLeft w:val="0"/>
          <w:marRight w:val="0"/>
          <w:marTop w:val="0"/>
          <w:marBottom w:val="0"/>
          <w:divBdr>
            <w:top w:val="none" w:sz="0" w:space="0" w:color="auto"/>
            <w:left w:val="none" w:sz="0" w:space="0" w:color="auto"/>
            <w:bottom w:val="none" w:sz="0" w:space="0" w:color="auto"/>
            <w:right w:val="none" w:sz="0" w:space="0" w:color="auto"/>
          </w:divBdr>
        </w:div>
      </w:divsChild>
    </w:div>
    <w:div w:id="1210919209">
      <w:bodyDiv w:val="1"/>
      <w:marLeft w:val="0"/>
      <w:marRight w:val="0"/>
      <w:marTop w:val="0"/>
      <w:marBottom w:val="0"/>
      <w:divBdr>
        <w:top w:val="none" w:sz="0" w:space="0" w:color="auto"/>
        <w:left w:val="none" w:sz="0" w:space="0" w:color="auto"/>
        <w:bottom w:val="none" w:sz="0" w:space="0" w:color="auto"/>
        <w:right w:val="none" w:sz="0" w:space="0" w:color="auto"/>
      </w:divBdr>
      <w:divsChild>
        <w:div w:id="1884830779">
          <w:marLeft w:val="0"/>
          <w:marRight w:val="0"/>
          <w:marTop w:val="0"/>
          <w:marBottom w:val="0"/>
          <w:divBdr>
            <w:top w:val="none" w:sz="0" w:space="0" w:color="auto"/>
            <w:left w:val="none" w:sz="0" w:space="0" w:color="auto"/>
            <w:bottom w:val="none" w:sz="0" w:space="0" w:color="auto"/>
            <w:right w:val="none" w:sz="0" w:space="0" w:color="auto"/>
          </w:divBdr>
        </w:div>
      </w:divsChild>
    </w:div>
    <w:div w:id="1245841078">
      <w:bodyDiv w:val="1"/>
      <w:marLeft w:val="0"/>
      <w:marRight w:val="0"/>
      <w:marTop w:val="0"/>
      <w:marBottom w:val="0"/>
      <w:divBdr>
        <w:top w:val="none" w:sz="0" w:space="0" w:color="auto"/>
        <w:left w:val="none" w:sz="0" w:space="0" w:color="auto"/>
        <w:bottom w:val="none" w:sz="0" w:space="0" w:color="auto"/>
        <w:right w:val="none" w:sz="0" w:space="0" w:color="auto"/>
      </w:divBdr>
    </w:div>
    <w:div w:id="1256941349">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sChild>
        <w:div w:id="633561737">
          <w:marLeft w:val="0"/>
          <w:marRight w:val="0"/>
          <w:marTop w:val="0"/>
          <w:marBottom w:val="0"/>
          <w:divBdr>
            <w:top w:val="none" w:sz="0" w:space="0" w:color="auto"/>
            <w:left w:val="none" w:sz="0" w:space="0" w:color="auto"/>
            <w:bottom w:val="none" w:sz="0" w:space="0" w:color="auto"/>
            <w:right w:val="none" w:sz="0" w:space="0" w:color="auto"/>
          </w:divBdr>
        </w:div>
      </w:divsChild>
    </w:div>
    <w:div w:id="1337610475">
      <w:bodyDiv w:val="1"/>
      <w:marLeft w:val="0"/>
      <w:marRight w:val="0"/>
      <w:marTop w:val="0"/>
      <w:marBottom w:val="0"/>
      <w:divBdr>
        <w:top w:val="none" w:sz="0" w:space="0" w:color="auto"/>
        <w:left w:val="none" w:sz="0" w:space="0" w:color="auto"/>
        <w:bottom w:val="none" w:sz="0" w:space="0" w:color="auto"/>
        <w:right w:val="none" w:sz="0" w:space="0" w:color="auto"/>
      </w:divBdr>
      <w:divsChild>
        <w:div w:id="2068913937">
          <w:marLeft w:val="0"/>
          <w:marRight w:val="0"/>
          <w:marTop w:val="0"/>
          <w:marBottom w:val="0"/>
          <w:divBdr>
            <w:top w:val="none" w:sz="0" w:space="0" w:color="auto"/>
            <w:left w:val="none" w:sz="0" w:space="0" w:color="auto"/>
            <w:bottom w:val="none" w:sz="0" w:space="0" w:color="auto"/>
            <w:right w:val="none" w:sz="0" w:space="0" w:color="auto"/>
          </w:divBdr>
        </w:div>
      </w:divsChild>
    </w:div>
    <w:div w:id="1392536726">
      <w:bodyDiv w:val="1"/>
      <w:marLeft w:val="0"/>
      <w:marRight w:val="0"/>
      <w:marTop w:val="0"/>
      <w:marBottom w:val="0"/>
      <w:divBdr>
        <w:top w:val="none" w:sz="0" w:space="0" w:color="auto"/>
        <w:left w:val="none" w:sz="0" w:space="0" w:color="auto"/>
        <w:bottom w:val="none" w:sz="0" w:space="0" w:color="auto"/>
        <w:right w:val="none" w:sz="0" w:space="0" w:color="auto"/>
      </w:divBdr>
      <w:divsChild>
        <w:div w:id="1339773336">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506">
      <w:bodyDiv w:val="1"/>
      <w:marLeft w:val="0"/>
      <w:marRight w:val="0"/>
      <w:marTop w:val="0"/>
      <w:marBottom w:val="0"/>
      <w:divBdr>
        <w:top w:val="none" w:sz="0" w:space="0" w:color="auto"/>
        <w:left w:val="none" w:sz="0" w:space="0" w:color="auto"/>
        <w:bottom w:val="none" w:sz="0" w:space="0" w:color="auto"/>
        <w:right w:val="none" w:sz="0" w:space="0" w:color="auto"/>
      </w:divBdr>
      <w:divsChild>
        <w:div w:id="1571186331">
          <w:marLeft w:val="0"/>
          <w:marRight w:val="0"/>
          <w:marTop w:val="0"/>
          <w:marBottom w:val="0"/>
          <w:divBdr>
            <w:top w:val="none" w:sz="0" w:space="0" w:color="auto"/>
            <w:left w:val="none" w:sz="0" w:space="0" w:color="auto"/>
            <w:bottom w:val="none" w:sz="0" w:space="0" w:color="auto"/>
            <w:right w:val="none" w:sz="0" w:space="0" w:color="auto"/>
          </w:divBdr>
        </w:div>
      </w:divsChild>
    </w:div>
    <w:div w:id="1866862158">
      <w:bodyDiv w:val="1"/>
      <w:marLeft w:val="0"/>
      <w:marRight w:val="0"/>
      <w:marTop w:val="0"/>
      <w:marBottom w:val="0"/>
      <w:divBdr>
        <w:top w:val="none" w:sz="0" w:space="0" w:color="auto"/>
        <w:left w:val="none" w:sz="0" w:space="0" w:color="auto"/>
        <w:bottom w:val="none" w:sz="0" w:space="0" w:color="auto"/>
        <w:right w:val="none" w:sz="0" w:space="0" w:color="auto"/>
      </w:divBdr>
      <w:divsChild>
        <w:div w:id="748380189">
          <w:marLeft w:val="0"/>
          <w:marRight w:val="0"/>
          <w:marTop w:val="0"/>
          <w:marBottom w:val="0"/>
          <w:divBdr>
            <w:top w:val="none" w:sz="0" w:space="0" w:color="auto"/>
            <w:left w:val="none" w:sz="0" w:space="0" w:color="auto"/>
            <w:bottom w:val="none" w:sz="0" w:space="0" w:color="auto"/>
            <w:right w:val="none" w:sz="0" w:space="0" w:color="auto"/>
          </w:divBdr>
        </w:div>
      </w:divsChild>
    </w:div>
    <w:div w:id="2003115925">
      <w:bodyDiv w:val="1"/>
      <w:marLeft w:val="0"/>
      <w:marRight w:val="0"/>
      <w:marTop w:val="0"/>
      <w:marBottom w:val="0"/>
      <w:divBdr>
        <w:top w:val="none" w:sz="0" w:space="0" w:color="auto"/>
        <w:left w:val="none" w:sz="0" w:space="0" w:color="auto"/>
        <w:bottom w:val="none" w:sz="0" w:space="0" w:color="auto"/>
        <w:right w:val="none" w:sz="0" w:space="0" w:color="auto"/>
      </w:divBdr>
    </w:div>
    <w:div w:id="2031255405">
      <w:bodyDiv w:val="1"/>
      <w:marLeft w:val="0"/>
      <w:marRight w:val="0"/>
      <w:marTop w:val="0"/>
      <w:marBottom w:val="0"/>
      <w:divBdr>
        <w:top w:val="none" w:sz="0" w:space="0" w:color="auto"/>
        <w:left w:val="none" w:sz="0" w:space="0" w:color="auto"/>
        <w:bottom w:val="none" w:sz="0" w:space="0" w:color="auto"/>
        <w:right w:val="none" w:sz="0" w:space="0" w:color="auto"/>
      </w:divBdr>
      <w:divsChild>
        <w:div w:id="892808682">
          <w:marLeft w:val="0"/>
          <w:marRight w:val="0"/>
          <w:marTop w:val="0"/>
          <w:marBottom w:val="0"/>
          <w:divBdr>
            <w:top w:val="none" w:sz="0" w:space="0" w:color="auto"/>
            <w:left w:val="none" w:sz="0" w:space="0" w:color="auto"/>
            <w:bottom w:val="none" w:sz="0" w:space="0" w:color="auto"/>
            <w:right w:val="none" w:sz="0" w:space="0" w:color="auto"/>
          </w:divBdr>
        </w:div>
      </w:divsChild>
    </w:div>
    <w:div w:id="2107530655">
      <w:bodyDiv w:val="1"/>
      <w:marLeft w:val="0"/>
      <w:marRight w:val="0"/>
      <w:marTop w:val="0"/>
      <w:marBottom w:val="0"/>
      <w:divBdr>
        <w:top w:val="none" w:sz="0" w:space="0" w:color="auto"/>
        <w:left w:val="none" w:sz="0" w:space="0" w:color="auto"/>
        <w:bottom w:val="none" w:sz="0" w:space="0" w:color="auto"/>
        <w:right w:val="none" w:sz="0" w:space="0" w:color="auto"/>
      </w:divBdr>
      <w:divsChild>
        <w:div w:id="538589108">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charts/_rels/chart1.xml.rels><?xml version="1.0" encoding="UTF-8" standalone="yes"?>
<Relationships xmlns="http://schemas.openxmlformats.org/package/2006/relationships"><Relationship Id="rId2" Type="http://schemas.openxmlformats.org/officeDocument/2006/relationships/oleObject" Target="file:///C:\Users\Gabriela%20ESPADAS\Google%20Drive\1_THESE\0_Manuscrit\Chapter%20II\LCA_scenariosresul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Gabriela%20ESPADAS\Google%20Drive\1_THESE\0_Manuscrit\Chapter%20IV\Graph%20circular%20production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56112152078636"/>
          <c:y val="0.1673728358698047"/>
          <c:w val="0.83229753331021394"/>
          <c:h val="0.716443884295485"/>
        </c:manualLayout>
      </c:layout>
      <c:barChart>
        <c:barDir val="col"/>
        <c:grouping val="stacked"/>
        <c:varyColors val="0"/>
        <c:ser>
          <c:idx val="0"/>
          <c:order val="0"/>
          <c:tx>
            <c:strRef>
              <c:f>GWP!$H$16</c:f>
              <c:strCache>
                <c:ptCount val="1"/>
                <c:pt idx="0">
                  <c:v>Agricultural phase </c:v>
                </c:pt>
              </c:strCache>
            </c:strRef>
          </c:tx>
          <c:spPr>
            <a:pattFill prst="dkUpDiag">
              <a:fgClr>
                <a:schemeClr val="accent6"/>
              </a:fgClr>
              <a:bgClr>
                <a:schemeClr val="bg1"/>
              </a:bgClr>
            </a:pattFill>
            <a:ln w="12700">
              <a:solidFill>
                <a:schemeClr val="accent6"/>
              </a:solidFill>
            </a:ln>
            <a:effectLst/>
          </c:spPr>
          <c:invertIfNegative val="0"/>
          <c:cat>
            <c:strRef>
              <c:f>GWP!$F$17:$F$27</c:f>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f>GWP!$H$17:$H$27</c:f>
              <c:numCache>
                <c:formatCode>0.00</c:formatCode>
                <c:ptCount val="11"/>
                <c:pt idx="0">
                  <c:v>5.5523860000000003</c:v>
                </c:pt>
                <c:pt idx="1">
                  <c:v>2.7066674000000002</c:v>
                </c:pt>
                <c:pt idx="2">
                  <c:v>3.6429548</c:v>
                </c:pt>
                <c:pt idx="3">
                  <c:v>2.8636618</c:v>
                </c:pt>
                <c:pt idx="4">
                  <c:v>1.9426357000000001</c:v>
                </c:pt>
                <c:pt idx="5">
                  <c:v>4.2979976000000004</c:v>
                </c:pt>
                <c:pt idx="6">
                  <c:v>2.7900233999999999</c:v>
                </c:pt>
                <c:pt idx="7">
                  <c:v>2.1802839000000001</c:v>
                </c:pt>
                <c:pt idx="8">
                  <c:v>6.2127897000000001</c:v>
                </c:pt>
                <c:pt idx="9">
                  <c:v>2.2948043999999999</c:v>
                </c:pt>
                <c:pt idx="10">
                  <c:v>3.4997028000000001</c:v>
                </c:pt>
              </c:numCache>
            </c:numRef>
          </c:val>
          <c:extLst xmlns:c16r2="http://schemas.microsoft.com/office/drawing/2015/06/chart">
            <c:ext xmlns:c16="http://schemas.microsoft.com/office/drawing/2014/chart" uri="{C3380CC4-5D6E-409C-BE32-E72D297353CC}">
              <c16:uniqueId val="{00000000-FB81-40C2-9DCE-EAA61EB55D08}"/>
            </c:ext>
          </c:extLst>
        </c:ser>
        <c:ser>
          <c:idx val="1"/>
          <c:order val="1"/>
          <c:tx>
            <c:strRef>
              <c:f>GWP!$I$16</c:f>
              <c:strCache>
                <c:ptCount val="1"/>
                <c:pt idx="0">
                  <c:v>Olive oil extraction</c:v>
                </c:pt>
              </c:strCache>
            </c:strRef>
          </c:tx>
          <c:spPr>
            <a:pattFill prst="pct70">
              <a:fgClr>
                <a:srgbClr val="F089B7"/>
              </a:fgClr>
              <a:bgClr>
                <a:schemeClr val="bg1"/>
              </a:bgClr>
            </a:pattFill>
            <a:ln w="12700">
              <a:solidFill>
                <a:srgbClr val="EC80A4"/>
              </a:solidFill>
            </a:ln>
            <a:effectLst/>
          </c:spPr>
          <c:invertIfNegative val="0"/>
          <c:cat>
            <c:strRef>
              <c:f>GWP!$F$17:$F$27</c:f>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f>GWP!$I$17:$I$27</c:f>
              <c:numCache>
                <c:formatCode>0.00</c:formatCode>
                <c:ptCount val="11"/>
                <c:pt idx="0">
                  <c:v>0.43697713999999999</c:v>
                </c:pt>
                <c:pt idx="1">
                  <c:v>0.43697713999999999</c:v>
                </c:pt>
                <c:pt idx="2">
                  <c:v>0.43697713999999999</c:v>
                </c:pt>
                <c:pt idx="3">
                  <c:v>0.43697713999999999</c:v>
                </c:pt>
                <c:pt idx="4">
                  <c:v>0.43697713999999999</c:v>
                </c:pt>
                <c:pt idx="5">
                  <c:v>0.43697713999999999</c:v>
                </c:pt>
                <c:pt idx="6">
                  <c:v>0.43697713999999999</c:v>
                </c:pt>
                <c:pt idx="7">
                  <c:v>0.43697713999999999</c:v>
                </c:pt>
                <c:pt idx="8">
                  <c:v>0.43697713999999999</c:v>
                </c:pt>
                <c:pt idx="9">
                  <c:v>0.43697713999999999</c:v>
                </c:pt>
                <c:pt idx="10">
                  <c:v>0.43697713999999999</c:v>
                </c:pt>
              </c:numCache>
            </c:numRef>
          </c:val>
          <c:extLst xmlns:c16r2="http://schemas.microsoft.com/office/drawing/2015/06/chart">
            <c:ext xmlns:c16="http://schemas.microsoft.com/office/drawing/2014/chart" uri="{C3380CC4-5D6E-409C-BE32-E72D297353CC}">
              <c16:uniqueId val="{00000001-FB81-40C2-9DCE-EAA61EB55D08}"/>
            </c:ext>
          </c:extLst>
        </c:ser>
        <c:ser>
          <c:idx val="2"/>
          <c:order val="2"/>
          <c:tx>
            <c:strRef>
              <c:f>GWP!$J$16</c:f>
              <c:strCache>
                <c:ptCount val="1"/>
                <c:pt idx="0">
                  <c:v>Packaging</c:v>
                </c:pt>
              </c:strCache>
            </c:strRef>
          </c:tx>
          <c:spPr>
            <a:pattFill prst="narHorz">
              <a:fgClr>
                <a:srgbClr val="5695A3"/>
              </a:fgClr>
              <a:bgClr>
                <a:schemeClr val="bg1"/>
              </a:bgClr>
            </a:pattFill>
            <a:ln w="12700">
              <a:solidFill>
                <a:srgbClr val="5695A3"/>
              </a:solidFill>
            </a:ln>
            <a:effectLst/>
          </c:spPr>
          <c:invertIfNegative val="0"/>
          <c:cat>
            <c:strRef>
              <c:f>GWP!$F$17:$F$27</c:f>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f>GWP!$J$17:$J$27</c:f>
              <c:numCache>
                <c:formatCode>0.00</c:formatCode>
                <c:ptCount val="11"/>
                <c:pt idx="0">
                  <c:v>0.32356409000000003</c:v>
                </c:pt>
                <c:pt idx="1">
                  <c:v>0.32356409000000003</c:v>
                </c:pt>
                <c:pt idx="2">
                  <c:v>0.32356409000000003</c:v>
                </c:pt>
                <c:pt idx="3">
                  <c:v>0.32356409000000003</c:v>
                </c:pt>
                <c:pt idx="4">
                  <c:v>0.32356409000000003</c:v>
                </c:pt>
                <c:pt idx="5">
                  <c:v>0.32356409000000003</c:v>
                </c:pt>
                <c:pt idx="6">
                  <c:v>0.32356409000000003</c:v>
                </c:pt>
                <c:pt idx="7">
                  <c:v>0.32356409000000003</c:v>
                </c:pt>
                <c:pt idx="8">
                  <c:v>0.32356409000000003</c:v>
                </c:pt>
                <c:pt idx="9">
                  <c:v>0.32356409000000003</c:v>
                </c:pt>
                <c:pt idx="10">
                  <c:v>0.32356409000000003</c:v>
                </c:pt>
              </c:numCache>
            </c:numRef>
          </c:val>
          <c:extLst xmlns:c16r2="http://schemas.microsoft.com/office/drawing/2015/06/chart">
            <c:ext xmlns:c16="http://schemas.microsoft.com/office/drawing/2014/chart" uri="{C3380CC4-5D6E-409C-BE32-E72D297353CC}">
              <c16:uniqueId val="{00000002-FB81-40C2-9DCE-EAA61EB55D08}"/>
            </c:ext>
          </c:extLst>
        </c:ser>
        <c:ser>
          <c:idx val="3"/>
          <c:order val="3"/>
          <c:tx>
            <c:strRef>
              <c:f>GWP!$K$16</c:f>
              <c:strCache>
                <c:ptCount val="1"/>
                <c:pt idx="0">
                  <c:v>Pomace treatment</c:v>
                </c:pt>
              </c:strCache>
            </c:strRef>
          </c:tx>
          <c:spPr>
            <a:solidFill>
              <a:srgbClr val="F0AFC8"/>
            </a:solidFill>
            <a:ln>
              <a:noFill/>
            </a:ln>
            <a:effectLst/>
          </c:spPr>
          <c:invertIfNegative val="0"/>
          <c:cat>
            <c:strRef>
              <c:f>GWP!$F$17:$F$27</c:f>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f>GWP!$K$17:$K$27</c:f>
              <c:numCache>
                <c:formatCode>General</c:formatCode>
                <c:ptCount val="11"/>
                <c:pt idx="9" formatCode="0.00">
                  <c:v>2.3833051000000001E-2</c:v>
                </c:pt>
                <c:pt idx="10" formatCode="0.00">
                  <c:v>7.0439905999999997E-2</c:v>
                </c:pt>
              </c:numCache>
            </c:numRef>
          </c:val>
          <c:extLst xmlns:c16r2="http://schemas.microsoft.com/office/drawing/2015/06/chart">
            <c:ext xmlns:c16="http://schemas.microsoft.com/office/drawing/2014/chart" uri="{C3380CC4-5D6E-409C-BE32-E72D297353CC}">
              <c16:uniqueId val="{00000003-FB81-40C2-9DCE-EAA61EB55D08}"/>
            </c:ext>
          </c:extLst>
        </c:ser>
        <c:ser>
          <c:idx val="4"/>
          <c:order val="4"/>
          <c:tx>
            <c:strRef>
              <c:f>GWP!$L$16</c:f>
              <c:strCache>
                <c:ptCount val="1"/>
                <c:pt idx="0">
                  <c:v>Packaging EOL</c:v>
                </c:pt>
              </c:strCache>
            </c:strRef>
          </c:tx>
          <c:spPr>
            <a:pattFill prst="dkVert">
              <a:fgClr>
                <a:srgbClr val="C6A1F0"/>
              </a:fgClr>
              <a:bgClr>
                <a:schemeClr val="bg1"/>
              </a:bgClr>
            </a:pattFill>
            <a:ln w="12700">
              <a:solidFill>
                <a:srgbClr val="CC99FF"/>
              </a:solidFill>
            </a:ln>
            <a:effectLst/>
          </c:spPr>
          <c:invertIfNegative val="0"/>
          <c:cat>
            <c:strRef>
              <c:f>GWP!$F$17:$F$27</c:f>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f>GWP!$L$17:$L$27</c:f>
              <c:numCache>
                <c:formatCode>0.00</c:formatCode>
                <c:ptCount val="11"/>
                <c:pt idx="0">
                  <c:v>8.5549212999999999E-2</c:v>
                </c:pt>
                <c:pt idx="1">
                  <c:v>8.5549212999999999E-2</c:v>
                </c:pt>
                <c:pt idx="2">
                  <c:v>8.5549212999999999E-2</c:v>
                </c:pt>
                <c:pt idx="3">
                  <c:v>8.5549212999999999E-2</c:v>
                </c:pt>
                <c:pt idx="4">
                  <c:v>8.5549212999999999E-2</c:v>
                </c:pt>
                <c:pt idx="5">
                  <c:v>8.5549212999999999E-2</c:v>
                </c:pt>
                <c:pt idx="6">
                  <c:v>8.5549212999999999E-2</c:v>
                </c:pt>
                <c:pt idx="7">
                  <c:v>8.5549212999999999E-2</c:v>
                </c:pt>
                <c:pt idx="8">
                  <c:v>8.5549212999999999E-2</c:v>
                </c:pt>
                <c:pt idx="9">
                  <c:v>8.5549212999999999E-2</c:v>
                </c:pt>
                <c:pt idx="10">
                  <c:v>8.5549212999999999E-2</c:v>
                </c:pt>
              </c:numCache>
            </c:numRef>
          </c:val>
          <c:extLst xmlns:c16r2="http://schemas.microsoft.com/office/drawing/2015/06/chart">
            <c:ext xmlns:c16="http://schemas.microsoft.com/office/drawing/2014/chart" uri="{C3380CC4-5D6E-409C-BE32-E72D297353CC}">
              <c16:uniqueId val="{00000004-FB81-40C2-9DCE-EAA61EB55D08}"/>
            </c:ext>
          </c:extLst>
        </c:ser>
        <c:dLbls>
          <c:showLegendKey val="0"/>
          <c:showVal val="0"/>
          <c:showCatName val="0"/>
          <c:showSerName val="0"/>
          <c:showPercent val="0"/>
          <c:showBubbleSize val="0"/>
        </c:dLbls>
        <c:gapWidth val="100"/>
        <c:overlap val="100"/>
        <c:axId val="233961728"/>
        <c:axId val="234094592"/>
        <c:extLst xmlns:c16r2="http://schemas.microsoft.com/office/drawing/2015/06/chart">
          <c:ext xmlns:c15="http://schemas.microsoft.com/office/drawing/2012/chart" uri="{02D57815-91ED-43cb-92C2-25804820EDAC}">
            <c15:filteredBarSeries>
              <c15:ser>
                <c:idx val="6"/>
                <c:order val="5"/>
                <c:tx>
                  <c:strRef>
                    <c:extLst>
                      <c:ext uri="{02D57815-91ED-43cb-92C2-25804820EDAC}">
                        <c15:formulaRef>
                          <c15:sqref>GWP!$M$16</c15:sqref>
                        </c15:formulaRef>
                      </c:ext>
                    </c:extLst>
                    <c:strCache>
                      <c:ptCount val="1"/>
                    </c:strCache>
                  </c:strRef>
                </c:tx>
                <c:spPr>
                  <a:solidFill>
                    <a:srgbClr val="A89E34"/>
                  </a:solidFill>
                  <a:ln>
                    <a:noFill/>
                  </a:ln>
                  <a:effectLst/>
                </c:spPr>
                <c:invertIfNegative val="0"/>
                <c:cat>
                  <c:strRef>
                    <c:extLst>
                      <c:ext uri="{02D57815-91ED-43cb-92C2-25804820EDAC}">
                        <c15:formulaRef>
                          <c15:sqref>GWP!$F$17:$F$27</c15:sqref>
                        </c15:formulaRef>
                      </c:ext>
                    </c:extLst>
                    <c:strCache>
                      <c:ptCount val="11"/>
                      <c:pt idx="0">
                        <c:v>S1-CTI</c:v>
                      </c:pt>
                      <c:pt idx="1">
                        <c:v>S2-CTI</c:v>
                      </c:pt>
                      <c:pt idx="2">
                        <c:v>S3-CTI</c:v>
                      </c:pt>
                      <c:pt idx="3">
                        <c:v>S4-CTI</c:v>
                      </c:pt>
                      <c:pt idx="4">
                        <c:v>S5-CTI</c:v>
                      </c:pt>
                      <c:pt idx="5">
                        <c:v>S6-CTD</c:v>
                      </c:pt>
                      <c:pt idx="6">
                        <c:v>S7-CTD</c:v>
                      </c:pt>
                      <c:pt idx="7">
                        <c:v>S8-CII</c:v>
                      </c:pt>
                      <c:pt idx="8">
                        <c:v>S9-CID</c:v>
                      </c:pt>
                      <c:pt idx="9">
                        <c:v>S10-OTI</c:v>
                      </c:pt>
                      <c:pt idx="10">
                        <c:v>S11-OTD</c:v>
                      </c:pt>
                    </c:strCache>
                  </c:strRef>
                </c:cat>
                <c:val>
                  <c:numRef>
                    <c:extLst>
                      <c:ext uri="{02D57815-91ED-43cb-92C2-25804820EDAC}">
                        <c15:formulaRef>
                          <c15:sqref>GWP!$M$17:$M$27</c15:sqref>
                        </c15:formulaRef>
                      </c:ext>
                    </c:extLst>
                    <c:numCache>
                      <c:formatCode>General</c:formatCode>
                      <c:ptCount val="11"/>
                    </c:numCache>
                  </c:numRef>
                </c:val>
                <c:extLst>
                  <c:ext xmlns:c16="http://schemas.microsoft.com/office/drawing/2014/chart" uri="{C3380CC4-5D6E-409C-BE32-E72D297353CC}">
                    <c16:uniqueId val="{00000005-FB81-40C2-9DCE-EAA61EB55D08}"/>
                  </c:ext>
                </c:extLst>
              </c15:ser>
            </c15:filteredBarSeries>
            <c15:filteredBarSeries>
              <c15:ser>
                <c:idx val="7"/>
                <c:order val="6"/>
                <c:tx>
                  <c:strRef>
                    <c:extLst xmlns:c15="http://schemas.microsoft.com/office/drawing/2012/chart">
                      <c:ext xmlns:c15="http://schemas.microsoft.com/office/drawing/2012/chart" uri="{02D57815-91ED-43cb-92C2-25804820EDAC}">
                        <c15:formulaRef>
                          <c15:sqref>GWP!$Q$16</c15:sqref>
                        </c15:formulaRef>
                      </c:ext>
                    </c:extLst>
                    <c:strCache>
                      <c:ptCount val="1"/>
                      <c:pt idx="0">
                        <c:v>Oil extraction. 
packaging. EOL*. 
pomace treatment </c:v>
                      </c:pt>
                    </c:strCache>
                  </c:strRef>
                </c:tx>
                <c:spPr>
                  <a:pattFill prst="dkUpDiag">
                    <a:fgClr>
                      <a:schemeClr val="accent3"/>
                    </a:fgClr>
                    <a:bgClr>
                      <a:schemeClr val="bg1"/>
                    </a:bgClr>
                  </a:pattFill>
                  <a:ln>
                    <a:noFill/>
                  </a:ln>
                  <a:effectLst/>
                </c:spPr>
                <c:invertIfNegative val="0"/>
                <c:val>
                  <c:numRef>
                    <c:extLst xmlns:c15="http://schemas.microsoft.com/office/drawing/2012/chart">
                      <c:ext xmlns:c15="http://schemas.microsoft.com/office/drawing/2012/chart" uri="{02D57815-91ED-43cb-92C2-25804820EDAC}">
                        <c15:formulaRef>
                          <c15:sqref>GWP!$Q$17:$Q$27</c15:sqref>
                        </c15:formulaRef>
                      </c:ext>
                    </c:extLst>
                    <c:numCache>
                      <c:formatCode>0.0000</c:formatCode>
                      <c:ptCount val="11"/>
                      <c:pt idx="0">
                        <c:v>84.245879451357808</c:v>
                      </c:pt>
                      <c:pt idx="1">
                        <c:v>46.777575717985123</c:v>
                      </c:pt>
                      <c:pt idx="2">
                        <c:v>59.105252101702021</c:v>
                      </c:pt>
                      <c:pt idx="3">
                        <c:v>48.844650827254732</c:v>
                      </c:pt>
                      <c:pt idx="4">
                        <c:v>36.717911744219542</c:v>
                      </c:pt>
                      <c:pt idx="5">
                        <c:v>67.729907932650605</c:v>
                      </c:pt>
                      <c:pt idx="6">
                        <c:v>47.875085504329903</c:v>
                      </c:pt>
                      <c:pt idx="7">
                        <c:v>39.846917979956444</c:v>
                      </c:pt>
                      <c:pt idx="8">
                        <c:v>92.941119857000004</c:v>
                      </c:pt>
                      <c:pt idx="9">
                        <c:v>41.668558054574191</c:v>
                      </c:pt>
                      <c:pt idx="10">
                        <c:v>58.146569128942076</c:v>
                      </c:pt>
                    </c:numCache>
                  </c:numRef>
                </c:val>
                <c:extLst xmlns:c15="http://schemas.microsoft.com/office/drawing/2012/chart">
                  <c:ext xmlns:c16="http://schemas.microsoft.com/office/drawing/2014/chart" uri="{C3380CC4-5D6E-409C-BE32-E72D297353CC}">
                    <c16:uniqueId val="{00000006-FB81-40C2-9DCE-EAA61EB55D08}"/>
                  </c:ext>
                </c:extLst>
              </c15:ser>
            </c15:filteredBarSeries>
          </c:ext>
        </c:extLst>
      </c:barChart>
      <c:catAx>
        <c:axId val="23396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crossAx val="234094592"/>
        <c:crosses val="autoZero"/>
        <c:auto val="1"/>
        <c:lblAlgn val="ctr"/>
        <c:lblOffset val="100"/>
        <c:noMultiLvlLbl val="0"/>
      </c:catAx>
      <c:valAx>
        <c:axId val="234094592"/>
        <c:scaling>
          <c:orientation val="minMax"/>
          <c:max val="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65000"/>
                        <a:lumOff val="35000"/>
                      </a:schemeClr>
                    </a:solidFill>
                    <a:latin typeface="+mj-lt"/>
                    <a:ea typeface="+mn-ea"/>
                    <a:cs typeface="+mn-cs"/>
                  </a:defRPr>
                </a:pPr>
                <a:r>
                  <a:rPr lang="es-MX" sz="900" b="0" i="0" baseline="0">
                    <a:solidFill>
                      <a:schemeClr val="tx1">
                        <a:lumMod val="65000"/>
                        <a:lumOff val="35000"/>
                      </a:schemeClr>
                    </a:solidFill>
                    <a:effectLst/>
                    <a:latin typeface="+mj-lt"/>
                    <a:ea typeface="Cambria" panose="02040503050406030204" pitchFamily="18" charset="0"/>
                    <a:cs typeface="Arial" panose="020B0604020202020204" pitchFamily="34" charset="0"/>
                  </a:rPr>
                  <a:t>Climate change category  </a:t>
                </a: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65000"/>
                        <a:lumOff val="35000"/>
                      </a:schemeClr>
                    </a:solidFill>
                    <a:latin typeface="+mj-lt"/>
                    <a:ea typeface="+mn-ea"/>
                    <a:cs typeface="+mn-cs"/>
                  </a:defRPr>
                </a:pPr>
                <a:r>
                  <a:rPr lang="es-MX" sz="900" b="0" i="0" baseline="0">
                    <a:solidFill>
                      <a:schemeClr val="tx1">
                        <a:lumMod val="65000"/>
                        <a:lumOff val="35000"/>
                      </a:schemeClr>
                    </a:solidFill>
                    <a:effectLst/>
                    <a:latin typeface="+mj-lt"/>
                    <a:ea typeface="Cambria" panose="02040503050406030204" pitchFamily="18" charset="0"/>
                    <a:cs typeface="Arial" panose="020B0604020202020204" pitchFamily="34" charset="0"/>
                  </a:rPr>
                  <a:t>(kg CO</a:t>
                </a:r>
                <a:r>
                  <a:rPr lang="es-MX" sz="900" b="0" i="0" baseline="-25000">
                    <a:solidFill>
                      <a:schemeClr val="tx1">
                        <a:lumMod val="65000"/>
                        <a:lumOff val="35000"/>
                      </a:schemeClr>
                    </a:solidFill>
                    <a:effectLst/>
                    <a:latin typeface="+mj-lt"/>
                    <a:ea typeface="Cambria" panose="02040503050406030204" pitchFamily="18" charset="0"/>
                    <a:cs typeface="Arial" panose="020B0604020202020204" pitchFamily="34" charset="0"/>
                  </a:rPr>
                  <a:t>2</a:t>
                </a:r>
                <a:r>
                  <a:rPr lang="es-MX" sz="900" b="0" i="0" baseline="0">
                    <a:solidFill>
                      <a:schemeClr val="tx1">
                        <a:lumMod val="65000"/>
                        <a:lumOff val="35000"/>
                      </a:schemeClr>
                    </a:solidFill>
                    <a:effectLst/>
                    <a:latin typeface="+mj-lt"/>
                    <a:ea typeface="Cambria" panose="02040503050406030204" pitchFamily="18" charset="0"/>
                    <a:cs typeface="Arial" panose="020B0604020202020204" pitchFamily="34" charset="0"/>
                  </a:rPr>
                  <a:t>-eq/FU)</a:t>
                </a:r>
                <a:endParaRPr lang="es-MX" sz="900">
                  <a:solidFill>
                    <a:schemeClr val="tx1">
                      <a:lumMod val="65000"/>
                      <a:lumOff val="35000"/>
                    </a:schemeClr>
                  </a:solidFill>
                  <a:effectLst/>
                  <a:latin typeface="+mj-lt"/>
                  <a:ea typeface="Cambria" panose="02040503050406030204" pitchFamily="18"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65000"/>
                        <a:lumOff val="35000"/>
                      </a:schemeClr>
                    </a:solidFill>
                    <a:latin typeface="+mj-lt"/>
                    <a:ea typeface="+mn-ea"/>
                    <a:cs typeface="+mn-cs"/>
                  </a:defRPr>
                </a:pPr>
                <a:endParaRPr lang="es-MX" sz="900">
                  <a:solidFill>
                    <a:schemeClr val="tx1">
                      <a:lumMod val="65000"/>
                      <a:lumOff val="35000"/>
                    </a:schemeClr>
                  </a:solidFill>
                  <a:latin typeface="+mj-lt"/>
                  <a:ea typeface="Cambria" panose="02040503050406030204" pitchFamily="18" charset="0"/>
                </a:endParaRPr>
              </a:p>
            </c:rich>
          </c:tx>
          <c:layout>
            <c:manualLayout>
              <c:xMode val="edge"/>
              <c:yMode val="edge"/>
              <c:x val="1.3656538067599864E-2"/>
              <c:y val="0.19433959776793028"/>
            </c:manualLayout>
          </c:layout>
          <c:overlay val="0"/>
          <c:spPr>
            <a:noFill/>
            <a:ln>
              <a:noFill/>
            </a:ln>
            <a:effectLst/>
          </c:spPr>
        </c:title>
        <c:numFmt formatCode="#,##0.0" sourceLinked="0"/>
        <c:majorTickMark val="cross"/>
        <c:minorTickMark val="in"/>
        <c:tickLblPos val="nextTo"/>
        <c:spPr>
          <a:noFill/>
          <a:ln>
            <a:solidFill>
              <a:srgbClr val="D9D9D9"/>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Cambria" panose="02040503050406030204" pitchFamily="18" charset="0"/>
                <a:cs typeface="Arial" panose="020B0604020202020204" pitchFamily="34" charset="0"/>
              </a:defRPr>
            </a:pPr>
            <a:endParaRPr lang="en-US"/>
          </a:p>
        </c:txPr>
        <c:crossAx val="233961728"/>
        <c:crosses val="autoZero"/>
        <c:crossBetween val="between"/>
        <c:majorUnit val="0.5"/>
      </c:valAx>
      <c:spPr>
        <a:noFill/>
        <a:ln>
          <a:noFill/>
        </a:ln>
        <a:effectLst/>
      </c:spPr>
    </c:plotArea>
    <c:legend>
      <c:legendPos val="b"/>
      <c:layout>
        <c:manualLayout>
          <c:xMode val="edge"/>
          <c:yMode val="edge"/>
          <c:x val="8.3073330412052893E-2"/>
          <c:y val="2.0966991658929506E-2"/>
          <c:w val="0.9022294029565866"/>
          <c:h val="0.127101416795514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Cambria" panose="02040503050406030204" pitchFamily="18" charset="0"/>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65066051082931"/>
          <c:y val="2.8086641715452103E-2"/>
          <c:w val="0.70784575663767979"/>
          <c:h val="0.72627736032372769"/>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3798A3"/>
              </a:solidFill>
              <a:ln>
                <a:noFill/>
              </a:ln>
              <a:effectLst/>
            </c:spPr>
            <c:extLst xmlns:c16r2="http://schemas.microsoft.com/office/drawing/2015/06/chart">
              <c:ext xmlns:c16="http://schemas.microsoft.com/office/drawing/2014/chart" uri="{C3380CC4-5D6E-409C-BE32-E72D297353CC}">
                <c16:uniqueId val="{00000001-919C-4ACC-998D-B3235E7ABD0A}"/>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919C-4ACC-998D-B3235E7ABD0A}"/>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5-919C-4ACC-998D-B3235E7ABD0A}"/>
              </c:ext>
            </c:extLst>
          </c:dPt>
          <c:dPt>
            <c:idx val="3"/>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7-919C-4ACC-998D-B3235E7ABD0A}"/>
              </c:ext>
            </c:extLst>
          </c:dPt>
          <c:cat>
            <c:strRef>
              <c:f>Feuil1!$B$12:$B$15</c:f>
              <c:strCache>
                <c:ptCount val="4"/>
                <c:pt idx="0">
                  <c:v>Linear production (BAU)</c:v>
                </c:pt>
                <c:pt idx="1">
                  <c:v>Circular production, avoided PVC</c:v>
                </c:pt>
                <c:pt idx="2">
                  <c:v>Circular production, avoided virgin WPC</c:v>
                </c:pt>
                <c:pt idx="3">
                  <c:v>Circular production, avoided recycled WPC</c:v>
                </c:pt>
              </c:strCache>
            </c:strRef>
          </c:cat>
          <c:val>
            <c:numRef>
              <c:f>Feuil1!$E$12:$E$15</c:f>
              <c:numCache>
                <c:formatCode>0.0</c:formatCode>
                <c:ptCount val="4"/>
                <c:pt idx="0">
                  <c:v>4.3003727272727277</c:v>
                </c:pt>
                <c:pt idx="1">
                  <c:v>2.4874989920735886</c:v>
                </c:pt>
                <c:pt idx="2">
                  <c:v>3.762418260103729</c:v>
                </c:pt>
                <c:pt idx="3">
                  <c:v>4.9766270867991</c:v>
                </c:pt>
              </c:numCache>
            </c:numRef>
          </c:val>
          <c:extLst xmlns:c16r2="http://schemas.microsoft.com/office/drawing/2015/06/chart">
            <c:ext xmlns:c16="http://schemas.microsoft.com/office/drawing/2014/chart" uri="{C3380CC4-5D6E-409C-BE32-E72D297353CC}">
              <c16:uniqueId val="{00000008-919C-4ACC-998D-B3235E7ABD0A}"/>
            </c:ext>
          </c:extLst>
        </c:ser>
        <c:dLbls>
          <c:showLegendKey val="0"/>
          <c:showVal val="0"/>
          <c:showCatName val="0"/>
          <c:showSerName val="0"/>
          <c:showPercent val="0"/>
          <c:showBubbleSize val="0"/>
        </c:dLbls>
        <c:gapWidth val="219"/>
        <c:overlap val="-27"/>
        <c:axId val="234118528"/>
        <c:axId val="234136704"/>
      </c:barChart>
      <c:catAx>
        <c:axId val="23411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234136704"/>
        <c:crosses val="autoZero"/>
        <c:auto val="1"/>
        <c:lblAlgn val="ctr"/>
        <c:lblOffset val="100"/>
        <c:noMultiLvlLbl val="0"/>
      </c:catAx>
      <c:valAx>
        <c:axId val="234136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r>
                  <a:rPr lang="es-MX" sz="900" b="0" i="0" baseline="0">
                    <a:solidFill>
                      <a:schemeClr val="tx1">
                        <a:lumMod val="65000"/>
                        <a:lumOff val="35000"/>
                      </a:schemeClr>
                    </a:solidFill>
                    <a:effectLst/>
                    <a:latin typeface="Cambria" panose="02040503050406030204" pitchFamily="18" charset="0"/>
                    <a:ea typeface="Cambria" panose="02040503050406030204" pitchFamily="18" charset="0"/>
                    <a:cs typeface="Arial" panose="020B0604020202020204" pitchFamily="34" charset="0"/>
                  </a:rPr>
                  <a:t>Climate change </a:t>
                </a:r>
                <a:br>
                  <a:rPr lang="es-MX" sz="900" b="0" i="0" baseline="0">
                    <a:solidFill>
                      <a:schemeClr val="tx1">
                        <a:lumMod val="65000"/>
                        <a:lumOff val="35000"/>
                      </a:schemeClr>
                    </a:solidFill>
                    <a:effectLst/>
                    <a:latin typeface="Cambria" panose="02040503050406030204" pitchFamily="18" charset="0"/>
                    <a:ea typeface="Cambria" panose="02040503050406030204" pitchFamily="18" charset="0"/>
                    <a:cs typeface="Arial" panose="020B0604020202020204" pitchFamily="34" charset="0"/>
                  </a:rPr>
                </a:br>
                <a:r>
                  <a:rPr lang="es-MX" sz="900" b="0" i="0" baseline="0">
                    <a:solidFill>
                      <a:schemeClr val="tx1">
                        <a:lumMod val="65000"/>
                        <a:lumOff val="35000"/>
                      </a:schemeClr>
                    </a:solidFill>
                    <a:effectLst/>
                    <a:latin typeface="Cambria" panose="02040503050406030204" pitchFamily="18" charset="0"/>
                    <a:ea typeface="Cambria" panose="02040503050406030204" pitchFamily="18" charset="0"/>
                    <a:cs typeface="Arial" panose="020B0604020202020204" pitchFamily="34" charset="0"/>
                  </a:rPr>
                  <a:t>(kg CO</a:t>
                </a:r>
                <a:r>
                  <a:rPr lang="es-MX" sz="900" b="0" i="0" baseline="-25000">
                    <a:solidFill>
                      <a:schemeClr val="tx1">
                        <a:lumMod val="65000"/>
                        <a:lumOff val="35000"/>
                      </a:schemeClr>
                    </a:solidFill>
                    <a:effectLst/>
                    <a:latin typeface="Cambria" panose="02040503050406030204" pitchFamily="18" charset="0"/>
                    <a:ea typeface="Cambria" panose="02040503050406030204" pitchFamily="18" charset="0"/>
                    <a:cs typeface="Arial" panose="020B0604020202020204" pitchFamily="34" charset="0"/>
                  </a:rPr>
                  <a:t>2</a:t>
                </a:r>
                <a:r>
                  <a:rPr lang="es-MX" sz="900" b="0" i="0" baseline="0">
                    <a:solidFill>
                      <a:schemeClr val="tx1">
                        <a:lumMod val="65000"/>
                        <a:lumOff val="35000"/>
                      </a:schemeClr>
                    </a:solidFill>
                    <a:effectLst/>
                    <a:latin typeface="Cambria" panose="02040503050406030204" pitchFamily="18" charset="0"/>
                    <a:ea typeface="Cambria" panose="02040503050406030204" pitchFamily="18" charset="0"/>
                    <a:cs typeface="Arial" panose="020B0604020202020204" pitchFamily="34" charset="0"/>
                  </a:rPr>
                  <a:t>-eq/1 L of French </a:t>
                </a:r>
                <a:r>
                  <a:rPr lang="es-MX" sz="800" b="0" i="0" baseline="0">
                    <a:solidFill>
                      <a:schemeClr val="tx1">
                        <a:lumMod val="65000"/>
                        <a:lumOff val="35000"/>
                      </a:schemeClr>
                    </a:solidFill>
                    <a:effectLst/>
                    <a:latin typeface="+mj-lt"/>
                    <a:cs typeface="Arial" panose="020B0604020202020204" pitchFamily="34" charset="0"/>
                  </a:rPr>
                  <a:t>olive oil)</a:t>
                </a:r>
                <a:endParaRPr lang="es-MX" sz="800">
                  <a:solidFill>
                    <a:schemeClr val="tx1">
                      <a:lumMod val="65000"/>
                      <a:lumOff val="35000"/>
                    </a:schemeClr>
                  </a:solidFill>
                  <a:effectLst/>
                  <a:latin typeface="+mj-lt"/>
                  <a:cs typeface="Arial" panose="020B0604020202020204" pitchFamily="34" charset="0"/>
                </a:endParaRPr>
              </a:p>
            </c:rich>
          </c:tx>
          <c:layout>
            <c:manualLayout>
              <c:xMode val="edge"/>
              <c:yMode val="edge"/>
              <c:x val="2.1519863035065156E-2"/>
              <c:y val="8.9437303926539716E-2"/>
            </c:manualLayout>
          </c:layout>
          <c:overlay val="0"/>
          <c:spPr>
            <a:noFill/>
            <a:ln>
              <a:noFill/>
            </a:ln>
            <a:effectLst/>
          </c:spPr>
        </c:title>
        <c:numFmt formatCode="0.0" sourceLinked="1"/>
        <c:majorTickMark val="cross"/>
        <c:minorTickMark val="in"/>
        <c:tickLblPos val="nextTo"/>
        <c:spPr>
          <a:noFill/>
          <a:ln>
            <a:solidFill>
              <a:sysClr val="windowText" lastClr="000000">
                <a:lumMod val="50000"/>
                <a:lumOff val="50000"/>
              </a:sys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23411852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D9D9D9"/>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2.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8A9F-DF0F-4D8B-BD67-B97422F0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3237</Words>
  <Characters>18454</Characters>
  <Application>Microsoft Office Word</Application>
  <DocSecurity>0</DocSecurity>
  <Lines>153</Lines>
  <Paragraphs>43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Caroline</cp:lastModifiedBy>
  <cp:revision>4</cp:revision>
  <cp:lastPrinted>2015-05-12T18:31:00Z</cp:lastPrinted>
  <dcterms:created xsi:type="dcterms:W3CDTF">2023-04-02T13:56:00Z</dcterms:created>
  <dcterms:modified xsi:type="dcterms:W3CDTF">2023-04-02T14:05:00Z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