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02D1F" w14:paraId="2A131A54" w14:textId="77777777" w:rsidTr="004A772D">
        <w:trPr>
          <w:trHeight w:val="852"/>
          <w:jc w:val="center"/>
        </w:trPr>
        <w:tc>
          <w:tcPr>
            <w:tcW w:w="6940" w:type="dxa"/>
            <w:vMerge w:val="restart"/>
            <w:tcBorders>
              <w:right w:val="single" w:sz="4" w:space="0" w:color="auto"/>
            </w:tcBorders>
          </w:tcPr>
          <w:p w14:paraId="38C3D2BA" w14:textId="77777777" w:rsidR="000A03B2" w:rsidRPr="00502D1F" w:rsidRDefault="000A03B2" w:rsidP="00697EEA">
            <w:pPr>
              <w:pStyle w:val="CETAuthors"/>
              <w:rPr>
                <w:sz w:val="12"/>
                <w:szCs w:val="12"/>
                <w:lang w:eastAsia="it-IT"/>
              </w:rPr>
            </w:pPr>
            <w:r w:rsidRPr="00502D1F">
              <w:rPr>
                <w:rFonts w:ascii="AdvP6960" w:hAnsi="AdvP6960" w:cs="AdvP6960"/>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02D1F">
              <w:rPr>
                <w:rFonts w:ascii="AdvP6960" w:hAnsi="AdvP6960" w:cs="AdvP6960"/>
                <w:color w:val="241F20"/>
                <w:szCs w:val="18"/>
                <w:lang w:eastAsia="it-IT"/>
              </w:rPr>
              <w:t xml:space="preserve"> </w:t>
            </w:r>
            <w:r w:rsidRPr="00502D1F">
              <w:rPr>
                <w:lang w:eastAsia="it-IT"/>
              </w:rPr>
              <w:t>CHEMICAL ENGINEERING</w:t>
            </w:r>
            <w:r w:rsidRPr="00502D1F">
              <w:rPr>
                <w:color w:val="0033FF"/>
                <w:lang w:eastAsia="it-IT"/>
              </w:rPr>
              <w:t xml:space="preserve"> </w:t>
            </w:r>
            <w:r w:rsidRPr="00502D1F">
              <w:rPr>
                <w:color w:val="666666"/>
                <w:lang w:eastAsia="it-IT"/>
              </w:rPr>
              <w:t>TRANSACTIONS</w:t>
            </w:r>
            <w:r w:rsidRPr="00502D1F">
              <w:rPr>
                <w:color w:val="333333"/>
                <w:lang w:eastAsia="it-IT"/>
              </w:rPr>
              <w:t xml:space="preserve"> </w:t>
            </w:r>
            <w:r w:rsidRPr="00502D1F">
              <w:rPr>
                <w:sz w:val="27"/>
                <w:szCs w:val="27"/>
                <w:lang w:eastAsia="it-IT"/>
              </w:rPr>
              <w:br/>
            </w:r>
          </w:p>
          <w:p w14:paraId="4B780582" w14:textId="530285EB" w:rsidR="000A03B2" w:rsidRPr="00502D1F" w:rsidRDefault="00A76EFC" w:rsidP="001D21AF">
            <w:pPr>
              <w:tabs>
                <w:tab w:val="left" w:pos="-108"/>
              </w:tabs>
              <w:ind w:left="-108"/>
              <w:rPr>
                <w:rFonts w:cs="Arial"/>
                <w:b/>
                <w:bCs/>
                <w:i/>
                <w:iCs/>
                <w:color w:val="000066"/>
                <w:sz w:val="22"/>
                <w:szCs w:val="22"/>
                <w:lang w:eastAsia="it-IT"/>
              </w:rPr>
            </w:pPr>
            <w:r w:rsidRPr="00502D1F">
              <w:rPr>
                <w:rFonts w:cs="Arial"/>
                <w:b/>
                <w:bCs/>
                <w:i/>
                <w:iCs/>
                <w:color w:val="000066"/>
                <w:sz w:val="22"/>
                <w:szCs w:val="22"/>
                <w:lang w:eastAsia="it-IT"/>
              </w:rPr>
              <w:t xml:space="preserve">VOL. </w:t>
            </w:r>
            <w:r w:rsidR="0030152C" w:rsidRPr="00502D1F">
              <w:rPr>
                <w:rFonts w:cs="Arial"/>
                <w:b/>
                <w:bCs/>
                <w:i/>
                <w:iCs/>
                <w:color w:val="000066"/>
                <w:sz w:val="22"/>
                <w:szCs w:val="22"/>
                <w:lang w:eastAsia="it-IT"/>
              </w:rPr>
              <w:t xml:space="preserve">   </w:t>
            </w:r>
            <w:r w:rsidR="007B48F9" w:rsidRPr="00502D1F">
              <w:rPr>
                <w:rFonts w:cs="Arial"/>
                <w:b/>
                <w:bCs/>
                <w:i/>
                <w:iCs/>
                <w:color w:val="000066"/>
                <w:sz w:val="22"/>
                <w:szCs w:val="22"/>
                <w:lang w:eastAsia="it-IT"/>
              </w:rPr>
              <w:t>,</w:t>
            </w:r>
            <w:r w:rsidR="00FA5F5F" w:rsidRPr="00502D1F">
              <w:rPr>
                <w:rFonts w:cs="Arial"/>
                <w:b/>
                <w:bCs/>
                <w:i/>
                <w:iCs/>
                <w:color w:val="000066"/>
                <w:sz w:val="22"/>
                <w:szCs w:val="22"/>
                <w:lang w:eastAsia="it-IT"/>
              </w:rPr>
              <w:t xml:space="preserve"> </w:t>
            </w:r>
            <w:r w:rsidR="0030152C" w:rsidRPr="00502D1F">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502D1F" w:rsidRDefault="000A03B2" w:rsidP="00CD5FE2">
            <w:pPr>
              <w:spacing w:line="140" w:lineRule="atLeast"/>
              <w:jc w:val="right"/>
              <w:rPr>
                <w:rFonts w:cs="Arial"/>
                <w:sz w:val="14"/>
                <w:szCs w:val="14"/>
              </w:rPr>
            </w:pPr>
            <w:r w:rsidRPr="00502D1F">
              <w:rPr>
                <w:rFonts w:cs="Arial"/>
                <w:sz w:val="14"/>
                <w:szCs w:val="14"/>
              </w:rPr>
              <w:t>A publication of</w:t>
            </w:r>
          </w:p>
          <w:p w14:paraId="599E5441" w14:textId="77777777" w:rsidR="000A03B2" w:rsidRPr="00502D1F" w:rsidRDefault="000A03B2" w:rsidP="00CD5FE2">
            <w:pPr>
              <w:jc w:val="right"/>
            </w:pPr>
            <w:r w:rsidRPr="00502D1F">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02D1F" w14:paraId="380FA3CD" w14:textId="77777777" w:rsidTr="004A772D">
        <w:trPr>
          <w:trHeight w:val="567"/>
          <w:jc w:val="center"/>
        </w:trPr>
        <w:tc>
          <w:tcPr>
            <w:tcW w:w="6940" w:type="dxa"/>
            <w:vMerge/>
            <w:tcBorders>
              <w:right w:val="single" w:sz="4" w:space="0" w:color="auto"/>
            </w:tcBorders>
          </w:tcPr>
          <w:p w14:paraId="39E5E4C1" w14:textId="77777777" w:rsidR="000A03B2" w:rsidRPr="00502D1F"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502D1F" w:rsidRDefault="000A03B2" w:rsidP="00CD5FE2">
            <w:pPr>
              <w:spacing w:line="140" w:lineRule="atLeast"/>
              <w:jc w:val="right"/>
              <w:rPr>
                <w:rFonts w:cs="Arial"/>
                <w:sz w:val="14"/>
                <w:szCs w:val="14"/>
              </w:rPr>
            </w:pPr>
            <w:r w:rsidRPr="00502D1F">
              <w:rPr>
                <w:rFonts w:cs="Arial"/>
                <w:sz w:val="14"/>
                <w:szCs w:val="14"/>
              </w:rPr>
              <w:t>The Italian Association</w:t>
            </w:r>
          </w:p>
          <w:p w14:paraId="7522B1D2" w14:textId="77777777" w:rsidR="000A03B2" w:rsidRPr="00502D1F" w:rsidRDefault="000A03B2" w:rsidP="00CD5FE2">
            <w:pPr>
              <w:spacing w:line="140" w:lineRule="atLeast"/>
              <w:jc w:val="right"/>
              <w:rPr>
                <w:rFonts w:cs="Arial"/>
                <w:sz w:val="14"/>
                <w:szCs w:val="14"/>
              </w:rPr>
            </w:pPr>
            <w:r w:rsidRPr="00502D1F">
              <w:rPr>
                <w:rFonts w:cs="Arial"/>
                <w:sz w:val="14"/>
                <w:szCs w:val="14"/>
              </w:rPr>
              <w:t>of Chemical Engineering</w:t>
            </w:r>
          </w:p>
          <w:p w14:paraId="4F0CC5DE" w14:textId="47FDB2FC" w:rsidR="000A03B2" w:rsidRPr="00502D1F" w:rsidRDefault="000D0268" w:rsidP="00CD5FE2">
            <w:pPr>
              <w:spacing w:line="140" w:lineRule="atLeast"/>
              <w:jc w:val="right"/>
              <w:rPr>
                <w:rFonts w:cs="Arial"/>
                <w:sz w:val="13"/>
                <w:szCs w:val="13"/>
              </w:rPr>
            </w:pPr>
            <w:r w:rsidRPr="00502D1F">
              <w:rPr>
                <w:rFonts w:cs="Arial"/>
                <w:sz w:val="13"/>
                <w:szCs w:val="13"/>
              </w:rPr>
              <w:t>Online at www.cetjournal.it</w:t>
            </w:r>
          </w:p>
        </w:tc>
      </w:tr>
      <w:tr w:rsidR="000A03B2" w:rsidRPr="00502D1F" w14:paraId="2D1B7169" w14:textId="77777777" w:rsidTr="004A772D">
        <w:trPr>
          <w:trHeight w:val="68"/>
          <w:jc w:val="center"/>
        </w:trPr>
        <w:tc>
          <w:tcPr>
            <w:tcW w:w="8782" w:type="dxa"/>
            <w:gridSpan w:val="2"/>
          </w:tcPr>
          <w:p w14:paraId="1D8DD3C9" w14:textId="72C518CF" w:rsidR="00AA7D26" w:rsidRPr="00502D1F" w:rsidRDefault="00AA7D26" w:rsidP="00AA7D26">
            <w:pPr>
              <w:ind w:left="-107"/>
              <w:outlineLvl w:val="2"/>
              <w:rPr>
                <w:rFonts w:ascii="Tahoma" w:hAnsi="Tahoma" w:cs="Tahoma"/>
                <w:bCs/>
                <w:color w:val="000000"/>
                <w:sz w:val="14"/>
                <w:szCs w:val="14"/>
                <w:lang w:eastAsia="it-IT"/>
              </w:rPr>
            </w:pPr>
            <w:r w:rsidRPr="00502D1F">
              <w:rPr>
                <w:rFonts w:ascii="Tahoma" w:hAnsi="Tahoma" w:cs="Tahoma"/>
                <w:iCs/>
                <w:color w:val="333333"/>
                <w:sz w:val="14"/>
                <w:szCs w:val="14"/>
                <w:lang w:eastAsia="it-IT"/>
              </w:rPr>
              <w:t>Guest Editor:</w:t>
            </w:r>
            <w:r w:rsidRPr="00502D1F">
              <w:rPr>
                <w:rFonts w:ascii="Tahoma" w:hAnsi="Tahoma" w:cs="Tahoma"/>
                <w:color w:val="000000"/>
                <w:sz w:val="14"/>
                <w:szCs w:val="14"/>
                <w:shd w:val="clear" w:color="auto" w:fill="FFFFFF"/>
              </w:rPr>
              <w:t xml:space="preserve"> </w:t>
            </w:r>
            <w:r w:rsidRPr="00502D1F">
              <w:rPr>
                <w:rFonts w:ascii="Tahoma" w:hAnsi="Tahoma" w:cs="Tahoma"/>
                <w:sz w:val="14"/>
                <w:szCs w:val="14"/>
              </w:rPr>
              <w:t>Sauro Pierucci</w:t>
            </w:r>
          </w:p>
          <w:p w14:paraId="1B0F1814" w14:textId="650290B9" w:rsidR="000A03B2" w:rsidRPr="00502D1F" w:rsidRDefault="00AA7D26" w:rsidP="00AA7D26">
            <w:pPr>
              <w:tabs>
                <w:tab w:val="left" w:pos="-108"/>
              </w:tabs>
              <w:spacing w:line="140" w:lineRule="atLeast"/>
              <w:ind w:left="-107"/>
              <w:jc w:val="left"/>
            </w:pPr>
            <w:r w:rsidRPr="00502D1F">
              <w:rPr>
                <w:rFonts w:ascii="Tahoma" w:hAnsi="Tahoma" w:cs="Tahoma"/>
                <w:iCs/>
                <w:color w:val="333333"/>
                <w:sz w:val="14"/>
                <w:szCs w:val="14"/>
                <w:lang w:eastAsia="it-IT"/>
              </w:rPr>
              <w:t>Copyright © 2023, AIDIC Servizi S.r.l.</w:t>
            </w:r>
            <w:r w:rsidRPr="00502D1F">
              <w:rPr>
                <w:rFonts w:ascii="Tahoma" w:hAnsi="Tahoma" w:cs="Tahoma"/>
                <w:iCs/>
                <w:color w:val="333333"/>
                <w:sz w:val="14"/>
                <w:szCs w:val="14"/>
                <w:lang w:eastAsia="it-IT"/>
              </w:rPr>
              <w:br/>
            </w:r>
            <w:r w:rsidRPr="00502D1F">
              <w:rPr>
                <w:rFonts w:ascii="Tahoma" w:hAnsi="Tahoma" w:cs="Tahoma"/>
                <w:b/>
                <w:iCs/>
                <w:color w:val="000000"/>
                <w:sz w:val="14"/>
                <w:szCs w:val="14"/>
                <w:lang w:eastAsia="it-IT"/>
              </w:rPr>
              <w:t>ISBN</w:t>
            </w:r>
            <w:r w:rsidRPr="00502D1F">
              <w:rPr>
                <w:rFonts w:ascii="Tahoma" w:hAnsi="Tahoma" w:cs="Tahoma"/>
                <w:iCs/>
                <w:color w:val="000000"/>
                <w:sz w:val="14"/>
                <w:szCs w:val="14"/>
                <w:lang w:eastAsia="it-IT"/>
              </w:rPr>
              <w:t xml:space="preserve"> </w:t>
            </w:r>
            <w:r w:rsidRPr="00502D1F">
              <w:rPr>
                <w:rFonts w:ascii="Tahoma" w:hAnsi="Tahoma" w:cs="Tahoma"/>
                <w:sz w:val="14"/>
                <w:szCs w:val="14"/>
              </w:rPr>
              <w:t>978-88-95608-98-3</w:t>
            </w:r>
            <w:r w:rsidRPr="00502D1F">
              <w:rPr>
                <w:rFonts w:ascii="Tahoma" w:hAnsi="Tahoma" w:cs="Tahoma"/>
                <w:iCs/>
                <w:color w:val="333333"/>
                <w:sz w:val="14"/>
                <w:szCs w:val="14"/>
                <w:lang w:eastAsia="it-IT"/>
              </w:rPr>
              <w:t xml:space="preserve">; </w:t>
            </w:r>
            <w:r w:rsidRPr="00502D1F">
              <w:rPr>
                <w:rFonts w:ascii="Tahoma" w:hAnsi="Tahoma" w:cs="Tahoma"/>
                <w:b/>
                <w:iCs/>
                <w:color w:val="333333"/>
                <w:sz w:val="14"/>
                <w:szCs w:val="14"/>
                <w:lang w:eastAsia="it-IT"/>
              </w:rPr>
              <w:t>ISSN</w:t>
            </w:r>
            <w:r w:rsidRPr="00502D1F">
              <w:rPr>
                <w:rFonts w:ascii="Tahoma" w:hAnsi="Tahoma" w:cs="Tahoma"/>
                <w:iCs/>
                <w:color w:val="333333"/>
                <w:sz w:val="14"/>
                <w:szCs w:val="14"/>
                <w:lang w:eastAsia="it-IT"/>
              </w:rPr>
              <w:t xml:space="preserve"> 2283-9216</w:t>
            </w:r>
          </w:p>
        </w:tc>
      </w:tr>
    </w:tbl>
    <w:p w14:paraId="2E667253" w14:textId="4F380549" w:rsidR="00E978D0" w:rsidRPr="00502D1F" w:rsidRDefault="004A772D" w:rsidP="00E978D0">
      <w:pPr>
        <w:pStyle w:val="CETTitle"/>
      </w:pPr>
      <w:r w:rsidRPr="00502D1F">
        <w:t xml:space="preserve">Circular </w:t>
      </w:r>
      <w:r w:rsidR="008E425F" w:rsidRPr="00502D1F">
        <w:t>E</w:t>
      </w:r>
      <w:r w:rsidRPr="00502D1F">
        <w:t xml:space="preserve">conomy: </w:t>
      </w:r>
      <w:r w:rsidR="008E425F" w:rsidRPr="00502D1F">
        <w:t>U</w:t>
      </w:r>
      <w:r w:rsidRPr="00502D1F">
        <w:t xml:space="preserve">se of </w:t>
      </w:r>
      <w:r w:rsidR="00530A78">
        <w:t>F</w:t>
      </w:r>
      <w:r w:rsidRPr="00502D1F">
        <w:t xml:space="preserve">ruit </w:t>
      </w:r>
      <w:r w:rsidR="00530A78">
        <w:t>W</w:t>
      </w:r>
      <w:r w:rsidRPr="00502D1F">
        <w:t xml:space="preserve">aste to obtain </w:t>
      </w:r>
      <w:r w:rsidR="008E425F" w:rsidRPr="00502D1F">
        <w:t>B</w:t>
      </w:r>
      <w:r w:rsidRPr="00502D1F">
        <w:t>ioplastics</w:t>
      </w:r>
    </w:p>
    <w:p w14:paraId="0488FED2" w14:textId="3BFF9D5C" w:rsidR="00B57E6F" w:rsidRPr="00502D1F" w:rsidRDefault="004A772D" w:rsidP="00B57E6F">
      <w:pPr>
        <w:pStyle w:val="CETAuthors"/>
      </w:pPr>
      <w:r w:rsidRPr="00502D1F">
        <w:t>Victoria N. Jara</w:t>
      </w:r>
      <w:r w:rsidR="00B62988">
        <w:t xml:space="preserve"> Ramirez</w:t>
      </w:r>
      <w:r w:rsidRPr="00502D1F">
        <w:t>, Zaira I. Ocaña</w:t>
      </w:r>
      <w:r w:rsidR="00B62988">
        <w:t xml:space="preserve"> Gonzales</w:t>
      </w:r>
      <w:r w:rsidRPr="00502D1F">
        <w:t xml:space="preserve">, </w:t>
      </w:r>
      <w:r w:rsidR="008C6A96">
        <w:t>Danny Lizarzaburu-</w:t>
      </w:r>
      <w:r w:rsidR="00BA25AE" w:rsidRPr="00502D1F">
        <w:t xml:space="preserve">Aguinaga, Felipa Muñoz Ccuro, </w:t>
      </w:r>
      <w:r w:rsidR="00E40350" w:rsidRPr="00E40350">
        <w:rPr>
          <w:bCs/>
        </w:rPr>
        <w:t>Eduardo R. Espinoza Farfan</w:t>
      </w:r>
      <w:bookmarkStart w:id="0" w:name="_GoBack"/>
      <w:bookmarkEnd w:id="0"/>
      <w:r w:rsidR="00333E08">
        <w:t>,</w:t>
      </w:r>
      <w:r w:rsidR="00333E08" w:rsidRPr="00333E08">
        <w:t xml:space="preserve"> </w:t>
      </w:r>
      <w:r w:rsidRPr="00502D1F">
        <w:t>Elmer Benites-Alfaro</w:t>
      </w:r>
      <w:r w:rsidR="00181193" w:rsidRPr="00502D1F">
        <w:t>*</w:t>
      </w:r>
    </w:p>
    <w:p w14:paraId="6B2D21B3" w14:textId="6441B9E2" w:rsidR="00B57E6F" w:rsidRPr="008C6A96" w:rsidRDefault="00E23B09" w:rsidP="00B57E6F">
      <w:pPr>
        <w:pStyle w:val="CETAddress"/>
        <w:rPr>
          <w:highlight w:val="yellow"/>
        </w:rPr>
      </w:pPr>
      <w:r w:rsidRPr="00502D1F">
        <w:t xml:space="preserve">Universidad César Vallejo, Av. </w:t>
      </w:r>
      <w:r w:rsidRPr="008C6A96">
        <w:t>Alfredo Mendiola 6332, Lima 15314, Perú</w:t>
      </w:r>
      <w:r w:rsidR="00B57E6F" w:rsidRPr="008C6A96">
        <w:rPr>
          <w:highlight w:val="yellow"/>
        </w:rPr>
        <w:t xml:space="preserve"> </w:t>
      </w:r>
    </w:p>
    <w:p w14:paraId="73F1267A" w14:textId="3AC2DAE3" w:rsidR="00B57E6F" w:rsidRPr="008C6A96" w:rsidRDefault="00181193" w:rsidP="00B57E6F">
      <w:pPr>
        <w:pStyle w:val="CETemail"/>
        <w:rPr>
          <w:lang w:val="en-US"/>
        </w:rPr>
      </w:pPr>
      <w:r w:rsidRPr="008C6A96">
        <w:rPr>
          <w:lang w:val="en-US"/>
        </w:rPr>
        <w:t>*ebenitesa</w:t>
      </w:r>
      <w:r w:rsidR="00B57E6F" w:rsidRPr="008C6A96">
        <w:rPr>
          <w:lang w:val="en-US"/>
        </w:rPr>
        <w:t>@</w:t>
      </w:r>
      <w:r w:rsidRPr="008C6A96">
        <w:rPr>
          <w:lang w:val="en-US"/>
        </w:rPr>
        <w:t>ucv.edu.pe</w:t>
      </w:r>
      <w:r w:rsidR="00B57E6F" w:rsidRPr="008C6A96">
        <w:rPr>
          <w:lang w:val="en-US"/>
        </w:rPr>
        <w:t xml:space="preserve"> </w:t>
      </w:r>
    </w:p>
    <w:p w14:paraId="2C9F48A6" w14:textId="38600855" w:rsidR="00F71950" w:rsidRPr="00502D1F" w:rsidRDefault="00F71950" w:rsidP="000A3E4A">
      <w:pPr>
        <w:pStyle w:val="CETBodytext"/>
        <w:rPr>
          <w:lang w:val="en-GB"/>
        </w:rPr>
      </w:pPr>
      <w:r w:rsidRPr="00502D1F">
        <w:rPr>
          <w:lang w:val="en-GB"/>
        </w:rPr>
        <w:t>The inappropriate and limited management of organic waste causes it to be disposed of in streets or landfills, negatively impacting the various ecosystems due to leachate, the appearance of vectors</w:t>
      </w:r>
      <w:r w:rsidR="006513BA" w:rsidRPr="00502D1F">
        <w:rPr>
          <w:lang w:val="en-GB"/>
        </w:rPr>
        <w:t>,</w:t>
      </w:r>
      <w:r w:rsidRPr="00502D1F">
        <w:rPr>
          <w:lang w:val="en-GB"/>
        </w:rPr>
        <w:t xml:space="preserve"> and the emission of greenhouse gases. Taking advantage of this waste under the concept of circular economy is a viable alternative, one way to do it is by transforming it into compost for agricultural activity. This research seeks to propose a new use of organic </w:t>
      </w:r>
      <w:bookmarkStart w:id="1" w:name="_Hlk132489115"/>
      <w:r w:rsidRPr="00502D1F">
        <w:rPr>
          <w:lang w:val="en-GB"/>
        </w:rPr>
        <w:t xml:space="preserve">waste with </w:t>
      </w:r>
      <w:r w:rsidR="000519B1" w:rsidRPr="00502D1F">
        <w:rPr>
          <w:lang w:val="en-GB"/>
        </w:rPr>
        <w:t>favorable</w:t>
      </w:r>
      <w:r w:rsidRPr="00502D1F">
        <w:rPr>
          <w:lang w:val="en-GB"/>
        </w:rPr>
        <w:t xml:space="preserve"> characteristics to obtain biomaterials</w:t>
      </w:r>
      <w:bookmarkEnd w:id="1"/>
      <w:r w:rsidRPr="00502D1F">
        <w:rPr>
          <w:lang w:val="en-GB"/>
        </w:rPr>
        <w:t>. The elaboration of bioplastic from pectin extracted from the peels of citrus fruits and apples was tested. Through aqueous extraction, the pectin was obtained to later transform it into a bioplastic with the addition of citric acid, glycerol, carboxymethylcellulose</w:t>
      </w:r>
      <w:r w:rsidR="006513BA" w:rsidRPr="00502D1F">
        <w:rPr>
          <w:lang w:val="en-GB"/>
        </w:rPr>
        <w:t>,</w:t>
      </w:r>
      <w:r w:rsidRPr="00502D1F">
        <w:rPr>
          <w:lang w:val="en-GB"/>
        </w:rPr>
        <w:t xml:space="preserve"> and water. They were experimented </w:t>
      </w:r>
      <w:r w:rsidR="00EF2810" w:rsidRPr="00502D1F">
        <w:rPr>
          <w:lang w:val="en-GB"/>
        </w:rPr>
        <w:t xml:space="preserve">with </w:t>
      </w:r>
      <w:r w:rsidRPr="00502D1F">
        <w:rPr>
          <w:lang w:val="en-GB"/>
        </w:rPr>
        <w:t>using three doses, being the best dose to produce the bioplastic with the best properties when using 1</w:t>
      </w:r>
      <w:r w:rsidR="00E51809" w:rsidRPr="00502D1F">
        <w:rPr>
          <w:lang w:val="en-GB"/>
        </w:rPr>
        <w:t xml:space="preserve"> </w:t>
      </w:r>
      <w:r w:rsidRPr="00502D1F">
        <w:rPr>
          <w:lang w:val="en-GB"/>
        </w:rPr>
        <w:t>% citric acid, 7</w:t>
      </w:r>
      <w:r w:rsidR="00E51809" w:rsidRPr="00502D1F">
        <w:rPr>
          <w:lang w:val="en-GB"/>
        </w:rPr>
        <w:t xml:space="preserve"> </w:t>
      </w:r>
      <w:r w:rsidRPr="00502D1F">
        <w:rPr>
          <w:lang w:val="en-GB"/>
        </w:rPr>
        <w:t>% glycerol, 0.39</w:t>
      </w:r>
      <w:r w:rsidR="00E51809" w:rsidRPr="00502D1F">
        <w:rPr>
          <w:lang w:val="en-GB"/>
        </w:rPr>
        <w:t xml:space="preserve"> </w:t>
      </w:r>
      <w:r w:rsidRPr="00502D1F">
        <w:rPr>
          <w:lang w:val="en-GB"/>
        </w:rPr>
        <w:t>% carboxymethylcellulose and 2</w:t>
      </w:r>
      <w:r w:rsidR="00E51809" w:rsidRPr="00502D1F">
        <w:rPr>
          <w:lang w:val="en-GB"/>
        </w:rPr>
        <w:t xml:space="preserve"> </w:t>
      </w:r>
      <w:r w:rsidRPr="00502D1F">
        <w:rPr>
          <w:lang w:val="en-GB"/>
        </w:rPr>
        <w:t>% pectin, a bioplastic that presented elongation and tensile values of 7.3575. N/ cm</w:t>
      </w:r>
      <w:r w:rsidRPr="00502D1F">
        <w:rPr>
          <w:vertAlign w:val="superscript"/>
          <w:lang w:val="en-GB"/>
        </w:rPr>
        <w:t xml:space="preserve">2 </w:t>
      </w:r>
      <w:r w:rsidRPr="00502D1F">
        <w:rPr>
          <w:lang w:val="en-GB"/>
        </w:rPr>
        <w:t>and 62.22</w:t>
      </w:r>
      <w:r w:rsidR="00E51809" w:rsidRPr="00502D1F">
        <w:rPr>
          <w:lang w:val="en-GB"/>
        </w:rPr>
        <w:t xml:space="preserve"> </w:t>
      </w:r>
      <w:r w:rsidRPr="00502D1F">
        <w:rPr>
          <w:lang w:val="en-GB"/>
        </w:rPr>
        <w:t>%, percentage of water absorption of 94.26</w:t>
      </w:r>
      <w:r w:rsidR="00E51809" w:rsidRPr="00502D1F">
        <w:rPr>
          <w:lang w:val="en-GB"/>
        </w:rPr>
        <w:t xml:space="preserve"> </w:t>
      </w:r>
      <w:r w:rsidRPr="00502D1F">
        <w:rPr>
          <w:lang w:val="en-GB"/>
        </w:rPr>
        <w:t>%, 100</w:t>
      </w:r>
      <w:r w:rsidR="00E51809" w:rsidRPr="00502D1F">
        <w:rPr>
          <w:lang w:val="en-GB"/>
        </w:rPr>
        <w:t xml:space="preserve"> </w:t>
      </w:r>
      <w:r w:rsidRPr="00502D1F">
        <w:rPr>
          <w:lang w:val="en-GB"/>
        </w:rPr>
        <w:t>% biodegradability (in the soil) in 21 days, as well as 100</w:t>
      </w:r>
      <w:r w:rsidR="006D29E9" w:rsidRPr="00502D1F">
        <w:rPr>
          <w:lang w:val="en-GB"/>
        </w:rPr>
        <w:t xml:space="preserve"> </w:t>
      </w:r>
      <w:r w:rsidRPr="00502D1F">
        <w:rPr>
          <w:lang w:val="en-GB"/>
        </w:rPr>
        <w:t>% degradation in water in 14 days and 28.39</w:t>
      </w:r>
      <w:r w:rsidR="00E51809" w:rsidRPr="00502D1F">
        <w:rPr>
          <w:lang w:val="en-GB"/>
        </w:rPr>
        <w:t xml:space="preserve"> </w:t>
      </w:r>
      <w:r w:rsidRPr="00502D1F">
        <w:rPr>
          <w:lang w:val="en-GB"/>
        </w:rPr>
        <w:t>% degradation in the open air in 28 days. Obtaining these biomaterials is a way to take advantage of citrus waste and other fruits with environmental sustainability advantages and within the concept of circular economy, which would avoid the use of plastics based on polluting chemical products.</w:t>
      </w:r>
    </w:p>
    <w:p w14:paraId="17036008" w14:textId="4B7C3039" w:rsidR="00C11E32" w:rsidRPr="00127928" w:rsidRDefault="00600535" w:rsidP="00C11E32">
      <w:pPr>
        <w:pStyle w:val="CETHeading1"/>
        <w:rPr>
          <w:lang w:val="en-GB"/>
        </w:rPr>
      </w:pPr>
      <w:r w:rsidRPr="00502D1F">
        <w:rPr>
          <w:lang w:val="en-GB"/>
        </w:rPr>
        <w:t>Introduction</w:t>
      </w:r>
    </w:p>
    <w:p w14:paraId="053B54DD" w14:textId="4EC2B19F" w:rsidR="00C11E32" w:rsidRPr="00502D1F" w:rsidRDefault="00C11E32" w:rsidP="00C11E32">
      <w:pPr>
        <w:pStyle w:val="CETBodytext"/>
        <w:rPr>
          <w:lang w:val="en-GB"/>
        </w:rPr>
      </w:pPr>
      <w:r w:rsidRPr="00502D1F">
        <w:rPr>
          <w:lang w:val="en-GB"/>
        </w:rPr>
        <w:t xml:space="preserve">Population growth has had a considerable increase in the last decade, causing a high demand for fruits and vegetables, which in turn has generated an increase in organic waste (Magama, Chiyanzu and Mulopo, 2022). Of the 1,300 million tons of food that </w:t>
      </w:r>
      <w:r w:rsidR="00EF2810" w:rsidRPr="00502D1F">
        <w:rPr>
          <w:lang w:val="en-GB"/>
        </w:rPr>
        <w:t>are</w:t>
      </w:r>
      <w:r w:rsidRPr="00502D1F">
        <w:rPr>
          <w:lang w:val="en-GB"/>
        </w:rPr>
        <w:t xml:space="preserve"> wasted in the world during its production and commercialization (Selva, Adithya and VishalI, 2022), 20</w:t>
      </w:r>
      <w:r w:rsidR="00E51809" w:rsidRPr="00502D1F">
        <w:rPr>
          <w:lang w:val="en-GB"/>
        </w:rPr>
        <w:t xml:space="preserve"> </w:t>
      </w:r>
      <w:r w:rsidRPr="00502D1F">
        <w:rPr>
          <w:lang w:val="en-GB"/>
        </w:rPr>
        <w:t>% is valued and 50</w:t>
      </w:r>
      <w:r w:rsidR="00E51809" w:rsidRPr="00502D1F">
        <w:rPr>
          <w:lang w:val="en-GB"/>
        </w:rPr>
        <w:t xml:space="preserve"> </w:t>
      </w:r>
      <w:r w:rsidRPr="00502D1F">
        <w:rPr>
          <w:lang w:val="en-GB"/>
        </w:rPr>
        <w:t>% becomes organic waste (Wan, et al, 2022).</w:t>
      </w:r>
    </w:p>
    <w:p w14:paraId="0CD07972" w14:textId="77777777" w:rsidR="00657BB7" w:rsidRPr="00502D1F" w:rsidRDefault="00C11E32" w:rsidP="00C11E32">
      <w:pPr>
        <w:pStyle w:val="CETBodytext"/>
        <w:rPr>
          <w:lang w:val="en-GB"/>
        </w:rPr>
      </w:pPr>
      <w:r w:rsidRPr="00502D1F">
        <w:rPr>
          <w:lang w:val="en-GB"/>
        </w:rPr>
        <w:t>Organic waste, for the most part, usually presents inappropriate management, or it is very limited, so it ends up being discarded in streets and landfills, reaching various ecosystems (Lee, et al, 2022). This is how these residues generate air pollution, unpleasant odors, contamination of soil and bodies of water, degradation of landscapes</w:t>
      </w:r>
      <w:r w:rsidR="00125773" w:rsidRPr="00502D1F">
        <w:rPr>
          <w:lang w:val="en-GB"/>
        </w:rPr>
        <w:t>,</w:t>
      </w:r>
      <w:r w:rsidRPr="00502D1F">
        <w:rPr>
          <w:lang w:val="en-GB"/>
        </w:rPr>
        <w:t xml:space="preserve"> and reproduction of insects and rodents (Babu, Prieto and Rene, 2021).</w:t>
      </w:r>
      <w:r w:rsidR="006F438F" w:rsidRPr="00502D1F">
        <w:rPr>
          <w:lang w:val="en-GB"/>
        </w:rPr>
        <w:t xml:space="preserve"> </w:t>
      </w:r>
      <w:r w:rsidRPr="00502D1F">
        <w:rPr>
          <w:lang w:val="en-GB"/>
        </w:rPr>
        <w:t>Therefore, consider the application of the circular economy model through valuation approaches</w:t>
      </w:r>
      <w:r w:rsidR="001D0F13" w:rsidRPr="00502D1F">
        <w:rPr>
          <w:lang w:val="en-GB"/>
        </w:rPr>
        <w:t xml:space="preserve"> </w:t>
      </w:r>
      <w:r w:rsidRPr="00502D1F">
        <w:rPr>
          <w:lang w:val="en-GB"/>
        </w:rPr>
        <w:t xml:space="preserve">with the objective that it is not only </w:t>
      </w:r>
      <w:r w:rsidR="001D0F13" w:rsidRPr="00502D1F">
        <w:rPr>
          <w:lang w:val="en-GB"/>
        </w:rPr>
        <w:t>reducing</w:t>
      </w:r>
      <w:r w:rsidRPr="00502D1F">
        <w:rPr>
          <w:lang w:val="en-GB"/>
        </w:rPr>
        <w:t xml:space="preserve"> the generation of food waste (Papargyropoulou, et al, 2014). and investigating alternatives for eco-friendly and eco-efficient recovery processes (Fazzino, 2021), is of the utmost importance. The use of organic waste to obtain products has been investigated in recent years, such as obtaining bioplastic from </w:t>
      </w:r>
      <w:r w:rsidRPr="00502D1F">
        <w:rPr>
          <w:i/>
          <w:iCs/>
          <w:lang w:val="en-GB"/>
        </w:rPr>
        <w:t>Manihot esculenta</w:t>
      </w:r>
      <w:r w:rsidRPr="00502D1F">
        <w:rPr>
          <w:lang w:val="en-GB"/>
        </w:rPr>
        <w:t xml:space="preserve"> (cassava) and </w:t>
      </w:r>
      <w:r w:rsidRPr="00502D1F">
        <w:rPr>
          <w:i/>
          <w:iCs/>
          <w:lang w:val="en-GB"/>
        </w:rPr>
        <w:t>Ficus benjamina</w:t>
      </w:r>
      <w:r w:rsidRPr="00502D1F">
        <w:rPr>
          <w:lang w:val="en-GB"/>
        </w:rPr>
        <w:t xml:space="preserve"> (Olivares, et al. 2021), obtaining paper from </w:t>
      </w:r>
      <w:r w:rsidRPr="00502D1F">
        <w:rPr>
          <w:i/>
          <w:iCs/>
          <w:lang w:val="en-GB"/>
        </w:rPr>
        <w:t>Ananas commusus</w:t>
      </w:r>
      <w:r w:rsidRPr="00502D1F">
        <w:rPr>
          <w:lang w:val="en-GB"/>
        </w:rPr>
        <w:t xml:space="preserve"> (Velásquez, et al., 2021), elaboration of kitchenware from </w:t>
      </w:r>
      <w:r w:rsidRPr="00502D1F">
        <w:rPr>
          <w:i/>
          <w:iCs/>
          <w:lang w:val="en-GB"/>
        </w:rPr>
        <w:t>Carya illinoinensis</w:t>
      </w:r>
      <w:r w:rsidRPr="00502D1F">
        <w:rPr>
          <w:lang w:val="en-GB"/>
        </w:rPr>
        <w:t xml:space="preserve"> (Campos et al., 2021), roofs from pile crown residues and sugarcane bagasse (Morales, et al., 2022), elaboration of sorbets from </w:t>
      </w:r>
      <w:r w:rsidRPr="00502D1F">
        <w:rPr>
          <w:i/>
          <w:iCs/>
          <w:lang w:val="en-GB"/>
        </w:rPr>
        <w:t>Mangnífera</w:t>
      </w:r>
      <w:r w:rsidRPr="00502D1F">
        <w:rPr>
          <w:lang w:val="en-GB"/>
        </w:rPr>
        <w:t xml:space="preserve"> indica and </w:t>
      </w:r>
      <w:r w:rsidRPr="00502D1F">
        <w:rPr>
          <w:i/>
          <w:iCs/>
          <w:lang w:val="en-GB"/>
        </w:rPr>
        <w:t>Vitis vinifera</w:t>
      </w:r>
      <w:r w:rsidRPr="00502D1F">
        <w:rPr>
          <w:lang w:val="en-GB"/>
        </w:rPr>
        <w:t xml:space="preserve"> (Gallardo, et al., 2022), among others.</w:t>
      </w:r>
      <w:r w:rsidR="00AA07B6" w:rsidRPr="00502D1F">
        <w:rPr>
          <w:lang w:val="en-GB"/>
        </w:rPr>
        <w:t xml:space="preserve"> </w:t>
      </w:r>
    </w:p>
    <w:p w14:paraId="07D644ED" w14:textId="6F37BA43" w:rsidR="00EE664D" w:rsidRPr="00502D1F" w:rsidRDefault="00EB11EC" w:rsidP="00C11E32">
      <w:pPr>
        <w:pStyle w:val="CETBodytext"/>
        <w:rPr>
          <w:lang w:val="en-GB"/>
        </w:rPr>
      </w:pPr>
      <w:r w:rsidRPr="00502D1F">
        <w:rPr>
          <w:lang w:val="en-GB"/>
        </w:rPr>
        <w:t xml:space="preserve">This scientific document reports the evaluation of the physical-mechanical properties and biodegradability of a biomaterial from pectin, which is composed of up to 70% galacturonic acid in the plant and is found in various citrus fruits providing mechanical resistance. to the cell wall, proving to be an element with potential use for the production of bioplastics </w:t>
      </w:r>
      <w:r w:rsidR="00A50DB8" w:rsidRPr="00502D1F">
        <w:rPr>
          <w:lang w:val="en-GB"/>
        </w:rPr>
        <w:fldChar w:fldCharType="begin" w:fldLock="1"/>
      </w:r>
      <w:r w:rsidR="00A50DB8" w:rsidRPr="00502D1F">
        <w:rPr>
          <w:lang w:val="en-GB"/>
        </w:rPr>
        <w:instrText>ADDIN CSL_CITATION {"citationItems":[{"id":"ITEM-1","itemData":{"DOI":"10.1007/s10924-018-1300-x","ISSN":"15662543","abstract":"Self-binding ability of the pectin molecules was used to produce pectin films using the compression molding technique, as an alternative method to the high energy-demanding and solvent-using casting technique. Moreover, incorporation of fungal biomass and its effects on the properties of the films was studied. Pectin powder plasticized with 30% glycerol was subjected to heat compression molding (120 °C, 1.33 MPa, 10 min) yielding pectin films with tensile strength and elongation at break of 15.7 MPa and 5.5%, respectively. The filamentous fungus Rhizopus oryzae was cultivated using the water-soluble nutrients obtained from citrus waste and yielded a biomass containing 31% proteins and 20% lipids. Comparatively, the same strain was cultivated in a semi-synthetic medium resulting in a biomass with higher protein (60%) and lower lipid content (10%). SEM images showed addition of biomass yielded films with less debris compared to the pectin films. Incorporation of the low protein content biomass up to 15% did not significantly reduce the mechanical strength of the pectin films. In contrast, addition of protein-rich biomass (up to 20%) enhanced the tensile strength of the films (16.1–19.3 MPa). Lastly, the fungal biomass reduced the water vapor permeability of the pectin films.","author":[{"dropping-particle":"","family":"Gurram","given":"Rajesh","non-dropping-particle":"","parse-names":false,"suffix":""},{"dropping-particle":"","family":"Souza Filho","given":"Pedro F.","non-dropping-particle":"","parse-names":false,"suffix":""},{"dropping-particle":"","family":"Taherzadeh","given":"Mohammad J.","non-dropping-particle":"","parse-names":false,"suffix":""},{"dropping-particle":"","family":"Zamani","given":"Akram","non-dropping-particle":"","parse-names":false,"suffix":""}],"container-title":"Journal of Polymers and the Environment","id":"ITEM-1","issue":"11","issued":{"date-parts":[["2018"]]},"page":"4282-4292","publisher":"Springer US","title":"A Solvent-Free Approach for Production of Films from Pectin and Fungal Biomass","type":"article-journal","volume":"26"},"uris":["http://www.mendeley.com/documents/?uuid=91eca4d7-ce6e-45f2-87a6-b5f0beb6ec6c"]}],"mendeley":{"formattedCitation":"(Gurram et al., 2018)","plainTextFormattedCitation":"(Gurram et al., 2018)","previouslyFormattedCitation":"(Gurram et al., 2018)"},"properties":{"noteIndex":0},"schema":"https://github.com/citation-style-language/schema/raw/master/csl-citation.json"}</w:instrText>
      </w:r>
      <w:r w:rsidR="00A50DB8" w:rsidRPr="00502D1F">
        <w:rPr>
          <w:lang w:val="en-GB"/>
        </w:rPr>
        <w:fldChar w:fldCharType="separate"/>
      </w:r>
      <w:r w:rsidR="00A50DB8" w:rsidRPr="00502D1F">
        <w:rPr>
          <w:noProof/>
          <w:lang w:val="en-GB"/>
        </w:rPr>
        <w:t>(Gurram et al., 2018)</w:t>
      </w:r>
      <w:r w:rsidR="00A50DB8" w:rsidRPr="00502D1F">
        <w:rPr>
          <w:lang w:val="en-GB"/>
        </w:rPr>
        <w:fldChar w:fldCharType="end"/>
      </w:r>
      <w:r w:rsidRPr="00502D1F">
        <w:rPr>
          <w:lang w:val="en-GB"/>
        </w:rPr>
        <w:t xml:space="preserve">. In addition, for </w:t>
      </w:r>
      <w:r w:rsidR="00A50DB8" w:rsidRPr="00502D1F">
        <w:rPr>
          <w:lang w:val="en-GB"/>
        </w:rPr>
        <w:fldChar w:fldCharType="begin" w:fldLock="1"/>
      </w:r>
      <w:r w:rsidR="006155D6" w:rsidRPr="00502D1F">
        <w:rPr>
          <w:lang w:val="en-GB"/>
        </w:rPr>
        <w:instrText>ADDIN CSL_CITATION {"citationItems":[{"id":"ITEM-1","itemData":{"author":[{"dropping-particle":"","family":"Ministerio del Ambiente","given":"","non-dropping-particle":"","parse-names":false,"suffix":""}],"id":"ITEM-1","issued":{"date-parts":[["2022"]]},"publisher":"SIGERSOL","publisher-place":"Lima, Perú","title":"Reporte de Planta de Valorización - ATE","type":"article"},"uris":["http://www.mendeley.com/documents/?uuid=b7e2922c-2e79-4fee-9681-115efd1de34b"]}],"mendeley":{"formattedCitation":"(Ministerio del Ambiente, 2022)","plainTextFormattedCitation":"(Ministerio del Ambiente, 2022)","previouslyFormattedCitation":"(Ministerio del Ambiente, 2022)"},"properties":{"noteIndex":0},"schema":"https://github.com/citation-style-language/schema/raw/master/csl-citation.json"}</w:instrText>
      </w:r>
      <w:r w:rsidR="00A50DB8" w:rsidRPr="00502D1F">
        <w:rPr>
          <w:lang w:val="en-GB"/>
        </w:rPr>
        <w:fldChar w:fldCharType="separate"/>
      </w:r>
      <w:r w:rsidR="00A50DB8" w:rsidRPr="00502D1F">
        <w:rPr>
          <w:noProof/>
          <w:lang w:val="en-GB"/>
        </w:rPr>
        <w:t>(Ministerio del Ambiente, 2022)</w:t>
      </w:r>
      <w:r w:rsidR="00A50DB8" w:rsidRPr="00502D1F">
        <w:rPr>
          <w:lang w:val="en-GB"/>
        </w:rPr>
        <w:fldChar w:fldCharType="end"/>
      </w:r>
      <w:r w:rsidRPr="00502D1F">
        <w:rPr>
          <w:lang w:val="en-GB"/>
        </w:rPr>
        <w:t xml:space="preserve"> in the last year the Ate district processed 570.85 tons of organic waste (such as citrus peels, </w:t>
      </w:r>
      <w:r w:rsidR="00A50DB8" w:rsidRPr="00502D1F">
        <w:rPr>
          <w:lang w:val="en-GB"/>
        </w:rPr>
        <w:t>apples,</w:t>
      </w:r>
      <w:r w:rsidRPr="00502D1F">
        <w:rPr>
          <w:lang w:val="en-GB"/>
        </w:rPr>
        <w:t xml:space="preserve"> and others) in its recovery plant, evidencing the ability to process the biomaterial if the scale is increased.</w:t>
      </w:r>
    </w:p>
    <w:p w14:paraId="5741900F" w14:textId="0EC25454" w:rsidR="00453E24" w:rsidRPr="00502D1F" w:rsidRDefault="00C11E32" w:rsidP="00453E24">
      <w:pPr>
        <w:pStyle w:val="CETHeading1"/>
        <w:rPr>
          <w:lang w:val="en-GB"/>
        </w:rPr>
      </w:pPr>
      <w:r w:rsidRPr="00502D1F">
        <w:rPr>
          <w:lang w:val="en-GB"/>
        </w:rPr>
        <w:lastRenderedPageBreak/>
        <w:t>Materials and methods</w:t>
      </w:r>
    </w:p>
    <w:p w14:paraId="3636DD15" w14:textId="72F609D3" w:rsidR="000A3E4A" w:rsidRPr="00502D1F" w:rsidRDefault="000A3E4A" w:rsidP="00127928">
      <w:pPr>
        <w:pStyle w:val="CETheadingx"/>
      </w:pPr>
      <w:r w:rsidRPr="00502D1F">
        <w:t xml:space="preserve">2.1 </w:t>
      </w:r>
      <w:r w:rsidR="00961572" w:rsidRPr="00502D1F">
        <w:t>Raw material</w:t>
      </w:r>
    </w:p>
    <w:p w14:paraId="41A19C7D" w14:textId="19CF7130" w:rsidR="00C11E32" w:rsidRPr="00502D1F" w:rsidRDefault="00C11E32" w:rsidP="00C11E32">
      <w:pPr>
        <w:pStyle w:val="CETBodytext"/>
        <w:rPr>
          <w:lang w:val="en-GB"/>
        </w:rPr>
      </w:pPr>
      <w:r w:rsidRPr="00502D1F">
        <w:rPr>
          <w:lang w:val="en-GB"/>
        </w:rPr>
        <w:t>Citrus and apple peels were collected from the Ceres market, in the district of Ate,</w:t>
      </w:r>
      <w:r w:rsidR="006F438F" w:rsidRPr="00502D1F">
        <w:rPr>
          <w:lang w:val="en-GB"/>
        </w:rPr>
        <w:t xml:space="preserve"> </w:t>
      </w:r>
      <w:r w:rsidRPr="00502D1F">
        <w:rPr>
          <w:lang w:val="en-GB"/>
        </w:rPr>
        <w:t xml:space="preserve">for 7 days, obtaining a total of 14 kg and 9.90 kg of each type; then they were subjected to a pre-treatment before extracting the pectin, which consisted of performing two </w:t>
      </w:r>
      <w:r w:rsidR="00AA07B6" w:rsidRPr="00502D1F">
        <w:rPr>
          <w:lang w:val="en-GB"/>
        </w:rPr>
        <w:t>items of washing</w:t>
      </w:r>
      <w:r w:rsidRPr="00502D1F">
        <w:rPr>
          <w:lang w:val="en-GB"/>
        </w:rPr>
        <w:t xml:space="preserve"> with shaking at 115 rpm for 20 min at 35 °C, cutting, drying at 40 °C for 16 hours and grinding.</w:t>
      </w:r>
    </w:p>
    <w:p w14:paraId="7930BC7A" w14:textId="10ED01C8" w:rsidR="00FA6636" w:rsidRPr="008C6A96" w:rsidRDefault="00FA6636" w:rsidP="00127928">
      <w:pPr>
        <w:pStyle w:val="CETheadingx"/>
        <w:rPr>
          <w:lang w:val="en-US"/>
        </w:rPr>
      </w:pPr>
      <w:r w:rsidRPr="008C6A96">
        <w:rPr>
          <w:lang w:val="en-US"/>
        </w:rPr>
        <w:t xml:space="preserve">2.2. </w:t>
      </w:r>
      <w:r w:rsidR="00961572" w:rsidRPr="008C6A96">
        <w:rPr>
          <w:lang w:val="en-US"/>
        </w:rPr>
        <w:t>Pectin extraction</w:t>
      </w:r>
    </w:p>
    <w:p w14:paraId="43529E28" w14:textId="7ECDC292" w:rsidR="000E1E06" w:rsidRPr="00502D1F" w:rsidRDefault="00C11E32" w:rsidP="000A3E4A">
      <w:pPr>
        <w:pStyle w:val="CETBodytext"/>
        <w:rPr>
          <w:lang w:val="en-GB"/>
        </w:rPr>
      </w:pPr>
      <w:r w:rsidRPr="00502D1F">
        <w:rPr>
          <w:lang w:val="en-GB"/>
        </w:rPr>
        <w:t xml:space="preserve">This process was carried out using the aqueous extraction method (Passandide et al. 2017). Distilled water was added to the biomass obtained from citrus and apple peels in a 40:1 ratio and was subjected to a stirring process at 90 ºC for 180 min (Figure 1). Following the filtration process, the aqueous part was separated. To the solution obtained, alcohol was added in a ratio of 1.5:1 </w:t>
      </w:r>
      <w:r w:rsidR="00FA69DF" w:rsidRPr="00502D1F">
        <w:rPr>
          <w:lang w:val="en-GB"/>
        </w:rPr>
        <w:t>to</w:t>
      </w:r>
      <w:r w:rsidRPr="00502D1F">
        <w:rPr>
          <w:lang w:val="en-GB"/>
        </w:rPr>
        <w:t xml:space="preserve"> precipitate the pectin. It was then centrifuged to separate the pectin from the alcohol. To obtain dry pectin, it was baked for 12 hours at 50 ºC. The dry pectin was characterized by determining its production yield, ash content</w:t>
      </w:r>
      <w:r w:rsidR="00FA69DF" w:rsidRPr="00502D1F">
        <w:rPr>
          <w:lang w:val="en-GB"/>
        </w:rPr>
        <w:t>,</w:t>
      </w:r>
      <w:r w:rsidRPr="00502D1F">
        <w:rPr>
          <w:lang w:val="en-GB"/>
        </w:rPr>
        <w:t xml:space="preserve"> and moisture content by gravimetric method.</w:t>
      </w:r>
    </w:p>
    <w:p w14:paraId="7AF40818" w14:textId="77777777" w:rsidR="006757F5" w:rsidRPr="00502D1F" w:rsidRDefault="006757F5" w:rsidP="000A3E4A">
      <w:pPr>
        <w:pStyle w:val="CETBodytext"/>
        <w:rPr>
          <w:lang w:val="en-G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3191"/>
      </w:tblGrid>
      <w:tr w:rsidR="004911E8" w:rsidRPr="00502D1F" w14:paraId="68B30214" w14:textId="77777777" w:rsidTr="00A72E36">
        <w:trPr>
          <w:trHeight w:val="1937"/>
        </w:trPr>
        <w:tc>
          <w:tcPr>
            <w:tcW w:w="2698" w:type="dxa"/>
          </w:tcPr>
          <w:p w14:paraId="47E43731" w14:textId="77777777" w:rsidR="00127928" w:rsidRDefault="006757F5" w:rsidP="00127928">
            <w:pPr>
              <w:pStyle w:val="CETBodytext"/>
              <w:jc w:val="left"/>
              <w:rPr>
                <w:i/>
                <w:lang w:val="en-GB"/>
              </w:rPr>
            </w:pPr>
            <w:r w:rsidRPr="00502D1F">
              <w:rPr>
                <w:i/>
                <w:noProof/>
                <w:lang w:val="es-PE" w:eastAsia="es-PE"/>
              </w:rPr>
              <w:drawing>
                <wp:inline distT="0" distB="0" distL="0" distR="0" wp14:anchorId="3159BABB" wp14:editId="49E3BDBE">
                  <wp:extent cx="1097280" cy="1383030"/>
                  <wp:effectExtent l="0" t="0" r="0" b="0"/>
                  <wp:docPr id="1696588630" name="Imagen 2" descr="Imagen que contiene interior, tabla, comida, mostrad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588630" name="Imagen 2" descr="Imagen que contiene interior, tabla, comida, mostrador&#10;&#10;Descripción generada automáticamente"/>
                          <pic:cNvPicPr/>
                        </pic:nvPicPr>
                        <pic:blipFill>
                          <a:blip r:embed="rId10"/>
                          <a:stretch>
                            <a:fillRect/>
                          </a:stretch>
                        </pic:blipFill>
                        <pic:spPr>
                          <a:xfrm>
                            <a:off x="0" y="0"/>
                            <a:ext cx="1105865" cy="1393851"/>
                          </a:xfrm>
                          <a:prstGeom prst="rect">
                            <a:avLst/>
                          </a:prstGeom>
                        </pic:spPr>
                      </pic:pic>
                    </a:graphicData>
                  </a:graphic>
                </wp:inline>
              </w:drawing>
            </w:r>
          </w:p>
          <w:p w14:paraId="49312214" w14:textId="32DF9F04" w:rsidR="004911E8" w:rsidRPr="00127928" w:rsidRDefault="00961572" w:rsidP="00127928">
            <w:pPr>
              <w:pStyle w:val="CETBodytext"/>
              <w:jc w:val="left"/>
              <w:rPr>
                <w:i/>
                <w:lang w:val="en-GB"/>
              </w:rPr>
            </w:pPr>
            <w:r w:rsidRPr="00502D1F">
              <w:rPr>
                <w:i/>
                <w:lang w:val="en-GB"/>
              </w:rPr>
              <w:t>Figure 1: Pectin extractio</w:t>
            </w:r>
            <w:r w:rsidRPr="00502D1F">
              <w:rPr>
                <w:lang w:val="en-GB"/>
              </w:rPr>
              <w:t>n</w:t>
            </w:r>
            <w:r w:rsidR="004911E8" w:rsidRPr="00502D1F">
              <w:rPr>
                <w:noProof/>
                <w:lang w:val="en-GB"/>
              </w:rPr>
              <w:t xml:space="preserve"> </w:t>
            </w:r>
          </w:p>
        </w:tc>
        <w:tc>
          <w:tcPr>
            <w:tcW w:w="3080" w:type="dxa"/>
          </w:tcPr>
          <w:p w14:paraId="4ED19333" w14:textId="48DD9015" w:rsidR="006757F5" w:rsidRPr="00502D1F" w:rsidRDefault="006757F5" w:rsidP="004911E8">
            <w:pPr>
              <w:pStyle w:val="CETBodytextItalic"/>
            </w:pPr>
            <w:r w:rsidRPr="00502D1F">
              <w:rPr>
                <w:noProof/>
                <w:lang w:val="es-PE" w:eastAsia="es-PE"/>
              </w:rPr>
              <w:drawing>
                <wp:inline distT="0" distB="0" distL="0" distR="0" wp14:anchorId="76ED553C" wp14:editId="127AB612">
                  <wp:extent cx="1889759" cy="1383030"/>
                  <wp:effectExtent l="0" t="0" r="0" b="0"/>
                  <wp:docPr id="1279569749" name="Imagen 3" descr="Imagen que contiene tabla, taza, interior, vid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69749" name="Imagen 3" descr="Imagen que contiene tabla, taza, interior, vidrio&#10;&#10;Descripción generada automáticamente"/>
                          <pic:cNvPicPr/>
                        </pic:nvPicPr>
                        <pic:blipFill>
                          <a:blip r:embed="rId11"/>
                          <a:stretch>
                            <a:fillRect/>
                          </a:stretch>
                        </pic:blipFill>
                        <pic:spPr>
                          <a:xfrm>
                            <a:off x="0" y="0"/>
                            <a:ext cx="1904938" cy="1394139"/>
                          </a:xfrm>
                          <a:prstGeom prst="rect">
                            <a:avLst/>
                          </a:prstGeom>
                        </pic:spPr>
                      </pic:pic>
                    </a:graphicData>
                  </a:graphic>
                </wp:inline>
              </w:drawing>
            </w:r>
            <w:r w:rsidR="003308BF" w:rsidRPr="00502D1F">
              <w:t xml:space="preserve">    </w:t>
            </w:r>
            <w:r w:rsidR="004911E8" w:rsidRPr="00502D1F">
              <w:t xml:space="preserve"> </w:t>
            </w:r>
          </w:p>
          <w:p w14:paraId="7CF54708" w14:textId="5A9CDCDB" w:rsidR="004911E8" w:rsidRPr="00502D1F" w:rsidRDefault="003308BF" w:rsidP="004911E8">
            <w:pPr>
              <w:pStyle w:val="CETBodytextItalic"/>
            </w:pPr>
            <w:r w:rsidRPr="00502D1F">
              <w:t>Figure 2: Bioplastic obtained</w:t>
            </w:r>
          </w:p>
        </w:tc>
      </w:tr>
    </w:tbl>
    <w:p w14:paraId="19D3C0E3" w14:textId="097520A1" w:rsidR="000A3E4A" w:rsidRPr="00502D1F" w:rsidRDefault="000A3E4A" w:rsidP="00127928">
      <w:pPr>
        <w:pStyle w:val="CETheadingx"/>
      </w:pPr>
      <w:r w:rsidRPr="00502D1F">
        <w:t xml:space="preserve">2.2 </w:t>
      </w:r>
      <w:r w:rsidR="00961572" w:rsidRPr="00502D1F">
        <w:t>Bioplastic production</w:t>
      </w:r>
    </w:p>
    <w:p w14:paraId="54C3B2D7" w14:textId="2493C945" w:rsidR="000E1E06" w:rsidRPr="00502D1F" w:rsidRDefault="00C11E32" w:rsidP="00127928">
      <w:pPr>
        <w:pStyle w:val="CETTabletitle"/>
        <w:tabs>
          <w:tab w:val="left" w:pos="5812"/>
        </w:tabs>
        <w:spacing w:before="0"/>
        <w:jc w:val="both"/>
        <w:rPr>
          <w:i w:val="0"/>
        </w:rPr>
      </w:pPr>
      <w:bookmarkStart w:id="2" w:name="_Toc121210155"/>
      <w:r w:rsidRPr="00502D1F">
        <w:rPr>
          <w:i w:val="0"/>
        </w:rPr>
        <w:t xml:space="preserve">With citrus peel and apple pectin in a 1:1 ratio, 3 bioplastic samples were made with 3 replicates for each sample. The method used was the casting method (Bátori, 2017) under constant temperature conditions (95 ºC) and pH of acidified distilled water (3.5). The procedure began with the change of the pH of the distilled water to 3.5 by adding 2N HCL, followed by stirring at 250 rmp and 90 ºC for 40 min, adding citric acid, glycerol, carboxymethylcellulose and pectin in different doses (See Table 1). </w:t>
      </w:r>
      <w:r w:rsidR="00AD22F4" w:rsidRPr="00AD22F4">
        <w:rPr>
          <w:i w:val="0"/>
        </w:rPr>
        <w:t>This homogenized mixture results in bioplastic. Example for bioplastic BP2, 1g of citric acid + 7g of glycerol + 0.39g of carboxymethylcellulose + 100</w:t>
      </w:r>
      <w:r w:rsidR="00AD22F4">
        <w:rPr>
          <w:i w:val="0"/>
        </w:rPr>
        <w:t xml:space="preserve"> </w:t>
      </w:r>
      <w:r w:rsidR="00AD22F4" w:rsidRPr="00AD22F4">
        <w:rPr>
          <w:i w:val="0"/>
        </w:rPr>
        <w:t>ml of water + 2</w:t>
      </w:r>
      <w:r w:rsidR="00AD22F4">
        <w:rPr>
          <w:i w:val="0"/>
        </w:rPr>
        <w:t xml:space="preserve"> </w:t>
      </w:r>
      <w:r w:rsidR="00AD22F4" w:rsidRPr="00AD22F4">
        <w:rPr>
          <w:i w:val="0"/>
        </w:rPr>
        <w:t>g of pectin were used, to obtain 100</w:t>
      </w:r>
      <w:r w:rsidR="00AD22F4">
        <w:rPr>
          <w:i w:val="0"/>
        </w:rPr>
        <w:t xml:space="preserve"> </w:t>
      </w:r>
      <w:r w:rsidR="00AD22F4" w:rsidRPr="00AD22F4">
        <w:rPr>
          <w:i w:val="0"/>
        </w:rPr>
        <w:t>g of bioplastic + water vapor. The bioplastic was put in Petri dishes and dried (see Figure 2).</w:t>
      </w:r>
    </w:p>
    <w:bookmarkEnd w:id="2"/>
    <w:p w14:paraId="20FE68F2" w14:textId="2B7C7400" w:rsidR="000A3E4A" w:rsidRPr="00502D1F" w:rsidRDefault="00961572" w:rsidP="003466D1">
      <w:pPr>
        <w:pStyle w:val="CETTabletitle"/>
        <w:tabs>
          <w:tab w:val="left" w:pos="5812"/>
        </w:tabs>
        <w:rPr>
          <w:rFonts w:cs="Arial"/>
          <w:bCs/>
          <w:sz w:val="20"/>
        </w:rPr>
      </w:pPr>
      <w:r w:rsidRPr="00502D1F">
        <w:t>Table 1: Amount of pectin and additives for bioplastic samples</w:t>
      </w:r>
    </w:p>
    <w:tbl>
      <w:tblPr>
        <w:tblStyle w:val="TabeladeGrade4-nfase5"/>
        <w:tblW w:w="8379" w:type="dxa"/>
        <w:tblInd w:w="-5" w:type="dxa"/>
        <w:tblBorders>
          <w:top w:val="single" w:sz="12" w:space="0" w:color="009900"/>
          <w:left w:val="none" w:sz="0" w:space="0" w:color="auto"/>
          <w:bottom w:val="single" w:sz="12" w:space="0" w:color="009900"/>
          <w:right w:val="none" w:sz="0" w:space="0" w:color="auto"/>
          <w:insideH w:val="none" w:sz="0" w:space="0" w:color="auto"/>
          <w:insideV w:val="none" w:sz="0" w:space="0" w:color="auto"/>
        </w:tblBorders>
        <w:tblLayout w:type="fixed"/>
        <w:tblLook w:val="04A0" w:firstRow="1" w:lastRow="0" w:firstColumn="1" w:lastColumn="0" w:noHBand="0" w:noVBand="1"/>
      </w:tblPr>
      <w:tblGrid>
        <w:gridCol w:w="1179"/>
        <w:gridCol w:w="1031"/>
        <w:gridCol w:w="1179"/>
        <w:gridCol w:w="1013"/>
        <w:gridCol w:w="1339"/>
        <w:gridCol w:w="1487"/>
        <w:gridCol w:w="1151"/>
      </w:tblGrid>
      <w:tr w:rsidR="003466D1" w:rsidRPr="00502D1F" w14:paraId="7DCBB5FE" w14:textId="77777777" w:rsidTr="00A72E36">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179" w:type="dxa"/>
            <w:tcBorders>
              <w:top w:val="single" w:sz="12" w:space="0" w:color="009900"/>
              <w:left w:val="none" w:sz="0" w:space="0" w:color="auto"/>
              <w:bottom w:val="single" w:sz="6" w:space="0" w:color="009900"/>
              <w:right w:val="none" w:sz="0" w:space="0" w:color="auto"/>
            </w:tcBorders>
            <w:shd w:val="clear" w:color="auto" w:fill="auto"/>
            <w:vAlign w:val="center"/>
          </w:tcPr>
          <w:p w14:paraId="1835F608" w14:textId="77777777" w:rsidR="000A3E4A" w:rsidRPr="00502D1F" w:rsidRDefault="000A3E4A" w:rsidP="00C83986">
            <w:pPr>
              <w:pStyle w:val="CETBodytext"/>
              <w:jc w:val="center"/>
              <w:rPr>
                <w:b w:val="0"/>
                <w:bCs w:val="0"/>
                <w:color w:val="auto"/>
                <w:lang w:val="en-GB"/>
              </w:rPr>
            </w:pPr>
            <w:r w:rsidRPr="00502D1F">
              <w:rPr>
                <w:b w:val="0"/>
                <w:bCs w:val="0"/>
                <w:color w:val="auto"/>
                <w:lang w:val="en-GB"/>
              </w:rPr>
              <w:t>Bioplastic</w:t>
            </w:r>
          </w:p>
        </w:tc>
        <w:tc>
          <w:tcPr>
            <w:tcW w:w="1031" w:type="dxa"/>
            <w:tcBorders>
              <w:top w:val="single" w:sz="12" w:space="0" w:color="009900"/>
              <w:left w:val="none" w:sz="0" w:space="0" w:color="auto"/>
              <w:bottom w:val="single" w:sz="6" w:space="0" w:color="009900"/>
              <w:right w:val="none" w:sz="0" w:space="0" w:color="auto"/>
            </w:tcBorders>
            <w:shd w:val="clear" w:color="auto" w:fill="auto"/>
            <w:vAlign w:val="center"/>
          </w:tcPr>
          <w:p w14:paraId="692C4488" w14:textId="63B106C1" w:rsidR="000A3E4A" w:rsidRPr="00502D1F" w:rsidRDefault="00961572" w:rsidP="00C83986">
            <w:pPr>
              <w:pStyle w:val="CETBodytext"/>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02D1F">
              <w:rPr>
                <w:b w:val="0"/>
                <w:bCs w:val="0"/>
                <w:color w:val="auto"/>
                <w:lang w:val="en-GB"/>
              </w:rPr>
              <w:t>Sample</w:t>
            </w:r>
          </w:p>
        </w:tc>
        <w:tc>
          <w:tcPr>
            <w:tcW w:w="1179" w:type="dxa"/>
            <w:tcBorders>
              <w:top w:val="single" w:sz="12" w:space="0" w:color="009900"/>
              <w:left w:val="none" w:sz="0" w:space="0" w:color="auto"/>
              <w:bottom w:val="single" w:sz="6" w:space="0" w:color="009900"/>
              <w:right w:val="none" w:sz="0" w:space="0" w:color="auto"/>
            </w:tcBorders>
            <w:shd w:val="clear" w:color="auto" w:fill="auto"/>
            <w:vAlign w:val="center"/>
          </w:tcPr>
          <w:p w14:paraId="624DF503" w14:textId="48498E9F" w:rsidR="000A3E4A" w:rsidRPr="00502D1F" w:rsidRDefault="00C83986" w:rsidP="00C83986">
            <w:pPr>
              <w:pStyle w:val="CETBodytext"/>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02D1F">
              <w:rPr>
                <w:b w:val="0"/>
                <w:bCs w:val="0"/>
                <w:color w:val="auto"/>
                <w:lang w:val="en-GB"/>
              </w:rPr>
              <w:t>The citric</w:t>
            </w:r>
            <w:r w:rsidR="00961572" w:rsidRPr="00502D1F">
              <w:rPr>
                <w:b w:val="0"/>
                <w:bCs w:val="0"/>
                <w:color w:val="auto"/>
                <w:lang w:val="en-GB"/>
              </w:rPr>
              <w:t xml:space="preserve"> acid (g)</w:t>
            </w:r>
          </w:p>
        </w:tc>
        <w:tc>
          <w:tcPr>
            <w:tcW w:w="1013" w:type="dxa"/>
            <w:tcBorders>
              <w:top w:val="single" w:sz="12" w:space="0" w:color="009900"/>
              <w:left w:val="none" w:sz="0" w:space="0" w:color="auto"/>
              <w:bottom w:val="single" w:sz="6" w:space="0" w:color="009900"/>
              <w:right w:val="none" w:sz="0" w:space="0" w:color="auto"/>
            </w:tcBorders>
            <w:shd w:val="clear" w:color="auto" w:fill="auto"/>
            <w:vAlign w:val="center"/>
          </w:tcPr>
          <w:p w14:paraId="63BD6B99" w14:textId="2D63798A" w:rsidR="000A3E4A" w:rsidRPr="00502D1F" w:rsidRDefault="00961572" w:rsidP="00C83986">
            <w:pPr>
              <w:pStyle w:val="CETBodytext"/>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02D1F">
              <w:rPr>
                <w:b w:val="0"/>
                <w:bCs w:val="0"/>
                <w:color w:val="auto"/>
                <w:lang w:val="en-GB"/>
              </w:rPr>
              <w:t>Glycerol (ml)</w:t>
            </w:r>
          </w:p>
        </w:tc>
        <w:tc>
          <w:tcPr>
            <w:tcW w:w="1339" w:type="dxa"/>
            <w:tcBorders>
              <w:top w:val="single" w:sz="12" w:space="0" w:color="009900"/>
              <w:left w:val="none" w:sz="0" w:space="0" w:color="auto"/>
              <w:bottom w:val="single" w:sz="6" w:space="0" w:color="009900"/>
              <w:right w:val="none" w:sz="0" w:space="0" w:color="auto"/>
            </w:tcBorders>
            <w:shd w:val="clear" w:color="auto" w:fill="auto"/>
            <w:vAlign w:val="center"/>
          </w:tcPr>
          <w:p w14:paraId="74D5C1EB" w14:textId="66BED7FC" w:rsidR="000A3E4A" w:rsidRPr="00502D1F" w:rsidRDefault="00961572" w:rsidP="00C83986">
            <w:pPr>
              <w:pStyle w:val="CETBodytext"/>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02D1F">
              <w:rPr>
                <w:b w:val="0"/>
                <w:bCs w:val="0"/>
                <w:color w:val="auto"/>
                <w:lang w:val="en-GB"/>
              </w:rPr>
              <w:t>Carboxymethylcellulose (g</w:t>
            </w:r>
            <w:r w:rsidR="000A3E4A" w:rsidRPr="00502D1F">
              <w:rPr>
                <w:b w:val="0"/>
                <w:bCs w:val="0"/>
                <w:color w:val="auto"/>
                <w:lang w:val="en-GB"/>
              </w:rPr>
              <w:t>)</w:t>
            </w:r>
          </w:p>
        </w:tc>
        <w:tc>
          <w:tcPr>
            <w:tcW w:w="1487" w:type="dxa"/>
            <w:tcBorders>
              <w:top w:val="single" w:sz="12" w:space="0" w:color="009900"/>
              <w:left w:val="none" w:sz="0" w:space="0" w:color="auto"/>
              <w:bottom w:val="single" w:sz="6" w:space="0" w:color="009900"/>
              <w:right w:val="none" w:sz="0" w:space="0" w:color="auto"/>
            </w:tcBorders>
            <w:shd w:val="clear" w:color="auto" w:fill="auto"/>
            <w:vAlign w:val="center"/>
          </w:tcPr>
          <w:p w14:paraId="477D3F72" w14:textId="692E7A65" w:rsidR="000A3E4A" w:rsidRPr="00502D1F" w:rsidRDefault="00961572" w:rsidP="00C83986">
            <w:pPr>
              <w:pStyle w:val="CETBodytext"/>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02D1F">
              <w:rPr>
                <w:b w:val="0"/>
                <w:bCs w:val="0"/>
                <w:color w:val="auto"/>
                <w:lang w:val="en-GB"/>
              </w:rPr>
              <w:t>Distilled water (ml)</w:t>
            </w:r>
          </w:p>
        </w:tc>
        <w:tc>
          <w:tcPr>
            <w:tcW w:w="1151" w:type="dxa"/>
            <w:tcBorders>
              <w:top w:val="single" w:sz="12" w:space="0" w:color="009900"/>
              <w:left w:val="none" w:sz="0" w:space="0" w:color="auto"/>
              <w:bottom w:val="single" w:sz="6" w:space="0" w:color="009900"/>
              <w:right w:val="none" w:sz="0" w:space="0" w:color="auto"/>
            </w:tcBorders>
            <w:shd w:val="clear" w:color="auto" w:fill="auto"/>
            <w:vAlign w:val="center"/>
          </w:tcPr>
          <w:p w14:paraId="2AF7C19F" w14:textId="0B17BCFB" w:rsidR="000A3E4A" w:rsidRPr="00502D1F" w:rsidRDefault="000A3E4A" w:rsidP="00C83986">
            <w:pPr>
              <w:pStyle w:val="CETBodytext"/>
              <w:jc w:val="cente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502D1F">
              <w:rPr>
                <w:b w:val="0"/>
                <w:bCs w:val="0"/>
                <w:color w:val="auto"/>
                <w:lang w:val="en-GB"/>
              </w:rPr>
              <w:t>Pectin</w:t>
            </w:r>
            <w:r w:rsidR="00961572" w:rsidRPr="00502D1F">
              <w:rPr>
                <w:b w:val="0"/>
                <w:bCs w:val="0"/>
                <w:color w:val="auto"/>
                <w:lang w:val="en-GB"/>
              </w:rPr>
              <w:t xml:space="preserve"> </w:t>
            </w:r>
            <w:r w:rsidRPr="00502D1F">
              <w:rPr>
                <w:b w:val="0"/>
                <w:bCs w:val="0"/>
                <w:color w:val="auto"/>
                <w:lang w:val="en-GB"/>
              </w:rPr>
              <w:t>(g)</w:t>
            </w:r>
          </w:p>
        </w:tc>
      </w:tr>
      <w:tr w:rsidR="003466D1" w:rsidRPr="00502D1F" w14:paraId="62FB0507" w14:textId="77777777" w:rsidTr="00FB34A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179" w:type="dxa"/>
            <w:vMerge w:val="restart"/>
            <w:tcBorders>
              <w:top w:val="single" w:sz="6" w:space="0" w:color="009900"/>
            </w:tcBorders>
            <w:shd w:val="clear" w:color="auto" w:fill="auto"/>
            <w:vAlign w:val="center"/>
          </w:tcPr>
          <w:p w14:paraId="0B11CB2F" w14:textId="77777777" w:rsidR="000A3E4A" w:rsidRPr="00502D1F" w:rsidRDefault="000A3E4A" w:rsidP="00E51809">
            <w:pPr>
              <w:pStyle w:val="CETBodytext"/>
              <w:jc w:val="center"/>
              <w:rPr>
                <w:b w:val="0"/>
                <w:bCs w:val="0"/>
                <w:lang w:val="en-GB"/>
              </w:rPr>
            </w:pPr>
            <w:bookmarkStart w:id="3" w:name="_Hlk120405060"/>
            <w:r w:rsidRPr="00502D1F">
              <w:rPr>
                <w:b w:val="0"/>
                <w:bCs w:val="0"/>
                <w:lang w:val="en-GB"/>
              </w:rPr>
              <w:t>BP1</w:t>
            </w:r>
          </w:p>
        </w:tc>
        <w:tc>
          <w:tcPr>
            <w:tcW w:w="1031" w:type="dxa"/>
            <w:tcBorders>
              <w:top w:val="single" w:sz="6" w:space="0" w:color="009900"/>
            </w:tcBorders>
            <w:shd w:val="clear" w:color="auto" w:fill="auto"/>
            <w:vAlign w:val="center"/>
          </w:tcPr>
          <w:p w14:paraId="44AC91EE"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BP1-M1</w:t>
            </w:r>
          </w:p>
        </w:tc>
        <w:tc>
          <w:tcPr>
            <w:tcW w:w="1179" w:type="dxa"/>
            <w:tcBorders>
              <w:top w:val="single" w:sz="6" w:space="0" w:color="009900"/>
            </w:tcBorders>
            <w:shd w:val="clear" w:color="auto" w:fill="auto"/>
            <w:vAlign w:val="center"/>
          </w:tcPr>
          <w:p w14:paraId="2B6738B8"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6</w:t>
            </w:r>
          </w:p>
        </w:tc>
        <w:tc>
          <w:tcPr>
            <w:tcW w:w="1013" w:type="dxa"/>
            <w:tcBorders>
              <w:top w:val="single" w:sz="6" w:space="0" w:color="009900"/>
            </w:tcBorders>
            <w:shd w:val="clear" w:color="auto" w:fill="auto"/>
            <w:vAlign w:val="center"/>
          </w:tcPr>
          <w:p w14:paraId="31F7BBD8" w14:textId="776FA380"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11</w:t>
            </w:r>
          </w:p>
        </w:tc>
        <w:tc>
          <w:tcPr>
            <w:tcW w:w="1339" w:type="dxa"/>
            <w:tcBorders>
              <w:top w:val="single" w:sz="6" w:space="0" w:color="009900"/>
            </w:tcBorders>
            <w:shd w:val="clear" w:color="auto" w:fill="auto"/>
            <w:vAlign w:val="center"/>
          </w:tcPr>
          <w:p w14:paraId="07EE0E83"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0.39</w:t>
            </w:r>
          </w:p>
        </w:tc>
        <w:tc>
          <w:tcPr>
            <w:tcW w:w="1487" w:type="dxa"/>
            <w:tcBorders>
              <w:top w:val="single" w:sz="6" w:space="0" w:color="009900"/>
            </w:tcBorders>
            <w:shd w:val="clear" w:color="auto" w:fill="auto"/>
            <w:vAlign w:val="center"/>
          </w:tcPr>
          <w:p w14:paraId="52AF5E2D"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75</w:t>
            </w:r>
          </w:p>
        </w:tc>
        <w:tc>
          <w:tcPr>
            <w:tcW w:w="1151" w:type="dxa"/>
            <w:tcBorders>
              <w:top w:val="single" w:sz="6" w:space="0" w:color="009900"/>
            </w:tcBorders>
            <w:shd w:val="clear" w:color="auto" w:fill="auto"/>
            <w:vAlign w:val="center"/>
          </w:tcPr>
          <w:p w14:paraId="2CBCD318"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8</w:t>
            </w:r>
          </w:p>
        </w:tc>
      </w:tr>
      <w:tr w:rsidR="003466D1" w:rsidRPr="00502D1F" w14:paraId="2BCF8AC1" w14:textId="77777777" w:rsidTr="004911E8">
        <w:trPr>
          <w:trHeight w:val="244"/>
        </w:trPr>
        <w:tc>
          <w:tcPr>
            <w:cnfStyle w:val="001000000000" w:firstRow="0" w:lastRow="0" w:firstColumn="1" w:lastColumn="0" w:oddVBand="0" w:evenVBand="0" w:oddHBand="0" w:evenHBand="0" w:firstRowFirstColumn="0" w:firstRowLastColumn="0" w:lastRowFirstColumn="0" w:lastRowLastColumn="0"/>
            <w:tcW w:w="1179" w:type="dxa"/>
            <w:vMerge/>
            <w:shd w:val="clear" w:color="auto" w:fill="auto"/>
            <w:vAlign w:val="center"/>
          </w:tcPr>
          <w:p w14:paraId="52FCB80E" w14:textId="77777777" w:rsidR="000A3E4A" w:rsidRPr="00502D1F" w:rsidRDefault="000A3E4A" w:rsidP="00E51809">
            <w:pPr>
              <w:pStyle w:val="CETBodytext"/>
              <w:jc w:val="center"/>
              <w:rPr>
                <w:b w:val="0"/>
                <w:bCs w:val="0"/>
                <w:lang w:val="en-GB"/>
              </w:rPr>
            </w:pPr>
          </w:p>
        </w:tc>
        <w:tc>
          <w:tcPr>
            <w:tcW w:w="1031" w:type="dxa"/>
            <w:shd w:val="clear" w:color="auto" w:fill="auto"/>
            <w:vAlign w:val="center"/>
          </w:tcPr>
          <w:p w14:paraId="442DDB1C"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BP1-M2</w:t>
            </w:r>
          </w:p>
        </w:tc>
        <w:tc>
          <w:tcPr>
            <w:tcW w:w="1179" w:type="dxa"/>
            <w:shd w:val="clear" w:color="auto" w:fill="auto"/>
            <w:vAlign w:val="center"/>
          </w:tcPr>
          <w:p w14:paraId="2E3B9BD6"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6</w:t>
            </w:r>
          </w:p>
        </w:tc>
        <w:tc>
          <w:tcPr>
            <w:tcW w:w="1013" w:type="dxa"/>
            <w:shd w:val="clear" w:color="auto" w:fill="auto"/>
          </w:tcPr>
          <w:p w14:paraId="3FD63257"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11</w:t>
            </w:r>
          </w:p>
        </w:tc>
        <w:tc>
          <w:tcPr>
            <w:tcW w:w="1339" w:type="dxa"/>
            <w:shd w:val="clear" w:color="auto" w:fill="auto"/>
          </w:tcPr>
          <w:p w14:paraId="17560608"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0.39</w:t>
            </w:r>
          </w:p>
        </w:tc>
        <w:tc>
          <w:tcPr>
            <w:tcW w:w="1487" w:type="dxa"/>
            <w:shd w:val="clear" w:color="auto" w:fill="auto"/>
          </w:tcPr>
          <w:p w14:paraId="5A320CE3"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75</w:t>
            </w:r>
          </w:p>
        </w:tc>
        <w:tc>
          <w:tcPr>
            <w:tcW w:w="1151" w:type="dxa"/>
            <w:shd w:val="clear" w:color="auto" w:fill="auto"/>
          </w:tcPr>
          <w:p w14:paraId="4D255235"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8</w:t>
            </w:r>
          </w:p>
        </w:tc>
      </w:tr>
      <w:tr w:rsidR="003466D1" w:rsidRPr="00502D1F" w14:paraId="3CA7E86B" w14:textId="77777777" w:rsidTr="004911E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179" w:type="dxa"/>
            <w:vMerge/>
            <w:shd w:val="clear" w:color="auto" w:fill="auto"/>
            <w:vAlign w:val="center"/>
          </w:tcPr>
          <w:p w14:paraId="540ADD3D" w14:textId="77777777" w:rsidR="000A3E4A" w:rsidRPr="00502D1F" w:rsidRDefault="000A3E4A" w:rsidP="00E51809">
            <w:pPr>
              <w:pStyle w:val="CETBodytext"/>
              <w:jc w:val="center"/>
              <w:rPr>
                <w:b w:val="0"/>
                <w:bCs w:val="0"/>
                <w:lang w:val="en-GB"/>
              </w:rPr>
            </w:pPr>
          </w:p>
        </w:tc>
        <w:tc>
          <w:tcPr>
            <w:tcW w:w="1031" w:type="dxa"/>
            <w:shd w:val="clear" w:color="auto" w:fill="auto"/>
            <w:vAlign w:val="center"/>
          </w:tcPr>
          <w:p w14:paraId="3FD63FCE"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BP1-M3</w:t>
            </w:r>
          </w:p>
        </w:tc>
        <w:tc>
          <w:tcPr>
            <w:tcW w:w="1179" w:type="dxa"/>
            <w:shd w:val="clear" w:color="auto" w:fill="auto"/>
            <w:vAlign w:val="center"/>
          </w:tcPr>
          <w:p w14:paraId="195AA917"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6</w:t>
            </w:r>
          </w:p>
        </w:tc>
        <w:tc>
          <w:tcPr>
            <w:tcW w:w="1013" w:type="dxa"/>
            <w:shd w:val="clear" w:color="auto" w:fill="auto"/>
          </w:tcPr>
          <w:p w14:paraId="4615965F" w14:textId="47B26F30"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11</w:t>
            </w:r>
          </w:p>
        </w:tc>
        <w:tc>
          <w:tcPr>
            <w:tcW w:w="1339" w:type="dxa"/>
            <w:shd w:val="clear" w:color="auto" w:fill="auto"/>
          </w:tcPr>
          <w:p w14:paraId="45368B22"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0.39</w:t>
            </w:r>
          </w:p>
        </w:tc>
        <w:tc>
          <w:tcPr>
            <w:tcW w:w="1487" w:type="dxa"/>
            <w:shd w:val="clear" w:color="auto" w:fill="auto"/>
          </w:tcPr>
          <w:p w14:paraId="58848246"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75</w:t>
            </w:r>
          </w:p>
        </w:tc>
        <w:tc>
          <w:tcPr>
            <w:tcW w:w="1151" w:type="dxa"/>
            <w:shd w:val="clear" w:color="auto" w:fill="auto"/>
          </w:tcPr>
          <w:p w14:paraId="6E8698FC"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8</w:t>
            </w:r>
          </w:p>
        </w:tc>
      </w:tr>
      <w:tr w:rsidR="003466D1" w:rsidRPr="00502D1F" w14:paraId="59EB04A0" w14:textId="77777777" w:rsidTr="00FB34A4">
        <w:trPr>
          <w:trHeight w:val="260"/>
        </w:trPr>
        <w:tc>
          <w:tcPr>
            <w:cnfStyle w:val="001000000000" w:firstRow="0" w:lastRow="0" w:firstColumn="1" w:lastColumn="0" w:oddVBand="0" w:evenVBand="0" w:oddHBand="0" w:evenHBand="0" w:firstRowFirstColumn="0" w:firstRowLastColumn="0" w:lastRowFirstColumn="0" w:lastRowLastColumn="0"/>
            <w:tcW w:w="1179" w:type="dxa"/>
            <w:vMerge w:val="restart"/>
            <w:shd w:val="clear" w:color="auto" w:fill="auto"/>
            <w:vAlign w:val="center"/>
          </w:tcPr>
          <w:p w14:paraId="108C27DE" w14:textId="77777777" w:rsidR="000A3E4A" w:rsidRPr="00502D1F" w:rsidRDefault="000A3E4A" w:rsidP="00E51809">
            <w:pPr>
              <w:pStyle w:val="CETBodytext"/>
              <w:jc w:val="center"/>
              <w:rPr>
                <w:b w:val="0"/>
                <w:bCs w:val="0"/>
                <w:lang w:val="en-GB"/>
              </w:rPr>
            </w:pPr>
            <w:r w:rsidRPr="00502D1F">
              <w:rPr>
                <w:b w:val="0"/>
                <w:bCs w:val="0"/>
                <w:lang w:val="en-GB"/>
              </w:rPr>
              <w:t>BP2</w:t>
            </w:r>
          </w:p>
        </w:tc>
        <w:tc>
          <w:tcPr>
            <w:tcW w:w="1031" w:type="dxa"/>
            <w:shd w:val="clear" w:color="auto" w:fill="auto"/>
            <w:vAlign w:val="center"/>
          </w:tcPr>
          <w:p w14:paraId="6BE21EB3"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BP2-M4</w:t>
            </w:r>
          </w:p>
        </w:tc>
        <w:tc>
          <w:tcPr>
            <w:tcW w:w="1179" w:type="dxa"/>
            <w:shd w:val="clear" w:color="auto" w:fill="auto"/>
            <w:vAlign w:val="center"/>
          </w:tcPr>
          <w:p w14:paraId="5CC0BBED"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1</w:t>
            </w:r>
          </w:p>
        </w:tc>
        <w:tc>
          <w:tcPr>
            <w:tcW w:w="1013" w:type="dxa"/>
            <w:shd w:val="clear" w:color="auto" w:fill="auto"/>
            <w:vAlign w:val="center"/>
          </w:tcPr>
          <w:p w14:paraId="68F65986"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7</w:t>
            </w:r>
          </w:p>
        </w:tc>
        <w:tc>
          <w:tcPr>
            <w:tcW w:w="1339" w:type="dxa"/>
            <w:shd w:val="clear" w:color="auto" w:fill="auto"/>
          </w:tcPr>
          <w:p w14:paraId="4DD54F22"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0.39</w:t>
            </w:r>
          </w:p>
        </w:tc>
        <w:tc>
          <w:tcPr>
            <w:tcW w:w="1487" w:type="dxa"/>
            <w:shd w:val="clear" w:color="auto" w:fill="auto"/>
            <w:vAlign w:val="center"/>
          </w:tcPr>
          <w:p w14:paraId="0B49A2F2"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100</w:t>
            </w:r>
          </w:p>
        </w:tc>
        <w:tc>
          <w:tcPr>
            <w:tcW w:w="1151" w:type="dxa"/>
            <w:shd w:val="clear" w:color="auto" w:fill="auto"/>
            <w:vAlign w:val="center"/>
          </w:tcPr>
          <w:p w14:paraId="22FCDE5B"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2</w:t>
            </w:r>
          </w:p>
        </w:tc>
      </w:tr>
      <w:tr w:rsidR="003466D1" w:rsidRPr="00502D1F" w14:paraId="69B920BF" w14:textId="77777777" w:rsidTr="00FB34A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179" w:type="dxa"/>
            <w:vMerge/>
            <w:shd w:val="clear" w:color="auto" w:fill="auto"/>
            <w:vAlign w:val="center"/>
          </w:tcPr>
          <w:p w14:paraId="281D577A" w14:textId="77777777" w:rsidR="000A3E4A" w:rsidRPr="00502D1F" w:rsidRDefault="000A3E4A" w:rsidP="00E51809">
            <w:pPr>
              <w:pStyle w:val="CETBodytext"/>
              <w:jc w:val="center"/>
              <w:rPr>
                <w:b w:val="0"/>
                <w:bCs w:val="0"/>
                <w:lang w:val="en-GB"/>
              </w:rPr>
            </w:pPr>
          </w:p>
        </w:tc>
        <w:tc>
          <w:tcPr>
            <w:tcW w:w="1031" w:type="dxa"/>
            <w:shd w:val="clear" w:color="auto" w:fill="auto"/>
            <w:vAlign w:val="center"/>
          </w:tcPr>
          <w:p w14:paraId="08B1A5A3"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BP2-M5</w:t>
            </w:r>
          </w:p>
        </w:tc>
        <w:tc>
          <w:tcPr>
            <w:tcW w:w="1179" w:type="dxa"/>
            <w:shd w:val="clear" w:color="auto" w:fill="auto"/>
          </w:tcPr>
          <w:p w14:paraId="222C082D"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1</w:t>
            </w:r>
          </w:p>
        </w:tc>
        <w:tc>
          <w:tcPr>
            <w:tcW w:w="1013" w:type="dxa"/>
            <w:shd w:val="clear" w:color="auto" w:fill="auto"/>
          </w:tcPr>
          <w:p w14:paraId="0E427566" w14:textId="1459D488"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7</w:t>
            </w:r>
          </w:p>
        </w:tc>
        <w:tc>
          <w:tcPr>
            <w:tcW w:w="1339" w:type="dxa"/>
            <w:shd w:val="clear" w:color="auto" w:fill="auto"/>
          </w:tcPr>
          <w:p w14:paraId="269E95BC"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0.39</w:t>
            </w:r>
          </w:p>
        </w:tc>
        <w:tc>
          <w:tcPr>
            <w:tcW w:w="1487" w:type="dxa"/>
            <w:shd w:val="clear" w:color="auto" w:fill="auto"/>
          </w:tcPr>
          <w:p w14:paraId="2CE3124F"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100</w:t>
            </w:r>
          </w:p>
        </w:tc>
        <w:tc>
          <w:tcPr>
            <w:tcW w:w="1151" w:type="dxa"/>
            <w:shd w:val="clear" w:color="auto" w:fill="auto"/>
          </w:tcPr>
          <w:p w14:paraId="1E421F57"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2</w:t>
            </w:r>
          </w:p>
        </w:tc>
      </w:tr>
      <w:tr w:rsidR="003466D1" w:rsidRPr="00502D1F" w14:paraId="5C602C64" w14:textId="77777777" w:rsidTr="004911E8">
        <w:trPr>
          <w:trHeight w:val="208"/>
        </w:trPr>
        <w:tc>
          <w:tcPr>
            <w:cnfStyle w:val="001000000000" w:firstRow="0" w:lastRow="0" w:firstColumn="1" w:lastColumn="0" w:oddVBand="0" w:evenVBand="0" w:oddHBand="0" w:evenHBand="0" w:firstRowFirstColumn="0" w:firstRowLastColumn="0" w:lastRowFirstColumn="0" w:lastRowLastColumn="0"/>
            <w:tcW w:w="1179" w:type="dxa"/>
            <w:vMerge/>
            <w:shd w:val="clear" w:color="auto" w:fill="auto"/>
            <w:vAlign w:val="center"/>
          </w:tcPr>
          <w:p w14:paraId="7E2A3EE9" w14:textId="77777777" w:rsidR="000A3E4A" w:rsidRPr="00502D1F" w:rsidRDefault="000A3E4A" w:rsidP="00E51809">
            <w:pPr>
              <w:pStyle w:val="CETBodytext"/>
              <w:jc w:val="center"/>
              <w:rPr>
                <w:b w:val="0"/>
                <w:bCs w:val="0"/>
                <w:lang w:val="en-GB"/>
              </w:rPr>
            </w:pPr>
          </w:p>
        </w:tc>
        <w:tc>
          <w:tcPr>
            <w:tcW w:w="1031" w:type="dxa"/>
            <w:shd w:val="clear" w:color="auto" w:fill="auto"/>
            <w:vAlign w:val="center"/>
          </w:tcPr>
          <w:p w14:paraId="35BC76B1"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BP2-M6</w:t>
            </w:r>
          </w:p>
        </w:tc>
        <w:tc>
          <w:tcPr>
            <w:tcW w:w="1179" w:type="dxa"/>
            <w:shd w:val="clear" w:color="auto" w:fill="auto"/>
          </w:tcPr>
          <w:p w14:paraId="1A223C7E"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1</w:t>
            </w:r>
          </w:p>
        </w:tc>
        <w:tc>
          <w:tcPr>
            <w:tcW w:w="1013" w:type="dxa"/>
            <w:shd w:val="clear" w:color="auto" w:fill="auto"/>
          </w:tcPr>
          <w:p w14:paraId="2E777F99"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7</w:t>
            </w:r>
          </w:p>
        </w:tc>
        <w:tc>
          <w:tcPr>
            <w:tcW w:w="1339" w:type="dxa"/>
            <w:shd w:val="clear" w:color="auto" w:fill="auto"/>
          </w:tcPr>
          <w:p w14:paraId="3966D18C"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0.39</w:t>
            </w:r>
          </w:p>
        </w:tc>
        <w:tc>
          <w:tcPr>
            <w:tcW w:w="1487" w:type="dxa"/>
            <w:shd w:val="clear" w:color="auto" w:fill="auto"/>
          </w:tcPr>
          <w:p w14:paraId="3881ADD8"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100</w:t>
            </w:r>
          </w:p>
        </w:tc>
        <w:tc>
          <w:tcPr>
            <w:tcW w:w="1151" w:type="dxa"/>
            <w:shd w:val="clear" w:color="auto" w:fill="auto"/>
          </w:tcPr>
          <w:p w14:paraId="61F703F8"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2</w:t>
            </w:r>
          </w:p>
        </w:tc>
      </w:tr>
      <w:tr w:rsidR="003466D1" w:rsidRPr="00502D1F" w14:paraId="0BD3B498" w14:textId="77777777" w:rsidTr="004911E8">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179" w:type="dxa"/>
            <w:vMerge w:val="restart"/>
            <w:shd w:val="clear" w:color="auto" w:fill="auto"/>
            <w:vAlign w:val="center"/>
          </w:tcPr>
          <w:p w14:paraId="7093D65C" w14:textId="77777777" w:rsidR="000A3E4A" w:rsidRPr="00502D1F" w:rsidRDefault="000A3E4A" w:rsidP="00E51809">
            <w:pPr>
              <w:pStyle w:val="CETBodytext"/>
              <w:jc w:val="center"/>
              <w:rPr>
                <w:b w:val="0"/>
                <w:bCs w:val="0"/>
                <w:lang w:val="en-GB"/>
              </w:rPr>
            </w:pPr>
            <w:r w:rsidRPr="00502D1F">
              <w:rPr>
                <w:b w:val="0"/>
                <w:bCs w:val="0"/>
                <w:lang w:val="en-GB"/>
              </w:rPr>
              <w:t>BP3</w:t>
            </w:r>
          </w:p>
        </w:tc>
        <w:tc>
          <w:tcPr>
            <w:tcW w:w="1031" w:type="dxa"/>
            <w:shd w:val="clear" w:color="auto" w:fill="auto"/>
            <w:vAlign w:val="center"/>
          </w:tcPr>
          <w:p w14:paraId="7293860C"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BP3-M7</w:t>
            </w:r>
          </w:p>
        </w:tc>
        <w:tc>
          <w:tcPr>
            <w:tcW w:w="1179" w:type="dxa"/>
            <w:shd w:val="clear" w:color="auto" w:fill="auto"/>
            <w:vAlign w:val="center"/>
          </w:tcPr>
          <w:p w14:paraId="208A79AA"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3</w:t>
            </w:r>
          </w:p>
        </w:tc>
        <w:tc>
          <w:tcPr>
            <w:tcW w:w="1013" w:type="dxa"/>
            <w:shd w:val="clear" w:color="auto" w:fill="auto"/>
            <w:vAlign w:val="center"/>
          </w:tcPr>
          <w:p w14:paraId="7B6A399C" w14:textId="7A3BD2EF"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2</w:t>
            </w:r>
          </w:p>
        </w:tc>
        <w:tc>
          <w:tcPr>
            <w:tcW w:w="1339" w:type="dxa"/>
            <w:shd w:val="clear" w:color="auto" w:fill="auto"/>
          </w:tcPr>
          <w:p w14:paraId="3531011F"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0.39</w:t>
            </w:r>
          </w:p>
        </w:tc>
        <w:tc>
          <w:tcPr>
            <w:tcW w:w="1487" w:type="dxa"/>
            <w:shd w:val="clear" w:color="auto" w:fill="auto"/>
          </w:tcPr>
          <w:p w14:paraId="3404C805"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100</w:t>
            </w:r>
          </w:p>
        </w:tc>
        <w:tc>
          <w:tcPr>
            <w:tcW w:w="1151" w:type="dxa"/>
            <w:shd w:val="clear" w:color="auto" w:fill="auto"/>
            <w:vAlign w:val="center"/>
          </w:tcPr>
          <w:p w14:paraId="367A45C7"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25</w:t>
            </w:r>
          </w:p>
        </w:tc>
      </w:tr>
      <w:tr w:rsidR="003466D1" w:rsidRPr="00502D1F" w14:paraId="400C7CDD" w14:textId="77777777" w:rsidTr="004911E8">
        <w:trPr>
          <w:trHeight w:val="75"/>
        </w:trPr>
        <w:tc>
          <w:tcPr>
            <w:cnfStyle w:val="001000000000" w:firstRow="0" w:lastRow="0" w:firstColumn="1" w:lastColumn="0" w:oddVBand="0" w:evenVBand="0" w:oddHBand="0" w:evenHBand="0" w:firstRowFirstColumn="0" w:firstRowLastColumn="0" w:lastRowFirstColumn="0" w:lastRowLastColumn="0"/>
            <w:tcW w:w="1179" w:type="dxa"/>
            <w:vMerge/>
            <w:shd w:val="clear" w:color="auto" w:fill="auto"/>
          </w:tcPr>
          <w:p w14:paraId="53C3E1C4" w14:textId="77777777" w:rsidR="000A3E4A" w:rsidRPr="00502D1F" w:rsidRDefault="000A3E4A" w:rsidP="00E51809">
            <w:pPr>
              <w:pStyle w:val="CETBodytext"/>
              <w:jc w:val="center"/>
              <w:rPr>
                <w:lang w:val="en-GB"/>
              </w:rPr>
            </w:pPr>
          </w:p>
        </w:tc>
        <w:tc>
          <w:tcPr>
            <w:tcW w:w="1031" w:type="dxa"/>
            <w:shd w:val="clear" w:color="auto" w:fill="auto"/>
            <w:vAlign w:val="center"/>
          </w:tcPr>
          <w:p w14:paraId="1CB8FF09"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BP3-M8</w:t>
            </w:r>
          </w:p>
        </w:tc>
        <w:tc>
          <w:tcPr>
            <w:tcW w:w="1179" w:type="dxa"/>
            <w:shd w:val="clear" w:color="auto" w:fill="auto"/>
          </w:tcPr>
          <w:p w14:paraId="001CC627"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3</w:t>
            </w:r>
          </w:p>
        </w:tc>
        <w:tc>
          <w:tcPr>
            <w:tcW w:w="1013" w:type="dxa"/>
            <w:shd w:val="clear" w:color="auto" w:fill="auto"/>
          </w:tcPr>
          <w:p w14:paraId="6AEA7D63" w14:textId="77F99914"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2</w:t>
            </w:r>
          </w:p>
        </w:tc>
        <w:tc>
          <w:tcPr>
            <w:tcW w:w="1339" w:type="dxa"/>
            <w:shd w:val="clear" w:color="auto" w:fill="auto"/>
          </w:tcPr>
          <w:p w14:paraId="40D93A26"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0.39</w:t>
            </w:r>
          </w:p>
        </w:tc>
        <w:tc>
          <w:tcPr>
            <w:tcW w:w="1487" w:type="dxa"/>
            <w:shd w:val="clear" w:color="auto" w:fill="auto"/>
          </w:tcPr>
          <w:p w14:paraId="68989D58"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100</w:t>
            </w:r>
          </w:p>
        </w:tc>
        <w:tc>
          <w:tcPr>
            <w:tcW w:w="1151" w:type="dxa"/>
            <w:shd w:val="clear" w:color="auto" w:fill="auto"/>
          </w:tcPr>
          <w:p w14:paraId="41D91521" w14:textId="77777777" w:rsidR="000A3E4A" w:rsidRPr="00502D1F" w:rsidRDefault="000A3E4A" w:rsidP="00E51809">
            <w:pPr>
              <w:pStyle w:val="CETBodytext"/>
              <w:jc w:val="center"/>
              <w:cnfStyle w:val="000000000000" w:firstRow="0" w:lastRow="0" w:firstColumn="0" w:lastColumn="0" w:oddVBand="0" w:evenVBand="0" w:oddHBand="0" w:evenHBand="0" w:firstRowFirstColumn="0" w:firstRowLastColumn="0" w:lastRowFirstColumn="0" w:lastRowLastColumn="0"/>
              <w:rPr>
                <w:lang w:val="en-GB"/>
              </w:rPr>
            </w:pPr>
            <w:r w:rsidRPr="00502D1F">
              <w:rPr>
                <w:lang w:val="en-GB"/>
              </w:rPr>
              <w:t>25</w:t>
            </w:r>
          </w:p>
        </w:tc>
      </w:tr>
      <w:tr w:rsidR="003466D1" w:rsidRPr="00502D1F" w14:paraId="110A2E7E" w14:textId="77777777" w:rsidTr="004911E8">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179" w:type="dxa"/>
            <w:vMerge/>
            <w:shd w:val="clear" w:color="auto" w:fill="auto"/>
          </w:tcPr>
          <w:p w14:paraId="3A1EF703" w14:textId="77777777" w:rsidR="000A3E4A" w:rsidRPr="00502D1F" w:rsidRDefault="000A3E4A" w:rsidP="00E51809">
            <w:pPr>
              <w:pStyle w:val="CETBodytext"/>
              <w:jc w:val="center"/>
              <w:rPr>
                <w:lang w:val="en-GB"/>
              </w:rPr>
            </w:pPr>
          </w:p>
        </w:tc>
        <w:tc>
          <w:tcPr>
            <w:tcW w:w="1031" w:type="dxa"/>
            <w:shd w:val="clear" w:color="auto" w:fill="auto"/>
            <w:vAlign w:val="center"/>
          </w:tcPr>
          <w:p w14:paraId="50F707EE"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BP3-M9</w:t>
            </w:r>
          </w:p>
        </w:tc>
        <w:tc>
          <w:tcPr>
            <w:tcW w:w="1179" w:type="dxa"/>
            <w:shd w:val="clear" w:color="auto" w:fill="auto"/>
          </w:tcPr>
          <w:p w14:paraId="2FF80722"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3</w:t>
            </w:r>
          </w:p>
        </w:tc>
        <w:tc>
          <w:tcPr>
            <w:tcW w:w="1013" w:type="dxa"/>
            <w:shd w:val="clear" w:color="auto" w:fill="auto"/>
          </w:tcPr>
          <w:p w14:paraId="59367CBD" w14:textId="1F10F95B"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2</w:t>
            </w:r>
          </w:p>
        </w:tc>
        <w:tc>
          <w:tcPr>
            <w:tcW w:w="1339" w:type="dxa"/>
            <w:shd w:val="clear" w:color="auto" w:fill="auto"/>
          </w:tcPr>
          <w:p w14:paraId="1A5C5340"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0.39</w:t>
            </w:r>
          </w:p>
        </w:tc>
        <w:tc>
          <w:tcPr>
            <w:tcW w:w="1487" w:type="dxa"/>
            <w:shd w:val="clear" w:color="auto" w:fill="auto"/>
          </w:tcPr>
          <w:p w14:paraId="62F28A00"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100</w:t>
            </w:r>
          </w:p>
        </w:tc>
        <w:tc>
          <w:tcPr>
            <w:tcW w:w="1151" w:type="dxa"/>
            <w:shd w:val="clear" w:color="auto" w:fill="auto"/>
          </w:tcPr>
          <w:p w14:paraId="0DA51458" w14:textId="77777777" w:rsidR="000A3E4A" w:rsidRPr="00502D1F" w:rsidRDefault="000A3E4A" w:rsidP="00E51809">
            <w:pPr>
              <w:pStyle w:val="CETBodytext"/>
              <w:jc w:val="center"/>
              <w:cnfStyle w:val="000000100000" w:firstRow="0" w:lastRow="0" w:firstColumn="0" w:lastColumn="0" w:oddVBand="0" w:evenVBand="0" w:oddHBand="1" w:evenHBand="0" w:firstRowFirstColumn="0" w:firstRowLastColumn="0" w:lastRowFirstColumn="0" w:lastRowLastColumn="0"/>
              <w:rPr>
                <w:lang w:val="en-GB"/>
              </w:rPr>
            </w:pPr>
            <w:r w:rsidRPr="00502D1F">
              <w:rPr>
                <w:lang w:val="en-GB"/>
              </w:rPr>
              <w:t>25</w:t>
            </w:r>
          </w:p>
        </w:tc>
      </w:tr>
    </w:tbl>
    <w:bookmarkEnd w:id="3"/>
    <w:p w14:paraId="4EA645EE" w14:textId="24ABD5E5" w:rsidR="000A3E4A" w:rsidRPr="00502D1F" w:rsidRDefault="00961572" w:rsidP="00CC068C">
      <w:pPr>
        <w:pStyle w:val="PargrafodaLista"/>
        <w:spacing w:line="360" w:lineRule="auto"/>
        <w:ind w:left="709" w:right="-568" w:hanging="709"/>
        <w:jc w:val="left"/>
        <w:rPr>
          <w:rFonts w:cs="Arial"/>
          <w:sz w:val="14"/>
          <w:szCs w:val="16"/>
        </w:rPr>
      </w:pPr>
      <w:r w:rsidRPr="00502D1F">
        <w:rPr>
          <w:rFonts w:cs="Arial"/>
          <w:sz w:val="14"/>
          <w:szCs w:val="16"/>
        </w:rPr>
        <w:t>BP1: Bioplastic 1; BP2: Bioplastic 2; BP3: Bioplastic 3; M1: Sample 1; …M9: Sample 9.</w:t>
      </w:r>
    </w:p>
    <w:p w14:paraId="0C0DDB1B" w14:textId="77777777" w:rsidR="00414BFA" w:rsidRPr="00502D1F" w:rsidRDefault="00414BFA" w:rsidP="000A3E4A">
      <w:pPr>
        <w:pStyle w:val="CETBodytext"/>
        <w:rPr>
          <w:b/>
          <w:bCs/>
          <w:lang w:val="en-GB"/>
        </w:rPr>
      </w:pPr>
    </w:p>
    <w:p w14:paraId="498CAD85" w14:textId="75FDBF08" w:rsidR="00CE4341" w:rsidRPr="00127928" w:rsidRDefault="000A3E4A" w:rsidP="008B0DA6">
      <w:pPr>
        <w:pStyle w:val="CETBodytext"/>
        <w:rPr>
          <w:b/>
          <w:bCs/>
          <w:lang w:val="en-GB"/>
        </w:rPr>
      </w:pPr>
      <w:r w:rsidRPr="00502D1F">
        <w:rPr>
          <w:b/>
          <w:bCs/>
          <w:lang w:val="en-GB"/>
        </w:rPr>
        <w:t xml:space="preserve">2.3 </w:t>
      </w:r>
      <w:r w:rsidR="00961572" w:rsidRPr="00502D1F">
        <w:rPr>
          <w:b/>
          <w:bCs/>
          <w:lang w:val="en-GB"/>
        </w:rPr>
        <w:t>Characterization of the bioplastic</w:t>
      </w:r>
    </w:p>
    <w:p w14:paraId="0194CB08" w14:textId="3C7EB5DC" w:rsidR="008B0DA6" w:rsidRPr="00502D1F" w:rsidRDefault="008B0DA6" w:rsidP="008B0DA6">
      <w:pPr>
        <w:pStyle w:val="CETBodytext"/>
        <w:rPr>
          <w:lang w:val="en-GB"/>
        </w:rPr>
      </w:pPr>
      <w:r w:rsidRPr="00502D1F">
        <w:rPr>
          <w:lang w:val="en-GB"/>
        </w:rPr>
        <w:t>Finally, the bioplastic was characterized, evaluating the biodegradation (See figure 3) in soil, aqueous</w:t>
      </w:r>
      <w:r w:rsidR="005177A6" w:rsidRPr="00502D1F">
        <w:rPr>
          <w:lang w:val="en-GB"/>
        </w:rPr>
        <w:t>,</w:t>
      </w:r>
      <w:r w:rsidRPr="00502D1F">
        <w:rPr>
          <w:lang w:val="en-GB"/>
        </w:rPr>
        <w:t xml:space="preserve"> and open air. Regarding the soil environment, it was collected from a natural area, screened at 2 mm to eliminate any impurity (vegetable or inert matter), with a water retention capacity between 40% and 60%, pH between 6-8 and organic matter content. with a C:N ratio of 40:1 (ISO 17556 method), </w:t>
      </w:r>
      <w:r w:rsidR="005177A6" w:rsidRPr="00502D1F">
        <w:rPr>
          <w:lang w:val="en-GB"/>
        </w:rPr>
        <w:t>concerning</w:t>
      </w:r>
      <w:r w:rsidRPr="00502D1F">
        <w:rPr>
          <w:lang w:val="en-GB"/>
        </w:rPr>
        <w:t xml:space="preserve"> the aqueous medium and the outdoors, the mass loss method was applied. The tensile and elongation test of the material was also carried </w:t>
      </w:r>
      <w:r w:rsidRPr="00502D1F">
        <w:rPr>
          <w:lang w:val="en-GB"/>
        </w:rPr>
        <w:lastRenderedPageBreak/>
        <w:t xml:space="preserve">out, for which bioplastic strips 15 cm long and 2.50 cm wide were cut, various weights were </w:t>
      </w:r>
      <w:r w:rsidR="000C563C" w:rsidRPr="00502D1F">
        <w:rPr>
          <w:lang w:val="en-GB"/>
        </w:rPr>
        <w:t>applied,</w:t>
      </w:r>
      <w:r w:rsidRPr="00502D1F">
        <w:rPr>
          <w:lang w:val="en-GB"/>
        </w:rPr>
        <w:t xml:space="preserve"> and time was measured.</w:t>
      </w:r>
    </w:p>
    <w:p w14:paraId="3F7ABEAA" w14:textId="443D9A38" w:rsidR="008766CC" w:rsidRPr="00502D1F" w:rsidRDefault="008B0DA6" w:rsidP="008B0DA6">
      <w:pPr>
        <w:pStyle w:val="CETBodytext"/>
        <w:rPr>
          <w:lang w:val="en-GB"/>
        </w:rPr>
      </w:pPr>
      <w:r w:rsidRPr="00502D1F">
        <w:rPr>
          <w:lang w:val="en-GB"/>
        </w:rPr>
        <w:t>The water absorption capacity was evaluated, following the procedure based on the ASTM D570-98 standard (immersion in distilled water), which consists of subjecting the samples in beakers with distilled water to a temperature of 21.5 ºC simultaneously, during intervals After 1, 3, 5, 10, 15, 20, 25, 30, and 60 minutes, remove any water from the surface and weigh the samples.</w:t>
      </w:r>
    </w:p>
    <w:p w14:paraId="02B5A340" w14:textId="77777777" w:rsidR="00CE4341" w:rsidRPr="00502D1F" w:rsidRDefault="00CE4341" w:rsidP="008B0DA6">
      <w:pPr>
        <w:pStyle w:val="CETBodytext"/>
        <w:rPr>
          <w:lang w:val="en-GB"/>
        </w:rPr>
      </w:pPr>
    </w:p>
    <w:p w14:paraId="644AFB7D" w14:textId="0A05E170" w:rsidR="008766CC" w:rsidRPr="00502D1F" w:rsidRDefault="008766CC" w:rsidP="008766CC">
      <w:pPr>
        <w:pStyle w:val="CETBodytext"/>
        <w:rPr>
          <w:lang w:val="en-GB"/>
        </w:rPr>
      </w:pPr>
      <w:r w:rsidRPr="00502D1F">
        <w:rPr>
          <w:noProof/>
          <w:lang w:val="es-PE" w:eastAsia="es-PE"/>
        </w:rPr>
        <w:drawing>
          <wp:inline distT="0" distB="0" distL="0" distR="0" wp14:anchorId="1EA628D5" wp14:editId="0471AB4F">
            <wp:extent cx="1906316" cy="929530"/>
            <wp:effectExtent l="0" t="0" r="0" b="0"/>
            <wp:docPr id="13218868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86809" name="Imagen 1321886809"/>
                    <pic:cNvPicPr/>
                  </pic:nvPicPr>
                  <pic:blipFill>
                    <a:blip r:embed="rId12"/>
                    <a:stretch>
                      <a:fillRect/>
                    </a:stretch>
                  </pic:blipFill>
                  <pic:spPr>
                    <a:xfrm>
                      <a:off x="0" y="0"/>
                      <a:ext cx="1929292" cy="940733"/>
                    </a:xfrm>
                    <a:prstGeom prst="rect">
                      <a:avLst/>
                    </a:prstGeom>
                  </pic:spPr>
                </pic:pic>
              </a:graphicData>
            </a:graphic>
          </wp:inline>
        </w:drawing>
      </w:r>
    </w:p>
    <w:p w14:paraId="045FCE88" w14:textId="77777777" w:rsidR="003308BF" w:rsidRPr="00502D1F" w:rsidRDefault="00961572" w:rsidP="008766CC">
      <w:pPr>
        <w:pStyle w:val="CETCaption"/>
        <w:spacing w:before="0" w:after="0"/>
      </w:pPr>
      <w:r w:rsidRPr="00502D1F">
        <w:t>Figure 3: Biodegradation process in soil</w:t>
      </w:r>
    </w:p>
    <w:p w14:paraId="677EBFF0" w14:textId="59DAA198" w:rsidR="00600535" w:rsidRPr="00502D1F" w:rsidRDefault="003308BF" w:rsidP="00961572">
      <w:pPr>
        <w:pStyle w:val="CETCaption"/>
        <w:rPr>
          <w:b/>
          <w:i w:val="0"/>
          <w:sz w:val="20"/>
        </w:rPr>
      </w:pPr>
      <w:r w:rsidRPr="00502D1F">
        <w:rPr>
          <w:b/>
          <w:i w:val="0"/>
          <w:sz w:val="20"/>
        </w:rPr>
        <w:t>3. Results and discussion</w:t>
      </w:r>
    </w:p>
    <w:p w14:paraId="2D537261" w14:textId="4C59FAB1" w:rsidR="007B7CCE" w:rsidRPr="008C6A96" w:rsidRDefault="003308BF" w:rsidP="00127928">
      <w:pPr>
        <w:pStyle w:val="CETheadingx"/>
        <w:rPr>
          <w:lang w:val="en-US"/>
        </w:rPr>
      </w:pPr>
      <w:r w:rsidRPr="008C6A96">
        <w:rPr>
          <w:lang w:val="en-US"/>
        </w:rPr>
        <w:t>3.1 Traction and elongation of the bioplastic</w:t>
      </w:r>
    </w:p>
    <w:p w14:paraId="27F695D2" w14:textId="77777777" w:rsidR="00FA084D" w:rsidRPr="00502D1F" w:rsidRDefault="00FA084D" w:rsidP="00FA084D">
      <w:pPr>
        <w:pStyle w:val="CETBodytext"/>
        <w:rPr>
          <w:lang w:val="en-GB"/>
        </w:rPr>
      </w:pPr>
      <w:r w:rsidRPr="00502D1F">
        <w:rPr>
          <w:lang w:val="en-GB"/>
        </w:rPr>
        <w:t>The values obtained for traction force show that sample 1 supported a maximum force of 2.4525 N/cm</w:t>
      </w:r>
      <w:r w:rsidRPr="00502D1F">
        <w:rPr>
          <w:vertAlign w:val="superscript"/>
          <w:lang w:val="en-GB"/>
        </w:rPr>
        <w:t>2</w:t>
      </w:r>
      <w:r w:rsidRPr="00502D1F">
        <w:rPr>
          <w:lang w:val="en-GB"/>
        </w:rPr>
        <w:t xml:space="preserve"> in an average time of 7.3 s; sample 2 reached its breaking point when 7.3575 N/cm</w:t>
      </w:r>
      <w:r w:rsidRPr="00502D1F">
        <w:rPr>
          <w:vertAlign w:val="superscript"/>
          <w:lang w:val="en-GB"/>
        </w:rPr>
        <w:t>2</w:t>
      </w:r>
      <w:r w:rsidRPr="00502D1F">
        <w:rPr>
          <w:lang w:val="en-GB"/>
        </w:rPr>
        <w:t xml:space="preserve"> was applied in an average time of 20.35 s, and sample 3 tolerated a maximum force of 4.9050 N/cm</w:t>
      </w:r>
      <w:r w:rsidRPr="00502D1F">
        <w:rPr>
          <w:vertAlign w:val="superscript"/>
          <w:lang w:val="en-GB"/>
        </w:rPr>
        <w:t xml:space="preserve">2 </w:t>
      </w:r>
      <w:r w:rsidRPr="00502D1F">
        <w:rPr>
          <w:lang w:val="en-GB"/>
        </w:rPr>
        <w:t>in 19.37 s. See Table 2.</w:t>
      </w:r>
    </w:p>
    <w:p w14:paraId="39DE5A7A" w14:textId="65CEFC83" w:rsidR="00FA084D" w:rsidRPr="00502D1F" w:rsidRDefault="00FA084D" w:rsidP="00FA084D">
      <w:pPr>
        <w:pStyle w:val="CETBodytext"/>
        <w:rPr>
          <w:lang w:val="en-GB"/>
        </w:rPr>
      </w:pPr>
      <w:r w:rsidRPr="00502D1F">
        <w:rPr>
          <w:lang w:val="en-GB"/>
        </w:rPr>
        <w:t>The percentage of elongation obtained from the samples has a minimum value of 60% from sample 2 (BP2-M5 / BP2-M6), and a maximum value of 106.67</w:t>
      </w:r>
      <w:r w:rsidR="00E51809" w:rsidRPr="00502D1F">
        <w:rPr>
          <w:lang w:val="en-GB"/>
        </w:rPr>
        <w:t xml:space="preserve"> </w:t>
      </w:r>
      <w:r w:rsidRPr="00502D1F">
        <w:rPr>
          <w:lang w:val="en-GB"/>
        </w:rPr>
        <w:t>% from sample 1 repetition 1 (BP1-M1) and sample 3 (BP1-M9) (see Table 2).</w:t>
      </w:r>
    </w:p>
    <w:p w14:paraId="3B182E4B" w14:textId="4580756E" w:rsidR="000E1E06" w:rsidRPr="00502D1F" w:rsidRDefault="00FA084D" w:rsidP="00FA084D">
      <w:pPr>
        <w:pStyle w:val="CETBodytext"/>
        <w:rPr>
          <w:lang w:val="en-GB"/>
        </w:rPr>
      </w:pPr>
      <w:r w:rsidRPr="00502D1F">
        <w:rPr>
          <w:lang w:val="en-GB"/>
        </w:rPr>
        <w:t xml:space="preserve">The difference between the tensile force and elongation values of the 3 samples is caused by the amount of glycerol added in each sample, this is because glycerol allows the increase in elongation but decreases its tensile force, as mentioned. Giosafatto et al (2014), </w:t>
      </w:r>
      <w:r w:rsidR="008C6DD8" w:rsidRPr="00502D1F">
        <w:rPr>
          <w:lang w:val="en-GB"/>
        </w:rPr>
        <w:t>indicate</w:t>
      </w:r>
      <w:r w:rsidRPr="00502D1F">
        <w:rPr>
          <w:lang w:val="en-GB"/>
        </w:rPr>
        <w:t xml:space="preserve"> the elongation and traction values are due to the amount of glycerol used in the production of bioplastic since it causes the structure of the material to become flexible; Gustafsson et al (2019), also </w:t>
      </w:r>
      <w:r w:rsidR="00501F22" w:rsidRPr="00502D1F">
        <w:rPr>
          <w:lang w:val="en-GB"/>
        </w:rPr>
        <w:t>mention</w:t>
      </w:r>
      <w:r w:rsidRPr="00502D1F">
        <w:rPr>
          <w:lang w:val="en-GB"/>
        </w:rPr>
        <w:t xml:space="preserve"> that if the elongation values increase, the tensile strength decreases</w:t>
      </w:r>
      <w:r w:rsidR="000E1E06" w:rsidRPr="00502D1F">
        <w:rPr>
          <w:lang w:val="en-GB"/>
        </w:rPr>
        <w:t>.</w:t>
      </w:r>
      <w:bookmarkStart w:id="4" w:name="_Toc121210156"/>
    </w:p>
    <w:p w14:paraId="54D99ACC" w14:textId="77777777" w:rsidR="00A40FF7" w:rsidRPr="00502D1F" w:rsidRDefault="00A40FF7" w:rsidP="000E1E06">
      <w:pPr>
        <w:pStyle w:val="CETBodytext"/>
        <w:rPr>
          <w:lang w:val="en-GB"/>
        </w:rPr>
      </w:pPr>
    </w:p>
    <w:bookmarkEnd w:id="4"/>
    <w:p w14:paraId="10302393" w14:textId="44A18AD9" w:rsidR="00671546" w:rsidRPr="00502D1F" w:rsidRDefault="00A40FF7" w:rsidP="000E1E06">
      <w:pPr>
        <w:pStyle w:val="CETBodytext"/>
        <w:rPr>
          <w:lang w:val="en-GB"/>
        </w:rPr>
      </w:pPr>
      <w:r w:rsidRPr="00502D1F">
        <w:rPr>
          <w:lang w:val="en-GB"/>
        </w:rPr>
        <w:t>Table 2: Values obtained from the tensile test</w:t>
      </w:r>
    </w:p>
    <w:tbl>
      <w:tblPr>
        <w:tblStyle w:val="TabelaSimples10"/>
        <w:tblpPr w:leftFromText="141" w:rightFromText="141" w:vertAnchor="text" w:horzAnchor="margin" w:tblpY="119"/>
        <w:tblW w:w="7620" w:type="dxa"/>
        <w:tblBorders>
          <w:top w:val="single" w:sz="12" w:space="0" w:color="009900"/>
          <w:left w:val="none" w:sz="0" w:space="0" w:color="auto"/>
          <w:bottom w:val="single" w:sz="12" w:space="0" w:color="009900"/>
          <w:right w:val="none" w:sz="0" w:space="0" w:color="auto"/>
          <w:insideH w:val="none" w:sz="0" w:space="0" w:color="auto"/>
          <w:insideV w:val="none" w:sz="0" w:space="0" w:color="auto"/>
        </w:tblBorders>
        <w:tblLook w:val="04A0" w:firstRow="1" w:lastRow="0" w:firstColumn="1" w:lastColumn="0" w:noHBand="0" w:noVBand="1"/>
      </w:tblPr>
      <w:tblGrid>
        <w:gridCol w:w="1183"/>
        <w:gridCol w:w="1252"/>
        <w:gridCol w:w="842"/>
        <w:gridCol w:w="816"/>
        <w:gridCol w:w="767"/>
        <w:gridCol w:w="1824"/>
        <w:gridCol w:w="938"/>
      </w:tblGrid>
      <w:tr w:rsidR="00704A14" w:rsidRPr="00502D1F" w14:paraId="413D97E5" w14:textId="77777777" w:rsidTr="00B6298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83" w:type="dxa"/>
            <w:vMerge w:val="restart"/>
            <w:shd w:val="clear" w:color="auto" w:fill="auto"/>
            <w:noWrap/>
            <w:vAlign w:val="center"/>
            <w:hideMark/>
          </w:tcPr>
          <w:p w14:paraId="5EB3A414" w14:textId="77777777" w:rsidR="006A643C" w:rsidRPr="00502D1F" w:rsidRDefault="006A643C" w:rsidP="00B62988">
            <w:pPr>
              <w:jc w:val="center"/>
              <w:rPr>
                <w:rFonts w:cs="Arial"/>
                <w:color w:val="000000"/>
                <w:szCs w:val="18"/>
                <w:lang w:eastAsia="es-PE"/>
              </w:rPr>
            </w:pPr>
            <w:r w:rsidRPr="00502D1F">
              <w:rPr>
                <w:b w:val="0"/>
                <w:bCs w:val="0"/>
              </w:rPr>
              <w:t>Bioplastic</w:t>
            </w:r>
          </w:p>
          <w:p w14:paraId="4146511E" w14:textId="647B1235" w:rsidR="006A643C" w:rsidRPr="00502D1F" w:rsidRDefault="006A643C" w:rsidP="00B62988">
            <w:pPr>
              <w:jc w:val="center"/>
              <w:rPr>
                <w:rFonts w:cs="Arial"/>
                <w:b w:val="0"/>
                <w:bCs w:val="0"/>
                <w:color w:val="000000"/>
                <w:szCs w:val="18"/>
                <w:lang w:eastAsia="es-PE"/>
              </w:rPr>
            </w:pPr>
          </w:p>
        </w:tc>
        <w:tc>
          <w:tcPr>
            <w:tcW w:w="1252" w:type="dxa"/>
            <w:vMerge w:val="restart"/>
            <w:shd w:val="clear" w:color="auto" w:fill="auto"/>
            <w:noWrap/>
            <w:vAlign w:val="center"/>
            <w:hideMark/>
          </w:tcPr>
          <w:p w14:paraId="41A2BF38" w14:textId="6E1AD2D7" w:rsidR="006A643C" w:rsidRPr="00502D1F" w:rsidRDefault="00B279B6" w:rsidP="00B6298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18"/>
                <w:lang w:eastAsia="es-PE"/>
              </w:rPr>
            </w:pPr>
            <w:r w:rsidRPr="00502D1F">
              <w:rPr>
                <w:rFonts w:cs="Arial"/>
                <w:b w:val="0"/>
                <w:bCs w:val="0"/>
                <w:color w:val="000000"/>
                <w:szCs w:val="18"/>
                <w:lang w:eastAsia="es-PE"/>
              </w:rPr>
              <w:t>Repetitions</w:t>
            </w:r>
          </w:p>
        </w:tc>
        <w:tc>
          <w:tcPr>
            <w:tcW w:w="2423" w:type="dxa"/>
            <w:gridSpan w:val="3"/>
            <w:tcBorders>
              <w:bottom w:val="single" w:sz="6" w:space="0" w:color="009900"/>
            </w:tcBorders>
            <w:shd w:val="clear" w:color="auto" w:fill="auto"/>
            <w:noWrap/>
            <w:vAlign w:val="center"/>
            <w:hideMark/>
          </w:tcPr>
          <w:p w14:paraId="1B8EA096" w14:textId="5813224A" w:rsidR="006A643C" w:rsidRPr="00502D1F" w:rsidRDefault="00B279B6" w:rsidP="00B6298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18"/>
                <w:lang w:eastAsia="es-PE"/>
              </w:rPr>
            </w:pPr>
            <w:r w:rsidRPr="00502D1F">
              <w:rPr>
                <w:rFonts w:cs="Arial"/>
                <w:b w:val="0"/>
                <w:bCs w:val="0"/>
                <w:color w:val="000000"/>
                <w:szCs w:val="18"/>
                <w:lang w:eastAsia="es-PE"/>
              </w:rPr>
              <w:t>Elongation</w:t>
            </w:r>
          </w:p>
        </w:tc>
        <w:tc>
          <w:tcPr>
            <w:tcW w:w="1824" w:type="dxa"/>
            <w:vMerge w:val="restart"/>
            <w:shd w:val="clear" w:color="auto" w:fill="auto"/>
            <w:noWrap/>
            <w:vAlign w:val="center"/>
            <w:hideMark/>
          </w:tcPr>
          <w:p w14:paraId="49B35AC8" w14:textId="15CA5E70" w:rsidR="006A643C" w:rsidRPr="00502D1F" w:rsidRDefault="00B279B6" w:rsidP="00B6298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18"/>
                <w:lang w:eastAsia="es-PE"/>
              </w:rPr>
            </w:pPr>
            <w:r w:rsidRPr="00502D1F">
              <w:rPr>
                <w:rFonts w:cs="Arial"/>
                <w:b w:val="0"/>
                <w:bCs w:val="0"/>
                <w:color w:val="000000"/>
                <w:szCs w:val="18"/>
                <w:lang w:eastAsia="es-PE"/>
              </w:rPr>
              <w:t xml:space="preserve">Tractive force </w:t>
            </w:r>
            <w:r w:rsidR="006A643C" w:rsidRPr="00502D1F">
              <w:rPr>
                <w:rFonts w:cs="Arial"/>
                <w:b w:val="0"/>
                <w:bCs w:val="0"/>
                <w:color w:val="000000"/>
                <w:szCs w:val="18"/>
                <w:lang w:eastAsia="es-PE"/>
              </w:rPr>
              <w:t>(N/cm</w:t>
            </w:r>
            <w:r w:rsidR="006A643C" w:rsidRPr="00502D1F">
              <w:rPr>
                <w:rFonts w:cs="Arial"/>
                <w:b w:val="0"/>
                <w:bCs w:val="0"/>
                <w:color w:val="000000"/>
                <w:szCs w:val="18"/>
                <w:vertAlign w:val="superscript"/>
                <w:lang w:eastAsia="es-PE"/>
              </w:rPr>
              <w:t>2</w:t>
            </w:r>
            <w:r w:rsidR="006A643C" w:rsidRPr="00502D1F">
              <w:rPr>
                <w:rFonts w:cs="Arial"/>
                <w:b w:val="0"/>
                <w:bCs w:val="0"/>
                <w:color w:val="000000"/>
                <w:szCs w:val="18"/>
                <w:lang w:eastAsia="es-PE"/>
              </w:rPr>
              <w:t>)</w:t>
            </w:r>
          </w:p>
        </w:tc>
        <w:tc>
          <w:tcPr>
            <w:tcW w:w="938" w:type="dxa"/>
            <w:vMerge w:val="restart"/>
            <w:shd w:val="clear" w:color="auto" w:fill="auto"/>
            <w:noWrap/>
            <w:vAlign w:val="center"/>
            <w:hideMark/>
          </w:tcPr>
          <w:p w14:paraId="4A3CBE8E" w14:textId="77777777" w:rsidR="00B279B6" w:rsidRPr="00502D1F" w:rsidRDefault="00B279B6" w:rsidP="00B62988">
            <w:pPr>
              <w:jc w:val="center"/>
              <w:cnfStyle w:val="100000000000" w:firstRow="1"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b w:val="0"/>
                <w:bCs w:val="0"/>
                <w:color w:val="000000"/>
                <w:szCs w:val="18"/>
                <w:lang w:eastAsia="es-PE"/>
              </w:rPr>
              <w:t>Time</w:t>
            </w:r>
          </w:p>
          <w:p w14:paraId="00AE7EA8" w14:textId="34CA26BC" w:rsidR="006A643C" w:rsidRPr="00502D1F" w:rsidRDefault="006A643C" w:rsidP="00B62988">
            <w:pPr>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Cs w:val="18"/>
                <w:lang w:eastAsia="es-PE"/>
              </w:rPr>
            </w:pPr>
            <w:r w:rsidRPr="00502D1F">
              <w:rPr>
                <w:rFonts w:cs="Arial"/>
                <w:b w:val="0"/>
                <w:bCs w:val="0"/>
                <w:color w:val="000000"/>
                <w:szCs w:val="18"/>
                <w:lang w:eastAsia="es-PE"/>
              </w:rPr>
              <w:t xml:space="preserve"> (s)</w:t>
            </w:r>
          </w:p>
        </w:tc>
      </w:tr>
      <w:tr w:rsidR="006A643C" w:rsidRPr="00502D1F" w14:paraId="648A3C38" w14:textId="77777777" w:rsidTr="00B6298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83" w:type="dxa"/>
            <w:vMerge/>
            <w:tcBorders>
              <w:bottom w:val="single" w:sz="6" w:space="0" w:color="009900"/>
            </w:tcBorders>
            <w:shd w:val="clear" w:color="auto" w:fill="auto"/>
            <w:vAlign w:val="center"/>
            <w:hideMark/>
          </w:tcPr>
          <w:p w14:paraId="72F9141E" w14:textId="77777777" w:rsidR="006A643C" w:rsidRPr="00502D1F" w:rsidRDefault="006A643C" w:rsidP="00B62988">
            <w:pPr>
              <w:rPr>
                <w:rFonts w:cs="Arial"/>
                <w:color w:val="000000"/>
                <w:szCs w:val="18"/>
                <w:lang w:eastAsia="es-PE"/>
              </w:rPr>
            </w:pPr>
          </w:p>
        </w:tc>
        <w:tc>
          <w:tcPr>
            <w:tcW w:w="1252" w:type="dxa"/>
            <w:vMerge/>
            <w:tcBorders>
              <w:bottom w:val="single" w:sz="6" w:space="0" w:color="009900"/>
            </w:tcBorders>
            <w:shd w:val="clear" w:color="auto" w:fill="auto"/>
            <w:vAlign w:val="center"/>
            <w:hideMark/>
          </w:tcPr>
          <w:p w14:paraId="5885A5BA" w14:textId="77777777" w:rsidR="006A643C" w:rsidRPr="00502D1F" w:rsidRDefault="006A643C" w:rsidP="00B62988">
            <w:pP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p>
        </w:tc>
        <w:tc>
          <w:tcPr>
            <w:tcW w:w="842" w:type="dxa"/>
            <w:tcBorders>
              <w:top w:val="single" w:sz="6" w:space="0" w:color="009900"/>
              <w:bottom w:val="single" w:sz="6" w:space="0" w:color="009900"/>
            </w:tcBorders>
            <w:shd w:val="clear" w:color="auto" w:fill="auto"/>
            <w:noWrap/>
            <w:vAlign w:val="center"/>
            <w:hideMark/>
          </w:tcPr>
          <w:p w14:paraId="1A33C0E4" w14:textId="77777777" w:rsidR="006A643C" w:rsidRPr="00502D1F" w:rsidRDefault="006A643C" w:rsidP="00B62988">
            <w:pPr>
              <w:tabs>
                <w:tab w:val="clear" w:pos="7100"/>
                <w:tab w:val="right" w:pos="1599"/>
              </w:tabs>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L</w:t>
            </w:r>
            <w:r w:rsidRPr="00502D1F">
              <w:rPr>
                <w:rFonts w:cs="Arial"/>
                <w:color w:val="000000"/>
                <w:szCs w:val="18"/>
                <w:vertAlign w:val="subscript"/>
                <w:lang w:eastAsia="es-PE"/>
              </w:rPr>
              <w:t>i</w:t>
            </w:r>
            <w:r w:rsidRPr="00502D1F">
              <w:rPr>
                <w:rFonts w:cs="Arial"/>
                <w:color w:val="000000"/>
                <w:szCs w:val="18"/>
                <w:lang w:eastAsia="es-PE"/>
              </w:rPr>
              <w:t xml:space="preserve"> (cm)</w:t>
            </w:r>
          </w:p>
        </w:tc>
        <w:tc>
          <w:tcPr>
            <w:tcW w:w="816" w:type="dxa"/>
            <w:tcBorders>
              <w:top w:val="single" w:sz="6" w:space="0" w:color="009900"/>
              <w:bottom w:val="single" w:sz="6" w:space="0" w:color="009900"/>
            </w:tcBorders>
            <w:shd w:val="clear" w:color="auto" w:fill="auto"/>
            <w:noWrap/>
            <w:vAlign w:val="center"/>
            <w:hideMark/>
          </w:tcPr>
          <w:p w14:paraId="4E7BA905" w14:textId="77777777" w:rsidR="006A643C" w:rsidRPr="00502D1F" w:rsidRDefault="006A643C" w:rsidP="00B62988">
            <w:pPr>
              <w:tabs>
                <w:tab w:val="clear" w:pos="7100"/>
                <w:tab w:val="right" w:pos="1599"/>
              </w:tabs>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L</w:t>
            </w:r>
            <w:r w:rsidRPr="00502D1F">
              <w:rPr>
                <w:rFonts w:cs="Arial"/>
                <w:color w:val="000000"/>
                <w:szCs w:val="18"/>
                <w:vertAlign w:val="subscript"/>
                <w:lang w:eastAsia="es-PE"/>
              </w:rPr>
              <w:t xml:space="preserve">f </w:t>
            </w:r>
            <w:r w:rsidRPr="00502D1F">
              <w:rPr>
                <w:rFonts w:cs="Arial"/>
                <w:color w:val="000000"/>
                <w:szCs w:val="18"/>
                <w:lang w:eastAsia="es-PE"/>
              </w:rPr>
              <w:t>(cm)</w:t>
            </w:r>
          </w:p>
        </w:tc>
        <w:tc>
          <w:tcPr>
            <w:tcW w:w="764" w:type="dxa"/>
            <w:tcBorders>
              <w:top w:val="single" w:sz="6" w:space="0" w:color="009900"/>
              <w:bottom w:val="single" w:sz="6" w:space="0" w:color="009900"/>
            </w:tcBorders>
            <w:shd w:val="clear" w:color="auto" w:fill="auto"/>
            <w:noWrap/>
            <w:vAlign w:val="center"/>
            <w:hideMark/>
          </w:tcPr>
          <w:p w14:paraId="790FF583"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E (%)</w:t>
            </w:r>
          </w:p>
        </w:tc>
        <w:tc>
          <w:tcPr>
            <w:tcW w:w="1824" w:type="dxa"/>
            <w:vMerge/>
            <w:tcBorders>
              <w:bottom w:val="single" w:sz="6" w:space="0" w:color="009900"/>
            </w:tcBorders>
            <w:shd w:val="clear" w:color="auto" w:fill="auto"/>
            <w:vAlign w:val="center"/>
            <w:hideMark/>
          </w:tcPr>
          <w:p w14:paraId="744A947A" w14:textId="77777777" w:rsidR="006A643C" w:rsidRPr="00502D1F" w:rsidRDefault="006A643C" w:rsidP="00B62988">
            <w:pP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p>
        </w:tc>
        <w:tc>
          <w:tcPr>
            <w:tcW w:w="938" w:type="dxa"/>
            <w:vMerge/>
            <w:tcBorders>
              <w:bottom w:val="single" w:sz="6" w:space="0" w:color="009900"/>
            </w:tcBorders>
            <w:shd w:val="clear" w:color="auto" w:fill="auto"/>
            <w:vAlign w:val="center"/>
            <w:hideMark/>
          </w:tcPr>
          <w:p w14:paraId="6C2F101E" w14:textId="77777777" w:rsidR="006A643C" w:rsidRPr="00502D1F" w:rsidRDefault="006A643C" w:rsidP="00B62988">
            <w:pP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p>
        </w:tc>
      </w:tr>
      <w:tr w:rsidR="00704A14" w:rsidRPr="00502D1F" w14:paraId="516BEBA5" w14:textId="77777777" w:rsidTr="00B62988">
        <w:trPr>
          <w:trHeight w:val="113"/>
        </w:trPr>
        <w:tc>
          <w:tcPr>
            <w:cnfStyle w:val="001000000000" w:firstRow="0" w:lastRow="0" w:firstColumn="1" w:lastColumn="0" w:oddVBand="0" w:evenVBand="0" w:oddHBand="0" w:evenHBand="0" w:firstRowFirstColumn="0" w:firstRowLastColumn="0" w:lastRowFirstColumn="0" w:lastRowLastColumn="0"/>
            <w:tcW w:w="1183" w:type="dxa"/>
            <w:vMerge w:val="restart"/>
            <w:tcBorders>
              <w:top w:val="single" w:sz="6" w:space="0" w:color="009900"/>
              <w:bottom w:val="nil"/>
            </w:tcBorders>
            <w:shd w:val="clear" w:color="auto" w:fill="auto"/>
            <w:noWrap/>
            <w:vAlign w:val="center"/>
            <w:hideMark/>
          </w:tcPr>
          <w:p w14:paraId="26350AC9" w14:textId="7595C762" w:rsidR="006A643C" w:rsidRPr="00502D1F" w:rsidRDefault="006A643C" w:rsidP="00B62988">
            <w:pPr>
              <w:jc w:val="center"/>
              <w:rPr>
                <w:rFonts w:cs="Arial"/>
                <w:b w:val="0"/>
                <w:bCs w:val="0"/>
                <w:color w:val="000000"/>
                <w:szCs w:val="18"/>
                <w:lang w:eastAsia="es-PE"/>
              </w:rPr>
            </w:pPr>
            <w:r w:rsidRPr="00502D1F">
              <w:rPr>
                <w:b w:val="0"/>
                <w:bCs w:val="0"/>
              </w:rPr>
              <w:t>BP1</w:t>
            </w:r>
          </w:p>
        </w:tc>
        <w:tc>
          <w:tcPr>
            <w:tcW w:w="1252" w:type="dxa"/>
            <w:tcBorders>
              <w:top w:val="single" w:sz="6" w:space="0" w:color="009900"/>
              <w:bottom w:val="nil"/>
            </w:tcBorders>
            <w:shd w:val="clear" w:color="auto" w:fill="auto"/>
            <w:noWrap/>
            <w:vAlign w:val="center"/>
            <w:hideMark/>
          </w:tcPr>
          <w:p w14:paraId="5BEB7DB6"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szCs w:val="18"/>
                <w:lang w:eastAsia="es-PE"/>
              </w:rPr>
              <w:t>BP1-M1</w:t>
            </w:r>
          </w:p>
        </w:tc>
        <w:tc>
          <w:tcPr>
            <w:tcW w:w="842" w:type="dxa"/>
            <w:tcBorders>
              <w:top w:val="single" w:sz="6" w:space="0" w:color="009900"/>
              <w:bottom w:val="nil"/>
            </w:tcBorders>
            <w:shd w:val="clear" w:color="auto" w:fill="auto"/>
            <w:noWrap/>
            <w:vAlign w:val="center"/>
            <w:hideMark/>
          </w:tcPr>
          <w:p w14:paraId="74428DE6"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15 </w:t>
            </w:r>
          </w:p>
        </w:tc>
        <w:tc>
          <w:tcPr>
            <w:tcW w:w="816" w:type="dxa"/>
            <w:tcBorders>
              <w:top w:val="single" w:sz="6" w:space="0" w:color="009900"/>
              <w:bottom w:val="nil"/>
            </w:tcBorders>
            <w:shd w:val="clear" w:color="auto" w:fill="auto"/>
            <w:noWrap/>
            <w:vAlign w:val="center"/>
            <w:hideMark/>
          </w:tcPr>
          <w:p w14:paraId="384AA824"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31 </w:t>
            </w:r>
          </w:p>
        </w:tc>
        <w:tc>
          <w:tcPr>
            <w:tcW w:w="764" w:type="dxa"/>
            <w:tcBorders>
              <w:top w:val="single" w:sz="6" w:space="0" w:color="009900"/>
              <w:bottom w:val="nil"/>
            </w:tcBorders>
            <w:shd w:val="clear" w:color="auto" w:fill="auto"/>
            <w:noWrap/>
            <w:vAlign w:val="center"/>
            <w:hideMark/>
          </w:tcPr>
          <w:p w14:paraId="23214306"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106.67</w:t>
            </w:r>
          </w:p>
        </w:tc>
        <w:tc>
          <w:tcPr>
            <w:tcW w:w="1824" w:type="dxa"/>
            <w:tcBorders>
              <w:top w:val="single" w:sz="6" w:space="0" w:color="009900"/>
              <w:bottom w:val="nil"/>
            </w:tcBorders>
            <w:shd w:val="clear" w:color="auto" w:fill="auto"/>
            <w:noWrap/>
            <w:vAlign w:val="center"/>
            <w:hideMark/>
          </w:tcPr>
          <w:p w14:paraId="4E14FDC4"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2.4525 </w:t>
            </w:r>
          </w:p>
        </w:tc>
        <w:tc>
          <w:tcPr>
            <w:tcW w:w="938" w:type="dxa"/>
            <w:vMerge w:val="restart"/>
            <w:tcBorders>
              <w:top w:val="single" w:sz="6" w:space="0" w:color="009900"/>
              <w:bottom w:val="nil"/>
            </w:tcBorders>
            <w:shd w:val="clear" w:color="auto" w:fill="auto"/>
            <w:noWrap/>
            <w:vAlign w:val="center"/>
            <w:hideMark/>
          </w:tcPr>
          <w:p w14:paraId="16583813"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7.3</w:t>
            </w:r>
          </w:p>
        </w:tc>
      </w:tr>
      <w:tr w:rsidR="00704A14" w:rsidRPr="00502D1F" w14:paraId="12242731" w14:textId="77777777" w:rsidTr="00B6298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83" w:type="dxa"/>
            <w:vMerge/>
            <w:tcBorders>
              <w:top w:val="nil"/>
              <w:bottom w:val="nil"/>
            </w:tcBorders>
            <w:shd w:val="clear" w:color="auto" w:fill="auto"/>
            <w:vAlign w:val="center"/>
            <w:hideMark/>
          </w:tcPr>
          <w:p w14:paraId="343C025E" w14:textId="77777777" w:rsidR="006A643C" w:rsidRPr="00502D1F" w:rsidRDefault="006A643C" w:rsidP="00B62988">
            <w:pPr>
              <w:jc w:val="center"/>
              <w:rPr>
                <w:rFonts w:cs="Arial"/>
                <w:b w:val="0"/>
                <w:bCs w:val="0"/>
                <w:color w:val="000000"/>
                <w:szCs w:val="18"/>
                <w:lang w:eastAsia="es-PE"/>
              </w:rPr>
            </w:pPr>
          </w:p>
        </w:tc>
        <w:tc>
          <w:tcPr>
            <w:tcW w:w="1252" w:type="dxa"/>
            <w:tcBorders>
              <w:top w:val="nil"/>
              <w:bottom w:val="nil"/>
            </w:tcBorders>
            <w:shd w:val="clear" w:color="auto" w:fill="auto"/>
            <w:noWrap/>
            <w:vAlign w:val="center"/>
            <w:hideMark/>
          </w:tcPr>
          <w:p w14:paraId="7D33996D"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szCs w:val="18"/>
                <w:lang w:eastAsia="es-PE"/>
              </w:rPr>
              <w:t>BP1-M2</w:t>
            </w:r>
          </w:p>
        </w:tc>
        <w:tc>
          <w:tcPr>
            <w:tcW w:w="842" w:type="dxa"/>
            <w:tcBorders>
              <w:top w:val="nil"/>
              <w:bottom w:val="nil"/>
            </w:tcBorders>
            <w:shd w:val="clear" w:color="auto" w:fill="auto"/>
            <w:noWrap/>
            <w:vAlign w:val="center"/>
            <w:hideMark/>
          </w:tcPr>
          <w:p w14:paraId="3F91DD2A"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15 </w:t>
            </w:r>
          </w:p>
        </w:tc>
        <w:tc>
          <w:tcPr>
            <w:tcW w:w="816" w:type="dxa"/>
            <w:tcBorders>
              <w:top w:val="nil"/>
              <w:bottom w:val="nil"/>
            </w:tcBorders>
            <w:shd w:val="clear" w:color="auto" w:fill="auto"/>
            <w:noWrap/>
            <w:vAlign w:val="center"/>
            <w:hideMark/>
          </w:tcPr>
          <w:p w14:paraId="59DE63C1"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30 </w:t>
            </w:r>
          </w:p>
        </w:tc>
        <w:tc>
          <w:tcPr>
            <w:tcW w:w="764" w:type="dxa"/>
            <w:tcBorders>
              <w:top w:val="nil"/>
              <w:bottom w:val="nil"/>
            </w:tcBorders>
            <w:shd w:val="clear" w:color="auto" w:fill="auto"/>
            <w:noWrap/>
            <w:vAlign w:val="center"/>
            <w:hideMark/>
          </w:tcPr>
          <w:p w14:paraId="43A5D89A"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100.00</w:t>
            </w:r>
          </w:p>
        </w:tc>
        <w:tc>
          <w:tcPr>
            <w:tcW w:w="1824" w:type="dxa"/>
            <w:tcBorders>
              <w:top w:val="nil"/>
              <w:bottom w:val="nil"/>
            </w:tcBorders>
            <w:shd w:val="clear" w:color="auto" w:fill="auto"/>
            <w:noWrap/>
            <w:vAlign w:val="center"/>
            <w:hideMark/>
          </w:tcPr>
          <w:p w14:paraId="4C735E97"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2.4525 </w:t>
            </w:r>
          </w:p>
        </w:tc>
        <w:tc>
          <w:tcPr>
            <w:tcW w:w="938" w:type="dxa"/>
            <w:vMerge/>
            <w:tcBorders>
              <w:top w:val="nil"/>
              <w:bottom w:val="nil"/>
            </w:tcBorders>
            <w:shd w:val="clear" w:color="auto" w:fill="auto"/>
            <w:noWrap/>
            <w:vAlign w:val="center"/>
            <w:hideMark/>
          </w:tcPr>
          <w:p w14:paraId="0100AE1C"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p>
        </w:tc>
      </w:tr>
      <w:tr w:rsidR="00704A14" w:rsidRPr="00502D1F" w14:paraId="003A684A" w14:textId="77777777" w:rsidTr="00B62988">
        <w:trPr>
          <w:trHeight w:val="113"/>
        </w:trPr>
        <w:tc>
          <w:tcPr>
            <w:cnfStyle w:val="001000000000" w:firstRow="0" w:lastRow="0" w:firstColumn="1" w:lastColumn="0" w:oddVBand="0" w:evenVBand="0" w:oddHBand="0" w:evenHBand="0" w:firstRowFirstColumn="0" w:firstRowLastColumn="0" w:lastRowFirstColumn="0" w:lastRowLastColumn="0"/>
            <w:tcW w:w="1183" w:type="dxa"/>
            <w:vMerge/>
            <w:tcBorders>
              <w:top w:val="nil"/>
              <w:bottom w:val="nil"/>
            </w:tcBorders>
            <w:shd w:val="clear" w:color="auto" w:fill="auto"/>
            <w:vAlign w:val="center"/>
            <w:hideMark/>
          </w:tcPr>
          <w:p w14:paraId="10002D11" w14:textId="77777777" w:rsidR="006A643C" w:rsidRPr="00502D1F" w:rsidRDefault="006A643C" w:rsidP="00B62988">
            <w:pPr>
              <w:jc w:val="center"/>
              <w:rPr>
                <w:rFonts w:cs="Arial"/>
                <w:b w:val="0"/>
                <w:bCs w:val="0"/>
                <w:color w:val="000000"/>
                <w:szCs w:val="18"/>
                <w:lang w:eastAsia="es-PE"/>
              </w:rPr>
            </w:pPr>
          </w:p>
        </w:tc>
        <w:tc>
          <w:tcPr>
            <w:tcW w:w="1252" w:type="dxa"/>
            <w:tcBorders>
              <w:top w:val="nil"/>
              <w:bottom w:val="nil"/>
            </w:tcBorders>
            <w:shd w:val="clear" w:color="auto" w:fill="auto"/>
            <w:noWrap/>
            <w:vAlign w:val="center"/>
            <w:hideMark/>
          </w:tcPr>
          <w:p w14:paraId="71CD8EDF"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BP1-M3</w:t>
            </w:r>
          </w:p>
        </w:tc>
        <w:tc>
          <w:tcPr>
            <w:tcW w:w="842" w:type="dxa"/>
            <w:tcBorders>
              <w:top w:val="nil"/>
              <w:bottom w:val="nil"/>
            </w:tcBorders>
            <w:shd w:val="clear" w:color="auto" w:fill="auto"/>
            <w:noWrap/>
            <w:vAlign w:val="center"/>
            <w:hideMark/>
          </w:tcPr>
          <w:p w14:paraId="75EEF137"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15 </w:t>
            </w:r>
          </w:p>
        </w:tc>
        <w:tc>
          <w:tcPr>
            <w:tcW w:w="816" w:type="dxa"/>
            <w:tcBorders>
              <w:top w:val="nil"/>
              <w:bottom w:val="nil"/>
            </w:tcBorders>
            <w:shd w:val="clear" w:color="auto" w:fill="auto"/>
            <w:noWrap/>
            <w:vAlign w:val="center"/>
            <w:hideMark/>
          </w:tcPr>
          <w:p w14:paraId="6AA8B84C"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28 </w:t>
            </w:r>
          </w:p>
        </w:tc>
        <w:tc>
          <w:tcPr>
            <w:tcW w:w="764" w:type="dxa"/>
            <w:tcBorders>
              <w:top w:val="nil"/>
              <w:bottom w:val="nil"/>
            </w:tcBorders>
            <w:shd w:val="clear" w:color="auto" w:fill="auto"/>
            <w:noWrap/>
            <w:vAlign w:val="center"/>
            <w:hideMark/>
          </w:tcPr>
          <w:p w14:paraId="65B33C69"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86.67</w:t>
            </w:r>
          </w:p>
        </w:tc>
        <w:tc>
          <w:tcPr>
            <w:tcW w:w="1824" w:type="dxa"/>
            <w:tcBorders>
              <w:top w:val="nil"/>
              <w:bottom w:val="nil"/>
            </w:tcBorders>
            <w:shd w:val="clear" w:color="auto" w:fill="auto"/>
            <w:noWrap/>
            <w:vAlign w:val="center"/>
            <w:hideMark/>
          </w:tcPr>
          <w:p w14:paraId="28216B34"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2.4525 </w:t>
            </w:r>
          </w:p>
        </w:tc>
        <w:tc>
          <w:tcPr>
            <w:tcW w:w="938" w:type="dxa"/>
            <w:vMerge/>
            <w:tcBorders>
              <w:top w:val="nil"/>
              <w:bottom w:val="nil"/>
            </w:tcBorders>
            <w:shd w:val="clear" w:color="auto" w:fill="auto"/>
            <w:noWrap/>
            <w:vAlign w:val="center"/>
            <w:hideMark/>
          </w:tcPr>
          <w:p w14:paraId="251A6250"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p>
        </w:tc>
      </w:tr>
      <w:tr w:rsidR="00704A14" w:rsidRPr="00502D1F" w14:paraId="7654A0FC" w14:textId="77777777" w:rsidTr="00B6298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83" w:type="dxa"/>
            <w:vMerge w:val="restart"/>
            <w:tcBorders>
              <w:top w:val="nil"/>
              <w:bottom w:val="nil"/>
            </w:tcBorders>
            <w:shd w:val="clear" w:color="auto" w:fill="auto"/>
            <w:noWrap/>
            <w:vAlign w:val="center"/>
            <w:hideMark/>
          </w:tcPr>
          <w:p w14:paraId="792D011D" w14:textId="3D556B57" w:rsidR="006A643C" w:rsidRPr="00502D1F" w:rsidRDefault="006A643C" w:rsidP="00B62988">
            <w:pPr>
              <w:jc w:val="center"/>
              <w:rPr>
                <w:rFonts w:cs="Arial"/>
                <w:color w:val="000000"/>
                <w:szCs w:val="18"/>
                <w:lang w:eastAsia="es-PE"/>
              </w:rPr>
            </w:pPr>
            <w:r w:rsidRPr="00502D1F">
              <w:rPr>
                <w:b w:val="0"/>
                <w:bCs w:val="0"/>
              </w:rPr>
              <w:t>BP2</w:t>
            </w:r>
          </w:p>
          <w:p w14:paraId="5BBF8E76" w14:textId="6D32F501" w:rsidR="006A643C" w:rsidRPr="00502D1F" w:rsidRDefault="006A643C" w:rsidP="00B62988">
            <w:pPr>
              <w:jc w:val="center"/>
              <w:rPr>
                <w:rFonts w:cs="Arial"/>
                <w:b w:val="0"/>
                <w:bCs w:val="0"/>
                <w:color w:val="000000"/>
                <w:szCs w:val="18"/>
                <w:lang w:eastAsia="es-PE"/>
              </w:rPr>
            </w:pPr>
          </w:p>
        </w:tc>
        <w:tc>
          <w:tcPr>
            <w:tcW w:w="1252" w:type="dxa"/>
            <w:tcBorders>
              <w:top w:val="nil"/>
              <w:bottom w:val="nil"/>
            </w:tcBorders>
            <w:shd w:val="clear" w:color="auto" w:fill="auto"/>
            <w:noWrap/>
            <w:vAlign w:val="center"/>
            <w:hideMark/>
          </w:tcPr>
          <w:p w14:paraId="5EC92BD2"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szCs w:val="18"/>
                <w:lang w:eastAsia="es-PE"/>
              </w:rPr>
              <w:t>BP2-M4</w:t>
            </w:r>
          </w:p>
        </w:tc>
        <w:tc>
          <w:tcPr>
            <w:tcW w:w="842" w:type="dxa"/>
            <w:tcBorders>
              <w:top w:val="nil"/>
              <w:bottom w:val="nil"/>
            </w:tcBorders>
            <w:shd w:val="clear" w:color="auto" w:fill="auto"/>
            <w:noWrap/>
            <w:vAlign w:val="center"/>
            <w:hideMark/>
          </w:tcPr>
          <w:p w14:paraId="66A2EF2E"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15 </w:t>
            </w:r>
          </w:p>
        </w:tc>
        <w:tc>
          <w:tcPr>
            <w:tcW w:w="816" w:type="dxa"/>
            <w:tcBorders>
              <w:top w:val="nil"/>
              <w:bottom w:val="nil"/>
            </w:tcBorders>
            <w:shd w:val="clear" w:color="auto" w:fill="auto"/>
            <w:noWrap/>
            <w:vAlign w:val="center"/>
            <w:hideMark/>
          </w:tcPr>
          <w:p w14:paraId="13BE9407"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25 </w:t>
            </w:r>
          </w:p>
        </w:tc>
        <w:tc>
          <w:tcPr>
            <w:tcW w:w="764" w:type="dxa"/>
            <w:tcBorders>
              <w:top w:val="nil"/>
              <w:bottom w:val="nil"/>
            </w:tcBorders>
            <w:shd w:val="clear" w:color="auto" w:fill="auto"/>
            <w:noWrap/>
            <w:vAlign w:val="center"/>
            <w:hideMark/>
          </w:tcPr>
          <w:p w14:paraId="11417BA1"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66.67</w:t>
            </w:r>
          </w:p>
        </w:tc>
        <w:tc>
          <w:tcPr>
            <w:tcW w:w="1824" w:type="dxa"/>
            <w:tcBorders>
              <w:top w:val="nil"/>
              <w:bottom w:val="nil"/>
            </w:tcBorders>
            <w:shd w:val="clear" w:color="auto" w:fill="auto"/>
            <w:noWrap/>
            <w:vAlign w:val="center"/>
            <w:hideMark/>
          </w:tcPr>
          <w:p w14:paraId="183093FA"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7.3575 </w:t>
            </w:r>
          </w:p>
        </w:tc>
        <w:tc>
          <w:tcPr>
            <w:tcW w:w="938" w:type="dxa"/>
            <w:vMerge w:val="restart"/>
            <w:tcBorders>
              <w:top w:val="nil"/>
              <w:bottom w:val="nil"/>
            </w:tcBorders>
            <w:shd w:val="clear" w:color="auto" w:fill="auto"/>
            <w:noWrap/>
            <w:vAlign w:val="center"/>
            <w:hideMark/>
          </w:tcPr>
          <w:p w14:paraId="1AA9920C"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20.35</w:t>
            </w:r>
          </w:p>
        </w:tc>
      </w:tr>
      <w:tr w:rsidR="00704A14" w:rsidRPr="00502D1F" w14:paraId="66210390" w14:textId="77777777" w:rsidTr="00B62988">
        <w:trPr>
          <w:trHeight w:val="113"/>
        </w:trPr>
        <w:tc>
          <w:tcPr>
            <w:cnfStyle w:val="001000000000" w:firstRow="0" w:lastRow="0" w:firstColumn="1" w:lastColumn="0" w:oddVBand="0" w:evenVBand="0" w:oddHBand="0" w:evenHBand="0" w:firstRowFirstColumn="0" w:firstRowLastColumn="0" w:lastRowFirstColumn="0" w:lastRowLastColumn="0"/>
            <w:tcW w:w="1183" w:type="dxa"/>
            <w:vMerge/>
            <w:tcBorders>
              <w:top w:val="nil"/>
              <w:bottom w:val="nil"/>
            </w:tcBorders>
            <w:shd w:val="clear" w:color="auto" w:fill="auto"/>
            <w:vAlign w:val="center"/>
            <w:hideMark/>
          </w:tcPr>
          <w:p w14:paraId="27B0E074" w14:textId="77777777" w:rsidR="006A643C" w:rsidRPr="00502D1F" w:rsidRDefault="006A643C" w:rsidP="00B62988">
            <w:pPr>
              <w:jc w:val="center"/>
              <w:rPr>
                <w:rFonts w:cs="Arial"/>
                <w:b w:val="0"/>
                <w:bCs w:val="0"/>
                <w:color w:val="000000"/>
                <w:szCs w:val="18"/>
                <w:lang w:eastAsia="es-PE"/>
              </w:rPr>
            </w:pPr>
          </w:p>
        </w:tc>
        <w:tc>
          <w:tcPr>
            <w:tcW w:w="1252" w:type="dxa"/>
            <w:tcBorders>
              <w:top w:val="nil"/>
              <w:bottom w:val="nil"/>
            </w:tcBorders>
            <w:shd w:val="clear" w:color="auto" w:fill="auto"/>
            <w:noWrap/>
            <w:vAlign w:val="center"/>
            <w:hideMark/>
          </w:tcPr>
          <w:p w14:paraId="479F9430"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BP2-M5</w:t>
            </w:r>
          </w:p>
        </w:tc>
        <w:tc>
          <w:tcPr>
            <w:tcW w:w="842" w:type="dxa"/>
            <w:tcBorders>
              <w:top w:val="nil"/>
              <w:bottom w:val="nil"/>
            </w:tcBorders>
            <w:shd w:val="clear" w:color="auto" w:fill="auto"/>
            <w:noWrap/>
            <w:vAlign w:val="center"/>
            <w:hideMark/>
          </w:tcPr>
          <w:p w14:paraId="5004CB4E"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15</w:t>
            </w:r>
          </w:p>
        </w:tc>
        <w:tc>
          <w:tcPr>
            <w:tcW w:w="816" w:type="dxa"/>
            <w:tcBorders>
              <w:top w:val="nil"/>
              <w:bottom w:val="nil"/>
            </w:tcBorders>
            <w:shd w:val="clear" w:color="auto" w:fill="auto"/>
            <w:noWrap/>
            <w:vAlign w:val="center"/>
            <w:hideMark/>
          </w:tcPr>
          <w:p w14:paraId="62F84F51"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24 </w:t>
            </w:r>
          </w:p>
        </w:tc>
        <w:tc>
          <w:tcPr>
            <w:tcW w:w="764" w:type="dxa"/>
            <w:tcBorders>
              <w:top w:val="nil"/>
              <w:bottom w:val="nil"/>
            </w:tcBorders>
            <w:shd w:val="clear" w:color="auto" w:fill="auto"/>
            <w:noWrap/>
            <w:vAlign w:val="center"/>
            <w:hideMark/>
          </w:tcPr>
          <w:p w14:paraId="6B07CA6A"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60.00</w:t>
            </w:r>
          </w:p>
        </w:tc>
        <w:tc>
          <w:tcPr>
            <w:tcW w:w="1824" w:type="dxa"/>
            <w:tcBorders>
              <w:top w:val="nil"/>
              <w:bottom w:val="nil"/>
            </w:tcBorders>
            <w:shd w:val="clear" w:color="auto" w:fill="auto"/>
            <w:noWrap/>
            <w:vAlign w:val="center"/>
            <w:hideMark/>
          </w:tcPr>
          <w:p w14:paraId="24ED253E"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7.3575 </w:t>
            </w:r>
          </w:p>
        </w:tc>
        <w:tc>
          <w:tcPr>
            <w:tcW w:w="938" w:type="dxa"/>
            <w:vMerge/>
            <w:tcBorders>
              <w:top w:val="nil"/>
              <w:bottom w:val="nil"/>
            </w:tcBorders>
            <w:shd w:val="clear" w:color="auto" w:fill="auto"/>
            <w:noWrap/>
            <w:vAlign w:val="center"/>
            <w:hideMark/>
          </w:tcPr>
          <w:p w14:paraId="38BA822E"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p>
        </w:tc>
      </w:tr>
      <w:tr w:rsidR="00704A14" w:rsidRPr="00502D1F" w14:paraId="7A796186" w14:textId="77777777" w:rsidTr="00B6298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83" w:type="dxa"/>
            <w:vMerge/>
            <w:tcBorders>
              <w:top w:val="nil"/>
              <w:bottom w:val="nil"/>
            </w:tcBorders>
            <w:shd w:val="clear" w:color="auto" w:fill="auto"/>
            <w:vAlign w:val="center"/>
            <w:hideMark/>
          </w:tcPr>
          <w:p w14:paraId="1B9297E3" w14:textId="77777777" w:rsidR="006A643C" w:rsidRPr="00502D1F" w:rsidRDefault="006A643C" w:rsidP="00B62988">
            <w:pPr>
              <w:jc w:val="center"/>
              <w:rPr>
                <w:rFonts w:cs="Arial"/>
                <w:b w:val="0"/>
                <w:bCs w:val="0"/>
                <w:color w:val="000000"/>
                <w:szCs w:val="18"/>
                <w:lang w:eastAsia="es-PE"/>
              </w:rPr>
            </w:pPr>
          </w:p>
        </w:tc>
        <w:tc>
          <w:tcPr>
            <w:tcW w:w="1252" w:type="dxa"/>
            <w:tcBorders>
              <w:top w:val="nil"/>
              <w:bottom w:val="nil"/>
            </w:tcBorders>
            <w:shd w:val="clear" w:color="auto" w:fill="auto"/>
            <w:noWrap/>
            <w:vAlign w:val="center"/>
            <w:hideMark/>
          </w:tcPr>
          <w:p w14:paraId="61D99A82"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szCs w:val="18"/>
                <w:lang w:eastAsia="es-PE"/>
              </w:rPr>
              <w:t>BP2-M6</w:t>
            </w:r>
          </w:p>
        </w:tc>
        <w:tc>
          <w:tcPr>
            <w:tcW w:w="842" w:type="dxa"/>
            <w:tcBorders>
              <w:top w:val="nil"/>
              <w:bottom w:val="nil"/>
            </w:tcBorders>
            <w:shd w:val="clear" w:color="auto" w:fill="auto"/>
            <w:noWrap/>
            <w:vAlign w:val="center"/>
            <w:hideMark/>
          </w:tcPr>
          <w:p w14:paraId="74094C28"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15</w:t>
            </w:r>
          </w:p>
        </w:tc>
        <w:tc>
          <w:tcPr>
            <w:tcW w:w="816" w:type="dxa"/>
            <w:tcBorders>
              <w:top w:val="nil"/>
              <w:bottom w:val="nil"/>
            </w:tcBorders>
            <w:shd w:val="clear" w:color="auto" w:fill="auto"/>
            <w:noWrap/>
            <w:vAlign w:val="center"/>
            <w:hideMark/>
          </w:tcPr>
          <w:p w14:paraId="23BBA00E"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24 </w:t>
            </w:r>
          </w:p>
        </w:tc>
        <w:tc>
          <w:tcPr>
            <w:tcW w:w="764" w:type="dxa"/>
            <w:tcBorders>
              <w:top w:val="nil"/>
              <w:bottom w:val="nil"/>
            </w:tcBorders>
            <w:shd w:val="clear" w:color="auto" w:fill="auto"/>
            <w:noWrap/>
            <w:vAlign w:val="center"/>
            <w:hideMark/>
          </w:tcPr>
          <w:p w14:paraId="6FF806EF"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60.00</w:t>
            </w:r>
          </w:p>
        </w:tc>
        <w:tc>
          <w:tcPr>
            <w:tcW w:w="1824" w:type="dxa"/>
            <w:tcBorders>
              <w:top w:val="nil"/>
              <w:bottom w:val="nil"/>
            </w:tcBorders>
            <w:shd w:val="clear" w:color="auto" w:fill="auto"/>
            <w:noWrap/>
            <w:vAlign w:val="center"/>
            <w:hideMark/>
          </w:tcPr>
          <w:p w14:paraId="192EF477"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7.3575 </w:t>
            </w:r>
          </w:p>
        </w:tc>
        <w:tc>
          <w:tcPr>
            <w:tcW w:w="938" w:type="dxa"/>
            <w:vMerge/>
            <w:tcBorders>
              <w:top w:val="nil"/>
              <w:bottom w:val="nil"/>
            </w:tcBorders>
            <w:shd w:val="clear" w:color="auto" w:fill="auto"/>
            <w:noWrap/>
            <w:vAlign w:val="center"/>
            <w:hideMark/>
          </w:tcPr>
          <w:p w14:paraId="3965339A"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p>
        </w:tc>
      </w:tr>
      <w:tr w:rsidR="00704A14" w:rsidRPr="00502D1F" w14:paraId="68F62D26" w14:textId="77777777" w:rsidTr="00B62988">
        <w:trPr>
          <w:trHeight w:val="113"/>
        </w:trPr>
        <w:tc>
          <w:tcPr>
            <w:cnfStyle w:val="001000000000" w:firstRow="0" w:lastRow="0" w:firstColumn="1" w:lastColumn="0" w:oddVBand="0" w:evenVBand="0" w:oddHBand="0" w:evenHBand="0" w:firstRowFirstColumn="0" w:firstRowLastColumn="0" w:lastRowFirstColumn="0" w:lastRowLastColumn="0"/>
            <w:tcW w:w="1183" w:type="dxa"/>
            <w:vMerge w:val="restart"/>
            <w:tcBorders>
              <w:top w:val="nil"/>
              <w:bottom w:val="nil"/>
            </w:tcBorders>
            <w:shd w:val="clear" w:color="auto" w:fill="auto"/>
            <w:noWrap/>
            <w:vAlign w:val="center"/>
            <w:hideMark/>
          </w:tcPr>
          <w:p w14:paraId="1D9F55EE" w14:textId="72F1B263" w:rsidR="006A643C" w:rsidRPr="00502D1F" w:rsidRDefault="006A643C" w:rsidP="00B62988">
            <w:pPr>
              <w:jc w:val="center"/>
              <w:rPr>
                <w:rFonts w:cs="Arial"/>
                <w:b w:val="0"/>
                <w:bCs w:val="0"/>
                <w:color w:val="000000"/>
                <w:szCs w:val="18"/>
                <w:lang w:eastAsia="es-PE"/>
              </w:rPr>
            </w:pPr>
            <w:r w:rsidRPr="00502D1F">
              <w:rPr>
                <w:b w:val="0"/>
                <w:bCs w:val="0"/>
              </w:rPr>
              <w:t>BP3</w:t>
            </w:r>
          </w:p>
        </w:tc>
        <w:tc>
          <w:tcPr>
            <w:tcW w:w="1252" w:type="dxa"/>
            <w:tcBorders>
              <w:top w:val="nil"/>
              <w:bottom w:val="nil"/>
            </w:tcBorders>
            <w:shd w:val="clear" w:color="auto" w:fill="auto"/>
            <w:noWrap/>
            <w:vAlign w:val="center"/>
            <w:hideMark/>
          </w:tcPr>
          <w:p w14:paraId="04B055DE"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BP3-M7</w:t>
            </w:r>
          </w:p>
        </w:tc>
        <w:tc>
          <w:tcPr>
            <w:tcW w:w="842" w:type="dxa"/>
            <w:tcBorders>
              <w:top w:val="nil"/>
              <w:bottom w:val="nil"/>
            </w:tcBorders>
            <w:shd w:val="clear" w:color="auto" w:fill="auto"/>
            <w:noWrap/>
            <w:vAlign w:val="center"/>
            <w:hideMark/>
          </w:tcPr>
          <w:p w14:paraId="7BDAE748"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15</w:t>
            </w:r>
          </w:p>
        </w:tc>
        <w:tc>
          <w:tcPr>
            <w:tcW w:w="816" w:type="dxa"/>
            <w:tcBorders>
              <w:top w:val="nil"/>
              <w:bottom w:val="nil"/>
            </w:tcBorders>
            <w:shd w:val="clear" w:color="auto" w:fill="auto"/>
            <w:noWrap/>
            <w:vAlign w:val="center"/>
            <w:hideMark/>
          </w:tcPr>
          <w:p w14:paraId="17E7B9DB"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31 </w:t>
            </w:r>
          </w:p>
        </w:tc>
        <w:tc>
          <w:tcPr>
            <w:tcW w:w="764" w:type="dxa"/>
            <w:tcBorders>
              <w:top w:val="nil"/>
              <w:bottom w:val="nil"/>
            </w:tcBorders>
            <w:shd w:val="clear" w:color="auto" w:fill="auto"/>
            <w:noWrap/>
            <w:vAlign w:val="center"/>
            <w:hideMark/>
          </w:tcPr>
          <w:p w14:paraId="2FD1D469"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80.00</w:t>
            </w:r>
          </w:p>
        </w:tc>
        <w:tc>
          <w:tcPr>
            <w:tcW w:w="1824" w:type="dxa"/>
            <w:tcBorders>
              <w:top w:val="nil"/>
              <w:bottom w:val="nil"/>
            </w:tcBorders>
            <w:shd w:val="clear" w:color="auto" w:fill="auto"/>
            <w:noWrap/>
            <w:vAlign w:val="center"/>
            <w:hideMark/>
          </w:tcPr>
          <w:p w14:paraId="1FCE8F6C"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4.9050 </w:t>
            </w:r>
          </w:p>
        </w:tc>
        <w:tc>
          <w:tcPr>
            <w:tcW w:w="938" w:type="dxa"/>
            <w:vMerge w:val="restart"/>
            <w:tcBorders>
              <w:top w:val="nil"/>
              <w:bottom w:val="nil"/>
            </w:tcBorders>
            <w:shd w:val="clear" w:color="auto" w:fill="auto"/>
            <w:noWrap/>
            <w:vAlign w:val="center"/>
            <w:hideMark/>
          </w:tcPr>
          <w:p w14:paraId="5260DC74"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19.37</w:t>
            </w:r>
          </w:p>
        </w:tc>
      </w:tr>
      <w:tr w:rsidR="00704A14" w:rsidRPr="00502D1F" w14:paraId="058378B4" w14:textId="77777777" w:rsidTr="00B6298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183" w:type="dxa"/>
            <w:vMerge/>
            <w:tcBorders>
              <w:top w:val="nil"/>
            </w:tcBorders>
            <w:shd w:val="clear" w:color="auto" w:fill="auto"/>
            <w:vAlign w:val="center"/>
            <w:hideMark/>
          </w:tcPr>
          <w:p w14:paraId="472EF0EF" w14:textId="77777777" w:rsidR="006A643C" w:rsidRPr="00502D1F" w:rsidRDefault="006A643C" w:rsidP="00B62988">
            <w:pPr>
              <w:rPr>
                <w:rFonts w:cs="Arial"/>
                <w:color w:val="000000"/>
                <w:szCs w:val="18"/>
                <w:lang w:eastAsia="es-PE"/>
              </w:rPr>
            </w:pPr>
          </w:p>
        </w:tc>
        <w:tc>
          <w:tcPr>
            <w:tcW w:w="1252" w:type="dxa"/>
            <w:tcBorders>
              <w:top w:val="nil"/>
            </w:tcBorders>
            <w:shd w:val="clear" w:color="auto" w:fill="auto"/>
            <w:noWrap/>
            <w:vAlign w:val="center"/>
            <w:hideMark/>
          </w:tcPr>
          <w:p w14:paraId="6EDDCA67"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szCs w:val="18"/>
                <w:lang w:eastAsia="es-PE"/>
              </w:rPr>
              <w:t>BP3-M8</w:t>
            </w:r>
          </w:p>
        </w:tc>
        <w:tc>
          <w:tcPr>
            <w:tcW w:w="842" w:type="dxa"/>
            <w:tcBorders>
              <w:top w:val="nil"/>
            </w:tcBorders>
            <w:shd w:val="clear" w:color="auto" w:fill="auto"/>
            <w:noWrap/>
            <w:vAlign w:val="center"/>
            <w:hideMark/>
          </w:tcPr>
          <w:p w14:paraId="4DAAB97E"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15</w:t>
            </w:r>
          </w:p>
        </w:tc>
        <w:tc>
          <w:tcPr>
            <w:tcW w:w="816" w:type="dxa"/>
            <w:tcBorders>
              <w:top w:val="nil"/>
            </w:tcBorders>
            <w:shd w:val="clear" w:color="auto" w:fill="auto"/>
            <w:noWrap/>
            <w:vAlign w:val="center"/>
            <w:hideMark/>
          </w:tcPr>
          <w:p w14:paraId="299AFC27"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30 </w:t>
            </w:r>
          </w:p>
        </w:tc>
        <w:tc>
          <w:tcPr>
            <w:tcW w:w="764" w:type="dxa"/>
            <w:tcBorders>
              <w:top w:val="nil"/>
            </w:tcBorders>
            <w:shd w:val="clear" w:color="auto" w:fill="auto"/>
            <w:noWrap/>
            <w:vAlign w:val="center"/>
            <w:hideMark/>
          </w:tcPr>
          <w:p w14:paraId="39C834CB"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93.33</w:t>
            </w:r>
          </w:p>
        </w:tc>
        <w:tc>
          <w:tcPr>
            <w:tcW w:w="1824" w:type="dxa"/>
            <w:tcBorders>
              <w:top w:val="nil"/>
            </w:tcBorders>
            <w:shd w:val="clear" w:color="auto" w:fill="auto"/>
            <w:noWrap/>
            <w:vAlign w:val="center"/>
            <w:hideMark/>
          </w:tcPr>
          <w:p w14:paraId="509E144E"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4.9050 </w:t>
            </w:r>
          </w:p>
        </w:tc>
        <w:tc>
          <w:tcPr>
            <w:tcW w:w="938" w:type="dxa"/>
            <w:vMerge/>
            <w:tcBorders>
              <w:top w:val="nil"/>
            </w:tcBorders>
            <w:shd w:val="clear" w:color="auto" w:fill="auto"/>
            <w:noWrap/>
            <w:vAlign w:val="center"/>
            <w:hideMark/>
          </w:tcPr>
          <w:p w14:paraId="5B7DD5E4" w14:textId="77777777" w:rsidR="006A643C" w:rsidRPr="00502D1F" w:rsidRDefault="006A643C" w:rsidP="00B62988">
            <w:pPr>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s-PE"/>
              </w:rPr>
            </w:pPr>
          </w:p>
        </w:tc>
      </w:tr>
      <w:tr w:rsidR="00704A14" w:rsidRPr="00502D1F" w14:paraId="7D14FD9D" w14:textId="77777777" w:rsidTr="00B62988">
        <w:trPr>
          <w:trHeight w:val="113"/>
        </w:trPr>
        <w:tc>
          <w:tcPr>
            <w:cnfStyle w:val="001000000000" w:firstRow="0" w:lastRow="0" w:firstColumn="1" w:lastColumn="0" w:oddVBand="0" w:evenVBand="0" w:oddHBand="0" w:evenHBand="0" w:firstRowFirstColumn="0" w:firstRowLastColumn="0" w:lastRowFirstColumn="0" w:lastRowLastColumn="0"/>
            <w:tcW w:w="1183" w:type="dxa"/>
            <w:vMerge/>
            <w:shd w:val="clear" w:color="auto" w:fill="auto"/>
            <w:vAlign w:val="center"/>
            <w:hideMark/>
          </w:tcPr>
          <w:p w14:paraId="1FBA41F2" w14:textId="77777777" w:rsidR="006A643C" w:rsidRPr="00502D1F" w:rsidRDefault="006A643C" w:rsidP="00B62988">
            <w:pPr>
              <w:rPr>
                <w:rFonts w:cs="Arial"/>
                <w:color w:val="000000"/>
                <w:szCs w:val="18"/>
                <w:lang w:eastAsia="es-PE"/>
              </w:rPr>
            </w:pPr>
          </w:p>
        </w:tc>
        <w:tc>
          <w:tcPr>
            <w:tcW w:w="1252" w:type="dxa"/>
            <w:shd w:val="clear" w:color="auto" w:fill="auto"/>
            <w:noWrap/>
            <w:vAlign w:val="center"/>
            <w:hideMark/>
          </w:tcPr>
          <w:p w14:paraId="4780AF5D"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BP3-M9</w:t>
            </w:r>
          </w:p>
        </w:tc>
        <w:tc>
          <w:tcPr>
            <w:tcW w:w="842" w:type="dxa"/>
            <w:shd w:val="clear" w:color="auto" w:fill="auto"/>
            <w:noWrap/>
            <w:vAlign w:val="center"/>
            <w:hideMark/>
          </w:tcPr>
          <w:p w14:paraId="2ED46372"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15</w:t>
            </w:r>
          </w:p>
        </w:tc>
        <w:tc>
          <w:tcPr>
            <w:tcW w:w="816" w:type="dxa"/>
            <w:shd w:val="clear" w:color="auto" w:fill="auto"/>
            <w:noWrap/>
            <w:vAlign w:val="center"/>
            <w:hideMark/>
          </w:tcPr>
          <w:p w14:paraId="24F7CC08"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28 </w:t>
            </w:r>
          </w:p>
        </w:tc>
        <w:tc>
          <w:tcPr>
            <w:tcW w:w="764" w:type="dxa"/>
            <w:shd w:val="clear" w:color="auto" w:fill="auto"/>
            <w:noWrap/>
            <w:vAlign w:val="center"/>
            <w:hideMark/>
          </w:tcPr>
          <w:p w14:paraId="515B0A8C"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106.67</w:t>
            </w:r>
          </w:p>
        </w:tc>
        <w:tc>
          <w:tcPr>
            <w:tcW w:w="1824" w:type="dxa"/>
            <w:shd w:val="clear" w:color="auto" w:fill="auto"/>
            <w:noWrap/>
            <w:vAlign w:val="center"/>
            <w:hideMark/>
          </w:tcPr>
          <w:p w14:paraId="2CB08D2E"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r w:rsidRPr="00502D1F">
              <w:rPr>
                <w:rFonts w:cs="Arial"/>
                <w:color w:val="000000"/>
                <w:szCs w:val="18"/>
                <w:lang w:eastAsia="es-PE"/>
              </w:rPr>
              <w:t xml:space="preserve">4.9050 </w:t>
            </w:r>
          </w:p>
        </w:tc>
        <w:tc>
          <w:tcPr>
            <w:tcW w:w="938" w:type="dxa"/>
            <w:vMerge/>
            <w:shd w:val="clear" w:color="auto" w:fill="auto"/>
            <w:noWrap/>
            <w:vAlign w:val="center"/>
            <w:hideMark/>
          </w:tcPr>
          <w:p w14:paraId="0C24DBE8" w14:textId="77777777" w:rsidR="006A643C" w:rsidRPr="00502D1F" w:rsidRDefault="006A643C" w:rsidP="00B62988">
            <w:pPr>
              <w:jc w:val="center"/>
              <w:cnfStyle w:val="000000000000" w:firstRow="0" w:lastRow="0" w:firstColumn="0" w:lastColumn="0" w:oddVBand="0" w:evenVBand="0" w:oddHBand="0" w:evenHBand="0" w:firstRowFirstColumn="0" w:firstRowLastColumn="0" w:lastRowFirstColumn="0" w:lastRowLastColumn="0"/>
              <w:rPr>
                <w:rFonts w:cs="Arial"/>
                <w:color w:val="000000"/>
                <w:szCs w:val="18"/>
                <w:lang w:eastAsia="es-PE"/>
              </w:rPr>
            </w:pPr>
          </w:p>
        </w:tc>
      </w:tr>
    </w:tbl>
    <w:p w14:paraId="7C34A6D4" w14:textId="096EB7E0" w:rsidR="00671546" w:rsidRPr="00502D1F" w:rsidRDefault="00671546" w:rsidP="00A03A03">
      <w:pPr>
        <w:pStyle w:val="CETBodytext"/>
        <w:rPr>
          <w:lang w:val="en-GB"/>
        </w:rPr>
      </w:pPr>
    </w:p>
    <w:p w14:paraId="7790B07D" w14:textId="04CF9A62" w:rsidR="007B7CCE" w:rsidRPr="00502D1F" w:rsidRDefault="007B7CCE" w:rsidP="00A03A03">
      <w:pPr>
        <w:pStyle w:val="CETBodytext"/>
        <w:rPr>
          <w:lang w:val="en-GB"/>
        </w:rPr>
      </w:pPr>
    </w:p>
    <w:p w14:paraId="2B625587" w14:textId="77777777" w:rsidR="007B7CCE" w:rsidRPr="00502D1F" w:rsidRDefault="007B7CCE" w:rsidP="00A03A03">
      <w:pPr>
        <w:pStyle w:val="CETBodytext"/>
        <w:rPr>
          <w:lang w:val="en-GB"/>
        </w:rPr>
      </w:pPr>
    </w:p>
    <w:p w14:paraId="785F0FDD" w14:textId="77777777" w:rsidR="007B7CCE" w:rsidRPr="00502D1F" w:rsidRDefault="007B7CCE" w:rsidP="00A03A03">
      <w:pPr>
        <w:pStyle w:val="CETBodytext"/>
        <w:rPr>
          <w:lang w:val="en-GB"/>
        </w:rPr>
      </w:pPr>
    </w:p>
    <w:p w14:paraId="051FCA8E" w14:textId="24D66649" w:rsidR="00A03A03" w:rsidRPr="00502D1F" w:rsidRDefault="00A03A03" w:rsidP="007B7CCE">
      <w:pPr>
        <w:pStyle w:val="CETBodytext"/>
        <w:ind w:left="7100" w:hanging="7100"/>
        <w:rPr>
          <w:lang w:val="en-GB"/>
        </w:rPr>
      </w:pPr>
    </w:p>
    <w:p w14:paraId="501EBC2F" w14:textId="462643B8" w:rsidR="007B7CCE" w:rsidRPr="00502D1F" w:rsidRDefault="007B7CCE" w:rsidP="007B7CCE">
      <w:pPr>
        <w:pStyle w:val="CETBodytext"/>
        <w:ind w:left="7100" w:hanging="7100"/>
        <w:rPr>
          <w:lang w:val="en-GB"/>
        </w:rPr>
      </w:pPr>
    </w:p>
    <w:p w14:paraId="4500D238" w14:textId="4B8D8928" w:rsidR="007B7CCE" w:rsidRPr="00502D1F" w:rsidRDefault="007B7CCE" w:rsidP="007B7CCE">
      <w:pPr>
        <w:pStyle w:val="CETBodytext"/>
        <w:ind w:left="7100" w:hanging="7100"/>
        <w:rPr>
          <w:lang w:val="en-GB"/>
        </w:rPr>
      </w:pPr>
    </w:p>
    <w:p w14:paraId="0FD3A311" w14:textId="45238D5B" w:rsidR="007B7CCE" w:rsidRPr="00502D1F" w:rsidRDefault="007B7CCE" w:rsidP="007B7CCE">
      <w:pPr>
        <w:pStyle w:val="CETBodytext"/>
        <w:ind w:left="7100" w:hanging="7100"/>
        <w:rPr>
          <w:lang w:val="en-GB"/>
        </w:rPr>
      </w:pPr>
    </w:p>
    <w:p w14:paraId="7FF2AF27" w14:textId="1C3655DE" w:rsidR="007B7CCE" w:rsidRPr="00502D1F" w:rsidRDefault="007B7CCE" w:rsidP="007B7CCE">
      <w:pPr>
        <w:pStyle w:val="CETBodytext"/>
        <w:ind w:left="7100" w:hanging="7100"/>
        <w:rPr>
          <w:lang w:val="en-GB"/>
        </w:rPr>
      </w:pPr>
    </w:p>
    <w:p w14:paraId="6B88F24C" w14:textId="7FC446D7" w:rsidR="007B7CCE" w:rsidRPr="00502D1F" w:rsidRDefault="007B7CCE" w:rsidP="007B7CCE">
      <w:pPr>
        <w:pStyle w:val="CETBodytext"/>
        <w:ind w:left="7100" w:hanging="7100"/>
        <w:rPr>
          <w:lang w:val="en-GB"/>
        </w:rPr>
      </w:pPr>
    </w:p>
    <w:p w14:paraId="27DEA26A" w14:textId="23097D2C" w:rsidR="007B7CCE" w:rsidRPr="00502D1F" w:rsidRDefault="007B7CCE" w:rsidP="007B7CCE">
      <w:pPr>
        <w:pStyle w:val="CETBodytext"/>
        <w:ind w:left="7100" w:hanging="7100"/>
        <w:rPr>
          <w:lang w:val="en-GB"/>
        </w:rPr>
      </w:pPr>
    </w:p>
    <w:p w14:paraId="3E13D175" w14:textId="1957527E" w:rsidR="007B7CCE" w:rsidRPr="00502D1F" w:rsidRDefault="007B7CCE" w:rsidP="007B7CCE">
      <w:pPr>
        <w:pStyle w:val="CETBodytext"/>
        <w:ind w:left="7100" w:hanging="7100"/>
        <w:rPr>
          <w:lang w:val="en-GB"/>
        </w:rPr>
      </w:pPr>
    </w:p>
    <w:p w14:paraId="14D7944A" w14:textId="5E2513B8" w:rsidR="007B7CCE" w:rsidRPr="00502D1F" w:rsidRDefault="00A40FF7" w:rsidP="007B7CCE">
      <w:pPr>
        <w:pStyle w:val="CETBodytext"/>
        <w:ind w:left="7100" w:hanging="7100"/>
        <w:rPr>
          <w:lang w:val="en-GB"/>
        </w:rPr>
      </w:pPr>
      <w:r w:rsidRPr="00502D1F">
        <w:rPr>
          <w:sz w:val="16"/>
          <w:szCs w:val="18"/>
          <w:lang w:val="en-GB"/>
        </w:rPr>
        <w:t>Li=Initial length; Lf=final length</w:t>
      </w:r>
    </w:p>
    <w:p w14:paraId="63CF6A27" w14:textId="1FA88F7A" w:rsidR="007B7CCE" w:rsidRPr="008C6A96" w:rsidRDefault="00C70060" w:rsidP="00127928">
      <w:pPr>
        <w:pStyle w:val="CETheadingx"/>
        <w:rPr>
          <w:lang w:val="en-US"/>
        </w:rPr>
      </w:pPr>
      <w:r w:rsidRPr="008C6A96">
        <w:rPr>
          <w:lang w:val="en-US"/>
        </w:rPr>
        <w:t xml:space="preserve">3.2 </w:t>
      </w:r>
      <w:r w:rsidR="003308BF" w:rsidRPr="008C6A96">
        <w:rPr>
          <w:lang w:val="en-US"/>
        </w:rPr>
        <w:t>Bioplastic water absorption</w:t>
      </w:r>
    </w:p>
    <w:p w14:paraId="2E58DC1A" w14:textId="5D9140FC" w:rsidR="00FA084D" w:rsidRPr="00502D1F" w:rsidRDefault="00FA084D" w:rsidP="000E1E06">
      <w:pPr>
        <w:pStyle w:val="CETTabletitle"/>
        <w:jc w:val="both"/>
        <w:rPr>
          <w:i w:val="0"/>
        </w:rPr>
      </w:pPr>
      <w:bookmarkStart w:id="5" w:name="_Toc121210157"/>
      <w:r w:rsidRPr="00502D1F">
        <w:rPr>
          <w:i w:val="0"/>
        </w:rPr>
        <w:t>The final values obtained in water absorption indicate that sample 3 has a value of 85.48</w:t>
      </w:r>
      <w:r w:rsidR="00E51809" w:rsidRPr="00502D1F">
        <w:rPr>
          <w:i w:val="0"/>
        </w:rPr>
        <w:t xml:space="preserve"> </w:t>
      </w:r>
      <w:r w:rsidRPr="00502D1F">
        <w:rPr>
          <w:i w:val="0"/>
        </w:rPr>
        <w:t>%, sample 2 reaches a value of 94.26</w:t>
      </w:r>
      <w:r w:rsidR="00E51809" w:rsidRPr="00502D1F">
        <w:rPr>
          <w:i w:val="0"/>
        </w:rPr>
        <w:t xml:space="preserve"> </w:t>
      </w:r>
      <w:r w:rsidRPr="00502D1F">
        <w:rPr>
          <w:i w:val="0"/>
        </w:rPr>
        <w:t xml:space="preserve">%, </w:t>
      </w:r>
      <w:r w:rsidR="003C69B7" w:rsidRPr="00502D1F">
        <w:rPr>
          <w:i w:val="0"/>
        </w:rPr>
        <w:t>and</w:t>
      </w:r>
      <w:r w:rsidRPr="00502D1F">
        <w:rPr>
          <w:i w:val="0"/>
        </w:rPr>
        <w:t xml:space="preserve"> sample 1 exceeds 100</w:t>
      </w:r>
      <w:r w:rsidR="00E51809" w:rsidRPr="00502D1F">
        <w:rPr>
          <w:i w:val="0"/>
        </w:rPr>
        <w:t xml:space="preserve"> </w:t>
      </w:r>
      <w:r w:rsidRPr="00502D1F">
        <w:rPr>
          <w:i w:val="0"/>
        </w:rPr>
        <w:t>%. (See Table 3), which is due to the dose of glycerol applied in each sample, since glycerol contains a hydrophilic part. Arrieta, Durango and Arizal (2018), mention that a determining factor in the absorption capacity of water or aqueous solutions of a biomaterial is the absence or presence of the plasticizer. This is because, when in contact with the pectin, it causes holes in its structure and collaborates with the wetting of the bioplastic, that is, the structure becomes porous and capable of absorbing humidity from the environment. This is how, in their experimentation, they obtained results with great differences according to the presence of glycerol (plasticizer). In samples without glycerol, the values obtained vary between 9.14</w:t>
      </w:r>
      <w:r w:rsidR="00E51809" w:rsidRPr="00502D1F">
        <w:rPr>
          <w:i w:val="0"/>
        </w:rPr>
        <w:t xml:space="preserve"> </w:t>
      </w:r>
      <w:r w:rsidRPr="00502D1F">
        <w:rPr>
          <w:i w:val="0"/>
        </w:rPr>
        <w:t>% and 13.99 and 9.14</w:t>
      </w:r>
      <w:r w:rsidR="00E51809" w:rsidRPr="00502D1F">
        <w:rPr>
          <w:i w:val="0"/>
        </w:rPr>
        <w:t xml:space="preserve"> </w:t>
      </w:r>
      <w:r w:rsidRPr="00502D1F">
        <w:rPr>
          <w:i w:val="0"/>
        </w:rPr>
        <w:t>%</w:t>
      </w:r>
      <w:r w:rsidR="00501F22" w:rsidRPr="00502D1F">
        <w:rPr>
          <w:i w:val="0"/>
        </w:rPr>
        <w:t>,</w:t>
      </w:r>
      <w:r w:rsidRPr="00502D1F">
        <w:rPr>
          <w:i w:val="0"/>
        </w:rPr>
        <w:t xml:space="preserve"> and in samples with glycerol (dose between 3g and 5g) between 43.29</w:t>
      </w:r>
      <w:r w:rsidR="00E51809" w:rsidRPr="00502D1F">
        <w:rPr>
          <w:i w:val="0"/>
        </w:rPr>
        <w:t xml:space="preserve"> </w:t>
      </w:r>
      <w:r w:rsidRPr="00502D1F">
        <w:rPr>
          <w:i w:val="0"/>
        </w:rPr>
        <w:t xml:space="preserve">% and </w:t>
      </w:r>
      <w:r w:rsidRPr="00502D1F">
        <w:rPr>
          <w:i w:val="0"/>
        </w:rPr>
        <w:lastRenderedPageBreak/>
        <w:t>48.66</w:t>
      </w:r>
      <w:r w:rsidR="00A101C5" w:rsidRPr="00502D1F">
        <w:rPr>
          <w:i w:val="0"/>
        </w:rPr>
        <w:t xml:space="preserve"> </w:t>
      </w:r>
      <w:r w:rsidRPr="00502D1F">
        <w:rPr>
          <w:i w:val="0"/>
        </w:rPr>
        <w:t>%, attributing said results to the presence of the plasticizer; what is verified in the investigation that realizes.</w:t>
      </w:r>
    </w:p>
    <w:bookmarkEnd w:id="5"/>
    <w:p w14:paraId="0D3101B5" w14:textId="7EF57AB4" w:rsidR="00671546" w:rsidRPr="00502D1F" w:rsidRDefault="003308BF" w:rsidP="00C70060">
      <w:pPr>
        <w:pStyle w:val="CETTabletitle"/>
      </w:pPr>
      <w:r w:rsidRPr="00502D1F">
        <w:t>Table 3: Percentage of absorption of bioplastic samples</w:t>
      </w:r>
    </w:p>
    <w:tbl>
      <w:tblPr>
        <w:tblStyle w:val="TabeladeGradeClara"/>
        <w:tblpPr w:leftFromText="141" w:rightFromText="141" w:vertAnchor="text" w:horzAnchor="margin" w:tblpY="12"/>
        <w:tblW w:w="6327" w:type="dxa"/>
        <w:tblBorders>
          <w:top w:val="single" w:sz="12" w:space="0" w:color="009900"/>
          <w:left w:val="none" w:sz="0" w:space="0" w:color="auto"/>
          <w:bottom w:val="single" w:sz="12" w:space="0" w:color="009900"/>
          <w:right w:val="none" w:sz="0" w:space="0" w:color="auto"/>
          <w:insideH w:val="single" w:sz="6" w:space="0" w:color="009900"/>
          <w:insideV w:val="single" w:sz="6" w:space="0" w:color="009900"/>
        </w:tblBorders>
        <w:tblLook w:val="04A0" w:firstRow="1" w:lastRow="0" w:firstColumn="1" w:lastColumn="0" w:noHBand="0" w:noVBand="1"/>
      </w:tblPr>
      <w:tblGrid>
        <w:gridCol w:w="1191"/>
        <w:gridCol w:w="1191"/>
        <w:gridCol w:w="1191"/>
        <w:gridCol w:w="2754"/>
      </w:tblGrid>
      <w:tr w:rsidR="00322FBE" w:rsidRPr="00502D1F" w14:paraId="41B032F4" w14:textId="77777777" w:rsidTr="00B62988">
        <w:trPr>
          <w:trHeight w:val="20"/>
        </w:trPr>
        <w:tc>
          <w:tcPr>
            <w:tcW w:w="1191" w:type="dxa"/>
            <w:tcBorders>
              <w:top w:val="single" w:sz="12" w:space="0" w:color="009900"/>
              <w:bottom w:val="single" w:sz="6" w:space="0" w:color="009900"/>
              <w:right w:val="nil"/>
            </w:tcBorders>
            <w:vAlign w:val="center"/>
            <w:hideMark/>
          </w:tcPr>
          <w:p w14:paraId="5C4BEA9C" w14:textId="7141D76C" w:rsidR="00322FBE" w:rsidRPr="00502D1F" w:rsidRDefault="00C70060"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Biopl</w:t>
            </w:r>
            <w:r w:rsidR="00B279B6" w:rsidRPr="00502D1F">
              <w:rPr>
                <w:rFonts w:cs="Arial"/>
                <w:color w:val="000000"/>
                <w:szCs w:val="18"/>
                <w:lang w:eastAsia="es-PE"/>
              </w:rPr>
              <w:t>a</w:t>
            </w:r>
            <w:r w:rsidRPr="00502D1F">
              <w:rPr>
                <w:rFonts w:cs="Arial"/>
                <w:color w:val="000000"/>
                <w:szCs w:val="18"/>
                <w:lang w:eastAsia="es-PE"/>
              </w:rPr>
              <w:t>stic</w:t>
            </w:r>
          </w:p>
        </w:tc>
        <w:tc>
          <w:tcPr>
            <w:tcW w:w="1191" w:type="dxa"/>
            <w:tcBorders>
              <w:top w:val="single" w:sz="12" w:space="0" w:color="009900"/>
              <w:left w:val="nil"/>
              <w:bottom w:val="single" w:sz="6" w:space="0" w:color="009900"/>
              <w:right w:val="nil"/>
            </w:tcBorders>
            <w:vAlign w:val="center"/>
            <w:hideMark/>
          </w:tcPr>
          <w:p w14:paraId="67744893" w14:textId="3E57327A" w:rsidR="00322FBE" w:rsidRPr="00502D1F" w:rsidRDefault="00AA589F"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W</w:t>
            </w:r>
            <w:r w:rsidR="00322FBE" w:rsidRPr="00502D1F">
              <w:rPr>
                <w:rFonts w:cs="Arial"/>
                <w:color w:val="000000"/>
                <w:szCs w:val="18"/>
                <w:vertAlign w:val="subscript"/>
                <w:lang w:eastAsia="es-PE"/>
              </w:rPr>
              <w:t xml:space="preserve">i </w:t>
            </w:r>
            <w:r w:rsidR="00322FBE" w:rsidRPr="00502D1F">
              <w:rPr>
                <w:rFonts w:cs="Arial"/>
                <w:color w:val="000000"/>
                <w:szCs w:val="18"/>
                <w:lang w:eastAsia="es-PE"/>
              </w:rPr>
              <w:t>(g)</w:t>
            </w:r>
          </w:p>
        </w:tc>
        <w:tc>
          <w:tcPr>
            <w:tcW w:w="1191" w:type="dxa"/>
            <w:tcBorders>
              <w:top w:val="single" w:sz="12" w:space="0" w:color="009900"/>
              <w:left w:val="nil"/>
              <w:bottom w:val="single" w:sz="6" w:space="0" w:color="009900"/>
              <w:right w:val="nil"/>
            </w:tcBorders>
            <w:vAlign w:val="center"/>
            <w:hideMark/>
          </w:tcPr>
          <w:p w14:paraId="73110A70" w14:textId="36AE9CF8" w:rsidR="00322FBE" w:rsidRPr="00502D1F" w:rsidRDefault="00AA589F"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W</w:t>
            </w:r>
            <w:r w:rsidR="00322FBE" w:rsidRPr="00502D1F">
              <w:rPr>
                <w:rFonts w:cs="Arial"/>
                <w:color w:val="000000"/>
                <w:szCs w:val="18"/>
                <w:vertAlign w:val="subscript"/>
                <w:lang w:eastAsia="es-PE"/>
              </w:rPr>
              <w:t>f</w:t>
            </w:r>
            <w:r w:rsidR="00322FBE" w:rsidRPr="00502D1F">
              <w:rPr>
                <w:rFonts w:cs="Arial"/>
                <w:color w:val="000000"/>
                <w:szCs w:val="18"/>
                <w:lang w:eastAsia="es-PE"/>
              </w:rPr>
              <w:t xml:space="preserve"> (g)</w:t>
            </w:r>
          </w:p>
        </w:tc>
        <w:tc>
          <w:tcPr>
            <w:tcW w:w="2754" w:type="dxa"/>
            <w:tcBorders>
              <w:top w:val="single" w:sz="12" w:space="0" w:color="009900"/>
              <w:left w:val="nil"/>
              <w:bottom w:val="single" w:sz="6" w:space="0" w:color="009900"/>
            </w:tcBorders>
            <w:vAlign w:val="center"/>
            <w:hideMark/>
          </w:tcPr>
          <w:p w14:paraId="6FCA5F20" w14:textId="2005CEB4" w:rsidR="00322FBE" w:rsidRPr="00502D1F" w:rsidRDefault="00B279B6"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 xml:space="preserve">Absorption percentage </w:t>
            </w:r>
            <w:r w:rsidR="00322FBE" w:rsidRPr="00502D1F">
              <w:rPr>
                <w:rFonts w:cs="Arial"/>
                <w:color w:val="000000"/>
                <w:szCs w:val="18"/>
                <w:lang w:eastAsia="es-PE"/>
              </w:rPr>
              <w:t>(%)</w:t>
            </w:r>
          </w:p>
        </w:tc>
      </w:tr>
      <w:tr w:rsidR="00322FBE" w:rsidRPr="00502D1F" w14:paraId="61983D71" w14:textId="77777777" w:rsidTr="00B62988">
        <w:trPr>
          <w:trHeight w:val="20"/>
        </w:trPr>
        <w:tc>
          <w:tcPr>
            <w:tcW w:w="1191" w:type="dxa"/>
            <w:tcBorders>
              <w:top w:val="single" w:sz="6" w:space="0" w:color="009900"/>
              <w:bottom w:val="nil"/>
              <w:right w:val="nil"/>
            </w:tcBorders>
            <w:noWrap/>
            <w:vAlign w:val="center"/>
            <w:hideMark/>
          </w:tcPr>
          <w:p w14:paraId="1F9F9CE0" w14:textId="5AD4F10B" w:rsidR="00322FBE" w:rsidRPr="00502D1F" w:rsidRDefault="00C70060" w:rsidP="00B62988">
            <w:pPr>
              <w:tabs>
                <w:tab w:val="clear" w:pos="7100"/>
              </w:tabs>
              <w:spacing w:line="240" w:lineRule="auto"/>
              <w:jc w:val="center"/>
              <w:rPr>
                <w:rFonts w:ascii="Calibri" w:hAnsi="Calibri" w:cs="Calibri"/>
                <w:color w:val="000000"/>
                <w:sz w:val="22"/>
                <w:szCs w:val="22"/>
                <w:lang w:eastAsia="es-PE"/>
              </w:rPr>
            </w:pPr>
            <w:r w:rsidRPr="00502D1F">
              <w:rPr>
                <w:rFonts w:ascii="Calibri" w:hAnsi="Calibri" w:cs="Calibri"/>
                <w:color w:val="000000"/>
                <w:sz w:val="22"/>
                <w:szCs w:val="22"/>
                <w:lang w:eastAsia="es-PE"/>
              </w:rPr>
              <w:t>BP1</w:t>
            </w:r>
          </w:p>
        </w:tc>
        <w:tc>
          <w:tcPr>
            <w:tcW w:w="1191" w:type="dxa"/>
            <w:tcBorders>
              <w:top w:val="single" w:sz="6" w:space="0" w:color="009900"/>
              <w:left w:val="nil"/>
              <w:bottom w:val="nil"/>
              <w:right w:val="nil"/>
            </w:tcBorders>
            <w:noWrap/>
            <w:vAlign w:val="center"/>
            <w:hideMark/>
          </w:tcPr>
          <w:p w14:paraId="4951F5DF"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3.78</w:t>
            </w:r>
          </w:p>
        </w:tc>
        <w:tc>
          <w:tcPr>
            <w:tcW w:w="1191" w:type="dxa"/>
            <w:tcBorders>
              <w:top w:val="single" w:sz="6" w:space="0" w:color="009900"/>
              <w:left w:val="nil"/>
              <w:bottom w:val="nil"/>
              <w:right w:val="nil"/>
            </w:tcBorders>
            <w:noWrap/>
            <w:vAlign w:val="center"/>
            <w:hideMark/>
          </w:tcPr>
          <w:p w14:paraId="68524433"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9.39</w:t>
            </w:r>
          </w:p>
        </w:tc>
        <w:tc>
          <w:tcPr>
            <w:tcW w:w="2754" w:type="dxa"/>
            <w:tcBorders>
              <w:top w:val="single" w:sz="6" w:space="0" w:color="009900"/>
              <w:left w:val="nil"/>
              <w:bottom w:val="nil"/>
            </w:tcBorders>
            <w:noWrap/>
            <w:vAlign w:val="center"/>
            <w:hideMark/>
          </w:tcPr>
          <w:p w14:paraId="370F50B7" w14:textId="62AE915A"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148.41</w:t>
            </w:r>
          </w:p>
        </w:tc>
      </w:tr>
      <w:tr w:rsidR="00322FBE" w:rsidRPr="00502D1F" w14:paraId="2FE5520E" w14:textId="77777777" w:rsidTr="00B62988">
        <w:trPr>
          <w:trHeight w:val="20"/>
        </w:trPr>
        <w:tc>
          <w:tcPr>
            <w:tcW w:w="1191" w:type="dxa"/>
            <w:tcBorders>
              <w:top w:val="nil"/>
              <w:bottom w:val="nil"/>
              <w:right w:val="nil"/>
            </w:tcBorders>
            <w:noWrap/>
            <w:vAlign w:val="center"/>
            <w:hideMark/>
          </w:tcPr>
          <w:p w14:paraId="287A0466" w14:textId="3605B609" w:rsidR="00322FBE" w:rsidRPr="00502D1F" w:rsidRDefault="00C70060" w:rsidP="00B62988">
            <w:pPr>
              <w:tabs>
                <w:tab w:val="clear" w:pos="7100"/>
              </w:tabs>
              <w:spacing w:line="240" w:lineRule="auto"/>
              <w:jc w:val="center"/>
              <w:rPr>
                <w:rFonts w:ascii="Calibri" w:hAnsi="Calibri" w:cs="Calibri"/>
                <w:color w:val="000000"/>
                <w:sz w:val="22"/>
                <w:szCs w:val="22"/>
                <w:lang w:eastAsia="es-PE"/>
              </w:rPr>
            </w:pPr>
            <w:r w:rsidRPr="00502D1F">
              <w:rPr>
                <w:rFonts w:ascii="Calibri" w:hAnsi="Calibri" w:cs="Calibri"/>
                <w:color w:val="000000"/>
                <w:sz w:val="22"/>
                <w:szCs w:val="22"/>
                <w:lang w:eastAsia="es-PE"/>
              </w:rPr>
              <w:t>BP2</w:t>
            </w:r>
          </w:p>
        </w:tc>
        <w:tc>
          <w:tcPr>
            <w:tcW w:w="1191" w:type="dxa"/>
            <w:tcBorders>
              <w:top w:val="nil"/>
              <w:left w:val="nil"/>
              <w:bottom w:val="nil"/>
              <w:right w:val="nil"/>
            </w:tcBorders>
            <w:noWrap/>
            <w:vAlign w:val="center"/>
            <w:hideMark/>
          </w:tcPr>
          <w:p w14:paraId="6C07898E"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3.31</w:t>
            </w:r>
          </w:p>
        </w:tc>
        <w:tc>
          <w:tcPr>
            <w:tcW w:w="1191" w:type="dxa"/>
            <w:tcBorders>
              <w:top w:val="nil"/>
              <w:left w:val="nil"/>
              <w:bottom w:val="nil"/>
              <w:right w:val="nil"/>
            </w:tcBorders>
            <w:noWrap/>
            <w:vAlign w:val="center"/>
            <w:hideMark/>
          </w:tcPr>
          <w:p w14:paraId="7834F7E1"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6.43</w:t>
            </w:r>
          </w:p>
        </w:tc>
        <w:tc>
          <w:tcPr>
            <w:tcW w:w="2754" w:type="dxa"/>
            <w:tcBorders>
              <w:top w:val="nil"/>
              <w:left w:val="nil"/>
              <w:bottom w:val="nil"/>
            </w:tcBorders>
            <w:noWrap/>
            <w:vAlign w:val="center"/>
            <w:hideMark/>
          </w:tcPr>
          <w:p w14:paraId="23167723"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94.26</w:t>
            </w:r>
          </w:p>
        </w:tc>
      </w:tr>
      <w:tr w:rsidR="00322FBE" w:rsidRPr="00502D1F" w14:paraId="4E8D5D56" w14:textId="77777777" w:rsidTr="00B62988">
        <w:trPr>
          <w:trHeight w:val="20"/>
        </w:trPr>
        <w:tc>
          <w:tcPr>
            <w:tcW w:w="1191" w:type="dxa"/>
            <w:tcBorders>
              <w:top w:val="nil"/>
              <w:bottom w:val="single" w:sz="12" w:space="0" w:color="009900"/>
              <w:right w:val="nil"/>
            </w:tcBorders>
            <w:noWrap/>
            <w:vAlign w:val="center"/>
            <w:hideMark/>
          </w:tcPr>
          <w:p w14:paraId="0B89C2D9" w14:textId="76BA8F1D" w:rsidR="00322FBE" w:rsidRPr="00502D1F" w:rsidRDefault="00C70060" w:rsidP="00B62988">
            <w:pPr>
              <w:tabs>
                <w:tab w:val="clear" w:pos="7100"/>
              </w:tabs>
              <w:spacing w:line="240" w:lineRule="auto"/>
              <w:jc w:val="center"/>
              <w:rPr>
                <w:rFonts w:ascii="Calibri" w:hAnsi="Calibri" w:cs="Calibri"/>
                <w:color w:val="000000"/>
                <w:sz w:val="22"/>
                <w:szCs w:val="22"/>
                <w:lang w:eastAsia="es-PE"/>
              </w:rPr>
            </w:pPr>
            <w:r w:rsidRPr="00502D1F">
              <w:rPr>
                <w:rFonts w:ascii="Calibri" w:hAnsi="Calibri" w:cs="Calibri"/>
                <w:color w:val="000000"/>
                <w:sz w:val="22"/>
                <w:szCs w:val="22"/>
                <w:lang w:eastAsia="es-PE"/>
              </w:rPr>
              <w:t>BP3</w:t>
            </w:r>
          </w:p>
        </w:tc>
        <w:tc>
          <w:tcPr>
            <w:tcW w:w="1191" w:type="dxa"/>
            <w:tcBorders>
              <w:top w:val="nil"/>
              <w:left w:val="nil"/>
              <w:bottom w:val="single" w:sz="12" w:space="0" w:color="009900"/>
              <w:right w:val="nil"/>
            </w:tcBorders>
            <w:noWrap/>
            <w:vAlign w:val="center"/>
            <w:hideMark/>
          </w:tcPr>
          <w:p w14:paraId="3F04B78E"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7.85</w:t>
            </w:r>
          </w:p>
        </w:tc>
        <w:tc>
          <w:tcPr>
            <w:tcW w:w="1191" w:type="dxa"/>
            <w:tcBorders>
              <w:top w:val="nil"/>
              <w:left w:val="nil"/>
              <w:bottom w:val="single" w:sz="12" w:space="0" w:color="009900"/>
              <w:right w:val="nil"/>
            </w:tcBorders>
            <w:noWrap/>
            <w:vAlign w:val="center"/>
            <w:hideMark/>
          </w:tcPr>
          <w:p w14:paraId="33028952"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14.56</w:t>
            </w:r>
          </w:p>
        </w:tc>
        <w:tc>
          <w:tcPr>
            <w:tcW w:w="2754" w:type="dxa"/>
            <w:tcBorders>
              <w:top w:val="nil"/>
              <w:left w:val="nil"/>
              <w:bottom w:val="single" w:sz="12" w:space="0" w:color="009900"/>
            </w:tcBorders>
            <w:noWrap/>
            <w:vAlign w:val="center"/>
            <w:hideMark/>
          </w:tcPr>
          <w:p w14:paraId="035AD440" w14:textId="77777777" w:rsidR="00322FBE" w:rsidRPr="00502D1F" w:rsidRDefault="00322FBE" w:rsidP="00B62988">
            <w:pPr>
              <w:tabs>
                <w:tab w:val="clear" w:pos="7100"/>
              </w:tabs>
              <w:spacing w:line="240" w:lineRule="auto"/>
              <w:jc w:val="center"/>
              <w:rPr>
                <w:rFonts w:cs="Arial"/>
                <w:color w:val="000000"/>
                <w:szCs w:val="18"/>
                <w:lang w:eastAsia="es-PE"/>
              </w:rPr>
            </w:pPr>
            <w:r w:rsidRPr="00502D1F">
              <w:rPr>
                <w:rFonts w:cs="Arial"/>
                <w:color w:val="000000"/>
                <w:szCs w:val="18"/>
                <w:lang w:eastAsia="es-PE"/>
              </w:rPr>
              <w:t>85.48</w:t>
            </w:r>
          </w:p>
        </w:tc>
      </w:tr>
    </w:tbl>
    <w:p w14:paraId="27D0D683" w14:textId="2FF71F9F" w:rsidR="00322FBE" w:rsidRPr="00502D1F" w:rsidRDefault="00322FBE" w:rsidP="00B80D90">
      <w:pPr>
        <w:tabs>
          <w:tab w:val="clear" w:pos="7100"/>
        </w:tabs>
        <w:spacing w:after="200" w:line="276" w:lineRule="auto"/>
        <w:jc w:val="center"/>
        <w:rPr>
          <w:rFonts w:cs="Arial"/>
          <w:sz w:val="20"/>
        </w:rPr>
      </w:pPr>
    </w:p>
    <w:p w14:paraId="0FA377A0" w14:textId="12861763" w:rsidR="00671546" w:rsidRPr="00502D1F" w:rsidRDefault="00671546" w:rsidP="00A03A03">
      <w:pPr>
        <w:pStyle w:val="CETBodytext"/>
        <w:rPr>
          <w:lang w:val="en-GB"/>
        </w:rPr>
      </w:pPr>
    </w:p>
    <w:p w14:paraId="2C103746" w14:textId="77777777" w:rsidR="00B31E71" w:rsidRPr="00502D1F" w:rsidRDefault="00B31E71" w:rsidP="00A03A03">
      <w:pPr>
        <w:pStyle w:val="CETBodytext"/>
        <w:rPr>
          <w:lang w:val="en-GB"/>
        </w:rPr>
      </w:pPr>
    </w:p>
    <w:p w14:paraId="0353786F" w14:textId="6E6D8CCC" w:rsidR="00B31E71" w:rsidRPr="00502D1F" w:rsidRDefault="00B31E71" w:rsidP="00A03A03">
      <w:pPr>
        <w:pStyle w:val="CETBodytext"/>
        <w:rPr>
          <w:lang w:val="en-GB"/>
        </w:rPr>
      </w:pPr>
    </w:p>
    <w:p w14:paraId="0773814B" w14:textId="597B9E95" w:rsidR="00322FBE" w:rsidRPr="00502D1F" w:rsidRDefault="009D110D" w:rsidP="00C70060">
      <w:pPr>
        <w:pStyle w:val="CETBodytext"/>
        <w:rPr>
          <w:sz w:val="14"/>
          <w:szCs w:val="16"/>
          <w:lang w:val="en-GB"/>
        </w:rPr>
      </w:pPr>
      <w:r w:rsidRPr="00502D1F">
        <w:rPr>
          <w:sz w:val="14"/>
          <w:szCs w:val="16"/>
          <w:lang w:val="en-GB"/>
        </w:rPr>
        <w:t>W</w:t>
      </w:r>
      <w:r w:rsidR="00B279B6" w:rsidRPr="00502D1F">
        <w:rPr>
          <w:sz w:val="14"/>
          <w:szCs w:val="16"/>
          <w:lang w:val="en-GB"/>
        </w:rPr>
        <w:t xml:space="preserve">i= initial weight; </w:t>
      </w:r>
      <w:r w:rsidRPr="00502D1F">
        <w:rPr>
          <w:sz w:val="14"/>
          <w:szCs w:val="16"/>
          <w:lang w:val="en-GB"/>
        </w:rPr>
        <w:t>Wf</w:t>
      </w:r>
      <w:r w:rsidR="00B279B6" w:rsidRPr="00502D1F">
        <w:rPr>
          <w:sz w:val="14"/>
          <w:szCs w:val="16"/>
          <w:lang w:val="en-GB"/>
        </w:rPr>
        <w:t>=final weight</w:t>
      </w:r>
    </w:p>
    <w:p w14:paraId="7AA30478" w14:textId="067F7EB6" w:rsidR="003308BF" w:rsidRPr="00502D1F" w:rsidRDefault="003308BF" w:rsidP="003308BF">
      <w:pPr>
        <w:pStyle w:val="CETBodytext"/>
        <w:rPr>
          <w:lang w:val="en-GB"/>
        </w:rPr>
      </w:pPr>
    </w:p>
    <w:p w14:paraId="68A5402A" w14:textId="6EFD7C8C" w:rsidR="00232315" w:rsidRPr="00502D1F" w:rsidRDefault="003308BF" w:rsidP="003308BF">
      <w:pPr>
        <w:pStyle w:val="CETBodytext"/>
        <w:rPr>
          <w:b/>
          <w:bCs/>
          <w:lang w:val="en-GB"/>
        </w:rPr>
      </w:pPr>
      <w:r w:rsidRPr="00502D1F">
        <w:rPr>
          <w:b/>
          <w:bCs/>
          <w:lang w:val="en-GB"/>
        </w:rPr>
        <w:t>3.3 Biodegradability and bioplastic degradation</w:t>
      </w:r>
    </w:p>
    <w:p w14:paraId="4FC72CE4" w14:textId="78D28076" w:rsidR="00B2004F" w:rsidRPr="00502D1F" w:rsidRDefault="00B2004F" w:rsidP="00A03A03">
      <w:pPr>
        <w:pStyle w:val="CETBodytext"/>
        <w:rPr>
          <w:lang w:val="en-GB"/>
        </w:rPr>
      </w:pPr>
    </w:p>
    <w:p w14:paraId="305077FC" w14:textId="60F1E98D" w:rsidR="00B2004F" w:rsidRPr="00502D1F" w:rsidRDefault="003308BF" w:rsidP="00A03A03">
      <w:pPr>
        <w:pStyle w:val="CETBodytext"/>
        <w:rPr>
          <w:b/>
          <w:bCs/>
          <w:i/>
          <w:iCs/>
          <w:lang w:val="en-GB"/>
        </w:rPr>
      </w:pPr>
      <w:r w:rsidRPr="00502D1F">
        <w:rPr>
          <w:b/>
          <w:bCs/>
          <w:i/>
          <w:iCs/>
          <w:lang w:val="en-GB"/>
        </w:rPr>
        <w:t>Biodegradation in Soil</w:t>
      </w:r>
    </w:p>
    <w:p w14:paraId="36AF95C0" w14:textId="72C801F3" w:rsidR="00A03A03" w:rsidRDefault="00A33845" w:rsidP="00A03A03">
      <w:pPr>
        <w:pStyle w:val="CETBodytext"/>
        <w:rPr>
          <w:lang w:val="en-GB"/>
        </w:rPr>
      </w:pPr>
      <w:r w:rsidRPr="00502D1F">
        <w:rPr>
          <w:lang w:val="en-GB"/>
        </w:rPr>
        <w:t>The results obtained for the biodegradability at 28 days in soil medium (pH 6-8 and C:N ratio of 40:1</w:t>
      </w:r>
      <w:r w:rsidR="007D6A15">
        <w:rPr>
          <w:lang w:val="en-GB"/>
        </w:rPr>
        <w:t xml:space="preserve">, </w:t>
      </w:r>
      <w:r w:rsidR="007D6A15" w:rsidRPr="007D6A15">
        <w:rPr>
          <w:lang w:val="en-GB"/>
        </w:rPr>
        <w:t>organic matter 10%, humidity 30%, electrical conductivity 2.2 ds/m</w:t>
      </w:r>
      <w:r w:rsidRPr="00502D1F">
        <w:rPr>
          <w:lang w:val="en-GB"/>
        </w:rPr>
        <w:t>) for the samples were: BP1 present an average of 97.10 %, the BP3 sample an average of 90.12 %; and the sample BP2 100 %, being the sample with the highest percentage of biodegradability obtained between 14 and 21 days, these results are shown in Figure 4. Other investigations also obtained similar values, such as the one carried out by Günkaya and Banar (2016), who elaborated bioplastics achieving biodegradability values of 70% in 9 days, reaching 78.4% in 15 days, attributing it to the Ph and organic matter present in the soil since this allows and helps microorganisms to quickly produce enzymes. To degrade biofilms. Espinoza et al, 2022 mention that soils that have organic matter in their composition can be more easily biodegraded even by larvae compared to those that do not contain it.</w:t>
      </w:r>
    </w:p>
    <w:p w14:paraId="7DFFBEB6" w14:textId="77777777" w:rsidR="00116D97" w:rsidRPr="00502D1F" w:rsidRDefault="00116D97" w:rsidP="00A03A03">
      <w:pPr>
        <w:pStyle w:val="CETBodytext"/>
        <w:rPr>
          <w:lang w:val="en-GB"/>
        </w:rPr>
      </w:pPr>
    </w:p>
    <w:tbl>
      <w:tblPr>
        <w:tblStyle w:val="Tabelacomgrade"/>
        <w:tblW w:w="8897"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38"/>
        <w:gridCol w:w="4259"/>
      </w:tblGrid>
      <w:tr w:rsidR="004E04E6" w:rsidRPr="00502D1F" w14:paraId="43DB520C" w14:textId="77777777" w:rsidTr="004E04E6">
        <w:tc>
          <w:tcPr>
            <w:tcW w:w="4644" w:type="dxa"/>
          </w:tcPr>
          <w:p w14:paraId="50416F08" w14:textId="050B97DA" w:rsidR="00D917FF" w:rsidRPr="00502D1F" w:rsidRDefault="00AE2850" w:rsidP="00A03A03">
            <w:pPr>
              <w:pStyle w:val="CETBodytext"/>
              <w:rPr>
                <w:lang w:val="en-GB"/>
              </w:rPr>
            </w:pPr>
            <w:r w:rsidRPr="00502D1F">
              <w:rPr>
                <w:noProof/>
                <w:lang w:val="es-PE" w:eastAsia="es-PE"/>
              </w:rPr>
              <w:drawing>
                <wp:inline distT="0" distB="0" distL="0" distR="0" wp14:anchorId="28CD40A4" wp14:editId="732D877E">
                  <wp:extent cx="2838616" cy="1804670"/>
                  <wp:effectExtent l="0" t="0" r="0" b="0"/>
                  <wp:docPr id="714101661" name="Gráfico 1">
                    <a:extLst xmlns:a="http://schemas.openxmlformats.org/drawingml/2006/main">
                      <a:ext uri="{FF2B5EF4-FFF2-40B4-BE49-F238E27FC236}">
                        <a16:creationId xmlns:a16="http://schemas.microsoft.com/office/drawing/2014/main" id="{CBA58C91-CDAA-FB6E-741E-4453EA8819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855C5C" w14:textId="77777777" w:rsidR="00D917FF" w:rsidRPr="00502D1F" w:rsidRDefault="00D917FF" w:rsidP="00A72E36">
            <w:pPr>
              <w:pStyle w:val="CETCaption"/>
              <w:spacing w:before="120" w:after="0"/>
            </w:pPr>
            <w:r w:rsidRPr="00502D1F">
              <w:t>Figure 4: Biodegradability of bioplastic in soil</w:t>
            </w:r>
          </w:p>
          <w:p w14:paraId="0760E0DF" w14:textId="66CC8CC6" w:rsidR="00D917FF" w:rsidRPr="00502D1F" w:rsidRDefault="00D917FF" w:rsidP="00A03A03">
            <w:pPr>
              <w:pStyle w:val="CETBodytext"/>
              <w:rPr>
                <w:lang w:val="en-GB"/>
              </w:rPr>
            </w:pPr>
          </w:p>
        </w:tc>
        <w:tc>
          <w:tcPr>
            <w:tcW w:w="4253" w:type="dxa"/>
          </w:tcPr>
          <w:p w14:paraId="7B561923" w14:textId="6C4BFD71" w:rsidR="00D917FF" w:rsidRPr="00502D1F" w:rsidRDefault="00AE2850" w:rsidP="00A03A03">
            <w:pPr>
              <w:pStyle w:val="CETBodytext"/>
              <w:rPr>
                <w:lang w:val="en-GB"/>
              </w:rPr>
            </w:pPr>
            <w:r w:rsidRPr="00502D1F">
              <w:rPr>
                <w:noProof/>
                <w:lang w:val="es-PE" w:eastAsia="es-PE"/>
              </w:rPr>
              <w:drawing>
                <wp:inline distT="0" distB="0" distL="0" distR="0" wp14:anchorId="3A46D6AE" wp14:editId="7067B1CD">
                  <wp:extent cx="2615565" cy="1804670"/>
                  <wp:effectExtent l="0" t="0" r="0" b="0"/>
                  <wp:docPr id="888493021" name="Gráfico 1">
                    <a:extLst xmlns:a="http://schemas.openxmlformats.org/drawingml/2006/main">
                      <a:ext uri="{FF2B5EF4-FFF2-40B4-BE49-F238E27FC236}">
                        <a16:creationId xmlns:a16="http://schemas.microsoft.com/office/drawing/2014/main" id="{4C63FD79-756A-019D-94E6-A80C1B81E9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0F4130" w14:textId="77777777" w:rsidR="008E425F" w:rsidRPr="00502D1F" w:rsidRDefault="008E425F" w:rsidP="00A72E36">
            <w:pPr>
              <w:pStyle w:val="CETCaption"/>
              <w:spacing w:before="120" w:after="0"/>
            </w:pPr>
            <w:r w:rsidRPr="00502D1F">
              <w:t>Figure 5: Bioplastic degradation in aqueous medium</w:t>
            </w:r>
          </w:p>
          <w:p w14:paraId="2A9F7F17" w14:textId="2EC4099C" w:rsidR="008E425F" w:rsidRPr="00502D1F" w:rsidRDefault="008E425F" w:rsidP="00A03A03">
            <w:pPr>
              <w:pStyle w:val="CETBodytext"/>
              <w:rPr>
                <w:lang w:val="en-GB"/>
              </w:rPr>
            </w:pPr>
          </w:p>
        </w:tc>
      </w:tr>
    </w:tbl>
    <w:p w14:paraId="622BB60E" w14:textId="16EBE54A" w:rsidR="006D7190" w:rsidRPr="00502D1F" w:rsidRDefault="00D917FF" w:rsidP="006D7190">
      <w:pPr>
        <w:pStyle w:val="CETBodytext"/>
        <w:rPr>
          <w:lang w:val="en-GB"/>
        </w:rPr>
      </w:pPr>
      <w:r w:rsidRPr="00502D1F">
        <w:rPr>
          <w:noProof/>
          <w:lang w:val="en-GB"/>
        </w:rPr>
        <w:t xml:space="preserve"> </w:t>
      </w:r>
      <w:r w:rsidR="00A37BB3" w:rsidRPr="00502D1F">
        <w:rPr>
          <w:lang w:val="en-GB"/>
        </w:rPr>
        <w:t>Bioplastics have an advantage over traditional plastics, they degrade easily and in less time by living organisms, giving as products carbon dioxide, water</w:t>
      </w:r>
      <w:r w:rsidR="005D7128" w:rsidRPr="00502D1F">
        <w:rPr>
          <w:lang w:val="en-GB"/>
        </w:rPr>
        <w:t>,</w:t>
      </w:r>
      <w:r w:rsidR="00A37BB3" w:rsidRPr="00502D1F">
        <w:rPr>
          <w:lang w:val="en-GB"/>
        </w:rPr>
        <w:t xml:space="preserve"> and biomass in aerobic and anaerobic conditions, not requiring systems to reduce or eliminate negative impacts on the environment. (Moeini et al, 2021).</w:t>
      </w:r>
    </w:p>
    <w:p w14:paraId="494CC703" w14:textId="217B9D1A" w:rsidR="00FE5D30" w:rsidRPr="00502D1F" w:rsidRDefault="00FE5D30" w:rsidP="006D7190">
      <w:pPr>
        <w:pStyle w:val="CETBodytext"/>
        <w:rPr>
          <w:lang w:val="en-GB"/>
        </w:rPr>
      </w:pPr>
    </w:p>
    <w:p w14:paraId="1A672A1C" w14:textId="05CD2360" w:rsidR="00A371E4" w:rsidRPr="00502D1F" w:rsidRDefault="003308BF" w:rsidP="00B2004F">
      <w:pPr>
        <w:pStyle w:val="CETBodytext"/>
        <w:rPr>
          <w:b/>
          <w:bCs/>
          <w:i/>
          <w:iCs/>
          <w:lang w:val="en-GB"/>
        </w:rPr>
      </w:pPr>
      <w:r w:rsidRPr="00502D1F">
        <w:rPr>
          <w:b/>
          <w:bCs/>
          <w:i/>
          <w:iCs/>
          <w:lang w:val="en-GB"/>
        </w:rPr>
        <w:t xml:space="preserve">Biodegradation in aqueous </w:t>
      </w:r>
      <w:r w:rsidR="00D43C88" w:rsidRPr="00502D1F">
        <w:rPr>
          <w:b/>
          <w:bCs/>
          <w:i/>
          <w:iCs/>
          <w:lang w:val="en-GB"/>
        </w:rPr>
        <w:t>me</w:t>
      </w:r>
      <w:r w:rsidR="00B279B6" w:rsidRPr="00502D1F">
        <w:rPr>
          <w:b/>
          <w:bCs/>
          <w:i/>
          <w:iCs/>
          <w:lang w:val="en-GB"/>
        </w:rPr>
        <w:t>dium</w:t>
      </w:r>
    </w:p>
    <w:p w14:paraId="15BD8CC4" w14:textId="19262B5E" w:rsidR="00BA5414" w:rsidRDefault="00A37BB3" w:rsidP="007450E1">
      <w:pPr>
        <w:pStyle w:val="CETBodytext"/>
        <w:spacing w:line="240" w:lineRule="auto"/>
        <w:rPr>
          <w:lang w:val="en-GB"/>
        </w:rPr>
      </w:pPr>
      <w:r w:rsidRPr="00502D1F">
        <w:rPr>
          <w:lang w:val="en-GB"/>
        </w:rPr>
        <w:t>The results obtained for degradation in aqueous medium present minimum values of the BP1 sample with a percentage of 7.19</w:t>
      </w:r>
      <w:r w:rsidR="00E51809" w:rsidRPr="00502D1F">
        <w:rPr>
          <w:lang w:val="en-GB"/>
        </w:rPr>
        <w:t xml:space="preserve"> </w:t>
      </w:r>
      <w:r w:rsidRPr="00502D1F">
        <w:rPr>
          <w:lang w:val="en-GB"/>
        </w:rPr>
        <w:t>% and the BP3 sample with 10.94</w:t>
      </w:r>
      <w:r w:rsidR="00E51809" w:rsidRPr="00502D1F">
        <w:rPr>
          <w:lang w:val="en-GB"/>
        </w:rPr>
        <w:t xml:space="preserve"> </w:t>
      </w:r>
      <w:r w:rsidRPr="00502D1F">
        <w:rPr>
          <w:lang w:val="en-GB"/>
        </w:rPr>
        <w:t xml:space="preserve">% after 7 days of testing, achieving complete degradability in 28 days. While the BP2 sample obtains a maximum value of 96 % in 7 days and completes its degradation in 14 days (see Figure 5), this happens due to the pectin content in its composition. Chinaglia, Tosin and Degli-innocenti (2018), explain that pectin is a great source of carbon, which contributes to the growth of microorganisms, which produce enzymes such as pectinase that </w:t>
      </w:r>
      <w:r w:rsidR="0055489B" w:rsidRPr="00502D1F">
        <w:rPr>
          <w:lang w:val="en-GB"/>
        </w:rPr>
        <w:t>bind</w:t>
      </w:r>
      <w:r w:rsidRPr="00502D1F">
        <w:rPr>
          <w:lang w:val="en-GB"/>
        </w:rPr>
        <w:t xml:space="preserve"> to pectin, initiating biodegradation. In addition,</w:t>
      </w:r>
      <w:r w:rsidR="0055489B" w:rsidRPr="00502D1F">
        <w:rPr>
          <w:lang w:val="en-GB"/>
        </w:rPr>
        <w:t xml:space="preserve"> </w:t>
      </w:r>
      <w:r w:rsidRPr="00502D1F">
        <w:rPr>
          <w:lang w:val="en-GB"/>
        </w:rPr>
        <w:t>being in aerobic conditions, they are quickly converted into biomass and then into CO</w:t>
      </w:r>
      <w:r w:rsidRPr="00502D1F">
        <w:rPr>
          <w:vertAlign w:val="subscript"/>
          <w:lang w:val="en-GB"/>
        </w:rPr>
        <w:t>2</w:t>
      </w:r>
      <w:r w:rsidRPr="00502D1F">
        <w:rPr>
          <w:lang w:val="en-GB"/>
        </w:rPr>
        <w:t>. However, they also mention that molecular biodegradability must be considered, that is, that biodegradation is affected by the size of the particles.</w:t>
      </w:r>
    </w:p>
    <w:p w14:paraId="685A8372" w14:textId="77777777" w:rsidR="00127928" w:rsidRPr="00502D1F" w:rsidRDefault="00127928" w:rsidP="007450E1">
      <w:pPr>
        <w:pStyle w:val="CETBodytext"/>
        <w:spacing w:line="240" w:lineRule="auto"/>
        <w:rPr>
          <w:lang w:val="en-GB"/>
        </w:rPr>
      </w:pPr>
    </w:p>
    <w:p w14:paraId="63B1F95A" w14:textId="2DCFC601" w:rsidR="003308BF" w:rsidRPr="00502D1F" w:rsidRDefault="003308BF" w:rsidP="00B62988">
      <w:pPr>
        <w:pStyle w:val="CETBodytext"/>
        <w:spacing w:line="240" w:lineRule="auto"/>
        <w:rPr>
          <w:b/>
          <w:bCs/>
          <w:i/>
          <w:iCs/>
          <w:lang w:val="en-GB"/>
        </w:rPr>
      </w:pPr>
      <w:r w:rsidRPr="00502D1F">
        <w:rPr>
          <w:b/>
          <w:bCs/>
          <w:i/>
          <w:iCs/>
          <w:lang w:val="en-GB"/>
        </w:rPr>
        <w:t>Degradation of bioplastic outdoors</w:t>
      </w:r>
    </w:p>
    <w:p w14:paraId="53740B31" w14:textId="57443AA3" w:rsidR="00BC2832" w:rsidRDefault="00FB2838" w:rsidP="00A03A03">
      <w:pPr>
        <w:pStyle w:val="CETBodytext"/>
        <w:rPr>
          <w:lang w:val="en-GB"/>
        </w:rPr>
      </w:pPr>
      <w:r w:rsidRPr="00502D1F">
        <w:rPr>
          <w:lang w:val="en-GB"/>
        </w:rPr>
        <w:t>The outdoor samples presented degradation values in a range of 1.82 % in 7 days and 24.45 % in 28 days in the BP1 sample; the BP2 sample in 7 days presents an average of 5.17</w:t>
      </w:r>
      <w:r w:rsidR="00E51809" w:rsidRPr="00502D1F">
        <w:rPr>
          <w:lang w:val="en-GB"/>
        </w:rPr>
        <w:t xml:space="preserve"> </w:t>
      </w:r>
      <w:r w:rsidRPr="00502D1F">
        <w:rPr>
          <w:lang w:val="en-GB"/>
        </w:rPr>
        <w:t>% and 28.39</w:t>
      </w:r>
      <w:r w:rsidR="00E51809" w:rsidRPr="00502D1F">
        <w:rPr>
          <w:lang w:val="en-GB"/>
        </w:rPr>
        <w:t xml:space="preserve"> </w:t>
      </w:r>
      <w:r w:rsidRPr="00502D1F">
        <w:rPr>
          <w:lang w:val="en-GB"/>
        </w:rPr>
        <w:t>% in 28 days; and, the BP3 sample is in a range of 3.48</w:t>
      </w:r>
      <w:r w:rsidR="00E51809" w:rsidRPr="00502D1F">
        <w:rPr>
          <w:lang w:val="en-GB"/>
        </w:rPr>
        <w:t xml:space="preserve"> </w:t>
      </w:r>
      <w:r w:rsidRPr="00502D1F">
        <w:rPr>
          <w:lang w:val="en-GB"/>
        </w:rPr>
        <w:t>% and 25.76</w:t>
      </w:r>
      <w:r w:rsidR="00E51809" w:rsidRPr="00502D1F">
        <w:rPr>
          <w:lang w:val="en-GB"/>
        </w:rPr>
        <w:t xml:space="preserve"> </w:t>
      </w:r>
      <w:r w:rsidRPr="00502D1F">
        <w:rPr>
          <w:lang w:val="en-GB"/>
        </w:rPr>
        <w:t xml:space="preserve">% in the time of 7 and 28 days respectively (See Figure 6). As can be seen, the results obtained from the 3 samples do not present a considerable difference, on the other </w:t>
      </w:r>
      <w:r w:rsidRPr="00502D1F">
        <w:rPr>
          <w:lang w:val="en-GB"/>
        </w:rPr>
        <w:lastRenderedPageBreak/>
        <w:t>hand, they were not able to degrade completely, due to the climate and the environmental factor. Almirón et al (2021), mention that bioplastics subjected to the weather for 4 months obtain values ranging from 7</w:t>
      </w:r>
      <w:r w:rsidR="00E51809" w:rsidRPr="00502D1F">
        <w:rPr>
          <w:lang w:val="en-GB"/>
        </w:rPr>
        <w:t xml:space="preserve"> </w:t>
      </w:r>
      <w:r w:rsidRPr="00502D1F">
        <w:rPr>
          <w:lang w:val="en-GB"/>
        </w:rPr>
        <w:t>% to 13</w:t>
      </w:r>
      <w:r w:rsidR="00E51809" w:rsidRPr="00502D1F">
        <w:rPr>
          <w:lang w:val="en-GB"/>
        </w:rPr>
        <w:t xml:space="preserve"> </w:t>
      </w:r>
      <w:r w:rsidRPr="00502D1F">
        <w:rPr>
          <w:lang w:val="en-GB"/>
        </w:rPr>
        <w:t>%, which are determined by environmental conditions, such as the climate and temperature of the area.</w:t>
      </w:r>
    </w:p>
    <w:p w14:paraId="6F8A560E" w14:textId="77777777" w:rsidR="00116D97" w:rsidRPr="00502D1F" w:rsidRDefault="00116D97" w:rsidP="00A03A03">
      <w:pPr>
        <w:pStyle w:val="CETBodytext"/>
        <w:rPr>
          <w:lang w:val="en-GB"/>
        </w:rPr>
      </w:pPr>
    </w:p>
    <w:p w14:paraId="08499D4A" w14:textId="58A6AC72" w:rsidR="00FE5D30" w:rsidRPr="00502D1F" w:rsidRDefault="003112D1" w:rsidP="00A03A03">
      <w:pPr>
        <w:pStyle w:val="CETBodytext"/>
        <w:rPr>
          <w:lang w:val="en-GB"/>
        </w:rPr>
      </w:pPr>
      <w:r w:rsidRPr="00502D1F">
        <w:rPr>
          <w:noProof/>
          <w:lang w:val="es-PE" w:eastAsia="es-PE"/>
        </w:rPr>
        <w:drawing>
          <wp:inline distT="0" distB="0" distL="0" distR="0" wp14:anchorId="0D3266C3" wp14:editId="62EDD515">
            <wp:extent cx="4023360" cy="1706880"/>
            <wp:effectExtent l="0" t="0" r="15240" b="7620"/>
            <wp:docPr id="1145503336" name="Gráfico 1">
              <a:extLst xmlns:a="http://schemas.openxmlformats.org/drawingml/2006/main">
                <a:ext uri="{FF2B5EF4-FFF2-40B4-BE49-F238E27FC236}">
                  <a16:creationId xmlns:a16="http://schemas.microsoft.com/office/drawing/2014/main" id="{4F53A17D-24CB-2538-2879-AAD7E0ED37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1ADFCF" w14:textId="657A1AA1" w:rsidR="003308BF" w:rsidRPr="00502D1F" w:rsidRDefault="00FE5D30" w:rsidP="00BC2832">
      <w:pPr>
        <w:pStyle w:val="CETBodytext"/>
        <w:rPr>
          <w:i/>
          <w:iCs/>
          <w:lang w:val="en-GB"/>
        </w:rPr>
      </w:pPr>
      <w:r w:rsidRPr="00502D1F">
        <w:rPr>
          <w:i/>
          <w:iCs/>
          <w:lang w:val="en-GB"/>
        </w:rPr>
        <w:t>Figure</w:t>
      </w:r>
      <w:r w:rsidR="003308BF" w:rsidRPr="00502D1F">
        <w:rPr>
          <w:i/>
          <w:iCs/>
          <w:lang w:val="en-GB"/>
        </w:rPr>
        <w:t xml:space="preserve"> 6: Degradation of the bioplastic in the open air</w:t>
      </w:r>
    </w:p>
    <w:p w14:paraId="04012498" w14:textId="77777777" w:rsidR="00254FA6" w:rsidRPr="00127928" w:rsidRDefault="00254FA6" w:rsidP="00B279B6">
      <w:pPr>
        <w:pStyle w:val="CETHeading1"/>
        <w:numPr>
          <w:ilvl w:val="0"/>
          <w:numId w:val="0"/>
        </w:numPr>
        <w:rPr>
          <w:bCs/>
          <w:i/>
          <w:iCs/>
          <w:sz w:val="18"/>
          <w:szCs w:val="18"/>
          <w:lang w:val="en-GB"/>
        </w:rPr>
      </w:pPr>
      <w:r w:rsidRPr="00127928">
        <w:rPr>
          <w:bCs/>
          <w:i/>
          <w:iCs/>
          <w:sz w:val="18"/>
          <w:szCs w:val="18"/>
          <w:lang w:val="en-GB"/>
        </w:rPr>
        <w:t xml:space="preserve">Statistical analysis of biodegradability results. </w:t>
      </w:r>
    </w:p>
    <w:p w14:paraId="47B34803" w14:textId="27190C8D" w:rsidR="00CD776A" w:rsidRPr="00127928" w:rsidRDefault="00FF4882" w:rsidP="00FF4882">
      <w:pPr>
        <w:pStyle w:val="CETBodytext"/>
        <w:rPr>
          <w:szCs w:val="18"/>
          <w:lang w:val="en-GB"/>
        </w:rPr>
      </w:pPr>
      <w:r w:rsidRPr="00127928">
        <w:rPr>
          <w:szCs w:val="18"/>
          <w:lang w:val="en-GB"/>
        </w:rPr>
        <w:t xml:space="preserve">First, the normality test was carried out for the percentages of biodegradability through the Shapiro-Wilk test, confirming the normality of the samples, we proceeded to analyze the relationship of biodegradability with the amount of pectin in each sample through the test. of ANOVA (see </w:t>
      </w:r>
      <w:r w:rsidR="002C7093" w:rsidRPr="00127928">
        <w:rPr>
          <w:szCs w:val="18"/>
          <w:lang w:val="en-GB"/>
        </w:rPr>
        <w:t>T</w:t>
      </w:r>
      <w:r w:rsidRPr="00127928">
        <w:rPr>
          <w:szCs w:val="18"/>
          <w:lang w:val="en-GB"/>
        </w:rPr>
        <w:t xml:space="preserve">able </w:t>
      </w:r>
      <w:r w:rsidR="002C7093" w:rsidRPr="00127928">
        <w:rPr>
          <w:szCs w:val="18"/>
          <w:lang w:val="en-GB"/>
        </w:rPr>
        <w:t>4</w:t>
      </w:r>
      <w:r w:rsidRPr="00127928">
        <w:rPr>
          <w:szCs w:val="18"/>
          <w:lang w:val="en-GB"/>
        </w:rPr>
        <w:t xml:space="preserve">) observing values less than 0.05 in the soil and water medium for 7 and 14 days, demonstrating the significant differences in biodegradability, for 21 and 28 days there is no significant difference, this is </w:t>
      </w:r>
      <w:r w:rsidR="005177A6" w:rsidRPr="00127928">
        <w:rPr>
          <w:szCs w:val="18"/>
          <w:lang w:val="en-GB"/>
        </w:rPr>
        <w:t>because</w:t>
      </w:r>
      <w:r w:rsidRPr="00127928">
        <w:rPr>
          <w:szCs w:val="18"/>
          <w:lang w:val="en-GB"/>
        </w:rPr>
        <w:t xml:space="preserve"> at these times the % approaches 100% biodegradability. In the interperiee the samples do not have significant differences, with these results the test of homogeneity of variances (Levene's statistic) was subsequently applied, finding similar results, therefore the hypothesis that the bioplastic obtained from citrus peel pectin is accepted and apple </w:t>
      </w:r>
      <w:r w:rsidR="003F5C72" w:rsidRPr="00127928">
        <w:rPr>
          <w:szCs w:val="18"/>
          <w:lang w:val="en-GB"/>
        </w:rPr>
        <w:t>biodegrades</w:t>
      </w:r>
      <w:r w:rsidRPr="00127928">
        <w:rPr>
          <w:szCs w:val="18"/>
          <w:lang w:val="en-GB"/>
        </w:rPr>
        <w:t xml:space="preserve"> with a percentage greater than 50.</w:t>
      </w:r>
    </w:p>
    <w:p w14:paraId="350BCEDC" w14:textId="3AE34AE4" w:rsidR="00B62988" w:rsidRDefault="006955DA" w:rsidP="00B62988">
      <w:pPr>
        <w:pStyle w:val="CETTabletitle"/>
      </w:pPr>
      <w:r w:rsidRPr="00502D1F">
        <w:t xml:space="preserve">Table 4: </w:t>
      </w:r>
      <w:r w:rsidR="006A1295" w:rsidRPr="00502D1F">
        <w:t>ANOVA test for biodegradability</w:t>
      </w:r>
    </w:p>
    <w:tbl>
      <w:tblPr>
        <w:tblStyle w:val="TabeladeGradeClara"/>
        <w:tblpPr w:leftFromText="141" w:rightFromText="141" w:vertAnchor="text" w:horzAnchor="margin" w:tblpY="12"/>
        <w:tblW w:w="7541" w:type="dxa"/>
        <w:tblBorders>
          <w:top w:val="single" w:sz="12" w:space="0" w:color="009900"/>
          <w:left w:val="none" w:sz="0" w:space="0" w:color="auto"/>
          <w:bottom w:val="single" w:sz="12" w:space="0" w:color="009900"/>
          <w:right w:val="none" w:sz="0" w:space="0" w:color="auto"/>
          <w:insideH w:val="single" w:sz="6" w:space="0" w:color="009900"/>
          <w:insideV w:val="single" w:sz="6" w:space="0" w:color="009900"/>
        </w:tblBorders>
        <w:tblLook w:val="04A0" w:firstRow="1" w:lastRow="0" w:firstColumn="1" w:lastColumn="0" w:noHBand="0" w:noVBand="1"/>
      </w:tblPr>
      <w:tblGrid>
        <w:gridCol w:w="2835"/>
        <w:gridCol w:w="667"/>
        <w:gridCol w:w="575"/>
        <w:gridCol w:w="595"/>
        <w:gridCol w:w="575"/>
        <w:gridCol w:w="581"/>
        <w:gridCol w:w="571"/>
        <w:gridCol w:w="571"/>
        <w:gridCol w:w="571"/>
      </w:tblGrid>
      <w:tr w:rsidR="00B62988" w:rsidRPr="00127928" w14:paraId="35F6B54A" w14:textId="77777777" w:rsidTr="00A125AB">
        <w:trPr>
          <w:trHeight w:val="20"/>
        </w:trPr>
        <w:tc>
          <w:tcPr>
            <w:tcW w:w="2835" w:type="dxa"/>
            <w:vMerge w:val="restart"/>
            <w:tcBorders>
              <w:top w:val="single" w:sz="12" w:space="0" w:color="009900"/>
              <w:right w:val="nil"/>
            </w:tcBorders>
            <w:vAlign w:val="center"/>
          </w:tcPr>
          <w:p w14:paraId="33467E30" w14:textId="77777777" w:rsidR="00B62988" w:rsidRPr="00127928" w:rsidRDefault="00B62988" w:rsidP="00A125AB">
            <w:pPr>
              <w:spacing w:line="240" w:lineRule="auto"/>
              <w:jc w:val="center"/>
              <w:rPr>
                <w:rFonts w:cs="Arial"/>
                <w:color w:val="000000"/>
                <w:szCs w:val="18"/>
                <w:lang w:eastAsia="es-PE"/>
              </w:rPr>
            </w:pPr>
            <w:r w:rsidRPr="00127928">
              <w:rPr>
                <w:rFonts w:cs="Arial"/>
                <w:color w:val="000000"/>
                <w:szCs w:val="18"/>
                <w:lang w:eastAsia="es-PE"/>
              </w:rPr>
              <w:t>Biodegradability</w:t>
            </w:r>
          </w:p>
        </w:tc>
        <w:tc>
          <w:tcPr>
            <w:tcW w:w="4706" w:type="dxa"/>
            <w:gridSpan w:val="8"/>
            <w:tcBorders>
              <w:top w:val="single" w:sz="12" w:space="0" w:color="009900"/>
              <w:left w:val="nil"/>
              <w:bottom w:val="single" w:sz="6" w:space="0" w:color="009900"/>
            </w:tcBorders>
            <w:vAlign w:val="center"/>
          </w:tcPr>
          <w:p w14:paraId="3263B3D5"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Day</w:t>
            </w:r>
          </w:p>
        </w:tc>
      </w:tr>
      <w:tr w:rsidR="00B62988" w:rsidRPr="00127928" w14:paraId="1124CA74" w14:textId="77777777" w:rsidTr="00A125AB">
        <w:trPr>
          <w:trHeight w:val="20"/>
        </w:trPr>
        <w:tc>
          <w:tcPr>
            <w:tcW w:w="2835" w:type="dxa"/>
            <w:vMerge/>
            <w:tcBorders>
              <w:right w:val="nil"/>
            </w:tcBorders>
            <w:vAlign w:val="center"/>
            <w:hideMark/>
          </w:tcPr>
          <w:p w14:paraId="5495B997" w14:textId="77777777" w:rsidR="00B62988" w:rsidRPr="00127928" w:rsidRDefault="00B62988" w:rsidP="00A125AB">
            <w:pPr>
              <w:tabs>
                <w:tab w:val="clear" w:pos="7100"/>
              </w:tabs>
              <w:spacing w:line="240" w:lineRule="auto"/>
              <w:jc w:val="center"/>
              <w:rPr>
                <w:rFonts w:cs="Arial"/>
                <w:color w:val="000000"/>
                <w:szCs w:val="18"/>
                <w:lang w:eastAsia="es-PE"/>
              </w:rPr>
            </w:pPr>
          </w:p>
        </w:tc>
        <w:tc>
          <w:tcPr>
            <w:tcW w:w="1191" w:type="dxa"/>
            <w:gridSpan w:val="2"/>
            <w:tcBorders>
              <w:top w:val="single" w:sz="12" w:space="0" w:color="009900"/>
              <w:left w:val="nil"/>
              <w:bottom w:val="single" w:sz="6" w:space="0" w:color="009900"/>
              <w:right w:val="nil"/>
            </w:tcBorders>
            <w:vAlign w:val="center"/>
            <w:hideMark/>
          </w:tcPr>
          <w:p w14:paraId="0EFDAA4E"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 xml:space="preserve">7 </w:t>
            </w:r>
          </w:p>
        </w:tc>
        <w:tc>
          <w:tcPr>
            <w:tcW w:w="1191" w:type="dxa"/>
            <w:gridSpan w:val="2"/>
            <w:tcBorders>
              <w:top w:val="single" w:sz="12" w:space="0" w:color="009900"/>
              <w:left w:val="nil"/>
              <w:bottom w:val="single" w:sz="6" w:space="0" w:color="009900"/>
              <w:right w:val="nil"/>
            </w:tcBorders>
            <w:vAlign w:val="center"/>
            <w:hideMark/>
          </w:tcPr>
          <w:p w14:paraId="347B1AA6"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 xml:space="preserve">14 </w:t>
            </w:r>
          </w:p>
        </w:tc>
        <w:tc>
          <w:tcPr>
            <w:tcW w:w="1162" w:type="dxa"/>
            <w:gridSpan w:val="2"/>
            <w:tcBorders>
              <w:top w:val="single" w:sz="12" w:space="0" w:color="009900"/>
              <w:left w:val="nil"/>
              <w:bottom w:val="single" w:sz="6" w:space="0" w:color="009900"/>
              <w:right w:val="nil"/>
            </w:tcBorders>
            <w:vAlign w:val="center"/>
            <w:hideMark/>
          </w:tcPr>
          <w:p w14:paraId="71BA2180"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 xml:space="preserve">21 </w:t>
            </w:r>
          </w:p>
        </w:tc>
        <w:tc>
          <w:tcPr>
            <w:tcW w:w="1162" w:type="dxa"/>
            <w:gridSpan w:val="2"/>
            <w:tcBorders>
              <w:top w:val="single" w:sz="12" w:space="0" w:color="009900"/>
              <w:left w:val="nil"/>
              <w:bottom w:val="single" w:sz="12" w:space="0" w:color="009900"/>
            </w:tcBorders>
            <w:vAlign w:val="center"/>
          </w:tcPr>
          <w:p w14:paraId="0CA42B7B"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 xml:space="preserve">28 </w:t>
            </w:r>
          </w:p>
        </w:tc>
      </w:tr>
      <w:tr w:rsidR="00B62988" w:rsidRPr="00127928" w14:paraId="4793DC9E" w14:textId="77777777" w:rsidTr="00A125AB">
        <w:trPr>
          <w:trHeight w:val="20"/>
        </w:trPr>
        <w:tc>
          <w:tcPr>
            <w:tcW w:w="2835" w:type="dxa"/>
            <w:vMerge/>
            <w:tcBorders>
              <w:bottom w:val="single" w:sz="6" w:space="0" w:color="009900"/>
              <w:right w:val="nil"/>
            </w:tcBorders>
            <w:vAlign w:val="center"/>
          </w:tcPr>
          <w:p w14:paraId="4B778388" w14:textId="77777777" w:rsidR="00B62988" w:rsidRPr="00127928" w:rsidRDefault="00B62988" w:rsidP="00A125AB">
            <w:pPr>
              <w:tabs>
                <w:tab w:val="clear" w:pos="7100"/>
              </w:tabs>
              <w:spacing w:line="240" w:lineRule="auto"/>
              <w:jc w:val="center"/>
              <w:rPr>
                <w:rFonts w:cs="Arial"/>
                <w:color w:val="000000"/>
                <w:szCs w:val="18"/>
                <w:lang w:eastAsia="es-PE"/>
              </w:rPr>
            </w:pPr>
          </w:p>
        </w:tc>
        <w:tc>
          <w:tcPr>
            <w:tcW w:w="595" w:type="dxa"/>
            <w:tcBorders>
              <w:top w:val="single" w:sz="12" w:space="0" w:color="009900"/>
              <w:left w:val="nil"/>
              <w:bottom w:val="single" w:sz="6" w:space="0" w:color="009900"/>
              <w:right w:val="nil"/>
            </w:tcBorders>
            <w:vAlign w:val="center"/>
          </w:tcPr>
          <w:p w14:paraId="42FDC582"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F</w:t>
            </w:r>
          </w:p>
        </w:tc>
        <w:tc>
          <w:tcPr>
            <w:tcW w:w="596" w:type="dxa"/>
            <w:tcBorders>
              <w:top w:val="single" w:sz="12" w:space="0" w:color="009900"/>
              <w:left w:val="nil"/>
              <w:bottom w:val="single" w:sz="6" w:space="0" w:color="009900"/>
              <w:right w:val="nil"/>
            </w:tcBorders>
            <w:vAlign w:val="center"/>
          </w:tcPr>
          <w:p w14:paraId="1C8EE28C"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Sig</w:t>
            </w:r>
          </w:p>
        </w:tc>
        <w:tc>
          <w:tcPr>
            <w:tcW w:w="595" w:type="dxa"/>
            <w:tcBorders>
              <w:top w:val="single" w:sz="12" w:space="0" w:color="009900"/>
              <w:left w:val="nil"/>
              <w:bottom w:val="single" w:sz="6" w:space="0" w:color="009900"/>
              <w:right w:val="nil"/>
            </w:tcBorders>
            <w:vAlign w:val="center"/>
          </w:tcPr>
          <w:p w14:paraId="3095D1ED"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F</w:t>
            </w:r>
          </w:p>
        </w:tc>
        <w:tc>
          <w:tcPr>
            <w:tcW w:w="596" w:type="dxa"/>
            <w:tcBorders>
              <w:top w:val="single" w:sz="12" w:space="0" w:color="009900"/>
              <w:left w:val="nil"/>
              <w:bottom w:val="single" w:sz="6" w:space="0" w:color="009900"/>
              <w:right w:val="nil"/>
            </w:tcBorders>
            <w:vAlign w:val="center"/>
          </w:tcPr>
          <w:p w14:paraId="7EA34C5B"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Sig</w:t>
            </w:r>
          </w:p>
        </w:tc>
        <w:tc>
          <w:tcPr>
            <w:tcW w:w="581" w:type="dxa"/>
            <w:tcBorders>
              <w:top w:val="single" w:sz="12" w:space="0" w:color="009900"/>
              <w:left w:val="nil"/>
              <w:bottom w:val="single" w:sz="6" w:space="0" w:color="009900"/>
              <w:right w:val="nil"/>
            </w:tcBorders>
            <w:vAlign w:val="center"/>
          </w:tcPr>
          <w:p w14:paraId="59B54867"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F</w:t>
            </w:r>
          </w:p>
        </w:tc>
        <w:tc>
          <w:tcPr>
            <w:tcW w:w="581" w:type="dxa"/>
            <w:tcBorders>
              <w:top w:val="single" w:sz="12" w:space="0" w:color="009900"/>
              <w:left w:val="nil"/>
              <w:bottom w:val="single" w:sz="6" w:space="0" w:color="009900"/>
              <w:right w:val="nil"/>
            </w:tcBorders>
            <w:vAlign w:val="center"/>
          </w:tcPr>
          <w:p w14:paraId="1AA76F50"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Sig</w:t>
            </w:r>
          </w:p>
        </w:tc>
        <w:tc>
          <w:tcPr>
            <w:tcW w:w="581" w:type="dxa"/>
            <w:tcBorders>
              <w:top w:val="single" w:sz="12" w:space="0" w:color="009900"/>
              <w:left w:val="nil"/>
              <w:bottom w:val="single" w:sz="6" w:space="0" w:color="009900"/>
              <w:right w:val="nil"/>
            </w:tcBorders>
            <w:vAlign w:val="center"/>
          </w:tcPr>
          <w:p w14:paraId="24660603"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F</w:t>
            </w:r>
          </w:p>
        </w:tc>
        <w:tc>
          <w:tcPr>
            <w:tcW w:w="581" w:type="dxa"/>
            <w:tcBorders>
              <w:top w:val="single" w:sz="12" w:space="0" w:color="009900"/>
              <w:left w:val="nil"/>
              <w:bottom w:val="single" w:sz="6" w:space="0" w:color="009900"/>
            </w:tcBorders>
            <w:vAlign w:val="center"/>
          </w:tcPr>
          <w:p w14:paraId="79017289"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Sig</w:t>
            </w:r>
          </w:p>
        </w:tc>
      </w:tr>
      <w:tr w:rsidR="00B62988" w:rsidRPr="00127928" w14:paraId="7566672A" w14:textId="77777777" w:rsidTr="00A125AB">
        <w:trPr>
          <w:trHeight w:val="127"/>
        </w:trPr>
        <w:tc>
          <w:tcPr>
            <w:tcW w:w="2835" w:type="dxa"/>
            <w:tcBorders>
              <w:top w:val="single" w:sz="6" w:space="0" w:color="009900"/>
              <w:bottom w:val="nil"/>
              <w:right w:val="nil"/>
            </w:tcBorders>
            <w:noWrap/>
            <w:vAlign w:val="center"/>
            <w:hideMark/>
          </w:tcPr>
          <w:p w14:paraId="0E837424" w14:textId="77777777" w:rsidR="00B62988" w:rsidRPr="00127928" w:rsidRDefault="00B62988" w:rsidP="00A125AB">
            <w:pPr>
              <w:tabs>
                <w:tab w:val="clear" w:pos="7100"/>
              </w:tabs>
              <w:spacing w:line="240" w:lineRule="auto"/>
              <w:jc w:val="left"/>
              <w:rPr>
                <w:rFonts w:cs="Arial"/>
                <w:color w:val="000000"/>
                <w:szCs w:val="18"/>
                <w:lang w:eastAsia="es-PE"/>
              </w:rPr>
            </w:pPr>
            <w:r w:rsidRPr="00127928">
              <w:rPr>
                <w:rFonts w:cs="Arial"/>
                <w:color w:val="000000"/>
                <w:szCs w:val="18"/>
                <w:lang w:eastAsia="es-PE"/>
              </w:rPr>
              <w:t>% biodegradability in soil</w:t>
            </w:r>
          </w:p>
        </w:tc>
        <w:tc>
          <w:tcPr>
            <w:tcW w:w="595" w:type="dxa"/>
            <w:tcBorders>
              <w:top w:val="single" w:sz="6" w:space="0" w:color="009900"/>
              <w:left w:val="nil"/>
              <w:bottom w:val="nil"/>
              <w:right w:val="nil"/>
            </w:tcBorders>
            <w:noWrap/>
            <w:vAlign w:val="center"/>
          </w:tcPr>
          <w:p w14:paraId="640B3B47"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37.7</w:t>
            </w:r>
          </w:p>
        </w:tc>
        <w:tc>
          <w:tcPr>
            <w:tcW w:w="596" w:type="dxa"/>
            <w:tcBorders>
              <w:top w:val="single" w:sz="6" w:space="0" w:color="009900"/>
              <w:left w:val="nil"/>
              <w:bottom w:val="nil"/>
              <w:right w:val="nil"/>
            </w:tcBorders>
            <w:vAlign w:val="center"/>
          </w:tcPr>
          <w:p w14:paraId="1DEE0775"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.000</w:t>
            </w:r>
          </w:p>
        </w:tc>
        <w:tc>
          <w:tcPr>
            <w:tcW w:w="595" w:type="dxa"/>
            <w:tcBorders>
              <w:top w:val="single" w:sz="6" w:space="0" w:color="009900"/>
              <w:left w:val="nil"/>
              <w:bottom w:val="nil"/>
              <w:right w:val="nil"/>
            </w:tcBorders>
            <w:noWrap/>
            <w:vAlign w:val="center"/>
          </w:tcPr>
          <w:p w14:paraId="4FA0E639"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28.6</w:t>
            </w:r>
          </w:p>
        </w:tc>
        <w:tc>
          <w:tcPr>
            <w:tcW w:w="596" w:type="dxa"/>
            <w:tcBorders>
              <w:top w:val="single" w:sz="6" w:space="0" w:color="009900"/>
              <w:left w:val="nil"/>
              <w:bottom w:val="nil"/>
              <w:right w:val="nil"/>
            </w:tcBorders>
            <w:vAlign w:val="center"/>
          </w:tcPr>
          <w:p w14:paraId="6AAD06ED"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.001</w:t>
            </w:r>
          </w:p>
        </w:tc>
        <w:tc>
          <w:tcPr>
            <w:tcW w:w="581" w:type="dxa"/>
            <w:tcBorders>
              <w:top w:val="single" w:sz="6" w:space="0" w:color="009900"/>
              <w:left w:val="nil"/>
              <w:bottom w:val="nil"/>
              <w:right w:val="nil"/>
            </w:tcBorders>
            <w:noWrap/>
            <w:vAlign w:val="center"/>
          </w:tcPr>
          <w:p w14:paraId="0AEF935C"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2.7</w:t>
            </w:r>
          </w:p>
        </w:tc>
        <w:tc>
          <w:tcPr>
            <w:tcW w:w="581" w:type="dxa"/>
            <w:tcBorders>
              <w:top w:val="single" w:sz="6" w:space="0" w:color="009900"/>
              <w:left w:val="nil"/>
              <w:bottom w:val="nil"/>
              <w:right w:val="nil"/>
            </w:tcBorders>
            <w:vAlign w:val="center"/>
          </w:tcPr>
          <w:p w14:paraId="23F4DB0F"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.143</w:t>
            </w:r>
          </w:p>
        </w:tc>
        <w:tc>
          <w:tcPr>
            <w:tcW w:w="581" w:type="dxa"/>
            <w:tcBorders>
              <w:top w:val="single" w:sz="6" w:space="0" w:color="009900"/>
              <w:left w:val="nil"/>
              <w:bottom w:val="nil"/>
              <w:right w:val="nil"/>
            </w:tcBorders>
            <w:vAlign w:val="center"/>
          </w:tcPr>
          <w:p w14:paraId="03848F7E"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.563</w:t>
            </w:r>
          </w:p>
        </w:tc>
        <w:tc>
          <w:tcPr>
            <w:tcW w:w="581" w:type="dxa"/>
            <w:tcBorders>
              <w:top w:val="single" w:sz="6" w:space="0" w:color="009900"/>
              <w:left w:val="nil"/>
              <w:bottom w:val="nil"/>
            </w:tcBorders>
            <w:vAlign w:val="center"/>
          </w:tcPr>
          <w:p w14:paraId="0F817B5D"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.597</w:t>
            </w:r>
          </w:p>
        </w:tc>
      </w:tr>
      <w:tr w:rsidR="00B62988" w:rsidRPr="00127928" w14:paraId="7EAE616D" w14:textId="77777777" w:rsidTr="00A125AB">
        <w:trPr>
          <w:trHeight w:val="146"/>
        </w:trPr>
        <w:tc>
          <w:tcPr>
            <w:tcW w:w="2835" w:type="dxa"/>
            <w:tcBorders>
              <w:top w:val="nil"/>
              <w:bottom w:val="nil"/>
              <w:right w:val="nil"/>
            </w:tcBorders>
            <w:noWrap/>
            <w:vAlign w:val="center"/>
            <w:hideMark/>
          </w:tcPr>
          <w:p w14:paraId="7490A1ED" w14:textId="77777777" w:rsidR="00B62988" w:rsidRPr="00127928" w:rsidRDefault="00B62988" w:rsidP="00A125AB">
            <w:pPr>
              <w:tabs>
                <w:tab w:val="clear" w:pos="7100"/>
              </w:tabs>
              <w:spacing w:line="240" w:lineRule="auto"/>
              <w:jc w:val="left"/>
              <w:rPr>
                <w:rFonts w:cs="Arial"/>
                <w:color w:val="000000"/>
                <w:szCs w:val="18"/>
                <w:lang w:eastAsia="es-PE"/>
              </w:rPr>
            </w:pPr>
            <w:r w:rsidRPr="00127928">
              <w:rPr>
                <w:rFonts w:cs="Arial"/>
                <w:color w:val="000000"/>
                <w:szCs w:val="18"/>
                <w:lang w:eastAsia="es-PE"/>
              </w:rPr>
              <w:t>% biodegradability in water</w:t>
            </w:r>
          </w:p>
        </w:tc>
        <w:tc>
          <w:tcPr>
            <w:tcW w:w="595" w:type="dxa"/>
            <w:tcBorders>
              <w:top w:val="nil"/>
              <w:left w:val="nil"/>
              <w:bottom w:val="nil"/>
              <w:right w:val="nil"/>
            </w:tcBorders>
            <w:noWrap/>
            <w:vAlign w:val="center"/>
          </w:tcPr>
          <w:p w14:paraId="6BA1020C"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294.7</w:t>
            </w:r>
          </w:p>
        </w:tc>
        <w:tc>
          <w:tcPr>
            <w:tcW w:w="596" w:type="dxa"/>
            <w:tcBorders>
              <w:top w:val="nil"/>
              <w:left w:val="nil"/>
              <w:bottom w:val="nil"/>
              <w:right w:val="nil"/>
            </w:tcBorders>
            <w:vAlign w:val="center"/>
          </w:tcPr>
          <w:p w14:paraId="1AD8776E"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.000</w:t>
            </w:r>
          </w:p>
        </w:tc>
        <w:tc>
          <w:tcPr>
            <w:tcW w:w="595" w:type="dxa"/>
            <w:tcBorders>
              <w:top w:val="nil"/>
              <w:left w:val="nil"/>
              <w:bottom w:val="nil"/>
              <w:right w:val="nil"/>
            </w:tcBorders>
            <w:noWrap/>
            <w:vAlign w:val="center"/>
          </w:tcPr>
          <w:p w14:paraId="7D6A6E2E"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7.7</w:t>
            </w:r>
          </w:p>
        </w:tc>
        <w:tc>
          <w:tcPr>
            <w:tcW w:w="596" w:type="dxa"/>
            <w:tcBorders>
              <w:top w:val="nil"/>
              <w:left w:val="nil"/>
              <w:bottom w:val="nil"/>
              <w:right w:val="nil"/>
            </w:tcBorders>
            <w:vAlign w:val="center"/>
          </w:tcPr>
          <w:p w14:paraId="7711D5E4"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.043</w:t>
            </w:r>
          </w:p>
        </w:tc>
        <w:tc>
          <w:tcPr>
            <w:tcW w:w="581" w:type="dxa"/>
            <w:tcBorders>
              <w:top w:val="nil"/>
              <w:left w:val="nil"/>
              <w:bottom w:val="nil"/>
              <w:right w:val="nil"/>
            </w:tcBorders>
            <w:noWrap/>
            <w:vAlign w:val="center"/>
          </w:tcPr>
          <w:p w14:paraId="02477D59"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28.5</w:t>
            </w:r>
          </w:p>
        </w:tc>
        <w:tc>
          <w:tcPr>
            <w:tcW w:w="581" w:type="dxa"/>
            <w:tcBorders>
              <w:top w:val="nil"/>
              <w:left w:val="nil"/>
              <w:bottom w:val="nil"/>
              <w:right w:val="nil"/>
            </w:tcBorders>
            <w:vAlign w:val="center"/>
          </w:tcPr>
          <w:p w14:paraId="0BA07A01"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.001</w:t>
            </w:r>
          </w:p>
        </w:tc>
        <w:tc>
          <w:tcPr>
            <w:tcW w:w="581" w:type="dxa"/>
            <w:tcBorders>
              <w:top w:val="nil"/>
              <w:left w:val="nil"/>
              <w:bottom w:val="nil"/>
              <w:right w:val="nil"/>
            </w:tcBorders>
            <w:vAlign w:val="center"/>
          </w:tcPr>
          <w:p w14:paraId="26753476"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w:t>
            </w:r>
          </w:p>
        </w:tc>
        <w:tc>
          <w:tcPr>
            <w:tcW w:w="581" w:type="dxa"/>
            <w:tcBorders>
              <w:top w:val="nil"/>
              <w:left w:val="nil"/>
              <w:bottom w:val="nil"/>
            </w:tcBorders>
            <w:vAlign w:val="center"/>
          </w:tcPr>
          <w:p w14:paraId="796A50E5"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w:t>
            </w:r>
          </w:p>
        </w:tc>
      </w:tr>
      <w:tr w:rsidR="00B62988" w:rsidRPr="00127928" w14:paraId="65A16E1C" w14:textId="77777777" w:rsidTr="00A125AB">
        <w:trPr>
          <w:trHeight w:val="20"/>
        </w:trPr>
        <w:tc>
          <w:tcPr>
            <w:tcW w:w="2835" w:type="dxa"/>
            <w:tcBorders>
              <w:top w:val="nil"/>
              <w:bottom w:val="single" w:sz="12" w:space="0" w:color="009900"/>
              <w:right w:val="nil"/>
            </w:tcBorders>
            <w:noWrap/>
            <w:vAlign w:val="center"/>
            <w:hideMark/>
          </w:tcPr>
          <w:p w14:paraId="02DCA157" w14:textId="77777777" w:rsidR="00B62988" w:rsidRPr="00127928" w:rsidRDefault="00B62988" w:rsidP="00A125AB">
            <w:pPr>
              <w:tabs>
                <w:tab w:val="clear" w:pos="7100"/>
              </w:tabs>
              <w:spacing w:line="240" w:lineRule="auto"/>
              <w:jc w:val="left"/>
              <w:rPr>
                <w:rFonts w:cs="Arial"/>
                <w:color w:val="000000"/>
                <w:szCs w:val="18"/>
                <w:lang w:eastAsia="es-PE"/>
              </w:rPr>
            </w:pPr>
            <w:r w:rsidRPr="00127928">
              <w:rPr>
                <w:rFonts w:cs="Arial"/>
                <w:color w:val="000000"/>
                <w:szCs w:val="18"/>
                <w:lang w:eastAsia="es-PE"/>
              </w:rPr>
              <w:t>% biodegradability outdoors</w:t>
            </w:r>
          </w:p>
        </w:tc>
        <w:tc>
          <w:tcPr>
            <w:tcW w:w="595" w:type="dxa"/>
            <w:tcBorders>
              <w:top w:val="nil"/>
              <w:left w:val="nil"/>
              <w:bottom w:val="single" w:sz="12" w:space="0" w:color="009900"/>
              <w:right w:val="nil"/>
            </w:tcBorders>
            <w:noWrap/>
            <w:vAlign w:val="center"/>
          </w:tcPr>
          <w:p w14:paraId="65263B21"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5.8</w:t>
            </w:r>
          </w:p>
        </w:tc>
        <w:tc>
          <w:tcPr>
            <w:tcW w:w="596" w:type="dxa"/>
            <w:tcBorders>
              <w:top w:val="nil"/>
              <w:left w:val="nil"/>
              <w:bottom w:val="single" w:sz="12" w:space="0" w:color="009900"/>
              <w:right w:val="nil"/>
            </w:tcBorders>
            <w:vAlign w:val="center"/>
          </w:tcPr>
          <w:p w14:paraId="06B7477F"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.390</w:t>
            </w:r>
          </w:p>
        </w:tc>
        <w:tc>
          <w:tcPr>
            <w:tcW w:w="595" w:type="dxa"/>
            <w:tcBorders>
              <w:top w:val="nil"/>
              <w:left w:val="nil"/>
              <w:bottom w:val="single" w:sz="12" w:space="0" w:color="009900"/>
              <w:right w:val="nil"/>
            </w:tcBorders>
            <w:noWrap/>
            <w:vAlign w:val="center"/>
          </w:tcPr>
          <w:p w14:paraId="403E89D6"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3.6</w:t>
            </w:r>
          </w:p>
        </w:tc>
        <w:tc>
          <w:tcPr>
            <w:tcW w:w="596" w:type="dxa"/>
            <w:tcBorders>
              <w:top w:val="nil"/>
              <w:left w:val="nil"/>
              <w:bottom w:val="single" w:sz="12" w:space="0" w:color="009900"/>
              <w:right w:val="nil"/>
            </w:tcBorders>
            <w:vAlign w:val="center"/>
          </w:tcPr>
          <w:p w14:paraId="3A3AA126"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.095</w:t>
            </w:r>
          </w:p>
        </w:tc>
        <w:tc>
          <w:tcPr>
            <w:tcW w:w="581" w:type="dxa"/>
            <w:tcBorders>
              <w:top w:val="nil"/>
              <w:left w:val="nil"/>
              <w:bottom w:val="single" w:sz="12" w:space="0" w:color="009900"/>
              <w:right w:val="nil"/>
            </w:tcBorders>
            <w:noWrap/>
            <w:vAlign w:val="center"/>
          </w:tcPr>
          <w:p w14:paraId="7644F070"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.240</w:t>
            </w:r>
          </w:p>
        </w:tc>
        <w:tc>
          <w:tcPr>
            <w:tcW w:w="581" w:type="dxa"/>
            <w:tcBorders>
              <w:top w:val="nil"/>
              <w:left w:val="nil"/>
              <w:bottom w:val="single" w:sz="12" w:space="0" w:color="009900"/>
              <w:right w:val="nil"/>
            </w:tcBorders>
            <w:vAlign w:val="center"/>
          </w:tcPr>
          <w:p w14:paraId="4DC8FD63"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.794</w:t>
            </w:r>
          </w:p>
        </w:tc>
        <w:tc>
          <w:tcPr>
            <w:tcW w:w="581" w:type="dxa"/>
            <w:tcBorders>
              <w:top w:val="nil"/>
              <w:left w:val="nil"/>
              <w:bottom w:val="single" w:sz="12" w:space="0" w:color="009900"/>
              <w:right w:val="nil"/>
            </w:tcBorders>
            <w:vAlign w:val="center"/>
          </w:tcPr>
          <w:p w14:paraId="32AD8CD1"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.372</w:t>
            </w:r>
          </w:p>
        </w:tc>
        <w:tc>
          <w:tcPr>
            <w:tcW w:w="581" w:type="dxa"/>
            <w:tcBorders>
              <w:top w:val="nil"/>
              <w:left w:val="nil"/>
              <w:bottom w:val="single" w:sz="12" w:space="0" w:color="009900"/>
            </w:tcBorders>
            <w:vAlign w:val="center"/>
          </w:tcPr>
          <w:p w14:paraId="46FFFD33" w14:textId="77777777" w:rsidR="00B62988" w:rsidRPr="00127928" w:rsidRDefault="00B62988" w:rsidP="00A125AB">
            <w:pPr>
              <w:tabs>
                <w:tab w:val="clear" w:pos="7100"/>
              </w:tabs>
              <w:spacing w:line="240" w:lineRule="auto"/>
              <w:jc w:val="center"/>
              <w:rPr>
                <w:rFonts w:cs="Arial"/>
                <w:color w:val="000000"/>
                <w:szCs w:val="18"/>
                <w:lang w:eastAsia="es-PE"/>
              </w:rPr>
            </w:pPr>
            <w:r w:rsidRPr="00127928">
              <w:rPr>
                <w:rFonts w:cs="Arial"/>
                <w:color w:val="000000"/>
                <w:szCs w:val="18"/>
                <w:lang w:eastAsia="es-PE"/>
              </w:rPr>
              <w:t>.704</w:t>
            </w:r>
          </w:p>
        </w:tc>
      </w:tr>
    </w:tbl>
    <w:p w14:paraId="3CBCD50F" w14:textId="77777777" w:rsidR="00B62988" w:rsidRDefault="00B62988" w:rsidP="00B62988">
      <w:pPr>
        <w:pStyle w:val="CETTabletitle"/>
      </w:pPr>
    </w:p>
    <w:p w14:paraId="04C255D8" w14:textId="77777777" w:rsidR="00B62988" w:rsidRDefault="00B62988" w:rsidP="00B279B6">
      <w:pPr>
        <w:pStyle w:val="CETHeading1"/>
        <w:numPr>
          <w:ilvl w:val="0"/>
          <w:numId w:val="0"/>
        </w:numPr>
        <w:rPr>
          <w:lang w:val="en-GB"/>
        </w:rPr>
      </w:pPr>
    </w:p>
    <w:p w14:paraId="48FF1B85" w14:textId="77777777" w:rsidR="00B62988" w:rsidRDefault="00B62988" w:rsidP="00B279B6">
      <w:pPr>
        <w:pStyle w:val="CETHeading1"/>
        <w:numPr>
          <w:ilvl w:val="0"/>
          <w:numId w:val="0"/>
        </w:numPr>
        <w:rPr>
          <w:lang w:val="en-GB"/>
        </w:rPr>
      </w:pPr>
    </w:p>
    <w:p w14:paraId="19EBE52D" w14:textId="2E63E2C3" w:rsidR="00F32242" w:rsidRPr="00502D1F" w:rsidRDefault="00B279B6" w:rsidP="00B279B6">
      <w:pPr>
        <w:pStyle w:val="CETHeading1"/>
        <w:numPr>
          <w:ilvl w:val="0"/>
          <w:numId w:val="0"/>
        </w:numPr>
        <w:rPr>
          <w:lang w:val="en-GB"/>
        </w:rPr>
      </w:pPr>
      <w:r w:rsidRPr="00502D1F">
        <w:rPr>
          <w:lang w:val="en-GB"/>
        </w:rPr>
        <w:t>4.</w:t>
      </w:r>
      <w:r w:rsidR="009C0815" w:rsidRPr="00502D1F">
        <w:rPr>
          <w:lang w:val="en-GB"/>
        </w:rPr>
        <w:t xml:space="preserve"> </w:t>
      </w:r>
      <w:r w:rsidR="00600535" w:rsidRPr="00502D1F">
        <w:rPr>
          <w:lang w:val="en-GB"/>
        </w:rPr>
        <w:t>Conclusions</w:t>
      </w:r>
    </w:p>
    <w:p w14:paraId="1FA53474" w14:textId="1FED71F8" w:rsidR="00993B86" w:rsidRPr="00502D1F" w:rsidRDefault="004F7323" w:rsidP="000948B3">
      <w:pPr>
        <w:pStyle w:val="CETBodytext"/>
        <w:rPr>
          <w:lang w:val="en-GB"/>
        </w:rPr>
      </w:pPr>
      <w:r w:rsidRPr="00502D1F">
        <w:rPr>
          <w:lang w:val="en-GB"/>
        </w:rPr>
        <w:t>Citrus and apple peels could be used to manufacture biomaterials, from the pectin they contain, as long as the tests and studies are expanded. The bioplastic obtained presents mechanical physical characteristics similar to synthetic bioplastics such as water absorption in a range of 85.48% to 148.41%, elongation of 60% and 106.67%, tensile strength, 2,425 N/cm2 at 4.9525 N/cm2 and in general complies with the regulated percentage of biodegradability, even reaching 94% - 100% in a period of 21 to 28 days. Therefore, the production of bioplastics is a way to eliminate and recycle waste after its useful life or use of organic products, at the same time, it is a way to reduce the pressure of negative impacts on the environment.</w:t>
      </w:r>
    </w:p>
    <w:p w14:paraId="3D8B71D7" w14:textId="77777777" w:rsidR="00B62988" w:rsidRPr="00F11646" w:rsidRDefault="00B62988" w:rsidP="00B62988">
      <w:pPr>
        <w:pStyle w:val="CETAcknowledgementstitle"/>
        <w:rPr>
          <w:lang w:val="en-US"/>
        </w:rPr>
      </w:pPr>
      <w:r w:rsidRPr="00F11646">
        <w:rPr>
          <w:lang w:val="en-US"/>
        </w:rPr>
        <w:t>Acknowledgments</w:t>
      </w:r>
    </w:p>
    <w:p w14:paraId="299B22EB" w14:textId="77777777" w:rsidR="00B62988" w:rsidRPr="00F935FB" w:rsidRDefault="00B62988" w:rsidP="00B62988">
      <w:pPr>
        <w:pStyle w:val="CETBodytext"/>
      </w:pPr>
      <w:r w:rsidRPr="0048329B">
        <w:t>The authors would like to thank "Investiga UCV" of the Universidad César Vallejo for financial support for t</w:t>
      </w:r>
      <w:r>
        <w:t>he publication of this research</w:t>
      </w:r>
      <w:r w:rsidRPr="00F935FB">
        <w:t>.</w:t>
      </w:r>
    </w:p>
    <w:p w14:paraId="0790D965" w14:textId="337EDCD0" w:rsidR="00F32242" w:rsidRPr="00502D1F" w:rsidRDefault="00F32242" w:rsidP="008E425F">
      <w:pPr>
        <w:pStyle w:val="CETReference"/>
      </w:pPr>
      <w:r w:rsidRPr="00502D1F">
        <w:t>Referencias</w:t>
      </w:r>
    </w:p>
    <w:p w14:paraId="0DDAA7F3" w14:textId="77777777" w:rsidR="00E3485A" w:rsidRPr="00B62988" w:rsidRDefault="00E3485A" w:rsidP="008E195B">
      <w:pPr>
        <w:tabs>
          <w:tab w:val="left" w:pos="284"/>
        </w:tabs>
        <w:spacing w:line="240" w:lineRule="auto"/>
        <w:ind w:left="284" w:hanging="284"/>
        <w:rPr>
          <w:bCs/>
          <w:szCs w:val="18"/>
          <w:lang w:val="es-PE"/>
        </w:rPr>
      </w:pPr>
      <w:r w:rsidRPr="00502D1F">
        <w:rPr>
          <w:bCs/>
          <w:szCs w:val="18"/>
        </w:rPr>
        <w:t>Almirón J., Barrionuevo Y., Chávez B., Mamani J., Ortiz Y., Tupayachy D., 2021, Evaluation of the physical-chemical degradation of</w:t>
      </w:r>
      <w:r w:rsidRPr="00502D1F">
        <w:rPr>
          <w:rFonts w:eastAsia="Arial" w:cs="Arial"/>
          <w:szCs w:val="18"/>
        </w:rPr>
        <w:t xml:space="preserve"> </w:t>
      </w:r>
      <w:r w:rsidRPr="00502D1F">
        <w:rPr>
          <w:bCs/>
          <w:szCs w:val="18"/>
        </w:rPr>
        <w:t xml:space="preserve">biodegradable plastics sold in supermarkets. Prospective and trends in technology and skills for sustainable social development. </w:t>
      </w:r>
      <w:r w:rsidRPr="00B62988">
        <w:rPr>
          <w:bCs/>
          <w:szCs w:val="18"/>
          <w:lang w:val="es-PE"/>
        </w:rPr>
        <w:t>Leveraging emerging technologies to build the future, Actas de la 19ª Conferencia Internacional Múltiple de Ingeniería, Educación y Tecnología de LACCEI, (in Spanish).</w:t>
      </w:r>
    </w:p>
    <w:p w14:paraId="1869C0AA" w14:textId="77777777" w:rsidR="00E3485A" w:rsidRPr="00502D1F" w:rsidRDefault="00E3485A" w:rsidP="008E195B">
      <w:pPr>
        <w:pStyle w:val="PargrafodaLista"/>
        <w:tabs>
          <w:tab w:val="left" w:pos="284"/>
        </w:tabs>
        <w:spacing w:line="240" w:lineRule="auto"/>
        <w:ind w:left="284" w:hanging="284"/>
        <w:rPr>
          <w:bCs/>
          <w:szCs w:val="18"/>
        </w:rPr>
      </w:pPr>
      <w:r w:rsidRPr="00502D1F">
        <w:rPr>
          <w:bCs/>
          <w:szCs w:val="18"/>
        </w:rPr>
        <w:t>Arrieta A., Durango L., Arizal E., 2018, Study of absorbing properties of a biopolymer based on cassava starch (Manihot esculenta Crantz), Revista Espacios, 39(53), 15.</w:t>
      </w:r>
    </w:p>
    <w:p w14:paraId="2C10F3C1" w14:textId="77777777" w:rsidR="00E3485A" w:rsidRPr="00502D1F" w:rsidRDefault="00E3485A" w:rsidP="008E195B">
      <w:pPr>
        <w:tabs>
          <w:tab w:val="left" w:pos="284"/>
        </w:tabs>
        <w:spacing w:line="240" w:lineRule="auto"/>
        <w:ind w:left="284" w:hanging="284"/>
        <w:rPr>
          <w:bCs/>
          <w:szCs w:val="18"/>
        </w:rPr>
      </w:pPr>
      <w:r w:rsidRPr="00502D1F">
        <w:rPr>
          <w:bCs/>
          <w:szCs w:val="18"/>
        </w:rPr>
        <w:lastRenderedPageBreak/>
        <w:t xml:space="preserve">Babu R., Prieto P., Rene E., 2021, Strategies for resource recovery from the organic fraction of municipal solid waste. Case Studies, Chemical and Environmental Engineering, 3. </w:t>
      </w:r>
    </w:p>
    <w:p w14:paraId="2163FD38" w14:textId="77777777" w:rsidR="00E3485A" w:rsidRPr="00502D1F" w:rsidRDefault="00E3485A" w:rsidP="008E195B">
      <w:pPr>
        <w:tabs>
          <w:tab w:val="left" w:pos="284"/>
        </w:tabs>
        <w:spacing w:line="240" w:lineRule="auto"/>
        <w:ind w:left="284" w:hanging="284"/>
        <w:rPr>
          <w:bCs/>
          <w:szCs w:val="18"/>
        </w:rPr>
      </w:pPr>
      <w:r w:rsidRPr="00502D1F">
        <w:rPr>
          <w:bCs/>
          <w:szCs w:val="18"/>
        </w:rPr>
        <w:t>Bátori V., 2017, Jabbari M., Åkesson D., Lennartsson P.R., Taherzadeh M., Zamani A., Production of Pectin-Cellulose Biofilms: A New Approach for Citrus Waste Recycling, International Journal of Polymer Science, 2017(9732329) 9.</w:t>
      </w:r>
    </w:p>
    <w:p w14:paraId="13F61979" w14:textId="4C5F26C2" w:rsidR="00E3485A" w:rsidRPr="00B62988" w:rsidRDefault="00E3485A" w:rsidP="007A1420">
      <w:pPr>
        <w:tabs>
          <w:tab w:val="left" w:pos="284"/>
        </w:tabs>
        <w:spacing w:line="240" w:lineRule="auto"/>
        <w:ind w:left="284" w:hanging="284"/>
        <w:rPr>
          <w:bCs/>
          <w:szCs w:val="18"/>
          <w:lang w:val="es-PE"/>
        </w:rPr>
      </w:pPr>
      <w:r w:rsidRPr="00B62988">
        <w:rPr>
          <w:bCs/>
          <w:szCs w:val="18"/>
          <w:lang w:val="es-PE"/>
        </w:rPr>
        <w:t>Campos K.,</w:t>
      </w:r>
      <w:r w:rsidRPr="00B62988">
        <w:rPr>
          <w:lang w:val="es-PE"/>
        </w:rPr>
        <w:t xml:space="preserve"> Castro Y., Castañeda C., Valverde J., Benites E.</w:t>
      </w:r>
      <w:r w:rsidRPr="00B62988">
        <w:rPr>
          <w:bCs/>
          <w:szCs w:val="18"/>
          <w:lang w:val="es-PE"/>
        </w:rPr>
        <w:t>, 2021, Carya illinoinensis shell for made biodegradable food-safe packaging, Congreso Internacional de Innovación y Tendencias en Ingeniería (CONIITI), Bogotá, Colombia, IEEE Xplore, Proceeding, pp. 1 -4.</w:t>
      </w:r>
    </w:p>
    <w:p w14:paraId="633BFF69" w14:textId="795EB5BE" w:rsidR="00E3485A" w:rsidRPr="00502D1F" w:rsidRDefault="00E3485A" w:rsidP="004A14AB">
      <w:pPr>
        <w:tabs>
          <w:tab w:val="left" w:pos="709"/>
        </w:tabs>
        <w:spacing w:line="276" w:lineRule="auto"/>
        <w:ind w:left="284" w:hanging="284"/>
        <w:rPr>
          <w:bCs/>
          <w:szCs w:val="18"/>
        </w:rPr>
      </w:pPr>
      <w:r w:rsidRPr="00B62988">
        <w:rPr>
          <w:bCs/>
          <w:szCs w:val="18"/>
          <w:lang w:val="es-PE"/>
        </w:rPr>
        <w:t xml:space="preserve">Chinaglia S., Tosin M.  y Degli-innocenti F., 2018. </w:t>
      </w:r>
      <w:r w:rsidRPr="00502D1F">
        <w:rPr>
          <w:bCs/>
          <w:szCs w:val="18"/>
        </w:rPr>
        <w:t>Biodegradation rate of biodegradable plastics at molecular level, Polymer Degradation and Stability,147.</w:t>
      </w:r>
    </w:p>
    <w:p w14:paraId="0FC251CA" w14:textId="77777777" w:rsidR="00E3485A" w:rsidRPr="00502D1F" w:rsidRDefault="00E3485A" w:rsidP="007A1420">
      <w:pPr>
        <w:tabs>
          <w:tab w:val="left" w:pos="284"/>
        </w:tabs>
        <w:spacing w:line="240" w:lineRule="auto"/>
        <w:ind w:left="284" w:hanging="284"/>
        <w:rPr>
          <w:bCs/>
          <w:szCs w:val="18"/>
        </w:rPr>
      </w:pPr>
      <w:r w:rsidRPr="00502D1F">
        <w:rPr>
          <w:bCs/>
          <w:szCs w:val="18"/>
        </w:rPr>
        <w:t>Espinoza Pinchi J., Ordonez Galvez J., Castaneda-Olivera C.A., Benites Alfaro E.G., 2022, Environmental Biotechnology: Biodegradation of Microplastics with Larvae of Tenebrio Molitor and Galleria Mellonella, Chemical Engineering Transactions, 93, 187-192.</w:t>
      </w:r>
    </w:p>
    <w:p w14:paraId="2CC8626A" w14:textId="5147AB4F" w:rsidR="00E3485A" w:rsidRPr="00502D1F" w:rsidRDefault="00E3485A" w:rsidP="008E195B">
      <w:pPr>
        <w:tabs>
          <w:tab w:val="left" w:pos="284"/>
        </w:tabs>
        <w:spacing w:line="240" w:lineRule="auto"/>
        <w:ind w:left="284" w:hanging="284"/>
        <w:rPr>
          <w:bCs/>
          <w:szCs w:val="18"/>
        </w:rPr>
      </w:pPr>
      <w:r w:rsidRPr="00502D1F">
        <w:rPr>
          <w:bCs/>
          <w:szCs w:val="18"/>
        </w:rPr>
        <w:t xml:space="preserve">Fazzino F., Folino A., </w:t>
      </w:r>
      <w:r w:rsidR="00FD22B4" w:rsidRPr="00502D1F">
        <w:rPr>
          <w:bCs/>
          <w:szCs w:val="18"/>
        </w:rPr>
        <w:t>Mauriello</w:t>
      </w:r>
      <w:r w:rsidRPr="00502D1F">
        <w:rPr>
          <w:bCs/>
          <w:szCs w:val="18"/>
        </w:rPr>
        <w:t xml:space="preserve"> A., Pedulla A., Calabro P.S., 2021, Biofuel production from fruit and vegetable market waste and mature landfill leachate by an active filter-anaerobic digestion integrated system, Energy Conversion and Management, 12, 100130</w:t>
      </w:r>
    </w:p>
    <w:p w14:paraId="1E74408C" w14:textId="77777777" w:rsidR="00E3485A" w:rsidRPr="00502D1F" w:rsidRDefault="00E3485A" w:rsidP="007A1420">
      <w:pPr>
        <w:tabs>
          <w:tab w:val="left" w:pos="284"/>
        </w:tabs>
        <w:spacing w:line="240" w:lineRule="auto"/>
        <w:ind w:left="284" w:hanging="284"/>
        <w:rPr>
          <w:bCs/>
          <w:szCs w:val="18"/>
        </w:rPr>
      </w:pPr>
      <w:r w:rsidRPr="00502D1F">
        <w:rPr>
          <w:bCs/>
          <w:szCs w:val="18"/>
        </w:rPr>
        <w:t>Gallardo Bravo C.V., Velasquez Ruiz X.A., Jave Nakayo J., Tello Mendivil V., Castaneda-Olivera C.A., Benites Alfaro E., 2022, Biomes of Mangifera Indica and Vitis Vinifera for the Production of Biodegradable Sorbets, Chemical Engineering Transactions, 92, 523-528</w:t>
      </w:r>
    </w:p>
    <w:p w14:paraId="6CDCEBA3" w14:textId="77777777" w:rsidR="00E3485A" w:rsidRPr="00502D1F" w:rsidRDefault="00E3485A" w:rsidP="008E195B">
      <w:pPr>
        <w:pStyle w:val="PargrafodaLista"/>
        <w:tabs>
          <w:tab w:val="left" w:pos="284"/>
        </w:tabs>
        <w:spacing w:line="240" w:lineRule="auto"/>
        <w:ind w:left="284" w:hanging="284"/>
        <w:rPr>
          <w:bCs/>
          <w:szCs w:val="18"/>
        </w:rPr>
      </w:pPr>
      <w:r w:rsidRPr="00502D1F">
        <w:rPr>
          <w:bCs/>
          <w:szCs w:val="18"/>
        </w:rPr>
        <w:t>Giosafatto V., Di Pierro P., Gunning P, Mackie A., Porta R., Mariniello L., 2014, Characterization of Citrus pectin edible films containing transglutaminase-modified phaseolin, Carbohydrate Polymers, 106, 200-208.</w:t>
      </w:r>
    </w:p>
    <w:p w14:paraId="7248AF91" w14:textId="77777777" w:rsidR="00E3485A" w:rsidRPr="00502D1F" w:rsidRDefault="00E3485A" w:rsidP="008E195B">
      <w:pPr>
        <w:tabs>
          <w:tab w:val="left" w:pos="284"/>
        </w:tabs>
        <w:spacing w:line="240" w:lineRule="auto"/>
        <w:ind w:left="284" w:hanging="284"/>
        <w:rPr>
          <w:bCs/>
          <w:szCs w:val="18"/>
        </w:rPr>
      </w:pPr>
      <w:r w:rsidRPr="00502D1F">
        <w:rPr>
          <w:bCs/>
          <w:szCs w:val="18"/>
        </w:rPr>
        <w:t xml:space="preserve">Günkaya Z. y Banar M., 2016, An environmental comparison of biocomposite film based on orange peel-derived pectin jelly-corn starch and LDPE film: LCA and biodegradability, The International Journal of Life Cycle Assessment, 21, </w:t>
      </w:r>
      <w:r w:rsidRPr="00502D1F">
        <w:rPr>
          <w:rFonts w:ascii="Segoe UI" w:hAnsi="Segoe UI" w:cs="Segoe UI"/>
          <w:color w:val="333333"/>
          <w:shd w:val="clear" w:color="auto" w:fill="FCFCFC"/>
        </w:rPr>
        <w:t>465–475.</w:t>
      </w:r>
      <w:r w:rsidRPr="00502D1F">
        <w:rPr>
          <w:bCs/>
          <w:szCs w:val="18"/>
        </w:rPr>
        <w:t xml:space="preserve"> </w:t>
      </w:r>
    </w:p>
    <w:p w14:paraId="1765E8C3" w14:textId="3852E98F" w:rsidR="0098339A" w:rsidRPr="00502D1F" w:rsidRDefault="0098339A" w:rsidP="008E195B">
      <w:pPr>
        <w:tabs>
          <w:tab w:val="left" w:pos="284"/>
        </w:tabs>
        <w:spacing w:line="240" w:lineRule="auto"/>
        <w:ind w:left="284" w:hanging="284"/>
        <w:rPr>
          <w:bCs/>
          <w:szCs w:val="18"/>
        </w:rPr>
      </w:pPr>
      <w:r w:rsidRPr="00502D1F">
        <w:rPr>
          <w:rFonts w:cs="Arial"/>
          <w:noProof/>
          <w:szCs w:val="24"/>
        </w:rPr>
        <w:t>Gurram R., Souza Filho P. F., Taherzadeh M. J., and Zamani A.</w:t>
      </w:r>
      <w:r w:rsidR="00137F98" w:rsidRPr="00502D1F">
        <w:rPr>
          <w:rFonts w:cs="Arial"/>
          <w:noProof/>
          <w:szCs w:val="24"/>
        </w:rPr>
        <w:t xml:space="preserve">, </w:t>
      </w:r>
      <w:r w:rsidRPr="00502D1F">
        <w:rPr>
          <w:rFonts w:cs="Arial"/>
          <w:noProof/>
          <w:szCs w:val="24"/>
        </w:rPr>
        <w:t>2018</w:t>
      </w:r>
      <w:r w:rsidR="00137F98" w:rsidRPr="00502D1F">
        <w:rPr>
          <w:rFonts w:cs="Arial"/>
          <w:noProof/>
          <w:szCs w:val="24"/>
        </w:rPr>
        <w:t xml:space="preserve">, </w:t>
      </w:r>
      <w:r w:rsidRPr="00502D1F">
        <w:rPr>
          <w:rFonts w:cs="Arial"/>
          <w:noProof/>
          <w:szCs w:val="24"/>
        </w:rPr>
        <w:t>A Solvent-Free Approach for Production of Films from Pectin and Fungal Biomass. Journal of Polymers and the Environment, 26(11), 4282–4292. doi.org/10.1007/s10924-018-1300-x</w:t>
      </w:r>
    </w:p>
    <w:p w14:paraId="6984487B" w14:textId="308FCADA" w:rsidR="00E3485A" w:rsidRPr="00502D1F" w:rsidRDefault="00E3485A" w:rsidP="008E195B">
      <w:pPr>
        <w:tabs>
          <w:tab w:val="left" w:pos="284"/>
        </w:tabs>
        <w:spacing w:line="240" w:lineRule="auto"/>
        <w:ind w:left="284" w:hanging="284"/>
        <w:rPr>
          <w:bCs/>
          <w:szCs w:val="18"/>
        </w:rPr>
      </w:pPr>
      <w:r w:rsidRPr="00502D1F">
        <w:rPr>
          <w:bCs/>
          <w:szCs w:val="18"/>
        </w:rPr>
        <w:t>Gustafsson J. Landberg M, Bátori V., Akesson D., Taherzadeh M., Zamani A., 2019, Development of Bio-Based Films and 3D Objects from Apple Pomace, Polymers, 11(2).</w:t>
      </w:r>
    </w:p>
    <w:p w14:paraId="12DD8BCD" w14:textId="77777777" w:rsidR="00E3485A" w:rsidRPr="00502D1F" w:rsidRDefault="00E3485A" w:rsidP="008E195B">
      <w:pPr>
        <w:tabs>
          <w:tab w:val="left" w:pos="284"/>
        </w:tabs>
        <w:spacing w:line="240" w:lineRule="auto"/>
        <w:ind w:left="284" w:hanging="284"/>
        <w:rPr>
          <w:bCs/>
          <w:szCs w:val="18"/>
        </w:rPr>
      </w:pPr>
      <w:r w:rsidRPr="00502D1F">
        <w:rPr>
          <w:bCs/>
          <w:szCs w:val="18"/>
        </w:rPr>
        <w:t xml:space="preserve">Lee T., Tsai I., Liu Y., Chen Ch., 2022, Upcycling fruit peel waste into a green reductant to reduce graphene oxide for fabricating an electrochemical sensing platform for sulfamethoxazole determination in aquatic environments, Science of The Total Environment, 812,152273. </w:t>
      </w:r>
    </w:p>
    <w:p w14:paraId="5848E747" w14:textId="77777777" w:rsidR="00E3485A" w:rsidRPr="00502D1F" w:rsidRDefault="00E3485A" w:rsidP="008E195B">
      <w:pPr>
        <w:tabs>
          <w:tab w:val="left" w:pos="284"/>
        </w:tabs>
        <w:spacing w:line="240" w:lineRule="auto"/>
        <w:ind w:left="284" w:hanging="284"/>
        <w:rPr>
          <w:bCs/>
          <w:szCs w:val="18"/>
        </w:rPr>
      </w:pPr>
      <w:r w:rsidRPr="00502D1F">
        <w:rPr>
          <w:bCs/>
          <w:szCs w:val="18"/>
        </w:rPr>
        <w:t>Magama P., Chiyanzu I., Mulopo J., 2022, A systematic review of sustainable fruit and vegetable waste recycling alternatives and possibilities for anaerobic biorefinery, Bioresource Technology Reports, 18.</w:t>
      </w:r>
    </w:p>
    <w:p w14:paraId="7C17C3EB" w14:textId="3C6D9CBB" w:rsidR="00137F98" w:rsidRPr="00B62988" w:rsidRDefault="00B74558" w:rsidP="00137F98">
      <w:pPr>
        <w:tabs>
          <w:tab w:val="left" w:pos="284"/>
        </w:tabs>
        <w:spacing w:line="240" w:lineRule="auto"/>
        <w:ind w:left="284" w:hanging="284"/>
        <w:rPr>
          <w:bCs/>
          <w:szCs w:val="18"/>
          <w:lang w:val="es-PE"/>
        </w:rPr>
      </w:pPr>
      <w:r w:rsidRPr="00502D1F">
        <w:rPr>
          <w:rFonts w:cs="Arial"/>
          <w:noProof/>
          <w:szCs w:val="24"/>
        </w:rPr>
        <w:t xml:space="preserve">Ministry of the Environment, 2022, Recovery Plant Report - ATE. </w:t>
      </w:r>
      <w:r w:rsidRPr="00B62988">
        <w:rPr>
          <w:rFonts w:cs="Arial"/>
          <w:noProof/>
          <w:szCs w:val="24"/>
          <w:lang w:val="es-PE"/>
        </w:rPr>
        <w:t xml:space="preserve">SIGERSOL. </w:t>
      </w:r>
      <w:r w:rsidR="00484C16" w:rsidRPr="00B62988">
        <w:rPr>
          <w:rFonts w:cs="Arial"/>
          <w:noProof/>
          <w:szCs w:val="24"/>
          <w:lang w:val="es-PE"/>
        </w:rPr>
        <w:t>&lt;</w:t>
      </w:r>
      <w:r w:rsidRPr="00B62988">
        <w:rPr>
          <w:rFonts w:cs="Arial"/>
          <w:noProof/>
          <w:szCs w:val="24"/>
          <w:lang w:val="es-PE"/>
        </w:rPr>
        <w:t>sistemas.minam.gob.pe/SigersolMunicipal/#/accesoLibre/valorizacion</w:t>
      </w:r>
      <w:r w:rsidR="00B62988">
        <w:rPr>
          <w:rFonts w:cs="Arial"/>
          <w:noProof/>
          <w:szCs w:val="24"/>
          <w:lang w:val="es-PE"/>
        </w:rPr>
        <w:t>&gt;.</w:t>
      </w:r>
    </w:p>
    <w:p w14:paraId="7FDD6448" w14:textId="52A4171E" w:rsidR="00E3485A" w:rsidRPr="00502D1F" w:rsidRDefault="00E3485A" w:rsidP="00BC2832">
      <w:pPr>
        <w:tabs>
          <w:tab w:val="left" w:pos="284"/>
        </w:tabs>
        <w:spacing w:line="240" w:lineRule="auto"/>
        <w:ind w:left="284" w:hanging="284"/>
        <w:rPr>
          <w:bCs/>
          <w:szCs w:val="18"/>
        </w:rPr>
      </w:pPr>
      <w:r w:rsidRPr="00502D1F">
        <w:rPr>
          <w:bCs/>
          <w:szCs w:val="18"/>
        </w:rPr>
        <w:t>Moeini A., Germann N., Malinconico M., Santagata G., 2021, Formulation of secondary compounds as additives of biopolymer-based food packaging: A review, Trends in Food Science &amp; Technology,</w:t>
      </w:r>
    </w:p>
    <w:p w14:paraId="6B5D2806" w14:textId="77777777" w:rsidR="00E3485A" w:rsidRPr="00502D1F" w:rsidRDefault="00E3485A" w:rsidP="007A1420">
      <w:pPr>
        <w:tabs>
          <w:tab w:val="left" w:pos="284"/>
        </w:tabs>
        <w:spacing w:line="240" w:lineRule="auto"/>
        <w:ind w:left="284" w:hanging="284"/>
        <w:rPr>
          <w:bCs/>
          <w:szCs w:val="18"/>
        </w:rPr>
      </w:pPr>
      <w:r w:rsidRPr="00502D1F">
        <w:rPr>
          <w:bCs/>
          <w:szCs w:val="18"/>
        </w:rPr>
        <w:t>Morales Avila J.Y., Castaneda-Olivera C.A., Ordonez Galvan J.J., Benites Alfaro E., 2022, Production of Ecological Roofing Calamines from Pineapple Bud and Sugarcane Bagasse Residues, Chemical Engineering Transactions, 92, 751-756.</w:t>
      </w:r>
    </w:p>
    <w:p w14:paraId="6FD55068" w14:textId="77777777" w:rsidR="00E3485A" w:rsidRPr="00502D1F" w:rsidRDefault="00E3485A" w:rsidP="007A1420">
      <w:pPr>
        <w:tabs>
          <w:tab w:val="left" w:pos="284"/>
        </w:tabs>
        <w:spacing w:line="240" w:lineRule="auto"/>
        <w:ind w:left="284" w:hanging="284"/>
        <w:rPr>
          <w:bCs/>
          <w:szCs w:val="18"/>
        </w:rPr>
      </w:pPr>
      <w:r w:rsidRPr="00502D1F">
        <w:rPr>
          <w:bCs/>
          <w:szCs w:val="18"/>
        </w:rPr>
        <w:t>Olivares C., Castaneda Olivera C., Valverde J., Benites Alfaro E., Valverde Y., 2021, Bioplastic Made from Manihot Esculenta (cassava) and Ficus Benjamina as an Ecological Alternative for Food Products, Chemical Engineering Transactions, 87, 67- 72.</w:t>
      </w:r>
    </w:p>
    <w:p w14:paraId="657AAB14" w14:textId="77777777" w:rsidR="00E3485A" w:rsidRPr="00502D1F" w:rsidRDefault="00E3485A" w:rsidP="00776E12">
      <w:pPr>
        <w:tabs>
          <w:tab w:val="left" w:pos="284"/>
        </w:tabs>
        <w:spacing w:line="240" w:lineRule="auto"/>
        <w:ind w:left="284" w:hanging="284"/>
        <w:rPr>
          <w:bCs/>
          <w:szCs w:val="18"/>
        </w:rPr>
      </w:pPr>
      <w:r w:rsidRPr="00502D1F">
        <w:rPr>
          <w:bCs/>
          <w:szCs w:val="18"/>
        </w:rPr>
        <w:t>Pasandide B. et al, 2017, Optimization of aqueous pectin extraction from Citrus medica peel, Carbohydrate Polymers, 178</w:t>
      </w:r>
    </w:p>
    <w:p w14:paraId="2E01FD80" w14:textId="77777777" w:rsidR="00E3485A" w:rsidRPr="00502D1F" w:rsidRDefault="00E3485A" w:rsidP="002A4726">
      <w:pPr>
        <w:tabs>
          <w:tab w:val="left" w:pos="284"/>
        </w:tabs>
        <w:spacing w:line="240" w:lineRule="auto"/>
        <w:ind w:left="284" w:hanging="284"/>
        <w:rPr>
          <w:bCs/>
          <w:szCs w:val="18"/>
        </w:rPr>
      </w:pPr>
      <w:r w:rsidRPr="00502D1F">
        <w:rPr>
          <w:bCs/>
          <w:szCs w:val="18"/>
        </w:rPr>
        <w:t>Selva G., Adithya S., Vishali S., 2022, Utilization of fruit and vegetable waste to produce value-added products Conventional utilization and emerging opportunities-A review, Chemosphere, 287(3).</w:t>
      </w:r>
    </w:p>
    <w:p w14:paraId="107F1134" w14:textId="52783047" w:rsidR="00E3485A" w:rsidRPr="00502D1F" w:rsidRDefault="00A72E36" w:rsidP="00BC2832">
      <w:pPr>
        <w:tabs>
          <w:tab w:val="left" w:pos="284"/>
        </w:tabs>
        <w:spacing w:line="240" w:lineRule="auto"/>
        <w:ind w:left="284" w:hanging="284"/>
        <w:rPr>
          <w:bCs/>
          <w:szCs w:val="18"/>
        </w:rPr>
      </w:pPr>
      <w:r w:rsidRPr="00502D1F">
        <w:rPr>
          <w:bCs/>
          <w:szCs w:val="18"/>
        </w:rPr>
        <w:t>Velásquez</w:t>
      </w:r>
      <w:r w:rsidR="00E3485A" w:rsidRPr="00502D1F">
        <w:rPr>
          <w:bCs/>
          <w:szCs w:val="18"/>
        </w:rPr>
        <w:t xml:space="preserve"> D., Castañeda C., López R., Jave J-. Benites E., 2021, The Ecological Paper Obtained from Ananas Comusus Waste As An Alternative For Use In A Circular Econom, 2021, Proceedings of the 19th LACCEI International Multi-Conference for Engineering, Education and Technology, 114, 342-354</w:t>
      </w:r>
    </w:p>
    <w:p w14:paraId="75C3BAB9" w14:textId="58EE4C84" w:rsidR="00E3485A" w:rsidRPr="00502D1F" w:rsidRDefault="00E3485A" w:rsidP="007A1420">
      <w:pPr>
        <w:tabs>
          <w:tab w:val="left" w:pos="284"/>
        </w:tabs>
        <w:spacing w:line="240" w:lineRule="auto"/>
        <w:ind w:left="284" w:hanging="284"/>
        <w:rPr>
          <w:bCs/>
          <w:szCs w:val="18"/>
        </w:rPr>
      </w:pPr>
      <w:r w:rsidRPr="00502D1F">
        <w:rPr>
          <w:bCs/>
          <w:szCs w:val="18"/>
        </w:rPr>
        <w:t>Wan W. et al., 2022, Progress in valorization of agriculture, aquaculture and shellfish biomass into biochemicals and biomaterials towards sustainable bioeconomy, Chemosphere, 291.</w:t>
      </w:r>
    </w:p>
    <w:sectPr w:rsidR="00E3485A" w:rsidRPr="00502D1F" w:rsidSect="006A643C">
      <w:pgSz w:w="11906" w:h="16838" w:code="9"/>
      <w:pgMar w:top="1701" w:right="1416"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919B2" w14:textId="77777777" w:rsidR="008724BE" w:rsidRDefault="008724BE" w:rsidP="004F5E36">
      <w:r>
        <w:separator/>
      </w:r>
    </w:p>
  </w:endnote>
  <w:endnote w:type="continuationSeparator" w:id="0">
    <w:p w14:paraId="2719EBEA" w14:textId="77777777" w:rsidR="008724BE" w:rsidRDefault="008724B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3D45D" w14:textId="77777777" w:rsidR="008724BE" w:rsidRDefault="008724BE" w:rsidP="004F5E36">
      <w:r>
        <w:separator/>
      </w:r>
    </w:p>
  </w:footnote>
  <w:footnote w:type="continuationSeparator" w:id="0">
    <w:p w14:paraId="495E4A07" w14:textId="77777777" w:rsidR="008724BE" w:rsidRDefault="008724B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8789"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lvlOverride w:ilvl="0">
      <w:startOverride w:val="1"/>
    </w:lvlOverride>
    <w:lvlOverride w:ilvl="1">
      <w:startOverride w:val="3"/>
    </w:lvlOverride>
    <w:lvlOverride w:ilvl="2">
      <w:startOverride w:val="3"/>
    </w:lvlOverride>
  </w:num>
  <w:num w:numId="24">
    <w:abstractNumId w:val="10"/>
    <w:lvlOverride w:ilvl="0">
      <w:startOverride w:val="1"/>
    </w:lvlOverride>
    <w:lvlOverride w:ilvl="1">
      <w:startOverride w:val="3"/>
    </w:lvlOverride>
    <w:lvlOverride w:ilvl="2">
      <w:startOverride w:val="3"/>
    </w:lvlOverride>
  </w:num>
  <w:num w:numId="25">
    <w:abstractNumId w:val="10"/>
    <w:lvlOverride w:ilvl="0">
      <w:startOverride w:val="1"/>
    </w:lvlOverride>
    <w:lvlOverride w:ilvl="1">
      <w:startOverride w:val="3"/>
    </w:lvlOverride>
    <w:lvlOverride w:ilvl="2">
      <w:startOverride w:val="3"/>
    </w:lvlOverride>
  </w:num>
  <w:num w:numId="26">
    <w:abstractNumId w:val="10"/>
    <w:lvlOverride w:ilvl="0">
      <w:startOverride w:val="1"/>
    </w:lvlOverride>
    <w:lvlOverride w:ilvl="1">
      <w:startOverride w:val="3"/>
    </w:lvlOverride>
    <w:lvlOverride w:ilvl="2">
      <w:startOverride w:val="3"/>
    </w:lvlOverride>
  </w:num>
  <w:num w:numId="27">
    <w:abstractNumId w:val="10"/>
    <w:lvlOverride w:ilvl="0">
      <w:startOverride w:val="1"/>
    </w:lvlOverride>
    <w:lvlOverride w:ilvl="1">
      <w:startOverride w:val="3"/>
    </w:lvlOverride>
    <w:lvlOverride w:ilvl="2">
      <w:startOverride w:val="3"/>
    </w:lvlOverride>
  </w:num>
  <w:num w:numId="28">
    <w:abstractNumId w:val="10"/>
    <w:lvlOverride w:ilvl="0">
      <w:startOverride w:val="1"/>
    </w:lvlOverride>
    <w:lvlOverride w:ilvl="1">
      <w:startOverride w:val="3"/>
    </w:lvlOverride>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A1E"/>
    <w:rsid w:val="000117CB"/>
    <w:rsid w:val="000209B2"/>
    <w:rsid w:val="00023DFA"/>
    <w:rsid w:val="00027134"/>
    <w:rsid w:val="0003148D"/>
    <w:rsid w:val="00031EEC"/>
    <w:rsid w:val="000359E5"/>
    <w:rsid w:val="00051566"/>
    <w:rsid w:val="000519B1"/>
    <w:rsid w:val="000562A9"/>
    <w:rsid w:val="00062A9A"/>
    <w:rsid w:val="00065058"/>
    <w:rsid w:val="00066D83"/>
    <w:rsid w:val="00071ED3"/>
    <w:rsid w:val="000766B5"/>
    <w:rsid w:val="00086C39"/>
    <w:rsid w:val="0008733A"/>
    <w:rsid w:val="000948B3"/>
    <w:rsid w:val="00095185"/>
    <w:rsid w:val="000A03B2"/>
    <w:rsid w:val="000A3E4A"/>
    <w:rsid w:val="000B05DF"/>
    <w:rsid w:val="000B4F20"/>
    <w:rsid w:val="000C563C"/>
    <w:rsid w:val="000D0268"/>
    <w:rsid w:val="000D0339"/>
    <w:rsid w:val="000D34BE"/>
    <w:rsid w:val="000D586B"/>
    <w:rsid w:val="000D7C83"/>
    <w:rsid w:val="000E054C"/>
    <w:rsid w:val="000E102F"/>
    <w:rsid w:val="000E1653"/>
    <w:rsid w:val="000E1E06"/>
    <w:rsid w:val="000E36F1"/>
    <w:rsid w:val="000E3A73"/>
    <w:rsid w:val="000E414A"/>
    <w:rsid w:val="000E7233"/>
    <w:rsid w:val="000F093C"/>
    <w:rsid w:val="000F5EC2"/>
    <w:rsid w:val="000F787B"/>
    <w:rsid w:val="00116D97"/>
    <w:rsid w:val="0012091F"/>
    <w:rsid w:val="001225C8"/>
    <w:rsid w:val="00125773"/>
    <w:rsid w:val="00126BC2"/>
    <w:rsid w:val="00127928"/>
    <w:rsid w:val="001308B6"/>
    <w:rsid w:val="0013121F"/>
    <w:rsid w:val="00131FE6"/>
    <w:rsid w:val="0013263F"/>
    <w:rsid w:val="001331DF"/>
    <w:rsid w:val="00134DE4"/>
    <w:rsid w:val="00137969"/>
    <w:rsid w:val="00137F98"/>
    <w:rsid w:val="0014034D"/>
    <w:rsid w:val="001414E5"/>
    <w:rsid w:val="00142E8A"/>
    <w:rsid w:val="00144D16"/>
    <w:rsid w:val="00150E59"/>
    <w:rsid w:val="00152DE3"/>
    <w:rsid w:val="0015446A"/>
    <w:rsid w:val="00164CF9"/>
    <w:rsid w:val="00165CA4"/>
    <w:rsid w:val="001667A6"/>
    <w:rsid w:val="00167478"/>
    <w:rsid w:val="001737E1"/>
    <w:rsid w:val="0017656E"/>
    <w:rsid w:val="00181193"/>
    <w:rsid w:val="00184AD6"/>
    <w:rsid w:val="00194B79"/>
    <w:rsid w:val="001A4AF7"/>
    <w:rsid w:val="001B0349"/>
    <w:rsid w:val="001B1CEF"/>
    <w:rsid w:val="001B1E93"/>
    <w:rsid w:val="001B55B6"/>
    <w:rsid w:val="001B65C1"/>
    <w:rsid w:val="001C684B"/>
    <w:rsid w:val="001D0CFB"/>
    <w:rsid w:val="001D0F13"/>
    <w:rsid w:val="001D21AF"/>
    <w:rsid w:val="001D2C21"/>
    <w:rsid w:val="001D53FC"/>
    <w:rsid w:val="001E324A"/>
    <w:rsid w:val="001E464A"/>
    <w:rsid w:val="001F42A5"/>
    <w:rsid w:val="001F7B9D"/>
    <w:rsid w:val="00201C93"/>
    <w:rsid w:val="002148E0"/>
    <w:rsid w:val="002224B4"/>
    <w:rsid w:val="00224145"/>
    <w:rsid w:val="00232315"/>
    <w:rsid w:val="00232D66"/>
    <w:rsid w:val="002447EF"/>
    <w:rsid w:val="00251550"/>
    <w:rsid w:val="00254FA6"/>
    <w:rsid w:val="00263B05"/>
    <w:rsid w:val="002665F9"/>
    <w:rsid w:val="0027221A"/>
    <w:rsid w:val="00275B61"/>
    <w:rsid w:val="00280FAF"/>
    <w:rsid w:val="00282656"/>
    <w:rsid w:val="00291F5A"/>
    <w:rsid w:val="002926EC"/>
    <w:rsid w:val="0029657C"/>
    <w:rsid w:val="00296B83"/>
    <w:rsid w:val="002A3AF4"/>
    <w:rsid w:val="002A4726"/>
    <w:rsid w:val="002B4015"/>
    <w:rsid w:val="002B426F"/>
    <w:rsid w:val="002B78CE"/>
    <w:rsid w:val="002B7DE8"/>
    <w:rsid w:val="002C0AD1"/>
    <w:rsid w:val="002C2FB6"/>
    <w:rsid w:val="002C7093"/>
    <w:rsid w:val="002E5FA7"/>
    <w:rsid w:val="002F3309"/>
    <w:rsid w:val="003008CE"/>
    <w:rsid w:val="003009B7"/>
    <w:rsid w:val="00300E56"/>
    <w:rsid w:val="0030152C"/>
    <w:rsid w:val="0030469C"/>
    <w:rsid w:val="003112D1"/>
    <w:rsid w:val="00321CA6"/>
    <w:rsid w:val="0032267C"/>
    <w:rsid w:val="00322FBE"/>
    <w:rsid w:val="00323763"/>
    <w:rsid w:val="00323C5F"/>
    <w:rsid w:val="003308BF"/>
    <w:rsid w:val="00333E08"/>
    <w:rsid w:val="00334C09"/>
    <w:rsid w:val="003466D1"/>
    <w:rsid w:val="00361791"/>
    <w:rsid w:val="0036501C"/>
    <w:rsid w:val="003723D4"/>
    <w:rsid w:val="00373335"/>
    <w:rsid w:val="00381905"/>
    <w:rsid w:val="00382033"/>
    <w:rsid w:val="00383F58"/>
    <w:rsid w:val="00384CC8"/>
    <w:rsid w:val="00385148"/>
    <w:rsid w:val="003871FD"/>
    <w:rsid w:val="003A1E30"/>
    <w:rsid w:val="003A2829"/>
    <w:rsid w:val="003A44EE"/>
    <w:rsid w:val="003A5952"/>
    <w:rsid w:val="003A7AD3"/>
    <w:rsid w:val="003A7D1C"/>
    <w:rsid w:val="003B304B"/>
    <w:rsid w:val="003B3146"/>
    <w:rsid w:val="003C596C"/>
    <w:rsid w:val="003C69B7"/>
    <w:rsid w:val="003F015E"/>
    <w:rsid w:val="003F5C72"/>
    <w:rsid w:val="00400414"/>
    <w:rsid w:val="004024D9"/>
    <w:rsid w:val="00413999"/>
    <w:rsid w:val="0041446B"/>
    <w:rsid w:val="00414BFA"/>
    <w:rsid w:val="00414EBE"/>
    <w:rsid w:val="004249CC"/>
    <w:rsid w:val="004257FA"/>
    <w:rsid w:val="00425F86"/>
    <w:rsid w:val="0044071E"/>
    <w:rsid w:val="0044329C"/>
    <w:rsid w:val="00453E24"/>
    <w:rsid w:val="0045652E"/>
    <w:rsid w:val="00457456"/>
    <w:rsid w:val="004577FE"/>
    <w:rsid w:val="00457B9C"/>
    <w:rsid w:val="004611FA"/>
    <w:rsid w:val="0046164A"/>
    <w:rsid w:val="004628D2"/>
    <w:rsid w:val="00462DCD"/>
    <w:rsid w:val="004648AD"/>
    <w:rsid w:val="004703A9"/>
    <w:rsid w:val="004738AB"/>
    <w:rsid w:val="004760DE"/>
    <w:rsid w:val="004763D7"/>
    <w:rsid w:val="00484C16"/>
    <w:rsid w:val="00486184"/>
    <w:rsid w:val="004911E8"/>
    <w:rsid w:val="004971A4"/>
    <w:rsid w:val="004A004E"/>
    <w:rsid w:val="004A14AB"/>
    <w:rsid w:val="004A24CF"/>
    <w:rsid w:val="004A772D"/>
    <w:rsid w:val="004C3D1D"/>
    <w:rsid w:val="004C3D84"/>
    <w:rsid w:val="004C6183"/>
    <w:rsid w:val="004C7913"/>
    <w:rsid w:val="004E04E6"/>
    <w:rsid w:val="004E4DD6"/>
    <w:rsid w:val="004F5E36"/>
    <w:rsid w:val="004F7323"/>
    <w:rsid w:val="00501E7D"/>
    <w:rsid w:val="00501F22"/>
    <w:rsid w:val="00502D1F"/>
    <w:rsid w:val="00507B47"/>
    <w:rsid w:val="00507BEF"/>
    <w:rsid w:val="00507CC9"/>
    <w:rsid w:val="005119A5"/>
    <w:rsid w:val="005177A6"/>
    <w:rsid w:val="0052548D"/>
    <w:rsid w:val="005278B7"/>
    <w:rsid w:val="00530A78"/>
    <w:rsid w:val="00532016"/>
    <w:rsid w:val="005346C8"/>
    <w:rsid w:val="00543E7D"/>
    <w:rsid w:val="00547A68"/>
    <w:rsid w:val="005531C9"/>
    <w:rsid w:val="0055489B"/>
    <w:rsid w:val="00570C43"/>
    <w:rsid w:val="00574360"/>
    <w:rsid w:val="00581F8C"/>
    <w:rsid w:val="005A67C5"/>
    <w:rsid w:val="005B2110"/>
    <w:rsid w:val="005B4423"/>
    <w:rsid w:val="005B61E6"/>
    <w:rsid w:val="005C65CE"/>
    <w:rsid w:val="005C77E1"/>
    <w:rsid w:val="005D567C"/>
    <w:rsid w:val="005D668A"/>
    <w:rsid w:val="005D66C9"/>
    <w:rsid w:val="005D6A2F"/>
    <w:rsid w:val="005D7128"/>
    <w:rsid w:val="005E1A82"/>
    <w:rsid w:val="005E2063"/>
    <w:rsid w:val="005E794C"/>
    <w:rsid w:val="005F0A28"/>
    <w:rsid w:val="005F0E5E"/>
    <w:rsid w:val="00600535"/>
    <w:rsid w:val="00610CD6"/>
    <w:rsid w:val="0061228C"/>
    <w:rsid w:val="006155D6"/>
    <w:rsid w:val="00620DEE"/>
    <w:rsid w:val="0062169D"/>
    <w:rsid w:val="00621F92"/>
    <w:rsid w:val="0062280A"/>
    <w:rsid w:val="00625639"/>
    <w:rsid w:val="00631B33"/>
    <w:rsid w:val="0064184D"/>
    <w:rsid w:val="006422CC"/>
    <w:rsid w:val="006513BA"/>
    <w:rsid w:val="006536AB"/>
    <w:rsid w:val="00655423"/>
    <w:rsid w:val="00657BB7"/>
    <w:rsid w:val="00660E3E"/>
    <w:rsid w:val="00662E74"/>
    <w:rsid w:val="00671546"/>
    <w:rsid w:val="00674B78"/>
    <w:rsid w:val="00674CD0"/>
    <w:rsid w:val="006757F5"/>
    <w:rsid w:val="00680C23"/>
    <w:rsid w:val="00693766"/>
    <w:rsid w:val="006955DA"/>
    <w:rsid w:val="00697EEA"/>
    <w:rsid w:val="006A1295"/>
    <w:rsid w:val="006A3281"/>
    <w:rsid w:val="006A643C"/>
    <w:rsid w:val="006B4888"/>
    <w:rsid w:val="006C2E45"/>
    <w:rsid w:val="006C359C"/>
    <w:rsid w:val="006C5579"/>
    <w:rsid w:val="006D1955"/>
    <w:rsid w:val="006D29E9"/>
    <w:rsid w:val="006D4B34"/>
    <w:rsid w:val="006D6E8B"/>
    <w:rsid w:val="006D7190"/>
    <w:rsid w:val="006D7542"/>
    <w:rsid w:val="006E737D"/>
    <w:rsid w:val="006E7E35"/>
    <w:rsid w:val="006F438F"/>
    <w:rsid w:val="006F5C63"/>
    <w:rsid w:val="00704A14"/>
    <w:rsid w:val="0071186D"/>
    <w:rsid w:val="00713973"/>
    <w:rsid w:val="00720A24"/>
    <w:rsid w:val="00724E5C"/>
    <w:rsid w:val="00732386"/>
    <w:rsid w:val="00733629"/>
    <w:rsid w:val="0073514D"/>
    <w:rsid w:val="007447F3"/>
    <w:rsid w:val="007450E1"/>
    <w:rsid w:val="0075499F"/>
    <w:rsid w:val="007661C8"/>
    <w:rsid w:val="0077098D"/>
    <w:rsid w:val="00776E12"/>
    <w:rsid w:val="0077739F"/>
    <w:rsid w:val="00781550"/>
    <w:rsid w:val="00792B24"/>
    <w:rsid w:val="007931FA"/>
    <w:rsid w:val="007A1420"/>
    <w:rsid w:val="007A4861"/>
    <w:rsid w:val="007A5E68"/>
    <w:rsid w:val="007A7556"/>
    <w:rsid w:val="007A7BBA"/>
    <w:rsid w:val="007B0C50"/>
    <w:rsid w:val="007B48F9"/>
    <w:rsid w:val="007B7CCE"/>
    <w:rsid w:val="007C1A43"/>
    <w:rsid w:val="007C783A"/>
    <w:rsid w:val="007D0951"/>
    <w:rsid w:val="007D57C4"/>
    <w:rsid w:val="007D6A15"/>
    <w:rsid w:val="007F2AC9"/>
    <w:rsid w:val="007F6E5B"/>
    <w:rsid w:val="0080013E"/>
    <w:rsid w:val="008013CB"/>
    <w:rsid w:val="00813288"/>
    <w:rsid w:val="008151B3"/>
    <w:rsid w:val="008168FC"/>
    <w:rsid w:val="0081776F"/>
    <w:rsid w:val="008212B9"/>
    <w:rsid w:val="00830996"/>
    <w:rsid w:val="008345F1"/>
    <w:rsid w:val="008428B4"/>
    <w:rsid w:val="008431BB"/>
    <w:rsid w:val="00844AD8"/>
    <w:rsid w:val="0084657B"/>
    <w:rsid w:val="00865B07"/>
    <w:rsid w:val="008667EA"/>
    <w:rsid w:val="008724BE"/>
    <w:rsid w:val="0087323A"/>
    <w:rsid w:val="0087637F"/>
    <w:rsid w:val="0087654E"/>
    <w:rsid w:val="008766CC"/>
    <w:rsid w:val="00892AD5"/>
    <w:rsid w:val="008A1512"/>
    <w:rsid w:val="008B0AF2"/>
    <w:rsid w:val="008B0DA6"/>
    <w:rsid w:val="008B4D50"/>
    <w:rsid w:val="008C20DD"/>
    <w:rsid w:val="008C6A96"/>
    <w:rsid w:val="008C6DD8"/>
    <w:rsid w:val="008D22BA"/>
    <w:rsid w:val="008D32B9"/>
    <w:rsid w:val="008D433B"/>
    <w:rsid w:val="008D4A16"/>
    <w:rsid w:val="008D6C90"/>
    <w:rsid w:val="008E173E"/>
    <w:rsid w:val="008E195B"/>
    <w:rsid w:val="008E425F"/>
    <w:rsid w:val="008E566E"/>
    <w:rsid w:val="008F3A8C"/>
    <w:rsid w:val="0090161A"/>
    <w:rsid w:val="00901EB6"/>
    <w:rsid w:val="00904C62"/>
    <w:rsid w:val="00913194"/>
    <w:rsid w:val="009170A9"/>
    <w:rsid w:val="00922BA8"/>
    <w:rsid w:val="00924DAC"/>
    <w:rsid w:val="00925919"/>
    <w:rsid w:val="00927058"/>
    <w:rsid w:val="00931B3F"/>
    <w:rsid w:val="00942750"/>
    <w:rsid w:val="009450CE"/>
    <w:rsid w:val="009459BB"/>
    <w:rsid w:val="00947179"/>
    <w:rsid w:val="0095164B"/>
    <w:rsid w:val="00954090"/>
    <w:rsid w:val="009573E7"/>
    <w:rsid w:val="00961572"/>
    <w:rsid w:val="00963E05"/>
    <w:rsid w:val="00964A45"/>
    <w:rsid w:val="00967843"/>
    <w:rsid w:val="00967D54"/>
    <w:rsid w:val="00971028"/>
    <w:rsid w:val="0098339A"/>
    <w:rsid w:val="00992B62"/>
    <w:rsid w:val="00993B84"/>
    <w:rsid w:val="00993B86"/>
    <w:rsid w:val="00996483"/>
    <w:rsid w:val="00996F5A"/>
    <w:rsid w:val="0099760F"/>
    <w:rsid w:val="009A5FFE"/>
    <w:rsid w:val="009A636C"/>
    <w:rsid w:val="009B041A"/>
    <w:rsid w:val="009C0815"/>
    <w:rsid w:val="009C1F03"/>
    <w:rsid w:val="009C37C3"/>
    <w:rsid w:val="009C4651"/>
    <w:rsid w:val="009C7C86"/>
    <w:rsid w:val="009D110D"/>
    <w:rsid w:val="009D17EC"/>
    <w:rsid w:val="009D2FF7"/>
    <w:rsid w:val="009E2F97"/>
    <w:rsid w:val="009E3BEE"/>
    <w:rsid w:val="009E7884"/>
    <w:rsid w:val="009E788A"/>
    <w:rsid w:val="009E7F58"/>
    <w:rsid w:val="009F08D1"/>
    <w:rsid w:val="009F0E08"/>
    <w:rsid w:val="009F1339"/>
    <w:rsid w:val="009F491A"/>
    <w:rsid w:val="009F7DCD"/>
    <w:rsid w:val="00A021E1"/>
    <w:rsid w:val="00A03A03"/>
    <w:rsid w:val="00A101C5"/>
    <w:rsid w:val="00A10F56"/>
    <w:rsid w:val="00A1763D"/>
    <w:rsid w:val="00A17CEC"/>
    <w:rsid w:val="00A2000F"/>
    <w:rsid w:val="00A27EF0"/>
    <w:rsid w:val="00A337E4"/>
    <w:rsid w:val="00A33845"/>
    <w:rsid w:val="00A35717"/>
    <w:rsid w:val="00A371E4"/>
    <w:rsid w:val="00A37BB3"/>
    <w:rsid w:val="00A40FF7"/>
    <w:rsid w:val="00A4197A"/>
    <w:rsid w:val="00A42361"/>
    <w:rsid w:val="00A50B20"/>
    <w:rsid w:val="00A50DB8"/>
    <w:rsid w:val="00A51390"/>
    <w:rsid w:val="00A5709C"/>
    <w:rsid w:val="00A60D13"/>
    <w:rsid w:val="00A613DD"/>
    <w:rsid w:val="00A70D5F"/>
    <w:rsid w:val="00A7223D"/>
    <w:rsid w:val="00A72745"/>
    <w:rsid w:val="00A72E36"/>
    <w:rsid w:val="00A76EFC"/>
    <w:rsid w:val="00A84371"/>
    <w:rsid w:val="00A87D50"/>
    <w:rsid w:val="00A90EDB"/>
    <w:rsid w:val="00A91010"/>
    <w:rsid w:val="00A97F29"/>
    <w:rsid w:val="00AA02D0"/>
    <w:rsid w:val="00AA07B6"/>
    <w:rsid w:val="00AA31D1"/>
    <w:rsid w:val="00AA589F"/>
    <w:rsid w:val="00AA702E"/>
    <w:rsid w:val="00AA7D26"/>
    <w:rsid w:val="00AB0964"/>
    <w:rsid w:val="00AB3A31"/>
    <w:rsid w:val="00AB5011"/>
    <w:rsid w:val="00AC7368"/>
    <w:rsid w:val="00AD16B9"/>
    <w:rsid w:val="00AD22F4"/>
    <w:rsid w:val="00AD7450"/>
    <w:rsid w:val="00AE2850"/>
    <w:rsid w:val="00AE377D"/>
    <w:rsid w:val="00AE3D2E"/>
    <w:rsid w:val="00AF0EBA"/>
    <w:rsid w:val="00AF4A47"/>
    <w:rsid w:val="00B01FE6"/>
    <w:rsid w:val="00B02C8A"/>
    <w:rsid w:val="00B15291"/>
    <w:rsid w:val="00B17FBD"/>
    <w:rsid w:val="00B2004F"/>
    <w:rsid w:val="00B25C09"/>
    <w:rsid w:val="00B279B6"/>
    <w:rsid w:val="00B30AF4"/>
    <w:rsid w:val="00B315A6"/>
    <w:rsid w:val="00B31813"/>
    <w:rsid w:val="00B31E71"/>
    <w:rsid w:val="00B33365"/>
    <w:rsid w:val="00B37E72"/>
    <w:rsid w:val="00B416E7"/>
    <w:rsid w:val="00B501A5"/>
    <w:rsid w:val="00B57B36"/>
    <w:rsid w:val="00B57E6F"/>
    <w:rsid w:val="00B62392"/>
    <w:rsid w:val="00B62988"/>
    <w:rsid w:val="00B74558"/>
    <w:rsid w:val="00B80272"/>
    <w:rsid w:val="00B80892"/>
    <w:rsid w:val="00B80D90"/>
    <w:rsid w:val="00B84059"/>
    <w:rsid w:val="00B8686D"/>
    <w:rsid w:val="00B93F69"/>
    <w:rsid w:val="00B94BA2"/>
    <w:rsid w:val="00BA0A6B"/>
    <w:rsid w:val="00BA25AE"/>
    <w:rsid w:val="00BA5414"/>
    <w:rsid w:val="00BB1DDC"/>
    <w:rsid w:val="00BB502E"/>
    <w:rsid w:val="00BC1D0C"/>
    <w:rsid w:val="00BC2009"/>
    <w:rsid w:val="00BC2832"/>
    <w:rsid w:val="00BC30C9"/>
    <w:rsid w:val="00BC7822"/>
    <w:rsid w:val="00BD077D"/>
    <w:rsid w:val="00BD6A37"/>
    <w:rsid w:val="00BE2CE4"/>
    <w:rsid w:val="00BE3E58"/>
    <w:rsid w:val="00BF1F1A"/>
    <w:rsid w:val="00BF5EA1"/>
    <w:rsid w:val="00C01616"/>
    <w:rsid w:val="00C0162B"/>
    <w:rsid w:val="00C068ED"/>
    <w:rsid w:val="00C11E32"/>
    <w:rsid w:val="00C21011"/>
    <w:rsid w:val="00C22E0C"/>
    <w:rsid w:val="00C345B1"/>
    <w:rsid w:val="00C40142"/>
    <w:rsid w:val="00C40993"/>
    <w:rsid w:val="00C4148B"/>
    <w:rsid w:val="00C42B73"/>
    <w:rsid w:val="00C446F7"/>
    <w:rsid w:val="00C52C3C"/>
    <w:rsid w:val="00C57182"/>
    <w:rsid w:val="00C57863"/>
    <w:rsid w:val="00C640AF"/>
    <w:rsid w:val="00C655FD"/>
    <w:rsid w:val="00C70060"/>
    <w:rsid w:val="00C75407"/>
    <w:rsid w:val="00C82990"/>
    <w:rsid w:val="00C83986"/>
    <w:rsid w:val="00C870A8"/>
    <w:rsid w:val="00C90E91"/>
    <w:rsid w:val="00C93FD2"/>
    <w:rsid w:val="00C94434"/>
    <w:rsid w:val="00CA0D75"/>
    <w:rsid w:val="00CA1C95"/>
    <w:rsid w:val="00CA5A9C"/>
    <w:rsid w:val="00CC068C"/>
    <w:rsid w:val="00CC4C20"/>
    <w:rsid w:val="00CD20F6"/>
    <w:rsid w:val="00CD3517"/>
    <w:rsid w:val="00CD5FE2"/>
    <w:rsid w:val="00CD776A"/>
    <w:rsid w:val="00CE3F71"/>
    <w:rsid w:val="00CE4341"/>
    <w:rsid w:val="00CE7C68"/>
    <w:rsid w:val="00CE7D04"/>
    <w:rsid w:val="00D00EF7"/>
    <w:rsid w:val="00D02B4C"/>
    <w:rsid w:val="00D040C4"/>
    <w:rsid w:val="00D134AD"/>
    <w:rsid w:val="00D20AD1"/>
    <w:rsid w:val="00D27FD7"/>
    <w:rsid w:val="00D43C88"/>
    <w:rsid w:val="00D459A8"/>
    <w:rsid w:val="00D46B7E"/>
    <w:rsid w:val="00D47DBD"/>
    <w:rsid w:val="00D57C84"/>
    <w:rsid w:val="00D6057D"/>
    <w:rsid w:val="00D71640"/>
    <w:rsid w:val="00D76CB5"/>
    <w:rsid w:val="00D836C5"/>
    <w:rsid w:val="00D84576"/>
    <w:rsid w:val="00D917FF"/>
    <w:rsid w:val="00D951EA"/>
    <w:rsid w:val="00DA1399"/>
    <w:rsid w:val="00DA24C6"/>
    <w:rsid w:val="00DA435A"/>
    <w:rsid w:val="00DA4D7B"/>
    <w:rsid w:val="00DA5F95"/>
    <w:rsid w:val="00DB056B"/>
    <w:rsid w:val="00DB52E2"/>
    <w:rsid w:val="00DD271C"/>
    <w:rsid w:val="00DD71BC"/>
    <w:rsid w:val="00DE264A"/>
    <w:rsid w:val="00DF2F61"/>
    <w:rsid w:val="00DF5072"/>
    <w:rsid w:val="00E02D18"/>
    <w:rsid w:val="00E03ECB"/>
    <w:rsid w:val="00E041E7"/>
    <w:rsid w:val="00E2233C"/>
    <w:rsid w:val="00E23B09"/>
    <w:rsid w:val="00E23CA1"/>
    <w:rsid w:val="00E27AA6"/>
    <w:rsid w:val="00E310D5"/>
    <w:rsid w:val="00E3240B"/>
    <w:rsid w:val="00E3485A"/>
    <w:rsid w:val="00E40350"/>
    <w:rsid w:val="00E409A8"/>
    <w:rsid w:val="00E50C12"/>
    <w:rsid w:val="00E51809"/>
    <w:rsid w:val="00E644B4"/>
    <w:rsid w:val="00E65B91"/>
    <w:rsid w:val="00E7209D"/>
    <w:rsid w:val="00E72EAD"/>
    <w:rsid w:val="00E77223"/>
    <w:rsid w:val="00E8528B"/>
    <w:rsid w:val="00E85B94"/>
    <w:rsid w:val="00E978D0"/>
    <w:rsid w:val="00EA4613"/>
    <w:rsid w:val="00EA7F91"/>
    <w:rsid w:val="00EB11EC"/>
    <w:rsid w:val="00EB1523"/>
    <w:rsid w:val="00EC0E49"/>
    <w:rsid w:val="00EC101F"/>
    <w:rsid w:val="00EC1D9F"/>
    <w:rsid w:val="00EC5432"/>
    <w:rsid w:val="00EE0131"/>
    <w:rsid w:val="00EE17B0"/>
    <w:rsid w:val="00EE664D"/>
    <w:rsid w:val="00EF06D9"/>
    <w:rsid w:val="00EF2810"/>
    <w:rsid w:val="00EF7480"/>
    <w:rsid w:val="00EF7B99"/>
    <w:rsid w:val="00F043FD"/>
    <w:rsid w:val="00F071AB"/>
    <w:rsid w:val="00F11BD7"/>
    <w:rsid w:val="00F230FC"/>
    <w:rsid w:val="00F2735B"/>
    <w:rsid w:val="00F3049E"/>
    <w:rsid w:val="00F30C64"/>
    <w:rsid w:val="00F32242"/>
    <w:rsid w:val="00F32BA2"/>
    <w:rsid w:val="00F32CDB"/>
    <w:rsid w:val="00F565FE"/>
    <w:rsid w:val="00F63A70"/>
    <w:rsid w:val="00F63D8C"/>
    <w:rsid w:val="00F71950"/>
    <w:rsid w:val="00F7534E"/>
    <w:rsid w:val="00F93EDF"/>
    <w:rsid w:val="00FA084D"/>
    <w:rsid w:val="00FA1802"/>
    <w:rsid w:val="00FA21D0"/>
    <w:rsid w:val="00FA5F5F"/>
    <w:rsid w:val="00FA6135"/>
    <w:rsid w:val="00FA6636"/>
    <w:rsid w:val="00FA69DF"/>
    <w:rsid w:val="00FB2838"/>
    <w:rsid w:val="00FB34A4"/>
    <w:rsid w:val="00FB3C5D"/>
    <w:rsid w:val="00FB5378"/>
    <w:rsid w:val="00FB730C"/>
    <w:rsid w:val="00FC2695"/>
    <w:rsid w:val="00FC3E03"/>
    <w:rsid w:val="00FC3FC1"/>
    <w:rsid w:val="00FD1271"/>
    <w:rsid w:val="00FD22B4"/>
    <w:rsid w:val="00FE115D"/>
    <w:rsid w:val="00FE5D30"/>
    <w:rsid w:val="00FF488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5:docId w15:val="{6AD95515-09A1-4024-91BC-E07C035D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27928"/>
    <w:pPr>
      <w:keepNext/>
      <w:suppressAutoHyphens/>
      <w:spacing w:before="120" w:after="0" w:line="240" w:lineRule="auto"/>
      <w:jc w:val="both"/>
    </w:pPr>
    <w:rPr>
      <w:rFonts w:ascii="Arial" w:eastAsia="Times New Roman" w:hAnsi="Arial" w:cs="Times New Roman"/>
      <w:b/>
      <w:sz w:val="18"/>
      <w:szCs w:val="20"/>
      <w:lang w:val="es-PE"/>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27928"/>
    <w:rPr>
      <w:rFonts w:ascii="Arial" w:eastAsia="Times New Roman" w:hAnsi="Arial" w:cs="Times New Roman"/>
      <w:b/>
      <w:sz w:val="18"/>
      <w:szCs w:val="20"/>
      <w:lang w:val="es-PE"/>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qFormat/>
    <w:rsid w:val="00280FAF"/>
    <w:pPr>
      <w:ind w:left="720"/>
      <w:contextualSpacing/>
    </w:pPr>
  </w:style>
  <w:style w:type="table" w:styleId="TabeladeGrade4-nfase5">
    <w:name w:val="Grid Table 4 Accent 5"/>
    <w:basedOn w:val="Tabelanormal"/>
    <w:uiPriority w:val="49"/>
    <w:rsid w:val="007D57C4"/>
    <w:pPr>
      <w:spacing w:after="0" w:line="240" w:lineRule="auto"/>
    </w:pPr>
    <w:rPr>
      <w:lang w:val="es-P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Simples10">
    <w:name w:val="Plain Table 1"/>
    <w:basedOn w:val="Tabelanormal"/>
    <w:uiPriority w:val="41"/>
    <w:rsid w:val="00671546"/>
    <w:pPr>
      <w:spacing w:after="0" w:line="240" w:lineRule="auto"/>
    </w:pPr>
    <w:rPr>
      <w:lang w:val="es-P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322F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2320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98659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558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677096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mer\Downloads\B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mer\Downloads\B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mer\Downloads\Bi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66479669770142E-2"/>
          <c:y val="0.15873015873015872"/>
          <c:w val="0.87014872617835326"/>
          <c:h val="0.60210640336624588"/>
        </c:manualLayout>
      </c:layout>
      <c:barChart>
        <c:barDir val="col"/>
        <c:grouping val="clustered"/>
        <c:varyColors val="0"/>
        <c:ser>
          <c:idx val="0"/>
          <c:order val="0"/>
          <c:tx>
            <c:strRef>
              <c:f>suelo!$C$32</c:f>
              <c:strCache>
                <c:ptCount val="1"/>
                <c:pt idx="0">
                  <c:v>BP1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suelo!$D$31:$G$31</c:f>
              <c:strCache>
                <c:ptCount val="4"/>
                <c:pt idx="0">
                  <c:v>7 days</c:v>
                </c:pt>
                <c:pt idx="1">
                  <c:v>14 days</c:v>
                </c:pt>
                <c:pt idx="2">
                  <c:v>21 days</c:v>
                </c:pt>
                <c:pt idx="3">
                  <c:v>28 days</c:v>
                </c:pt>
              </c:strCache>
            </c:strRef>
          </c:cat>
          <c:val>
            <c:numRef>
              <c:f>suelo!$D$32:$G$32</c:f>
              <c:numCache>
                <c:formatCode>0.00%</c:formatCode>
                <c:ptCount val="4"/>
                <c:pt idx="0">
                  <c:v>6.6100000000000006E-2</c:v>
                </c:pt>
                <c:pt idx="1">
                  <c:v>0.32785771764032751</c:v>
                </c:pt>
                <c:pt idx="2">
                  <c:v>0.74603637278099744</c:v>
                </c:pt>
                <c:pt idx="3">
                  <c:v>0.97095435684647302</c:v>
                </c:pt>
              </c:numCache>
            </c:numRef>
          </c:val>
          <c:extLst>
            <c:ext xmlns:c16="http://schemas.microsoft.com/office/drawing/2014/chart" uri="{C3380CC4-5D6E-409C-BE32-E72D297353CC}">
              <c16:uniqueId val="{00000000-E504-4C5F-AE0E-39E4DECCCBA7}"/>
            </c:ext>
          </c:extLst>
        </c:ser>
        <c:ser>
          <c:idx val="1"/>
          <c:order val="1"/>
          <c:tx>
            <c:strRef>
              <c:f>suelo!$C$33</c:f>
              <c:strCache>
                <c:ptCount val="1"/>
                <c:pt idx="0">
                  <c:v>BP2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suelo!$D$31:$G$31</c:f>
              <c:strCache>
                <c:ptCount val="4"/>
                <c:pt idx="0">
                  <c:v>7 days</c:v>
                </c:pt>
                <c:pt idx="1">
                  <c:v>14 days</c:v>
                </c:pt>
                <c:pt idx="2">
                  <c:v>21 days</c:v>
                </c:pt>
                <c:pt idx="3">
                  <c:v>28 days</c:v>
                </c:pt>
              </c:strCache>
            </c:strRef>
          </c:cat>
          <c:val>
            <c:numRef>
              <c:f>suelo!$D$33:$G$33</c:f>
              <c:numCache>
                <c:formatCode>0.00%</c:formatCode>
                <c:ptCount val="4"/>
                <c:pt idx="0">
                  <c:v>0.71930000000000005</c:v>
                </c:pt>
                <c:pt idx="1">
                  <c:v>0.93652415710809878</c:v>
                </c:pt>
                <c:pt idx="2">
                  <c:v>1</c:v>
                </c:pt>
              </c:numCache>
            </c:numRef>
          </c:val>
          <c:extLst>
            <c:ext xmlns:c16="http://schemas.microsoft.com/office/drawing/2014/chart" uri="{C3380CC4-5D6E-409C-BE32-E72D297353CC}">
              <c16:uniqueId val="{00000001-E504-4C5F-AE0E-39E4DECCCBA7}"/>
            </c:ext>
          </c:extLst>
        </c:ser>
        <c:ser>
          <c:idx val="2"/>
          <c:order val="2"/>
          <c:tx>
            <c:strRef>
              <c:f>suelo!$C$34</c:f>
              <c:strCache>
                <c:ptCount val="1"/>
                <c:pt idx="0">
                  <c:v>BP3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suelo!$D$31:$G$31</c:f>
              <c:strCache>
                <c:ptCount val="4"/>
                <c:pt idx="0">
                  <c:v>7 days</c:v>
                </c:pt>
                <c:pt idx="1">
                  <c:v>14 days</c:v>
                </c:pt>
                <c:pt idx="2">
                  <c:v>21 days</c:v>
                </c:pt>
                <c:pt idx="3">
                  <c:v>28 days</c:v>
                </c:pt>
              </c:strCache>
            </c:strRef>
          </c:cat>
          <c:val>
            <c:numRef>
              <c:f>suelo!$D$34:$G$34</c:f>
              <c:numCache>
                <c:formatCode>0.00%</c:formatCode>
                <c:ptCount val="4"/>
                <c:pt idx="0">
                  <c:v>0.15939999999999999</c:v>
                </c:pt>
                <c:pt idx="1">
                  <c:v>0.43523988123144247</c:v>
                </c:pt>
                <c:pt idx="2">
                  <c:v>0.9423868312757202</c:v>
                </c:pt>
                <c:pt idx="3">
                  <c:v>0.90123456790123457</c:v>
                </c:pt>
              </c:numCache>
            </c:numRef>
          </c:val>
          <c:extLst>
            <c:ext xmlns:c16="http://schemas.microsoft.com/office/drawing/2014/chart" uri="{C3380CC4-5D6E-409C-BE32-E72D297353CC}">
              <c16:uniqueId val="{00000002-E504-4C5F-AE0E-39E4DECCCBA7}"/>
            </c:ext>
          </c:extLst>
        </c:ser>
        <c:dLbls>
          <c:dLblPos val="outEnd"/>
          <c:showLegendKey val="0"/>
          <c:showVal val="1"/>
          <c:showCatName val="0"/>
          <c:showSerName val="0"/>
          <c:showPercent val="0"/>
          <c:showBubbleSize val="0"/>
        </c:dLbls>
        <c:gapWidth val="444"/>
        <c:overlap val="-90"/>
        <c:axId val="316393552"/>
        <c:axId val="325241872"/>
      </c:barChart>
      <c:catAx>
        <c:axId val="316393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cap="all" baseline="0">
                    <a:solidFill>
                      <a:schemeClr val="tx1">
                        <a:lumMod val="65000"/>
                        <a:lumOff val="35000"/>
                      </a:schemeClr>
                    </a:solidFill>
                    <a:latin typeface="+mn-lt"/>
                    <a:ea typeface="+mn-ea"/>
                    <a:cs typeface="+mn-cs"/>
                  </a:defRPr>
                </a:pPr>
                <a:r>
                  <a:rPr lang="es-PE" sz="700"/>
                  <a:t>Time</a:t>
                </a:r>
              </a:p>
            </c:rich>
          </c:tx>
          <c:layout>
            <c:manualLayout>
              <c:xMode val="edge"/>
              <c:yMode val="edge"/>
              <c:x val="0.47572331716358901"/>
              <c:y val="0.85472634886156473"/>
            </c:manualLayout>
          </c:layout>
          <c:overlay val="0"/>
          <c:spPr>
            <a:noFill/>
            <a:ln>
              <a:noFill/>
            </a:ln>
            <a:effectLst/>
          </c:spPr>
          <c:txPr>
            <a:bodyPr rot="0" spcFirstLastPara="1" vertOverflow="ellipsis" vert="horz" wrap="square" anchor="ctr" anchorCtr="1"/>
            <a:lstStyle/>
            <a:p>
              <a:pPr>
                <a:defRPr sz="700" b="0" i="0" u="none" strike="noStrike" kern="1200" cap="all"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PE"/>
          </a:p>
        </c:txPr>
        <c:crossAx val="325241872"/>
        <c:crosses val="autoZero"/>
        <c:auto val="1"/>
        <c:lblAlgn val="ctr"/>
        <c:lblOffset val="100"/>
        <c:noMultiLvlLbl val="0"/>
      </c:catAx>
      <c:valAx>
        <c:axId val="325241872"/>
        <c:scaling>
          <c:orientation val="minMax"/>
        </c:scaling>
        <c:delete val="1"/>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PE" sz="600">
                    <a:solidFill>
                      <a:sysClr val="windowText" lastClr="000000"/>
                    </a:solidFill>
                    <a:latin typeface="Arial" panose="020B0604020202020204" pitchFamily="34" charset="0"/>
                    <a:cs typeface="Arial" panose="020B0604020202020204" pitchFamily="34" charset="0"/>
                  </a:rPr>
                  <a:t>Biodegradability in soil (%)</a:t>
                </a:r>
              </a:p>
            </c:rich>
          </c:tx>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0.00%" sourceLinked="1"/>
        <c:majorTickMark val="none"/>
        <c:minorTickMark val="none"/>
        <c:tickLblPos val="nextTo"/>
        <c:crossAx val="316393552"/>
        <c:crosses val="autoZero"/>
        <c:crossBetween val="between"/>
      </c:valAx>
      <c:spPr>
        <a:noFill/>
        <a:ln>
          <a:noFill/>
        </a:ln>
        <a:effectLst/>
      </c:spPr>
    </c:plotArea>
    <c:legend>
      <c:legendPos val="b"/>
      <c:layout>
        <c:manualLayout>
          <c:xMode val="edge"/>
          <c:yMode val="edge"/>
          <c:x val="0.37940987175762303"/>
          <c:y val="0.90716917774440753"/>
          <c:w val="0.36088005777801263"/>
          <c:h val="8.92863392075990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81240348440631E-2"/>
          <c:y val="0.13927479653278635"/>
          <c:w val="0.88248304899387575"/>
          <c:h val="0.58417835220796599"/>
        </c:manualLayout>
      </c:layout>
      <c:barChart>
        <c:barDir val="col"/>
        <c:grouping val="clustered"/>
        <c:varyColors val="0"/>
        <c:ser>
          <c:idx val="0"/>
          <c:order val="0"/>
          <c:tx>
            <c:strRef>
              <c:f>agua!$C$5</c:f>
              <c:strCache>
                <c:ptCount val="1"/>
                <c:pt idx="0">
                  <c:v>BP1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agua!$C$14:$C$17</c:f>
              <c:strCache>
                <c:ptCount val="4"/>
                <c:pt idx="0">
                  <c:v>7 days</c:v>
                </c:pt>
                <c:pt idx="1">
                  <c:v>14 days</c:v>
                </c:pt>
                <c:pt idx="2">
                  <c:v>21 days</c:v>
                </c:pt>
                <c:pt idx="3">
                  <c:v>28 days</c:v>
                </c:pt>
              </c:strCache>
            </c:strRef>
          </c:cat>
          <c:val>
            <c:numRef>
              <c:f>agua!$D$5:$G$5</c:f>
              <c:numCache>
                <c:formatCode>0.00%</c:formatCode>
                <c:ptCount val="4"/>
                <c:pt idx="0">
                  <c:v>7.1900000000000006E-2</c:v>
                </c:pt>
                <c:pt idx="1">
                  <c:v>0.41674203400049808</c:v>
                </c:pt>
                <c:pt idx="2">
                  <c:v>0.84498332088133898</c:v>
                </c:pt>
                <c:pt idx="3">
                  <c:v>1</c:v>
                </c:pt>
              </c:numCache>
            </c:numRef>
          </c:val>
          <c:extLst>
            <c:ext xmlns:c16="http://schemas.microsoft.com/office/drawing/2014/chart" uri="{C3380CC4-5D6E-409C-BE32-E72D297353CC}">
              <c16:uniqueId val="{00000000-8171-41DA-AC69-80D92B0AF315}"/>
            </c:ext>
          </c:extLst>
        </c:ser>
        <c:ser>
          <c:idx val="1"/>
          <c:order val="1"/>
          <c:tx>
            <c:strRef>
              <c:f>agua!$C$6</c:f>
              <c:strCache>
                <c:ptCount val="1"/>
                <c:pt idx="0">
                  <c:v>BP2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agua!$C$14:$C$17</c:f>
              <c:strCache>
                <c:ptCount val="4"/>
                <c:pt idx="0">
                  <c:v>7 days</c:v>
                </c:pt>
                <c:pt idx="1">
                  <c:v>14 days</c:v>
                </c:pt>
                <c:pt idx="2">
                  <c:v>21 days</c:v>
                </c:pt>
                <c:pt idx="3">
                  <c:v>28 days</c:v>
                </c:pt>
              </c:strCache>
            </c:strRef>
          </c:cat>
          <c:val>
            <c:numRef>
              <c:f>agua!$D$6:$G$6</c:f>
              <c:numCache>
                <c:formatCode>0.00%</c:formatCode>
                <c:ptCount val="4"/>
                <c:pt idx="0" formatCode="0%">
                  <c:v>0.96</c:v>
                </c:pt>
                <c:pt idx="1">
                  <c:v>1</c:v>
                </c:pt>
              </c:numCache>
            </c:numRef>
          </c:val>
          <c:extLst>
            <c:ext xmlns:c16="http://schemas.microsoft.com/office/drawing/2014/chart" uri="{C3380CC4-5D6E-409C-BE32-E72D297353CC}">
              <c16:uniqueId val="{00000001-8171-41DA-AC69-80D92B0AF315}"/>
            </c:ext>
          </c:extLst>
        </c:ser>
        <c:ser>
          <c:idx val="2"/>
          <c:order val="2"/>
          <c:tx>
            <c:strRef>
              <c:f>agua!$C$7</c:f>
              <c:strCache>
                <c:ptCount val="1"/>
                <c:pt idx="0">
                  <c:v>BP3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agua!$C$14:$C$17</c:f>
              <c:strCache>
                <c:ptCount val="4"/>
                <c:pt idx="0">
                  <c:v>7 days</c:v>
                </c:pt>
                <c:pt idx="1">
                  <c:v>14 days</c:v>
                </c:pt>
                <c:pt idx="2">
                  <c:v>21 days</c:v>
                </c:pt>
                <c:pt idx="3">
                  <c:v>28 days</c:v>
                </c:pt>
              </c:strCache>
            </c:strRef>
          </c:cat>
          <c:val>
            <c:numRef>
              <c:f>agua!$D$7:$G$7</c:f>
              <c:numCache>
                <c:formatCode>0.00%</c:formatCode>
                <c:ptCount val="4"/>
                <c:pt idx="0">
                  <c:v>0.1094</c:v>
                </c:pt>
                <c:pt idx="1">
                  <c:v>0.73166209264122928</c:v>
                </c:pt>
                <c:pt idx="2">
                  <c:v>0.97411003236245952</c:v>
                </c:pt>
                <c:pt idx="3">
                  <c:v>1</c:v>
                </c:pt>
              </c:numCache>
            </c:numRef>
          </c:val>
          <c:extLst>
            <c:ext xmlns:c16="http://schemas.microsoft.com/office/drawing/2014/chart" uri="{C3380CC4-5D6E-409C-BE32-E72D297353CC}">
              <c16:uniqueId val="{00000002-8171-41DA-AC69-80D92B0AF315}"/>
            </c:ext>
          </c:extLst>
        </c:ser>
        <c:dLbls>
          <c:dLblPos val="outEnd"/>
          <c:showLegendKey val="0"/>
          <c:showVal val="1"/>
          <c:showCatName val="0"/>
          <c:showSerName val="0"/>
          <c:showPercent val="0"/>
          <c:showBubbleSize val="0"/>
        </c:dLbls>
        <c:gapWidth val="444"/>
        <c:overlap val="-90"/>
        <c:axId val="316438560"/>
        <c:axId val="322612336"/>
      </c:barChart>
      <c:catAx>
        <c:axId val="31643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6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PE" sz="600">
                    <a:solidFill>
                      <a:sysClr val="windowText" lastClr="000000"/>
                    </a:solidFill>
                    <a:latin typeface="Arial" panose="020B0604020202020204" pitchFamily="34" charset="0"/>
                    <a:cs typeface="Arial" panose="020B0604020202020204" pitchFamily="34" charset="0"/>
                  </a:rPr>
                  <a:t>Days</a:t>
                </a:r>
              </a:p>
            </c:rich>
          </c:tx>
          <c:layout>
            <c:manualLayout>
              <c:xMode val="edge"/>
              <c:yMode val="edge"/>
              <c:x val="0.42129279125584473"/>
              <c:y val="0.807681142129961"/>
            </c:manualLayout>
          </c:layout>
          <c:overlay val="0"/>
          <c:spPr>
            <a:noFill/>
            <a:ln>
              <a:noFill/>
            </a:ln>
            <a:effectLst/>
          </c:spPr>
          <c:txPr>
            <a:bodyPr rot="0" spcFirstLastPara="1" vertOverflow="ellipsis" vert="horz" wrap="square" anchor="ctr" anchorCtr="1"/>
            <a:lstStyle/>
            <a:p>
              <a:pPr>
                <a:defRPr sz="6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PE"/>
          </a:p>
        </c:txPr>
        <c:crossAx val="322612336"/>
        <c:crosses val="autoZero"/>
        <c:auto val="1"/>
        <c:lblAlgn val="ctr"/>
        <c:lblOffset val="100"/>
        <c:noMultiLvlLbl val="0"/>
      </c:catAx>
      <c:valAx>
        <c:axId val="322612336"/>
        <c:scaling>
          <c:orientation val="minMax"/>
        </c:scaling>
        <c:delete val="1"/>
        <c:axPos val="l"/>
        <c:title>
          <c:tx>
            <c:rich>
              <a:bodyPr rot="-5400000" spcFirstLastPara="1" vertOverflow="ellipsis" vert="horz" wrap="square" anchor="ctr" anchorCtr="1"/>
              <a:lstStyle/>
              <a:p>
                <a:pPr>
                  <a:defRPr sz="700" b="0" i="0" u="none" strike="noStrike" kern="1200" cap="all" baseline="0">
                    <a:solidFill>
                      <a:sysClr val="windowText" lastClr="000000"/>
                    </a:solidFill>
                    <a:latin typeface="+mn-lt"/>
                    <a:ea typeface="+mn-ea"/>
                    <a:cs typeface="+mn-cs"/>
                  </a:defRPr>
                </a:pPr>
                <a:r>
                  <a:rPr lang="es-PE" sz="700">
                    <a:solidFill>
                      <a:sysClr val="windowText" lastClr="000000"/>
                    </a:solidFill>
                  </a:rPr>
                  <a:t>Biodegradability in water (%)</a:t>
                </a:r>
              </a:p>
            </c:rich>
          </c:tx>
          <c:layout>
            <c:manualLayout>
              <c:xMode val="edge"/>
              <c:yMode val="edge"/>
              <c:x val="2.2395515465252626E-2"/>
              <c:y val="9.1244623833785468E-2"/>
            </c:manualLayout>
          </c:layout>
          <c:overlay val="0"/>
          <c:spPr>
            <a:noFill/>
            <a:ln>
              <a:noFill/>
            </a:ln>
            <a:effectLst/>
          </c:spPr>
          <c:txPr>
            <a:bodyPr rot="-5400000" spcFirstLastPara="1" vertOverflow="ellipsis" vert="horz" wrap="square" anchor="ctr" anchorCtr="1"/>
            <a:lstStyle/>
            <a:p>
              <a:pPr>
                <a:defRPr sz="700" b="0" i="0" u="none" strike="noStrike" kern="1200" cap="all" baseline="0">
                  <a:solidFill>
                    <a:sysClr val="windowText" lastClr="000000"/>
                  </a:solidFill>
                  <a:latin typeface="+mn-lt"/>
                  <a:ea typeface="+mn-ea"/>
                  <a:cs typeface="+mn-cs"/>
                </a:defRPr>
              </a:pPr>
              <a:endParaRPr lang="es-PE"/>
            </a:p>
          </c:txPr>
        </c:title>
        <c:numFmt formatCode="0.00%" sourceLinked="1"/>
        <c:majorTickMark val="none"/>
        <c:minorTickMark val="none"/>
        <c:tickLblPos val="nextTo"/>
        <c:crossAx val="316438560"/>
        <c:crosses val="autoZero"/>
        <c:crossBetween val="between"/>
      </c:valAx>
      <c:spPr>
        <a:noFill/>
        <a:ln>
          <a:noFill/>
        </a:ln>
        <a:effectLst/>
      </c:spPr>
    </c:plotArea>
    <c:legend>
      <c:legendPos val="b"/>
      <c:layout>
        <c:manualLayout>
          <c:xMode val="edge"/>
          <c:yMode val="edge"/>
          <c:x val="0.3393719824449134"/>
          <c:y val="0.89346516344547844"/>
          <c:w val="0.3843777539460881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02936848802985E-2"/>
          <c:y val="0.1668591309107752"/>
          <c:w val="0.82428393183806559"/>
          <c:h val="0.65788875321066154"/>
        </c:manualLayout>
      </c:layout>
      <c:barChart>
        <c:barDir val="col"/>
        <c:grouping val="clustered"/>
        <c:varyColors val="0"/>
        <c:ser>
          <c:idx val="0"/>
          <c:order val="0"/>
          <c:tx>
            <c:strRef>
              <c:f>intemperie!$C$18</c:f>
              <c:strCache>
                <c:ptCount val="1"/>
                <c:pt idx="0">
                  <c:v>BP1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intemperie!$D$17:$G$17</c:f>
              <c:strCache>
                <c:ptCount val="4"/>
                <c:pt idx="0">
                  <c:v>7 days</c:v>
                </c:pt>
                <c:pt idx="1">
                  <c:v>14 days</c:v>
                </c:pt>
                <c:pt idx="2">
                  <c:v>21 days</c:v>
                </c:pt>
                <c:pt idx="3">
                  <c:v>28 days</c:v>
                </c:pt>
              </c:strCache>
            </c:strRef>
          </c:cat>
          <c:val>
            <c:numRef>
              <c:f>intemperie!$D$18:$G$18</c:f>
              <c:numCache>
                <c:formatCode>0.00%</c:formatCode>
                <c:ptCount val="4"/>
                <c:pt idx="0">
                  <c:v>1.8200000000000001E-2</c:v>
                </c:pt>
                <c:pt idx="1">
                  <c:v>8.8648239970301648E-2</c:v>
                </c:pt>
                <c:pt idx="2">
                  <c:v>0.17718942634405174</c:v>
                </c:pt>
                <c:pt idx="3">
                  <c:v>0.24446666666666669</c:v>
                </c:pt>
              </c:numCache>
            </c:numRef>
          </c:val>
          <c:extLst>
            <c:ext xmlns:c16="http://schemas.microsoft.com/office/drawing/2014/chart" uri="{C3380CC4-5D6E-409C-BE32-E72D297353CC}">
              <c16:uniqueId val="{00000000-DD74-4D64-9368-9159C918DA7E}"/>
            </c:ext>
          </c:extLst>
        </c:ser>
        <c:ser>
          <c:idx val="1"/>
          <c:order val="1"/>
          <c:tx>
            <c:strRef>
              <c:f>intemperie!$C$19</c:f>
              <c:strCache>
                <c:ptCount val="1"/>
                <c:pt idx="0">
                  <c:v>BP2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intemperie!$D$17:$G$17</c:f>
              <c:strCache>
                <c:ptCount val="4"/>
                <c:pt idx="0">
                  <c:v>7 days</c:v>
                </c:pt>
                <c:pt idx="1">
                  <c:v>14 days</c:v>
                </c:pt>
                <c:pt idx="2">
                  <c:v>21 days</c:v>
                </c:pt>
                <c:pt idx="3">
                  <c:v>28 days</c:v>
                </c:pt>
              </c:strCache>
            </c:strRef>
          </c:cat>
          <c:val>
            <c:numRef>
              <c:f>intemperie!$D$19:$G$19</c:f>
              <c:numCache>
                <c:formatCode>0.00%</c:formatCode>
                <c:ptCount val="4"/>
                <c:pt idx="0">
                  <c:v>5.1700000000000003E-2</c:v>
                </c:pt>
                <c:pt idx="1">
                  <c:v>0.13068488140951909</c:v>
                </c:pt>
                <c:pt idx="2">
                  <c:v>0.19823633156966489</c:v>
                </c:pt>
                <c:pt idx="3">
                  <c:v>0.28390000000000004</c:v>
                </c:pt>
              </c:numCache>
            </c:numRef>
          </c:val>
          <c:extLst>
            <c:ext xmlns:c16="http://schemas.microsoft.com/office/drawing/2014/chart" uri="{C3380CC4-5D6E-409C-BE32-E72D297353CC}">
              <c16:uniqueId val="{00000001-DD74-4D64-9368-9159C918DA7E}"/>
            </c:ext>
          </c:extLst>
        </c:ser>
        <c:ser>
          <c:idx val="2"/>
          <c:order val="2"/>
          <c:tx>
            <c:strRef>
              <c:f>intemperie!$C$20</c:f>
              <c:strCache>
                <c:ptCount val="1"/>
                <c:pt idx="0">
                  <c:v>BP3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intemperie!$D$17:$G$17</c:f>
              <c:strCache>
                <c:ptCount val="4"/>
                <c:pt idx="0">
                  <c:v>7 days</c:v>
                </c:pt>
                <c:pt idx="1">
                  <c:v>14 days</c:v>
                </c:pt>
                <c:pt idx="2">
                  <c:v>21 days</c:v>
                </c:pt>
                <c:pt idx="3">
                  <c:v>28 days</c:v>
                </c:pt>
              </c:strCache>
            </c:strRef>
          </c:cat>
          <c:val>
            <c:numRef>
              <c:f>intemperie!$D$20:$G$20</c:f>
              <c:numCache>
                <c:formatCode>0.00%</c:formatCode>
                <c:ptCount val="4"/>
                <c:pt idx="0">
                  <c:v>3.4799999999999998E-2</c:v>
                </c:pt>
                <c:pt idx="1">
                  <c:v>0.10190991324893733</c:v>
                </c:pt>
                <c:pt idx="2">
                  <c:v>0.16731643096785151</c:v>
                </c:pt>
                <c:pt idx="3">
                  <c:v>0.25756666666666667</c:v>
                </c:pt>
              </c:numCache>
            </c:numRef>
          </c:val>
          <c:extLst>
            <c:ext xmlns:c16="http://schemas.microsoft.com/office/drawing/2014/chart" uri="{C3380CC4-5D6E-409C-BE32-E72D297353CC}">
              <c16:uniqueId val="{00000002-DD74-4D64-9368-9159C918DA7E}"/>
            </c:ext>
          </c:extLst>
        </c:ser>
        <c:dLbls>
          <c:dLblPos val="outEnd"/>
          <c:showLegendKey val="0"/>
          <c:showVal val="1"/>
          <c:showCatName val="0"/>
          <c:showSerName val="0"/>
          <c:showPercent val="0"/>
          <c:showBubbleSize val="0"/>
        </c:dLbls>
        <c:gapWidth val="444"/>
        <c:overlap val="-90"/>
        <c:axId val="788795679"/>
        <c:axId val="785605151"/>
      </c:barChart>
      <c:catAx>
        <c:axId val="7887956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s-PE" sz="700">
                    <a:latin typeface="Arial" panose="020B0604020202020204" pitchFamily="34" charset="0"/>
                    <a:cs typeface="Arial" panose="020B0604020202020204" pitchFamily="34" charset="0"/>
                  </a:rPr>
                  <a:t>time</a:t>
                </a:r>
              </a:p>
            </c:rich>
          </c:tx>
          <c:overlay val="0"/>
          <c:spPr>
            <a:noFill/>
            <a:ln>
              <a:noFill/>
            </a:ln>
            <a:effectLst/>
          </c:spPr>
          <c:txPr>
            <a:bodyPr rot="0" spcFirstLastPara="1" vertOverflow="ellipsis" vert="horz" wrap="square" anchor="ctr" anchorCtr="1"/>
            <a:lstStyle/>
            <a:p>
              <a:pPr>
                <a:defRPr sz="7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PE"/>
          </a:p>
        </c:txPr>
        <c:crossAx val="785605151"/>
        <c:crosses val="autoZero"/>
        <c:auto val="1"/>
        <c:lblAlgn val="ctr"/>
        <c:lblOffset val="100"/>
        <c:noMultiLvlLbl val="0"/>
      </c:catAx>
      <c:valAx>
        <c:axId val="785605151"/>
        <c:scaling>
          <c:orientation val="minMax"/>
        </c:scaling>
        <c:delete val="1"/>
        <c:axPos val="l"/>
        <c:title>
          <c:tx>
            <c:rich>
              <a:bodyPr rot="-5400000" spcFirstLastPara="1" vertOverflow="ellipsis" vert="horz" wrap="square" anchor="ctr" anchorCtr="1"/>
              <a:lstStyle/>
              <a:p>
                <a:pPr>
                  <a:defRPr sz="6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PE" sz="600" b="0" i="0" u="none" strike="noStrike" cap="all" baseline="0">
                    <a:solidFill>
                      <a:sysClr val="windowText" lastClr="000000"/>
                    </a:solidFill>
                    <a:latin typeface="Arial" panose="020B0604020202020204" pitchFamily="34" charset="0"/>
                    <a:cs typeface="Arial" panose="020B0604020202020204" pitchFamily="34" charset="0"/>
                  </a:rPr>
                  <a:t>Biodegradability outdoors (%)</a:t>
                </a:r>
                <a:endParaRPr lang="es-PE" sz="6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4.2429959039211006E-2"/>
              <c:y val="0.15036225554500324"/>
            </c:manualLayout>
          </c:layout>
          <c:overlay val="0"/>
          <c:spPr>
            <a:noFill/>
            <a:ln>
              <a:noFill/>
            </a:ln>
            <a:effectLst/>
          </c:spPr>
          <c:txPr>
            <a:bodyPr rot="-5400000" spcFirstLastPara="1" vertOverflow="ellipsis" vert="horz" wrap="square" anchor="ctr" anchorCtr="1"/>
            <a:lstStyle/>
            <a:p>
              <a:pPr>
                <a:defRPr sz="6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s-PE"/>
            </a:p>
          </c:txPr>
        </c:title>
        <c:numFmt formatCode="0.00%" sourceLinked="1"/>
        <c:majorTickMark val="none"/>
        <c:minorTickMark val="none"/>
        <c:tickLblPos val="nextTo"/>
        <c:crossAx val="7887956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62B7-7B47-4FFB-97B4-0D8C0CAD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3853</Words>
  <Characters>21196</Characters>
  <Application>Microsoft Office Word</Application>
  <DocSecurity>0</DocSecurity>
  <Lines>176</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HP</cp:lastModifiedBy>
  <cp:revision>15</cp:revision>
  <cp:lastPrinted>2015-05-12T18:31:00Z</cp:lastPrinted>
  <dcterms:created xsi:type="dcterms:W3CDTF">2023-04-15T06:27:00Z</dcterms:created>
  <dcterms:modified xsi:type="dcterms:W3CDTF">2023-05-10T19:19:00Z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d46a9b7dc9ae68aa2851c12c23fb46e91e7f45dd4b325467a38bcb90e4a7883c</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http://csl.mendeley.com/styles/585916951/iso690-author-date-es</vt:lpwstr>
  </property>
  <property fmtid="{D5CDD505-2E9C-101B-9397-08002B2CF9AE}" pid="18" name="Mendeley Recent Style Name 6_1">
    <vt:lpwstr>ISO-690 (author-date, Español) - Danny Alonso Lizarzaburu Aguinaga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61f0b6cd-5922-3bfb-b0eb-32c792f8a075</vt:lpwstr>
  </property>
  <property fmtid="{D5CDD505-2E9C-101B-9397-08002B2CF9AE}" pid="27" name="Mendeley Citation Style_1">
    <vt:lpwstr>http://www.zotero.org/styles/apa</vt:lpwstr>
  </property>
</Properties>
</file>