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3A4088">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3A4088">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3A4088">
        <w:trPr>
          <w:trHeight w:val="68"/>
          <w:jc w:val="center"/>
        </w:trPr>
        <w:tc>
          <w:tcPr>
            <w:tcW w:w="8782" w:type="dxa"/>
            <w:gridSpan w:val="2"/>
          </w:tcPr>
          <w:p w14:paraId="1D8DD3C9" w14:textId="72C518CF"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w:t>
            </w:r>
            <w:r w:rsidRPr="00F93EDF">
              <w:rPr>
                <w:rFonts w:ascii="Tahoma" w:hAnsi="Tahoma" w:cs="Tahoma"/>
                <w:color w:val="000000"/>
                <w:sz w:val="14"/>
                <w:szCs w:val="14"/>
                <w:shd w:val="clear" w:color="auto" w:fill="FFFFFF"/>
              </w:rPr>
              <w:t xml:space="preserve"> </w:t>
            </w:r>
            <w:r w:rsidRPr="00293D18">
              <w:rPr>
                <w:rFonts w:ascii="Tahoma" w:hAnsi="Tahoma" w:cs="Tahoma"/>
                <w:sz w:val="14"/>
                <w:szCs w:val="14"/>
              </w:rPr>
              <w:t>Sauro Pierucci</w:t>
            </w:r>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7D89930D" w14:textId="1C796D93" w:rsidR="003A4088" w:rsidRPr="00411BE8" w:rsidRDefault="00166648" w:rsidP="003A4088">
      <w:pPr>
        <w:pStyle w:val="CETAuthors"/>
        <w:jc w:val="center"/>
        <w:rPr>
          <w:noProof w:val="0"/>
          <w:sz w:val="32"/>
        </w:rPr>
      </w:pPr>
      <w:bookmarkStart w:id="0" w:name="_Hlk132015408"/>
      <w:r w:rsidRPr="00411BE8">
        <w:rPr>
          <w:noProof w:val="0"/>
          <w:sz w:val="32"/>
        </w:rPr>
        <w:t>I</w:t>
      </w:r>
      <w:r>
        <w:rPr>
          <w:noProof w:val="0"/>
          <w:sz w:val="32"/>
        </w:rPr>
        <w:t>nnovative</w:t>
      </w:r>
      <w:r w:rsidRPr="00411BE8">
        <w:rPr>
          <w:noProof w:val="0"/>
          <w:sz w:val="32"/>
        </w:rPr>
        <w:t xml:space="preserve"> S</w:t>
      </w:r>
      <w:r>
        <w:rPr>
          <w:noProof w:val="0"/>
          <w:sz w:val="32"/>
        </w:rPr>
        <w:t>trategies</w:t>
      </w:r>
      <w:r w:rsidRPr="00411BE8">
        <w:rPr>
          <w:noProof w:val="0"/>
          <w:sz w:val="32"/>
        </w:rPr>
        <w:t xml:space="preserve"> </w:t>
      </w:r>
      <w:r w:rsidR="003A4088" w:rsidRPr="00411BE8">
        <w:rPr>
          <w:noProof w:val="0"/>
          <w:sz w:val="32"/>
        </w:rPr>
        <w:t>F</w:t>
      </w:r>
      <w:r>
        <w:rPr>
          <w:noProof w:val="0"/>
          <w:sz w:val="32"/>
        </w:rPr>
        <w:t>or</w:t>
      </w:r>
      <w:r w:rsidR="003A4088" w:rsidRPr="00411BE8">
        <w:rPr>
          <w:noProof w:val="0"/>
          <w:sz w:val="32"/>
        </w:rPr>
        <w:t xml:space="preserve"> </w:t>
      </w:r>
      <w:r w:rsidRPr="00411BE8">
        <w:rPr>
          <w:noProof w:val="0"/>
          <w:sz w:val="32"/>
        </w:rPr>
        <w:t>O</w:t>
      </w:r>
      <w:r>
        <w:rPr>
          <w:noProof w:val="0"/>
          <w:sz w:val="32"/>
        </w:rPr>
        <w:t>zone</w:t>
      </w:r>
      <w:r w:rsidRPr="00411BE8">
        <w:rPr>
          <w:noProof w:val="0"/>
          <w:sz w:val="32"/>
        </w:rPr>
        <w:t xml:space="preserve"> T</w:t>
      </w:r>
      <w:r>
        <w:rPr>
          <w:noProof w:val="0"/>
          <w:sz w:val="32"/>
        </w:rPr>
        <w:t>reatment</w:t>
      </w:r>
      <w:r w:rsidRPr="00411BE8">
        <w:rPr>
          <w:noProof w:val="0"/>
          <w:sz w:val="32"/>
        </w:rPr>
        <w:t xml:space="preserve"> O</w:t>
      </w:r>
      <w:r>
        <w:rPr>
          <w:noProof w:val="0"/>
          <w:sz w:val="32"/>
        </w:rPr>
        <w:t>f</w:t>
      </w:r>
      <w:r w:rsidRPr="00411BE8">
        <w:rPr>
          <w:noProof w:val="0"/>
          <w:sz w:val="32"/>
        </w:rPr>
        <w:t xml:space="preserve"> I</w:t>
      </w:r>
      <w:r>
        <w:rPr>
          <w:noProof w:val="0"/>
          <w:sz w:val="32"/>
        </w:rPr>
        <w:t>ndustrial</w:t>
      </w:r>
      <w:r w:rsidRPr="00411BE8">
        <w:rPr>
          <w:noProof w:val="0"/>
          <w:sz w:val="32"/>
        </w:rPr>
        <w:t xml:space="preserve"> W</w:t>
      </w:r>
      <w:r>
        <w:rPr>
          <w:noProof w:val="0"/>
          <w:sz w:val="32"/>
        </w:rPr>
        <w:t>astes</w:t>
      </w:r>
      <w:r w:rsidR="003A4088" w:rsidRPr="00411BE8">
        <w:rPr>
          <w:noProof w:val="0"/>
          <w:sz w:val="32"/>
        </w:rPr>
        <w:t xml:space="preserve">: </w:t>
      </w:r>
      <w:r w:rsidRPr="00411BE8">
        <w:rPr>
          <w:noProof w:val="0"/>
          <w:sz w:val="32"/>
        </w:rPr>
        <w:t>H</w:t>
      </w:r>
      <w:r>
        <w:rPr>
          <w:noProof w:val="0"/>
          <w:sz w:val="32"/>
        </w:rPr>
        <w:t>ydrothermal</w:t>
      </w:r>
      <w:r w:rsidRPr="00411BE8">
        <w:rPr>
          <w:noProof w:val="0"/>
          <w:sz w:val="32"/>
        </w:rPr>
        <w:t xml:space="preserve"> L</w:t>
      </w:r>
      <w:r>
        <w:rPr>
          <w:noProof w:val="0"/>
          <w:sz w:val="32"/>
        </w:rPr>
        <w:t>iquefaction</w:t>
      </w:r>
      <w:r w:rsidRPr="00411BE8">
        <w:rPr>
          <w:noProof w:val="0"/>
          <w:sz w:val="32"/>
        </w:rPr>
        <w:t xml:space="preserve"> O</w:t>
      </w:r>
      <w:r>
        <w:rPr>
          <w:noProof w:val="0"/>
          <w:sz w:val="32"/>
        </w:rPr>
        <w:t>f</w:t>
      </w:r>
      <w:r w:rsidRPr="00411BE8">
        <w:rPr>
          <w:noProof w:val="0"/>
          <w:sz w:val="32"/>
        </w:rPr>
        <w:t xml:space="preserve"> S</w:t>
      </w:r>
      <w:r>
        <w:rPr>
          <w:noProof w:val="0"/>
          <w:sz w:val="32"/>
        </w:rPr>
        <w:t>urfactant</w:t>
      </w:r>
      <w:r w:rsidRPr="00411BE8">
        <w:rPr>
          <w:noProof w:val="0"/>
          <w:sz w:val="32"/>
        </w:rPr>
        <w:t xml:space="preserve"> W</w:t>
      </w:r>
      <w:r>
        <w:rPr>
          <w:noProof w:val="0"/>
          <w:sz w:val="32"/>
        </w:rPr>
        <w:t>astewater</w:t>
      </w:r>
      <w:r w:rsidRPr="00411BE8">
        <w:rPr>
          <w:noProof w:val="0"/>
          <w:sz w:val="32"/>
        </w:rPr>
        <w:t xml:space="preserve"> A</w:t>
      </w:r>
      <w:r>
        <w:rPr>
          <w:noProof w:val="0"/>
          <w:sz w:val="32"/>
        </w:rPr>
        <w:t>nd</w:t>
      </w:r>
      <w:r w:rsidRPr="00411BE8">
        <w:rPr>
          <w:noProof w:val="0"/>
          <w:sz w:val="32"/>
        </w:rPr>
        <w:t xml:space="preserve"> L</w:t>
      </w:r>
      <w:r>
        <w:rPr>
          <w:noProof w:val="0"/>
          <w:sz w:val="32"/>
        </w:rPr>
        <w:t>eacheate</w:t>
      </w:r>
      <w:r w:rsidRPr="00411BE8">
        <w:rPr>
          <w:noProof w:val="0"/>
          <w:sz w:val="32"/>
        </w:rPr>
        <w:t xml:space="preserve"> E</w:t>
      </w:r>
      <w:r>
        <w:rPr>
          <w:noProof w:val="0"/>
          <w:sz w:val="32"/>
        </w:rPr>
        <w:t>vaporation</w:t>
      </w:r>
      <w:r w:rsidRPr="00411BE8">
        <w:rPr>
          <w:noProof w:val="0"/>
          <w:sz w:val="32"/>
        </w:rPr>
        <w:t xml:space="preserve"> </w:t>
      </w:r>
    </w:p>
    <w:bookmarkEnd w:id="0"/>
    <w:p w14:paraId="3D72B0B0" w14:textId="182AFBF8" w:rsidR="00B57E6F" w:rsidRPr="00411BE8" w:rsidRDefault="003A4088" w:rsidP="003A4088">
      <w:pPr>
        <w:pStyle w:val="CETAddress"/>
        <w:rPr>
          <w:lang w:val="es-ES"/>
        </w:rPr>
      </w:pPr>
      <w:r w:rsidRPr="003A4088">
        <w:rPr>
          <w:sz w:val="24"/>
          <w:lang w:val="es-ES"/>
        </w:rPr>
        <w:t>J</w:t>
      </w:r>
      <w:r w:rsidR="00A015F0">
        <w:rPr>
          <w:sz w:val="24"/>
          <w:lang w:val="es-ES"/>
        </w:rPr>
        <w:t>uan</w:t>
      </w:r>
      <w:r w:rsidRPr="003A4088">
        <w:rPr>
          <w:sz w:val="24"/>
          <w:lang w:val="es-ES"/>
        </w:rPr>
        <w:t xml:space="preserve"> J. Mascarell</w:t>
      </w:r>
      <w:r w:rsidRPr="003A4088">
        <w:rPr>
          <w:sz w:val="24"/>
          <w:vertAlign w:val="superscript"/>
          <w:lang w:val="es-ES"/>
        </w:rPr>
        <w:t>a</w:t>
      </w:r>
      <w:r w:rsidRPr="000261A0">
        <w:rPr>
          <w:sz w:val="24"/>
          <w:vertAlign w:val="superscript"/>
          <w:lang w:val="es-ES"/>
        </w:rPr>
        <w:t>,</w:t>
      </w:r>
      <w:r w:rsidRPr="003A4088">
        <w:rPr>
          <w:sz w:val="24"/>
          <w:lang w:val="es-ES"/>
        </w:rPr>
        <w:t>*, J</w:t>
      </w:r>
      <w:r w:rsidR="00A015F0">
        <w:rPr>
          <w:sz w:val="24"/>
          <w:lang w:val="es-ES"/>
        </w:rPr>
        <w:t>os</w:t>
      </w:r>
      <w:r w:rsidR="00CF7F4D">
        <w:rPr>
          <w:sz w:val="24"/>
          <w:lang w:val="es-ES"/>
        </w:rPr>
        <w:t>e</w:t>
      </w:r>
      <w:r w:rsidR="00A015F0">
        <w:rPr>
          <w:sz w:val="24"/>
          <w:lang w:val="es-ES"/>
        </w:rPr>
        <w:t xml:space="preserve"> </w:t>
      </w:r>
      <w:r w:rsidRPr="003A4088">
        <w:rPr>
          <w:sz w:val="24"/>
          <w:lang w:val="es-ES"/>
        </w:rPr>
        <w:t>M</w:t>
      </w:r>
      <w:r w:rsidR="00A015F0">
        <w:rPr>
          <w:sz w:val="24"/>
          <w:lang w:val="es-ES"/>
        </w:rPr>
        <w:t>.</w:t>
      </w:r>
      <w:r w:rsidRPr="003A4088">
        <w:rPr>
          <w:sz w:val="24"/>
          <w:lang w:val="es-ES"/>
        </w:rPr>
        <w:t xml:space="preserve"> Abelleira-Pereira</w:t>
      </w:r>
      <w:r w:rsidRPr="003A4088">
        <w:rPr>
          <w:sz w:val="24"/>
          <w:vertAlign w:val="superscript"/>
          <w:lang w:val="es-ES"/>
        </w:rPr>
        <w:t>a</w:t>
      </w:r>
      <w:r w:rsidRPr="003A4088">
        <w:rPr>
          <w:sz w:val="24"/>
          <w:lang w:val="es-ES"/>
        </w:rPr>
        <w:t>, Belén García-Jarana</w:t>
      </w:r>
      <w:r w:rsidRPr="003A4088">
        <w:rPr>
          <w:sz w:val="24"/>
          <w:vertAlign w:val="superscript"/>
          <w:lang w:val="es-ES"/>
        </w:rPr>
        <w:t>a</w:t>
      </w:r>
      <w:r w:rsidRPr="003A4088">
        <w:rPr>
          <w:sz w:val="24"/>
          <w:lang w:val="es-ES"/>
        </w:rPr>
        <w:t xml:space="preserve"> J</w:t>
      </w:r>
      <w:r w:rsidR="00A015F0">
        <w:rPr>
          <w:sz w:val="24"/>
          <w:lang w:val="es-ES"/>
        </w:rPr>
        <w:t>uan</w:t>
      </w:r>
      <w:r w:rsidRPr="003A4088">
        <w:rPr>
          <w:sz w:val="24"/>
          <w:lang w:val="es-ES"/>
        </w:rPr>
        <w:t xml:space="preserve"> R. Portela</w:t>
      </w:r>
      <w:r w:rsidRPr="003A4088">
        <w:rPr>
          <w:sz w:val="24"/>
          <w:vertAlign w:val="superscript"/>
          <w:lang w:val="es-ES"/>
        </w:rPr>
        <w:t>a</w:t>
      </w:r>
      <w:r w:rsidRPr="003A4088">
        <w:rPr>
          <w:sz w:val="24"/>
          <w:lang w:val="es-ES"/>
        </w:rPr>
        <w:t>, E</w:t>
      </w:r>
      <w:r w:rsidR="00A015F0">
        <w:rPr>
          <w:sz w:val="24"/>
          <w:lang w:val="es-ES"/>
        </w:rPr>
        <w:t>nrique</w:t>
      </w:r>
      <w:r w:rsidRPr="003A4088">
        <w:rPr>
          <w:sz w:val="24"/>
          <w:lang w:val="es-ES"/>
        </w:rPr>
        <w:t xml:space="preserve"> Martínez De La Ossa</w:t>
      </w:r>
      <w:r w:rsidRPr="003A4088">
        <w:rPr>
          <w:sz w:val="24"/>
          <w:vertAlign w:val="superscript"/>
          <w:lang w:val="es-ES"/>
        </w:rPr>
        <w:t>a</w:t>
      </w:r>
      <w:r w:rsidRPr="003A4088">
        <w:rPr>
          <w:sz w:val="24"/>
          <w:lang w:val="es-ES"/>
        </w:rPr>
        <w:t>, J</w:t>
      </w:r>
      <w:r w:rsidR="00A015F0">
        <w:rPr>
          <w:sz w:val="24"/>
          <w:lang w:val="es-ES"/>
        </w:rPr>
        <w:t xml:space="preserve">osé </w:t>
      </w:r>
      <w:r w:rsidRPr="003A4088">
        <w:rPr>
          <w:sz w:val="24"/>
          <w:lang w:val="es-ES"/>
        </w:rPr>
        <w:t>L. García-Morales</w:t>
      </w:r>
      <w:r w:rsidRPr="003A4088">
        <w:rPr>
          <w:sz w:val="24"/>
          <w:vertAlign w:val="superscript"/>
          <w:lang w:val="es-ES"/>
        </w:rPr>
        <w:t>b</w:t>
      </w:r>
      <w:r w:rsidRPr="003A4088">
        <w:rPr>
          <w:sz w:val="24"/>
          <w:lang w:val="es-ES"/>
        </w:rPr>
        <w:t xml:space="preserve"> </w:t>
      </w:r>
    </w:p>
    <w:p w14:paraId="581985CC" w14:textId="7F395861" w:rsidR="00411BE8" w:rsidRPr="00411BE8" w:rsidRDefault="00411BE8" w:rsidP="00411BE8">
      <w:pPr>
        <w:pStyle w:val="CETAddress"/>
      </w:pPr>
      <w:r w:rsidRPr="00411BE8">
        <w:rPr>
          <w:vertAlign w:val="superscript"/>
        </w:rPr>
        <w:t>a</w:t>
      </w:r>
      <w:r w:rsidRPr="00411BE8">
        <w:t xml:space="preserve">Department of Chemical Engineering and Food Technology, Faculty of Sciences, University of Cádiz, International Excellence Agrifood Campus (CeiA3), 11510, Puerto Real (Cádiz), Spain. </w:t>
      </w:r>
    </w:p>
    <w:p w14:paraId="662ED9F2" w14:textId="77777777" w:rsidR="00411BE8" w:rsidRPr="00411BE8" w:rsidRDefault="00411BE8" w:rsidP="00411BE8">
      <w:pPr>
        <w:pStyle w:val="CETAddress"/>
      </w:pPr>
      <w:r w:rsidRPr="00411BE8">
        <w:rPr>
          <w:vertAlign w:val="superscript"/>
        </w:rPr>
        <w:t>b</w:t>
      </w:r>
      <w:r w:rsidRPr="00411BE8">
        <w:t>Departament of Environmental Technologies. Faculty of Marine and Environmental Sciences, University of Cádiz, IVAGRO institute, 11510 Puerto Real (Cádiz), Spain.</w:t>
      </w:r>
    </w:p>
    <w:p w14:paraId="53FF4611" w14:textId="032FD1EC" w:rsidR="00400447" w:rsidRDefault="00000000" w:rsidP="00411BE8">
      <w:pPr>
        <w:pStyle w:val="CETAddress"/>
      </w:pPr>
      <w:hyperlink r:id="rId10" w:history="1">
        <w:r w:rsidR="00411BE8" w:rsidRPr="00411BE8">
          <w:t>jotero.litio@gmail.com</w:t>
        </w:r>
      </w:hyperlink>
    </w:p>
    <w:p w14:paraId="70A4BBA0" w14:textId="77777777" w:rsidR="00411BE8" w:rsidRDefault="00411BE8" w:rsidP="00701D1C">
      <w:pPr>
        <w:pStyle w:val="CETAddress"/>
        <w:jc w:val="both"/>
      </w:pPr>
    </w:p>
    <w:p w14:paraId="3FED74FB" w14:textId="63C23D78" w:rsidR="00411BE8" w:rsidRPr="00701D1C" w:rsidRDefault="00411BE8" w:rsidP="00701D1C">
      <w:pPr>
        <w:pStyle w:val="CETBodytext"/>
      </w:pPr>
      <w:r w:rsidRPr="00411BE8">
        <w:t>In this paper</w:t>
      </w:r>
      <w:r w:rsidR="00AB679B">
        <w:t>,</w:t>
      </w:r>
      <w:r w:rsidRPr="00411BE8">
        <w:t xml:space="preserve"> ozonation is used as a pre-treatment for two different </w:t>
      </w:r>
      <w:r w:rsidR="00281934" w:rsidRPr="00411BE8">
        <w:t>kinds</w:t>
      </w:r>
      <w:r w:rsidRPr="00411BE8">
        <w:t xml:space="preserve"> of wastewaters. The first purpose is the study of the effect of ozonation on a landfill leachate treated by a reverse osmosis process prior a concentration step in an atmospheric evaporator. At first sight, an ozone treatment can supply three effects</w:t>
      </w:r>
      <w:r w:rsidR="00701D1C">
        <w:t xml:space="preserve">: </w:t>
      </w:r>
      <w:r w:rsidR="00701D1C" w:rsidRPr="00701D1C">
        <w:t>Defoaming capacity, biocide effect</w:t>
      </w:r>
      <w:r w:rsidR="00AB679B">
        <w:t xml:space="preserve">, and </w:t>
      </w:r>
      <w:r w:rsidR="00AB679B" w:rsidRPr="00701D1C">
        <w:t>pH acidifier</w:t>
      </w:r>
      <w:r w:rsidR="00701D1C" w:rsidRPr="00701D1C">
        <w:t xml:space="preserve"> </w:t>
      </w:r>
      <w:r w:rsidR="00701D1C" w:rsidRPr="00411BE8">
        <w:t>to avoid the ammonia striping</w:t>
      </w:r>
      <w:r w:rsidR="00701D1C" w:rsidRPr="00701D1C">
        <w:t xml:space="preserve"> </w:t>
      </w:r>
      <w:r w:rsidR="00AB679B">
        <w:t xml:space="preserve">in the evaporation </w:t>
      </w:r>
      <w:r w:rsidR="00AB679B" w:rsidRPr="00AB679B">
        <w:t>process</w:t>
      </w:r>
      <w:r w:rsidR="00701D1C" w:rsidRPr="00411BE8">
        <w:t>.</w:t>
      </w:r>
      <w:r w:rsidR="00AB679B">
        <w:t xml:space="preserve"> </w:t>
      </w:r>
      <w:r w:rsidR="00701D1C">
        <w:rPr>
          <w:lang w:val="en-GB"/>
        </w:rPr>
        <w:t>The</w:t>
      </w:r>
      <w:r w:rsidRPr="00411BE8">
        <w:rPr>
          <w:lang w:val="en-GB"/>
        </w:rPr>
        <w:t xml:space="preserve"> second purpose of </w:t>
      </w:r>
      <w:r w:rsidR="00AB679B">
        <w:rPr>
          <w:lang w:val="en-GB"/>
        </w:rPr>
        <w:t>this paper</w:t>
      </w:r>
      <w:r w:rsidRPr="00701D1C">
        <w:rPr>
          <w:lang w:val="en-GB"/>
        </w:rPr>
        <w:t xml:space="preserve"> </w:t>
      </w:r>
      <w:r w:rsidR="00701D1C" w:rsidRPr="00701D1C">
        <w:rPr>
          <w:lang w:val="en-GB"/>
        </w:rPr>
        <w:t>i</w:t>
      </w:r>
      <w:r w:rsidRPr="00701D1C">
        <w:rPr>
          <w:lang w:val="en-GB"/>
        </w:rPr>
        <w:t>s</w:t>
      </w:r>
      <w:r w:rsidRPr="00411BE8">
        <w:rPr>
          <w:lang w:val="en-GB"/>
        </w:rPr>
        <w:t xml:space="preserve"> regarding hydrothermal liquefaction (HTL) of wastewaters. HTL can produce a liquid fuel, normally called crude-oil, alternative to fossil fuels, as well as other products of industrial interest (phenols, furfurals, etc.). </w:t>
      </w:r>
      <w:r w:rsidR="007A6866" w:rsidRPr="000261A0">
        <w:rPr>
          <w:lang w:val="en-GB"/>
        </w:rPr>
        <w:t xml:space="preserve">The </w:t>
      </w:r>
      <w:r w:rsidR="009816D5">
        <w:rPr>
          <w:lang w:val="en-GB"/>
        </w:rPr>
        <w:t>second</w:t>
      </w:r>
      <w:r w:rsidR="007A6866">
        <w:rPr>
          <w:lang w:val="en-GB"/>
        </w:rPr>
        <w:t xml:space="preserve"> </w:t>
      </w:r>
      <w:r w:rsidR="007A6866" w:rsidRPr="000261A0">
        <w:rPr>
          <w:lang w:val="en-GB"/>
        </w:rPr>
        <w:t xml:space="preserve">objective is the study of the possible positive effect that a pre-treatment with ozone can have on the performance of the subsequent HTL. </w:t>
      </w:r>
      <w:r w:rsidRPr="00411BE8">
        <w:rPr>
          <w:lang w:val="en-GB"/>
        </w:rPr>
        <w:t xml:space="preserve">In this work, HTL is applied to liquid surfactant wastes obtaining up to 7% crude-oil yield, with a High Heating Value (HHV) higher than 8.000 cal/g. These results are compared with those obtained when an ozonation pre-treatment </w:t>
      </w:r>
      <w:r w:rsidR="00480CB7">
        <w:rPr>
          <w:lang w:val="en-GB"/>
        </w:rPr>
        <w:t>is</w:t>
      </w:r>
      <w:r w:rsidRPr="00411BE8">
        <w:rPr>
          <w:lang w:val="en-GB"/>
        </w:rPr>
        <w:t xml:space="preserve"> applied before the HTL process. </w:t>
      </w:r>
      <w:r w:rsidR="00480CB7">
        <w:rPr>
          <w:lang w:val="en-GB"/>
        </w:rPr>
        <w:t>Ozone</w:t>
      </w:r>
      <w:r w:rsidRPr="00411BE8">
        <w:rPr>
          <w:lang w:val="en-GB"/>
        </w:rPr>
        <w:t xml:space="preserve"> </w:t>
      </w:r>
      <w:r w:rsidR="00480CB7">
        <w:rPr>
          <w:lang w:val="en-GB"/>
        </w:rPr>
        <w:t xml:space="preserve">treatment </w:t>
      </w:r>
      <w:r w:rsidRPr="00411BE8">
        <w:rPr>
          <w:lang w:val="en-GB"/>
        </w:rPr>
        <w:t>show</w:t>
      </w:r>
      <w:r w:rsidR="00480CB7">
        <w:rPr>
          <w:lang w:val="en-GB"/>
        </w:rPr>
        <w:t>s</w:t>
      </w:r>
      <w:r w:rsidRPr="00411BE8">
        <w:rPr>
          <w:lang w:val="en-GB"/>
        </w:rPr>
        <w:t xml:space="preserve"> </w:t>
      </w:r>
      <w:r w:rsidR="00480CB7">
        <w:rPr>
          <w:lang w:val="en-GB"/>
        </w:rPr>
        <w:t xml:space="preserve">a slight </w:t>
      </w:r>
      <w:r w:rsidRPr="00411BE8">
        <w:rPr>
          <w:lang w:val="en-GB"/>
        </w:rPr>
        <w:t>defoaming capacity for</w:t>
      </w:r>
      <w:r w:rsidR="00D365F6">
        <w:rPr>
          <w:lang w:val="en-GB"/>
        </w:rPr>
        <w:t xml:space="preserve"> the</w:t>
      </w:r>
      <w:r w:rsidRPr="00411BE8">
        <w:rPr>
          <w:lang w:val="en-GB"/>
        </w:rPr>
        <w:t xml:space="preserve"> </w:t>
      </w:r>
      <w:r w:rsidR="00D365F6">
        <w:rPr>
          <w:lang w:val="en-GB"/>
        </w:rPr>
        <w:t>leachate</w:t>
      </w:r>
      <w:r w:rsidRPr="00411BE8">
        <w:rPr>
          <w:lang w:val="en-GB"/>
        </w:rPr>
        <w:t xml:space="preserve"> feed but don’t seem to show a significant difference in the HHV of the crude-oils obtained</w:t>
      </w:r>
      <w:r w:rsidR="00D365F6">
        <w:rPr>
          <w:lang w:val="en-GB"/>
        </w:rPr>
        <w:t xml:space="preserve"> from liquid surfactant</w:t>
      </w:r>
      <w:r w:rsidRPr="00411BE8">
        <w:rPr>
          <w:lang w:val="en-GB"/>
        </w:rPr>
        <w:t>. However, there is a noticeable difference in the solid residue generated</w:t>
      </w:r>
      <w:r w:rsidR="00D365F6">
        <w:rPr>
          <w:lang w:val="en-GB"/>
        </w:rPr>
        <w:t xml:space="preserve"> for this later</w:t>
      </w:r>
      <w:r w:rsidRPr="00411BE8">
        <w:rPr>
          <w:lang w:val="en-GB"/>
        </w:rPr>
        <w:t>. Less aggregates of solid particles and a weight reduction of 20% in the filtering step were obtained from ozonated liquid surfactants. The reduction of solid by-products is of great interest for dimensioning an industrial-scale HTL plant due to the problems that these solids can generate in pipes and valves.</w:t>
      </w:r>
    </w:p>
    <w:p w14:paraId="73EEB43E" w14:textId="16D6E63B" w:rsidR="003D60E5" w:rsidRPr="00470D97" w:rsidRDefault="003D60E5" w:rsidP="003D60E5">
      <w:pPr>
        <w:pStyle w:val="CETHeading1"/>
      </w:pPr>
      <w:r w:rsidRPr="00470D97">
        <w:t>Introduction</w:t>
      </w:r>
    </w:p>
    <w:p w14:paraId="608283B4" w14:textId="77777777" w:rsidR="00FD2D2F" w:rsidRDefault="00253086" w:rsidP="007A6866">
      <w:r w:rsidRPr="00253086">
        <w:rPr>
          <w:lang w:val="en-US"/>
        </w:rPr>
        <w:t xml:space="preserve">Ozonation is a type of advanced oxidation process whose most common application is the disinfection of waters. </w:t>
      </w:r>
      <w:r w:rsidR="002C4675">
        <w:rPr>
          <w:lang w:val="en-US"/>
        </w:rPr>
        <w:t>O</w:t>
      </w:r>
      <w:r w:rsidRPr="00253086">
        <w:rPr>
          <w:lang w:val="en-US"/>
        </w:rPr>
        <w:t xml:space="preserve">zone is able to attack all microorganisms, as well as for the degradation of organic and inorganic pollutants involving the production of very reactive oxygen species. </w:t>
      </w:r>
      <w:r w:rsidR="002C4675">
        <w:rPr>
          <w:lang w:val="en-US"/>
        </w:rPr>
        <w:t>O</w:t>
      </w:r>
      <w:r w:rsidR="00281934" w:rsidRPr="00744B50">
        <w:t xml:space="preserve">zone is a strong oxidant, capable of participating in numerous chemical reactions with inorganic and organic substances. </w:t>
      </w:r>
      <w:r w:rsidR="002C4675">
        <w:t xml:space="preserve">The </w:t>
      </w:r>
      <w:r w:rsidR="00281934" w:rsidRPr="00744B50">
        <w:t xml:space="preserve">reactions can occur </w:t>
      </w:r>
      <w:r w:rsidR="00281934">
        <w:t xml:space="preserve">mainly </w:t>
      </w:r>
      <w:r w:rsidR="00281934" w:rsidRPr="00744B50">
        <w:t xml:space="preserve">by two mechanisms: </w:t>
      </w:r>
      <w:r w:rsidR="000261A0">
        <w:t>D</w:t>
      </w:r>
      <w:r w:rsidR="00281934" w:rsidRPr="00744B50">
        <w:t xml:space="preserve">irect reactions are </w:t>
      </w:r>
      <w:r w:rsidR="00281934">
        <w:t>nonspecific</w:t>
      </w:r>
      <w:r w:rsidR="00281934" w:rsidRPr="00744B50">
        <w:t xml:space="preserve"> reactions, attacking double bonds and some functional groups; and indirect reactions are a consequence of the action of hydroxyl radicals resulting from the decomposition of ozone in water.</w:t>
      </w:r>
      <w:r w:rsidR="00281934">
        <w:t xml:space="preserve"> </w:t>
      </w:r>
      <w:r w:rsidR="00281934" w:rsidRPr="00744B50">
        <w:t>With regard to waste treatment by ozonation, as a general rule, the less organic matter the waste contains, the better the result of ozonation. However, if the organic matter is recalcitrant, it can be a way of eliminating it since its oxidation either leads to its mineralization or can improve its biodegradability</w:t>
      </w:r>
      <w:r w:rsidR="00281934">
        <w:t xml:space="preserve">. </w:t>
      </w:r>
      <w:r w:rsidR="001D4F51">
        <w:fldChar w:fldCharType="begin" w:fldLock="1"/>
      </w:r>
      <w:r w:rsidR="001D4F51">
        <w:instrText>ADDIN CSL_CITATION {"citationItems":[{"id":"ITEM-1","itemData":{"DOI":"10.3390/PR8050506","ISSN":"22279717","abstract":"Batch ozonation was performed to assess its efficacy as a pretreatment for reverse osmosis (RO) membranes for treating leachate with high concentrations of recalcitrant organic compounds. Leachate samples from two different landfills were collected and characterized. The modified fouling index (MFI) was used to estimate the fouling potential of raw and ozonized leachates. A response surface experimental design was applied to optimize operational pH and ozone dose. The results demonstrate that the best operational conditions are 1.5 g/L of O3 at pH 12.0 and 1.5 g/L of O3 at pH 9.0 for Landfills 1 and 2, which reduce MFI by 96.22% and 94.08%, respectively. Additionally, they show toxicity factor decays of 98.44% for Landfill 1 and 93.75% for Landfill 2. These results, along with the similar behavior shown by leachate samples from distinct landfills, suggest that ozonation is a promising technology to fit this kind of wastewater into the requirements of RO membranes, enabling their use in such treatment.","author":[{"dropping-particle":"","family":"Gripa","given":"Everton","non-dropping-particle":"","parse-names":false,"suffix":""},{"dropping-particle":"","family":"Costa","given":"Alyne M.","non-dropping-particle":"","parse-names":false,"suffix":""},{"dropping-particle":"","family":"Campos","given":"Juacyara C.","non-dropping-particle":"","parse-names":false,"suffix":""},{"dropping-particle":"V.","family":"Fonseca","given":"Fabiana","non-dropping-particle":"da","parse-names":false,"suffix":""}],"container-title":"Processes","id":"ITEM-1","issue":"5","issued":{"date-parts":[["2020"]]},"title":"Ozonation pretreatment for reduction of landfill leachate fouling on membranes: A response surface methodology analysis","type":"article-journal","volume":"8"},"uris":["http://www.mendeley.com/documents/?uuid=40d86244-8b81-4ef9-a86f-ce4d70e7dc92"]}],"mendeley":{"formattedCitation":"(Gripa et al., 2020)","plainTextFormattedCitation":"(Gripa et al., 2020)"},"properties":{"noteIndex":0},"schema":"https://github.com/citation-style-language/schema/raw/master/csl-citation.json"}</w:instrText>
      </w:r>
      <w:r w:rsidR="001D4F51">
        <w:fldChar w:fldCharType="separate"/>
      </w:r>
      <w:r w:rsidR="001D4F51" w:rsidRPr="001D4F51">
        <w:rPr>
          <w:noProof/>
        </w:rPr>
        <w:t>(Gripa et al., 2020)</w:t>
      </w:r>
      <w:r w:rsidR="001D4F51">
        <w:fldChar w:fldCharType="end"/>
      </w:r>
      <w:r w:rsidR="00142547">
        <w:t xml:space="preserve">. </w:t>
      </w:r>
    </w:p>
    <w:p w14:paraId="5D7E33BF" w14:textId="4D9413A2" w:rsidR="00FD2D2F" w:rsidRDefault="007A6866" w:rsidP="00FD2D2F">
      <w:r w:rsidRPr="00281934">
        <w:t xml:space="preserve">On the other hand, </w:t>
      </w:r>
      <w:r>
        <w:t>h</w:t>
      </w:r>
      <w:r w:rsidRPr="00744B50">
        <w:t xml:space="preserve">ydrothermal </w:t>
      </w:r>
      <w:r>
        <w:t>liquefaction</w:t>
      </w:r>
      <w:r w:rsidRPr="00744B50">
        <w:t xml:space="preserve"> </w:t>
      </w:r>
      <w:r>
        <w:t xml:space="preserve">(HTL) </w:t>
      </w:r>
      <w:r w:rsidRPr="00744B50">
        <w:t>is a thermochemical process that can</w:t>
      </w:r>
      <w:r>
        <w:t xml:space="preserve"> </w:t>
      </w:r>
      <w:r w:rsidRPr="00744B50">
        <w:t xml:space="preserve">convert organic matter into a biocrude oil with </w:t>
      </w:r>
      <w:r w:rsidRPr="00A50F64">
        <w:t xml:space="preserve">physicochemical </w:t>
      </w:r>
      <w:r w:rsidRPr="00744B50">
        <w:t xml:space="preserve">properties similar to petroleum. Artificial transformation of biomass requires prior knowledge of the prevailing reaction routes and products. By </w:t>
      </w:r>
      <w:r>
        <w:t>appropriately</w:t>
      </w:r>
      <w:r w:rsidRPr="00744B50">
        <w:t xml:space="preserve"> modulating the operating conditions of hydrothermal processes, there are immense possibilities to transform a large amount of feedstock into a large a</w:t>
      </w:r>
      <w:r>
        <w:t>m</w:t>
      </w:r>
      <w:r w:rsidRPr="00744B50">
        <w:t xml:space="preserve">ount of </w:t>
      </w:r>
      <w:r>
        <w:t>valuable</w:t>
      </w:r>
      <w:r w:rsidRPr="00744B50">
        <w:t xml:space="preserve"> products. </w:t>
      </w:r>
      <w:r w:rsidRPr="00502827">
        <w:t xml:space="preserve">In this way, the value and advantages of </w:t>
      </w:r>
      <w:r>
        <w:t>particular</w:t>
      </w:r>
      <w:r w:rsidRPr="00502827">
        <w:t xml:space="preserve"> </w:t>
      </w:r>
      <w:r w:rsidRPr="003D60E5">
        <w:t xml:space="preserve">wastes </w:t>
      </w:r>
      <w:r w:rsidRPr="00502827">
        <w:t>that currently have no better way of disposal than pyrolysis could be exploited, opening the door to a valorisation for what could be the waste from the surfactant-producing industry</w:t>
      </w:r>
      <w:r>
        <w:t>;</w:t>
      </w:r>
      <w:r w:rsidRPr="00502827">
        <w:t xml:space="preserve"> a type of waste that is abundant and for </w:t>
      </w:r>
      <w:r w:rsidRPr="00502827">
        <w:lastRenderedPageBreak/>
        <w:t xml:space="preserve">which no satisfactory management procedure has been developed so far. </w:t>
      </w:r>
      <w:r w:rsidR="00281934">
        <w:t>In first instance</w:t>
      </w:r>
      <w:r w:rsidR="00281934" w:rsidRPr="00744B50">
        <w:t xml:space="preserve">, the idea of using </w:t>
      </w:r>
      <w:r>
        <w:t xml:space="preserve">ozonation </w:t>
      </w:r>
      <w:r w:rsidR="00281934" w:rsidRPr="00744B50">
        <w:t>as a pre-treatment for HTL could make th</w:t>
      </w:r>
      <w:r w:rsidR="00281934">
        <w:t>is</w:t>
      </w:r>
      <w:r w:rsidR="00281934" w:rsidRPr="00744B50">
        <w:t xml:space="preserve"> latter more efficient, although saturated bonds, such as the aliphatic chains of surfactants, hinder the good performance of ozonation. It would therefore be expected that ozonation would not be cost-effective as a complete treatment, but </w:t>
      </w:r>
      <w:r w:rsidR="00281934">
        <w:t xml:space="preserve">it may have important benefits </w:t>
      </w:r>
      <w:r w:rsidR="00281934" w:rsidRPr="00744B50">
        <w:t xml:space="preserve">as a pre-treatment prior to HTL </w:t>
      </w:r>
      <w:r w:rsidR="00281934">
        <w:t>of</w:t>
      </w:r>
      <w:r w:rsidR="00281934" w:rsidRPr="00744B50">
        <w:t xml:space="preserve"> surfactants.</w:t>
      </w:r>
      <w:r w:rsidR="00FD2D2F">
        <w:t xml:space="preserve"> </w:t>
      </w:r>
    </w:p>
    <w:p w14:paraId="16A1D7A6" w14:textId="3A4AAA90" w:rsidR="003D60E5" w:rsidRPr="00744B50" w:rsidRDefault="003D60E5" w:rsidP="00FD2D2F">
      <w:pPr>
        <w:pStyle w:val="Prrafodelista"/>
        <w:ind w:left="0"/>
      </w:pPr>
      <w:r>
        <w:t>Many s</w:t>
      </w:r>
      <w:r w:rsidRPr="00744B50">
        <w:t xml:space="preserve">tudies in the literature </w:t>
      </w:r>
      <w:r>
        <w:fldChar w:fldCharType="begin" w:fldLock="1"/>
      </w:r>
      <w:r w:rsidR="001D4F51">
        <w:instrText>ADDIN CSL_CITATION {"citationItems":[{"id":"ITEM-1","itemData":{"DOI":"10.1016/j.rser.2010.11.054","ISSN":"13640321","abstract":"Hydrothermal liquefaction is a technique for obtaining clean biofuel from biomass in the presence of a solvent at moderate to high temperature (250-550 °C) and pressure (5-25 MPa). Hydrothermal decomposition of biomass leads to the formation of various compounds depending upon operating parameters. The role of processing conditions including final liquefaction temperature, residence times, rate of biomass heating, size of biomass particles, type of solvent media and hydrogen donor solvents is important for the bio-oil yield and quality of the product. The effect of these parameters on the yield and composition of the liquid products is reviewed in the paper. A brief description about the decomposition mechanism is also included to highlight the product types during hydrothermal liquefaction. © 2010 Elsevier Ltd.","author":[{"dropping-particle":"","family":"Akhtar","given":"Javaid","non-dropping-particle":"","parse-names":false,"suffix":""},{"dropping-particle":"","family":"Amin","given":"Nor Aishah Saidina","non-dropping-particle":"","parse-names":false,"suffix":""}],"container-title":"Renewable and Sustainable Energy Reviews","id":"ITEM-1","issue":"3","issued":{"date-parts":[["2011"]]},"page":"1615-1624","publisher":"Elsevier Ltd","title":"A review on process conditions for optimum bio-oil yield in hydrothermal liquefaction of biomass","type":"article-journal","volume":"15"},"uris":["http://www.mendeley.com/documents/?uuid=ee5d5b74-d9a2-442c-bf7c-4a9c602563bc"]},{"id":"ITEM-2","itemData":{"DOI":"10.1016/j.energy.2011.03.013","ISSN":"03605442","abstract":"This article reviews the hydrothermal liquefaction of biomass with the aim of describing the current status of the technology. Hydrothermal liquefaction is a medium-temperature, high-pressure thermochemical process, which produces a liquid product, often called bio-oil or bi-crude. During the hydrothermal liquefaction process, the macromolecules of the biomass are first hydrolyzed and/or degraded into smaller molecules. Many of the produced molecules are unstable and reactive and can recombine into larger ones. During this process, a substantial part of the oxygen in the biomass is removed by dehydration or decarboxylation. The chemical properties of bio-oil are highly dependent of the biomass substrate composition. Biomass constitutes of various components such as protein; carbohydrates, lignin and fat, and each of them produce distinct spectra of compounds during hydrothermal liquefaction. In spite of the potential for hydrothermal production of renewable fuels, only a few hydrothermal technologies have so far gone beyond lab- or bench-scale. © 2011 Elsevier Ltd.","author":[{"dropping-particle":"","family":"Toor","given":"Saqib Sohail","non-dropping-particle":"","parse-names":false,"suffix":""},{"dropping-particle":"","family":"Rosendahl","given":"Lasse","non-dropping-particle":"","parse-names":false,"suffix":""},{"dropping-particle":"","family":"Rudolf","given":"Andreas","non-dropping-particle":"","parse-names":false,"suffix":""}],"container-title":"Energy","id":"ITEM-2","issue":"5","issued":{"date-parts":[["2011"]]},"page":"2328-2342","publisher":"Elsevier Ltd","title":"Hydrothermal liquefaction of biomass: A review of subcritical water technologies","type":"article-journal","volume":"36"},"uris":["http://www.mendeley.com/documents/?uuid=c6a5db66-baea-425c-b61e-23a7c45177c6"]}],"mendeley":{"formattedCitation":"(Akhtar &amp; Amin, 2011; Toor et al., 2011)","manualFormatting":"(Akhtar and Amin, 2011; Toor et al., 2011)","plainTextFormattedCitation":"(Akhtar &amp; Amin, 2011; Toor et al., 2011)","previouslyFormattedCitation":"(Akhtar &amp; Amin, 2011; Toor et al., 2011)"},"properties":{"noteIndex":0},"schema":"https://github.com/citation-style-language/schema/raw/master/csl-citation.json"}</w:instrText>
      </w:r>
      <w:r>
        <w:fldChar w:fldCharType="separate"/>
      </w:r>
      <w:r w:rsidR="00BE07A6" w:rsidRPr="00BE07A6">
        <w:rPr>
          <w:noProof/>
        </w:rPr>
        <w:t xml:space="preserve">(Akhtar </w:t>
      </w:r>
      <w:r w:rsidR="00375145">
        <w:rPr>
          <w:noProof/>
        </w:rPr>
        <w:t>and</w:t>
      </w:r>
      <w:r w:rsidR="00375145" w:rsidRPr="00BE07A6">
        <w:rPr>
          <w:noProof/>
        </w:rPr>
        <w:t xml:space="preserve"> </w:t>
      </w:r>
      <w:r w:rsidR="00BE07A6" w:rsidRPr="00BE07A6">
        <w:rPr>
          <w:noProof/>
        </w:rPr>
        <w:t>Amin, 2011; Toor et al., 2011)</w:t>
      </w:r>
      <w:r>
        <w:fldChar w:fldCharType="end"/>
      </w:r>
      <w:r>
        <w:t xml:space="preserve"> </w:t>
      </w:r>
      <w:r w:rsidRPr="00744B50">
        <w:t xml:space="preserve">demonstrate the applicability of HTL to biomass residues, showing that hydrothermal conversion routes to liquid fuels are favoured and have a large extent for biopolymers (cellulose, hemicellulose, lignin), proteins and lipids. </w:t>
      </w:r>
      <w:r>
        <w:t>For</w:t>
      </w:r>
      <w:r w:rsidRPr="003D71CA">
        <w:t xml:space="preserve"> example, in the conversion of cellulose, the main component of biomass, depolymerization by hydrolysis occurs</w:t>
      </w:r>
      <w:r>
        <w:t>,</w:t>
      </w:r>
      <w:r w:rsidRPr="003D71CA">
        <w:t xml:space="preserve"> and oligosaccharides are obtained, which undergo dehydration and retro-aldol condensation, to be transformed into furfurals and carboxylic acids. </w:t>
      </w:r>
      <w:r w:rsidRPr="00744B50">
        <w:t>On this basis, it is feasible to hypothesis</w:t>
      </w:r>
      <w:r w:rsidR="000924B1">
        <w:t>e</w:t>
      </w:r>
      <w:r w:rsidRPr="00744B50">
        <w:t xml:space="preserve"> that HTL is satisfactory for some </w:t>
      </w:r>
      <w:r>
        <w:t xml:space="preserve">other </w:t>
      </w:r>
      <w:r w:rsidRPr="00744B50">
        <w:t xml:space="preserve">organic aqueous wastes, as there is no reason why some organic molecules of industrial origin cannot be converted into liquid fuels by liquefaction. </w:t>
      </w:r>
      <w:r w:rsidRPr="00A74C11">
        <w:rPr>
          <w:rFonts w:eastAsiaTheme="minorHAnsi" w:cs="Arial"/>
          <w:szCs w:val="18"/>
        </w:rPr>
        <w:t xml:space="preserve">300°C </w:t>
      </w:r>
      <w:r>
        <w:rPr>
          <w:rFonts w:eastAsiaTheme="minorHAnsi" w:cs="Arial"/>
          <w:szCs w:val="18"/>
        </w:rPr>
        <w:t xml:space="preserve">is the selected HTL temperature as it provides the best crude-oil yield </w:t>
      </w:r>
      <w:r w:rsidRPr="00A74C11">
        <w:rPr>
          <w:rFonts w:eastAsiaTheme="minorHAnsi" w:cs="Arial"/>
          <w:szCs w:val="18"/>
        </w:rPr>
        <w:t>in agreement with a considerable number of authors</w:t>
      </w:r>
      <w:r>
        <w:rPr>
          <w:rFonts w:eastAsiaTheme="minorHAnsi" w:cs="Arial"/>
          <w:szCs w:val="18"/>
        </w:rPr>
        <w:t xml:space="preserve"> for HTL of biomass </w:t>
      </w:r>
      <w:r>
        <w:rPr>
          <w:rFonts w:eastAsiaTheme="minorHAnsi" w:cs="Arial"/>
          <w:szCs w:val="18"/>
        </w:rPr>
        <w:fldChar w:fldCharType="begin" w:fldLock="1"/>
      </w:r>
      <w:r w:rsidR="001D4F51">
        <w:rPr>
          <w:rFonts w:eastAsiaTheme="minorHAnsi" w:cs="Arial"/>
          <w:szCs w:val="18"/>
        </w:rPr>
        <w:instrText>ADDIN CSL_CITATION {"citationItems":[{"id":"ITEM-1","itemData":{"DOI":"10.1016/j.biortech.2009.12.058","ISSN":"09608524","PMID":"20083403","abstract":"In this study, cattle manure was converted to bio-oil by subcritical hydrothermal liquefaction in the presence of NaOH. The effects of conversion temperature, process gas, initial conversion pressure, residence time and mass ratio of cattle manure to water on the bio-oil yield were studied. The bio-oil was characterized in terms of elemental composition, higher heating value, ultraviolet-visible (UV/Vis) spectroscopy, Fourier transform infrared spectroscopy (FTIR), gas chromatography (GC) and gas chromatography-mass spectrometry (GC-MS). Results showed that the bio-oil yield depended on the conversion temperature and the process gas. Higher initial conversion pressure, longer residence time and larger mass ratio of cattle manure to water, however, had negative impacts on the bio-oil yield. The higher heating value of bio-oil was 35.53 MJ/kg on average. The major non-polar components of bio-oil were toluene, ethyl benzene and xylene, which are components of crude oil, gasoline and diesel. © 2010 Elsevier Ltd. All rights reserved.","author":[{"dropping-particle":"","family":"Yin","given":"Sudong","non-dropping-particle":"","parse-names":false,"suffix":""},{"dropping-particle":"","family":"Dolan","given":"Ryan","non-dropping-particle":"","parse-names":false,"suffix":""},{"dropping-particle":"","family":"Harris","given":"Matt","non-dropping-particle":"","parse-names":false,"suffix":""},{"dropping-particle":"","family":"Tan","given":"Zhongchao","non-dropping-particle":"","parse-names":false,"suffix":""}],"container-title":"Bioresource Technology","id":"ITEM-1","issue":"10","issued":{"date-parts":[["2010"]]},"page":"3657-3664","publisher":"Elsevier Ltd","title":"Subcritical hydrothermal liquefaction of cattle manure to bio-oil: Effects of conversion parameters on bio-oil yield and characterization of bio-oil","type":"article-journal","volume":"101"},"uris":["http://www.mendeley.com/documents/?uuid=4ab6a78b-72c6-465f-b9da-6a686c303f14"]},{"id":"ITEM-2","itemData":{"DOI":"10.1016/j.jaap.2008.09.005","ISSN":"01652370","abstract":"The hydrothermal liquefaction of low-input high-diversity mixtures of native grassland perennials (LIHD), LIHD pretreated with dilute acid, and lignin extracted from LIHD was studied. The liquid yields were optimized using the following treatment variables: heating rate (5-140 °C/min), cooling rate (5-66 °C/min), reaction temperature (300-450 °C, corresponding to a pressure range of 10-35 MPa), residence time (1-30 min), particle sizes, and catalysts (1% and 0.1% sulfuric acid, 1% NaOH, solid superacid SO42-/ZrO2-Al2O3, and solid alkali CaO-ZrO2). The liquefaction yields were found to be dependent on the final liquefaction temperature, the liquefaction time, and the heating rate. The highest liquid yield, 82.1%, was achieved within a short residence time of 1 min at 374 °C. The major compounds of the liquid products from the various LIHD fractions were identified by GC-MS. LIHD could be a good candidate for the liquefaction process with a fast heating rate. © 2008 Elsevier B.V. All rights reserved.","author":[{"dropping-particle":"","family":"Zhang","given":"Bo","non-dropping-particle":"","parse-names":false,"suffix":""},{"dropping-particle":"","family":"Keitz","given":"Marc","non-dropping-particle":"von","parse-names":false,"suffix":""},{"dropping-particle":"","family":"Valentas","given":"Kenneth","non-dropping-particle":"","parse-names":false,"suffix":""}],"container-title":"Journal of Analytical and Applied Pyrolysis","id":"ITEM-2","issue":"1","issued":{"date-parts":[["2009"]]},"page":"18-24","title":"Thermochemical liquefaction of high-diversity grassland perennials","type":"article-journal","volume":"84"},"uris":["http://www.mendeley.com/documents/?uuid=5f93d1a2-80a6-4c0d-be63-1a2bcc23cb16"]},{"id":"ITEM-3","itemData":{"DOI":"10.1007/s10853-007-2106-8","ISSN":"00222461","abstract":"The effects of two kinds of wastewater (black liquor and paper regeneration wastewater) from paper industry as solvent on the hydrothermal liquefaction of plantation biomass were discussed in this study. For the solvent of eucalyptus, black liquor was not suitable because the oil yield was very low and the yield of water-soluble constituent was very high. There was little difference in the product yields between the liquefaction of eucalyptus with the paper regeneration wastewater (pH 9.5) and that with NaOH aqueous solution (pH 9.5). In comparison with the liquefaction with water, the decrease of residue yield and the increase of oil yield were observed on the liquefaction with the wastewater. During the liquefaction with water, it was anticipated that dehydration and polymerization between carboxylic and phenolic hydroxyl groups in the molecules of the eucalyptus occurred. On the other hand, carboxylic acid formed during the liquefaction of eucalyptus was considered to be neutralized with Na+ in NaOH aqueous solution or cations in the wastewater because the formation of carboxylate was observed in the water-soluble constituents derived from these liquefactions. Therefore, the residue yield decreased owing to the inhibition of the condensation reaction. Accordingly, possibility for the reduction of the amount of greenhouse gas (CO2) and paper regeneration wastewater, and the production of oil from eucalyptus was clarified on the liquefaction of plantation biomass (eucalyptus) with paper regeneration wastewater. © 2007 Springer Science+Business Media, LLC.","author":[{"dropping-particle":"","family":"Sugano","given":"Motoyuki","non-dropping-particle":"","parse-names":false,"suffix":""},{"dropping-particle":"","family":"Takagi","given":"Hirokazu","non-dropping-particle":"","parse-names":false,"suffix":""},{"dropping-particle":"","family":"Hirano","given":"Katsumi","non-dropping-particle":"","parse-names":false,"suffix":""},{"dropping-particle":"","family":"Mashimo","given":"Kiyoshi","non-dropping-particle":"","parse-names":false,"suffix":""}],"container-title":"Journal of Materials Science","id":"ITEM-3","issue":"7","issued":{"date-parts":[["2008","4"]]},"page":"2476-2486","title":"Hydrothermal liquefaction of plantation biomass with two kinds of wastewater from paper industry","type":"paper-conference","volume":"43"},"uris":["http://www.mendeley.com/documents/?uuid=37a12a9f-4935-3a01-aeb3-282571f9eeb1"]},{"id":"ITEM-4","itemData":{"DOI":"10.1016/S0360-5442(02)00178-0","ISBN":"8610644367","ISSN":"03605442","abstract":"Direct liquefaction of Cunninghamia lanceolata in water was carried out in an autoclave in the reaction temperature and time ranges of 280-360° C and 10-30 min, respectively, and three feedstock ratios of biomass/water were tested. The experimental results show that the yield of heavy oil has a maximum between 320 and 340° C, depending on the reaction time and the feedstock ratio adopted. At the experimental conditions of this work, the maximum heavy oil yield is about 24%, obtained at the feedstock of 8 g biomass and 100 ml distilled water, with the reaction time of 10 min and the reaction temperature of 320° C. © 2003 Published by Elsevier Science Ltd.","author":[{"dropping-particle":"","family":"Qu","given":"Yixin","non-dropping-particle":"","parse-names":false,"suffix":""},{"dropping-particle":"","family":"Wei","given":"Xiaomin","non-dropping-particle":"","parse-names":false,"suffix":""},{"dropping-particle":"","family":"Zhong","given":"Chongli","non-dropping-particle":"","parse-names":false,"suffix":""}],"container-title":"Energy","id":"ITEM-4","issue":"7","issued":{"date-parts":[["2003"]]},"page":"597-606","title":"Experimental study on the direct liquefaction of Cunninghamia lanceolata in water","type":"article-journal","volume":"28"},"uris":["http://www.mendeley.com/documents/?uuid=fee5e528-990e-4820-b54d-7c40d20f02b3"]},{"id":"ITEM-5","itemData":{"DOI":"10.1016/j.energy.2010.07.013","ISSN":"03605442","abstract":"Renewable fuels are major alternatives to conventional fossil fuels. Biomass in the form of agricultural and industrial residues is fast becoming popular among new renewable energy sources. Hydrothermal liquefaction can thermochemically convert biomass residues into bio-oil. This work investigates the hydrothermal liquefaction of microalgae Dunaliella tertiolecta cake under various liquefaction temperatures, holding times, and catalyst dosages. A maximum bio-oil yield of 25.8% is obtained at a reaction temperature of 360°C and a holding time of 50min using 5% Na2CO3 as a catalyst. The various physical and chemical characteristics of bio-oil obtained under the most suitable conditions are determined, and a detailed chemical compositional analysis of bio-oil is performed using an elemental analyzer, Fourier transform-infrared spectroscopic analysis (FT-IR), and gas chromatography-mass spectrometry (GC-MS). The bio-oil is composed of fatty acids, fatty acid methyl esters, ketones, and aldehydes. Its empirical formula is CH1.44O0.29N0.05, and its heating value is 30.74MJ/kg. The bio-oil product is a possible eco-friendly green biofuel and chemical. © 2010 Elsevier Ltd.","author":[{"dropping-particle":"","family":"Shuping","given":"Zou","non-dropping-particle":"","parse-names":false,"suffix":""},{"dropping-particle":"","family":"Yulong","given":"Wu","non-dropping-particle":"","parse-names":false,"suffix":""},{"dropping-particle":"","family":"Mingde","given":"Yang","non-dropping-particle":"","parse-names":false,"suffix":""},{"dropping-particle":"","family":"Kaleem","given":"Imdad","non-dropping-particle":"","parse-names":false,"suffix":""},{"dropping-particle":"","family":"Chun","given":"Li","non-dropping-particle":"","parse-names":false,"suffix":""},{"dropping-particle":"","family":"Tong","given":"Junmao","non-dropping-particle":"","parse-names":false,"suffix":""}],"container-title":"Energy","id":"ITEM-5","issue":"12","issued":{"date-parts":[["2010"]]},"page":"5406-5411","publisher":"Elsevier Ltd","title":"Production and characterization of bio-oil from hydrothermal liquefaction of microalgae Dunaliella tertiolecta cake","type":"article-journal","volume":"35"},"uris":["http://www.mendeley.com/documents/?uuid=b531d4ed-29eb-4b73-9679-b977085e43bd"]},{"id":"ITEM-6","itemData":{"DOI":"10.1021/ef030133g","ISSN":"08870624","abstract":"Low-temperature hydrothermal treatment of waste biomass (sawdust) was performed using an autoclave at various temperatures of 180, 250, and 280°C for 15 min and 60 min. The oil product was obtained from both liquid and solid portions of reaction products from the autoclave, and the composition of oil products was investigated separately. At high reaction temperature, i.e., 250°C and 280°C, the longer reaction time led to decreased oil yield; at low reaction temperature (180°C), the oil yield was found to increase with the increase of reaction time. The oil1 (extracted from the liquid portion) consists of low-boiling-point compounds, whereas oil2 (extracted from the solid portion) contained both low- and high-boiling-point oxygenated hydrocarbons. Ca(OH)2 was found to be effective on liquefaction of biomass in terms of both oil yield and composition. The volatility distribution of oxygenated hydrocarbons in oil1 and oil2 was studied by using a C-NP gram which can be used as a tool for characterizing biomass-derived oil products.","author":[{"dropping-particle":"","family":"Karagöz","given":"Selhan","</w:instrText>
      </w:r>
      <w:r w:rsidR="001D4F51" w:rsidRPr="00CF7F4D">
        <w:rPr>
          <w:rFonts w:eastAsiaTheme="minorHAnsi" w:cs="Arial"/>
          <w:szCs w:val="18"/>
          <w:lang w:val="es-ES"/>
        </w:rPr>
        <w:instrText>non-dropping-particle":"","parse-names":false,"suffix":""},{"dropping-particle":"","family":"Bhaskar","given":"Thallada","non-dropping-particle":"","parse-names":false,"suffix":""},{"dropping-particle":"","family":"Muto","given":"Akinori","non-dropping-particle":"","parse-names":false,"suffix":""},{"dropping-particle":"","family":"Sakata","given":"Yusaku","non-dropping-particle":"","parse-names":false,"suffix":""},{"dropping-particle":"","family":"Uddin","given":"Md Azhar","non-dropping-particle":"","parse-names":false,"suffix":""}],"container-title":"Energy and Fuels","id":"ITEM-6","issue":"1","issued":{"date-parts":[["2004"]]},"page":"234-241","title":"Low-temperature hydrothermal treatment of biomass: Effect of reaction parameters on products and boiling point distributions","type":"article-journal","volume":"18"},"uris":["http://www.mendeley.com/documents/?uuid=f968cbd0-a357-49a8-84d9-36d937f85ebf"]}],"mendeley":{"formattedCitation":"(Karagöz et al., 2004; Qu et al., 2003; Shuping et al., 2010; Sugano et al., 2008; Yin et al., 2010; Zhang et al., 2009)","plainTextFormattedCitation":"(Karagöz et al., 2004; Qu et al., 2003; Shuping et al., 2010; Sugano et al., 2008; Yin et al., 2010; Zhang et al., 2009)","previouslyFormattedCitation":"(Karagöz et al., 2004; Qu et al., 2003; Shuping et al., 2010; Sugano et al., 2008; Yin et al., 2010; Zhang et al., 2009)"},"properties":{"noteIndex":0},"schema":"https://github.com/citation-style-language/schema/raw/master/csl-citation.json"}</w:instrText>
      </w:r>
      <w:r>
        <w:rPr>
          <w:rFonts w:eastAsiaTheme="minorHAnsi" w:cs="Arial"/>
          <w:szCs w:val="18"/>
        </w:rPr>
        <w:fldChar w:fldCharType="separate"/>
      </w:r>
      <w:r w:rsidR="00BE07A6" w:rsidRPr="00BE07A6">
        <w:rPr>
          <w:rFonts w:eastAsiaTheme="minorHAnsi" w:cs="Arial"/>
          <w:noProof/>
          <w:szCs w:val="18"/>
          <w:lang w:val="de-DE"/>
        </w:rPr>
        <w:t>(Karagöz et al., 2004; Qu et al., 2003; Shuping et al., 2010; Sugano et al., 2008; Yin et al., 2010; Zhang et al., 2009)</w:t>
      </w:r>
      <w:r>
        <w:rPr>
          <w:rFonts w:eastAsiaTheme="minorHAnsi" w:cs="Arial"/>
          <w:szCs w:val="18"/>
        </w:rPr>
        <w:fldChar w:fldCharType="end"/>
      </w:r>
      <w:r w:rsidRPr="00A272E0">
        <w:rPr>
          <w:rFonts w:eastAsiaTheme="minorHAnsi" w:cs="Arial"/>
          <w:szCs w:val="18"/>
          <w:lang w:val="de-DE"/>
        </w:rPr>
        <w:t xml:space="preserve">. </w:t>
      </w:r>
      <w:r w:rsidR="009816D5">
        <w:rPr>
          <w:rFonts w:eastAsiaTheme="minorHAnsi" w:cs="Arial"/>
          <w:szCs w:val="18"/>
          <w:lang w:val="de-DE"/>
        </w:rPr>
        <w:t>T</w:t>
      </w:r>
      <w:r w:rsidR="009816D5" w:rsidRPr="009816D5">
        <w:rPr>
          <w:rFonts w:eastAsiaTheme="minorHAnsi" w:cs="Arial"/>
          <w:szCs w:val="18"/>
        </w:rPr>
        <w:t>he study's main contribution is</w:t>
      </w:r>
      <w:r w:rsidR="009816D5" w:rsidRPr="009816D5" w:rsidDel="009816D5">
        <w:rPr>
          <w:rFonts w:eastAsiaTheme="minorHAnsi" w:cs="Arial"/>
          <w:szCs w:val="18"/>
        </w:rPr>
        <w:t xml:space="preserve"> </w:t>
      </w:r>
      <w:r w:rsidRPr="00744B50">
        <w:t xml:space="preserve">is to </w:t>
      </w:r>
      <w:r>
        <w:t>evaluate</w:t>
      </w:r>
      <w:r w:rsidRPr="00744B50">
        <w:t xml:space="preserve"> how much improvement would be achieved by </w:t>
      </w:r>
      <w:r>
        <w:t>pre-</w:t>
      </w:r>
      <w:r w:rsidR="00E47574">
        <w:t xml:space="preserve">treating </w:t>
      </w:r>
      <w:r w:rsidRPr="00744B50">
        <w:t>these wastes with ozone prior to HTL. It is also intended to study the composition of the crude</w:t>
      </w:r>
      <w:r>
        <w:t>-</w:t>
      </w:r>
      <w:r w:rsidRPr="00744B50">
        <w:t>oils obtained.</w:t>
      </w:r>
    </w:p>
    <w:p w14:paraId="59DAC75B" w14:textId="1657C0E0" w:rsidR="003D60E5" w:rsidRPr="00C636BA" w:rsidRDefault="003D60E5" w:rsidP="003D60E5">
      <w:pPr>
        <w:pStyle w:val="CETHeading1"/>
      </w:pPr>
      <w:r w:rsidRPr="00C636BA">
        <w:t>Material and methods</w:t>
      </w:r>
    </w:p>
    <w:p w14:paraId="391ED5E9" w14:textId="7606B5A4" w:rsidR="003D60E5" w:rsidRPr="002A0EFA" w:rsidRDefault="00A50F64" w:rsidP="003D60E5">
      <w:pPr>
        <w:pStyle w:val="CETBodytext"/>
      </w:pPr>
      <w:r>
        <w:t>The wastewaters used for the study and their a</w:t>
      </w:r>
      <w:r w:rsidRPr="00A50F64">
        <w:t xml:space="preserve">nalytical parameters </w:t>
      </w:r>
      <w:r>
        <w:t xml:space="preserve">are presented in Table 1. </w:t>
      </w:r>
      <w:r w:rsidR="00CD4724">
        <w:t xml:space="preserve">Landfill leachate wastewater is a brown liquid with great presence of salts and </w:t>
      </w:r>
      <w:r w:rsidR="000261A0">
        <w:t>chlorides</w:t>
      </w:r>
      <w:r w:rsidR="00CD4724">
        <w:t>, while i</w:t>
      </w:r>
      <w:r>
        <w:t>ndustrial surfactant</w:t>
      </w:r>
      <w:r w:rsidR="003D60E5" w:rsidRPr="002A0EFA">
        <w:t xml:space="preserve"> </w:t>
      </w:r>
      <w:r w:rsidR="00CD4724">
        <w:t xml:space="preserve">wastewater </w:t>
      </w:r>
      <w:r w:rsidR="003D60E5" w:rsidRPr="002A0EFA">
        <w:t xml:space="preserve">is a dense liquid disposed </w:t>
      </w:r>
      <w:r w:rsidR="003D60E5">
        <w:t>of</w:t>
      </w:r>
      <w:r w:rsidR="003D60E5" w:rsidRPr="002A0EFA">
        <w:t xml:space="preserve"> </w:t>
      </w:r>
      <w:r w:rsidR="003D60E5">
        <w:t xml:space="preserve">cleaning </w:t>
      </w:r>
      <w:r w:rsidR="003D60E5" w:rsidRPr="002A0EFA">
        <w:t>a production line in a liquid surfactant manufacturing company</w:t>
      </w:r>
      <w:r w:rsidR="00CD4724">
        <w:t xml:space="preserve">. Both wastewaters were </w:t>
      </w:r>
      <w:r w:rsidR="00CD4724" w:rsidRPr="002A0EFA">
        <w:t>reverse osmosis</w:t>
      </w:r>
      <w:r w:rsidR="00CD4724">
        <w:t xml:space="preserve"> </w:t>
      </w:r>
      <w:r w:rsidR="003D60E5" w:rsidRPr="002A0EFA">
        <w:t>concentrated</w:t>
      </w:r>
      <w:r w:rsidR="000261A0">
        <w:t xml:space="preserve"> at origin</w:t>
      </w:r>
      <w:r w:rsidR="003D60E5" w:rsidRPr="002A0EFA">
        <w:t xml:space="preserve">. </w:t>
      </w:r>
    </w:p>
    <w:p w14:paraId="6F011C0A" w14:textId="77777777" w:rsidR="003D60E5" w:rsidRPr="00FD3314" w:rsidRDefault="003D60E5" w:rsidP="003D60E5">
      <w:pPr>
        <w:pStyle w:val="CETBodytext"/>
      </w:pPr>
    </w:p>
    <w:p w14:paraId="189DA804" w14:textId="5F602D45" w:rsidR="003D60E5" w:rsidRPr="00FC1D5B" w:rsidRDefault="003D60E5" w:rsidP="003D60E5">
      <w:pPr>
        <w:rPr>
          <w:i/>
        </w:rPr>
      </w:pPr>
      <w:r w:rsidRPr="00FC1D5B">
        <w:rPr>
          <w:i/>
        </w:rPr>
        <w:t xml:space="preserve">Table 1. </w:t>
      </w:r>
      <w:r w:rsidR="00966115">
        <w:rPr>
          <w:i/>
        </w:rPr>
        <w:t>Main a</w:t>
      </w:r>
      <w:r w:rsidRPr="00FC1D5B">
        <w:rPr>
          <w:i/>
        </w:rPr>
        <w:t xml:space="preserve">nalytical parameters of the </w:t>
      </w:r>
      <w:r w:rsidR="00A50F64">
        <w:rPr>
          <w:i/>
        </w:rPr>
        <w:t>wastewaters</w:t>
      </w:r>
    </w:p>
    <w:tbl>
      <w:tblPr>
        <w:tblW w:w="7923" w:type="dxa"/>
        <w:jc w:val="center"/>
        <w:tblBorders>
          <w:top w:val="single" w:sz="12" w:space="0" w:color="008000"/>
          <w:bottom w:val="single" w:sz="12" w:space="0" w:color="008000"/>
          <w:insideH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828"/>
        <w:gridCol w:w="1418"/>
        <w:gridCol w:w="723"/>
        <w:gridCol w:w="1843"/>
        <w:gridCol w:w="2111"/>
      </w:tblGrid>
      <w:tr w:rsidR="001B47E0" w:rsidRPr="00884BC8" w14:paraId="2AE6AE89" w14:textId="21F351F4" w:rsidTr="00A50F64">
        <w:trPr>
          <w:trHeight w:val="20"/>
          <w:jc w:val="center"/>
        </w:trPr>
        <w:tc>
          <w:tcPr>
            <w:tcW w:w="1828" w:type="dxa"/>
            <w:tcBorders>
              <w:bottom w:val="single" w:sz="12" w:space="0" w:color="008000"/>
            </w:tcBorders>
            <w:shd w:val="clear" w:color="auto" w:fill="FFFFFF"/>
            <w:vAlign w:val="center"/>
          </w:tcPr>
          <w:p w14:paraId="19D15B05" w14:textId="791555CB" w:rsidR="001B47E0" w:rsidRPr="00A173C1" w:rsidRDefault="001B47E0" w:rsidP="001B47E0">
            <w:pPr>
              <w:rPr>
                <w:rFonts w:cs="Arial"/>
                <w:iCs/>
                <w:szCs w:val="18"/>
                <w:lang w:val="en-US" w:eastAsia="es-ES"/>
              </w:rPr>
            </w:pPr>
          </w:p>
        </w:tc>
        <w:tc>
          <w:tcPr>
            <w:tcW w:w="1418" w:type="dxa"/>
            <w:tcBorders>
              <w:bottom w:val="single" w:sz="12" w:space="0" w:color="008000"/>
            </w:tcBorders>
            <w:shd w:val="clear" w:color="auto" w:fill="FFFFFF"/>
          </w:tcPr>
          <w:p w14:paraId="47A23DD9" w14:textId="4B2AA36B" w:rsidR="001B47E0" w:rsidRPr="00A173C1" w:rsidRDefault="001B47E0" w:rsidP="001B47E0">
            <w:pPr>
              <w:jc w:val="center"/>
              <w:rPr>
                <w:iCs/>
                <w:szCs w:val="18"/>
              </w:rPr>
            </w:pPr>
            <w:r w:rsidRPr="00A173C1">
              <w:rPr>
                <w:rFonts w:cs="Arial"/>
                <w:szCs w:val="18"/>
                <w:lang w:val="en-US" w:eastAsia="es-ES"/>
              </w:rPr>
              <w:t>Landfill leachate wastewaters</w:t>
            </w:r>
          </w:p>
        </w:tc>
        <w:tc>
          <w:tcPr>
            <w:tcW w:w="723" w:type="dxa"/>
            <w:tcBorders>
              <w:bottom w:val="single" w:sz="12" w:space="0" w:color="008000"/>
            </w:tcBorders>
            <w:shd w:val="clear" w:color="auto" w:fill="FFFFFF"/>
          </w:tcPr>
          <w:p w14:paraId="2729F61E" w14:textId="513E2B06" w:rsidR="001B47E0" w:rsidRPr="00A173C1" w:rsidRDefault="001B47E0" w:rsidP="001B47E0">
            <w:pPr>
              <w:jc w:val="center"/>
              <w:rPr>
                <w:rFonts w:cs="Arial"/>
                <w:szCs w:val="18"/>
                <w:lang w:val="en-US" w:eastAsia="es-ES"/>
              </w:rPr>
            </w:pPr>
          </w:p>
        </w:tc>
        <w:tc>
          <w:tcPr>
            <w:tcW w:w="1843" w:type="dxa"/>
            <w:tcBorders>
              <w:bottom w:val="single" w:sz="12" w:space="0" w:color="008000"/>
            </w:tcBorders>
            <w:shd w:val="clear" w:color="auto" w:fill="FFFFFF"/>
          </w:tcPr>
          <w:p w14:paraId="20586C6A" w14:textId="024188CE" w:rsidR="001B47E0" w:rsidRPr="00A173C1" w:rsidRDefault="001B47E0" w:rsidP="001B47E0">
            <w:pPr>
              <w:jc w:val="left"/>
              <w:rPr>
                <w:rFonts w:cs="Arial"/>
                <w:szCs w:val="18"/>
                <w:lang w:val="en-US" w:eastAsia="es-ES"/>
              </w:rPr>
            </w:pPr>
          </w:p>
        </w:tc>
        <w:tc>
          <w:tcPr>
            <w:tcW w:w="2111" w:type="dxa"/>
            <w:tcBorders>
              <w:bottom w:val="single" w:sz="12" w:space="0" w:color="008000"/>
            </w:tcBorders>
            <w:shd w:val="clear" w:color="auto" w:fill="FFFFFF"/>
          </w:tcPr>
          <w:p w14:paraId="0E1EC584" w14:textId="77777777" w:rsidR="001B47E0" w:rsidRPr="00A173C1" w:rsidRDefault="001B47E0" w:rsidP="001B47E0">
            <w:pPr>
              <w:jc w:val="center"/>
              <w:rPr>
                <w:iCs/>
                <w:szCs w:val="18"/>
              </w:rPr>
            </w:pPr>
            <w:r w:rsidRPr="00A173C1">
              <w:rPr>
                <w:iCs/>
                <w:szCs w:val="18"/>
              </w:rPr>
              <w:t>Industrial surfactant</w:t>
            </w:r>
          </w:p>
          <w:p w14:paraId="7A6D1EE3" w14:textId="4D8C05D6" w:rsidR="001B47E0" w:rsidRPr="00A173C1" w:rsidRDefault="001B47E0" w:rsidP="001B47E0">
            <w:pPr>
              <w:jc w:val="center"/>
              <w:rPr>
                <w:rFonts w:cs="Arial"/>
                <w:szCs w:val="18"/>
                <w:lang w:val="en-US" w:eastAsia="es-ES"/>
              </w:rPr>
            </w:pPr>
            <w:r w:rsidRPr="00A173C1">
              <w:rPr>
                <w:iCs/>
                <w:szCs w:val="18"/>
              </w:rPr>
              <w:t>wastewaters</w:t>
            </w:r>
          </w:p>
        </w:tc>
      </w:tr>
      <w:tr w:rsidR="001B47E0" w:rsidRPr="00884BC8" w14:paraId="6674DD51" w14:textId="77777777" w:rsidTr="00A50F64">
        <w:trPr>
          <w:trHeight w:val="20"/>
          <w:jc w:val="center"/>
        </w:trPr>
        <w:tc>
          <w:tcPr>
            <w:tcW w:w="1828" w:type="dxa"/>
            <w:tcBorders>
              <w:bottom w:val="nil"/>
            </w:tcBorders>
            <w:shd w:val="clear" w:color="auto" w:fill="FFFFFF"/>
            <w:vAlign w:val="center"/>
          </w:tcPr>
          <w:p w14:paraId="45300DC2" w14:textId="4A2C909E" w:rsidR="001B47E0" w:rsidRPr="00A173C1" w:rsidRDefault="001B47E0" w:rsidP="001B47E0">
            <w:pPr>
              <w:rPr>
                <w:rFonts w:cs="Arial"/>
                <w:szCs w:val="18"/>
                <w:lang w:val="en-US" w:eastAsia="es-ES"/>
              </w:rPr>
            </w:pPr>
            <w:r w:rsidRPr="00A173C1">
              <w:rPr>
                <w:rFonts w:cs="Arial"/>
                <w:szCs w:val="18"/>
                <w:lang w:val="en-US" w:eastAsia="es-ES"/>
              </w:rPr>
              <w:t>pH</w:t>
            </w:r>
          </w:p>
        </w:tc>
        <w:tc>
          <w:tcPr>
            <w:tcW w:w="1418" w:type="dxa"/>
            <w:tcBorders>
              <w:bottom w:val="nil"/>
            </w:tcBorders>
            <w:shd w:val="clear" w:color="auto" w:fill="FFFFFF"/>
            <w:vAlign w:val="center"/>
          </w:tcPr>
          <w:p w14:paraId="5F8CAEC1" w14:textId="25DF61F6" w:rsidR="001B47E0" w:rsidRPr="00A173C1" w:rsidRDefault="00890E99" w:rsidP="001B47E0">
            <w:pPr>
              <w:jc w:val="center"/>
              <w:rPr>
                <w:rFonts w:cs="Arial"/>
                <w:szCs w:val="18"/>
                <w:lang w:val="en-US" w:eastAsia="es-ES"/>
              </w:rPr>
            </w:pPr>
            <w:r>
              <w:rPr>
                <w:rFonts w:cs="Arial"/>
                <w:szCs w:val="18"/>
                <w:lang w:val="en-US" w:eastAsia="es-ES"/>
              </w:rPr>
              <w:t>7.7</w:t>
            </w:r>
          </w:p>
        </w:tc>
        <w:tc>
          <w:tcPr>
            <w:tcW w:w="723" w:type="dxa"/>
            <w:tcBorders>
              <w:bottom w:val="nil"/>
            </w:tcBorders>
            <w:shd w:val="clear" w:color="auto" w:fill="FFFFFF"/>
            <w:vAlign w:val="center"/>
          </w:tcPr>
          <w:p w14:paraId="331915CE" w14:textId="77777777" w:rsidR="001B47E0" w:rsidRPr="00A173C1" w:rsidRDefault="001B47E0" w:rsidP="001B47E0">
            <w:pPr>
              <w:jc w:val="center"/>
              <w:rPr>
                <w:szCs w:val="18"/>
              </w:rPr>
            </w:pPr>
          </w:p>
        </w:tc>
        <w:tc>
          <w:tcPr>
            <w:tcW w:w="1843" w:type="dxa"/>
            <w:tcBorders>
              <w:bottom w:val="nil"/>
            </w:tcBorders>
            <w:shd w:val="clear" w:color="auto" w:fill="FFFFFF"/>
            <w:vAlign w:val="center"/>
          </w:tcPr>
          <w:p w14:paraId="646644B1" w14:textId="5DE47E28" w:rsidR="001B47E0" w:rsidRPr="00A173C1" w:rsidRDefault="001B47E0" w:rsidP="001B47E0">
            <w:pPr>
              <w:jc w:val="left"/>
              <w:rPr>
                <w:szCs w:val="18"/>
              </w:rPr>
            </w:pPr>
            <w:r w:rsidRPr="00A173C1">
              <w:rPr>
                <w:rFonts w:cs="Arial"/>
                <w:szCs w:val="18"/>
                <w:lang w:val="en-US" w:eastAsia="es-ES"/>
              </w:rPr>
              <w:t>pH</w:t>
            </w:r>
          </w:p>
        </w:tc>
        <w:tc>
          <w:tcPr>
            <w:tcW w:w="2111" w:type="dxa"/>
            <w:tcBorders>
              <w:bottom w:val="nil"/>
            </w:tcBorders>
            <w:shd w:val="clear" w:color="auto" w:fill="FFFFFF"/>
            <w:vAlign w:val="center"/>
          </w:tcPr>
          <w:p w14:paraId="426637BB" w14:textId="04905787" w:rsidR="001B47E0" w:rsidRPr="00A173C1" w:rsidRDefault="00890E99" w:rsidP="001B47E0">
            <w:pPr>
              <w:jc w:val="center"/>
              <w:rPr>
                <w:rFonts w:cs="Arial"/>
                <w:szCs w:val="18"/>
                <w:lang w:val="en-US" w:eastAsia="es-ES"/>
              </w:rPr>
            </w:pPr>
            <w:r>
              <w:rPr>
                <w:rFonts w:cs="Arial"/>
                <w:szCs w:val="18"/>
                <w:lang w:val="en-US" w:eastAsia="es-ES"/>
              </w:rPr>
              <w:t>4.3</w:t>
            </w:r>
          </w:p>
        </w:tc>
      </w:tr>
      <w:tr w:rsidR="001B47E0" w:rsidRPr="00884BC8" w14:paraId="22F74317" w14:textId="77777777" w:rsidTr="00A50F64">
        <w:trPr>
          <w:trHeight w:val="20"/>
          <w:jc w:val="center"/>
        </w:trPr>
        <w:tc>
          <w:tcPr>
            <w:tcW w:w="1828" w:type="dxa"/>
            <w:tcBorders>
              <w:top w:val="nil"/>
              <w:bottom w:val="nil"/>
            </w:tcBorders>
            <w:shd w:val="clear" w:color="auto" w:fill="FFFFFF"/>
            <w:vAlign w:val="center"/>
          </w:tcPr>
          <w:p w14:paraId="5E730A0F" w14:textId="62CEAE23" w:rsidR="001B47E0" w:rsidRPr="00A173C1" w:rsidRDefault="001B47E0" w:rsidP="001B47E0">
            <w:pPr>
              <w:rPr>
                <w:rFonts w:cs="Arial"/>
                <w:szCs w:val="18"/>
                <w:lang w:val="en-US" w:eastAsia="es-ES"/>
              </w:rPr>
            </w:pPr>
            <w:r w:rsidRPr="00A173C1">
              <w:rPr>
                <w:rFonts w:cs="Arial"/>
                <w:szCs w:val="18"/>
                <w:lang w:val="en-US" w:eastAsia="es-ES"/>
              </w:rPr>
              <w:t>Conductivity (mS/cm)</w:t>
            </w:r>
          </w:p>
        </w:tc>
        <w:tc>
          <w:tcPr>
            <w:tcW w:w="1418" w:type="dxa"/>
            <w:tcBorders>
              <w:top w:val="nil"/>
              <w:bottom w:val="nil"/>
            </w:tcBorders>
            <w:shd w:val="clear" w:color="auto" w:fill="FFFFFF"/>
            <w:vAlign w:val="center"/>
          </w:tcPr>
          <w:p w14:paraId="7E55DAFB" w14:textId="11CA7DE0" w:rsidR="001B47E0" w:rsidRPr="00A173C1" w:rsidRDefault="00890E99" w:rsidP="001B47E0">
            <w:pPr>
              <w:jc w:val="center"/>
              <w:rPr>
                <w:rFonts w:cs="Arial"/>
                <w:szCs w:val="18"/>
                <w:lang w:val="en-US" w:eastAsia="es-ES"/>
              </w:rPr>
            </w:pPr>
            <w:r>
              <w:rPr>
                <w:rFonts w:cs="Arial"/>
                <w:szCs w:val="18"/>
                <w:lang w:val="en-US" w:eastAsia="es-ES"/>
              </w:rPr>
              <w:t>75.29</w:t>
            </w:r>
          </w:p>
        </w:tc>
        <w:tc>
          <w:tcPr>
            <w:tcW w:w="723" w:type="dxa"/>
            <w:tcBorders>
              <w:top w:val="nil"/>
              <w:bottom w:val="nil"/>
            </w:tcBorders>
            <w:shd w:val="clear" w:color="auto" w:fill="FFFFFF"/>
            <w:vAlign w:val="center"/>
          </w:tcPr>
          <w:p w14:paraId="3EBEC0DA" w14:textId="77777777" w:rsidR="001B47E0" w:rsidRPr="00A173C1" w:rsidRDefault="001B47E0" w:rsidP="001B47E0">
            <w:pPr>
              <w:jc w:val="center"/>
              <w:rPr>
                <w:szCs w:val="18"/>
              </w:rPr>
            </w:pPr>
          </w:p>
        </w:tc>
        <w:tc>
          <w:tcPr>
            <w:tcW w:w="1843" w:type="dxa"/>
            <w:tcBorders>
              <w:top w:val="nil"/>
              <w:bottom w:val="nil"/>
            </w:tcBorders>
            <w:shd w:val="clear" w:color="auto" w:fill="FFFFFF"/>
            <w:vAlign w:val="center"/>
          </w:tcPr>
          <w:p w14:paraId="36F933CD" w14:textId="21C8BFB7" w:rsidR="001B47E0" w:rsidRPr="00A173C1" w:rsidRDefault="001B47E0" w:rsidP="001B47E0">
            <w:pPr>
              <w:jc w:val="left"/>
              <w:rPr>
                <w:szCs w:val="18"/>
              </w:rPr>
            </w:pPr>
            <w:r w:rsidRPr="00A173C1">
              <w:rPr>
                <w:rFonts w:cs="Arial"/>
                <w:szCs w:val="18"/>
                <w:lang w:val="en-US" w:eastAsia="es-ES"/>
              </w:rPr>
              <w:t>Conductivity (mS/cm)</w:t>
            </w:r>
          </w:p>
        </w:tc>
        <w:tc>
          <w:tcPr>
            <w:tcW w:w="2111" w:type="dxa"/>
            <w:tcBorders>
              <w:top w:val="nil"/>
              <w:bottom w:val="nil"/>
            </w:tcBorders>
            <w:shd w:val="clear" w:color="auto" w:fill="FFFFFF"/>
            <w:vAlign w:val="center"/>
          </w:tcPr>
          <w:p w14:paraId="114519B1" w14:textId="5D7CEDBC" w:rsidR="001B47E0" w:rsidRPr="00A173C1" w:rsidRDefault="00890E99" w:rsidP="001B47E0">
            <w:pPr>
              <w:jc w:val="center"/>
              <w:rPr>
                <w:rFonts w:cs="Arial"/>
                <w:szCs w:val="18"/>
                <w:lang w:val="en-US" w:eastAsia="es-ES"/>
              </w:rPr>
            </w:pPr>
            <w:r>
              <w:rPr>
                <w:rFonts w:cs="Arial"/>
                <w:szCs w:val="18"/>
                <w:lang w:val="en-US" w:eastAsia="es-ES"/>
              </w:rPr>
              <w:t>4.97</w:t>
            </w:r>
          </w:p>
        </w:tc>
      </w:tr>
      <w:tr w:rsidR="001B47E0" w:rsidRPr="00884BC8" w14:paraId="00AECC98" w14:textId="0684B676" w:rsidTr="00A50F64">
        <w:trPr>
          <w:trHeight w:val="20"/>
          <w:jc w:val="center"/>
        </w:trPr>
        <w:tc>
          <w:tcPr>
            <w:tcW w:w="1828" w:type="dxa"/>
            <w:tcBorders>
              <w:top w:val="nil"/>
              <w:bottom w:val="nil"/>
            </w:tcBorders>
            <w:shd w:val="clear" w:color="auto" w:fill="FFFFFF"/>
            <w:vAlign w:val="center"/>
          </w:tcPr>
          <w:p w14:paraId="73436902" w14:textId="3E067103" w:rsidR="001B47E0" w:rsidRPr="00A173C1" w:rsidRDefault="00890E99" w:rsidP="001B47E0">
            <w:pPr>
              <w:rPr>
                <w:rFonts w:cs="Arial"/>
                <w:szCs w:val="18"/>
              </w:rPr>
            </w:pPr>
            <w:r w:rsidRPr="00A173C1">
              <w:rPr>
                <w:rFonts w:cs="Arial"/>
                <w:szCs w:val="18"/>
                <w:lang w:val="en-US" w:eastAsia="es-ES"/>
              </w:rPr>
              <w:t>TOC (mg/</w:t>
            </w:r>
            <w:r>
              <w:rPr>
                <w:rFonts w:cs="Arial"/>
                <w:szCs w:val="18"/>
                <w:lang w:val="en-US" w:eastAsia="es-ES"/>
              </w:rPr>
              <w:t>L</w:t>
            </w:r>
            <w:r w:rsidRPr="00A173C1">
              <w:rPr>
                <w:rFonts w:cs="Arial"/>
                <w:szCs w:val="18"/>
                <w:lang w:val="en-US" w:eastAsia="es-ES"/>
              </w:rPr>
              <w:t>)</w:t>
            </w:r>
          </w:p>
        </w:tc>
        <w:tc>
          <w:tcPr>
            <w:tcW w:w="1418" w:type="dxa"/>
            <w:tcBorders>
              <w:top w:val="nil"/>
              <w:bottom w:val="nil"/>
            </w:tcBorders>
            <w:shd w:val="clear" w:color="auto" w:fill="FFFFFF"/>
            <w:vAlign w:val="center"/>
          </w:tcPr>
          <w:p w14:paraId="3E684A03" w14:textId="7A86B6BA" w:rsidR="001B47E0" w:rsidRPr="00A173C1" w:rsidRDefault="00890E99" w:rsidP="001B47E0">
            <w:pPr>
              <w:jc w:val="center"/>
              <w:rPr>
                <w:rFonts w:cs="Arial"/>
                <w:szCs w:val="18"/>
                <w:lang w:val="en-US" w:eastAsia="es-ES"/>
              </w:rPr>
            </w:pPr>
            <w:r>
              <w:rPr>
                <w:rFonts w:cs="Arial"/>
                <w:szCs w:val="18"/>
                <w:lang w:val="en-US" w:eastAsia="es-ES"/>
              </w:rPr>
              <w:t xml:space="preserve">6,692 </w:t>
            </w:r>
          </w:p>
        </w:tc>
        <w:tc>
          <w:tcPr>
            <w:tcW w:w="723" w:type="dxa"/>
            <w:tcBorders>
              <w:top w:val="nil"/>
              <w:bottom w:val="nil"/>
            </w:tcBorders>
            <w:shd w:val="clear" w:color="auto" w:fill="FFFFFF"/>
            <w:vAlign w:val="center"/>
          </w:tcPr>
          <w:p w14:paraId="45E012D0" w14:textId="412BDF92" w:rsidR="001B47E0" w:rsidRPr="00A173C1" w:rsidRDefault="001B47E0" w:rsidP="001B47E0">
            <w:pPr>
              <w:jc w:val="center"/>
              <w:rPr>
                <w:szCs w:val="18"/>
              </w:rPr>
            </w:pPr>
          </w:p>
        </w:tc>
        <w:tc>
          <w:tcPr>
            <w:tcW w:w="1843" w:type="dxa"/>
            <w:tcBorders>
              <w:top w:val="nil"/>
              <w:bottom w:val="nil"/>
            </w:tcBorders>
            <w:shd w:val="clear" w:color="auto" w:fill="FFFFFF"/>
            <w:vAlign w:val="center"/>
          </w:tcPr>
          <w:p w14:paraId="78C96971" w14:textId="1766343A" w:rsidR="001B47E0" w:rsidRPr="00A173C1" w:rsidRDefault="002D3A65" w:rsidP="001B47E0">
            <w:pPr>
              <w:jc w:val="left"/>
              <w:rPr>
                <w:rFonts w:cs="Arial"/>
                <w:szCs w:val="18"/>
                <w:lang w:val="en-US" w:eastAsia="es-ES"/>
              </w:rPr>
            </w:pPr>
            <w:r w:rsidRPr="00A173C1">
              <w:rPr>
                <w:szCs w:val="18"/>
              </w:rPr>
              <w:t>TOC (</w:t>
            </w:r>
            <w:r>
              <w:rPr>
                <w:szCs w:val="18"/>
              </w:rPr>
              <w:t>m</w:t>
            </w:r>
            <w:r w:rsidRPr="00A173C1">
              <w:rPr>
                <w:szCs w:val="18"/>
              </w:rPr>
              <w:t>g/</w:t>
            </w:r>
            <w:r>
              <w:rPr>
                <w:szCs w:val="18"/>
              </w:rPr>
              <w:t>L</w:t>
            </w:r>
            <w:r w:rsidRPr="00A173C1">
              <w:rPr>
                <w:szCs w:val="18"/>
              </w:rPr>
              <w:t>)</w:t>
            </w:r>
          </w:p>
        </w:tc>
        <w:tc>
          <w:tcPr>
            <w:tcW w:w="2111" w:type="dxa"/>
            <w:tcBorders>
              <w:top w:val="nil"/>
              <w:bottom w:val="nil"/>
            </w:tcBorders>
            <w:shd w:val="clear" w:color="auto" w:fill="FFFFFF"/>
            <w:vAlign w:val="center"/>
          </w:tcPr>
          <w:p w14:paraId="0369991E" w14:textId="3F000D6B" w:rsidR="001B47E0" w:rsidRPr="00A173C1" w:rsidRDefault="002D3A65" w:rsidP="001B47E0">
            <w:pPr>
              <w:jc w:val="center"/>
              <w:rPr>
                <w:rFonts w:cs="Arial"/>
                <w:szCs w:val="18"/>
                <w:lang w:val="en-US" w:eastAsia="es-ES"/>
              </w:rPr>
            </w:pPr>
            <w:r w:rsidRPr="00A173C1">
              <w:rPr>
                <w:rFonts w:cs="Arial"/>
                <w:szCs w:val="18"/>
                <w:lang w:val="en-US" w:eastAsia="es-ES"/>
              </w:rPr>
              <w:t>63</w:t>
            </w:r>
            <w:r>
              <w:rPr>
                <w:rFonts w:cs="Arial"/>
                <w:szCs w:val="18"/>
                <w:lang w:val="en-US" w:eastAsia="es-ES"/>
              </w:rPr>
              <w:t>,</w:t>
            </w:r>
            <w:r w:rsidRPr="00A173C1">
              <w:rPr>
                <w:rFonts w:cs="Arial"/>
                <w:szCs w:val="18"/>
                <w:lang w:val="en-US" w:eastAsia="es-ES"/>
              </w:rPr>
              <w:t>66</w:t>
            </w:r>
            <w:r>
              <w:rPr>
                <w:rFonts w:cs="Arial"/>
                <w:szCs w:val="18"/>
                <w:lang w:val="en-US" w:eastAsia="es-ES"/>
              </w:rPr>
              <w:t>0</w:t>
            </w:r>
          </w:p>
        </w:tc>
      </w:tr>
      <w:tr w:rsidR="001B47E0" w:rsidRPr="00884BC8" w14:paraId="6CC17E06" w14:textId="5AB65C56" w:rsidTr="00A50F64">
        <w:trPr>
          <w:trHeight w:val="20"/>
          <w:jc w:val="center"/>
        </w:trPr>
        <w:tc>
          <w:tcPr>
            <w:tcW w:w="1828" w:type="dxa"/>
            <w:tcBorders>
              <w:top w:val="nil"/>
              <w:bottom w:val="nil"/>
            </w:tcBorders>
            <w:shd w:val="clear" w:color="auto" w:fill="FFFFFF"/>
            <w:vAlign w:val="center"/>
          </w:tcPr>
          <w:p w14:paraId="4CEB8A68" w14:textId="182A464D" w:rsidR="001B47E0" w:rsidRPr="00A173C1" w:rsidRDefault="00890E99" w:rsidP="001B47E0">
            <w:pPr>
              <w:ind w:right="-1"/>
              <w:rPr>
                <w:rFonts w:cs="Arial"/>
                <w:szCs w:val="18"/>
                <w:lang w:val="en-US" w:eastAsia="es-ES"/>
              </w:rPr>
            </w:pPr>
            <w:r w:rsidRPr="00A173C1">
              <w:rPr>
                <w:rFonts w:cs="Arial"/>
                <w:szCs w:val="18"/>
                <w:lang w:val="en-US" w:eastAsia="es-ES"/>
              </w:rPr>
              <w:t>DOC (mgC/</w:t>
            </w:r>
            <w:r>
              <w:rPr>
                <w:rFonts w:cs="Arial"/>
                <w:szCs w:val="18"/>
                <w:lang w:val="en-US" w:eastAsia="es-ES"/>
              </w:rPr>
              <w:t>L</w:t>
            </w:r>
            <w:r w:rsidRPr="00A173C1">
              <w:rPr>
                <w:rFonts w:cs="Arial"/>
                <w:szCs w:val="18"/>
                <w:lang w:val="en-US" w:eastAsia="es-ES"/>
              </w:rPr>
              <w:t>)</w:t>
            </w:r>
          </w:p>
        </w:tc>
        <w:tc>
          <w:tcPr>
            <w:tcW w:w="1418" w:type="dxa"/>
            <w:tcBorders>
              <w:top w:val="nil"/>
              <w:bottom w:val="nil"/>
            </w:tcBorders>
            <w:shd w:val="clear" w:color="auto" w:fill="FFFFFF"/>
            <w:vAlign w:val="center"/>
          </w:tcPr>
          <w:p w14:paraId="1AFCA737" w14:textId="1D1CEF9D" w:rsidR="001B47E0" w:rsidRPr="00A173C1" w:rsidRDefault="00890E99" w:rsidP="001B47E0">
            <w:pPr>
              <w:ind w:right="-1"/>
              <w:jc w:val="center"/>
              <w:rPr>
                <w:rFonts w:cs="Arial"/>
                <w:szCs w:val="18"/>
                <w:lang w:val="en-US" w:eastAsia="es-ES"/>
              </w:rPr>
            </w:pPr>
            <w:r w:rsidRPr="00A173C1">
              <w:rPr>
                <w:rFonts w:cs="Arial"/>
                <w:szCs w:val="18"/>
                <w:lang w:val="en-US" w:eastAsia="es-ES"/>
              </w:rPr>
              <w:t>3,481</w:t>
            </w:r>
          </w:p>
        </w:tc>
        <w:tc>
          <w:tcPr>
            <w:tcW w:w="723" w:type="dxa"/>
            <w:tcBorders>
              <w:top w:val="nil"/>
              <w:bottom w:val="nil"/>
            </w:tcBorders>
            <w:shd w:val="clear" w:color="auto" w:fill="FFFFFF"/>
            <w:vAlign w:val="center"/>
          </w:tcPr>
          <w:p w14:paraId="3A91B9C8" w14:textId="0BD3F110" w:rsidR="001B47E0" w:rsidRPr="00A173C1" w:rsidRDefault="001B47E0" w:rsidP="001B47E0">
            <w:pPr>
              <w:ind w:right="-1"/>
              <w:jc w:val="center"/>
              <w:rPr>
                <w:szCs w:val="18"/>
              </w:rPr>
            </w:pPr>
          </w:p>
        </w:tc>
        <w:tc>
          <w:tcPr>
            <w:tcW w:w="1843" w:type="dxa"/>
            <w:tcBorders>
              <w:top w:val="nil"/>
              <w:bottom w:val="nil"/>
            </w:tcBorders>
            <w:shd w:val="clear" w:color="auto" w:fill="FFFFFF"/>
            <w:vAlign w:val="center"/>
          </w:tcPr>
          <w:p w14:paraId="45219E7B" w14:textId="75B3F9F2" w:rsidR="001B47E0" w:rsidRPr="00A173C1" w:rsidRDefault="002D3A65" w:rsidP="001B47E0">
            <w:pPr>
              <w:ind w:right="-1"/>
              <w:jc w:val="left"/>
              <w:rPr>
                <w:rFonts w:cs="Arial"/>
                <w:szCs w:val="18"/>
                <w:lang w:val="en-US" w:eastAsia="es-ES"/>
              </w:rPr>
            </w:pPr>
            <w:r w:rsidRPr="00A173C1">
              <w:rPr>
                <w:szCs w:val="18"/>
              </w:rPr>
              <w:t>DOC (mgC/</w:t>
            </w:r>
            <w:r>
              <w:rPr>
                <w:szCs w:val="18"/>
              </w:rPr>
              <w:t>L</w:t>
            </w:r>
            <w:r w:rsidRPr="00A173C1">
              <w:rPr>
                <w:szCs w:val="18"/>
              </w:rPr>
              <w:t>)</w:t>
            </w:r>
          </w:p>
        </w:tc>
        <w:tc>
          <w:tcPr>
            <w:tcW w:w="2111" w:type="dxa"/>
            <w:tcBorders>
              <w:top w:val="nil"/>
              <w:bottom w:val="nil"/>
            </w:tcBorders>
            <w:shd w:val="clear" w:color="auto" w:fill="FFFFFF"/>
            <w:vAlign w:val="center"/>
          </w:tcPr>
          <w:p w14:paraId="4942986F" w14:textId="26610A3B" w:rsidR="001B47E0" w:rsidRPr="00A173C1" w:rsidRDefault="002D3A65" w:rsidP="001B47E0">
            <w:pPr>
              <w:ind w:right="-1"/>
              <w:jc w:val="center"/>
              <w:rPr>
                <w:rFonts w:cs="Arial"/>
                <w:szCs w:val="18"/>
                <w:lang w:val="en-US" w:eastAsia="es-ES"/>
              </w:rPr>
            </w:pPr>
            <w:r w:rsidRPr="00A173C1">
              <w:rPr>
                <w:rFonts w:cs="Arial"/>
                <w:szCs w:val="18"/>
                <w:lang w:val="en-US" w:eastAsia="es-ES"/>
              </w:rPr>
              <w:t>54,560</w:t>
            </w:r>
          </w:p>
        </w:tc>
      </w:tr>
      <w:tr w:rsidR="002D3A65" w:rsidRPr="00884BC8" w14:paraId="4FA8BA75" w14:textId="47ED55A2" w:rsidTr="00A50F64">
        <w:trPr>
          <w:trHeight w:val="20"/>
          <w:jc w:val="center"/>
        </w:trPr>
        <w:tc>
          <w:tcPr>
            <w:tcW w:w="1828" w:type="dxa"/>
            <w:tcBorders>
              <w:top w:val="nil"/>
              <w:bottom w:val="nil"/>
            </w:tcBorders>
            <w:shd w:val="clear" w:color="auto" w:fill="FFFFFF"/>
            <w:vAlign w:val="center"/>
          </w:tcPr>
          <w:p w14:paraId="560CA80A" w14:textId="1BB5DBBF" w:rsidR="002D3A65" w:rsidRPr="00A173C1" w:rsidRDefault="002D3A65" w:rsidP="002D3A65">
            <w:pPr>
              <w:ind w:right="-1"/>
              <w:rPr>
                <w:rFonts w:cs="Arial"/>
                <w:szCs w:val="18"/>
                <w:lang w:val="en-US" w:eastAsia="es-ES"/>
              </w:rPr>
            </w:pPr>
            <w:r w:rsidRPr="00A173C1">
              <w:rPr>
                <w:rFonts w:cs="Arial"/>
                <w:szCs w:val="18"/>
                <w:lang w:val="en-US" w:eastAsia="es-ES"/>
              </w:rPr>
              <w:t>Chlorides (mg/</w:t>
            </w:r>
            <w:r>
              <w:rPr>
                <w:rFonts w:cs="Arial"/>
                <w:szCs w:val="18"/>
                <w:lang w:val="en-US" w:eastAsia="es-ES"/>
              </w:rPr>
              <w:t>L</w:t>
            </w:r>
            <w:r w:rsidRPr="00A173C1">
              <w:rPr>
                <w:rFonts w:cs="Arial"/>
                <w:szCs w:val="18"/>
                <w:lang w:val="en-US" w:eastAsia="es-ES"/>
              </w:rPr>
              <w:t>)</w:t>
            </w:r>
          </w:p>
        </w:tc>
        <w:tc>
          <w:tcPr>
            <w:tcW w:w="1418" w:type="dxa"/>
            <w:tcBorders>
              <w:top w:val="nil"/>
              <w:bottom w:val="nil"/>
            </w:tcBorders>
            <w:shd w:val="clear" w:color="auto" w:fill="FFFFFF"/>
            <w:vAlign w:val="center"/>
          </w:tcPr>
          <w:p w14:paraId="61070532" w14:textId="0489FE26" w:rsidR="002D3A65" w:rsidRPr="00A173C1" w:rsidRDefault="002D3A65" w:rsidP="002D3A65">
            <w:pPr>
              <w:ind w:right="-1"/>
              <w:jc w:val="center"/>
              <w:rPr>
                <w:rFonts w:cs="Arial"/>
                <w:szCs w:val="18"/>
                <w:lang w:val="en-US" w:eastAsia="es-ES"/>
              </w:rPr>
            </w:pPr>
            <w:r w:rsidRPr="00A173C1">
              <w:rPr>
                <w:rFonts w:cs="Arial"/>
                <w:szCs w:val="18"/>
                <w:lang w:val="en-US" w:eastAsia="es-ES"/>
              </w:rPr>
              <w:t>24,536.14</w:t>
            </w:r>
          </w:p>
        </w:tc>
        <w:tc>
          <w:tcPr>
            <w:tcW w:w="723" w:type="dxa"/>
            <w:tcBorders>
              <w:top w:val="nil"/>
              <w:bottom w:val="nil"/>
            </w:tcBorders>
            <w:shd w:val="clear" w:color="auto" w:fill="FFFFFF"/>
            <w:vAlign w:val="center"/>
          </w:tcPr>
          <w:p w14:paraId="6C35B7B0" w14:textId="413178F0" w:rsidR="002D3A65" w:rsidRPr="00A173C1" w:rsidRDefault="002D3A65" w:rsidP="002D3A65">
            <w:pPr>
              <w:ind w:right="-1"/>
              <w:jc w:val="center"/>
              <w:rPr>
                <w:szCs w:val="18"/>
              </w:rPr>
            </w:pPr>
          </w:p>
        </w:tc>
        <w:tc>
          <w:tcPr>
            <w:tcW w:w="1843" w:type="dxa"/>
            <w:tcBorders>
              <w:top w:val="nil"/>
              <w:bottom w:val="nil"/>
            </w:tcBorders>
            <w:shd w:val="clear" w:color="auto" w:fill="FFFFFF"/>
            <w:vAlign w:val="center"/>
          </w:tcPr>
          <w:p w14:paraId="1791E153" w14:textId="6EA849D7" w:rsidR="002D3A65" w:rsidRPr="00A173C1" w:rsidRDefault="002D3A65" w:rsidP="002D3A65">
            <w:pPr>
              <w:ind w:right="-1"/>
              <w:jc w:val="left"/>
              <w:rPr>
                <w:rFonts w:cs="Arial"/>
                <w:szCs w:val="18"/>
                <w:lang w:val="en-US" w:eastAsia="es-ES"/>
              </w:rPr>
            </w:pPr>
            <w:r w:rsidRPr="00A173C1">
              <w:rPr>
                <w:szCs w:val="18"/>
              </w:rPr>
              <w:t>COD (gO</w:t>
            </w:r>
            <w:r w:rsidRPr="00A173C1">
              <w:rPr>
                <w:szCs w:val="18"/>
                <w:vertAlign w:val="subscript"/>
              </w:rPr>
              <w:t>2</w:t>
            </w:r>
            <w:r w:rsidRPr="00A173C1">
              <w:rPr>
                <w:szCs w:val="18"/>
              </w:rPr>
              <w:t>/</w:t>
            </w:r>
            <w:r>
              <w:rPr>
                <w:szCs w:val="18"/>
              </w:rPr>
              <w:t>L</w:t>
            </w:r>
            <w:r w:rsidRPr="00A173C1">
              <w:rPr>
                <w:szCs w:val="18"/>
              </w:rPr>
              <w:t>)</w:t>
            </w:r>
          </w:p>
        </w:tc>
        <w:tc>
          <w:tcPr>
            <w:tcW w:w="2111" w:type="dxa"/>
            <w:tcBorders>
              <w:top w:val="nil"/>
              <w:bottom w:val="nil"/>
            </w:tcBorders>
            <w:shd w:val="clear" w:color="auto" w:fill="FFFFFF"/>
            <w:vAlign w:val="center"/>
          </w:tcPr>
          <w:p w14:paraId="6D285BA0" w14:textId="080DD7E9" w:rsidR="002D3A65" w:rsidRPr="00A173C1" w:rsidRDefault="002D3A65" w:rsidP="002D3A65">
            <w:pPr>
              <w:ind w:right="-1"/>
              <w:jc w:val="center"/>
              <w:rPr>
                <w:rFonts w:cs="Arial"/>
                <w:szCs w:val="18"/>
                <w:lang w:val="en-US" w:eastAsia="es-ES"/>
              </w:rPr>
            </w:pPr>
            <w:r w:rsidRPr="00A173C1">
              <w:rPr>
                <w:rFonts w:cs="Arial"/>
                <w:szCs w:val="18"/>
                <w:lang w:val="en-US" w:eastAsia="es-ES"/>
              </w:rPr>
              <w:t>233.61</w:t>
            </w:r>
          </w:p>
        </w:tc>
      </w:tr>
      <w:tr w:rsidR="002D3A65" w:rsidRPr="00884BC8" w14:paraId="6E02A170" w14:textId="15BC1DA4" w:rsidTr="00A50F64">
        <w:trPr>
          <w:trHeight w:val="20"/>
          <w:jc w:val="center"/>
        </w:trPr>
        <w:tc>
          <w:tcPr>
            <w:tcW w:w="1828" w:type="dxa"/>
            <w:tcBorders>
              <w:top w:val="nil"/>
              <w:bottom w:val="nil"/>
            </w:tcBorders>
            <w:shd w:val="clear" w:color="auto" w:fill="FFFFFF"/>
            <w:vAlign w:val="center"/>
          </w:tcPr>
          <w:p w14:paraId="1705FA31" w14:textId="028FEBC0" w:rsidR="002D3A65" w:rsidRPr="00A173C1" w:rsidRDefault="002D3A65" w:rsidP="002D3A65">
            <w:pPr>
              <w:ind w:right="-1"/>
              <w:rPr>
                <w:rFonts w:cs="Arial"/>
                <w:szCs w:val="18"/>
                <w:lang w:val="en-US" w:eastAsia="es-ES"/>
              </w:rPr>
            </w:pPr>
            <w:r>
              <w:rPr>
                <w:rFonts w:cs="Arial"/>
                <w:szCs w:val="18"/>
                <w:lang w:val="en-US" w:eastAsia="es-ES"/>
              </w:rPr>
              <w:t>Sodium</w:t>
            </w:r>
            <w:r w:rsidRPr="00A173C1">
              <w:rPr>
                <w:rFonts w:cs="Arial"/>
                <w:szCs w:val="18"/>
                <w:lang w:val="en-US" w:eastAsia="es-ES"/>
              </w:rPr>
              <w:t xml:space="preserve"> (mg/</w:t>
            </w:r>
            <w:r>
              <w:rPr>
                <w:rFonts w:cs="Arial"/>
                <w:szCs w:val="18"/>
                <w:lang w:val="en-US" w:eastAsia="es-ES"/>
              </w:rPr>
              <w:t>L</w:t>
            </w:r>
            <w:r w:rsidRPr="00A173C1">
              <w:rPr>
                <w:rFonts w:cs="Arial"/>
                <w:szCs w:val="18"/>
                <w:lang w:val="en-US" w:eastAsia="es-ES"/>
              </w:rPr>
              <w:t>)</w:t>
            </w:r>
          </w:p>
        </w:tc>
        <w:tc>
          <w:tcPr>
            <w:tcW w:w="1418" w:type="dxa"/>
            <w:tcBorders>
              <w:top w:val="nil"/>
              <w:bottom w:val="nil"/>
            </w:tcBorders>
            <w:shd w:val="clear" w:color="auto" w:fill="FFFFFF"/>
            <w:vAlign w:val="center"/>
          </w:tcPr>
          <w:p w14:paraId="12219598" w14:textId="3A58B236" w:rsidR="002D3A65" w:rsidRPr="00A173C1" w:rsidRDefault="002D3A65" w:rsidP="002D3A65">
            <w:pPr>
              <w:ind w:right="-1"/>
              <w:jc w:val="center"/>
              <w:rPr>
                <w:rFonts w:cs="Arial"/>
                <w:szCs w:val="18"/>
                <w:lang w:val="en-US" w:eastAsia="es-ES"/>
              </w:rPr>
            </w:pPr>
            <w:r w:rsidRPr="00890E99">
              <w:rPr>
                <w:rFonts w:cs="Arial"/>
                <w:szCs w:val="18"/>
                <w:lang w:val="en-US" w:eastAsia="es-ES"/>
              </w:rPr>
              <w:t>11</w:t>
            </w:r>
            <w:r>
              <w:rPr>
                <w:rFonts w:cs="Arial"/>
                <w:szCs w:val="18"/>
                <w:lang w:val="en-US" w:eastAsia="es-ES"/>
              </w:rPr>
              <w:t>,</w:t>
            </w:r>
            <w:r w:rsidRPr="00890E99">
              <w:rPr>
                <w:rFonts w:cs="Arial"/>
                <w:szCs w:val="18"/>
                <w:lang w:val="en-US" w:eastAsia="es-ES"/>
              </w:rPr>
              <w:t>841.34</w:t>
            </w:r>
          </w:p>
        </w:tc>
        <w:tc>
          <w:tcPr>
            <w:tcW w:w="723" w:type="dxa"/>
            <w:tcBorders>
              <w:top w:val="nil"/>
              <w:bottom w:val="nil"/>
            </w:tcBorders>
            <w:shd w:val="clear" w:color="auto" w:fill="FFFFFF"/>
            <w:vAlign w:val="center"/>
          </w:tcPr>
          <w:p w14:paraId="7604DB8C" w14:textId="7A7B097A" w:rsidR="002D3A65" w:rsidRPr="00A173C1" w:rsidRDefault="002D3A65" w:rsidP="002D3A65">
            <w:pPr>
              <w:ind w:right="-1"/>
              <w:jc w:val="center"/>
              <w:rPr>
                <w:szCs w:val="18"/>
              </w:rPr>
            </w:pPr>
          </w:p>
        </w:tc>
        <w:tc>
          <w:tcPr>
            <w:tcW w:w="1843" w:type="dxa"/>
            <w:tcBorders>
              <w:top w:val="nil"/>
              <w:bottom w:val="nil"/>
            </w:tcBorders>
            <w:shd w:val="clear" w:color="auto" w:fill="FFFFFF"/>
            <w:vAlign w:val="center"/>
          </w:tcPr>
          <w:p w14:paraId="4535CE98" w14:textId="059585FA" w:rsidR="002D3A65" w:rsidRPr="00A173C1" w:rsidRDefault="002D3A65" w:rsidP="002D3A65">
            <w:pPr>
              <w:ind w:right="-1"/>
              <w:jc w:val="left"/>
              <w:rPr>
                <w:rFonts w:cs="Arial"/>
                <w:szCs w:val="18"/>
                <w:lang w:val="en-US" w:eastAsia="es-ES"/>
              </w:rPr>
            </w:pPr>
            <w:r w:rsidRPr="00A173C1">
              <w:rPr>
                <w:szCs w:val="18"/>
              </w:rPr>
              <w:t>Chlorides (mg/</w:t>
            </w:r>
            <w:r>
              <w:rPr>
                <w:szCs w:val="18"/>
              </w:rPr>
              <w:t>L</w:t>
            </w:r>
            <w:r w:rsidRPr="00A173C1">
              <w:rPr>
                <w:szCs w:val="18"/>
              </w:rPr>
              <w:t>)</w:t>
            </w:r>
          </w:p>
        </w:tc>
        <w:tc>
          <w:tcPr>
            <w:tcW w:w="2111" w:type="dxa"/>
            <w:tcBorders>
              <w:top w:val="nil"/>
              <w:bottom w:val="nil"/>
            </w:tcBorders>
            <w:shd w:val="clear" w:color="auto" w:fill="FFFFFF"/>
            <w:vAlign w:val="center"/>
          </w:tcPr>
          <w:p w14:paraId="571E68E2" w14:textId="1620AE09" w:rsidR="002D3A65" w:rsidRPr="00A173C1" w:rsidRDefault="002D3A65" w:rsidP="002D3A65">
            <w:pPr>
              <w:ind w:right="-1"/>
              <w:jc w:val="center"/>
              <w:rPr>
                <w:rFonts w:cs="Arial"/>
                <w:szCs w:val="18"/>
                <w:lang w:val="en-US" w:eastAsia="es-ES"/>
              </w:rPr>
            </w:pPr>
            <w:r w:rsidRPr="00A173C1">
              <w:rPr>
                <w:rFonts w:cs="Arial"/>
                <w:szCs w:val="18"/>
                <w:lang w:val="en-US" w:eastAsia="es-ES"/>
              </w:rPr>
              <w:t>2,573.7</w:t>
            </w:r>
          </w:p>
        </w:tc>
      </w:tr>
      <w:tr w:rsidR="002D3A65" w:rsidRPr="00884BC8" w14:paraId="084DECFF" w14:textId="16536E58" w:rsidTr="00A50F64">
        <w:trPr>
          <w:trHeight w:val="20"/>
          <w:jc w:val="center"/>
        </w:trPr>
        <w:tc>
          <w:tcPr>
            <w:tcW w:w="1828" w:type="dxa"/>
            <w:tcBorders>
              <w:top w:val="nil"/>
              <w:bottom w:val="nil"/>
            </w:tcBorders>
            <w:shd w:val="clear" w:color="auto" w:fill="FFFFFF"/>
            <w:vAlign w:val="center"/>
          </w:tcPr>
          <w:p w14:paraId="75F83122" w14:textId="00284320" w:rsidR="002D3A65" w:rsidRPr="00A173C1" w:rsidRDefault="002D3A65" w:rsidP="002D3A65">
            <w:pPr>
              <w:ind w:right="-1"/>
              <w:rPr>
                <w:rFonts w:cs="Arial"/>
                <w:szCs w:val="18"/>
                <w:lang w:val="en-US" w:eastAsia="es-ES"/>
              </w:rPr>
            </w:pPr>
            <w:r>
              <w:rPr>
                <w:rFonts w:cs="Arial"/>
                <w:szCs w:val="18"/>
                <w:lang w:val="en-US" w:eastAsia="es-ES"/>
              </w:rPr>
              <w:t xml:space="preserve">Bicarbonates </w:t>
            </w:r>
            <w:r w:rsidRPr="00A173C1">
              <w:rPr>
                <w:rFonts w:cs="Arial"/>
                <w:szCs w:val="18"/>
                <w:lang w:val="en-US" w:eastAsia="es-ES"/>
              </w:rPr>
              <w:t>(mg/</w:t>
            </w:r>
            <w:r>
              <w:rPr>
                <w:rFonts w:cs="Arial"/>
                <w:szCs w:val="18"/>
                <w:lang w:val="en-US" w:eastAsia="es-ES"/>
              </w:rPr>
              <w:t>L</w:t>
            </w:r>
            <w:r w:rsidRPr="00A173C1">
              <w:rPr>
                <w:rFonts w:cs="Arial"/>
                <w:szCs w:val="18"/>
                <w:lang w:val="en-US" w:eastAsia="es-ES"/>
              </w:rPr>
              <w:t>)</w:t>
            </w:r>
          </w:p>
        </w:tc>
        <w:tc>
          <w:tcPr>
            <w:tcW w:w="1418" w:type="dxa"/>
            <w:tcBorders>
              <w:top w:val="nil"/>
              <w:bottom w:val="nil"/>
            </w:tcBorders>
            <w:shd w:val="clear" w:color="auto" w:fill="FFFFFF"/>
            <w:vAlign w:val="center"/>
          </w:tcPr>
          <w:p w14:paraId="6ED05E76" w14:textId="5C62AE41" w:rsidR="002D3A65" w:rsidRPr="00A173C1" w:rsidRDefault="002D3A65" w:rsidP="002D3A65">
            <w:pPr>
              <w:ind w:right="-1"/>
              <w:jc w:val="center"/>
              <w:rPr>
                <w:rFonts w:cs="Arial"/>
                <w:szCs w:val="18"/>
                <w:lang w:val="en-US" w:eastAsia="es-ES"/>
              </w:rPr>
            </w:pPr>
            <w:r w:rsidRPr="00890E99">
              <w:rPr>
                <w:rFonts w:cs="Arial"/>
                <w:szCs w:val="18"/>
                <w:lang w:val="en-US" w:eastAsia="es-ES"/>
              </w:rPr>
              <w:t>8</w:t>
            </w:r>
            <w:r>
              <w:rPr>
                <w:rFonts w:cs="Arial"/>
                <w:szCs w:val="18"/>
                <w:lang w:val="en-US" w:eastAsia="es-ES"/>
              </w:rPr>
              <w:t>,</w:t>
            </w:r>
            <w:r w:rsidRPr="00890E99">
              <w:rPr>
                <w:rFonts w:cs="Arial"/>
                <w:szCs w:val="18"/>
                <w:lang w:val="en-US" w:eastAsia="es-ES"/>
              </w:rPr>
              <w:t>944.10</w:t>
            </w:r>
          </w:p>
        </w:tc>
        <w:tc>
          <w:tcPr>
            <w:tcW w:w="723" w:type="dxa"/>
            <w:tcBorders>
              <w:top w:val="nil"/>
              <w:bottom w:val="nil"/>
            </w:tcBorders>
            <w:shd w:val="clear" w:color="auto" w:fill="FFFFFF"/>
            <w:vAlign w:val="center"/>
          </w:tcPr>
          <w:p w14:paraId="27676B48" w14:textId="4F311916" w:rsidR="002D3A65" w:rsidRPr="00A173C1" w:rsidRDefault="002D3A65" w:rsidP="002D3A65">
            <w:pPr>
              <w:ind w:right="-1"/>
              <w:jc w:val="center"/>
              <w:rPr>
                <w:szCs w:val="18"/>
              </w:rPr>
            </w:pPr>
          </w:p>
        </w:tc>
        <w:tc>
          <w:tcPr>
            <w:tcW w:w="1843" w:type="dxa"/>
            <w:tcBorders>
              <w:top w:val="nil"/>
              <w:bottom w:val="nil"/>
            </w:tcBorders>
            <w:shd w:val="clear" w:color="auto" w:fill="FFFFFF"/>
            <w:vAlign w:val="center"/>
          </w:tcPr>
          <w:p w14:paraId="05CD8E82" w14:textId="5EF0AC8B" w:rsidR="002D3A65" w:rsidRPr="00A173C1" w:rsidRDefault="002D3A65" w:rsidP="002D3A65">
            <w:pPr>
              <w:ind w:right="-1"/>
              <w:jc w:val="left"/>
              <w:rPr>
                <w:rFonts w:cs="Arial"/>
                <w:szCs w:val="18"/>
                <w:lang w:val="en-US" w:eastAsia="es-ES"/>
              </w:rPr>
            </w:pPr>
            <w:r w:rsidRPr="00A173C1">
              <w:rPr>
                <w:szCs w:val="18"/>
              </w:rPr>
              <w:t>Sulphates (mg/</w:t>
            </w:r>
            <w:r>
              <w:rPr>
                <w:szCs w:val="18"/>
              </w:rPr>
              <w:t>L</w:t>
            </w:r>
            <w:r w:rsidRPr="00A173C1">
              <w:rPr>
                <w:szCs w:val="18"/>
              </w:rPr>
              <w:t>)</w:t>
            </w:r>
          </w:p>
        </w:tc>
        <w:tc>
          <w:tcPr>
            <w:tcW w:w="2111" w:type="dxa"/>
            <w:tcBorders>
              <w:top w:val="nil"/>
              <w:bottom w:val="nil"/>
            </w:tcBorders>
            <w:shd w:val="clear" w:color="auto" w:fill="FFFFFF"/>
            <w:vAlign w:val="center"/>
          </w:tcPr>
          <w:p w14:paraId="5D5122D5" w14:textId="7EC13F12" w:rsidR="002D3A65" w:rsidRPr="00A173C1" w:rsidRDefault="002D3A65" w:rsidP="002D3A65">
            <w:pPr>
              <w:ind w:right="-1"/>
              <w:jc w:val="center"/>
              <w:rPr>
                <w:rFonts w:cs="Arial"/>
                <w:szCs w:val="18"/>
                <w:lang w:val="en-US" w:eastAsia="es-ES"/>
              </w:rPr>
            </w:pPr>
            <w:r w:rsidRPr="00A173C1">
              <w:rPr>
                <w:rFonts w:cs="Arial"/>
                <w:szCs w:val="18"/>
                <w:lang w:val="en-US" w:eastAsia="es-ES"/>
              </w:rPr>
              <w:t>630.8</w:t>
            </w:r>
          </w:p>
        </w:tc>
      </w:tr>
      <w:tr w:rsidR="002D3A65" w:rsidRPr="00884BC8" w14:paraId="0667B2F1" w14:textId="00D70F16" w:rsidTr="00A50F64">
        <w:trPr>
          <w:trHeight w:val="20"/>
          <w:jc w:val="center"/>
        </w:trPr>
        <w:tc>
          <w:tcPr>
            <w:tcW w:w="1828" w:type="dxa"/>
            <w:tcBorders>
              <w:top w:val="nil"/>
              <w:bottom w:val="nil"/>
            </w:tcBorders>
            <w:shd w:val="clear" w:color="auto" w:fill="FFFFFF"/>
            <w:vAlign w:val="center"/>
          </w:tcPr>
          <w:p w14:paraId="3089A48A" w14:textId="6CEBADA9" w:rsidR="002D3A65" w:rsidRPr="00A173C1" w:rsidRDefault="002D3A65" w:rsidP="002D3A65">
            <w:pPr>
              <w:ind w:right="-1"/>
              <w:rPr>
                <w:rFonts w:cs="Arial"/>
                <w:szCs w:val="18"/>
                <w:lang w:val="en-US" w:eastAsia="es-ES"/>
              </w:rPr>
            </w:pPr>
            <w:r>
              <w:rPr>
                <w:rFonts w:cs="Arial"/>
                <w:szCs w:val="18"/>
                <w:lang w:val="en-US" w:eastAsia="es-ES"/>
              </w:rPr>
              <w:t>Potassium</w:t>
            </w:r>
            <w:r w:rsidRPr="00A173C1">
              <w:rPr>
                <w:rFonts w:cs="Arial"/>
                <w:szCs w:val="18"/>
                <w:lang w:val="en-US" w:eastAsia="es-ES"/>
              </w:rPr>
              <w:t xml:space="preserve"> (mg/</w:t>
            </w:r>
            <w:r>
              <w:rPr>
                <w:rFonts w:cs="Arial"/>
                <w:szCs w:val="18"/>
                <w:lang w:val="en-US" w:eastAsia="es-ES"/>
              </w:rPr>
              <w:t>L</w:t>
            </w:r>
            <w:r w:rsidRPr="00A173C1">
              <w:rPr>
                <w:rFonts w:cs="Arial"/>
                <w:szCs w:val="18"/>
                <w:lang w:val="en-US" w:eastAsia="es-ES"/>
              </w:rPr>
              <w:t>)</w:t>
            </w:r>
          </w:p>
        </w:tc>
        <w:tc>
          <w:tcPr>
            <w:tcW w:w="1418" w:type="dxa"/>
            <w:tcBorders>
              <w:top w:val="nil"/>
              <w:bottom w:val="nil"/>
            </w:tcBorders>
            <w:shd w:val="clear" w:color="auto" w:fill="FFFFFF"/>
            <w:vAlign w:val="center"/>
          </w:tcPr>
          <w:p w14:paraId="7A155D64" w14:textId="3A7FB0DF" w:rsidR="002D3A65" w:rsidRPr="00A173C1" w:rsidRDefault="002D3A65" w:rsidP="002D3A65">
            <w:pPr>
              <w:ind w:right="-1"/>
              <w:jc w:val="center"/>
              <w:rPr>
                <w:rFonts w:cs="Arial"/>
                <w:szCs w:val="18"/>
                <w:lang w:val="en-US" w:eastAsia="es-ES"/>
              </w:rPr>
            </w:pPr>
            <w:r w:rsidRPr="00890E99">
              <w:rPr>
                <w:rFonts w:cs="Arial"/>
                <w:szCs w:val="18"/>
                <w:lang w:val="en-US" w:eastAsia="es-ES"/>
              </w:rPr>
              <w:t>2</w:t>
            </w:r>
            <w:r>
              <w:rPr>
                <w:rFonts w:cs="Arial"/>
                <w:szCs w:val="18"/>
                <w:lang w:val="en-US" w:eastAsia="es-ES"/>
              </w:rPr>
              <w:t>,</w:t>
            </w:r>
            <w:r w:rsidRPr="00890E99">
              <w:rPr>
                <w:rFonts w:cs="Arial"/>
                <w:szCs w:val="18"/>
                <w:lang w:val="en-US" w:eastAsia="es-ES"/>
              </w:rPr>
              <w:t>757.47</w:t>
            </w:r>
          </w:p>
        </w:tc>
        <w:tc>
          <w:tcPr>
            <w:tcW w:w="723" w:type="dxa"/>
            <w:tcBorders>
              <w:top w:val="nil"/>
              <w:bottom w:val="nil"/>
            </w:tcBorders>
            <w:shd w:val="clear" w:color="auto" w:fill="FFFFFF"/>
            <w:vAlign w:val="center"/>
          </w:tcPr>
          <w:p w14:paraId="10E30834" w14:textId="6BA356DD" w:rsidR="002D3A65" w:rsidRPr="00A173C1" w:rsidRDefault="002D3A65" w:rsidP="002D3A65">
            <w:pPr>
              <w:ind w:right="-1"/>
              <w:jc w:val="center"/>
              <w:rPr>
                <w:szCs w:val="18"/>
              </w:rPr>
            </w:pPr>
          </w:p>
        </w:tc>
        <w:tc>
          <w:tcPr>
            <w:tcW w:w="1843" w:type="dxa"/>
            <w:tcBorders>
              <w:top w:val="nil"/>
              <w:bottom w:val="nil"/>
            </w:tcBorders>
            <w:shd w:val="clear" w:color="auto" w:fill="FFFFFF"/>
            <w:vAlign w:val="center"/>
          </w:tcPr>
          <w:p w14:paraId="01230555" w14:textId="1F12A5EB" w:rsidR="002D3A65" w:rsidRPr="00A173C1" w:rsidRDefault="002D3A65" w:rsidP="002D3A65">
            <w:pPr>
              <w:ind w:right="-1"/>
              <w:jc w:val="left"/>
              <w:rPr>
                <w:rFonts w:cs="Arial"/>
                <w:szCs w:val="18"/>
                <w:lang w:val="en-US" w:eastAsia="es-ES"/>
              </w:rPr>
            </w:pPr>
            <w:r w:rsidRPr="00A173C1">
              <w:rPr>
                <w:szCs w:val="18"/>
              </w:rPr>
              <w:t>Nitrates (mg/</w:t>
            </w:r>
            <w:r>
              <w:rPr>
                <w:szCs w:val="18"/>
              </w:rPr>
              <w:t>L</w:t>
            </w:r>
            <w:r w:rsidRPr="00A173C1">
              <w:rPr>
                <w:szCs w:val="18"/>
              </w:rPr>
              <w:t>)</w:t>
            </w:r>
          </w:p>
        </w:tc>
        <w:tc>
          <w:tcPr>
            <w:tcW w:w="2111" w:type="dxa"/>
            <w:tcBorders>
              <w:top w:val="nil"/>
              <w:bottom w:val="nil"/>
            </w:tcBorders>
            <w:shd w:val="clear" w:color="auto" w:fill="FFFFFF"/>
            <w:vAlign w:val="center"/>
          </w:tcPr>
          <w:p w14:paraId="29924B70" w14:textId="569D9165" w:rsidR="002D3A65" w:rsidRPr="00A173C1" w:rsidRDefault="002D3A65" w:rsidP="002D3A65">
            <w:pPr>
              <w:ind w:right="-1"/>
              <w:jc w:val="center"/>
              <w:rPr>
                <w:rFonts w:cs="Arial"/>
                <w:szCs w:val="18"/>
                <w:lang w:val="en-US" w:eastAsia="es-ES"/>
              </w:rPr>
            </w:pPr>
            <w:r w:rsidRPr="00A173C1">
              <w:rPr>
                <w:rFonts w:cs="Arial"/>
                <w:szCs w:val="18"/>
                <w:lang w:val="en-US" w:eastAsia="es-ES"/>
              </w:rPr>
              <w:t>&lt;50</w:t>
            </w:r>
          </w:p>
        </w:tc>
      </w:tr>
      <w:tr w:rsidR="002D3A65" w:rsidRPr="00884BC8" w14:paraId="371A8CD1" w14:textId="6D719163" w:rsidTr="00A50F64">
        <w:trPr>
          <w:trHeight w:val="20"/>
          <w:jc w:val="center"/>
        </w:trPr>
        <w:tc>
          <w:tcPr>
            <w:tcW w:w="1828" w:type="dxa"/>
            <w:tcBorders>
              <w:top w:val="nil"/>
              <w:bottom w:val="nil"/>
            </w:tcBorders>
            <w:shd w:val="clear" w:color="auto" w:fill="FFFFFF"/>
            <w:vAlign w:val="center"/>
          </w:tcPr>
          <w:p w14:paraId="53488DE8" w14:textId="1FC56820" w:rsidR="002D3A65" w:rsidRPr="00A173C1" w:rsidRDefault="002D3A65" w:rsidP="002D3A65">
            <w:pPr>
              <w:ind w:right="-1"/>
              <w:rPr>
                <w:rFonts w:cs="Arial"/>
                <w:szCs w:val="18"/>
                <w:lang w:val="en-US" w:eastAsia="es-ES"/>
              </w:rPr>
            </w:pPr>
            <w:r>
              <w:rPr>
                <w:rFonts w:cs="Arial"/>
                <w:color w:val="000000"/>
                <w:szCs w:val="18"/>
                <w:lang w:eastAsia="es-ES"/>
              </w:rPr>
              <w:t>Ammonium</w:t>
            </w:r>
            <w:r w:rsidRPr="00A173C1">
              <w:rPr>
                <w:rFonts w:cs="Arial"/>
                <w:color w:val="000000"/>
                <w:szCs w:val="18"/>
                <w:lang w:eastAsia="es-ES"/>
              </w:rPr>
              <w:t xml:space="preserve"> (</w:t>
            </w:r>
            <w:r>
              <w:rPr>
                <w:rFonts w:cs="Arial"/>
                <w:color w:val="000000"/>
                <w:szCs w:val="18"/>
                <w:lang w:eastAsia="es-ES"/>
              </w:rPr>
              <w:t>m</w:t>
            </w:r>
            <w:r w:rsidRPr="00A173C1">
              <w:rPr>
                <w:rFonts w:cs="Arial"/>
                <w:color w:val="000000"/>
                <w:szCs w:val="18"/>
                <w:lang w:eastAsia="es-ES"/>
              </w:rPr>
              <w:t>g/</w:t>
            </w:r>
            <w:r>
              <w:rPr>
                <w:rFonts w:cs="Arial"/>
                <w:color w:val="000000"/>
                <w:szCs w:val="18"/>
                <w:lang w:eastAsia="es-ES"/>
              </w:rPr>
              <w:t>L</w:t>
            </w:r>
            <w:r w:rsidRPr="00A173C1">
              <w:rPr>
                <w:rFonts w:cs="Arial"/>
                <w:color w:val="000000"/>
                <w:szCs w:val="18"/>
                <w:lang w:eastAsia="es-ES"/>
              </w:rPr>
              <w:t>)</w:t>
            </w:r>
          </w:p>
        </w:tc>
        <w:tc>
          <w:tcPr>
            <w:tcW w:w="1418" w:type="dxa"/>
            <w:tcBorders>
              <w:top w:val="nil"/>
              <w:bottom w:val="nil"/>
            </w:tcBorders>
            <w:shd w:val="clear" w:color="auto" w:fill="FFFFFF"/>
            <w:vAlign w:val="center"/>
          </w:tcPr>
          <w:p w14:paraId="1F92DF30" w14:textId="50EA03AB" w:rsidR="002D3A65" w:rsidRPr="00A173C1" w:rsidRDefault="002D3A65" w:rsidP="002D3A65">
            <w:pPr>
              <w:ind w:right="-1"/>
              <w:jc w:val="center"/>
              <w:rPr>
                <w:rFonts w:cs="Arial"/>
                <w:szCs w:val="18"/>
                <w:lang w:val="en-US" w:eastAsia="es-ES"/>
              </w:rPr>
            </w:pPr>
            <w:r w:rsidRPr="00A173C1">
              <w:rPr>
                <w:rFonts w:cs="Arial"/>
                <w:szCs w:val="18"/>
                <w:lang w:val="en-US" w:eastAsia="es-ES"/>
              </w:rPr>
              <w:t>2</w:t>
            </w:r>
            <w:r>
              <w:rPr>
                <w:rFonts w:cs="Arial"/>
                <w:szCs w:val="18"/>
                <w:lang w:val="en-US" w:eastAsia="es-ES"/>
              </w:rPr>
              <w:t>,</w:t>
            </w:r>
            <w:r w:rsidRPr="00A173C1">
              <w:rPr>
                <w:rFonts w:cs="Arial"/>
                <w:szCs w:val="18"/>
                <w:lang w:val="en-US" w:eastAsia="es-ES"/>
              </w:rPr>
              <w:t>751.03</w:t>
            </w:r>
          </w:p>
        </w:tc>
        <w:tc>
          <w:tcPr>
            <w:tcW w:w="723" w:type="dxa"/>
            <w:tcBorders>
              <w:top w:val="nil"/>
              <w:bottom w:val="nil"/>
            </w:tcBorders>
            <w:shd w:val="clear" w:color="auto" w:fill="FFFFFF"/>
            <w:vAlign w:val="center"/>
          </w:tcPr>
          <w:p w14:paraId="5613372B" w14:textId="167E5FAE" w:rsidR="002D3A65" w:rsidRPr="00A173C1" w:rsidRDefault="002D3A65" w:rsidP="002D3A65">
            <w:pPr>
              <w:ind w:right="-1"/>
              <w:jc w:val="center"/>
              <w:rPr>
                <w:szCs w:val="18"/>
              </w:rPr>
            </w:pPr>
          </w:p>
        </w:tc>
        <w:tc>
          <w:tcPr>
            <w:tcW w:w="1843" w:type="dxa"/>
            <w:tcBorders>
              <w:top w:val="nil"/>
              <w:bottom w:val="nil"/>
            </w:tcBorders>
            <w:shd w:val="clear" w:color="auto" w:fill="FFFFFF"/>
            <w:vAlign w:val="center"/>
          </w:tcPr>
          <w:p w14:paraId="31EC0B78" w14:textId="55C75A74" w:rsidR="002D3A65" w:rsidRPr="00A173C1" w:rsidRDefault="002D3A65" w:rsidP="002D3A65">
            <w:pPr>
              <w:ind w:right="-1"/>
              <w:jc w:val="left"/>
              <w:rPr>
                <w:rFonts w:cs="Arial"/>
                <w:szCs w:val="18"/>
                <w:lang w:val="en-US" w:eastAsia="es-ES"/>
              </w:rPr>
            </w:pPr>
            <w:r w:rsidRPr="00A173C1">
              <w:rPr>
                <w:szCs w:val="18"/>
              </w:rPr>
              <w:t>Zinc (mg/</w:t>
            </w:r>
            <w:r>
              <w:rPr>
                <w:szCs w:val="18"/>
              </w:rPr>
              <w:t>L</w:t>
            </w:r>
            <w:r w:rsidRPr="00A173C1">
              <w:rPr>
                <w:szCs w:val="18"/>
              </w:rPr>
              <w:t>)</w:t>
            </w:r>
          </w:p>
        </w:tc>
        <w:tc>
          <w:tcPr>
            <w:tcW w:w="2111" w:type="dxa"/>
            <w:tcBorders>
              <w:top w:val="nil"/>
              <w:bottom w:val="nil"/>
            </w:tcBorders>
            <w:shd w:val="clear" w:color="auto" w:fill="FFFFFF"/>
            <w:vAlign w:val="center"/>
          </w:tcPr>
          <w:p w14:paraId="73807CFB" w14:textId="75DFB345" w:rsidR="002D3A65" w:rsidRPr="00A173C1" w:rsidRDefault="002D3A65" w:rsidP="002D3A65">
            <w:pPr>
              <w:ind w:right="-1"/>
              <w:jc w:val="center"/>
              <w:rPr>
                <w:rFonts w:cs="Arial"/>
                <w:szCs w:val="18"/>
                <w:lang w:val="en-US" w:eastAsia="es-ES"/>
              </w:rPr>
            </w:pPr>
            <w:r w:rsidRPr="00A173C1">
              <w:rPr>
                <w:rFonts w:cs="Arial"/>
                <w:szCs w:val="18"/>
                <w:lang w:val="en-US" w:eastAsia="es-ES"/>
              </w:rPr>
              <w:t>19.34</w:t>
            </w:r>
          </w:p>
        </w:tc>
      </w:tr>
      <w:tr w:rsidR="002D3A65" w:rsidRPr="00884BC8" w14:paraId="1386703E" w14:textId="77777777" w:rsidTr="00A50F64">
        <w:trPr>
          <w:trHeight w:val="20"/>
          <w:jc w:val="center"/>
        </w:trPr>
        <w:tc>
          <w:tcPr>
            <w:tcW w:w="1828" w:type="dxa"/>
            <w:tcBorders>
              <w:top w:val="nil"/>
              <w:bottom w:val="nil"/>
            </w:tcBorders>
            <w:shd w:val="clear" w:color="auto" w:fill="FFFFFF"/>
            <w:vAlign w:val="center"/>
          </w:tcPr>
          <w:p w14:paraId="113EDF74" w14:textId="49081D05" w:rsidR="002D3A65" w:rsidRPr="00A173C1" w:rsidRDefault="002D3A65" w:rsidP="002D3A65">
            <w:pPr>
              <w:ind w:right="-1"/>
              <w:rPr>
                <w:rFonts w:cs="Arial"/>
                <w:szCs w:val="18"/>
                <w:lang w:val="en-US" w:eastAsia="es-ES"/>
              </w:rPr>
            </w:pPr>
            <w:r>
              <w:rPr>
                <w:rFonts w:cs="Arial"/>
                <w:szCs w:val="18"/>
                <w:lang w:val="en-US" w:eastAsia="es-ES"/>
              </w:rPr>
              <w:t>C</w:t>
            </w:r>
            <w:r w:rsidRPr="00890E99">
              <w:rPr>
                <w:rFonts w:cs="Arial"/>
                <w:szCs w:val="18"/>
                <w:lang w:val="en-US" w:eastAsia="es-ES"/>
              </w:rPr>
              <w:t>arbonates</w:t>
            </w:r>
            <w:r>
              <w:rPr>
                <w:rFonts w:cs="Arial"/>
                <w:szCs w:val="18"/>
                <w:lang w:val="en-US" w:eastAsia="es-ES"/>
              </w:rPr>
              <w:t xml:space="preserve"> </w:t>
            </w:r>
            <w:r w:rsidRPr="00A173C1">
              <w:rPr>
                <w:rFonts w:cs="Arial"/>
                <w:szCs w:val="18"/>
                <w:lang w:val="en-US" w:eastAsia="es-ES"/>
              </w:rPr>
              <w:t>(mg/</w:t>
            </w:r>
            <w:r>
              <w:rPr>
                <w:rFonts w:cs="Arial"/>
                <w:szCs w:val="18"/>
                <w:lang w:val="en-US" w:eastAsia="es-ES"/>
              </w:rPr>
              <w:t>L</w:t>
            </w:r>
            <w:r w:rsidRPr="00A173C1">
              <w:rPr>
                <w:rFonts w:cs="Arial"/>
                <w:szCs w:val="18"/>
                <w:lang w:val="en-US" w:eastAsia="es-ES"/>
              </w:rPr>
              <w:t>)</w:t>
            </w:r>
          </w:p>
        </w:tc>
        <w:tc>
          <w:tcPr>
            <w:tcW w:w="1418" w:type="dxa"/>
            <w:tcBorders>
              <w:top w:val="nil"/>
              <w:bottom w:val="nil"/>
            </w:tcBorders>
            <w:shd w:val="clear" w:color="auto" w:fill="FFFFFF"/>
            <w:vAlign w:val="center"/>
          </w:tcPr>
          <w:p w14:paraId="340F2342" w14:textId="217AEC57" w:rsidR="002D3A65" w:rsidRPr="00A173C1" w:rsidRDefault="002D3A65" w:rsidP="002D3A65">
            <w:pPr>
              <w:ind w:right="-1"/>
              <w:jc w:val="center"/>
              <w:rPr>
                <w:rFonts w:cs="Arial"/>
                <w:szCs w:val="18"/>
                <w:lang w:val="en-US" w:eastAsia="es-ES"/>
              </w:rPr>
            </w:pPr>
            <w:r>
              <w:rPr>
                <w:rFonts w:cs="Arial"/>
                <w:szCs w:val="18"/>
                <w:lang w:val="en-US" w:eastAsia="es-ES"/>
              </w:rPr>
              <w:t>&lt;25</w:t>
            </w:r>
          </w:p>
        </w:tc>
        <w:tc>
          <w:tcPr>
            <w:tcW w:w="723" w:type="dxa"/>
            <w:tcBorders>
              <w:top w:val="nil"/>
              <w:bottom w:val="nil"/>
            </w:tcBorders>
            <w:shd w:val="clear" w:color="auto" w:fill="FFFFFF"/>
            <w:vAlign w:val="center"/>
          </w:tcPr>
          <w:p w14:paraId="43C864B5" w14:textId="77777777" w:rsidR="002D3A65" w:rsidRPr="00A173C1" w:rsidRDefault="002D3A65" w:rsidP="002D3A65">
            <w:pPr>
              <w:ind w:right="-1"/>
              <w:jc w:val="center"/>
              <w:rPr>
                <w:szCs w:val="18"/>
              </w:rPr>
            </w:pPr>
          </w:p>
        </w:tc>
        <w:tc>
          <w:tcPr>
            <w:tcW w:w="1843" w:type="dxa"/>
            <w:tcBorders>
              <w:top w:val="nil"/>
              <w:bottom w:val="nil"/>
            </w:tcBorders>
            <w:shd w:val="clear" w:color="auto" w:fill="FFFFFF"/>
          </w:tcPr>
          <w:p w14:paraId="79CC4366" w14:textId="317833E7" w:rsidR="002D3A65" w:rsidRPr="00A173C1" w:rsidRDefault="002D3A65" w:rsidP="002D3A65">
            <w:pPr>
              <w:ind w:right="-1"/>
              <w:jc w:val="left"/>
              <w:rPr>
                <w:szCs w:val="18"/>
              </w:rPr>
            </w:pPr>
            <w:r w:rsidRPr="009E63B2">
              <w:t>Copper</w:t>
            </w:r>
          </w:p>
        </w:tc>
        <w:tc>
          <w:tcPr>
            <w:tcW w:w="2111" w:type="dxa"/>
            <w:tcBorders>
              <w:top w:val="nil"/>
              <w:bottom w:val="nil"/>
            </w:tcBorders>
            <w:shd w:val="clear" w:color="auto" w:fill="FFFFFF"/>
          </w:tcPr>
          <w:p w14:paraId="2C42A37B" w14:textId="35506949" w:rsidR="002D3A65" w:rsidRPr="00A173C1" w:rsidRDefault="002D3A65" w:rsidP="002D3A65">
            <w:pPr>
              <w:ind w:right="-1"/>
              <w:jc w:val="center"/>
              <w:rPr>
                <w:rFonts w:cs="Arial"/>
                <w:szCs w:val="18"/>
                <w:lang w:val="en-US" w:eastAsia="es-ES"/>
              </w:rPr>
            </w:pPr>
            <w:r>
              <w:t>4.21</w:t>
            </w:r>
          </w:p>
        </w:tc>
      </w:tr>
      <w:tr w:rsidR="002D3A65" w:rsidRPr="00884BC8" w14:paraId="5996D3C4" w14:textId="77777777" w:rsidTr="00A50F64">
        <w:trPr>
          <w:trHeight w:val="20"/>
          <w:jc w:val="center"/>
        </w:trPr>
        <w:tc>
          <w:tcPr>
            <w:tcW w:w="1828" w:type="dxa"/>
            <w:tcBorders>
              <w:top w:val="nil"/>
              <w:bottom w:val="nil"/>
            </w:tcBorders>
            <w:shd w:val="clear" w:color="auto" w:fill="FFFFFF"/>
            <w:vAlign w:val="center"/>
          </w:tcPr>
          <w:p w14:paraId="129677CC" w14:textId="3E090221" w:rsidR="002D3A65" w:rsidRPr="00A173C1" w:rsidRDefault="002D3A65" w:rsidP="002D3A65">
            <w:pPr>
              <w:ind w:right="-1"/>
              <w:rPr>
                <w:rFonts w:cs="Arial"/>
                <w:szCs w:val="18"/>
                <w:lang w:val="en-US" w:eastAsia="es-ES"/>
              </w:rPr>
            </w:pPr>
            <w:r>
              <w:rPr>
                <w:rFonts w:cs="Arial"/>
                <w:szCs w:val="18"/>
                <w:lang w:val="en-US" w:eastAsia="es-ES"/>
              </w:rPr>
              <w:t>Copper</w:t>
            </w:r>
          </w:p>
        </w:tc>
        <w:tc>
          <w:tcPr>
            <w:tcW w:w="1418" w:type="dxa"/>
            <w:tcBorders>
              <w:top w:val="nil"/>
              <w:bottom w:val="nil"/>
            </w:tcBorders>
            <w:shd w:val="clear" w:color="auto" w:fill="FFFFFF"/>
            <w:vAlign w:val="center"/>
          </w:tcPr>
          <w:p w14:paraId="317E7DAA" w14:textId="1F7BF243" w:rsidR="002D3A65" w:rsidRPr="00890E99" w:rsidRDefault="002D3A65" w:rsidP="002D3A65">
            <w:pPr>
              <w:ind w:right="-1"/>
              <w:jc w:val="center"/>
              <w:rPr>
                <w:rFonts w:cs="Arial"/>
                <w:szCs w:val="18"/>
                <w:lang w:val="en-US" w:eastAsia="es-ES"/>
              </w:rPr>
            </w:pPr>
            <w:r>
              <w:rPr>
                <w:rFonts w:cs="Arial"/>
                <w:szCs w:val="18"/>
                <w:lang w:val="en-US" w:eastAsia="es-ES"/>
              </w:rPr>
              <w:t>23.43</w:t>
            </w:r>
          </w:p>
        </w:tc>
        <w:tc>
          <w:tcPr>
            <w:tcW w:w="723" w:type="dxa"/>
            <w:tcBorders>
              <w:top w:val="nil"/>
              <w:bottom w:val="nil"/>
            </w:tcBorders>
            <w:shd w:val="clear" w:color="auto" w:fill="FFFFFF"/>
            <w:vAlign w:val="center"/>
          </w:tcPr>
          <w:p w14:paraId="5CA7B135" w14:textId="77777777" w:rsidR="002D3A65" w:rsidRPr="00A173C1" w:rsidRDefault="002D3A65" w:rsidP="002D3A65">
            <w:pPr>
              <w:ind w:right="-1"/>
              <w:jc w:val="center"/>
              <w:rPr>
                <w:szCs w:val="18"/>
              </w:rPr>
            </w:pPr>
          </w:p>
        </w:tc>
        <w:tc>
          <w:tcPr>
            <w:tcW w:w="1843" w:type="dxa"/>
            <w:tcBorders>
              <w:top w:val="nil"/>
              <w:bottom w:val="nil"/>
            </w:tcBorders>
            <w:shd w:val="clear" w:color="auto" w:fill="FFFFFF"/>
            <w:vAlign w:val="center"/>
          </w:tcPr>
          <w:p w14:paraId="28461EEA" w14:textId="7288F2A7" w:rsidR="002D3A65" w:rsidRPr="00A173C1" w:rsidRDefault="002D3A65" w:rsidP="002D3A65">
            <w:pPr>
              <w:ind w:right="-1"/>
              <w:jc w:val="left"/>
              <w:rPr>
                <w:szCs w:val="18"/>
              </w:rPr>
            </w:pPr>
            <w:r>
              <w:rPr>
                <w:szCs w:val="18"/>
              </w:rPr>
              <w:t>Lead</w:t>
            </w:r>
          </w:p>
        </w:tc>
        <w:tc>
          <w:tcPr>
            <w:tcW w:w="2111" w:type="dxa"/>
            <w:tcBorders>
              <w:top w:val="nil"/>
              <w:bottom w:val="nil"/>
            </w:tcBorders>
            <w:shd w:val="clear" w:color="auto" w:fill="FFFFFF"/>
            <w:vAlign w:val="center"/>
          </w:tcPr>
          <w:p w14:paraId="251CB6A0" w14:textId="218934FA" w:rsidR="002D3A65" w:rsidRPr="00A173C1" w:rsidRDefault="002D3A65" w:rsidP="002D3A65">
            <w:pPr>
              <w:ind w:right="-1"/>
              <w:jc w:val="center"/>
              <w:rPr>
                <w:rFonts w:cs="Arial"/>
                <w:szCs w:val="18"/>
                <w:lang w:val="en-US" w:eastAsia="es-ES"/>
              </w:rPr>
            </w:pPr>
            <w:r>
              <w:rPr>
                <w:rFonts w:cs="Arial"/>
                <w:szCs w:val="18"/>
                <w:lang w:val="en-US" w:eastAsia="es-ES"/>
              </w:rPr>
              <w:t>1.3</w:t>
            </w:r>
          </w:p>
        </w:tc>
      </w:tr>
      <w:tr w:rsidR="002D3A65" w:rsidRPr="00884BC8" w14:paraId="24BBAFBC" w14:textId="77777777" w:rsidTr="00A50F64">
        <w:trPr>
          <w:trHeight w:val="20"/>
          <w:jc w:val="center"/>
        </w:trPr>
        <w:tc>
          <w:tcPr>
            <w:tcW w:w="1828" w:type="dxa"/>
            <w:tcBorders>
              <w:top w:val="nil"/>
            </w:tcBorders>
            <w:shd w:val="clear" w:color="auto" w:fill="FFFFFF"/>
            <w:vAlign w:val="center"/>
          </w:tcPr>
          <w:p w14:paraId="7651C3A8" w14:textId="6690E9E6" w:rsidR="002D3A65" w:rsidRDefault="002D3A65" w:rsidP="002D3A65">
            <w:pPr>
              <w:ind w:right="-1"/>
              <w:rPr>
                <w:rFonts w:cs="Arial"/>
                <w:szCs w:val="18"/>
                <w:lang w:val="en-US" w:eastAsia="es-ES"/>
              </w:rPr>
            </w:pPr>
            <w:r w:rsidRPr="00A173C1">
              <w:rPr>
                <w:rFonts w:cs="Arial"/>
                <w:szCs w:val="18"/>
                <w:lang w:val="en-US" w:eastAsia="es-ES"/>
              </w:rPr>
              <w:t>Other metals: As, Pb, Hg, Cr, Ba, Se, Cu… (mg/</w:t>
            </w:r>
            <w:r>
              <w:rPr>
                <w:rFonts w:cs="Arial"/>
                <w:szCs w:val="18"/>
                <w:lang w:val="en-US" w:eastAsia="es-ES"/>
              </w:rPr>
              <w:t>L</w:t>
            </w:r>
            <w:r w:rsidRPr="00A173C1">
              <w:rPr>
                <w:rFonts w:cs="Arial"/>
                <w:szCs w:val="18"/>
                <w:lang w:val="en-US" w:eastAsia="es-ES"/>
              </w:rPr>
              <w:t>)</w:t>
            </w:r>
          </w:p>
        </w:tc>
        <w:tc>
          <w:tcPr>
            <w:tcW w:w="1418" w:type="dxa"/>
            <w:tcBorders>
              <w:top w:val="nil"/>
            </w:tcBorders>
            <w:shd w:val="clear" w:color="auto" w:fill="FFFFFF"/>
            <w:vAlign w:val="center"/>
          </w:tcPr>
          <w:p w14:paraId="39CBF147" w14:textId="297587AC" w:rsidR="002D3A65" w:rsidRPr="00890E99" w:rsidRDefault="00A50F64" w:rsidP="002D3A65">
            <w:pPr>
              <w:ind w:right="-1"/>
              <w:jc w:val="center"/>
              <w:rPr>
                <w:rFonts w:cs="Arial"/>
                <w:szCs w:val="18"/>
                <w:lang w:val="en-US" w:eastAsia="es-ES"/>
              </w:rPr>
            </w:pPr>
            <w:r>
              <w:rPr>
                <w:rFonts w:cs="Arial"/>
                <w:szCs w:val="18"/>
                <w:lang w:val="en-US" w:eastAsia="es-ES"/>
              </w:rPr>
              <w:t>&lt;1</w:t>
            </w:r>
          </w:p>
        </w:tc>
        <w:tc>
          <w:tcPr>
            <w:tcW w:w="723" w:type="dxa"/>
            <w:tcBorders>
              <w:top w:val="nil"/>
            </w:tcBorders>
            <w:shd w:val="clear" w:color="auto" w:fill="FFFFFF"/>
            <w:vAlign w:val="center"/>
          </w:tcPr>
          <w:p w14:paraId="5FF40456" w14:textId="77777777" w:rsidR="002D3A65" w:rsidRPr="00A173C1" w:rsidRDefault="002D3A65" w:rsidP="002D3A65">
            <w:pPr>
              <w:ind w:right="-1"/>
              <w:jc w:val="center"/>
              <w:rPr>
                <w:szCs w:val="18"/>
              </w:rPr>
            </w:pPr>
          </w:p>
        </w:tc>
        <w:tc>
          <w:tcPr>
            <w:tcW w:w="1843" w:type="dxa"/>
            <w:tcBorders>
              <w:top w:val="nil"/>
            </w:tcBorders>
            <w:shd w:val="clear" w:color="auto" w:fill="FFFFFF"/>
            <w:vAlign w:val="center"/>
          </w:tcPr>
          <w:p w14:paraId="2F574563" w14:textId="2EBE9299" w:rsidR="002D3A65" w:rsidRPr="00A173C1" w:rsidRDefault="002D3A65" w:rsidP="002D3A65">
            <w:pPr>
              <w:ind w:right="-1"/>
              <w:jc w:val="left"/>
              <w:rPr>
                <w:szCs w:val="18"/>
              </w:rPr>
            </w:pPr>
            <w:r w:rsidRPr="00A173C1">
              <w:rPr>
                <w:szCs w:val="18"/>
              </w:rPr>
              <w:t>Other metals: As, Hg, Cr, Ba, Se</w:t>
            </w:r>
            <w:r>
              <w:rPr>
                <w:szCs w:val="18"/>
              </w:rPr>
              <w:t>, Ni</w:t>
            </w:r>
            <w:r w:rsidRPr="00A173C1">
              <w:rPr>
                <w:szCs w:val="18"/>
              </w:rPr>
              <w:t>… (mg/</w:t>
            </w:r>
            <w:r>
              <w:rPr>
                <w:szCs w:val="18"/>
              </w:rPr>
              <w:t>L</w:t>
            </w:r>
            <w:r w:rsidRPr="00A173C1">
              <w:rPr>
                <w:szCs w:val="18"/>
              </w:rPr>
              <w:t>)</w:t>
            </w:r>
          </w:p>
        </w:tc>
        <w:tc>
          <w:tcPr>
            <w:tcW w:w="2111" w:type="dxa"/>
            <w:tcBorders>
              <w:top w:val="nil"/>
            </w:tcBorders>
            <w:shd w:val="clear" w:color="auto" w:fill="FFFFFF"/>
            <w:vAlign w:val="center"/>
          </w:tcPr>
          <w:p w14:paraId="420DC141" w14:textId="0B9CFE22" w:rsidR="002D3A65" w:rsidRPr="00A173C1" w:rsidRDefault="002D3A65" w:rsidP="002D3A65">
            <w:pPr>
              <w:ind w:right="-1"/>
              <w:jc w:val="center"/>
              <w:rPr>
                <w:rFonts w:cs="Arial"/>
                <w:szCs w:val="18"/>
                <w:lang w:val="en-US" w:eastAsia="es-ES"/>
              </w:rPr>
            </w:pPr>
            <w:r w:rsidRPr="00A173C1">
              <w:rPr>
                <w:rFonts w:cs="Arial"/>
                <w:szCs w:val="18"/>
                <w:lang w:val="en-US" w:eastAsia="es-ES"/>
              </w:rPr>
              <w:t>&lt;1</w:t>
            </w:r>
          </w:p>
        </w:tc>
      </w:tr>
    </w:tbl>
    <w:p w14:paraId="58ECE2DA" w14:textId="77777777" w:rsidR="003D60E5" w:rsidRDefault="003D60E5" w:rsidP="003D60E5">
      <w:pPr>
        <w:pStyle w:val="CETBodytext"/>
      </w:pPr>
    </w:p>
    <w:p w14:paraId="4B78D6E6" w14:textId="3F8F091F" w:rsidR="003D60E5" w:rsidRDefault="003D60E5" w:rsidP="003D60E5">
      <w:pPr>
        <w:pStyle w:val="CETheadingx"/>
        <w:numPr>
          <w:ilvl w:val="0"/>
          <w:numId w:val="0"/>
        </w:numPr>
      </w:pPr>
      <w:r w:rsidRPr="00470D97">
        <w:t>2.1. Ozonation</w:t>
      </w:r>
      <w:r w:rsidR="006567DD">
        <w:t xml:space="preserve"> of landfill leachate</w:t>
      </w:r>
    </w:p>
    <w:p w14:paraId="0A7C7F47" w14:textId="28D3298B" w:rsidR="006567DD" w:rsidRPr="006567DD" w:rsidRDefault="00966115" w:rsidP="006567DD">
      <w:pPr>
        <w:pStyle w:val="CETBodytext"/>
      </w:pPr>
      <w:r>
        <w:t xml:space="preserve">The ozonation </w:t>
      </w:r>
      <w:r w:rsidR="0009724C">
        <w:t>plat</w:t>
      </w:r>
      <w:r>
        <w:t xml:space="preserve"> consists of a laboratory-scale test bench with small contactors and a semi-continuous reactor</w:t>
      </w:r>
      <w:r w:rsidR="00DE70C5">
        <w:t>, being the</w:t>
      </w:r>
      <w:r w:rsidR="00DE70C5" w:rsidRPr="00851F17">
        <w:t xml:space="preserve"> ozone generator Zonosistem GZ07</w:t>
      </w:r>
      <w:r w:rsidR="00DE70C5">
        <w:t xml:space="preserve"> t</w:t>
      </w:r>
      <w:r>
        <w:t>he main unit</w:t>
      </w:r>
      <w:r w:rsidRPr="00851F17">
        <w:t xml:space="preserve">. </w:t>
      </w:r>
      <w:r w:rsidR="006567DD">
        <w:t xml:space="preserve">A 1L </w:t>
      </w:r>
      <w:r w:rsidR="006567DD" w:rsidRPr="00851F17">
        <w:t>polycarbonate test tube</w:t>
      </w:r>
      <w:r w:rsidR="006567DD">
        <w:t xml:space="preserve"> was used for ozonation of landfill leachate wastewater</w:t>
      </w:r>
      <w:r w:rsidR="00D365F6">
        <w:t xml:space="preserve">, being filled with 500 mL </w:t>
      </w:r>
      <w:r w:rsidR="003D0ADB">
        <w:t xml:space="preserve">of a 1/2 dilution of leachate waste in </w:t>
      </w:r>
      <w:r w:rsidR="009F7BD9">
        <w:t>deionized</w:t>
      </w:r>
      <w:r w:rsidR="003D0ADB">
        <w:t xml:space="preserve"> water</w:t>
      </w:r>
      <w:r w:rsidR="006567DD">
        <w:t xml:space="preserve">. </w:t>
      </w:r>
      <w:r w:rsidR="006567DD" w:rsidRPr="006567DD">
        <w:t>For th</w:t>
      </w:r>
      <w:r w:rsidR="0009724C">
        <w:t>ese</w:t>
      </w:r>
      <w:r w:rsidR="006567DD" w:rsidRPr="006567DD">
        <w:t xml:space="preserve"> experiment</w:t>
      </w:r>
      <w:r w:rsidR="003D0ADB">
        <w:t>s</w:t>
      </w:r>
      <w:r w:rsidR="006567DD">
        <w:t>,</w:t>
      </w:r>
      <w:r w:rsidR="006567DD" w:rsidRPr="006567DD">
        <w:t xml:space="preserve"> </w:t>
      </w:r>
      <w:r w:rsidR="006567DD">
        <w:t>10</w:t>
      </w:r>
      <w:r w:rsidR="006567DD" w:rsidRPr="006567DD">
        <w:t xml:space="preserve"> minutes of an ozone stream of </w:t>
      </w:r>
      <w:r w:rsidR="0009724C">
        <w:t>52.8</w:t>
      </w:r>
      <w:r w:rsidR="00D365F6">
        <w:t xml:space="preserve"> </w:t>
      </w:r>
      <w:r w:rsidR="006567DD" w:rsidRPr="006567DD">
        <w:t>mgO</w:t>
      </w:r>
      <w:r w:rsidR="006567DD" w:rsidRPr="00D365F6">
        <w:rPr>
          <w:vertAlign w:val="subscript"/>
        </w:rPr>
        <w:t>3</w:t>
      </w:r>
      <w:r w:rsidR="006567DD" w:rsidRPr="006567DD">
        <w:t>/L·min a</w:t>
      </w:r>
      <w:r w:rsidR="00D365F6">
        <w:t xml:space="preserve">t </w:t>
      </w:r>
      <w:r w:rsidR="006567DD" w:rsidRPr="006567DD">
        <w:t>a flow rate of 0.3 NL/min is bubbling through a diffuser located at the bottom.</w:t>
      </w:r>
      <w:r w:rsidR="00D365F6">
        <w:t xml:space="preserve"> </w:t>
      </w:r>
      <w:r w:rsidR="003D0ADB">
        <w:t>The procedure is repeated o</w:t>
      </w:r>
      <w:r w:rsidR="00620B8C">
        <w:t>n</w:t>
      </w:r>
      <w:r w:rsidR="003D0ADB">
        <w:t xml:space="preserve"> another identical feed</w:t>
      </w:r>
      <w:r w:rsidR="00620B8C">
        <w:t>,</w:t>
      </w:r>
      <w:r w:rsidR="003D0ADB">
        <w:t xml:space="preserve"> but </w:t>
      </w:r>
      <w:r w:rsidR="00620B8C">
        <w:t xml:space="preserve">this time </w:t>
      </w:r>
      <w:r w:rsidR="003D0ADB">
        <w:t xml:space="preserve">increasing the ozone concentration to 85 </w:t>
      </w:r>
      <w:r w:rsidR="003D0ADB" w:rsidRPr="006567DD">
        <w:t>mgO</w:t>
      </w:r>
      <w:r w:rsidR="003D0ADB" w:rsidRPr="00D365F6">
        <w:rPr>
          <w:vertAlign w:val="subscript"/>
        </w:rPr>
        <w:t>3</w:t>
      </w:r>
      <w:r w:rsidR="003D0ADB" w:rsidRPr="006567DD">
        <w:t>/L·min</w:t>
      </w:r>
      <w:r w:rsidR="003D0ADB">
        <w:t>.</w:t>
      </w:r>
      <w:r w:rsidR="0009724C">
        <w:t xml:space="preserve"> </w:t>
      </w:r>
      <w:r w:rsidR="002C5CD6">
        <w:t xml:space="preserve">Total organic carbon (TOC), conductivity and pH is measured in order to know the chemical </w:t>
      </w:r>
      <w:r w:rsidR="00AD0554">
        <w:t xml:space="preserve">changes made </w:t>
      </w:r>
      <w:r w:rsidR="002C5CD6">
        <w:t xml:space="preserve">in compassion with the original feed. </w:t>
      </w:r>
      <w:r w:rsidR="0009724C">
        <w:t>Subsequently a</w:t>
      </w:r>
      <w:r w:rsidR="002C5CD6">
        <w:t>n air</w:t>
      </w:r>
      <w:r w:rsidR="0009724C">
        <w:t xml:space="preserve"> stream </w:t>
      </w:r>
      <w:r w:rsidR="002C5CD6" w:rsidRPr="006567DD">
        <w:t>a</w:t>
      </w:r>
      <w:r w:rsidR="002C5CD6">
        <w:t xml:space="preserve">t </w:t>
      </w:r>
      <w:r w:rsidR="002C5CD6" w:rsidRPr="006567DD">
        <w:t xml:space="preserve">a flow rate of 0.3 NL/min </w:t>
      </w:r>
      <w:r w:rsidR="0009724C">
        <w:t xml:space="preserve">is bubbling </w:t>
      </w:r>
      <w:r w:rsidR="0009724C" w:rsidRPr="0009724C">
        <w:t xml:space="preserve">through </w:t>
      </w:r>
      <w:r w:rsidR="002C5CD6">
        <w:t xml:space="preserve">the diffuser and the volume of foam generated is measured </w:t>
      </w:r>
      <w:r w:rsidR="002C5CD6" w:rsidRPr="002C5CD6">
        <w:t>every minute until the overflow is reached</w:t>
      </w:r>
      <w:r w:rsidR="002C5CD6">
        <w:t xml:space="preserve">. </w:t>
      </w:r>
    </w:p>
    <w:p w14:paraId="1037C693" w14:textId="6D5DC97E" w:rsidR="006567DD" w:rsidRPr="00851F17" w:rsidRDefault="006567DD" w:rsidP="006567DD">
      <w:pPr>
        <w:pStyle w:val="CETheadingx"/>
        <w:numPr>
          <w:ilvl w:val="0"/>
          <w:numId w:val="0"/>
        </w:numPr>
        <w:rPr>
          <w:u w:val="single"/>
        </w:rPr>
      </w:pPr>
      <w:r w:rsidRPr="00470D97">
        <w:t>2.</w:t>
      </w:r>
      <w:r>
        <w:t>2</w:t>
      </w:r>
      <w:r w:rsidRPr="00470D97">
        <w:t>.</w:t>
      </w:r>
      <w:r w:rsidR="00AD0554">
        <w:t>1</w:t>
      </w:r>
      <w:r w:rsidRPr="00470D97">
        <w:t xml:space="preserve"> Ozonation</w:t>
      </w:r>
      <w:r>
        <w:t xml:space="preserve"> of liquid surfactant wastewater</w:t>
      </w:r>
    </w:p>
    <w:p w14:paraId="75D90341" w14:textId="3E4D9317" w:rsidR="003D60E5" w:rsidRPr="00851F17" w:rsidRDefault="002C4675" w:rsidP="003D60E5">
      <w:pPr>
        <w:pStyle w:val="CETBodytext"/>
      </w:pPr>
      <w:r>
        <w:t>U</w:t>
      </w:r>
      <w:r w:rsidRPr="002C4675">
        <w:t>nlike the case for leachate</w:t>
      </w:r>
      <w:r>
        <w:t>, a</w:t>
      </w:r>
      <w:r w:rsidR="006567DD">
        <w:t xml:space="preserve"> </w:t>
      </w:r>
      <w:r w:rsidR="00FC31AF" w:rsidRPr="00851F17">
        <w:t xml:space="preserve">2L polycarbonate test tube </w:t>
      </w:r>
      <w:r w:rsidR="00F262FE" w:rsidRPr="00F262FE">
        <w:t>was used for liquid surfactant wastewaters</w:t>
      </w:r>
      <w:r w:rsidR="00F262FE">
        <w:t xml:space="preserve"> </w:t>
      </w:r>
      <w:r w:rsidR="00501E0F">
        <w:t>due</w:t>
      </w:r>
      <w:r w:rsidR="00F262FE">
        <w:t xml:space="preserve"> </w:t>
      </w:r>
      <w:r w:rsidR="006567DD">
        <w:t xml:space="preserve">1L test tube </w:t>
      </w:r>
      <w:r w:rsidR="00F262FE">
        <w:t>is insufficient for operat</w:t>
      </w:r>
      <w:r w:rsidR="00501E0F">
        <w:t>ing</w:t>
      </w:r>
      <w:r w:rsidR="00F262FE">
        <w:t xml:space="preserve"> at this level of foam generation due </w:t>
      </w:r>
      <w:r w:rsidR="00DE70C5">
        <w:t xml:space="preserve">to the </w:t>
      </w:r>
      <w:r w:rsidR="00F262FE">
        <w:t>surfactant nature</w:t>
      </w:r>
      <w:r w:rsidR="00F262FE" w:rsidRPr="00F262FE">
        <w:t xml:space="preserve">. </w:t>
      </w:r>
      <w:r w:rsidR="00F262FE">
        <w:t xml:space="preserve">The circuit is completed </w:t>
      </w:r>
      <w:r w:rsidR="00FC31AF" w:rsidRPr="00851F17">
        <w:t>with an airtight stopper</w:t>
      </w:r>
      <w:r w:rsidR="00FC31AF">
        <w:t xml:space="preserve">, </w:t>
      </w:r>
      <w:r w:rsidR="00FC31AF" w:rsidRPr="00D44B32">
        <w:t xml:space="preserve">from which a sample-taking tube and the ozone inlet and ozone outlet tubes </w:t>
      </w:r>
      <w:r w:rsidR="00FC31AF" w:rsidRPr="00D44B32">
        <w:lastRenderedPageBreak/>
        <w:t>to the analyzer come out</w:t>
      </w:r>
      <w:r w:rsidR="006567DD">
        <w:t xml:space="preserve">. </w:t>
      </w:r>
      <w:r w:rsidR="003D60E5" w:rsidRPr="00851F17">
        <w:t xml:space="preserve">800ml </w:t>
      </w:r>
      <w:r w:rsidR="00FC31AF">
        <w:t>of</w:t>
      </w:r>
      <w:r w:rsidR="00FC31AF" w:rsidRPr="00FC31AF">
        <w:t xml:space="preserve"> a 1/2 dilution </w:t>
      </w:r>
      <w:r w:rsidR="00FC31AF">
        <w:t>in two</w:t>
      </w:r>
      <w:r w:rsidR="003D60E5" w:rsidRPr="00851F17">
        <w:t xml:space="preserve"> batches </w:t>
      </w:r>
      <w:r w:rsidR="003D60E5" w:rsidRPr="00D44B32">
        <w:t xml:space="preserve">(400ml </w:t>
      </w:r>
      <w:r w:rsidR="003D60E5">
        <w:t>each time</w:t>
      </w:r>
      <w:r w:rsidR="003D60E5" w:rsidRPr="00D44B32">
        <w:t xml:space="preserve"> to reduce the generation of foam, which will then be mixed) </w:t>
      </w:r>
      <w:r w:rsidR="003D60E5" w:rsidRPr="00851F17">
        <w:t>is introduced into the ozonation reactor</w:t>
      </w:r>
      <w:r w:rsidR="006567DD">
        <w:t xml:space="preserve">. </w:t>
      </w:r>
      <w:r w:rsidR="006567DD" w:rsidRPr="006567DD">
        <w:t xml:space="preserve">The ozone dose applied depends on three variables: ozone concentration, gas flow rate, and reaction time. </w:t>
      </w:r>
      <w:r w:rsidR="006567DD">
        <w:t>For this experiment</w:t>
      </w:r>
      <w:r w:rsidR="003D60E5" w:rsidRPr="00851F17">
        <w:t xml:space="preserve"> 12 minutes </w:t>
      </w:r>
      <w:r w:rsidR="006567DD">
        <w:t>of</w:t>
      </w:r>
      <w:r w:rsidR="003D60E5" w:rsidRPr="00851F17">
        <w:t xml:space="preserve"> an ozone stream of 85</w:t>
      </w:r>
      <w:r w:rsidR="003D60E5">
        <w:t xml:space="preserve"> </w:t>
      </w:r>
      <w:r w:rsidR="003D60E5" w:rsidRPr="00851F17">
        <w:t>mgO</w:t>
      </w:r>
      <w:r w:rsidR="003D60E5" w:rsidRPr="00D44B32">
        <w:rPr>
          <w:vertAlign w:val="subscript"/>
        </w:rPr>
        <w:t>3</w:t>
      </w:r>
      <w:r w:rsidR="003D60E5" w:rsidRPr="00851F17">
        <w:t>/L</w:t>
      </w:r>
      <w:r w:rsidR="003D60E5">
        <w:t>·</w:t>
      </w:r>
      <w:r w:rsidR="003D60E5" w:rsidRPr="00851F17">
        <w:t>min and a flow rate of 0.3</w:t>
      </w:r>
      <w:r w:rsidR="003D60E5">
        <w:t xml:space="preserve"> </w:t>
      </w:r>
      <w:r w:rsidR="003D60E5" w:rsidRPr="00851F17">
        <w:t xml:space="preserve">NL/min </w:t>
      </w:r>
      <w:r w:rsidR="006567DD">
        <w:t>is</w:t>
      </w:r>
      <w:r w:rsidR="003D60E5" w:rsidRPr="00851F17">
        <w:t xml:space="preserve"> bubbling through a diffuser located at the bottom. </w:t>
      </w:r>
      <w:r w:rsidR="003D60E5" w:rsidRPr="00D44B32">
        <w:t>An input-output balance of the ozone stream is carried out, firstly to the empty system that will serve as a target and then to the experiment.</w:t>
      </w:r>
      <w:r w:rsidR="003D60E5" w:rsidRPr="00FB2F37">
        <w:rPr>
          <w:color w:val="FFC000"/>
        </w:rPr>
        <w:t xml:space="preserve"> </w:t>
      </w:r>
      <w:r w:rsidR="003D60E5" w:rsidRPr="00851F17">
        <w:t>The dose applied (absorbed by the residue) is 39.83 gO</w:t>
      </w:r>
      <w:r w:rsidR="003D60E5" w:rsidRPr="00AC3E4B">
        <w:rPr>
          <w:vertAlign w:val="subscript"/>
        </w:rPr>
        <w:t>3</w:t>
      </w:r>
      <w:r w:rsidR="003D60E5" w:rsidRPr="00851F17">
        <w:t>/L for the HTL1 tests, which will end up presenting a paler blue color than the one that was not subjected to ozonation (HTL0).</w:t>
      </w:r>
    </w:p>
    <w:p w14:paraId="4A6B31E3" w14:textId="4207E1CE" w:rsidR="003D60E5" w:rsidRPr="00A93632" w:rsidRDefault="003D60E5" w:rsidP="003D60E5">
      <w:pPr>
        <w:pStyle w:val="CETheadingx"/>
        <w:numPr>
          <w:ilvl w:val="0"/>
          <w:numId w:val="0"/>
        </w:numPr>
      </w:pPr>
      <w:r w:rsidRPr="00A93632">
        <w:t>2.</w:t>
      </w:r>
      <w:r w:rsidR="00AD0554">
        <w:t>2</w:t>
      </w:r>
      <w:r w:rsidRPr="00A93632">
        <w:t>.</w:t>
      </w:r>
      <w:r w:rsidR="00AD0554">
        <w:t>2</w:t>
      </w:r>
      <w:r w:rsidRPr="00A93632">
        <w:t xml:space="preserve"> Hydrothermal liquefaction</w:t>
      </w:r>
    </w:p>
    <w:p w14:paraId="4CBA10CF" w14:textId="77777777" w:rsidR="00144B87" w:rsidRDefault="003D60E5" w:rsidP="00A66E07">
      <w:r>
        <w:t xml:space="preserve">An </w:t>
      </w:r>
      <w:r w:rsidRPr="00046BA9">
        <w:t xml:space="preserve">Autoclave Engineers' stirred batch reactor (300 ml) </w:t>
      </w:r>
      <w:r>
        <w:t xml:space="preserve">was used </w:t>
      </w:r>
      <w:r w:rsidRPr="00046BA9">
        <w:t xml:space="preserve">for </w:t>
      </w:r>
      <w:r>
        <w:t xml:space="preserve">HTL </w:t>
      </w:r>
      <w:r w:rsidR="002C4675">
        <w:t>treatment</w:t>
      </w:r>
      <w:r w:rsidRPr="00046BA9">
        <w:t>. Typical range: 150-320</w:t>
      </w:r>
      <w:r>
        <w:t xml:space="preserve"> </w:t>
      </w:r>
      <w:r w:rsidRPr="00046BA9">
        <w:t xml:space="preserve">ºC and 50-180 bar. </w:t>
      </w:r>
      <w:r>
        <w:t xml:space="preserve">The equipment includes </w:t>
      </w:r>
      <w:r w:rsidRPr="00D44B32">
        <w:t>temperature control, stirring speed, pressure</w:t>
      </w:r>
      <w:r>
        <w:t>,</w:t>
      </w:r>
      <w:r w:rsidRPr="00D44B32">
        <w:t xml:space="preserve"> and injection measurement system</w:t>
      </w:r>
      <w:r>
        <w:t>,</w:t>
      </w:r>
      <w:r w:rsidRPr="00D44B32">
        <w:t xml:space="preserve"> and sample collection. </w:t>
      </w:r>
      <w:r w:rsidRPr="00046BA9">
        <w:t>All parts of the equipment are made of 316 stainless steel.</w:t>
      </w:r>
      <w:r w:rsidR="00144B87">
        <w:t xml:space="preserve"> </w:t>
      </w:r>
    </w:p>
    <w:p w14:paraId="14ABEFD3" w14:textId="436E7F91" w:rsidR="00CD4724" w:rsidRDefault="003D60E5" w:rsidP="00A66E07">
      <w:r w:rsidRPr="00266A94">
        <w:rPr>
          <w:rFonts w:eastAsiaTheme="minorHAnsi" w:cs="Arial"/>
          <w:szCs w:val="18"/>
        </w:rPr>
        <w:t xml:space="preserve">150 ml of </w:t>
      </w:r>
      <w:r>
        <w:rPr>
          <w:rFonts w:eastAsiaTheme="minorHAnsi" w:cs="Arial"/>
          <w:szCs w:val="18"/>
        </w:rPr>
        <w:t xml:space="preserve">the </w:t>
      </w:r>
      <w:r w:rsidRPr="00266A94">
        <w:rPr>
          <w:rFonts w:eastAsiaTheme="minorHAnsi" w:cs="Arial"/>
          <w:szCs w:val="18"/>
        </w:rPr>
        <w:t xml:space="preserve">sample are introduced at room temperature into the reactor. </w:t>
      </w:r>
      <w:r>
        <w:rPr>
          <w:rFonts w:eastAsiaTheme="minorHAnsi" w:cs="Arial"/>
          <w:szCs w:val="18"/>
        </w:rPr>
        <w:t xml:space="preserve">Then the reactor is </w:t>
      </w:r>
      <w:r w:rsidRPr="00266A94">
        <w:rPr>
          <w:rFonts w:eastAsiaTheme="minorHAnsi" w:cs="Arial"/>
          <w:szCs w:val="18"/>
        </w:rPr>
        <w:t>closed</w:t>
      </w:r>
      <w:r>
        <w:rPr>
          <w:rFonts w:eastAsiaTheme="minorHAnsi" w:cs="Arial"/>
          <w:szCs w:val="18"/>
        </w:rPr>
        <w:t>,</w:t>
      </w:r>
      <w:r w:rsidRPr="00266A94">
        <w:rPr>
          <w:rFonts w:eastAsiaTheme="minorHAnsi" w:cs="Arial"/>
          <w:szCs w:val="18"/>
        </w:rPr>
        <w:t xml:space="preserve"> and </w:t>
      </w:r>
      <w:r>
        <w:rPr>
          <w:rFonts w:eastAsiaTheme="minorHAnsi" w:cs="Arial"/>
          <w:szCs w:val="18"/>
        </w:rPr>
        <w:t>t</w:t>
      </w:r>
      <w:r w:rsidRPr="00266A94">
        <w:rPr>
          <w:rFonts w:eastAsiaTheme="minorHAnsi" w:cs="Arial"/>
          <w:szCs w:val="18"/>
        </w:rPr>
        <w:t>he headspace is purged for 15 minutes with a stream of N</w:t>
      </w:r>
      <w:r w:rsidRPr="00A74C11">
        <w:rPr>
          <w:rFonts w:eastAsiaTheme="minorHAnsi" w:cs="Arial"/>
          <w:szCs w:val="18"/>
          <w:vertAlign w:val="subscript"/>
        </w:rPr>
        <w:t>2</w:t>
      </w:r>
      <w:r w:rsidRPr="00266A94">
        <w:rPr>
          <w:rFonts w:eastAsiaTheme="minorHAnsi" w:cs="Arial"/>
          <w:szCs w:val="18"/>
        </w:rPr>
        <w:t xml:space="preserve"> </w:t>
      </w:r>
      <w:r>
        <w:rPr>
          <w:rFonts w:eastAsiaTheme="minorHAnsi" w:cs="Arial"/>
          <w:szCs w:val="18"/>
        </w:rPr>
        <w:t xml:space="preserve">gas </w:t>
      </w:r>
      <w:r w:rsidRPr="00266A94">
        <w:rPr>
          <w:rFonts w:eastAsiaTheme="minorHAnsi" w:cs="Arial"/>
          <w:szCs w:val="18"/>
        </w:rPr>
        <w:t xml:space="preserve">to remove </w:t>
      </w:r>
      <w:r>
        <w:rPr>
          <w:rFonts w:eastAsiaTheme="minorHAnsi" w:cs="Arial"/>
          <w:szCs w:val="18"/>
        </w:rPr>
        <w:t>the</w:t>
      </w:r>
      <w:r w:rsidRPr="00266A94">
        <w:rPr>
          <w:rFonts w:eastAsiaTheme="minorHAnsi" w:cs="Arial"/>
          <w:szCs w:val="18"/>
        </w:rPr>
        <w:t xml:space="preserve"> oxygen present</w:t>
      </w:r>
      <w:r>
        <w:rPr>
          <w:rFonts w:eastAsiaTheme="minorHAnsi" w:cs="Arial"/>
          <w:szCs w:val="18"/>
        </w:rPr>
        <w:t xml:space="preserve"> in the air headspace</w:t>
      </w:r>
      <w:r w:rsidRPr="00266A94">
        <w:rPr>
          <w:rFonts w:eastAsiaTheme="minorHAnsi" w:cs="Arial"/>
          <w:szCs w:val="18"/>
        </w:rPr>
        <w:t>, as th</w:t>
      </w:r>
      <w:r>
        <w:rPr>
          <w:rFonts w:eastAsiaTheme="minorHAnsi" w:cs="Arial"/>
          <w:szCs w:val="18"/>
        </w:rPr>
        <w:t>e presence of an oxidant</w:t>
      </w:r>
      <w:r w:rsidRPr="00266A94">
        <w:rPr>
          <w:rFonts w:eastAsiaTheme="minorHAnsi" w:cs="Arial"/>
          <w:szCs w:val="18"/>
        </w:rPr>
        <w:t xml:space="preserve"> has a negative effect on HTL</w:t>
      </w:r>
      <w:r>
        <w:rPr>
          <w:rFonts w:eastAsiaTheme="minorHAnsi" w:cs="Arial"/>
          <w:szCs w:val="18"/>
        </w:rPr>
        <w:t>,</w:t>
      </w:r>
      <w:r w:rsidRPr="00266A94">
        <w:rPr>
          <w:rFonts w:eastAsiaTheme="minorHAnsi" w:cs="Arial"/>
          <w:szCs w:val="18"/>
        </w:rPr>
        <w:t xml:space="preserve"> as shown in the literature</w:t>
      </w:r>
      <w:r>
        <w:rPr>
          <w:rFonts w:eastAsiaTheme="minorHAnsi" w:cs="Arial"/>
          <w:szCs w:val="18"/>
        </w:rPr>
        <w:t xml:space="preserve"> </w:t>
      </w:r>
      <w:r>
        <w:rPr>
          <w:rFonts w:eastAsiaTheme="minorHAnsi" w:cs="Arial"/>
          <w:szCs w:val="18"/>
        </w:rPr>
        <w:fldChar w:fldCharType="begin" w:fldLock="1"/>
      </w:r>
      <w:r w:rsidR="001D4F51">
        <w:rPr>
          <w:rFonts w:eastAsiaTheme="minorHAnsi" w:cs="Arial"/>
          <w:szCs w:val="18"/>
        </w:rPr>
        <w:instrText>ADDIN CSL_CITATION {"citationItems":[{"id":"ITEM-1","itemData":{"DOI":"10.1016/j.rser.2010.11.054","ISSN":"13640321","abstract":"Hydrothermal liquefaction is a technique for obtaining clean biofuel from biomass in the presence of a solvent at moderate to high temperature (250-550 °C) and pressure (5-25 MPa). Hydrothermal decomposition of biomass leads to the formation of various compounds depending upon operating parameters. The role of processing conditions including final liquefaction temperature, residence times, rate of biomass heating, size of biomass particles, type of solvent media and hydrogen donor solvents is important for the bio-oil yield and quality of the product. The effect of these parameters on the yield and composition of the liquid products is reviewed in the paper. A brief description about the decomposition mechanism is also included to highlight the product types during hydrothermal liquefaction. © 2010 Elsevier Ltd.","author":[{"dropping-particle":"","family":"Akhtar","given":"Javaid","non-dropping-particle":"","parse-names":false,"suffix":""},{"dropping-particle":"","family":"Amin","given":"Nor Aishah Saidina","non-dropping-particle":"","parse-names":false,"suffix":""}],"container-title":"Renewable and Sustainable Energy Reviews","id":"ITEM-1","issue":"3","issued":{"date-parts":[["2011"]]},"page":"1615-1624","publisher":"Elsevier Ltd","title":"A review on process conditions for optimum bio-oil yield in hydrothermal liquefaction of biomass","type":"article-journal","volume":"15"},"uris":["http://www.mendeley.com/documents/?uuid=ee5d5b74-d9a2-442c-bf7c-4a9c602563bc"]}],"mendeley":{"formattedCitation":"(Akhtar &amp; Amin, 2011)","manualFormatting":"(Akhtar and Amin, 2011)","plainTextFormattedCitation":"(Akhtar &amp; Amin, 2011)","previouslyFormattedCitation":"(Akhtar &amp; Amin, 2011)"},"properties":{"noteIndex":0},"schema":"https://github.com/citation-style-language/schema/raw/master/csl-citation.json"}</w:instrText>
      </w:r>
      <w:r>
        <w:rPr>
          <w:rFonts w:eastAsiaTheme="minorHAnsi" w:cs="Arial"/>
          <w:szCs w:val="18"/>
        </w:rPr>
        <w:fldChar w:fldCharType="separate"/>
      </w:r>
      <w:r w:rsidR="00BE07A6" w:rsidRPr="00BE07A6">
        <w:rPr>
          <w:rFonts w:eastAsiaTheme="minorHAnsi" w:cs="Arial"/>
          <w:noProof/>
          <w:szCs w:val="18"/>
        </w:rPr>
        <w:t xml:space="preserve">(Akhtar </w:t>
      </w:r>
      <w:r w:rsidR="00375145">
        <w:rPr>
          <w:rFonts w:eastAsiaTheme="minorHAnsi" w:cs="Arial"/>
          <w:noProof/>
          <w:szCs w:val="18"/>
        </w:rPr>
        <w:t>and</w:t>
      </w:r>
      <w:r w:rsidR="00375145" w:rsidRPr="00BE07A6">
        <w:rPr>
          <w:rFonts w:eastAsiaTheme="minorHAnsi" w:cs="Arial"/>
          <w:noProof/>
          <w:szCs w:val="18"/>
        </w:rPr>
        <w:t xml:space="preserve"> </w:t>
      </w:r>
      <w:r w:rsidR="00BE07A6" w:rsidRPr="00BE07A6">
        <w:rPr>
          <w:rFonts w:eastAsiaTheme="minorHAnsi" w:cs="Arial"/>
          <w:noProof/>
          <w:szCs w:val="18"/>
        </w:rPr>
        <w:t>Amin, 2011)</w:t>
      </w:r>
      <w:r>
        <w:rPr>
          <w:rFonts w:eastAsiaTheme="minorHAnsi" w:cs="Arial"/>
          <w:szCs w:val="18"/>
        </w:rPr>
        <w:fldChar w:fldCharType="end"/>
      </w:r>
      <w:r w:rsidRPr="00266A94">
        <w:rPr>
          <w:rFonts w:eastAsiaTheme="minorHAnsi" w:cs="Arial"/>
          <w:szCs w:val="18"/>
        </w:rPr>
        <w:t xml:space="preserve">. </w:t>
      </w:r>
      <w:r>
        <w:rPr>
          <w:rFonts w:eastAsiaTheme="minorHAnsi" w:cs="Arial"/>
          <w:szCs w:val="18"/>
        </w:rPr>
        <w:t>After that</w:t>
      </w:r>
      <w:r w:rsidRPr="00266A94">
        <w:rPr>
          <w:rFonts w:eastAsiaTheme="minorHAnsi" w:cs="Arial"/>
          <w:szCs w:val="18"/>
        </w:rPr>
        <w:t xml:space="preserve">, </w:t>
      </w:r>
      <w:r>
        <w:rPr>
          <w:rFonts w:eastAsiaTheme="minorHAnsi" w:cs="Arial"/>
          <w:szCs w:val="18"/>
        </w:rPr>
        <w:t>the reactor</w:t>
      </w:r>
      <w:r w:rsidRPr="00266A94">
        <w:rPr>
          <w:rFonts w:eastAsiaTheme="minorHAnsi" w:cs="Arial"/>
          <w:szCs w:val="18"/>
        </w:rPr>
        <w:t xml:space="preserve"> is pressurized to 30 bar with N</w:t>
      </w:r>
      <w:r w:rsidRPr="00A74C11">
        <w:rPr>
          <w:rFonts w:eastAsiaTheme="minorHAnsi" w:cs="Arial"/>
          <w:szCs w:val="18"/>
          <w:vertAlign w:val="subscript"/>
        </w:rPr>
        <w:t>2</w:t>
      </w:r>
      <w:r w:rsidRPr="00266A94">
        <w:rPr>
          <w:rFonts w:eastAsiaTheme="minorHAnsi" w:cs="Arial"/>
          <w:szCs w:val="18"/>
        </w:rPr>
        <w:t xml:space="preserve">. The pressure level for this specific reactor was set so that the reaction takes place in </w:t>
      </w:r>
      <w:r>
        <w:rPr>
          <w:rFonts w:eastAsiaTheme="minorHAnsi" w:cs="Arial"/>
          <w:szCs w:val="18"/>
        </w:rPr>
        <w:t xml:space="preserve">the </w:t>
      </w:r>
      <w:r w:rsidRPr="00266A94">
        <w:rPr>
          <w:rFonts w:eastAsiaTheme="minorHAnsi" w:cs="Arial"/>
          <w:szCs w:val="18"/>
        </w:rPr>
        <w:t>liquid phase when the temperature reaches 300ºC and 100 bar</w:t>
      </w:r>
      <w:r>
        <w:rPr>
          <w:rFonts w:eastAsiaTheme="minorHAnsi" w:cs="Arial"/>
          <w:szCs w:val="18"/>
        </w:rPr>
        <w:t>. Once the operating conditions are achieved</w:t>
      </w:r>
      <w:r w:rsidRPr="00266A94">
        <w:rPr>
          <w:rFonts w:eastAsiaTheme="minorHAnsi" w:cs="Arial"/>
          <w:szCs w:val="18"/>
        </w:rPr>
        <w:t xml:space="preserve">, the </w:t>
      </w:r>
      <w:r>
        <w:rPr>
          <w:rFonts w:eastAsiaTheme="minorHAnsi" w:cs="Arial"/>
          <w:szCs w:val="18"/>
        </w:rPr>
        <w:t>response</w:t>
      </w:r>
      <w:r w:rsidRPr="00266A94">
        <w:rPr>
          <w:rFonts w:eastAsiaTheme="minorHAnsi" w:cs="Arial"/>
          <w:szCs w:val="18"/>
        </w:rPr>
        <w:t xml:space="preserve"> is stopped </w:t>
      </w:r>
      <w:r>
        <w:rPr>
          <w:rFonts w:eastAsiaTheme="minorHAnsi" w:cs="Arial"/>
          <w:szCs w:val="18"/>
        </w:rPr>
        <w:t>by cooling down</w:t>
      </w:r>
      <w:r w:rsidRPr="00266A94">
        <w:rPr>
          <w:rFonts w:eastAsiaTheme="minorHAnsi" w:cs="Arial"/>
          <w:szCs w:val="18"/>
        </w:rPr>
        <w:t xml:space="preserve"> the reactor. Once cooled, a sample of the gases is collected</w:t>
      </w:r>
      <w:r w:rsidR="00501E0F">
        <w:rPr>
          <w:rFonts w:eastAsiaTheme="minorHAnsi" w:cs="Arial"/>
          <w:szCs w:val="18"/>
        </w:rPr>
        <w:t>,</w:t>
      </w:r>
      <w:r w:rsidRPr="00266A94">
        <w:rPr>
          <w:rFonts w:eastAsiaTheme="minorHAnsi" w:cs="Arial"/>
          <w:szCs w:val="18"/>
        </w:rPr>
        <w:t xml:space="preserve"> </w:t>
      </w:r>
      <w:r w:rsidR="002C4675" w:rsidRPr="00266A94">
        <w:rPr>
          <w:rFonts w:eastAsiaTheme="minorHAnsi" w:cs="Arial"/>
          <w:szCs w:val="18"/>
        </w:rPr>
        <w:t>analysed</w:t>
      </w:r>
      <w:r w:rsidRPr="00266A94">
        <w:rPr>
          <w:rFonts w:eastAsiaTheme="minorHAnsi" w:cs="Arial"/>
          <w:szCs w:val="18"/>
        </w:rPr>
        <w:t xml:space="preserve"> and depressurized. The reactor is opened and the effluent is </w:t>
      </w:r>
      <w:r w:rsidR="00501E0F">
        <w:rPr>
          <w:rFonts w:eastAsiaTheme="minorHAnsi" w:cs="Arial"/>
          <w:szCs w:val="18"/>
        </w:rPr>
        <w:t>taken</w:t>
      </w:r>
      <w:r w:rsidRPr="00266A94">
        <w:rPr>
          <w:rFonts w:eastAsiaTheme="minorHAnsi" w:cs="Arial"/>
          <w:szCs w:val="18"/>
        </w:rPr>
        <w:t xml:space="preserve">. </w:t>
      </w:r>
      <w:r w:rsidR="00A66E07" w:rsidRPr="00A66E07">
        <w:rPr>
          <w:rFonts w:eastAsiaTheme="minorHAnsi" w:cs="Arial"/>
          <w:szCs w:val="18"/>
        </w:rPr>
        <w:t>The effluent is vacuum filtered</w:t>
      </w:r>
      <w:r w:rsidR="00A66E07">
        <w:rPr>
          <w:rFonts w:eastAsiaTheme="minorHAnsi" w:cs="Arial"/>
          <w:szCs w:val="18"/>
        </w:rPr>
        <w:t>, dried and weighted</w:t>
      </w:r>
      <w:r w:rsidR="00A66E07" w:rsidRPr="00A66E07">
        <w:rPr>
          <w:rFonts w:eastAsiaTheme="minorHAnsi" w:cs="Arial"/>
          <w:szCs w:val="18"/>
        </w:rPr>
        <w:t xml:space="preserve">. </w:t>
      </w:r>
      <w:r w:rsidR="00A66E07">
        <w:rPr>
          <w:rFonts w:eastAsiaTheme="minorHAnsi" w:cs="Arial"/>
          <w:szCs w:val="18"/>
        </w:rPr>
        <w:t xml:space="preserve">The crude-oil is extracted using dichloromethane that </w:t>
      </w:r>
      <w:r w:rsidR="002C4675">
        <w:rPr>
          <w:rFonts w:eastAsiaTheme="minorHAnsi" w:cs="Arial"/>
          <w:szCs w:val="18"/>
        </w:rPr>
        <w:t>will be</w:t>
      </w:r>
      <w:r w:rsidR="00A66E07">
        <w:rPr>
          <w:rFonts w:eastAsiaTheme="minorHAnsi" w:cs="Arial"/>
          <w:szCs w:val="18"/>
        </w:rPr>
        <w:t xml:space="preserve"> recovered i</w:t>
      </w:r>
      <w:r w:rsidR="00A66E07" w:rsidRPr="00B94C3D">
        <w:t>n a rotary evaporator at atmospheric pressure and 50ºC</w:t>
      </w:r>
      <w:r w:rsidR="002C4675">
        <w:t>,</w:t>
      </w:r>
      <w:r w:rsidR="00A66E07" w:rsidRPr="00B94C3D">
        <w:t xml:space="preserve"> </w:t>
      </w:r>
      <w:r w:rsidR="00A66E07">
        <w:t>keeping</w:t>
      </w:r>
      <w:r w:rsidR="00A66E07" w:rsidRPr="00B94C3D">
        <w:t xml:space="preserve"> the crude</w:t>
      </w:r>
      <w:r w:rsidR="002C4675">
        <w:t>-oil</w:t>
      </w:r>
      <w:r w:rsidR="00A66E07" w:rsidRPr="00B94C3D">
        <w:t xml:space="preserve"> in the boiler. The yields obtained for both the char and the crude are referred to by weight and are calculated </w:t>
      </w:r>
      <w:r w:rsidR="00A66E07">
        <w:t xml:space="preserve">by </w:t>
      </w:r>
      <w:r w:rsidR="00A66E07" w:rsidRPr="00B94C3D">
        <w:t>taking the weight of the undiluted feed as a reference.</w:t>
      </w:r>
      <w:r w:rsidR="00A66E07">
        <w:t xml:space="preserve"> </w:t>
      </w:r>
      <w:r w:rsidR="00CD4724">
        <w:t>To</w:t>
      </w:r>
      <w:r w:rsidR="00CD4724" w:rsidRPr="00BB4432">
        <w:t xml:space="preserve"> carry out the comparative study of HTL applied to the target waste, two identical </w:t>
      </w:r>
      <w:r w:rsidR="00CD4724">
        <w:t>samples of these wastewaters</w:t>
      </w:r>
      <w:r w:rsidR="00CD4724" w:rsidRPr="00BB4432">
        <w:t xml:space="preserve"> were subjected to the same operating conditions, without pre-treating with ozone and pre-treating it ozone. </w:t>
      </w:r>
    </w:p>
    <w:p w14:paraId="5E171B31" w14:textId="0120AE74" w:rsidR="003D60E5" w:rsidRPr="00A93632" w:rsidRDefault="003D60E5" w:rsidP="00281934">
      <w:pPr>
        <w:pStyle w:val="CETheadingx"/>
        <w:numPr>
          <w:ilvl w:val="0"/>
          <w:numId w:val="0"/>
        </w:numPr>
      </w:pPr>
      <w:r w:rsidRPr="00A93632">
        <w:t>2.</w:t>
      </w:r>
      <w:r w:rsidR="00A015F0">
        <w:t>3</w:t>
      </w:r>
      <w:r w:rsidRPr="00A93632">
        <w:t>. Analytical methods</w:t>
      </w:r>
    </w:p>
    <w:p w14:paraId="0455EAF2" w14:textId="2595F43A" w:rsidR="003D60E5" w:rsidRPr="006645C8" w:rsidRDefault="003D60E5" w:rsidP="003D60E5">
      <w:pPr>
        <w:pStyle w:val="CETBodytext"/>
      </w:pPr>
      <w:r w:rsidRPr="006645C8">
        <w:t>Calorimetric analysis of the crude</w:t>
      </w:r>
      <w:r>
        <w:t>-oil</w:t>
      </w:r>
      <w:r w:rsidRPr="006645C8">
        <w:t xml:space="preserve"> was carried out</w:t>
      </w:r>
      <w:r>
        <w:t xml:space="preserve"> using</w:t>
      </w:r>
      <w:r w:rsidRPr="006645C8">
        <w:t xml:space="preserve"> a P</w:t>
      </w:r>
      <w:r>
        <w:t>ARR</w:t>
      </w:r>
      <w:r w:rsidRPr="006645C8">
        <w:t xml:space="preserve"> 6</w:t>
      </w:r>
      <w:r>
        <w:t>400</w:t>
      </w:r>
      <w:r w:rsidRPr="006645C8">
        <w:t xml:space="preserve"> Calorimeter. For this analysis</w:t>
      </w:r>
      <w:r>
        <w:t>,</w:t>
      </w:r>
      <w:r w:rsidRPr="006645C8">
        <w:t xml:space="preserve"> approximately 0.</w:t>
      </w:r>
      <w:r>
        <w:t xml:space="preserve">6 </w:t>
      </w:r>
      <w:r w:rsidRPr="006645C8">
        <w:t>g of the crude</w:t>
      </w:r>
      <w:r>
        <w:t>-oil</w:t>
      </w:r>
      <w:r w:rsidRPr="006645C8">
        <w:t xml:space="preserve"> sample </w:t>
      </w:r>
      <w:r w:rsidR="00DE70C5">
        <w:t>i</w:t>
      </w:r>
      <w:r>
        <w:t>s</w:t>
      </w:r>
      <w:r w:rsidRPr="006645C8">
        <w:t xml:space="preserve"> introduced and burned in a high-pressure oxygen atmosphere</w:t>
      </w:r>
      <w:r>
        <w:t xml:space="preserve">; </w:t>
      </w:r>
      <w:r w:rsidRPr="006645C8">
        <w:t xml:space="preserve">the energy released by the combustion is absorbed inside the calorimeter, recording the temperature variation and its </w:t>
      </w:r>
      <w:r>
        <w:t xml:space="preserve">high heating </w:t>
      </w:r>
      <w:r w:rsidRPr="006645C8">
        <w:t>value.</w:t>
      </w:r>
      <w:r w:rsidR="00DE70C5">
        <w:t xml:space="preserve"> </w:t>
      </w:r>
      <w:r>
        <w:t>Ultimate</w:t>
      </w:r>
      <w:r w:rsidRPr="006645C8">
        <w:t xml:space="preserve"> analys</w:t>
      </w:r>
      <w:r>
        <w:t>e</w:t>
      </w:r>
      <w:r w:rsidRPr="006645C8">
        <w:t xml:space="preserve">s </w:t>
      </w:r>
      <w:r>
        <w:t xml:space="preserve">of </w:t>
      </w:r>
      <w:r w:rsidRPr="006645C8">
        <w:t>crude</w:t>
      </w:r>
      <w:r>
        <w:t xml:space="preserve">-oils </w:t>
      </w:r>
      <w:r w:rsidRPr="006645C8">
        <w:t>w</w:t>
      </w:r>
      <w:r>
        <w:t>ere</w:t>
      </w:r>
      <w:r w:rsidRPr="006645C8">
        <w:t xml:space="preserve"> carried out </w:t>
      </w:r>
      <w:r>
        <w:t>using</w:t>
      </w:r>
      <w:r w:rsidRPr="006645C8">
        <w:t xml:space="preserve"> </w:t>
      </w:r>
      <w:r w:rsidRPr="00944C0B">
        <w:t>LECO TRUSPEC CHNS MICRO</w:t>
      </w:r>
      <w:r>
        <w:t xml:space="preserve"> </w:t>
      </w:r>
      <w:r w:rsidRPr="006645C8">
        <w:t>equipment</w:t>
      </w:r>
      <w:r>
        <w:t>,</w:t>
      </w:r>
      <w:r w:rsidRPr="006645C8">
        <w:t xml:space="preserve"> where the proportion of CHN</w:t>
      </w:r>
      <w:r>
        <w:t xml:space="preserve">S of the samples was obtained. </w:t>
      </w:r>
    </w:p>
    <w:p w14:paraId="6F22EE73" w14:textId="5DD14446" w:rsidR="003D60E5" w:rsidRPr="00A93632" w:rsidRDefault="003D60E5" w:rsidP="003D60E5">
      <w:pPr>
        <w:pStyle w:val="CETHeading1"/>
      </w:pPr>
      <w:r w:rsidRPr="00A93632">
        <w:t>Results and discussions</w:t>
      </w:r>
    </w:p>
    <w:p w14:paraId="66D5A408" w14:textId="0BF7D881" w:rsidR="00DE70C5" w:rsidRDefault="00AD0554" w:rsidP="003D60E5">
      <w:pPr>
        <w:rPr>
          <w:b/>
          <w:lang w:val="en-US"/>
        </w:rPr>
      </w:pPr>
      <w:r w:rsidRPr="00AD0554">
        <w:rPr>
          <w:b/>
          <w:lang w:val="en-US"/>
        </w:rPr>
        <w:t>3.1. Ozonation of landfill leachate</w:t>
      </w:r>
    </w:p>
    <w:p w14:paraId="42EA091B" w14:textId="77777777" w:rsidR="00AD436A" w:rsidRDefault="00AD436A" w:rsidP="007729EE">
      <w:pPr>
        <w:rPr>
          <w:bCs/>
          <w:lang w:val="en-US"/>
        </w:rPr>
      </w:pPr>
    </w:p>
    <w:p w14:paraId="7D2E22A5" w14:textId="21D2F745" w:rsidR="00AD436A" w:rsidRDefault="00AD436A" w:rsidP="00AD436A">
      <w:pPr>
        <w:jc w:val="left"/>
        <w:rPr>
          <w:bCs/>
          <w:lang w:val="en-US"/>
        </w:rPr>
      </w:pPr>
      <w:r>
        <w:rPr>
          <w:noProof/>
        </w:rPr>
        <w:drawing>
          <wp:inline distT="0" distB="0" distL="0" distR="0" wp14:anchorId="27449994" wp14:editId="276E1CA9">
            <wp:extent cx="3651250" cy="1987550"/>
            <wp:effectExtent l="0" t="0" r="6350" b="12700"/>
            <wp:docPr id="7" name="Gráfico 7">
              <a:extLst xmlns:a="http://schemas.openxmlformats.org/drawingml/2006/main">
                <a:ext uri="{FF2B5EF4-FFF2-40B4-BE49-F238E27FC236}">
                  <a16:creationId xmlns:a16="http://schemas.microsoft.com/office/drawing/2014/main" id="{F881CCAD-7395-F633-8844-573601632B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B53799B" w14:textId="77777777" w:rsidR="00AD436A" w:rsidRDefault="00AD436A" w:rsidP="00AD436A">
      <w:pPr>
        <w:pStyle w:val="CETCaption"/>
        <w:rPr>
          <w:b/>
          <w:bCs/>
        </w:rPr>
      </w:pPr>
      <w:r w:rsidRPr="00183099">
        <w:t xml:space="preserve">Figure </w:t>
      </w:r>
      <w:r>
        <w:t>1</w:t>
      </w:r>
      <w:r w:rsidRPr="00183099">
        <w:t xml:space="preserve">. </w:t>
      </w:r>
      <w:r>
        <w:t>Foam generation</w:t>
      </w:r>
      <w:r w:rsidRPr="006C2EC6">
        <w:t xml:space="preserve"> </w:t>
      </w:r>
      <w:r>
        <w:t>i</w:t>
      </w:r>
      <w:r w:rsidRPr="006C2EC6">
        <w:t>n the bubbling stage</w:t>
      </w:r>
    </w:p>
    <w:p w14:paraId="212569A3" w14:textId="521144C1" w:rsidR="000F705F" w:rsidRDefault="0009672E" w:rsidP="007729EE">
      <w:pPr>
        <w:rPr>
          <w:bCs/>
          <w:lang w:val="en-US"/>
        </w:rPr>
      </w:pPr>
      <w:r>
        <w:rPr>
          <w:bCs/>
          <w:lang w:val="en-US"/>
        </w:rPr>
        <w:t>The f</w:t>
      </w:r>
      <w:r w:rsidR="007729EE" w:rsidRPr="007729EE">
        <w:rPr>
          <w:bCs/>
          <w:lang w:val="en-US"/>
        </w:rPr>
        <w:t xml:space="preserve">igure </w:t>
      </w:r>
      <w:r w:rsidR="00AD436A">
        <w:rPr>
          <w:bCs/>
          <w:lang w:val="en-US"/>
        </w:rPr>
        <w:t>1</w:t>
      </w:r>
      <w:r w:rsidR="007729EE" w:rsidRPr="007729EE">
        <w:rPr>
          <w:bCs/>
          <w:lang w:val="en-US"/>
        </w:rPr>
        <w:t xml:space="preserve"> </w:t>
      </w:r>
      <w:r>
        <w:rPr>
          <w:bCs/>
          <w:lang w:val="en-US"/>
        </w:rPr>
        <w:t>illustrates</w:t>
      </w:r>
      <w:r w:rsidR="007729EE" w:rsidRPr="007729EE">
        <w:rPr>
          <w:bCs/>
          <w:lang w:val="en-US"/>
        </w:rPr>
        <w:t xml:space="preserve"> the result of the air foaming </w:t>
      </w:r>
      <w:r>
        <w:rPr>
          <w:bCs/>
          <w:lang w:val="en-US"/>
        </w:rPr>
        <w:t>experiments on the leachate</w:t>
      </w:r>
      <w:r w:rsidR="007729EE" w:rsidRPr="007729EE">
        <w:rPr>
          <w:bCs/>
          <w:lang w:val="en-US"/>
        </w:rPr>
        <w:t>.</w:t>
      </w:r>
      <w:r>
        <w:rPr>
          <w:bCs/>
          <w:lang w:val="en-US"/>
        </w:rPr>
        <w:t xml:space="preserve"> </w:t>
      </w:r>
      <w:r w:rsidR="00FB4B7D" w:rsidRPr="00FB4B7D">
        <w:rPr>
          <w:bCs/>
          <w:lang w:val="en-US"/>
        </w:rPr>
        <w:t xml:space="preserve">The first thing that can be observed is a different </w:t>
      </w:r>
      <w:r w:rsidR="00FB4B7D">
        <w:rPr>
          <w:bCs/>
          <w:lang w:val="en-US"/>
        </w:rPr>
        <w:t>curve form</w:t>
      </w:r>
      <w:r w:rsidR="00FB4B7D" w:rsidRPr="00FB4B7D">
        <w:rPr>
          <w:bCs/>
          <w:lang w:val="en-US"/>
        </w:rPr>
        <w:t xml:space="preserve"> in the foams of the ozonized and non-ozonized leachate. While the untreated leachate still maintains an upward curve after 5 minutes of</w:t>
      </w:r>
      <w:r w:rsidR="00FB4B7D">
        <w:rPr>
          <w:bCs/>
          <w:lang w:val="en-US"/>
        </w:rPr>
        <w:t xml:space="preserve"> air</w:t>
      </w:r>
      <w:r w:rsidR="00FB4B7D" w:rsidRPr="00FB4B7D">
        <w:rPr>
          <w:bCs/>
          <w:lang w:val="en-US"/>
        </w:rPr>
        <w:t xml:space="preserve"> bubbling, the ozone-treated leachate reaches a</w:t>
      </w:r>
      <w:r w:rsidR="00256DD1">
        <w:rPr>
          <w:bCs/>
          <w:lang w:val="en-US"/>
        </w:rPr>
        <w:t xml:space="preserve"> stable </w:t>
      </w:r>
      <w:r w:rsidR="00FB4B7D" w:rsidRPr="00FB4B7D">
        <w:rPr>
          <w:bCs/>
          <w:lang w:val="en-US"/>
        </w:rPr>
        <w:t xml:space="preserve">value </w:t>
      </w:r>
      <w:r w:rsidR="00FB4B7D">
        <w:rPr>
          <w:bCs/>
          <w:lang w:val="en-US"/>
        </w:rPr>
        <w:t xml:space="preserve">with </w:t>
      </w:r>
      <w:r w:rsidR="00FB4B7D" w:rsidRPr="00FB4B7D">
        <w:rPr>
          <w:bCs/>
          <w:lang w:val="en-US"/>
        </w:rPr>
        <w:t>4 minutes</w:t>
      </w:r>
      <w:r w:rsidR="00FB4B7D">
        <w:rPr>
          <w:bCs/>
          <w:lang w:val="en-US"/>
        </w:rPr>
        <w:t xml:space="preserve"> of treatment</w:t>
      </w:r>
      <w:r w:rsidR="00FB4B7D" w:rsidRPr="00FB4B7D">
        <w:rPr>
          <w:bCs/>
          <w:lang w:val="en-US"/>
        </w:rPr>
        <w:t xml:space="preserve">. The foam reduction </w:t>
      </w:r>
      <w:r w:rsidR="00902BB6">
        <w:rPr>
          <w:bCs/>
          <w:lang w:val="en-US"/>
        </w:rPr>
        <w:t>was</w:t>
      </w:r>
      <w:r w:rsidR="00FB4B7D" w:rsidRPr="00FB4B7D">
        <w:rPr>
          <w:bCs/>
          <w:lang w:val="en-US"/>
        </w:rPr>
        <w:t xml:space="preserve"> 28.3%</w:t>
      </w:r>
      <w:r w:rsidR="00501E0F">
        <w:rPr>
          <w:bCs/>
          <w:lang w:val="en-US"/>
        </w:rPr>
        <w:t xml:space="preserve"> </w:t>
      </w:r>
      <w:r w:rsidR="00472B98">
        <w:rPr>
          <w:bCs/>
          <w:lang w:val="en-US"/>
        </w:rPr>
        <w:t>but</w:t>
      </w:r>
      <w:r w:rsidR="00501E0F">
        <w:rPr>
          <w:bCs/>
          <w:lang w:val="en-US"/>
        </w:rPr>
        <w:t xml:space="preserve"> it </w:t>
      </w:r>
      <w:r w:rsidR="00501E0F" w:rsidRPr="00FB4B7D">
        <w:rPr>
          <w:bCs/>
          <w:lang w:val="en-US"/>
        </w:rPr>
        <w:t>would be even higher</w:t>
      </w:r>
      <w:r w:rsidR="00472B98">
        <w:rPr>
          <w:bCs/>
          <w:lang w:val="en-US"/>
        </w:rPr>
        <w:t xml:space="preserve"> if </w:t>
      </w:r>
      <w:r w:rsidR="00902BB6">
        <w:rPr>
          <w:bCs/>
          <w:lang w:val="en-US"/>
        </w:rPr>
        <w:t xml:space="preserve">the </w:t>
      </w:r>
      <w:r w:rsidR="00472B98">
        <w:rPr>
          <w:bCs/>
          <w:lang w:val="en-US"/>
        </w:rPr>
        <w:t xml:space="preserve">experiment continues, but the limitation of the tube sample volume </w:t>
      </w:r>
      <w:r w:rsidR="00472B98" w:rsidRPr="00472B98">
        <w:rPr>
          <w:bCs/>
          <w:lang w:val="en-US"/>
        </w:rPr>
        <w:t>did not allow it before overflowing</w:t>
      </w:r>
      <w:r w:rsidR="00902BB6">
        <w:rPr>
          <w:bCs/>
          <w:lang w:val="en-US"/>
        </w:rPr>
        <w:t xml:space="preserve"> foam</w:t>
      </w:r>
      <w:r w:rsidR="00472B98">
        <w:rPr>
          <w:bCs/>
          <w:lang w:val="en-US"/>
        </w:rPr>
        <w:t xml:space="preserve">. </w:t>
      </w:r>
    </w:p>
    <w:p w14:paraId="7AB21625" w14:textId="75210026" w:rsidR="000F705F" w:rsidRPr="00144B87" w:rsidRDefault="000F705F" w:rsidP="00144B87">
      <w:pPr>
        <w:pStyle w:val="CETTabletitle"/>
      </w:pPr>
      <w:r w:rsidRPr="00144B87">
        <w:lastRenderedPageBreak/>
        <w:t xml:space="preserve">Table 2. Analytical parameters </w:t>
      </w:r>
      <w:r w:rsidR="00144B87">
        <w:t xml:space="preserve">and foam volume </w:t>
      </w:r>
      <w:r w:rsidRPr="00144B87">
        <w:t>of non ozonated and ozonated leachate in bubbling stage.</w:t>
      </w:r>
    </w:p>
    <w:tbl>
      <w:tblPr>
        <w:tblpPr w:leftFromText="180" w:rightFromText="180" w:vertAnchor="text" w:horzAnchor="margin" w:tblpY="94"/>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24"/>
        <w:gridCol w:w="562"/>
        <w:gridCol w:w="748"/>
        <w:gridCol w:w="748"/>
      </w:tblGrid>
      <w:tr w:rsidR="000F705F" w:rsidRPr="007A5F29" w14:paraId="5E07F0D5" w14:textId="77777777" w:rsidTr="000F705F">
        <w:trPr>
          <w:trHeight w:val="322"/>
        </w:trPr>
        <w:tc>
          <w:tcPr>
            <w:tcW w:w="1224" w:type="dxa"/>
            <w:tcBorders>
              <w:top w:val="single" w:sz="12" w:space="0" w:color="008000"/>
              <w:bottom w:val="single" w:sz="6" w:space="0" w:color="008000"/>
            </w:tcBorders>
            <w:shd w:val="clear" w:color="auto" w:fill="FFFFFF"/>
            <w:vAlign w:val="center"/>
          </w:tcPr>
          <w:p w14:paraId="685FBFF9" w14:textId="77777777" w:rsidR="000F705F" w:rsidRPr="007A5F29" w:rsidRDefault="000F705F" w:rsidP="000F705F">
            <w:pPr>
              <w:pStyle w:val="CETBodytext"/>
              <w:jc w:val="left"/>
              <w:rPr>
                <w:lang w:val="en-GB"/>
              </w:rPr>
            </w:pPr>
          </w:p>
        </w:tc>
        <w:tc>
          <w:tcPr>
            <w:tcW w:w="562" w:type="dxa"/>
            <w:tcBorders>
              <w:top w:val="single" w:sz="12" w:space="0" w:color="008000"/>
              <w:bottom w:val="single" w:sz="6" w:space="0" w:color="008000"/>
            </w:tcBorders>
            <w:shd w:val="clear" w:color="auto" w:fill="FFFFFF"/>
            <w:vAlign w:val="center"/>
          </w:tcPr>
          <w:p w14:paraId="3C54B1C9" w14:textId="77777777" w:rsidR="000F705F" w:rsidRPr="007A5F29" w:rsidRDefault="000F705F" w:rsidP="000F705F">
            <w:pPr>
              <w:pStyle w:val="CETBodytext"/>
              <w:jc w:val="center"/>
              <w:rPr>
                <w:lang w:val="en-GB"/>
              </w:rPr>
            </w:pPr>
            <w:r>
              <w:rPr>
                <w:rFonts w:cs="Arial"/>
                <w:color w:val="000000"/>
                <w:szCs w:val="18"/>
                <w:lang w:eastAsia="es-ES"/>
              </w:rPr>
              <w:t>Air</w:t>
            </w:r>
          </w:p>
        </w:tc>
        <w:tc>
          <w:tcPr>
            <w:tcW w:w="748" w:type="dxa"/>
            <w:tcBorders>
              <w:top w:val="single" w:sz="12" w:space="0" w:color="008000"/>
              <w:bottom w:val="single" w:sz="6" w:space="0" w:color="008000"/>
            </w:tcBorders>
            <w:shd w:val="clear" w:color="auto" w:fill="FFFFFF"/>
            <w:vAlign w:val="center"/>
          </w:tcPr>
          <w:p w14:paraId="18354F4D" w14:textId="77777777" w:rsidR="000F705F" w:rsidRPr="007A5F29" w:rsidRDefault="000F705F" w:rsidP="000F705F">
            <w:pPr>
              <w:pStyle w:val="CETBodytext"/>
              <w:jc w:val="center"/>
              <w:rPr>
                <w:lang w:val="en-GB"/>
              </w:rPr>
            </w:pPr>
            <w:r>
              <w:rPr>
                <w:rFonts w:cs="Arial"/>
                <w:color w:val="000000"/>
                <w:szCs w:val="18"/>
                <w:lang w:eastAsia="es-ES"/>
              </w:rPr>
              <w:t>O</w:t>
            </w:r>
            <w:r w:rsidRPr="00571971">
              <w:rPr>
                <w:rFonts w:cs="Arial"/>
                <w:color w:val="000000"/>
                <w:szCs w:val="18"/>
                <w:vertAlign w:val="subscript"/>
                <w:lang w:eastAsia="es-ES"/>
              </w:rPr>
              <w:t>3</w:t>
            </w:r>
            <w:r>
              <w:rPr>
                <w:rFonts w:cs="Arial"/>
                <w:color w:val="000000"/>
                <w:szCs w:val="18"/>
                <w:lang w:eastAsia="es-ES"/>
              </w:rPr>
              <w:t xml:space="preserve"> A</w:t>
            </w:r>
          </w:p>
        </w:tc>
        <w:tc>
          <w:tcPr>
            <w:tcW w:w="748" w:type="dxa"/>
            <w:tcBorders>
              <w:top w:val="single" w:sz="12" w:space="0" w:color="008000"/>
              <w:bottom w:val="single" w:sz="6" w:space="0" w:color="008000"/>
            </w:tcBorders>
            <w:shd w:val="clear" w:color="auto" w:fill="FFFFFF"/>
            <w:vAlign w:val="center"/>
          </w:tcPr>
          <w:p w14:paraId="50300A4C" w14:textId="77777777" w:rsidR="000F705F" w:rsidRPr="007A5F29" w:rsidRDefault="000F705F" w:rsidP="000F705F">
            <w:pPr>
              <w:pStyle w:val="CETBodytext"/>
              <w:jc w:val="center"/>
              <w:rPr>
                <w:lang w:val="en-GB"/>
              </w:rPr>
            </w:pPr>
            <w:r>
              <w:rPr>
                <w:rFonts w:cs="Arial"/>
                <w:color w:val="000000"/>
                <w:szCs w:val="18"/>
                <w:lang w:eastAsia="es-ES"/>
              </w:rPr>
              <w:t>O</w:t>
            </w:r>
            <w:r w:rsidRPr="00571971">
              <w:rPr>
                <w:rFonts w:cs="Arial"/>
                <w:color w:val="000000"/>
                <w:szCs w:val="18"/>
                <w:vertAlign w:val="subscript"/>
                <w:lang w:eastAsia="es-ES"/>
              </w:rPr>
              <w:t>3</w:t>
            </w:r>
            <w:r>
              <w:rPr>
                <w:rFonts w:cs="Arial"/>
                <w:color w:val="000000"/>
                <w:szCs w:val="18"/>
                <w:lang w:eastAsia="es-ES"/>
              </w:rPr>
              <w:t xml:space="preserve"> B</w:t>
            </w:r>
          </w:p>
        </w:tc>
      </w:tr>
      <w:tr w:rsidR="000F705F" w:rsidRPr="007A5F29" w14:paraId="50DB52A7" w14:textId="77777777" w:rsidTr="000F705F">
        <w:trPr>
          <w:trHeight w:val="309"/>
        </w:trPr>
        <w:tc>
          <w:tcPr>
            <w:tcW w:w="1224" w:type="dxa"/>
            <w:tcBorders>
              <w:top w:val="single" w:sz="6" w:space="0" w:color="008000"/>
            </w:tcBorders>
            <w:shd w:val="clear" w:color="auto" w:fill="FFFFFF"/>
            <w:vAlign w:val="center"/>
          </w:tcPr>
          <w:p w14:paraId="71AEF271" w14:textId="77777777" w:rsidR="000F705F" w:rsidRPr="00571971" w:rsidRDefault="000F705F" w:rsidP="000F705F">
            <w:pPr>
              <w:pStyle w:val="CETBodytext"/>
              <w:ind w:right="-1"/>
              <w:jc w:val="left"/>
              <w:rPr>
                <w:rFonts w:cs="Arial"/>
                <w:color w:val="000000"/>
                <w:szCs w:val="18"/>
                <w:lang w:eastAsia="es-ES"/>
              </w:rPr>
            </w:pPr>
            <w:r w:rsidRPr="00036E83">
              <w:rPr>
                <w:rFonts w:cs="Arial"/>
                <w:color w:val="000000"/>
                <w:szCs w:val="18"/>
                <w:lang w:eastAsia="es-ES"/>
              </w:rPr>
              <w:t>pH</w:t>
            </w:r>
          </w:p>
        </w:tc>
        <w:tc>
          <w:tcPr>
            <w:tcW w:w="562" w:type="dxa"/>
            <w:tcBorders>
              <w:top w:val="single" w:sz="6" w:space="0" w:color="008000"/>
            </w:tcBorders>
            <w:shd w:val="clear" w:color="auto" w:fill="FFFFFF"/>
            <w:vAlign w:val="center"/>
          </w:tcPr>
          <w:p w14:paraId="5F97DBCD" w14:textId="77777777" w:rsidR="000F705F" w:rsidRPr="00571971" w:rsidRDefault="000F705F" w:rsidP="000F705F">
            <w:pPr>
              <w:pStyle w:val="CETBodytext"/>
              <w:ind w:right="-1"/>
              <w:jc w:val="center"/>
              <w:rPr>
                <w:rFonts w:cs="Arial"/>
                <w:color w:val="000000"/>
                <w:szCs w:val="18"/>
                <w:lang w:eastAsia="es-ES"/>
              </w:rPr>
            </w:pPr>
            <w:r>
              <w:rPr>
                <w:rFonts w:cs="Arial"/>
                <w:color w:val="000000"/>
                <w:szCs w:val="18"/>
                <w:lang w:eastAsia="es-ES"/>
              </w:rPr>
              <w:t>8.01</w:t>
            </w:r>
          </w:p>
        </w:tc>
        <w:tc>
          <w:tcPr>
            <w:tcW w:w="748" w:type="dxa"/>
            <w:tcBorders>
              <w:top w:val="single" w:sz="6" w:space="0" w:color="008000"/>
            </w:tcBorders>
            <w:shd w:val="clear" w:color="auto" w:fill="FFFFFF"/>
            <w:vAlign w:val="center"/>
          </w:tcPr>
          <w:p w14:paraId="5FD81FF6" w14:textId="77777777" w:rsidR="000F705F" w:rsidRPr="00571971" w:rsidRDefault="000F705F" w:rsidP="000F705F">
            <w:pPr>
              <w:pStyle w:val="CETBodytext"/>
              <w:ind w:right="-1"/>
              <w:jc w:val="center"/>
              <w:rPr>
                <w:rFonts w:cs="Arial"/>
                <w:color w:val="000000"/>
                <w:szCs w:val="18"/>
                <w:lang w:eastAsia="es-ES"/>
              </w:rPr>
            </w:pPr>
            <w:r>
              <w:rPr>
                <w:rFonts w:cs="Arial"/>
                <w:color w:val="000000"/>
                <w:szCs w:val="18"/>
                <w:lang w:eastAsia="es-ES"/>
              </w:rPr>
              <w:t>7.81</w:t>
            </w:r>
          </w:p>
        </w:tc>
        <w:tc>
          <w:tcPr>
            <w:tcW w:w="748" w:type="dxa"/>
            <w:tcBorders>
              <w:top w:val="single" w:sz="6" w:space="0" w:color="008000"/>
            </w:tcBorders>
            <w:shd w:val="clear" w:color="auto" w:fill="FFFFFF"/>
            <w:vAlign w:val="center"/>
          </w:tcPr>
          <w:p w14:paraId="014F0E11" w14:textId="77777777" w:rsidR="000F705F" w:rsidRPr="00571971" w:rsidRDefault="000F705F" w:rsidP="000F705F">
            <w:pPr>
              <w:pStyle w:val="CETBodytext"/>
              <w:ind w:right="-1"/>
              <w:jc w:val="center"/>
              <w:rPr>
                <w:rFonts w:cs="Arial"/>
                <w:color w:val="000000"/>
                <w:szCs w:val="18"/>
                <w:lang w:eastAsia="es-ES"/>
              </w:rPr>
            </w:pPr>
            <w:r>
              <w:rPr>
                <w:rFonts w:cs="Arial"/>
                <w:color w:val="000000"/>
                <w:szCs w:val="18"/>
                <w:lang w:eastAsia="es-ES"/>
              </w:rPr>
              <w:t>7.80</w:t>
            </w:r>
          </w:p>
        </w:tc>
      </w:tr>
      <w:tr w:rsidR="000F705F" w:rsidRPr="007A5F29" w14:paraId="12745F61" w14:textId="77777777" w:rsidTr="000F705F">
        <w:trPr>
          <w:trHeight w:val="322"/>
        </w:trPr>
        <w:tc>
          <w:tcPr>
            <w:tcW w:w="1224" w:type="dxa"/>
            <w:shd w:val="clear" w:color="auto" w:fill="FFFFFF"/>
            <w:vAlign w:val="center"/>
          </w:tcPr>
          <w:p w14:paraId="08FEBE85" w14:textId="77777777" w:rsidR="000F705F" w:rsidRPr="00036E83" w:rsidRDefault="000F705F" w:rsidP="000F705F">
            <w:pPr>
              <w:pStyle w:val="CETBodytext"/>
              <w:ind w:right="-1"/>
              <w:jc w:val="left"/>
              <w:rPr>
                <w:rFonts w:cs="Arial"/>
                <w:color w:val="000000"/>
                <w:szCs w:val="18"/>
                <w:lang w:eastAsia="es-ES"/>
              </w:rPr>
            </w:pPr>
            <w:r w:rsidRPr="00036E83">
              <w:rPr>
                <w:rFonts w:cs="Arial"/>
                <w:color w:val="000000"/>
                <w:szCs w:val="18"/>
                <w:lang w:eastAsia="es-ES"/>
              </w:rPr>
              <w:t>Conductivity (mS/cm)</w:t>
            </w:r>
          </w:p>
        </w:tc>
        <w:tc>
          <w:tcPr>
            <w:tcW w:w="562" w:type="dxa"/>
            <w:shd w:val="clear" w:color="auto" w:fill="FFFFFF"/>
            <w:vAlign w:val="center"/>
          </w:tcPr>
          <w:p w14:paraId="2FDF97D5" w14:textId="77777777" w:rsidR="000F705F" w:rsidRPr="00571971" w:rsidRDefault="000F705F" w:rsidP="000F705F">
            <w:pPr>
              <w:pStyle w:val="CETBodytext"/>
              <w:ind w:right="-1"/>
              <w:jc w:val="center"/>
              <w:rPr>
                <w:rFonts w:cs="Arial"/>
                <w:color w:val="000000"/>
                <w:szCs w:val="18"/>
                <w:lang w:eastAsia="es-ES"/>
              </w:rPr>
            </w:pPr>
            <w:r>
              <w:rPr>
                <w:rFonts w:cs="Arial"/>
                <w:color w:val="000000"/>
                <w:szCs w:val="18"/>
                <w:lang w:eastAsia="es-ES"/>
              </w:rPr>
              <w:t>41.6</w:t>
            </w:r>
          </w:p>
        </w:tc>
        <w:tc>
          <w:tcPr>
            <w:tcW w:w="748" w:type="dxa"/>
            <w:shd w:val="clear" w:color="auto" w:fill="FFFFFF"/>
            <w:vAlign w:val="center"/>
          </w:tcPr>
          <w:p w14:paraId="2FD0A3F7" w14:textId="77777777" w:rsidR="000F705F" w:rsidRPr="00571971" w:rsidRDefault="000F705F" w:rsidP="000F705F">
            <w:pPr>
              <w:pStyle w:val="CETBodytext"/>
              <w:ind w:right="-1"/>
              <w:jc w:val="center"/>
              <w:rPr>
                <w:rFonts w:cs="Arial"/>
                <w:color w:val="000000"/>
                <w:szCs w:val="18"/>
                <w:lang w:eastAsia="es-ES"/>
              </w:rPr>
            </w:pPr>
            <w:r>
              <w:rPr>
                <w:rFonts w:cs="Arial"/>
                <w:color w:val="000000"/>
                <w:szCs w:val="18"/>
                <w:lang w:eastAsia="es-ES"/>
              </w:rPr>
              <w:t>42.2</w:t>
            </w:r>
          </w:p>
        </w:tc>
        <w:tc>
          <w:tcPr>
            <w:tcW w:w="748" w:type="dxa"/>
            <w:shd w:val="clear" w:color="auto" w:fill="FFFFFF"/>
            <w:vAlign w:val="center"/>
          </w:tcPr>
          <w:p w14:paraId="722F0F8C" w14:textId="77777777" w:rsidR="000F705F" w:rsidRPr="00571971" w:rsidRDefault="000F705F" w:rsidP="000F705F">
            <w:pPr>
              <w:pStyle w:val="CETBodytext"/>
              <w:ind w:right="-1"/>
              <w:jc w:val="center"/>
              <w:rPr>
                <w:rFonts w:cs="Arial"/>
                <w:color w:val="000000"/>
                <w:szCs w:val="18"/>
                <w:lang w:eastAsia="es-ES"/>
              </w:rPr>
            </w:pPr>
            <w:r>
              <w:rPr>
                <w:rFonts w:cs="Arial"/>
                <w:color w:val="000000"/>
                <w:szCs w:val="18"/>
                <w:lang w:eastAsia="es-ES"/>
              </w:rPr>
              <w:t>40.7</w:t>
            </w:r>
          </w:p>
        </w:tc>
      </w:tr>
      <w:tr w:rsidR="000F705F" w:rsidRPr="007A5F29" w14:paraId="6B2F3785" w14:textId="77777777" w:rsidTr="000F705F">
        <w:trPr>
          <w:trHeight w:val="322"/>
        </w:trPr>
        <w:tc>
          <w:tcPr>
            <w:tcW w:w="1224" w:type="dxa"/>
            <w:shd w:val="clear" w:color="auto" w:fill="FFFFFF"/>
            <w:vAlign w:val="center"/>
          </w:tcPr>
          <w:p w14:paraId="157BC6E9" w14:textId="77777777" w:rsidR="000F705F" w:rsidRPr="00036E83" w:rsidRDefault="000F705F" w:rsidP="000F705F">
            <w:pPr>
              <w:pStyle w:val="CETBodytext"/>
              <w:ind w:right="-1"/>
              <w:jc w:val="left"/>
              <w:rPr>
                <w:rFonts w:cs="Arial"/>
                <w:color w:val="000000"/>
                <w:szCs w:val="18"/>
                <w:lang w:eastAsia="es-ES"/>
              </w:rPr>
            </w:pPr>
            <w:r w:rsidRPr="00036E83">
              <w:rPr>
                <w:rFonts w:cs="Arial"/>
                <w:color w:val="000000"/>
                <w:szCs w:val="18"/>
                <w:lang w:eastAsia="es-ES"/>
              </w:rPr>
              <w:t>TOC (g/L)</w:t>
            </w:r>
          </w:p>
        </w:tc>
        <w:tc>
          <w:tcPr>
            <w:tcW w:w="562" w:type="dxa"/>
            <w:shd w:val="clear" w:color="auto" w:fill="FFFFFF"/>
            <w:vAlign w:val="center"/>
          </w:tcPr>
          <w:p w14:paraId="488A94BD" w14:textId="77777777" w:rsidR="000F705F" w:rsidRPr="00571971" w:rsidRDefault="000F705F" w:rsidP="000F705F">
            <w:pPr>
              <w:pStyle w:val="CETBodytext"/>
              <w:ind w:right="-1"/>
              <w:jc w:val="center"/>
              <w:rPr>
                <w:rFonts w:cs="Arial"/>
                <w:color w:val="000000"/>
                <w:szCs w:val="18"/>
                <w:lang w:eastAsia="es-ES"/>
              </w:rPr>
            </w:pPr>
            <w:r w:rsidRPr="00571971">
              <w:rPr>
                <w:rFonts w:cs="Arial"/>
                <w:color w:val="000000"/>
                <w:szCs w:val="18"/>
                <w:lang w:eastAsia="es-ES"/>
              </w:rPr>
              <w:t>2,378</w:t>
            </w:r>
          </w:p>
        </w:tc>
        <w:tc>
          <w:tcPr>
            <w:tcW w:w="748" w:type="dxa"/>
            <w:shd w:val="clear" w:color="auto" w:fill="FFFFFF"/>
            <w:vAlign w:val="center"/>
          </w:tcPr>
          <w:p w14:paraId="0778E411" w14:textId="77777777" w:rsidR="000F705F" w:rsidRPr="00571971" w:rsidRDefault="000F705F" w:rsidP="000F705F">
            <w:pPr>
              <w:pStyle w:val="CETBodytext"/>
              <w:ind w:right="-1"/>
              <w:jc w:val="center"/>
              <w:rPr>
                <w:rFonts w:cs="Arial"/>
                <w:color w:val="000000"/>
                <w:szCs w:val="18"/>
                <w:lang w:eastAsia="es-ES"/>
              </w:rPr>
            </w:pPr>
            <w:r>
              <w:rPr>
                <w:rFonts w:cs="Arial"/>
                <w:color w:val="000000"/>
                <w:szCs w:val="18"/>
                <w:lang w:eastAsia="es-ES"/>
              </w:rPr>
              <w:t>2,396</w:t>
            </w:r>
          </w:p>
        </w:tc>
        <w:tc>
          <w:tcPr>
            <w:tcW w:w="748" w:type="dxa"/>
            <w:shd w:val="clear" w:color="auto" w:fill="FFFFFF"/>
            <w:vAlign w:val="center"/>
          </w:tcPr>
          <w:p w14:paraId="43D205A4" w14:textId="77777777" w:rsidR="000F705F" w:rsidRPr="00571971" w:rsidRDefault="000F705F" w:rsidP="000F705F">
            <w:pPr>
              <w:pStyle w:val="CETBodytext"/>
              <w:ind w:right="-1"/>
              <w:jc w:val="center"/>
              <w:rPr>
                <w:rFonts w:cs="Arial"/>
                <w:color w:val="000000"/>
                <w:szCs w:val="18"/>
                <w:lang w:eastAsia="es-ES"/>
              </w:rPr>
            </w:pPr>
            <w:r>
              <w:rPr>
                <w:rFonts w:cs="Arial"/>
                <w:color w:val="000000"/>
                <w:szCs w:val="18"/>
                <w:lang w:eastAsia="es-ES"/>
              </w:rPr>
              <w:t>2,219</w:t>
            </w:r>
          </w:p>
        </w:tc>
      </w:tr>
      <w:tr w:rsidR="000F705F" w:rsidRPr="007A5F29" w14:paraId="6381E713" w14:textId="77777777" w:rsidTr="000F705F">
        <w:trPr>
          <w:trHeight w:val="309"/>
        </w:trPr>
        <w:tc>
          <w:tcPr>
            <w:tcW w:w="1224" w:type="dxa"/>
            <w:shd w:val="clear" w:color="auto" w:fill="FFFFFF"/>
            <w:vAlign w:val="center"/>
          </w:tcPr>
          <w:p w14:paraId="0D71EC72" w14:textId="77777777" w:rsidR="000F705F" w:rsidRPr="00036E83" w:rsidRDefault="000F705F" w:rsidP="000F705F">
            <w:pPr>
              <w:pStyle w:val="CETBodytext"/>
              <w:ind w:right="-1"/>
              <w:jc w:val="left"/>
              <w:rPr>
                <w:rFonts w:cs="Arial"/>
                <w:color w:val="000000"/>
                <w:szCs w:val="18"/>
                <w:lang w:eastAsia="es-ES"/>
              </w:rPr>
            </w:pPr>
            <w:r>
              <w:rPr>
                <w:rFonts w:cs="Arial"/>
                <w:color w:val="000000"/>
                <w:szCs w:val="18"/>
                <w:lang w:eastAsia="es-ES"/>
              </w:rPr>
              <w:t>Foam volume (mL)</w:t>
            </w:r>
          </w:p>
        </w:tc>
        <w:tc>
          <w:tcPr>
            <w:tcW w:w="562" w:type="dxa"/>
            <w:shd w:val="clear" w:color="auto" w:fill="FFFFFF"/>
            <w:vAlign w:val="center"/>
          </w:tcPr>
          <w:p w14:paraId="66888018" w14:textId="77777777" w:rsidR="000F705F" w:rsidRPr="00571971" w:rsidRDefault="000F705F" w:rsidP="000F705F">
            <w:pPr>
              <w:pStyle w:val="CETBodytext"/>
              <w:ind w:right="-1"/>
              <w:jc w:val="center"/>
              <w:rPr>
                <w:rFonts w:cs="Arial"/>
                <w:color w:val="000000"/>
                <w:szCs w:val="18"/>
                <w:lang w:eastAsia="es-ES"/>
              </w:rPr>
            </w:pPr>
            <w:r>
              <w:rPr>
                <w:rFonts w:cs="Arial"/>
                <w:color w:val="000000"/>
                <w:szCs w:val="18"/>
                <w:lang w:eastAsia="es-ES"/>
              </w:rPr>
              <w:t>300</w:t>
            </w:r>
          </w:p>
        </w:tc>
        <w:tc>
          <w:tcPr>
            <w:tcW w:w="748" w:type="dxa"/>
            <w:shd w:val="clear" w:color="auto" w:fill="FFFFFF"/>
            <w:vAlign w:val="center"/>
          </w:tcPr>
          <w:p w14:paraId="1DA6F8C7" w14:textId="77777777" w:rsidR="000F705F" w:rsidRPr="00571971" w:rsidRDefault="000F705F" w:rsidP="000F705F">
            <w:pPr>
              <w:pStyle w:val="CETBodytext"/>
              <w:ind w:right="-1"/>
              <w:jc w:val="center"/>
              <w:rPr>
                <w:rFonts w:cs="Arial"/>
                <w:color w:val="000000"/>
                <w:szCs w:val="18"/>
                <w:lang w:eastAsia="es-ES"/>
              </w:rPr>
            </w:pPr>
            <w:r>
              <w:rPr>
                <w:rFonts w:cs="Arial"/>
                <w:color w:val="000000"/>
                <w:szCs w:val="18"/>
                <w:lang w:eastAsia="es-ES"/>
              </w:rPr>
              <w:t>210</w:t>
            </w:r>
          </w:p>
        </w:tc>
        <w:tc>
          <w:tcPr>
            <w:tcW w:w="748" w:type="dxa"/>
            <w:shd w:val="clear" w:color="auto" w:fill="FFFFFF"/>
            <w:vAlign w:val="center"/>
          </w:tcPr>
          <w:p w14:paraId="29A2BEE4" w14:textId="77777777" w:rsidR="000F705F" w:rsidRPr="00571971" w:rsidRDefault="000F705F" w:rsidP="000F705F">
            <w:pPr>
              <w:pStyle w:val="CETBodytext"/>
              <w:ind w:right="-1"/>
              <w:jc w:val="center"/>
              <w:rPr>
                <w:rFonts w:cs="Arial"/>
                <w:color w:val="000000"/>
                <w:szCs w:val="18"/>
                <w:lang w:eastAsia="es-ES"/>
              </w:rPr>
            </w:pPr>
            <w:r>
              <w:rPr>
                <w:rFonts w:cs="Arial"/>
                <w:color w:val="000000"/>
                <w:szCs w:val="18"/>
                <w:lang w:eastAsia="es-ES"/>
              </w:rPr>
              <w:t>220</w:t>
            </w:r>
          </w:p>
        </w:tc>
      </w:tr>
    </w:tbl>
    <w:p w14:paraId="6A44FFE4" w14:textId="77777777" w:rsidR="000F705F" w:rsidRDefault="000F705F" w:rsidP="007729EE">
      <w:pPr>
        <w:rPr>
          <w:bCs/>
          <w:lang w:val="en-US"/>
        </w:rPr>
      </w:pPr>
    </w:p>
    <w:p w14:paraId="1C8BFFE2" w14:textId="77777777" w:rsidR="000F705F" w:rsidRDefault="000F705F" w:rsidP="007729EE">
      <w:pPr>
        <w:rPr>
          <w:bCs/>
          <w:lang w:val="en-US"/>
        </w:rPr>
      </w:pPr>
    </w:p>
    <w:p w14:paraId="6D068950" w14:textId="77777777" w:rsidR="000F705F" w:rsidRDefault="000F705F" w:rsidP="007729EE">
      <w:pPr>
        <w:rPr>
          <w:bCs/>
          <w:lang w:val="en-US"/>
        </w:rPr>
      </w:pPr>
    </w:p>
    <w:p w14:paraId="48E92B86" w14:textId="77777777" w:rsidR="000F705F" w:rsidRDefault="000F705F" w:rsidP="007729EE">
      <w:pPr>
        <w:rPr>
          <w:bCs/>
          <w:lang w:val="en-US"/>
        </w:rPr>
      </w:pPr>
    </w:p>
    <w:p w14:paraId="53CC8703" w14:textId="77777777" w:rsidR="000F705F" w:rsidRDefault="000F705F" w:rsidP="007729EE">
      <w:pPr>
        <w:rPr>
          <w:bCs/>
          <w:lang w:val="en-US"/>
        </w:rPr>
      </w:pPr>
    </w:p>
    <w:p w14:paraId="6CE17361" w14:textId="77777777" w:rsidR="000F705F" w:rsidRDefault="000F705F" w:rsidP="007729EE">
      <w:pPr>
        <w:rPr>
          <w:bCs/>
          <w:lang w:val="en-US"/>
        </w:rPr>
      </w:pPr>
    </w:p>
    <w:p w14:paraId="45A3F947" w14:textId="77777777" w:rsidR="000F705F" w:rsidRDefault="000F705F" w:rsidP="007729EE">
      <w:pPr>
        <w:rPr>
          <w:bCs/>
          <w:lang w:val="en-US"/>
        </w:rPr>
      </w:pPr>
    </w:p>
    <w:p w14:paraId="74BA8C68" w14:textId="098AB13A" w:rsidR="000F705F" w:rsidRDefault="000F705F" w:rsidP="007729EE">
      <w:pPr>
        <w:rPr>
          <w:bCs/>
          <w:lang w:val="en-US"/>
        </w:rPr>
      </w:pPr>
    </w:p>
    <w:p w14:paraId="28BDB213" w14:textId="106538A1" w:rsidR="000F705F" w:rsidRDefault="000F705F" w:rsidP="007729EE">
      <w:pPr>
        <w:rPr>
          <w:bCs/>
          <w:lang w:val="en-US"/>
        </w:rPr>
      </w:pPr>
    </w:p>
    <w:p w14:paraId="163A3509" w14:textId="77777777" w:rsidR="000F705F" w:rsidRDefault="000F705F" w:rsidP="007729EE">
      <w:pPr>
        <w:rPr>
          <w:bCs/>
          <w:lang w:val="en-US"/>
        </w:rPr>
      </w:pPr>
    </w:p>
    <w:p w14:paraId="45088686" w14:textId="4DEA141B" w:rsidR="007729EE" w:rsidRDefault="000F705F" w:rsidP="007729EE">
      <w:pPr>
        <w:rPr>
          <w:bCs/>
          <w:lang w:val="en-US"/>
        </w:rPr>
      </w:pPr>
      <w:r>
        <w:rPr>
          <w:bCs/>
          <w:lang w:val="en-US"/>
        </w:rPr>
        <w:t>As seen in table 2, t</w:t>
      </w:r>
      <w:r w:rsidR="00472B98">
        <w:rPr>
          <w:bCs/>
          <w:lang w:val="en-US"/>
        </w:rPr>
        <w:t>he</w:t>
      </w:r>
      <w:r w:rsidR="002B4013">
        <w:rPr>
          <w:bCs/>
          <w:lang w:val="en-US"/>
        </w:rPr>
        <w:t xml:space="preserve"> pH </w:t>
      </w:r>
      <w:r w:rsidR="005E44CF">
        <w:rPr>
          <w:bCs/>
          <w:lang w:val="en-US"/>
        </w:rPr>
        <w:t>of the ozonated</w:t>
      </w:r>
      <w:r w:rsidR="00256DD1">
        <w:rPr>
          <w:bCs/>
          <w:lang w:val="en-US"/>
        </w:rPr>
        <w:t xml:space="preserve"> </w:t>
      </w:r>
      <w:r w:rsidR="00501E0F">
        <w:rPr>
          <w:bCs/>
          <w:lang w:val="en-US"/>
        </w:rPr>
        <w:t xml:space="preserve">diluted </w:t>
      </w:r>
      <w:r w:rsidR="00256DD1">
        <w:rPr>
          <w:bCs/>
          <w:lang w:val="en-US"/>
        </w:rPr>
        <w:t>feed</w:t>
      </w:r>
      <w:r w:rsidR="005E44CF">
        <w:rPr>
          <w:bCs/>
          <w:lang w:val="en-US"/>
        </w:rPr>
        <w:t xml:space="preserve"> waste was 7.81 </w:t>
      </w:r>
      <w:r w:rsidR="00256DD1">
        <w:rPr>
          <w:bCs/>
          <w:lang w:val="en-US"/>
        </w:rPr>
        <w:t xml:space="preserve">(A) </w:t>
      </w:r>
      <w:r w:rsidR="005E44CF">
        <w:rPr>
          <w:bCs/>
          <w:lang w:val="en-US"/>
        </w:rPr>
        <w:t>and 7.80</w:t>
      </w:r>
      <w:r w:rsidR="00256DD1">
        <w:rPr>
          <w:bCs/>
          <w:lang w:val="en-US"/>
        </w:rPr>
        <w:t xml:space="preserve"> (B)</w:t>
      </w:r>
      <w:r w:rsidR="005E44CF">
        <w:rPr>
          <w:bCs/>
          <w:lang w:val="en-US"/>
        </w:rPr>
        <w:t xml:space="preserve"> for both experiments with ozone, similar but </w:t>
      </w:r>
      <w:r w:rsidR="00256DD1">
        <w:rPr>
          <w:bCs/>
          <w:lang w:val="en-US"/>
        </w:rPr>
        <w:t>slightly</w:t>
      </w:r>
      <w:r w:rsidR="005E44CF">
        <w:rPr>
          <w:bCs/>
          <w:lang w:val="en-US"/>
        </w:rPr>
        <w:t xml:space="preserve"> </w:t>
      </w:r>
      <w:r w:rsidR="00472B98">
        <w:rPr>
          <w:bCs/>
          <w:lang w:val="en-US"/>
        </w:rPr>
        <w:t>lower</w:t>
      </w:r>
      <w:r w:rsidR="005E44CF">
        <w:rPr>
          <w:bCs/>
          <w:lang w:val="en-US"/>
        </w:rPr>
        <w:t xml:space="preserve"> than the original one</w:t>
      </w:r>
      <w:r w:rsidR="00256DD1">
        <w:rPr>
          <w:bCs/>
          <w:lang w:val="en-US"/>
        </w:rPr>
        <w:t>, that is 8.01</w:t>
      </w:r>
      <w:r w:rsidR="005E44CF">
        <w:rPr>
          <w:bCs/>
          <w:lang w:val="en-US"/>
        </w:rPr>
        <w:t xml:space="preserve">. Less </w:t>
      </w:r>
      <w:r w:rsidR="00501E0F">
        <w:rPr>
          <w:bCs/>
          <w:lang w:val="en-US"/>
        </w:rPr>
        <w:t>remarkable is</w:t>
      </w:r>
      <w:r w:rsidR="005E44CF">
        <w:rPr>
          <w:bCs/>
          <w:lang w:val="en-US"/>
        </w:rPr>
        <w:t xml:space="preserve"> the conductivity, that </w:t>
      </w:r>
      <w:r w:rsidR="00902BB6">
        <w:rPr>
          <w:bCs/>
          <w:lang w:val="en-US"/>
        </w:rPr>
        <w:t xml:space="preserve">keeps </w:t>
      </w:r>
      <w:r w:rsidR="00F61201">
        <w:rPr>
          <w:bCs/>
          <w:lang w:val="en-US"/>
        </w:rPr>
        <w:t xml:space="preserve">between </w:t>
      </w:r>
      <w:r w:rsidR="005E44CF">
        <w:rPr>
          <w:bCs/>
          <w:lang w:val="en-US"/>
        </w:rPr>
        <w:t>42.2</w:t>
      </w:r>
      <w:r w:rsidR="00A83F29">
        <w:rPr>
          <w:bCs/>
          <w:lang w:val="en-US"/>
        </w:rPr>
        <w:t xml:space="preserve"> </w:t>
      </w:r>
      <w:r w:rsidR="00256DD1">
        <w:rPr>
          <w:bCs/>
          <w:lang w:val="en-US"/>
        </w:rPr>
        <w:t>m</w:t>
      </w:r>
      <w:r w:rsidR="00144B87">
        <w:rPr>
          <w:bCs/>
          <w:lang w:val="en-US"/>
        </w:rPr>
        <w:t>S</w:t>
      </w:r>
      <w:r w:rsidR="00256DD1">
        <w:rPr>
          <w:bCs/>
          <w:lang w:val="en-US"/>
        </w:rPr>
        <w:t>/cm</w:t>
      </w:r>
      <w:r w:rsidR="005E44CF">
        <w:rPr>
          <w:bCs/>
          <w:lang w:val="en-US"/>
        </w:rPr>
        <w:t xml:space="preserve"> </w:t>
      </w:r>
      <w:r w:rsidR="00256DD1">
        <w:rPr>
          <w:bCs/>
          <w:lang w:val="en-US"/>
        </w:rPr>
        <w:t xml:space="preserve">(A) </w:t>
      </w:r>
      <w:r w:rsidR="005E44CF">
        <w:rPr>
          <w:bCs/>
          <w:lang w:val="en-US"/>
        </w:rPr>
        <w:t>and</w:t>
      </w:r>
      <w:r w:rsidR="00256DD1">
        <w:rPr>
          <w:bCs/>
          <w:lang w:val="en-US"/>
        </w:rPr>
        <w:t xml:space="preserve"> 40.7 m</w:t>
      </w:r>
      <w:r w:rsidR="00144B87">
        <w:rPr>
          <w:bCs/>
          <w:lang w:val="en-US"/>
        </w:rPr>
        <w:t>S</w:t>
      </w:r>
      <w:r w:rsidR="00256DD1">
        <w:rPr>
          <w:bCs/>
          <w:lang w:val="en-US"/>
        </w:rPr>
        <w:t xml:space="preserve">/cm (B) </w:t>
      </w:r>
      <w:r w:rsidR="00902BB6">
        <w:rPr>
          <w:bCs/>
          <w:lang w:val="en-US"/>
        </w:rPr>
        <w:t xml:space="preserve">near the original value </w:t>
      </w:r>
      <w:r w:rsidR="00256DD1">
        <w:rPr>
          <w:bCs/>
          <w:lang w:val="en-US"/>
        </w:rPr>
        <w:t>of the diluted feed</w:t>
      </w:r>
      <w:r w:rsidR="00902BB6">
        <w:rPr>
          <w:bCs/>
          <w:lang w:val="en-US"/>
        </w:rPr>
        <w:t xml:space="preserve"> (41.6 m</w:t>
      </w:r>
      <w:r w:rsidR="00144B87">
        <w:rPr>
          <w:bCs/>
          <w:lang w:val="en-US"/>
        </w:rPr>
        <w:t>S</w:t>
      </w:r>
      <w:r w:rsidR="00902BB6">
        <w:rPr>
          <w:bCs/>
          <w:lang w:val="en-US"/>
        </w:rPr>
        <w:t>/cm)</w:t>
      </w:r>
      <w:r w:rsidR="00256DD1">
        <w:rPr>
          <w:bCs/>
          <w:lang w:val="en-US"/>
        </w:rPr>
        <w:t xml:space="preserve">. </w:t>
      </w:r>
      <w:r w:rsidR="00A83F29">
        <w:rPr>
          <w:bCs/>
          <w:lang w:val="en-US"/>
        </w:rPr>
        <w:t>It was not possible to measure a reliable value for the</w:t>
      </w:r>
      <w:r w:rsidR="00902BB6">
        <w:rPr>
          <w:bCs/>
          <w:lang w:val="en-US"/>
        </w:rPr>
        <w:t xml:space="preserve"> Chemical Organic Demand (COD) </w:t>
      </w:r>
      <w:r w:rsidR="00902BB6" w:rsidRPr="00902BB6">
        <w:rPr>
          <w:bCs/>
          <w:lang w:val="en-US"/>
        </w:rPr>
        <w:t>due to</w:t>
      </w:r>
      <w:r w:rsidR="00A83F29">
        <w:rPr>
          <w:bCs/>
          <w:lang w:val="en-US"/>
        </w:rPr>
        <w:t xml:space="preserve"> </w:t>
      </w:r>
      <w:r w:rsidR="00902BB6" w:rsidRPr="00902BB6">
        <w:rPr>
          <w:bCs/>
          <w:lang w:val="en-US"/>
        </w:rPr>
        <w:t>interferences</w:t>
      </w:r>
      <w:r w:rsidR="00902BB6">
        <w:rPr>
          <w:bCs/>
          <w:lang w:val="en-US"/>
        </w:rPr>
        <w:t xml:space="preserve"> </w:t>
      </w:r>
      <w:r w:rsidR="00A83F29">
        <w:rPr>
          <w:bCs/>
          <w:lang w:val="en-US"/>
        </w:rPr>
        <w:t xml:space="preserve">caused by the high presence </w:t>
      </w:r>
      <w:r w:rsidR="00167A28">
        <w:rPr>
          <w:bCs/>
          <w:lang w:val="en-US"/>
        </w:rPr>
        <w:t xml:space="preserve">of chlorides </w:t>
      </w:r>
      <w:r w:rsidR="00A83F29">
        <w:rPr>
          <w:bCs/>
          <w:lang w:val="en-US"/>
        </w:rPr>
        <w:t xml:space="preserve">in this particular wastewater, </w:t>
      </w:r>
      <w:r w:rsidR="00902BB6">
        <w:rPr>
          <w:bCs/>
          <w:lang w:val="en-US"/>
        </w:rPr>
        <w:t xml:space="preserve">as shown in table 1. </w:t>
      </w:r>
      <w:r w:rsidR="00472B98">
        <w:rPr>
          <w:bCs/>
          <w:lang w:val="en-US"/>
        </w:rPr>
        <w:t xml:space="preserve">TOC was similar in all cases, that means that </w:t>
      </w:r>
      <w:r w:rsidR="00902BB6">
        <w:rPr>
          <w:bCs/>
          <w:lang w:val="en-US"/>
        </w:rPr>
        <w:t xml:space="preserve">no organic matter was lost in the process. </w:t>
      </w:r>
      <w:r w:rsidR="00A83F29">
        <w:rPr>
          <w:bCs/>
          <w:lang w:val="en-US"/>
        </w:rPr>
        <w:t>N</w:t>
      </w:r>
      <w:r w:rsidR="00A83F29" w:rsidRPr="00472B98">
        <w:rPr>
          <w:bCs/>
          <w:lang w:val="en-US"/>
        </w:rPr>
        <w:t>o other significant differences</w:t>
      </w:r>
      <w:r w:rsidR="00A83F29">
        <w:rPr>
          <w:bCs/>
          <w:lang w:val="en-US"/>
        </w:rPr>
        <w:t xml:space="preserve"> were observed more than </w:t>
      </w:r>
      <w:r w:rsidR="00A83F29" w:rsidRPr="00472B98">
        <w:rPr>
          <w:bCs/>
          <w:lang w:val="en-US"/>
        </w:rPr>
        <w:t>a pale</w:t>
      </w:r>
      <w:r w:rsidR="00A83F29">
        <w:rPr>
          <w:bCs/>
          <w:lang w:val="en-US"/>
        </w:rPr>
        <w:t>r</w:t>
      </w:r>
      <w:r w:rsidR="00A83F29" w:rsidRPr="00472B98">
        <w:rPr>
          <w:bCs/>
          <w:lang w:val="en-US"/>
        </w:rPr>
        <w:t xml:space="preserve"> color for the highest </w:t>
      </w:r>
      <w:r w:rsidR="00F61201">
        <w:rPr>
          <w:bCs/>
          <w:lang w:val="en-US"/>
        </w:rPr>
        <w:t>ozone dose</w:t>
      </w:r>
      <w:r w:rsidR="00A83F29">
        <w:rPr>
          <w:bCs/>
          <w:lang w:val="en-US"/>
        </w:rPr>
        <w:t xml:space="preserve">. </w:t>
      </w:r>
      <w:r w:rsidR="00F61201" w:rsidRPr="00F61201">
        <w:rPr>
          <w:bCs/>
          <w:lang w:val="en-US"/>
        </w:rPr>
        <w:t>However, it is remarkable that despite applying almost twice ozone</w:t>
      </w:r>
      <w:r w:rsidR="00F61201">
        <w:rPr>
          <w:bCs/>
          <w:lang w:val="en-US"/>
        </w:rPr>
        <w:t xml:space="preserve"> for experiment B</w:t>
      </w:r>
      <w:r w:rsidR="00F61201" w:rsidRPr="00F61201">
        <w:rPr>
          <w:bCs/>
          <w:lang w:val="en-US"/>
        </w:rPr>
        <w:t xml:space="preserve">, a proportional response </w:t>
      </w:r>
      <w:r w:rsidR="00F61201">
        <w:rPr>
          <w:bCs/>
          <w:lang w:val="en-US"/>
        </w:rPr>
        <w:t>was</w:t>
      </w:r>
      <w:r w:rsidR="00F61201" w:rsidRPr="00F61201">
        <w:rPr>
          <w:bCs/>
          <w:lang w:val="en-US"/>
        </w:rPr>
        <w:t xml:space="preserve"> </w:t>
      </w:r>
      <w:r w:rsidR="00F61201">
        <w:rPr>
          <w:bCs/>
          <w:lang w:val="en-US"/>
        </w:rPr>
        <w:t xml:space="preserve">not </w:t>
      </w:r>
      <w:r w:rsidR="00F61201" w:rsidRPr="00F61201">
        <w:rPr>
          <w:bCs/>
          <w:lang w:val="en-US"/>
        </w:rPr>
        <w:t>obtained.</w:t>
      </w:r>
      <w:r w:rsidR="00F61201">
        <w:rPr>
          <w:bCs/>
          <w:lang w:val="en-US"/>
        </w:rPr>
        <w:t xml:space="preserve"> </w:t>
      </w:r>
      <w:r w:rsidR="00F61201" w:rsidRPr="00F61201">
        <w:rPr>
          <w:bCs/>
          <w:lang w:val="en-US"/>
        </w:rPr>
        <w:t xml:space="preserve">This </w:t>
      </w:r>
      <w:r w:rsidR="006C2EC6" w:rsidRPr="00F61201">
        <w:rPr>
          <w:bCs/>
          <w:lang w:val="en-US"/>
        </w:rPr>
        <w:t>behavior</w:t>
      </w:r>
      <w:r w:rsidR="00F61201" w:rsidRPr="00F61201">
        <w:rPr>
          <w:bCs/>
          <w:lang w:val="en-US"/>
        </w:rPr>
        <w:t xml:space="preserve"> may be </w:t>
      </w:r>
      <w:r w:rsidR="00F61201">
        <w:rPr>
          <w:bCs/>
          <w:lang w:val="en-US"/>
        </w:rPr>
        <w:t>caused</w:t>
      </w:r>
      <w:r w:rsidR="00F61201" w:rsidRPr="00F61201">
        <w:rPr>
          <w:bCs/>
          <w:lang w:val="en-US"/>
        </w:rPr>
        <w:t xml:space="preserve">, in major part, to the large amount of bicarbonates contained in the </w:t>
      </w:r>
      <w:r w:rsidR="00F61201">
        <w:rPr>
          <w:bCs/>
          <w:lang w:val="en-US"/>
        </w:rPr>
        <w:t>leachate</w:t>
      </w:r>
      <w:r w:rsidR="00144B87">
        <w:rPr>
          <w:bCs/>
          <w:lang w:val="en-US"/>
        </w:rPr>
        <w:t xml:space="preserve"> (table 1)</w:t>
      </w:r>
      <w:r w:rsidR="00F61201" w:rsidRPr="00F61201">
        <w:rPr>
          <w:bCs/>
          <w:lang w:val="en-US"/>
        </w:rPr>
        <w:t xml:space="preserve">, which rapidly consumes </w:t>
      </w:r>
      <w:r w:rsidR="00F61201">
        <w:rPr>
          <w:bCs/>
          <w:lang w:val="en-US"/>
        </w:rPr>
        <w:t xml:space="preserve">the </w:t>
      </w:r>
      <w:r w:rsidR="00F61201" w:rsidRPr="00F61201">
        <w:rPr>
          <w:bCs/>
          <w:lang w:val="en-US"/>
        </w:rPr>
        <w:t>ozone and dampens the effects described above.</w:t>
      </w:r>
      <w:r w:rsidR="00F61201">
        <w:rPr>
          <w:bCs/>
          <w:lang w:val="en-US"/>
        </w:rPr>
        <w:t xml:space="preserve"> </w:t>
      </w:r>
    </w:p>
    <w:p w14:paraId="5DAF9055" w14:textId="77777777" w:rsidR="007729EE" w:rsidRDefault="007729EE" w:rsidP="003D60E5">
      <w:pPr>
        <w:rPr>
          <w:b/>
          <w:lang w:val="en-US"/>
        </w:rPr>
      </w:pPr>
    </w:p>
    <w:p w14:paraId="54E3CB21" w14:textId="5B0D3FB3" w:rsidR="00AD0554" w:rsidRPr="00AD0554" w:rsidRDefault="00AD0554" w:rsidP="00AD0554">
      <w:pPr>
        <w:rPr>
          <w:b/>
          <w:lang w:val="en-US"/>
        </w:rPr>
      </w:pPr>
      <w:r w:rsidRPr="00AD0554">
        <w:rPr>
          <w:b/>
          <w:lang w:val="en-US"/>
        </w:rPr>
        <w:t>3.</w:t>
      </w:r>
      <w:r>
        <w:rPr>
          <w:b/>
          <w:lang w:val="en-US"/>
        </w:rPr>
        <w:t>2</w:t>
      </w:r>
      <w:r w:rsidRPr="00AD0554">
        <w:rPr>
          <w:b/>
          <w:lang w:val="en-US"/>
        </w:rPr>
        <w:t xml:space="preserve">. </w:t>
      </w:r>
      <w:r>
        <w:rPr>
          <w:b/>
          <w:lang w:val="en-US"/>
        </w:rPr>
        <w:t>Ozonation and HTL of surfactant wastewater</w:t>
      </w:r>
    </w:p>
    <w:p w14:paraId="30987CF3" w14:textId="5F4A87B1" w:rsidR="003D60E5" w:rsidRDefault="003D60E5" w:rsidP="003D60E5">
      <w:r>
        <w:t>As a reference, a dr</w:t>
      </w:r>
      <w:r w:rsidR="00F262FE">
        <w:t>y</w:t>
      </w:r>
      <w:r>
        <w:t xml:space="preserve"> sample of this wastewater is 13.9% of the original weight, and t</w:t>
      </w:r>
      <w:r w:rsidRPr="006717A9">
        <w:t xml:space="preserve">he HHV of </w:t>
      </w:r>
      <w:r>
        <w:t>this</w:t>
      </w:r>
      <w:r w:rsidRPr="006717A9">
        <w:t xml:space="preserve"> dry sample reached </w:t>
      </w:r>
      <w:r>
        <w:t>6,242</w:t>
      </w:r>
      <w:r w:rsidRPr="006717A9">
        <w:t xml:space="preserve"> cal/g</w:t>
      </w:r>
      <w:r>
        <w:t xml:space="preserve"> at the calorimetry test. </w:t>
      </w:r>
      <w:r w:rsidR="00DE70C5">
        <w:t>The t</w:t>
      </w:r>
      <w:r w:rsidRPr="00B94C3D">
        <w:t xml:space="preserve">able </w:t>
      </w:r>
      <w:r w:rsidR="00DE70C5">
        <w:t>3</w:t>
      </w:r>
      <w:r w:rsidRPr="00B94C3D">
        <w:t xml:space="preserve"> summarises the </w:t>
      </w:r>
      <w:r>
        <w:t>mean</w:t>
      </w:r>
      <w:r w:rsidRPr="00B94C3D">
        <w:t xml:space="preserve"> results obtained for each battery of experiments (triplicate</w:t>
      </w:r>
      <w:r>
        <w:t>s</w:t>
      </w:r>
      <w:r w:rsidRPr="00B94C3D">
        <w:t>).</w:t>
      </w:r>
    </w:p>
    <w:p w14:paraId="64FE5177" w14:textId="1838AC5F" w:rsidR="003D60E5" w:rsidRPr="009C40F0" w:rsidRDefault="003D60E5" w:rsidP="003D60E5">
      <w:pPr>
        <w:pStyle w:val="CETTabletitle"/>
        <w:rPr>
          <w:b/>
          <w:bCs/>
        </w:rPr>
      </w:pPr>
      <w:bookmarkStart w:id="1" w:name="_Hlk106354743"/>
      <w:r w:rsidRPr="009C40F0">
        <w:t xml:space="preserve">Table </w:t>
      </w:r>
      <w:r w:rsidR="00DE70C5">
        <w:t>3</w:t>
      </w:r>
      <w:r w:rsidRPr="009C40F0">
        <w:t xml:space="preserve">. Results obtained </w:t>
      </w:r>
      <w:r w:rsidR="00501E0F">
        <w:t>for</w:t>
      </w:r>
      <w:r w:rsidRPr="009C40F0">
        <w:t xml:space="preserve"> </w:t>
      </w:r>
      <w:r w:rsidR="00501E0F">
        <w:t xml:space="preserve">HTL </w:t>
      </w:r>
      <w:r w:rsidRPr="009C40F0">
        <w:t>study.</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43"/>
        <w:gridCol w:w="876"/>
        <w:gridCol w:w="1406"/>
        <w:gridCol w:w="1406"/>
        <w:gridCol w:w="1483"/>
      </w:tblGrid>
      <w:tr w:rsidR="003D60E5" w:rsidRPr="007A5F29" w14:paraId="403EEDFB" w14:textId="77777777" w:rsidTr="00AF462D">
        <w:tc>
          <w:tcPr>
            <w:tcW w:w="4125" w:type="dxa"/>
            <w:gridSpan w:val="3"/>
            <w:tcBorders>
              <w:top w:val="single" w:sz="12" w:space="0" w:color="008000"/>
              <w:bottom w:val="single" w:sz="6" w:space="0" w:color="008000"/>
            </w:tcBorders>
            <w:shd w:val="clear" w:color="auto" w:fill="FFFFFF"/>
          </w:tcPr>
          <w:bookmarkEnd w:id="1"/>
          <w:p w14:paraId="0B881E3F" w14:textId="77777777" w:rsidR="003D60E5" w:rsidRDefault="003D60E5" w:rsidP="001659C2">
            <w:pPr>
              <w:pStyle w:val="CETBodytext"/>
              <w:rPr>
                <w:rFonts w:cs="Arial"/>
                <w:color w:val="000000"/>
                <w:szCs w:val="18"/>
                <w:lang w:eastAsia="es-ES"/>
              </w:rPr>
            </w:pPr>
            <w:r>
              <w:rPr>
                <w:rFonts w:cs="Arial"/>
                <w:color w:val="000000"/>
                <w:szCs w:val="18"/>
                <w:lang w:eastAsia="es-ES"/>
              </w:rPr>
              <w:t xml:space="preserve">                                                 Raw feed</w:t>
            </w:r>
          </w:p>
          <w:p w14:paraId="7FFD0C75" w14:textId="77777777" w:rsidR="003D60E5" w:rsidRPr="00036E83" w:rsidRDefault="003D60E5" w:rsidP="001659C2">
            <w:pPr>
              <w:pStyle w:val="CETBodytext"/>
              <w:rPr>
                <w:rFonts w:cs="Arial"/>
                <w:color w:val="000000"/>
                <w:szCs w:val="18"/>
                <w:lang w:eastAsia="es-ES"/>
              </w:rPr>
            </w:pPr>
            <w:r>
              <w:rPr>
                <w:rFonts w:cs="Arial"/>
                <w:color w:val="000000"/>
                <w:szCs w:val="18"/>
                <w:lang w:eastAsia="es-ES"/>
              </w:rPr>
              <w:t xml:space="preserve">                                                   (</w:t>
            </w:r>
            <w:r w:rsidRPr="00036E83">
              <w:rPr>
                <w:rFonts w:cs="Arial"/>
                <w:color w:val="000000"/>
                <w:szCs w:val="18"/>
                <w:lang w:eastAsia="es-ES"/>
              </w:rPr>
              <w:t>HTL0</w:t>
            </w:r>
            <w:r>
              <w:rPr>
                <w:rFonts w:cs="Arial"/>
                <w:color w:val="000000"/>
                <w:szCs w:val="18"/>
                <w:lang w:eastAsia="es-ES"/>
              </w:rPr>
              <w:t>)</w:t>
            </w:r>
          </w:p>
        </w:tc>
        <w:tc>
          <w:tcPr>
            <w:tcW w:w="2889" w:type="dxa"/>
            <w:gridSpan w:val="2"/>
            <w:tcBorders>
              <w:top w:val="single" w:sz="12" w:space="0" w:color="008000"/>
              <w:bottom w:val="single" w:sz="6" w:space="0" w:color="008000"/>
            </w:tcBorders>
            <w:shd w:val="clear" w:color="auto" w:fill="FFFFFF"/>
          </w:tcPr>
          <w:p w14:paraId="29D3DFD6" w14:textId="77777777" w:rsidR="003D60E5" w:rsidRPr="007A5F29" w:rsidRDefault="003D60E5" w:rsidP="001659C2">
            <w:pPr>
              <w:pStyle w:val="CETBodytext"/>
              <w:jc w:val="center"/>
              <w:rPr>
                <w:lang w:val="en-GB"/>
              </w:rPr>
            </w:pPr>
            <w:r>
              <w:rPr>
                <w:rFonts w:cs="Arial"/>
                <w:color w:val="000000"/>
                <w:szCs w:val="18"/>
                <w:lang w:eastAsia="es-ES"/>
              </w:rPr>
              <w:t xml:space="preserve">Feed pre-treated by </w:t>
            </w:r>
            <w:r w:rsidRPr="00036E83">
              <w:rPr>
                <w:rFonts w:cs="Arial"/>
                <w:color w:val="000000"/>
                <w:szCs w:val="18"/>
                <w:lang w:eastAsia="es-ES"/>
              </w:rPr>
              <w:t>Ozon</w:t>
            </w:r>
            <w:r>
              <w:rPr>
                <w:rFonts w:cs="Arial"/>
                <w:color w:val="000000"/>
                <w:szCs w:val="18"/>
                <w:lang w:eastAsia="es-ES"/>
              </w:rPr>
              <w:t>ation</w:t>
            </w:r>
            <w:r w:rsidRPr="00036E83">
              <w:rPr>
                <w:rFonts w:cs="Arial"/>
                <w:color w:val="000000"/>
                <w:szCs w:val="18"/>
                <w:lang w:eastAsia="es-ES"/>
              </w:rPr>
              <w:t xml:space="preserve"> </w:t>
            </w:r>
            <w:r>
              <w:rPr>
                <w:rFonts w:cs="Arial"/>
                <w:color w:val="000000"/>
                <w:szCs w:val="18"/>
                <w:lang w:eastAsia="es-ES"/>
              </w:rPr>
              <w:t>(</w:t>
            </w:r>
            <w:r w:rsidRPr="00036E83">
              <w:rPr>
                <w:rFonts w:cs="Arial"/>
                <w:color w:val="000000"/>
                <w:szCs w:val="18"/>
                <w:lang w:eastAsia="es-ES"/>
              </w:rPr>
              <w:t>HTL1</w:t>
            </w:r>
            <w:r>
              <w:rPr>
                <w:rFonts w:cs="Arial"/>
                <w:color w:val="000000"/>
                <w:szCs w:val="18"/>
                <w:lang w:eastAsia="es-ES"/>
              </w:rPr>
              <w:t>)</w:t>
            </w:r>
          </w:p>
        </w:tc>
      </w:tr>
      <w:tr w:rsidR="003D60E5" w:rsidRPr="007A5F29" w14:paraId="6A94638F" w14:textId="77777777" w:rsidTr="00AF462D">
        <w:tc>
          <w:tcPr>
            <w:tcW w:w="1843" w:type="dxa"/>
            <w:tcBorders>
              <w:top w:val="nil"/>
              <w:bottom w:val="nil"/>
              <w:right w:val="nil"/>
            </w:tcBorders>
            <w:shd w:val="clear" w:color="auto" w:fill="FFFFFF"/>
            <w:vAlign w:val="bottom"/>
          </w:tcPr>
          <w:p w14:paraId="493C9CD6" w14:textId="77777777" w:rsidR="003D60E5" w:rsidRPr="007A5F29" w:rsidRDefault="003D60E5" w:rsidP="001659C2">
            <w:pPr>
              <w:pStyle w:val="CETBodytext"/>
              <w:rPr>
                <w:lang w:val="en-GB"/>
              </w:rPr>
            </w:pPr>
            <w:r>
              <w:rPr>
                <w:lang w:val="en-GB"/>
              </w:rPr>
              <w:t>Sample</w:t>
            </w:r>
          </w:p>
        </w:tc>
        <w:tc>
          <w:tcPr>
            <w:tcW w:w="876" w:type="dxa"/>
            <w:tcBorders>
              <w:top w:val="nil"/>
              <w:left w:val="nil"/>
              <w:bottom w:val="nil"/>
              <w:right w:val="nil"/>
            </w:tcBorders>
            <w:shd w:val="clear" w:color="auto" w:fill="FFFFFF"/>
          </w:tcPr>
          <w:p w14:paraId="355991BD" w14:textId="77777777" w:rsidR="003D60E5" w:rsidRPr="007A5F29" w:rsidRDefault="003D60E5" w:rsidP="001659C2">
            <w:pPr>
              <w:pStyle w:val="CETBodytext"/>
              <w:jc w:val="center"/>
              <w:rPr>
                <w:lang w:val="en-GB"/>
              </w:rPr>
            </w:pPr>
            <w:r w:rsidRPr="00036E83">
              <w:rPr>
                <w:rFonts w:cs="Arial"/>
                <w:color w:val="000000"/>
                <w:szCs w:val="18"/>
                <w:lang w:eastAsia="es-ES"/>
              </w:rPr>
              <w:t>Feed</w:t>
            </w:r>
          </w:p>
        </w:tc>
        <w:tc>
          <w:tcPr>
            <w:tcW w:w="1406" w:type="dxa"/>
            <w:tcBorders>
              <w:top w:val="nil"/>
              <w:left w:val="nil"/>
              <w:bottom w:val="nil"/>
              <w:right w:val="nil"/>
            </w:tcBorders>
            <w:shd w:val="clear" w:color="auto" w:fill="FFFFFF"/>
          </w:tcPr>
          <w:p w14:paraId="4838CAE3" w14:textId="77777777" w:rsidR="003D60E5" w:rsidRPr="007A5F29" w:rsidRDefault="003D60E5" w:rsidP="001659C2">
            <w:pPr>
              <w:pStyle w:val="CETBodytext"/>
              <w:jc w:val="center"/>
              <w:rPr>
                <w:lang w:val="en-GB"/>
              </w:rPr>
            </w:pPr>
            <w:r w:rsidRPr="00036E83">
              <w:rPr>
                <w:rFonts w:cs="Arial"/>
                <w:color w:val="000000"/>
                <w:szCs w:val="18"/>
                <w:lang w:eastAsia="es-ES"/>
              </w:rPr>
              <w:t>Effluent</w:t>
            </w:r>
          </w:p>
        </w:tc>
        <w:tc>
          <w:tcPr>
            <w:tcW w:w="1406" w:type="dxa"/>
            <w:tcBorders>
              <w:top w:val="nil"/>
              <w:left w:val="nil"/>
              <w:bottom w:val="nil"/>
              <w:right w:val="nil"/>
            </w:tcBorders>
            <w:shd w:val="clear" w:color="auto" w:fill="FFFFFF"/>
          </w:tcPr>
          <w:p w14:paraId="45CC4E64" w14:textId="77777777" w:rsidR="003D60E5" w:rsidRPr="007A5F29" w:rsidRDefault="003D60E5" w:rsidP="001659C2">
            <w:pPr>
              <w:pStyle w:val="CETBodytext"/>
              <w:jc w:val="center"/>
              <w:rPr>
                <w:lang w:val="en-GB"/>
              </w:rPr>
            </w:pPr>
            <w:r w:rsidRPr="00036E83">
              <w:rPr>
                <w:rFonts w:cs="Arial"/>
                <w:color w:val="000000"/>
                <w:szCs w:val="18"/>
                <w:lang w:eastAsia="es-ES"/>
              </w:rPr>
              <w:t>Feed</w:t>
            </w:r>
          </w:p>
        </w:tc>
        <w:tc>
          <w:tcPr>
            <w:tcW w:w="1483" w:type="dxa"/>
            <w:tcBorders>
              <w:top w:val="nil"/>
              <w:left w:val="nil"/>
              <w:bottom w:val="nil"/>
              <w:right w:val="nil"/>
            </w:tcBorders>
            <w:shd w:val="clear" w:color="auto" w:fill="FFFFFF"/>
          </w:tcPr>
          <w:p w14:paraId="49E829B2" w14:textId="77777777" w:rsidR="003D60E5" w:rsidRPr="007A5F29" w:rsidRDefault="003D60E5" w:rsidP="001659C2">
            <w:pPr>
              <w:pStyle w:val="CETBodytext"/>
              <w:jc w:val="center"/>
              <w:rPr>
                <w:lang w:val="en-GB"/>
              </w:rPr>
            </w:pPr>
            <w:r w:rsidRPr="00036E83">
              <w:rPr>
                <w:rFonts w:cs="Arial"/>
                <w:color w:val="000000"/>
                <w:szCs w:val="18"/>
                <w:lang w:eastAsia="es-ES"/>
              </w:rPr>
              <w:t>Effluent</w:t>
            </w:r>
          </w:p>
        </w:tc>
      </w:tr>
      <w:tr w:rsidR="003D60E5" w:rsidRPr="007A5F29" w14:paraId="5B17C778" w14:textId="77777777" w:rsidTr="00AF462D">
        <w:tc>
          <w:tcPr>
            <w:tcW w:w="1843" w:type="dxa"/>
            <w:tcBorders>
              <w:top w:val="nil"/>
              <w:right w:val="nil"/>
            </w:tcBorders>
            <w:shd w:val="clear" w:color="auto" w:fill="FFFFFF"/>
            <w:vAlign w:val="bottom"/>
          </w:tcPr>
          <w:p w14:paraId="59BC533E" w14:textId="77777777" w:rsidR="003D60E5" w:rsidRPr="007A5F29" w:rsidRDefault="003D60E5" w:rsidP="001659C2">
            <w:pPr>
              <w:pStyle w:val="CETBodytext"/>
              <w:ind w:right="-1"/>
              <w:rPr>
                <w:rFonts w:cs="Arial"/>
                <w:szCs w:val="18"/>
                <w:lang w:val="en-GB"/>
              </w:rPr>
            </w:pPr>
            <w:r w:rsidRPr="00036E83">
              <w:rPr>
                <w:rFonts w:cs="Arial"/>
                <w:color w:val="000000"/>
                <w:szCs w:val="18"/>
                <w:lang w:eastAsia="es-ES"/>
              </w:rPr>
              <w:t>pH</w:t>
            </w:r>
          </w:p>
        </w:tc>
        <w:tc>
          <w:tcPr>
            <w:tcW w:w="876" w:type="dxa"/>
            <w:tcBorders>
              <w:top w:val="nil"/>
              <w:left w:val="nil"/>
              <w:bottom w:val="nil"/>
              <w:right w:val="nil"/>
            </w:tcBorders>
            <w:shd w:val="clear" w:color="auto" w:fill="FFFFFF"/>
            <w:vAlign w:val="bottom"/>
          </w:tcPr>
          <w:p w14:paraId="28D259C0" w14:textId="77777777" w:rsidR="003D60E5" w:rsidRPr="007A5F29" w:rsidRDefault="003D60E5" w:rsidP="001659C2">
            <w:pPr>
              <w:pStyle w:val="CETBodytext"/>
              <w:ind w:right="-1"/>
              <w:jc w:val="center"/>
              <w:rPr>
                <w:rFonts w:cs="Arial"/>
                <w:szCs w:val="18"/>
                <w:lang w:val="en-GB"/>
              </w:rPr>
            </w:pPr>
            <w:r w:rsidRPr="00036E83">
              <w:rPr>
                <w:rFonts w:cs="Arial"/>
                <w:color w:val="000000"/>
                <w:szCs w:val="18"/>
                <w:lang w:eastAsia="es-ES"/>
              </w:rPr>
              <w:t>5</w:t>
            </w:r>
            <w:r>
              <w:rPr>
                <w:rFonts w:cs="Arial"/>
                <w:color w:val="000000"/>
                <w:szCs w:val="18"/>
                <w:lang w:eastAsia="es-ES"/>
              </w:rPr>
              <w:t>.</w:t>
            </w:r>
            <w:r w:rsidRPr="00036E83">
              <w:rPr>
                <w:rFonts w:cs="Arial"/>
                <w:color w:val="000000"/>
                <w:szCs w:val="18"/>
                <w:lang w:eastAsia="es-ES"/>
              </w:rPr>
              <w:t>98</w:t>
            </w:r>
          </w:p>
        </w:tc>
        <w:tc>
          <w:tcPr>
            <w:tcW w:w="1406" w:type="dxa"/>
            <w:tcBorders>
              <w:top w:val="nil"/>
              <w:left w:val="nil"/>
              <w:bottom w:val="nil"/>
              <w:right w:val="nil"/>
            </w:tcBorders>
            <w:shd w:val="clear" w:color="auto" w:fill="FFFFFF"/>
            <w:vAlign w:val="bottom"/>
          </w:tcPr>
          <w:p w14:paraId="28C9E7A1" w14:textId="77777777" w:rsidR="003D60E5" w:rsidRPr="007A5F29" w:rsidRDefault="003D60E5" w:rsidP="001659C2">
            <w:pPr>
              <w:pStyle w:val="CETBodytext"/>
              <w:ind w:right="-1"/>
              <w:jc w:val="center"/>
              <w:rPr>
                <w:rFonts w:cs="Arial"/>
                <w:szCs w:val="18"/>
                <w:lang w:val="en-GB"/>
              </w:rPr>
            </w:pPr>
            <w:r w:rsidRPr="00036E83">
              <w:rPr>
                <w:rFonts w:cs="Arial"/>
                <w:color w:val="000000"/>
                <w:szCs w:val="18"/>
                <w:lang w:eastAsia="es-ES"/>
              </w:rPr>
              <w:t>4</w:t>
            </w:r>
            <w:r>
              <w:rPr>
                <w:rFonts w:cs="Arial"/>
                <w:color w:val="000000"/>
                <w:szCs w:val="18"/>
                <w:lang w:eastAsia="es-ES"/>
              </w:rPr>
              <w:t>.</w:t>
            </w:r>
            <w:r w:rsidRPr="00036E83">
              <w:rPr>
                <w:rFonts w:cs="Arial"/>
                <w:color w:val="000000"/>
                <w:szCs w:val="18"/>
                <w:lang w:eastAsia="es-ES"/>
              </w:rPr>
              <w:t>17</w:t>
            </w:r>
          </w:p>
        </w:tc>
        <w:tc>
          <w:tcPr>
            <w:tcW w:w="1406" w:type="dxa"/>
            <w:tcBorders>
              <w:top w:val="nil"/>
              <w:left w:val="nil"/>
              <w:bottom w:val="nil"/>
              <w:right w:val="nil"/>
            </w:tcBorders>
            <w:shd w:val="clear" w:color="auto" w:fill="FFFFFF"/>
            <w:vAlign w:val="bottom"/>
          </w:tcPr>
          <w:p w14:paraId="64C7CCE6" w14:textId="77777777" w:rsidR="003D60E5" w:rsidRPr="007A5F29" w:rsidRDefault="003D60E5" w:rsidP="001659C2">
            <w:pPr>
              <w:pStyle w:val="CETBodytext"/>
              <w:ind w:right="-1"/>
              <w:jc w:val="center"/>
              <w:rPr>
                <w:rFonts w:cs="Arial"/>
                <w:szCs w:val="18"/>
                <w:lang w:val="en-GB"/>
              </w:rPr>
            </w:pPr>
            <w:r w:rsidRPr="00036E83">
              <w:rPr>
                <w:rFonts w:cs="Arial"/>
                <w:color w:val="000000"/>
                <w:szCs w:val="18"/>
                <w:lang w:eastAsia="es-ES"/>
              </w:rPr>
              <w:t>5</w:t>
            </w:r>
            <w:r>
              <w:rPr>
                <w:rFonts w:cs="Arial"/>
                <w:color w:val="000000"/>
                <w:szCs w:val="18"/>
                <w:lang w:eastAsia="es-ES"/>
              </w:rPr>
              <w:t>.</w:t>
            </w:r>
            <w:r w:rsidRPr="00036E83">
              <w:rPr>
                <w:rFonts w:cs="Arial"/>
                <w:color w:val="000000"/>
                <w:szCs w:val="18"/>
                <w:lang w:eastAsia="es-ES"/>
              </w:rPr>
              <w:t>41</w:t>
            </w:r>
          </w:p>
        </w:tc>
        <w:tc>
          <w:tcPr>
            <w:tcW w:w="1483" w:type="dxa"/>
            <w:tcBorders>
              <w:top w:val="nil"/>
              <w:left w:val="nil"/>
              <w:bottom w:val="nil"/>
              <w:right w:val="nil"/>
            </w:tcBorders>
            <w:shd w:val="clear" w:color="auto" w:fill="FFFFFF"/>
            <w:vAlign w:val="bottom"/>
          </w:tcPr>
          <w:p w14:paraId="600C8359" w14:textId="77777777" w:rsidR="003D60E5" w:rsidRPr="007A5F29" w:rsidRDefault="003D60E5" w:rsidP="001659C2">
            <w:pPr>
              <w:pStyle w:val="CETBodytext"/>
              <w:ind w:right="-1"/>
              <w:jc w:val="center"/>
              <w:rPr>
                <w:rFonts w:cs="Arial"/>
                <w:szCs w:val="18"/>
                <w:lang w:val="en-GB"/>
              </w:rPr>
            </w:pPr>
            <w:r w:rsidRPr="00036E83">
              <w:rPr>
                <w:rFonts w:cs="Arial"/>
                <w:color w:val="000000"/>
                <w:szCs w:val="18"/>
                <w:lang w:eastAsia="es-ES"/>
              </w:rPr>
              <w:t>3</w:t>
            </w:r>
            <w:r>
              <w:rPr>
                <w:rFonts w:cs="Arial"/>
                <w:color w:val="000000"/>
                <w:szCs w:val="18"/>
                <w:lang w:eastAsia="es-ES"/>
              </w:rPr>
              <w:t>.</w:t>
            </w:r>
            <w:r w:rsidRPr="00036E83">
              <w:rPr>
                <w:rFonts w:cs="Arial"/>
                <w:color w:val="000000"/>
                <w:szCs w:val="18"/>
                <w:lang w:eastAsia="es-ES"/>
              </w:rPr>
              <w:t>99</w:t>
            </w:r>
          </w:p>
        </w:tc>
      </w:tr>
      <w:tr w:rsidR="003D60E5" w:rsidRPr="007A5F29" w14:paraId="592B1C08" w14:textId="77777777" w:rsidTr="00AF462D">
        <w:tc>
          <w:tcPr>
            <w:tcW w:w="1843" w:type="dxa"/>
            <w:tcBorders>
              <w:right w:val="nil"/>
            </w:tcBorders>
            <w:shd w:val="clear" w:color="auto" w:fill="FFFFFF"/>
            <w:vAlign w:val="bottom"/>
          </w:tcPr>
          <w:p w14:paraId="3A4C3424" w14:textId="77777777" w:rsidR="003D60E5" w:rsidRPr="00036E83" w:rsidRDefault="003D60E5" w:rsidP="001659C2">
            <w:pPr>
              <w:pStyle w:val="CETBodytext"/>
              <w:ind w:right="-1"/>
              <w:rPr>
                <w:rFonts w:cs="Arial"/>
                <w:color w:val="000000"/>
                <w:szCs w:val="18"/>
                <w:lang w:eastAsia="es-ES"/>
              </w:rPr>
            </w:pPr>
            <w:r w:rsidRPr="00036E83">
              <w:rPr>
                <w:rFonts w:cs="Arial"/>
                <w:color w:val="000000"/>
                <w:szCs w:val="18"/>
                <w:lang w:eastAsia="es-ES"/>
              </w:rPr>
              <w:t>Conductivity (mS/cm)</w:t>
            </w:r>
          </w:p>
        </w:tc>
        <w:tc>
          <w:tcPr>
            <w:tcW w:w="876" w:type="dxa"/>
            <w:tcBorders>
              <w:top w:val="nil"/>
              <w:left w:val="nil"/>
              <w:bottom w:val="nil"/>
              <w:right w:val="nil"/>
            </w:tcBorders>
            <w:shd w:val="clear" w:color="auto" w:fill="FFFFFF"/>
            <w:vAlign w:val="bottom"/>
          </w:tcPr>
          <w:p w14:paraId="187911FC" w14:textId="77777777" w:rsidR="003D60E5" w:rsidRPr="007A5F29" w:rsidRDefault="003D60E5" w:rsidP="001659C2">
            <w:pPr>
              <w:pStyle w:val="CETBodytext"/>
              <w:ind w:right="-1"/>
              <w:jc w:val="center"/>
              <w:rPr>
                <w:rFonts w:cs="Arial"/>
                <w:szCs w:val="18"/>
                <w:lang w:val="en-GB"/>
              </w:rPr>
            </w:pPr>
            <w:r w:rsidRPr="00036E83">
              <w:rPr>
                <w:rFonts w:cs="Arial"/>
                <w:color w:val="000000"/>
                <w:szCs w:val="18"/>
                <w:lang w:eastAsia="es-ES"/>
              </w:rPr>
              <w:t>7</w:t>
            </w:r>
            <w:r>
              <w:rPr>
                <w:rFonts w:cs="Arial"/>
                <w:color w:val="000000"/>
                <w:szCs w:val="18"/>
                <w:lang w:eastAsia="es-ES"/>
              </w:rPr>
              <w:t>.</w:t>
            </w:r>
            <w:r w:rsidRPr="00036E83">
              <w:rPr>
                <w:rFonts w:cs="Arial"/>
                <w:color w:val="000000"/>
                <w:szCs w:val="18"/>
                <w:lang w:eastAsia="es-ES"/>
              </w:rPr>
              <w:t>42</w:t>
            </w:r>
          </w:p>
        </w:tc>
        <w:tc>
          <w:tcPr>
            <w:tcW w:w="1406" w:type="dxa"/>
            <w:tcBorders>
              <w:top w:val="nil"/>
              <w:left w:val="nil"/>
              <w:bottom w:val="nil"/>
              <w:right w:val="nil"/>
            </w:tcBorders>
            <w:shd w:val="clear" w:color="auto" w:fill="FFFFFF"/>
            <w:vAlign w:val="bottom"/>
          </w:tcPr>
          <w:p w14:paraId="77B3C044" w14:textId="77777777" w:rsidR="003D60E5" w:rsidRPr="007A5F29" w:rsidRDefault="003D60E5" w:rsidP="001659C2">
            <w:pPr>
              <w:pStyle w:val="CETBodytext"/>
              <w:ind w:right="-1"/>
              <w:jc w:val="center"/>
              <w:rPr>
                <w:rFonts w:cs="Arial"/>
                <w:szCs w:val="18"/>
                <w:lang w:val="en-GB"/>
              </w:rPr>
            </w:pPr>
            <w:r w:rsidRPr="00036E83">
              <w:rPr>
                <w:rFonts w:cs="Arial"/>
                <w:color w:val="000000"/>
                <w:szCs w:val="18"/>
                <w:lang w:eastAsia="es-ES"/>
              </w:rPr>
              <w:t>13</w:t>
            </w:r>
            <w:r>
              <w:rPr>
                <w:rFonts w:cs="Arial"/>
                <w:color w:val="000000"/>
                <w:szCs w:val="18"/>
                <w:lang w:eastAsia="es-ES"/>
              </w:rPr>
              <w:t>.</w:t>
            </w:r>
            <w:r w:rsidRPr="00036E83">
              <w:rPr>
                <w:rFonts w:cs="Arial"/>
                <w:color w:val="000000"/>
                <w:szCs w:val="18"/>
                <w:lang w:eastAsia="es-ES"/>
              </w:rPr>
              <w:t>80</w:t>
            </w:r>
          </w:p>
        </w:tc>
        <w:tc>
          <w:tcPr>
            <w:tcW w:w="1406" w:type="dxa"/>
            <w:tcBorders>
              <w:top w:val="nil"/>
              <w:left w:val="nil"/>
              <w:bottom w:val="nil"/>
              <w:right w:val="nil"/>
            </w:tcBorders>
            <w:shd w:val="clear" w:color="auto" w:fill="FFFFFF"/>
            <w:vAlign w:val="center"/>
          </w:tcPr>
          <w:p w14:paraId="45E3FB18" w14:textId="77777777" w:rsidR="003D60E5" w:rsidRPr="007A5F29" w:rsidRDefault="003D60E5" w:rsidP="001659C2">
            <w:pPr>
              <w:pStyle w:val="CETBodytext"/>
              <w:ind w:right="-1"/>
              <w:jc w:val="center"/>
              <w:rPr>
                <w:rFonts w:cs="Arial"/>
                <w:szCs w:val="18"/>
                <w:lang w:val="en-GB"/>
              </w:rPr>
            </w:pPr>
            <w:r w:rsidRPr="00036E83">
              <w:rPr>
                <w:rFonts w:cs="Arial"/>
                <w:color w:val="000000"/>
                <w:szCs w:val="18"/>
                <w:lang w:eastAsia="es-ES"/>
              </w:rPr>
              <w:t>8</w:t>
            </w:r>
            <w:r>
              <w:rPr>
                <w:rFonts w:cs="Arial"/>
                <w:color w:val="000000"/>
                <w:szCs w:val="18"/>
                <w:lang w:eastAsia="es-ES"/>
              </w:rPr>
              <w:t>.</w:t>
            </w:r>
            <w:r w:rsidRPr="00036E83">
              <w:rPr>
                <w:rFonts w:cs="Arial"/>
                <w:color w:val="000000"/>
                <w:szCs w:val="18"/>
                <w:lang w:eastAsia="es-ES"/>
              </w:rPr>
              <w:t>42</w:t>
            </w:r>
          </w:p>
        </w:tc>
        <w:tc>
          <w:tcPr>
            <w:tcW w:w="1483" w:type="dxa"/>
            <w:tcBorders>
              <w:top w:val="nil"/>
              <w:left w:val="nil"/>
              <w:bottom w:val="nil"/>
              <w:right w:val="nil"/>
            </w:tcBorders>
            <w:shd w:val="clear" w:color="auto" w:fill="FFFFFF"/>
            <w:vAlign w:val="bottom"/>
          </w:tcPr>
          <w:p w14:paraId="5624B470" w14:textId="77777777" w:rsidR="003D60E5" w:rsidRPr="007A5F29" w:rsidRDefault="003D60E5" w:rsidP="001659C2">
            <w:pPr>
              <w:pStyle w:val="CETBodytext"/>
              <w:ind w:right="-1"/>
              <w:jc w:val="center"/>
              <w:rPr>
                <w:rFonts w:cs="Arial"/>
                <w:szCs w:val="18"/>
                <w:lang w:val="en-GB"/>
              </w:rPr>
            </w:pPr>
            <w:r w:rsidRPr="00036E83">
              <w:rPr>
                <w:rFonts w:cs="Arial"/>
                <w:color w:val="000000"/>
                <w:szCs w:val="18"/>
                <w:lang w:eastAsia="es-ES"/>
              </w:rPr>
              <w:t>14</w:t>
            </w:r>
            <w:r>
              <w:rPr>
                <w:rFonts w:cs="Arial"/>
                <w:color w:val="000000"/>
                <w:szCs w:val="18"/>
                <w:lang w:eastAsia="es-ES"/>
              </w:rPr>
              <w:t>.</w:t>
            </w:r>
            <w:r w:rsidRPr="00036E83">
              <w:rPr>
                <w:rFonts w:cs="Arial"/>
                <w:color w:val="000000"/>
                <w:szCs w:val="18"/>
                <w:lang w:eastAsia="es-ES"/>
              </w:rPr>
              <w:t>78</w:t>
            </w:r>
          </w:p>
        </w:tc>
      </w:tr>
      <w:tr w:rsidR="003D60E5" w:rsidRPr="007A5F29" w14:paraId="4ABAC7C2" w14:textId="77777777" w:rsidTr="00AF462D">
        <w:tc>
          <w:tcPr>
            <w:tcW w:w="1843" w:type="dxa"/>
            <w:tcBorders>
              <w:right w:val="nil"/>
            </w:tcBorders>
            <w:shd w:val="clear" w:color="auto" w:fill="FFFFFF"/>
            <w:vAlign w:val="bottom"/>
          </w:tcPr>
          <w:p w14:paraId="65DF3599" w14:textId="77777777" w:rsidR="003D60E5" w:rsidRPr="00036E83" w:rsidRDefault="003D60E5" w:rsidP="001659C2">
            <w:pPr>
              <w:pStyle w:val="CETBodytext"/>
              <w:ind w:right="-1"/>
              <w:rPr>
                <w:rFonts w:cs="Arial"/>
                <w:color w:val="000000"/>
                <w:szCs w:val="18"/>
                <w:lang w:eastAsia="es-ES"/>
              </w:rPr>
            </w:pPr>
            <w:r w:rsidRPr="00036E83">
              <w:rPr>
                <w:rFonts w:cs="Arial"/>
                <w:color w:val="000000"/>
                <w:szCs w:val="18"/>
                <w:lang w:eastAsia="es-ES"/>
              </w:rPr>
              <w:t>TOC (g/L)</w:t>
            </w:r>
          </w:p>
        </w:tc>
        <w:tc>
          <w:tcPr>
            <w:tcW w:w="876" w:type="dxa"/>
            <w:tcBorders>
              <w:top w:val="nil"/>
              <w:left w:val="nil"/>
              <w:bottom w:val="nil"/>
              <w:right w:val="nil"/>
            </w:tcBorders>
            <w:shd w:val="clear" w:color="auto" w:fill="FFFFFF"/>
            <w:vAlign w:val="bottom"/>
          </w:tcPr>
          <w:p w14:paraId="3F180E7E" w14:textId="77777777" w:rsidR="003D60E5" w:rsidRPr="007A5F29" w:rsidRDefault="003D60E5" w:rsidP="001659C2">
            <w:pPr>
              <w:pStyle w:val="CETBodytext"/>
              <w:ind w:right="-1"/>
              <w:jc w:val="center"/>
              <w:rPr>
                <w:rFonts w:cs="Arial"/>
                <w:szCs w:val="18"/>
                <w:lang w:val="en-GB"/>
              </w:rPr>
            </w:pPr>
            <w:r w:rsidRPr="00036E83">
              <w:rPr>
                <w:rFonts w:cs="Arial"/>
                <w:color w:val="000000"/>
                <w:szCs w:val="18"/>
                <w:lang w:eastAsia="es-ES"/>
              </w:rPr>
              <w:t>33</w:t>
            </w:r>
            <w:r>
              <w:rPr>
                <w:rFonts w:cs="Arial"/>
                <w:color w:val="000000"/>
                <w:szCs w:val="18"/>
                <w:lang w:eastAsia="es-ES"/>
              </w:rPr>
              <w:t>.</w:t>
            </w:r>
            <w:r w:rsidRPr="00036E83">
              <w:rPr>
                <w:rFonts w:cs="Arial"/>
                <w:color w:val="000000"/>
                <w:szCs w:val="18"/>
                <w:lang w:eastAsia="es-ES"/>
              </w:rPr>
              <w:t>90</w:t>
            </w:r>
          </w:p>
        </w:tc>
        <w:tc>
          <w:tcPr>
            <w:tcW w:w="1406" w:type="dxa"/>
            <w:tcBorders>
              <w:top w:val="nil"/>
              <w:left w:val="nil"/>
              <w:bottom w:val="nil"/>
              <w:right w:val="nil"/>
            </w:tcBorders>
            <w:shd w:val="clear" w:color="auto" w:fill="FFFFFF"/>
            <w:vAlign w:val="bottom"/>
          </w:tcPr>
          <w:p w14:paraId="18F0BE6F" w14:textId="77777777" w:rsidR="003D60E5" w:rsidRPr="007A5F29" w:rsidRDefault="003D60E5" w:rsidP="001659C2">
            <w:pPr>
              <w:pStyle w:val="CETBodytext"/>
              <w:ind w:right="-1"/>
              <w:jc w:val="center"/>
              <w:rPr>
                <w:rFonts w:cs="Arial"/>
                <w:szCs w:val="18"/>
                <w:lang w:val="en-GB"/>
              </w:rPr>
            </w:pPr>
            <w:r w:rsidRPr="00036E83">
              <w:rPr>
                <w:rFonts w:cs="Arial"/>
                <w:color w:val="000000"/>
                <w:szCs w:val="18"/>
                <w:lang w:eastAsia="es-ES"/>
              </w:rPr>
              <w:t>22</w:t>
            </w:r>
            <w:r>
              <w:rPr>
                <w:rFonts w:cs="Arial"/>
                <w:color w:val="000000"/>
                <w:szCs w:val="18"/>
                <w:lang w:eastAsia="es-ES"/>
              </w:rPr>
              <w:t>.</w:t>
            </w:r>
            <w:r w:rsidRPr="00036E83">
              <w:rPr>
                <w:rFonts w:cs="Arial"/>
                <w:color w:val="000000"/>
                <w:szCs w:val="18"/>
                <w:lang w:eastAsia="es-ES"/>
              </w:rPr>
              <w:t>13</w:t>
            </w:r>
          </w:p>
        </w:tc>
        <w:tc>
          <w:tcPr>
            <w:tcW w:w="1406" w:type="dxa"/>
            <w:tcBorders>
              <w:top w:val="nil"/>
              <w:left w:val="nil"/>
              <w:bottom w:val="nil"/>
              <w:right w:val="nil"/>
            </w:tcBorders>
            <w:shd w:val="clear" w:color="auto" w:fill="FFFFFF"/>
            <w:vAlign w:val="bottom"/>
          </w:tcPr>
          <w:p w14:paraId="66C666D0" w14:textId="77777777" w:rsidR="003D60E5" w:rsidRPr="007A5F29" w:rsidRDefault="003D60E5" w:rsidP="001659C2">
            <w:pPr>
              <w:pStyle w:val="CETBodytext"/>
              <w:ind w:right="-1"/>
              <w:jc w:val="center"/>
              <w:rPr>
                <w:rFonts w:cs="Arial"/>
                <w:szCs w:val="18"/>
                <w:lang w:val="en-GB"/>
              </w:rPr>
            </w:pPr>
            <w:r w:rsidRPr="00036E83">
              <w:rPr>
                <w:rFonts w:cs="Arial"/>
                <w:color w:val="000000"/>
                <w:szCs w:val="18"/>
                <w:lang w:eastAsia="es-ES"/>
              </w:rPr>
              <w:t>33</w:t>
            </w:r>
            <w:r>
              <w:rPr>
                <w:rFonts w:cs="Arial"/>
                <w:color w:val="000000"/>
                <w:szCs w:val="18"/>
                <w:lang w:eastAsia="es-ES"/>
              </w:rPr>
              <w:t>.</w:t>
            </w:r>
            <w:r w:rsidRPr="00036E83">
              <w:rPr>
                <w:rFonts w:cs="Arial"/>
                <w:color w:val="000000"/>
                <w:szCs w:val="18"/>
                <w:lang w:eastAsia="es-ES"/>
              </w:rPr>
              <w:t>46</w:t>
            </w:r>
          </w:p>
        </w:tc>
        <w:tc>
          <w:tcPr>
            <w:tcW w:w="1483" w:type="dxa"/>
            <w:tcBorders>
              <w:top w:val="nil"/>
              <w:left w:val="nil"/>
              <w:bottom w:val="nil"/>
              <w:right w:val="nil"/>
            </w:tcBorders>
            <w:shd w:val="clear" w:color="auto" w:fill="FFFFFF"/>
            <w:vAlign w:val="bottom"/>
          </w:tcPr>
          <w:p w14:paraId="64632622" w14:textId="77777777" w:rsidR="003D60E5" w:rsidRPr="007A5F29" w:rsidRDefault="003D60E5" w:rsidP="001659C2">
            <w:pPr>
              <w:pStyle w:val="CETBodytext"/>
              <w:ind w:right="-1"/>
              <w:jc w:val="center"/>
              <w:rPr>
                <w:rFonts w:cs="Arial"/>
                <w:szCs w:val="18"/>
                <w:lang w:val="en-GB"/>
              </w:rPr>
            </w:pPr>
            <w:r w:rsidRPr="00036E83">
              <w:rPr>
                <w:rFonts w:cs="Arial"/>
                <w:color w:val="000000"/>
                <w:szCs w:val="18"/>
                <w:lang w:eastAsia="es-ES"/>
              </w:rPr>
              <w:t>24</w:t>
            </w:r>
            <w:r>
              <w:rPr>
                <w:rFonts w:cs="Arial"/>
                <w:color w:val="000000"/>
                <w:szCs w:val="18"/>
                <w:lang w:eastAsia="es-ES"/>
              </w:rPr>
              <w:t>.</w:t>
            </w:r>
            <w:r w:rsidRPr="00036E83">
              <w:rPr>
                <w:rFonts w:cs="Arial"/>
                <w:color w:val="000000"/>
                <w:szCs w:val="18"/>
                <w:lang w:eastAsia="es-ES"/>
              </w:rPr>
              <w:t>57</w:t>
            </w:r>
          </w:p>
        </w:tc>
      </w:tr>
      <w:tr w:rsidR="003D60E5" w:rsidRPr="007A5F29" w14:paraId="2F750D0A" w14:textId="77777777" w:rsidTr="00AF462D">
        <w:tc>
          <w:tcPr>
            <w:tcW w:w="1843" w:type="dxa"/>
            <w:tcBorders>
              <w:right w:val="nil"/>
            </w:tcBorders>
            <w:shd w:val="clear" w:color="auto" w:fill="FFFFFF"/>
            <w:vAlign w:val="bottom"/>
          </w:tcPr>
          <w:p w14:paraId="7A8E3C68" w14:textId="77777777" w:rsidR="003D60E5" w:rsidRPr="00036E83" w:rsidRDefault="003D60E5" w:rsidP="001659C2">
            <w:pPr>
              <w:pStyle w:val="CETBodytext"/>
              <w:ind w:right="-1"/>
              <w:rPr>
                <w:rFonts w:cs="Arial"/>
                <w:color w:val="000000"/>
                <w:szCs w:val="18"/>
                <w:lang w:eastAsia="es-ES"/>
              </w:rPr>
            </w:pPr>
            <w:r w:rsidRPr="00036E83">
              <w:rPr>
                <w:rFonts w:cs="Arial"/>
                <w:color w:val="000000"/>
                <w:szCs w:val="18"/>
                <w:lang w:eastAsia="es-ES"/>
              </w:rPr>
              <w:t>COD (gO</w:t>
            </w:r>
            <w:r w:rsidRPr="00047A8C">
              <w:rPr>
                <w:rFonts w:cs="Arial"/>
                <w:color w:val="000000"/>
                <w:szCs w:val="18"/>
                <w:vertAlign w:val="subscript"/>
                <w:lang w:eastAsia="es-ES"/>
              </w:rPr>
              <w:t>2</w:t>
            </w:r>
            <w:r w:rsidRPr="00036E83">
              <w:rPr>
                <w:rFonts w:cs="Arial"/>
                <w:color w:val="000000"/>
                <w:szCs w:val="18"/>
                <w:lang w:eastAsia="es-ES"/>
              </w:rPr>
              <w:t>/L)</w:t>
            </w:r>
          </w:p>
        </w:tc>
        <w:tc>
          <w:tcPr>
            <w:tcW w:w="876" w:type="dxa"/>
            <w:tcBorders>
              <w:top w:val="nil"/>
              <w:left w:val="nil"/>
              <w:bottom w:val="nil"/>
              <w:right w:val="nil"/>
            </w:tcBorders>
            <w:shd w:val="clear" w:color="auto" w:fill="FFFFFF"/>
            <w:vAlign w:val="bottom"/>
          </w:tcPr>
          <w:p w14:paraId="3DB0674E" w14:textId="77777777" w:rsidR="003D60E5" w:rsidRPr="007A5F29" w:rsidRDefault="003D60E5" w:rsidP="001659C2">
            <w:pPr>
              <w:pStyle w:val="CETBodytext"/>
              <w:ind w:right="-1"/>
              <w:jc w:val="center"/>
              <w:rPr>
                <w:rFonts w:cs="Arial"/>
                <w:szCs w:val="18"/>
                <w:lang w:val="en-GB"/>
              </w:rPr>
            </w:pPr>
            <w:r w:rsidRPr="00036E83">
              <w:rPr>
                <w:rFonts w:cs="Arial"/>
                <w:color w:val="000000"/>
                <w:szCs w:val="18"/>
                <w:lang w:eastAsia="es-ES"/>
              </w:rPr>
              <w:t>117</w:t>
            </w:r>
            <w:r>
              <w:rPr>
                <w:rFonts w:cs="Arial"/>
                <w:color w:val="000000"/>
                <w:szCs w:val="18"/>
                <w:lang w:eastAsia="es-ES"/>
              </w:rPr>
              <w:t>.</w:t>
            </w:r>
            <w:r w:rsidRPr="00036E83">
              <w:rPr>
                <w:rFonts w:cs="Arial"/>
                <w:color w:val="000000"/>
                <w:szCs w:val="18"/>
                <w:lang w:eastAsia="es-ES"/>
              </w:rPr>
              <w:t>59</w:t>
            </w:r>
          </w:p>
        </w:tc>
        <w:tc>
          <w:tcPr>
            <w:tcW w:w="1406" w:type="dxa"/>
            <w:tcBorders>
              <w:top w:val="nil"/>
              <w:left w:val="nil"/>
              <w:bottom w:val="nil"/>
              <w:right w:val="nil"/>
            </w:tcBorders>
            <w:shd w:val="clear" w:color="auto" w:fill="FFFFFF"/>
            <w:vAlign w:val="bottom"/>
          </w:tcPr>
          <w:p w14:paraId="3377E930" w14:textId="77777777" w:rsidR="003D60E5" w:rsidRPr="007A5F29" w:rsidRDefault="003D60E5" w:rsidP="001659C2">
            <w:pPr>
              <w:pStyle w:val="CETBodytext"/>
              <w:ind w:right="-1"/>
              <w:jc w:val="center"/>
              <w:rPr>
                <w:rFonts w:cs="Arial"/>
                <w:szCs w:val="18"/>
                <w:lang w:val="en-GB"/>
              </w:rPr>
            </w:pPr>
            <w:r w:rsidRPr="00036E83">
              <w:rPr>
                <w:rFonts w:cs="Arial"/>
                <w:color w:val="000000"/>
                <w:szCs w:val="18"/>
                <w:lang w:eastAsia="es-ES"/>
              </w:rPr>
              <w:t>82</w:t>
            </w:r>
            <w:r>
              <w:rPr>
                <w:rFonts w:cs="Arial"/>
                <w:color w:val="000000"/>
                <w:szCs w:val="18"/>
                <w:lang w:eastAsia="es-ES"/>
              </w:rPr>
              <w:t>.</w:t>
            </w:r>
            <w:r w:rsidRPr="00036E83">
              <w:rPr>
                <w:rFonts w:cs="Arial"/>
                <w:color w:val="000000"/>
                <w:szCs w:val="18"/>
                <w:lang w:eastAsia="es-ES"/>
              </w:rPr>
              <w:t>55</w:t>
            </w:r>
          </w:p>
        </w:tc>
        <w:tc>
          <w:tcPr>
            <w:tcW w:w="1406" w:type="dxa"/>
            <w:tcBorders>
              <w:top w:val="nil"/>
              <w:left w:val="nil"/>
              <w:bottom w:val="nil"/>
              <w:right w:val="nil"/>
            </w:tcBorders>
            <w:shd w:val="clear" w:color="auto" w:fill="FFFFFF"/>
            <w:vAlign w:val="bottom"/>
          </w:tcPr>
          <w:p w14:paraId="1A39A5B7" w14:textId="77777777" w:rsidR="003D60E5" w:rsidRPr="007A5F29" w:rsidRDefault="003D60E5" w:rsidP="001659C2">
            <w:pPr>
              <w:pStyle w:val="CETBodytext"/>
              <w:ind w:right="-1"/>
              <w:jc w:val="center"/>
              <w:rPr>
                <w:rFonts w:cs="Arial"/>
                <w:szCs w:val="18"/>
                <w:lang w:val="en-GB"/>
              </w:rPr>
            </w:pPr>
            <w:r w:rsidRPr="00036E83">
              <w:rPr>
                <w:rFonts w:cs="Arial"/>
                <w:color w:val="000000"/>
                <w:szCs w:val="18"/>
                <w:lang w:eastAsia="es-ES"/>
              </w:rPr>
              <w:t>116</w:t>
            </w:r>
            <w:r>
              <w:rPr>
                <w:rFonts w:cs="Arial"/>
                <w:color w:val="000000"/>
                <w:szCs w:val="18"/>
                <w:lang w:eastAsia="es-ES"/>
              </w:rPr>
              <w:t>.</w:t>
            </w:r>
            <w:r w:rsidRPr="00036E83">
              <w:rPr>
                <w:rFonts w:cs="Arial"/>
                <w:color w:val="000000"/>
                <w:szCs w:val="18"/>
                <w:lang w:eastAsia="es-ES"/>
              </w:rPr>
              <w:t>90</w:t>
            </w:r>
          </w:p>
        </w:tc>
        <w:tc>
          <w:tcPr>
            <w:tcW w:w="1483" w:type="dxa"/>
            <w:tcBorders>
              <w:top w:val="nil"/>
              <w:left w:val="nil"/>
              <w:bottom w:val="nil"/>
              <w:right w:val="nil"/>
            </w:tcBorders>
            <w:shd w:val="clear" w:color="auto" w:fill="FFFFFF"/>
            <w:vAlign w:val="bottom"/>
          </w:tcPr>
          <w:p w14:paraId="309717B3" w14:textId="77777777" w:rsidR="003D60E5" w:rsidRPr="007A5F29" w:rsidRDefault="003D60E5" w:rsidP="001659C2">
            <w:pPr>
              <w:pStyle w:val="CETBodytext"/>
              <w:ind w:right="-1"/>
              <w:jc w:val="center"/>
              <w:rPr>
                <w:rFonts w:cs="Arial"/>
                <w:szCs w:val="18"/>
                <w:lang w:val="en-GB"/>
              </w:rPr>
            </w:pPr>
            <w:r w:rsidRPr="00036E83">
              <w:rPr>
                <w:rFonts w:cs="Arial"/>
                <w:color w:val="000000"/>
                <w:szCs w:val="18"/>
                <w:lang w:eastAsia="es-ES"/>
              </w:rPr>
              <w:t>85</w:t>
            </w:r>
            <w:r>
              <w:rPr>
                <w:rFonts w:cs="Arial"/>
                <w:color w:val="000000"/>
                <w:szCs w:val="18"/>
                <w:lang w:eastAsia="es-ES"/>
              </w:rPr>
              <w:t>.</w:t>
            </w:r>
            <w:r w:rsidRPr="00036E83">
              <w:rPr>
                <w:rFonts w:cs="Arial"/>
                <w:color w:val="000000"/>
                <w:szCs w:val="18"/>
                <w:lang w:eastAsia="es-ES"/>
              </w:rPr>
              <w:t>25</w:t>
            </w:r>
          </w:p>
        </w:tc>
      </w:tr>
      <w:tr w:rsidR="003D60E5" w:rsidRPr="007A5F29" w14:paraId="79241979" w14:textId="77777777" w:rsidTr="00AF462D">
        <w:tc>
          <w:tcPr>
            <w:tcW w:w="1843" w:type="dxa"/>
            <w:tcBorders>
              <w:right w:val="nil"/>
            </w:tcBorders>
            <w:shd w:val="clear" w:color="auto" w:fill="FFFFFF"/>
            <w:vAlign w:val="bottom"/>
          </w:tcPr>
          <w:p w14:paraId="3881F866" w14:textId="77777777" w:rsidR="003D60E5" w:rsidRPr="00036E83" w:rsidRDefault="003D60E5" w:rsidP="001659C2">
            <w:pPr>
              <w:pStyle w:val="CETBodytext"/>
              <w:ind w:right="-1"/>
              <w:rPr>
                <w:rFonts w:cs="Arial"/>
                <w:color w:val="000000"/>
                <w:szCs w:val="18"/>
                <w:lang w:eastAsia="es-ES"/>
              </w:rPr>
            </w:pPr>
            <w:r w:rsidRPr="00036E83">
              <w:rPr>
                <w:rFonts w:cs="Arial"/>
                <w:color w:val="000000"/>
                <w:szCs w:val="18"/>
                <w:lang w:eastAsia="es-ES"/>
              </w:rPr>
              <w:t>Crude-oil yield (%)</w:t>
            </w:r>
          </w:p>
        </w:tc>
        <w:tc>
          <w:tcPr>
            <w:tcW w:w="2282" w:type="dxa"/>
            <w:gridSpan w:val="2"/>
            <w:tcBorders>
              <w:top w:val="nil"/>
              <w:left w:val="nil"/>
              <w:bottom w:val="nil"/>
              <w:right w:val="nil"/>
            </w:tcBorders>
            <w:shd w:val="clear" w:color="auto" w:fill="FFFFFF"/>
            <w:vAlign w:val="bottom"/>
          </w:tcPr>
          <w:p w14:paraId="6D232AA2" w14:textId="77777777" w:rsidR="003D60E5" w:rsidRPr="007A5F29" w:rsidRDefault="003D60E5" w:rsidP="001659C2">
            <w:pPr>
              <w:pStyle w:val="CETBodytext"/>
              <w:ind w:right="-1"/>
              <w:jc w:val="center"/>
              <w:rPr>
                <w:rFonts w:cs="Arial"/>
                <w:szCs w:val="18"/>
                <w:lang w:val="en-GB"/>
              </w:rPr>
            </w:pPr>
            <w:r w:rsidRPr="00036E83">
              <w:rPr>
                <w:rFonts w:cs="Arial"/>
                <w:color w:val="000000"/>
                <w:szCs w:val="18"/>
                <w:lang w:eastAsia="es-ES"/>
              </w:rPr>
              <w:t>7</w:t>
            </w:r>
            <w:r>
              <w:rPr>
                <w:rFonts w:cs="Arial"/>
                <w:color w:val="000000"/>
                <w:szCs w:val="18"/>
                <w:lang w:eastAsia="es-ES"/>
              </w:rPr>
              <w:t>.</w:t>
            </w:r>
            <w:r w:rsidRPr="00036E83">
              <w:rPr>
                <w:rFonts w:cs="Arial"/>
                <w:color w:val="000000"/>
                <w:szCs w:val="18"/>
                <w:lang w:eastAsia="es-ES"/>
              </w:rPr>
              <w:t>03</w:t>
            </w:r>
          </w:p>
        </w:tc>
        <w:tc>
          <w:tcPr>
            <w:tcW w:w="2889" w:type="dxa"/>
            <w:gridSpan w:val="2"/>
            <w:tcBorders>
              <w:top w:val="nil"/>
              <w:left w:val="nil"/>
              <w:bottom w:val="nil"/>
              <w:right w:val="nil"/>
            </w:tcBorders>
            <w:shd w:val="clear" w:color="auto" w:fill="FFFFFF"/>
            <w:vAlign w:val="bottom"/>
          </w:tcPr>
          <w:p w14:paraId="792770EC" w14:textId="77777777" w:rsidR="003D60E5" w:rsidRPr="007A5F29" w:rsidRDefault="003D60E5" w:rsidP="001659C2">
            <w:pPr>
              <w:pStyle w:val="CETBodytext"/>
              <w:ind w:right="-1"/>
              <w:jc w:val="center"/>
              <w:rPr>
                <w:rFonts w:cs="Arial"/>
                <w:szCs w:val="18"/>
                <w:lang w:val="en-GB"/>
              </w:rPr>
            </w:pPr>
            <w:r w:rsidRPr="00036E83">
              <w:rPr>
                <w:rFonts w:cs="Arial"/>
                <w:color w:val="000000"/>
                <w:szCs w:val="18"/>
                <w:lang w:eastAsia="es-ES"/>
              </w:rPr>
              <w:t>7</w:t>
            </w:r>
            <w:r>
              <w:rPr>
                <w:rFonts w:cs="Arial"/>
                <w:color w:val="000000"/>
                <w:szCs w:val="18"/>
                <w:lang w:eastAsia="es-ES"/>
              </w:rPr>
              <w:t>.</w:t>
            </w:r>
            <w:r w:rsidRPr="00036E83">
              <w:rPr>
                <w:rFonts w:cs="Arial"/>
                <w:color w:val="000000"/>
                <w:szCs w:val="18"/>
                <w:lang w:eastAsia="es-ES"/>
              </w:rPr>
              <w:t>20</w:t>
            </w:r>
          </w:p>
        </w:tc>
      </w:tr>
      <w:tr w:rsidR="003D60E5" w:rsidRPr="007A5F29" w14:paraId="2CB66880" w14:textId="77777777" w:rsidTr="00AF462D">
        <w:tc>
          <w:tcPr>
            <w:tcW w:w="1843" w:type="dxa"/>
            <w:tcBorders>
              <w:right w:val="nil"/>
            </w:tcBorders>
            <w:shd w:val="clear" w:color="auto" w:fill="FFFFFF"/>
            <w:vAlign w:val="bottom"/>
          </w:tcPr>
          <w:p w14:paraId="78F22E04" w14:textId="77777777" w:rsidR="003D60E5" w:rsidRPr="00036E83" w:rsidRDefault="003D60E5" w:rsidP="001659C2">
            <w:pPr>
              <w:pStyle w:val="CETBodytext"/>
              <w:ind w:right="-1"/>
              <w:rPr>
                <w:rFonts w:cs="Arial"/>
                <w:color w:val="000000"/>
                <w:szCs w:val="18"/>
                <w:lang w:eastAsia="es-ES"/>
              </w:rPr>
            </w:pPr>
            <w:r w:rsidRPr="00036E83">
              <w:rPr>
                <w:rFonts w:cs="Arial"/>
                <w:color w:val="000000"/>
                <w:szCs w:val="18"/>
                <w:lang w:eastAsia="es-ES"/>
              </w:rPr>
              <w:t>Char yield (%)</w:t>
            </w:r>
          </w:p>
        </w:tc>
        <w:tc>
          <w:tcPr>
            <w:tcW w:w="2282" w:type="dxa"/>
            <w:gridSpan w:val="2"/>
            <w:tcBorders>
              <w:top w:val="nil"/>
              <w:left w:val="nil"/>
              <w:bottom w:val="nil"/>
              <w:right w:val="nil"/>
            </w:tcBorders>
            <w:shd w:val="clear" w:color="auto" w:fill="FFFFFF"/>
            <w:vAlign w:val="bottom"/>
          </w:tcPr>
          <w:p w14:paraId="7DDC416A" w14:textId="77777777" w:rsidR="003D60E5" w:rsidRPr="007A5F29" w:rsidRDefault="003D60E5" w:rsidP="001659C2">
            <w:pPr>
              <w:pStyle w:val="CETBodytext"/>
              <w:ind w:right="-1"/>
              <w:jc w:val="center"/>
              <w:rPr>
                <w:rFonts w:cs="Arial"/>
                <w:szCs w:val="18"/>
                <w:lang w:val="en-GB"/>
              </w:rPr>
            </w:pPr>
            <w:r w:rsidRPr="00036E83">
              <w:rPr>
                <w:rFonts w:cs="Arial"/>
                <w:color w:val="000000"/>
                <w:szCs w:val="18"/>
                <w:lang w:eastAsia="es-ES"/>
              </w:rPr>
              <w:t>0</w:t>
            </w:r>
            <w:r>
              <w:rPr>
                <w:rFonts w:cs="Arial"/>
                <w:color w:val="000000"/>
                <w:szCs w:val="18"/>
                <w:lang w:eastAsia="es-ES"/>
              </w:rPr>
              <w:t>.</w:t>
            </w:r>
            <w:r w:rsidRPr="00036E83">
              <w:rPr>
                <w:rFonts w:cs="Arial"/>
                <w:color w:val="000000"/>
                <w:szCs w:val="18"/>
                <w:lang w:eastAsia="es-ES"/>
              </w:rPr>
              <w:t>08</w:t>
            </w:r>
          </w:p>
        </w:tc>
        <w:tc>
          <w:tcPr>
            <w:tcW w:w="2889" w:type="dxa"/>
            <w:gridSpan w:val="2"/>
            <w:tcBorders>
              <w:top w:val="nil"/>
              <w:left w:val="nil"/>
              <w:bottom w:val="nil"/>
              <w:right w:val="nil"/>
            </w:tcBorders>
            <w:shd w:val="clear" w:color="auto" w:fill="FFFFFF"/>
            <w:vAlign w:val="bottom"/>
          </w:tcPr>
          <w:p w14:paraId="05C68A5B" w14:textId="77777777" w:rsidR="003D60E5" w:rsidRPr="007A5F29" w:rsidRDefault="003D60E5" w:rsidP="001659C2">
            <w:pPr>
              <w:pStyle w:val="CETBodytext"/>
              <w:ind w:right="-1"/>
              <w:jc w:val="center"/>
              <w:rPr>
                <w:rFonts w:cs="Arial"/>
                <w:szCs w:val="18"/>
                <w:lang w:val="en-GB"/>
              </w:rPr>
            </w:pPr>
            <w:r w:rsidRPr="00036E83">
              <w:rPr>
                <w:rFonts w:cs="Arial"/>
                <w:color w:val="000000"/>
                <w:szCs w:val="18"/>
                <w:lang w:eastAsia="es-ES"/>
              </w:rPr>
              <w:t>0</w:t>
            </w:r>
            <w:r>
              <w:rPr>
                <w:rFonts w:cs="Arial"/>
                <w:color w:val="000000"/>
                <w:szCs w:val="18"/>
                <w:lang w:eastAsia="es-ES"/>
              </w:rPr>
              <w:t>.0</w:t>
            </w:r>
            <w:r w:rsidRPr="00036E83">
              <w:rPr>
                <w:rFonts w:cs="Arial"/>
                <w:color w:val="000000"/>
                <w:szCs w:val="18"/>
                <w:lang w:eastAsia="es-ES"/>
              </w:rPr>
              <w:t>6</w:t>
            </w:r>
          </w:p>
        </w:tc>
      </w:tr>
      <w:tr w:rsidR="003D60E5" w:rsidRPr="007A5F29" w14:paraId="2EFAAC74" w14:textId="77777777" w:rsidTr="00AF462D">
        <w:tc>
          <w:tcPr>
            <w:tcW w:w="1843" w:type="dxa"/>
            <w:tcBorders>
              <w:right w:val="nil"/>
            </w:tcBorders>
            <w:shd w:val="clear" w:color="auto" w:fill="FFFFFF"/>
            <w:vAlign w:val="bottom"/>
          </w:tcPr>
          <w:p w14:paraId="6CD3CD1D" w14:textId="77777777" w:rsidR="003D60E5" w:rsidRPr="00036E83" w:rsidRDefault="003D60E5" w:rsidP="001659C2">
            <w:pPr>
              <w:pStyle w:val="CETBodytext"/>
              <w:ind w:right="-1"/>
              <w:rPr>
                <w:rFonts w:cs="Arial"/>
                <w:color w:val="000000"/>
                <w:szCs w:val="18"/>
                <w:lang w:eastAsia="es-ES"/>
              </w:rPr>
            </w:pPr>
            <w:r w:rsidRPr="00036E83">
              <w:rPr>
                <w:rFonts w:cs="Arial"/>
                <w:color w:val="000000"/>
                <w:szCs w:val="18"/>
                <w:lang w:eastAsia="es-ES"/>
              </w:rPr>
              <w:t>H.H.V (cal/g)</w:t>
            </w:r>
          </w:p>
        </w:tc>
        <w:tc>
          <w:tcPr>
            <w:tcW w:w="2282" w:type="dxa"/>
            <w:gridSpan w:val="2"/>
            <w:tcBorders>
              <w:top w:val="nil"/>
              <w:left w:val="nil"/>
              <w:bottom w:val="nil"/>
              <w:right w:val="nil"/>
            </w:tcBorders>
            <w:shd w:val="clear" w:color="auto" w:fill="FFFFFF"/>
            <w:vAlign w:val="bottom"/>
          </w:tcPr>
          <w:p w14:paraId="1470D0D7" w14:textId="77777777" w:rsidR="003D60E5" w:rsidRPr="007A5F29" w:rsidRDefault="003D60E5" w:rsidP="001659C2">
            <w:pPr>
              <w:pStyle w:val="CETBodytext"/>
              <w:ind w:right="-1"/>
              <w:jc w:val="center"/>
              <w:rPr>
                <w:rFonts w:cs="Arial"/>
                <w:szCs w:val="18"/>
                <w:lang w:val="en-GB"/>
              </w:rPr>
            </w:pPr>
            <w:r w:rsidRPr="00036E83">
              <w:rPr>
                <w:rFonts w:cs="Arial"/>
                <w:color w:val="000000"/>
                <w:szCs w:val="18"/>
                <w:lang w:eastAsia="es-ES"/>
              </w:rPr>
              <w:t>8</w:t>
            </w:r>
            <w:r>
              <w:rPr>
                <w:rFonts w:cs="Arial"/>
                <w:color w:val="000000"/>
                <w:szCs w:val="18"/>
                <w:lang w:eastAsia="es-ES"/>
              </w:rPr>
              <w:t>,</w:t>
            </w:r>
            <w:r w:rsidRPr="00036E83">
              <w:rPr>
                <w:rFonts w:cs="Arial"/>
                <w:color w:val="000000"/>
                <w:szCs w:val="18"/>
                <w:lang w:eastAsia="es-ES"/>
              </w:rPr>
              <w:t>382</w:t>
            </w:r>
          </w:p>
        </w:tc>
        <w:tc>
          <w:tcPr>
            <w:tcW w:w="2889" w:type="dxa"/>
            <w:gridSpan w:val="2"/>
            <w:tcBorders>
              <w:top w:val="nil"/>
              <w:left w:val="nil"/>
              <w:bottom w:val="nil"/>
              <w:right w:val="nil"/>
            </w:tcBorders>
            <w:shd w:val="clear" w:color="auto" w:fill="FFFFFF"/>
            <w:vAlign w:val="bottom"/>
          </w:tcPr>
          <w:p w14:paraId="470892F5" w14:textId="77777777" w:rsidR="003D60E5" w:rsidRPr="007A5F29" w:rsidRDefault="003D60E5" w:rsidP="001659C2">
            <w:pPr>
              <w:pStyle w:val="CETBodytext"/>
              <w:ind w:right="-1"/>
              <w:jc w:val="center"/>
              <w:rPr>
                <w:rFonts w:cs="Arial"/>
                <w:szCs w:val="18"/>
                <w:lang w:val="en-GB"/>
              </w:rPr>
            </w:pPr>
            <w:r w:rsidRPr="00036E83">
              <w:rPr>
                <w:rFonts w:cs="Arial"/>
                <w:color w:val="000000"/>
                <w:szCs w:val="18"/>
                <w:lang w:eastAsia="es-ES"/>
              </w:rPr>
              <w:t>8</w:t>
            </w:r>
            <w:r>
              <w:rPr>
                <w:rFonts w:cs="Arial"/>
                <w:color w:val="000000"/>
                <w:szCs w:val="18"/>
                <w:lang w:eastAsia="es-ES"/>
              </w:rPr>
              <w:t>,</w:t>
            </w:r>
            <w:r w:rsidRPr="00036E83">
              <w:rPr>
                <w:rFonts w:cs="Arial"/>
                <w:color w:val="000000"/>
                <w:szCs w:val="18"/>
                <w:lang w:eastAsia="es-ES"/>
              </w:rPr>
              <w:t>38</w:t>
            </w:r>
            <w:r>
              <w:rPr>
                <w:rFonts w:cs="Arial"/>
                <w:color w:val="000000"/>
                <w:szCs w:val="18"/>
                <w:lang w:eastAsia="es-ES"/>
              </w:rPr>
              <w:t>1</w:t>
            </w:r>
          </w:p>
        </w:tc>
      </w:tr>
      <w:tr w:rsidR="003D60E5" w:rsidRPr="007A5F29" w14:paraId="6BDF54C1" w14:textId="77777777" w:rsidTr="00AF462D">
        <w:tc>
          <w:tcPr>
            <w:tcW w:w="1843" w:type="dxa"/>
            <w:shd w:val="clear" w:color="auto" w:fill="FFFFFF"/>
            <w:vAlign w:val="bottom"/>
          </w:tcPr>
          <w:p w14:paraId="61B6A3BF" w14:textId="77777777" w:rsidR="003D60E5" w:rsidRPr="00036E83" w:rsidRDefault="003D60E5" w:rsidP="001659C2">
            <w:pPr>
              <w:pStyle w:val="CETBodytext"/>
              <w:ind w:right="-1"/>
              <w:rPr>
                <w:rFonts w:cs="Arial"/>
                <w:color w:val="000000"/>
                <w:szCs w:val="18"/>
                <w:lang w:eastAsia="es-ES"/>
              </w:rPr>
            </w:pPr>
            <w:r w:rsidRPr="00036E83">
              <w:rPr>
                <w:rFonts w:cs="Arial"/>
                <w:color w:val="000000"/>
                <w:szCs w:val="18"/>
                <w:lang w:eastAsia="es-ES"/>
              </w:rPr>
              <w:t>Ashes (% wt)</w:t>
            </w:r>
          </w:p>
        </w:tc>
        <w:tc>
          <w:tcPr>
            <w:tcW w:w="2282" w:type="dxa"/>
            <w:gridSpan w:val="2"/>
            <w:tcBorders>
              <w:top w:val="nil"/>
            </w:tcBorders>
            <w:shd w:val="clear" w:color="auto" w:fill="FFFFFF"/>
            <w:vAlign w:val="bottom"/>
          </w:tcPr>
          <w:p w14:paraId="36B4CCC6" w14:textId="77777777" w:rsidR="003D60E5" w:rsidRPr="007A5F29" w:rsidRDefault="003D60E5" w:rsidP="001659C2">
            <w:pPr>
              <w:pStyle w:val="CETBodytext"/>
              <w:ind w:right="-1"/>
              <w:jc w:val="center"/>
              <w:rPr>
                <w:rFonts w:cs="Arial"/>
                <w:szCs w:val="18"/>
                <w:lang w:val="en-GB"/>
              </w:rPr>
            </w:pPr>
            <w:r w:rsidRPr="00036E83">
              <w:rPr>
                <w:rFonts w:cs="Arial"/>
                <w:color w:val="000000"/>
                <w:szCs w:val="18"/>
                <w:lang w:eastAsia="es-ES"/>
              </w:rPr>
              <w:t>1</w:t>
            </w:r>
            <w:r>
              <w:rPr>
                <w:rFonts w:cs="Arial"/>
                <w:color w:val="000000"/>
                <w:szCs w:val="18"/>
                <w:lang w:eastAsia="es-ES"/>
              </w:rPr>
              <w:t>.</w:t>
            </w:r>
            <w:r w:rsidRPr="00036E83">
              <w:rPr>
                <w:rFonts w:cs="Arial"/>
                <w:color w:val="000000"/>
                <w:szCs w:val="18"/>
                <w:lang w:eastAsia="es-ES"/>
              </w:rPr>
              <w:t>95</w:t>
            </w:r>
          </w:p>
        </w:tc>
        <w:tc>
          <w:tcPr>
            <w:tcW w:w="2889" w:type="dxa"/>
            <w:gridSpan w:val="2"/>
            <w:tcBorders>
              <w:top w:val="nil"/>
            </w:tcBorders>
            <w:shd w:val="clear" w:color="auto" w:fill="FFFFFF"/>
            <w:vAlign w:val="bottom"/>
          </w:tcPr>
          <w:p w14:paraId="5120A178" w14:textId="77777777" w:rsidR="003D60E5" w:rsidRPr="007A5F29" w:rsidRDefault="003D60E5" w:rsidP="001659C2">
            <w:pPr>
              <w:pStyle w:val="CETBodytext"/>
              <w:ind w:right="-1"/>
              <w:jc w:val="center"/>
              <w:rPr>
                <w:rFonts w:cs="Arial"/>
                <w:szCs w:val="18"/>
                <w:lang w:val="en-GB"/>
              </w:rPr>
            </w:pPr>
            <w:r w:rsidRPr="00036E83">
              <w:rPr>
                <w:rFonts w:cs="Arial"/>
                <w:color w:val="000000"/>
                <w:szCs w:val="18"/>
                <w:lang w:eastAsia="es-ES"/>
              </w:rPr>
              <w:t>1</w:t>
            </w:r>
            <w:r>
              <w:rPr>
                <w:rFonts w:cs="Arial"/>
                <w:color w:val="000000"/>
                <w:szCs w:val="18"/>
                <w:lang w:eastAsia="es-ES"/>
              </w:rPr>
              <w:t>.</w:t>
            </w:r>
            <w:r w:rsidRPr="00036E83">
              <w:rPr>
                <w:rFonts w:cs="Arial"/>
                <w:color w:val="000000"/>
                <w:szCs w:val="18"/>
                <w:lang w:eastAsia="es-ES"/>
              </w:rPr>
              <w:t>90</w:t>
            </w:r>
          </w:p>
        </w:tc>
      </w:tr>
    </w:tbl>
    <w:p w14:paraId="71C359FC" w14:textId="77777777" w:rsidR="003D60E5" w:rsidRPr="00AD2C6D" w:rsidRDefault="003D60E5" w:rsidP="003D60E5"/>
    <w:p w14:paraId="34F4A298" w14:textId="40A3493E" w:rsidR="003D60E5" w:rsidRDefault="003D60E5" w:rsidP="003D60E5">
      <w:pPr>
        <w:pStyle w:val="CETBodytext"/>
      </w:pPr>
      <w:r>
        <w:t>Ozonation affects the pH in the pre-treated feed, but that effect is negligible when comparing the effluents. O</w:t>
      </w:r>
      <w:r w:rsidRPr="00114564">
        <w:rPr>
          <w:vertAlign w:val="subscript"/>
        </w:rPr>
        <w:t>3</w:t>
      </w:r>
      <w:r w:rsidRPr="00114564">
        <w:t xml:space="preserve"> </w:t>
      </w:r>
      <w:r>
        <w:t>pre-treatment reduces the feed pH by 0.6 units, while the effluents in HTL0 and HTL1 are quite similar (there is only a pH decrease of 0.18 units). The effect of ozone on the pH of the feed may be explained by the hydrolysis reactions and breaking of double bonds in the molecules that occur, as well as oxidation of intermediate carbons. However, it is discarded that ozone has affected inorganic components, i.e., CaCO</w:t>
      </w:r>
      <w:r w:rsidRPr="00114564">
        <w:rPr>
          <w:vertAlign w:val="subscript"/>
        </w:rPr>
        <w:t>3</w:t>
      </w:r>
      <w:r>
        <w:t xml:space="preserve">, as no inorganic carbon was detected in the feed. Despite the use or not of ozone, both HTL effluents end up at pH around 4, slightly acidic, due to the HTL reactions that acidify the medium. </w:t>
      </w:r>
      <w:r w:rsidR="00AF462D">
        <w:t xml:space="preserve"> </w:t>
      </w:r>
      <w:r>
        <w:t xml:space="preserve">There is an increase in the conductivity of the ozonated feed from 7.42 mS/cm to 8.42 mS/cm. </w:t>
      </w:r>
      <w:r w:rsidR="00AD0554">
        <w:t>The presence of sulphates, nitrates, and phosphates in the surfactant residue increases the conductivity as mineralization occurs. In the case of the</w:t>
      </w:r>
      <w:r>
        <w:t xml:space="preserve"> effluents, the experiment that was not ozone treated is 13.8 mS/cm, while the experiment that was ozonated is 14.8 mS/cm. There is variability, although ozone does not seem to substantially alter the conductivity of the feed. In contrast, HTL </w:t>
      </w:r>
      <w:r w:rsidRPr="004D75CC">
        <w:t>increases the effluent conductivity to almost double in all cases</w:t>
      </w:r>
      <w:r>
        <w:t>.</w:t>
      </w:r>
      <w:r w:rsidR="00AF462D">
        <w:t xml:space="preserve"> </w:t>
      </w:r>
      <w:r>
        <w:t>For the raw feed, the TOC results were 33,90 mgC/L and 33,46 mgC/L when ozonated. The difference is insignificant, so ozonation does not seem to affect the feed TOC. Th</w:t>
      </w:r>
      <w:r w:rsidR="00AD0554">
        <w:t>i</w:t>
      </w:r>
      <w:r>
        <w:t xml:space="preserve">t is the desired behavior because the objective is to not reduce the </w:t>
      </w:r>
      <w:r w:rsidR="00AD0554">
        <w:t>organic carbon</w:t>
      </w:r>
      <w:r>
        <w:t>, to later be converted to crude-oil. The same cannot be said for the effluent from the ozonated feed because exists enough variability (3,896 units) that overlaps the range of the ozonated feed, making it impossible to draw a reliable conclusion.</w:t>
      </w:r>
    </w:p>
    <w:p w14:paraId="0D4A429A" w14:textId="4A8702B7" w:rsidR="003D60E5" w:rsidRDefault="003D60E5" w:rsidP="003D60E5">
      <w:pPr>
        <w:pStyle w:val="CETBodytext"/>
      </w:pPr>
      <w:r>
        <w:lastRenderedPageBreak/>
        <w:t>Despite the large variability in the COD of each replicate, the conversion that occurs when feed is subjected to HTL is very similar, 30% for the non-ozonated waste and 27% for the ozonated waste. It does not seem to be affected by pre-treatment at HTL.</w:t>
      </w:r>
      <w:r w:rsidR="00AF462D">
        <w:t xml:space="preserve"> </w:t>
      </w:r>
      <w:r>
        <w:t xml:space="preserve">The average crude yields appear to be slightly higher when pre-treatment is applied (+0.17%); however, the variability between replicates was high, so it cannot be assured that it has a noticeable effect on the HTL reaction as in previous sections. This may be a consequence of the numerous steps involved in the production method and the small volumes of crude-oil generated in each experiment. In terms of generated char, less filters were needed in the cases where ozone pre-treatment was used (from four to one), reducing the char by 25% and presenting smaller particle sizes retained by the filters. This behavior is similar to </w:t>
      </w:r>
      <w:r w:rsidRPr="0082392D">
        <w:t xml:space="preserve">the observed changes </w:t>
      </w:r>
      <w:r>
        <w:t>in</w:t>
      </w:r>
      <w:r w:rsidRPr="0082392D">
        <w:t xml:space="preserve"> the </w:t>
      </w:r>
      <w:r>
        <w:t xml:space="preserve">sludge dewatering index after treatment with ozone </w:t>
      </w:r>
      <w:r>
        <w:fldChar w:fldCharType="begin" w:fldLock="1"/>
      </w:r>
      <w:r w:rsidR="001D4F51">
        <w:instrText>ADDIN CSL_CITATION {"citationItems":[{"id":"ITEM-1","itemData":{"DOI":"10.3390/su12030886","ISSN":"20711050","abstract":"Due to a variety of physicochemical properties of the sewage sludge the selection of proper methods for its stabilization is difficult. In this work, the effect of ozone treatment on physico-chemical and microbiological parameters of sludge was investigated. Ozonation was carried out using a counter-current bed reactor, which ensures optimal mass transfer and the contact time of ozone with excessive sediment. The ozonation process was carried out for 15, 30, 45 and 60 min at an ozone concentration of 90-110 ppm. As a result of the ozone treatment it was possible to reduce the number of colony forming units. Also the potential for dewatering of the sludge improved while the total solids of the sludge did not change. The values of COD and BOD5 increased with time of the process.","author":[{"dropping-particle":"","family":"Kosowski","given":"Patryk","non-dropping-particle":"","parse-names":false,"suffix":""},{"dropping-particle":"","family":"Szostek","given":"Małgorzata","non-dropping-particle":"","parse-names":false,"suffix":""},{"dropping-particle":"","family":"Pieniazek","given":"Rafał","non-dropping-particle":"","parse-names":false,"suffix":""},{"dropping-particle":"","family":"Antos","given":"Piotr","non-dropping-particle":"","parse-names":false,"suffix":""},{"dropping-particle":"","family":"Skrobacz","given":"Karol","non-dropping-particle":"","parse-names":false,"suffix":""},{"dropping-particle":"","family":"Piechowiak","given":"Tomasz","non-dropping-particle":"","parse-names":false,"suffix":""},{"dropping-particle":"","family":"Zaczek","given":"Anna","non-dropping-particle":"","parse-names":false,"suffix":""},{"dropping-particle":"","family":"Józefczyk","given":"Radosław","non-dropping-particle":"","parse-names":false,"suffix":""},{"dropping-particle":"","family":"Balawejder","given":"Maciej","non-dropping-particle":"","parse-names":false,"suffix":""}],"container-title":"Sustainability (Switzerland)","id":"ITEM-1","issue":"3","issued":{"date-parts":[["2020"]]},"page":"1-9","title":"New approach for sewage sludge stabilization with ozone","type":"article-journal","volume":"12"},"uris":["http://www.mendeley.com/documents/?uuid=06f98441-a0d9-429a-9cc7-251c360a865d"]}],"mendeley":{"formattedCitation":"(Kosowski et al., 2020)","plainTextFormattedCitation":"(Kosowski et al., 2020)","previouslyFormattedCitation":"(Kosowski et al., 2020)"},"properties":{"noteIndex":0},"schema":"https://github.com/citation-style-language/schema/raw/master/csl-citation.json"}</w:instrText>
      </w:r>
      <w:r>
        <w:fldChar w:fldCharType="separate"/>
      </w:r>
      <w:r w:rsidR="00BE07A6" w:rsidRPr="00BE07A6">
        <w:rPr>
          <w:noProof/>
        </w:rPr>
        <w:t>(Kosowski et al., 2020)</w:t>
      </w:r>
      <w:r>
        <w:fldChar w:fldCharType="end"/>
      </w:r>
      <w:r>
        <w:t>.</w:t>
      </w:r>
      <w:r w:rsidR="00AF462D">
        <w:t xml:space="preserve"> </w:t>
      </w:r>
      <w:r>
        <w:t>The ash resulting from the calorimetry tests of both crude-oils shows a slight decrease (2.6% reduction) for the ozonated experiment. Ultimate analysis of the crude-oil was carried out in triplicate to determine</w:t>
      </w:r>
      <w:r w:rsidRPr="006645C8">
        <w:t xml:space="preserve"> </w:t>
      </w:r>
      <w:r>
        <w:t xml:space="preserve">its </w:t>
      </w:r>
      <w:r w:rsidRPr="006645C8">
        <w:t>elemental chemical composition</w:t>
      </w:r>
      <w:r>
        <w:t xml:space="preserve">. </w:t>
      </w:r>
    </w:p>
    <w:p w14:paraId="47889414" w14:textId="35618DFB" w:rsidR="003D60E5" w:rsidRPr="0019221A" w:rsidRDefault="003D60E5" w:rsidP="003D60E5">
      <w:pPr>
        <w:pStyle w:val="CETTabletitle"/>
      </w:pPr>
      <w:r w:rsidRPr="006645C8">
        <w:t xml:space="preserve"> </w:t>
      </w:r>
      <w:r w:rsidRPr="0019221A">
        <w:t xml:space="preserve">Table </w:t>
      </w:r>
      <w:r w:rsidR="00144B87">
        <w:t>4</w:t>
      </w:r>
      <w:r w:rsidRPr="0019221A">
        <w:t xml:space="preserve">. Ultimate analysis of crude-oil without ozone pre-treatment (HTL0) and with ozone pre-treatment (HTL1). *The oxygen content is obtained by difference from the </w:t>
      </w:r>
      <w:r>
        <w:t>total sum</w:t>
      </w:r>
      <w:r w:rsidRPr="0019221A">
        <w:t>.</w:t>
      </w:r>
    </w:p>
    <w:tbl>
      <w:tblPr>
        <w:tblW w:w="7554" w:type="dxa"/>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23"/>
        <w:gridCol w:w="1022"/>
        <w:gridCol w:w="1148"/>
        <w:gridCol w:w="1022"/>
        <w:gridCol w:w="1037"/>
        <w:gridCol w:w="1802"/>
      </w:tblGrid>
      <w:tr w:rsidR="003D60E5" w:rsidRPr="00B57B36" w14:paraId="348A424B" w14:textId="77777777" w:rsidTr="003D0ADB">
        <w:trPr>
          <w:trHeight w:val="252"/>
          <w:jc w:val="center"/>
        </w:trPr>
        <w:tc>
          <w:tcPr>
            <w:tcW w:w="1523" w:type="dxa"/>
            <w:tcBorders>
              <w:top w:val="single" w:sz="12" w:space="0" w:color="008000"/>
              <w:bottom w:val="single" w:sz="6" w:space="0" w:color="008000"/>
            </w:tcBorders>
            <w:shd w:val="clear" w:color="auto" w:fill="FFFFFF"/>
          </w:tcPr>
          <w:p w14:paraId="5DA59682" w14:textId="77777777" w:rsidR="003D60E5" w:rsidRPr="00B57B36" w:rsidRDefault="003D60E5" w:rsidP="001659C2">
            <w:pPr>
              <w:pStyle w:val="CETBodytext"/>
              <w:rPr>
                <w:lang w:val="en-GB"/>
              </w:rPr>
            </w:pPr>
            <w:r w:rsidRPr="001779E3">
              <w:t>Experiment</w:t>
            </w:r>
          </w:p>
        </w:tc>
        <w:tc>
          <w:tcPr>
            <w:tcW w:w="1022" w:type="dxa"/>
            <w:tcBorders>
              <w:top w:val="single" w:sz="12" w:space="0" w:color="008000"/>
              <w:bottom w:val="single" w:sz="6" w:space="0" w:color="008000"/>
            </w:tcBorders>
            <w:shd w:val="clear" w:color="auto" w:fill="FFFFFF"/>
          </w:tcPr>
          <w:p w14:paraId="348BF1DD" w14:textId="77777777" w:rsidR="003D60E5" w:rsidRPr="00B57B36" w:rsidRDefault="003D60E5" w:rsidP="001659C2">
            <w:pPr>
              <w:pStyle w:val="CETBodytext"/>
              <w:rPr>
                <w:lang w:val="en-GB"/>
              </w:rPr>
            </w:pPr>
            <w:r w:rsidRPr="00C35B8A">
              <w:t>C</w:t>
            </w:r>
            <w:r>
              <w:t xml:space="preserve"> (%)</w:t>
            </w:r>
          </w:p>
        </w:tc>
        <w:tc>
          <w:tcPr>
            <w:tcW w:w="1148" w:type="dxa"/>
            <w:tcBorders>
              <w:top w:val="single" w:sz="12" w:space="0" w:color="008000"/>
              <w:bottom w:val="single" w:sz="6" w:space="0" w:color="008000"/>
            </w:tcBorders>
            <w:shd w:val="clear" w:color="auto" w:fill="FFFFFF"/>
          </w:tcPr>
          <w:p w14:paraId="77CA6FB1" w14:textId="77777777" w:rsidR="003D60E5" w:rsidRPr="00B57B36" w:rsidRDefault="003D60E5" w:rsidP="001659C2">
            <w:pPr>
              <w:pStyle w:val="CETBodytext"/>
              <w:rPr>
                <w:lang w:val="en-GB"/>
              </w:rPr>
            </w:pPr>
            <w:r>
              <w:t>H (%)</w:t>
            </w:r>
          </w:p>
        </w:tc>
        <w:tc>
          <w:tcPr>
            <w:tcW w:w="1022" w:type="dxa"/>
            <w:tcBorders>
              <w:top w:val="single" w:sz="12" w:space="0" w:color="008000"/>
              <w:bottom w:val="single" w:sz="6" w:space="0" w:color="008000"/>
            </w:tcBorders>
            <w:shd w:val="clear" w:color="auto" w:fill="FFFFFF"/>
          </w:tcPr>
          <w:p w14:paraId="2C2BD349" w14:textId="77777777" w:rsidR="003D60E5" w:rsidRPr="00B57B36" w:rsidRDefault="003D60E5" w:rsidP="001659C2">
            <w:pPr>
              <w:pStyle w:val="CETBodytext"/>
              <w:ind w:right="-1"/>
              <w:rPr>
                <w:rFonts w:cs="Arial"/>
                <w:szCs w:val="18"/>
                <w:lang w:val="en-GB"/>
              </w:rPr>
            </w:pPr>
            <w:r>
              <w:t>N (%)</w:t>
            </w:r>
          </w:p>
        </w:tc>
        <w:tc>
          <w:tcPr>
            <w:tcW w:w="1037" w:type="dxa"/>
            <w:tcBorders>
              <w:top w:val="single" w:sz="12" w:space="0" w:color="008000"/>
              <w:bottom w:val="single" w:sz="6" w:space="0" w:color="008000"/>
            </w:tcBorders>
            <w:shd w:val="clear" w:color="auto" w:fill="FFFFFF"/>
          </w:tcPr>
          <w:p w14:paraId="28556645" w14:textId="77777777" w:rsidR="003D60E5" w:rsidRPr="00B57B36" w:rsidRDefault="003D60E5" w:rsidP="001659C2">
            <w:pPr>
              <w:pStyle w:val="CETBodytext"/>
              <w:ind w:right="-1"/>
              <w:rPr>
                <w:rFonts w:cs="Arial"/>
                <w:szCs w:val="18"/>
                <w:lang w:val="en-GB"/>
              </w:rPr>
            </w:pPr>
            <w:r w:rsidRPr="00C35B8A">
              <w:t>S</w:t>
            </w:r>
            <w:r>
              <w:t xml:space="preserve"> (%)</w:t>
            </w:r>
          </w:p>
        </w:tc>
        <w:tc>
          <w:tcPr>
            <w:tcW w:w="1802" w:type="dxa"/>
            <w:tcBorders>
              <w:top w:val="single" w:sz="12" w:space="0" w:color="008000"/>
              <w:bottom w:val="single" w:sz="6" w:space="0" w:color="008000"/>
            </w:tcBorders>
            <w:shd w:val="clear" w:color="auto" w:fill="FFFFFF"/>
          </w:tcPr>
          <w:p w14:paraId="6F413B3B" w14:textId="77777777" w:rsidR="003D60E5" w:rsidRPr="00B57B36" w:rsidRDefault="003D60E5" w:rsidP="001659C2">
            <w:pPr>
              <w:pStyle w:val="CETBodytext"/>
              <w:ind w:right="-1"/>
              <w:rPr>
                <w:rFonts w:cs="Arial"/>
                <w:szCs w:val="18"/>
                <w:lang w:val="en-GB"/>
              </w:rPr>
            </w:pPr>
            <w:r w:rsidRPr="00C35B8A">
              <w:t>O</w:t>
            </w:r>
            <w:r>
              <w:t xml:space="preserve"> (%)*</w:t>
            </w:r>
          </w:p>
        </w:tc>
      </w:tr>
      <w:tr w:rsidR="003D60E5" w:rsidRPr="00B57B36" w14:paraId="17A8AC2D" w14:textId="77777777" w:rsidTr="003D0ADB">
        <w:trPr>
          <w:trHeight w:val="252"/>
          <w:jc w:val="center"/>
        </w:trPr>
        <w:tc>
          <w:tcPr>
            <w:tcW w:w="1523" w:type="dxa"/>
            <w:shd w:val="clear" w:color="auto" w:fill="FFFFFF"/>
          </w:tcPr>
          <w:p w14:paraId="371DF477" w14:textId="77777777" w:rsidR="003D60E5" w:rsidRPr="00A10E4C" w:rsidRDefault="003D60E5" w:rsidP="001659C2">
            <w:pPr>
              <w:pStyle w:val="CETBodytext"/>
              <w:rPr>
                <w:i/>
                <w:lang w:val="en-GB"/>
              </w:rPr>
            </w:pPr>
            <w:r w:rsidRPr="0090739F">
              <w:t>HTL0</w:t>
            </w:r>
          </w:p>
        </w:tc>
        <w:tc>
          <w:tcPr>
            <w:tcW w:w="1022" w:type="dxa"/>
            <w:shd w:val="clear" w:color="auto" w:fill="FFFFFF"/>
          </w:tcPr>
          <w:p w14:paraId="13383C12" w14:textId="77777777" w:rsidR="003D60E5" w:rsidRPr="00B57B36" w:rsidRDefault="003D60E5" w:rsidP="001659C2">
            <w:pPr>
              <w:pStyle w:val="CETBodytext"/>
              <w:rPr>
                <w:lang w:val="en-GB"/>
              </w:rPr>
            </w:pPr>
            <w:r w:rsidRPr="0090739F">
              <w:t>65,79</w:t>
            </w:r>
          </w:p>
        </w:tc>
        <w:tc>
          <w:tcPr>
            <w:tcW w:w="1148" w:type="dxa"/>
            <w:shd w:val="clear" w:color="auto" w:fill="FFFFFF"/>
          </w:tcPr>
          <w:p w14:paraId="6F6532E9" w14:textId="77777777" w:rsidR="003D60E5" w:rsidRPr="00B57B36" w:rsidRDefault="003D60E5" w:rsidP="001659C2">
            <w:pPr>
              <w:pStyle w:val="CETBodytext"/>
              <w:rPr>
                <w:lang w:val="en-GB"/>
              </w:rPr>
            </w:pPr>
            <w:r w:rsidRPr="0090739F">
              <w:t>10,56</w:t>
            </w:r>
          </w:p>
        </w:tc>
        <w:tc>
          <w:tcPr>
            <w:tcW w:w="1022" w:type="dxa"/>
            <w:shd w:val="clear" w:color="auto" w:fill="FFFFFF"/>
          </w:tcPr>
          <w:p w14:paraId="185F1393" w14:textId="77777777" w:rsidR="003D60E5" w:rsidRPr="00B57B36" w:rsidRDefault="003D60E5" w:rsidP="001659C2">
            <w:pPr>
              <w:pStyle w:val="CETBodytext"/>
              <w:ind w:right="-1"/>
              <w:rPr>
                <w:rFonts w:cs="Arial"/>
                <w:szCs w:val="18"/>
                <w:lang w:val="en-GB"/>
              </w:rPr>
            </w:pPr>
            <w:r w:rsidRPr="0090739F">
              <w:t>0,22</w:t>
            </w:r>
          </w:p>
        </w:tc>
        <w:tc>
          <w:tcPr>
            <w:tcW w:w="1037" w:type="dxa"/>
            <w:shd w:val="clear" w:color="auto" w:fill="FFFFFF"/>
          </w:tcPr>
          <w:p w14:paraId="127EBCDB" w14:textId="77777777" w:rsidR="003D60E5" w:rsidRPr="00B57B36" w:rsidRDefault="003D60E5" w:rsidP="001659C2">
            <w:pPr>
              <w:pStyle w:val="CETBodytext"/>
              <w:ind w:right="-1"/>
              <w:rPr>
                <w:rFonts w:cs="Arial"/>
                <w:szCs w:val="18"/>
                <w:lang w:val="en-GB"/>
              </w:rPr>
            </w:pPr>
            <w:r w:rsidRPr="0090739F">
              <w:t>1,05</w:t>
            </w:r>
          </w:p>
        </w:tc>
        <w:tc>
          <w:tcPr>
            <w:tcW w:w="1802" w:type="dxa"/>
            <w:shd w:val="clear" w:color="auto" w:fill="FFFFFF"/>
          </w:tcPr>
          <w:p w14:paraId="231FD7DB" w14:textId="77777777" w:rsidR="003D60E5" w:rsidRPr="00B57B36" w:rsidRDefault="003D60E5" w:rsidP="001659C2">
            <w:pPr>
              <w:pStyle w:val="CETBodytext"/>
              <w:ind w:right="-1"/>
              <w:rPr>
                <w:rFonts w:cs="Arial"/>
                <w:szCs w:val="18"/>
                <w:lang w:val="en-GB"/>
              </w:rPr>
            </w:pPr>
            <w:r w:rsidRPr="0090739F">
              <w:t>22,39</w:t>
            </w:r>
          </w:p>
        </w:tc>
      </w:tr>
      <w:tr w:rsidR="003D60E5" w:rsidRPr="00B57B36" w14:paraId="37D9EC94" w14:textId="77777777" w:rsidTr="003D0ADB">
        <w:trPr>
          <w:trHeight w:val="252"/>
          <w:jc w:val="center"/>
        </w:trPr>
        <w:tc>
          <w:tcPr>
            <w:tcW w:w="1523" w:type="dxa"/>
            <w:shd w:val="clear" w:color="auto" w:fill="FFFFFF"/>
            <w:vAlign w:val="bottom"/>
          </w:tcPr>
          <w:p w14:paraId="3CE1F5FE" w14:textId="77777777" w:rsidR="003D60E5" w:rsidRPr="0090739F" w:rsidRDefault="003D60E5" w:rsidP="001659C2">
            <w:pPr>
              <w:pStyle w:val="CETBodytext"/>
            </w:pPr>
            <w:r w:rsidRPr="006F2CE9">
              <w:t>HTL1</w:t>
            </w:r>
          </w:p>
        </w:tc>
        <w:tc>
          <w:tcPr>
            <w:tcW w:w="1022" w:type="dxa"/>
            <w:shd w:val="clear" w:color="auto" w:fill="FFFFFF"/>
            <w:vAlign w:val="bottom"/>
          </w:tcPr>
          <w:p w14:paraId="43A6DB3A" w14:textId="77777777" w:rsidR="003D60E5" w:rsidRPr="0090739F" w:rsidRDefault="003D60E5" w:rsidP="001659C2">
            <w:pPr>
              <w:pStyle w:val="CETBodytext"/>
            </w:pPr>
            <w:r w:rsidRPr="006F2CE9">
              <w:t>64,76</w:t>
            </w:r>
          </w:p>
        </w:tc>
        <w:tc>
          <w:tcPr>
            <w:tcW w:w="1148" w:type="dxa"/>
            <w:shd w:val="clear" w:color="auto" w:fill="FFFFFF"/>
            <w:vAlign w:val="bottom"/>
          </w:tcPr>
          <w:p w14:paraId="7335249F" w14:textId="77777777" w:rsidR="003D60E5" w:rsidRPr="0090739F" w:rsidRDefault="003D60E5" w:rsidP="001659C2">
            <w:pPr>
              <w:pStyle w:val="CETBodytext"/>
            </w:pPr>
            <w:r w:rsidRPr="006F2CE9">
              <w:t>10,33</w:t>
            </w:r>
          </w:p>
        </w:tc>
        <w:tc>
          <w:tcPr>
            <w:tcW w:w="1022" w:type="dxa"/>
            <w:shd w:val="clear" w:color="auto" w:fill="FFFFFF"/>
            <w:vAlign w:val="bottom"/>
          </w:tcPr>
          <w:p w14:paraId="58CADED2" w14:textId="77777777" w:rsidR="003D60E5" w:rsidRPr="0090739F" w:rsidRDefault="003D60E5" w:rsidP="001659C2">
            <w:pPr>
              <w:pStyle w:val="CETBodytext"/>
              <w:ind w:right="-1"/>
            </w:pPr>
            <w:r w:rsidRPr="006F2CE9">
              <w:t>0,35</w:t>
            </w:r>
          </w:p>
        </w:tc>
        <w:tc>
          <w:tcPr>
            <w:tcW w:w="1037" w:type="dxa"/>
            <w:shd w:val="clear" w:color="auto" w:fill="FFFFFF"/>
            <w:vAlign w:val="bottom"/>
          </w:tcPr>
          <w:p w14:paraId="79D31040" w14:textId="77777777" w:rsidR="003D60E5" w:rsidRPr="0090739F" w:rsidRDefault="003D60E5" w:rsidP="001659C2">
            <w:pPr>
              <w:pStyle w:val="CETBodytext"/>
              <w:ind w:right="-1"/>
            </w:pPr>
            <w:r w:rsidRPr="006F2CE9">
              <w:t>1,14</w:t>
            </w:r>
          </w:p>
        </w:tc>
        <w:tc>
          <w:tcPr>
            <w:tcW w:w="1802" w:type="dxa"/>
            <w:shd w:val="clear" w:color="auto" w:fill="FFFFFF"/>
            <w:vAlign w:val="bottom"/>
          </w:tcPr>
          <w:p w14:paraId="31237205" w14:textId="77777777" w:rsidR="003D60E5" w:rsidRPr="0090739F" w:rsidRDefault="003D60E5" w:rsidP="001659C2">
            <w:pPr>
              <w:pStyle w:val="CETBodytext"/>
              <w:ind w:right="-1"/>
            </w:pPr>
            <w:r w:rsidRPr="006F2CE9">
              <w:t>23,42</w:t>
            </w:r>
          </w:p>
        </w:tc>
      </w:tr>
    </w:tbl>
    <w:p w14:paraId="3E55BD89" w14:textId="77777777" w:rsidR="003D60E5" w:rsidRDefault="003D60E5" w:rsidP="003D60E5">
      <w:pPr>
        <w:pStyle w:val="CETBodytext"/>
      </w:pPr>
    </w:p>
    <w:p w14:paraId="7A550D74" w14:textId="17CCB53F" w:rsidR="003D60E5" w:rsidRDefault="003D60E5" w:rsidP="003D60E5">
      <w:pPr>
        <w:pStyle w:val="CETBodytext"/>
      </w:pPr>
      <w:r>
        <w:t>As shown in t</w:t>
      </w:r>
      <w:r w:rsidRPr="003E3864">
        <w:t xml:space="preserve">able </w:t>
      </w:r>
      <w:r w:rsidR="00144B87">
        <w:t>4</w:t>
      </w:r>
      <w:r>
        <w:t>, the composition of both crude-oils is very similar, which is consistent with their almost identical HHV. The relatively low Sulphur content (&lt;3%) and ashes (&lt;5%) fulfill</w:t>
      </w:r>
      <w:r w:rsidRPr="001564B8">
        <w:t xml:space="preserve"> the acceptance requirements </w:t>
      </w:r>
      <w:r>
        <w:t>for alternative liquid fuels</w:t>
      </w:r>
      <w:r w:rsidRPr="001564B8">
        <w:t>.</w:t>
      </w:r>
    </w:p>
    <w:p w14:paraId="2BF20F6E" w14:textId="77777777" w:rsidR="003D60E5" w:rsidRDefault="003D60E5" w:rsidP="003D60E5">
      <w:pPr>
        <w:pStyle w:val="CETBodytext"/>
      </w:pPr>
    </w:p>
    <w:tbl>
      <w:tblPr>
        <w:tblStyle w:val="Tablaconcuadrcula"/>
        <w:tblW w:w="88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6"/>
        <w:gridCol w:w="4344"/>
      </w:tblGrid>
      <w:tr w:rsidR="003D60E5" w14:paraId="7466B414" w14:textId="77777777" w:rsidTr="00AF462D">
        <w:trPr>
          <w:trHeight w:val="3940"/>
          <w:jc w:val="center"/>
        </w:trPr>
        <w:tc>
          <w:tcPr>
            <w:tcW w:w="4496" w:type="dxa"/>
          </w:tcPr>
          <w:p w14:paraId="0046C535" w14:textId="77777777" w:rsidR="003D60E5" w:rsidRDefault="003D60E5" w:rsidP="001659C2">
            <w:pPr>
              <w:pStyle w:val="CETBodytext"/>
            </w:pPr>
            <w:r>
              <w:rPr>
                <w:noProof/>
              </w:rPr>
              <w:drawing>
                <wp:inline distT="0" distB="0" distL="0" distR="0" wp14:anchorId="39610AC7" wp14:editId="35064E1F">
                  <wp:extent cx="2511083" cy="2897505"/>
                  <wp:effectExtent l="0" t="0" r="3810" b="17145"/>
                  <wp:docPr id="1" name="Gráfico 1">
                    <a:extLst xmlns:a="http://schemas.openxmlformats.org/drawingml/2006/main">
                      <a:ext uri="{FF2B5EF4-FFF2-40B4-BE49-F238E27FC236}">
                        <a16:creationId xmlns:a16="http://schemas.microsoft.com/office/drawing/2014/main" id="{35ABD171-4625-4DEF-B80B-6F307AFEC4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4344" w:type="dxa"/>
          </w:tcPr>
          <w:p w14:paraId="3608385A" w14:textId="77777777" w:rsidR="003D60E5" w:rsidRDefault="003D60E5" w:rsidP="001659C2">
            <w:pPr>
              <w:pStyle w:val="CETBodytext"/>
              <w:keepNext/>
            </w:pPr>
            <w:r>
              <w:rPr>
                <w:noProof/>
              </w:rPr>
              <w:drawing>
                <wp:inline distT="0" distB="0" distL="0" distR="0" wp14:anchorId="774B58E8" wp14:editId="4134E175">
                  <wp:extent cx="2461846" cy="2897945"/>
                  <wp:effectExtent l="0" t="0" r="15240" b="17145"/>
                  <wp:docPr id="2" name="Gráfico 2">
                    <a:extLst xmlns:a="http://schemas.openxmlformats.org/drawingml/2006/main">
                      <a:ext uri="{FF2B5EF4-FFF2-40B4-BE49-F238E27FC236}">
                        <a16:creationId xmlns:a16="http://schemas.microsoft.com/office/drawing/2014/main" id="{99FA48A3-434F-4B86-B93F-83AAB86E15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14:paraId="23175442" w14:textId="0752BBB4" w:rsidR="003D60E5" w:rsidRPr="00635AD6" w:rsidRDefault="003D60E5" w:rsidP="003D60E5">
      <w:pPr>
        <w:pStyle w:val="CETCaption"/>
        <w:rPr>
          <w:b/>
          <w:bCs/>
        </w:rPr>
      </w:pPr>
      <w:r w:rsidRPr="00635AD6">
        <w:t xml:space="preserve">Figure </w:t>
      </w:r>
      <w:r w:rsidR="00144B87">
        <w:t>2</w:t>
      </w:r>
      <w:r w:rsidRPr="00635AD6">
        <w:t xml:space="preserve">. Gas analysis </w:t>
      </w:r>
      <w:r>
        <w:t>for untreated and pre-treated feeds in HTL.</w:t>
      </w:r>
    </w:p>
    <w:p w14:paraId="51083E85" w14:textId="6902938C" w:rsidR="003D60E5" w:rsidRDefault="003D60E5" w:rsidP="003D60E5">
      <w:pPr>
        <w:pStyle w:val="CETBodytext"/>
      </w:pPr>
      <w:r>
        <w:t xml:space="preserve">Figure </w:t>
      </w:r>
      <w:r w:rsidR="00144B87">
        <w:t>2</w:t>
      </w:r>
      <w:r>
        <w:t xml:space="preserve"> shows the mole percent of gases after HTL reaction. Left columns represent the composition of the gases in the headspace, including the nitrogen gas introduced prior to the reaction. The right columns represent the </w:t>
      </w:r>
      <w:r w:rsidRPr="00F41BD7">
        <w:t xml:space="preserve">normalized </w:t>
      </w:r>
      <w:r>
        <w:t>composition</w:t>
      </w:r>
      <w:r w:rsidRPr="00F41BD7">
        <w:t xml:space="preserve"> after </w:t>
      </w:r>
      <w:r>
        <w:t>subtracting</w:t>
      </w:r>
      <w:r w:rsidRPr="00F41BD7">
        <w:t xml:space="preserve"> all </w:t>
      </w:r>
      <w:r>
        <w:t>nitrogen gas</w:t>
      </w:r>
      <w:r w:rsidRPr="00F41BD7">
        <w:t xml:space="preserve"> used as </w:t>
      </w:r>
      <w:r>
        <w:t xml:space="preserve">an </w:t>
      </w:r>
      <w:r w:rsidRPr="00F41BD7">
        <w:t>inert gas in the tests.</w:t>
      </w:r>
    </w:p>
    <w:p w14:paraId="4453464A" w14:textId="77777777" w:rsidR="003D60E5" w:rsidRDefault="003D60E5" w:rsidP="003D60E5">
      <w:pPr>
        <w:pStyle w:val="CETBodytext"/>
      </w:pPr>
      <w:r>
        <w:t>Hydrogen couldn’t be detected in any of the experiments, but there exist noticeable differences in the gas composition of HTL without and with ozone pre-treatment. HTL of the raw feed does not produce carbon monoxide in the gas phase, and only carbon dioxide is produced. However, the HTL of the pre-treated feed generates carbon dioxide and up to 16% of carbon monoxide.</w:t>
      </w:r>
    </w:p>
    <w:p w14:paraId="49BC53C8" w14:textId="77777777" w:rsidR="003D60E5" w:rsidRDefault="003D60E5" w:rsidP="003D60E5">
      <w:pPr>
        <w:pStyle w:val="CETHeading1"/>
        <w:rPr>
          <w:lang w:val="en-GB"/>
        </w:rPr>
      </w:pPr>
      <w:r w:rsidRPr="00B57B36">
        <w:rPr>
          <w:lang w:val="en-GB"/>
        </w:rPr>
        <w:lastRenderedPageBreak/>
        <w:t>Conclusions</w:t>
      </w:r>
    </w:p>
    <w:p w14:paraId="31881D18" w14:textId="4006FAFC" w:rsidR="003D60E5" w:rsidRPr="00617F9D" w:rsidRDefault="00F262FE" w:rsidP="003D60E5">
      <w:pPr>
        <w:pStyle w:val="CETBodytext"/>
        <w:rPr>
          <w:lang w:val="en-GB"/>
        </w:rPr>
      </w:pPr>
      <w:r>
        <w:rPr>
          <w:lang w:val="en-GB"/>
        </w:rPr>
        <w:t>Regarding to the</w:t>
      </w:r>
      <w:r w:rsidR="001B3B4A">
        <w:rPr>
          <w:lang w:val="en-GB"/>
        </w:rPr>
        <w:t xml:space="preserve"> leachate treatment, it was possible to </w:t>
      </w:r>
      <w:r w:rsidR="002F7838">
        <w:rPr>
          <w:lang w:val="en-GB"/>
        </w:rPr>
        <w:t>verify</w:t>
      </w:r>
      <w:r w:rsidR="001B3B4A">
        <w:rPr>
          <w:lang w:val="en-GB"/>
        </w:rPr>
        <w:t xml:space="preserve"> two of the three positive mentioned effects of ozone. </w:t>
      </w:r>
      <w:r w:rsidR="002F7838" w:rsidRPr="002F7838">
        <w:rPr>
          <w:lang w:val="en-GB"/>
        </w:rPr>
        <w:t xml:space="preserve">Indeed, foam generation was reduced </w:t>
      </w:r>
      <w:r w:rsidR="002F7838">
        <w:rPr>
          <w:lang w:val="en-GB"/>
        </w:rPr>
        <w:t xml:space="preserve">in 28% </w:t>
      </w:r>
      <w:r w:rsidR="002F7838" w:rsidRPr="002F7838">
        <w:rPr>
          <w:lang w:val="en-GB"/>
        </w:rPr>
        <w:t xml:space="preserve">and the pH was not increased </w:t>
      </w:r>
      <w:r w:rsidR="002F7838">
        <w:rPr>
          <w:lang w:val="en-GB"/>
        </w:rPr>
        <w:t>in the process</w:t>
      </w:r>
      <w:r w:rsidR="002F7838" w:rsidRPr="002F7838">
        <w:rPr>
          <w:lang w:val="en-GB"/>
        </w:rPr>
        <w:t>. The biocidal effect could not be measured due to the nature of the leachate, which contains so many ions, metals and salts that it is unlikely that micro-organisms can grow in this medium. However, further studies on other wastewaters are required to determine the biocid</w:t>
      </w:r>
      <w:r w:rsidR="002F7838">
        <w:rPr>
          <w:lang w:val="en-GB"/>
        </w:rPr>
        <w:t>e</w:t>
      </w:r>
      <w:r w:rsidR="002F7838" w:rsidRPr="002F7838">
        <w:rPr>
          <w:lang w:val="en-GB"/>
        </w:rPr>
        <w:t xml:space="preserve"> effect of ozone at the same doses applied. </w:t>
      </w:r>
      <w:r w:rsidR="001B3B4A">
        <w:rPr>
          <w:lang w:val="en-GB"/>
        </w:rPr>
        <w:t xml:space="preserve">Regarding </w:t>
      </w:r>
      <w:r w:rsidR="002F7838">
        <w:rPr>
          <w:lang w:val="en-GB"/>
        </w:rPr>
        <w:t xml:space="preserve">HTL </w:t>
      </w:r>
      <w:r w:rsidR="001B3B4A">
        <w:rPr>
          <w:lang w:val="en-GB"/>
        </w:rPr>
        <w:t>ozonation co</w:t>
      </w:r>
      <w:r w:rsidR="003D60E5">
        <w:rPr>
          <w:lang w:val="en-GB"/>
        </w:rPr>
        <w:t>mpared with the reference dried RAW feed, HTL provides a better energy valorization product in terms of HHV (</w:t>
      </w:r>
      <w:r w:rsidR="003D60E5" w:rsidRPr="00FF0AB7">
        <w:t>8,382</w:t>
      </w:r>
      <w:r w:rsidR="003D60E5" w:rsidRPr="00FF0AB7" w:rsidDel="0019221A">
        <w:t xml:space="preserve"> </w:t>
      </w:r>
      <w:r w:rsidR="003D60E5">
        <w:t>cal/g</w:t>
      </w:r>
      <w:r w:rsidR="002F7838">
        <w:t xml:space="preserve"> versus 6,242 cal/g</w:t>
      </w:r>
      <w:r w:rsidR="003D60E5">
        <w:t xml:space="preserve">). </w:t>
      </w:r>
      <w:r w:rsidR="003D60E5" w:rsidRPr="00617F9D">
        <w:rPr>
          <w:lang w:val="en-GB"/>
        </w:rPr>
        <w:t>These crude</w:t>
      </w:r>
      <w:r w:rsidR="003D60E5">
        <w:rPr>
          <w:lang w:val="en-GB"/>
        </w:rPr>
        <w:t>-</w:t>
      </w:r>
      <w:r w:rsidR="003D60E5" w:rsidRPr="00617F9D">
        <w:rPr>
          <w:lang w:val="en-GB"/>
        </w:rPr>
        <w:t xml:space="preserve">oils could be, therefore, considered a feasible alternative to conventional fuels. From the technical and </w:t>
      </w:r>
      <w:r w:rsidR="003D60E5">
        <w:rPr>
          <w:lang w:val="en-GB"/>
        </w:rPr>
        <w:t>economic</w:t>
      </w:r>
      <w:r w:rsidR="003D60E5" w:rsidRPr="00617F9D">
        <w:rPr>
          <w:lang w:val="en-GB"/>
        </w:rPr>
        <w:t xml:space="preserve"> point of view, the conditions</w:t>
      </w:r>
      <w:r w:rsidR="003D60E5">
        <w:rPr>
          <w:lang w:val="en-GB"/>
        </w:rPr>
        <w:t xml:space="preserve"> chosen in materials and methods</w:t>
      </w:r>
      <w:r w:rsidR="003D60E5" w:rsidRPr="00617F9D">
        <w:rPr>
          <w:lang w:val="en-GB"/>
        </w:rPr>
        <w:t xml:space="preserve"> should be considered as the starting point if the scaling up of the process to an industrial level </w:t>
      </w:r>
      <w:r w:rsidR="003D60E5">
        <w:rPr>
          <w:lang w:val="en-GB"/>
        </w:rPr>
        <w:t>is</w:t>
      </w:r>
      <w:r w:rsidR="003D60E5" w:rsidRPr="00617F9D">
        <w:rPr>
          <w:lang w:val="en-GB"/>
        </w:rPr>
        <w:t xml:space="preserve"> to be attempted.</w:t>
      </w:r>
      <w:r w:rsidR="003D60E5">
        <w:rPr>
          <w:lang w:val="en-GB"/>
        </w:rPr>
        <w:t xml:space="preserve"> Here is where the pre-treatment takes place. O</w:t>
      </w:r>
      <w:r w:rsidR="003D60E5" w:rsidRPr="00421757">
        <w:rPr>
          <w:lang w:val="en-GB"/>
        </w:rPr>
        <w:t>zonation reduce</w:t>
      </w:r>
      <w:r w:rsidR="003D60E5">
        <w:rPr>
          <w:lang w:val="en-GB"/>
        </w:rPr>
        <w:t>d</w:t>
      </w:r>
      <w:r w:rsidR="003D60E5" w:rsidRPr="00421757">
        <w:rPr>
          <w:lang w:val="en-GB"/>
        </w:rPr>
        <w:t xml:space="preserve"> the</w:t>
      </w:r>
      <w:r w:rsidR="003D60E5" w:rsidRPr="00936FF9">
        <w:rPr>
          <w:lang w:val="en-GB"/>
        </w:rPr>
        <w:t xml:space="preserve"> char yield </w:t>
      </w:r>
      <w:r w:rsidR="003D60E5">
        <w:rPr>
          <w:lang w:val="en-GB"/>
        </w:rPr>
        <w:t>by 25%,</w:t>
      </w:r>
      <w:r w:rsidR="00D836FC">
        <w:rPr>
          <w:lang w:val="en-GB"/>
        </w:rPr>
        <w:t xml:space="preserve"> </w:t>
      </w:r>
      <w:r w:rsidR="003D60E5">
        <w:rPr>
          <w:lang w:val="en-GB"/>
        </w:rPr>
        <w:t xml:space="preserve">but char is considered more of a by-product in this study, being the crude-oil the main and preferred product which </w:t>
      </w:r>
      <w:r w:rsidR="003D60E5" w:rsidRPr="005209F4">
        <w:rPr>
          <w:lang w:val="en-GB"/>
        </w:rPr>
        <w:t xml:space="preserve">yield </w:t>
      </w:r>
      <w:r w:rsidR="003D60E5">
        <w:rPr>
          <w:lang w:val="en-GB"/>
        </w:rPr>
        <w:t>and</w:t>
      </w:r>
      <w:r w:rsidR="003D60E5" w:rsidRPr="005209F4">
        <w:rPr>
          <w:lang w:val="en-GB"/>
        </w:rPr>
        <w:t xml:space="preserve"> HHV </w:t>
      </w:r>
      <w:r w:rsidR="003D60E5">
        <w:rPr>
          <w:lang w:val="en-GB"/>
        </w:rPr>
        <w:t>don’t seem to be affected.</w:t>
      </w:r>
      <w:r w:rsidR="003D60E5" w:rsidRPr="005209F4">
        <w:rPr>
          <w:lang w:val="en-GB"/>
        </w:rPr>
        <w:t xml:space="preserve"> </w:t>
      </w:r>
      <w:r w:rsidR="003D60E5">
        <w:rPr>
          <w:lang w:val="en-GB"/>
        </w:rPr>
        <w:t>At the same time, ozonation reduced drastically the cost of filters in the filtration step up to</w:t>
      </w:r>
      <w:r w:rsidR="003D60E5" w:rsidRPr="00421757">
        <w:rPr>
          <w:lang w:val="en-GB"/>
        </w:rPr>
        <w:t xml:space="preserve"> </w:t>
      </w:r>
      <w:r w:rsidR="003D60E5">
        <w:rPr>
          <w:lang w:val="en-GB"/>
        </w:rPr>
        <w:t xml:space="preserve">75%. The ozone pre-treatment </w:t>
      </w:r>
      <w:r w:rsidR="003D60E5" w:rsidRPr="007D6F0B">
        <w:rPr>
          <w:lang w:val="en-GB"/>
        </w:rPr>
        <w:t>also slightly reduced ash</w:t>
      </w:r>
      <w:r w:rsidR="003D60E5">
        <w:rPr>
          <w:lang w:val="en-GB"/>
        </w:rPr>
        <w:t>es</w:t>
      </w:r>
      <w:r w:rsidR="003D60E5" w:rsidRPr="007D6F0B">
        <w:rPr>
          <w:lang w:val="en-GB"/>
        </w:rPr>
        <w:t xml:space="preserve"> </w:t>
      </w:r>
      <w:r w:rsidR="003D60E5">
        <w:rPr>
          <w:lang w:val="en-GB"/>
        </w:rPr>
        <w:t xml:space="preserve">by </w:t>
      </w:r>
      <w:r w:rsidR="003D60E5" w:rsidRPr="00E41BD2">
        <w:rPr>
          <w:lang w:val="en-GB"/>
        </w:rPr>
        <w:t>2.6%</w:t>
      </w:r>
      <w:r w:rsidR="003D0ADB">
        <w:rPr>
          <w:lang w:val="en-GB"/>
        </w:rPr>
        <w:t xml:space="preserve">. Ashes are undesirable in combustion processes and </w:t>
      </w:r>
      <w:r w:rsidR="003D0ADB" w:rsidRPr="00421757">
        <w:rPr>
          <w:lang w:val="en-GB"/>
        </w:rPr>
        <w:t>can be a problem at industrial scale operation</w:t>
      </w:r>
      <w:r w:rsidR="003D0ADB">
        <w:rPr>
          <w:lang w:val="en-GB"/>
        </w:rPr>
        <w:t>. F</w:t>
      </w:r>
      <w:r w:rsidR="003D60E5">
        <w:rPr>
          <w:lang w:val="en-GB"/>
        </w:rPr>
        <w:t>inally</w:t>
      </w:r>
      <w:r w:rsidR="003D60E5" w:rsidRPr="00612EF5">
        <w:rPr>
          <w:lang w:val="en-GB"/>
        </w:rPr>
        <w:t>, it is necessary to point out that</w:t>
      </w:r>
      <w:r w:rsidR="003D60E5">
        <w:rPr>
          <w:lang w:val="en-GB"/>
        </w:rPr>
        <w:t xml:space="preserve"> the 16% of carbon monoxide generated by HTL over ozonated feed is another valorizable and toxic by-product. All these minor</w:t>
      </w:r>
      <w:r w:rsidR="003D60E5" w:rsidRPr="00D500E9">
        <w:rPr>
          <w:lang w:val="en-GB"/>
        </w:rPr>
        <w:t xml:space="preserve"> improvements </w:t>
      </w:r>
      <w:r w:rsidR="003D60E5">
        <w:rPr>
          <w:lang w:val="en-GB"/>
        </w:rPr>
        <w:t xml:space="preserve">and risks </w:t>
      </w:r>
      <w:r w:rsidR="003D60E5" w:rsidRPr="00D500E9">
        <w:rPr>
          <w:lang w:val="en-GB"/>
        </w:rPr>
        <w:t xml:space="preserve">need to be </w:t>
      </w:r>
      <w:r w:rsidR="003D60E5" w:rsidRPr="00942AF7">
        <w:rPr>
          <w:lang w:val="en-GB"/>
        </w:rPr>
        <w:t>taken into account</w:t>
      </w:r>
      <w:r w:rsidR="003D60E5">
        <w:rPr>
          <w:lang w:val="en-GB"/>
        </w:rPr>
        <w:t xml:space="preserve"> </w:t>
      </w:r>
      <w:r w:rsidR="003D60E5" w:rsidRPr="0017795E">
        <w:rPr>
          <w:lang w:val="en-GB"/>
        </w:rPr>
        <w:t xml:space="preserve">as they involve an additional cost to be </w:t>
      </w:r>
      <w:r w:rsidR="003D60E5">
        <w:rPr>
          <w:lang w:val="en-GB"/>
        </w:rPr>
        <w:t>pondered</w:t>
      </w:r>
      <w:r w:rsidR="003D60E5" w:rsidRPr="0017795E">
        <w:rPr>
          <w:lang w:val="en-GB"/>
        </w:rPr>
        <w:t xml:space="preserve"> </w:t>
      </w:r>
      <w:r w:rsidR="003D60E5" w:rsidRPr="005209F4">
        <w:rPr>
          <w:lang w:val="en-GB"/>
        </w:rPr>
        <w:t>when calculating</w:t>
      </w:r>
      <w:r w:rsidR="003D60E5" w:rsidRPr="0017795E">
        <w:rPr>
          <w:lang w:val="en-GB"/>
        </w:rPr>
        <w:t xml:space="preserve"> the cost-effectiveness of the overall process</w:t>
      </w:r>
      <w:r w:rsidR="003D60E5">
        <w:rPr>
          <w:lang w:val="en-GB"/>
        </w:rPr>
        <w:t>.</w:t>
      </w:r>
      <w:r w:rsidR="002F7838">
        <w:rPr>
          <w:lang w:val="en-GB"/>
        </w:rPr>
        <w:t xml:space="preserve"> </w:t>
      </w:r>
      <w:r w:rsidR="003D60E5">
        <w:rPr>
          <w:lang w:val="en-GB"/>
        </w:rPr>
        <w:t xml:space="preserve">There </w:t>
      </w:r>
      <w:r w:rsidR="003D60E5" w:rsidRPr="001564B8">
        <w:rPr>
          <w:lang w:val="en-GB"/>
        </w:rPr>
        <w:t xml:space="preserve">is no doubt that further studies will be required before </w:t>
      </w:r>
      <w:r w:rsidR="003D60E5">
        <w:rPr>
          <w:lang w:val="en-GB"/>
        </w:rPr>
        <w:t>ozonation</w:t>
      </w:r>
      <w:r w:rsidR="003D60E5" w:rsidRPr="001564B8">
        <w:rPr>
          <w:lang w:val="en-GB"/>
        </w:rPr>
        <w:t xml:space="preserve"> can be applied to the production of fuels </w:t>
      </w:r>
      <w:r w:rsidR="003D60E5">
        <w:rPr>
          <w:lang w:val="en-GB"/>
        </w:rPr>
        <w:t xml:space="preserve">for HTL </w:t>
      </w:r>
      <w:r w:rsidR="003D60E5" w:rsidRPr="001564B8">
        <w:rPr>
          <w:lang w:val="en-GB"/>
        </w:rPr>
        <w:t xml:space="preserve">from industrial wastes </w:t>
      </w:r>
      <w:r w:rsidR="003D60E5">
        <w:rPr>
          <w:lang w:val="en-GB"/>
        </w:rPr>
        <w:t>on</w:t>
      </w:r>
      <w:r w:rsidR="003D60E5" w:rsidRPr="001564B8">
        <w:rPr>
          <w:lang w:val="en-GB"/>
        </w:rPr>
        <w:t xml:space="preserve"> a bigger scale</w:t>
      </w:r>
      <w:r w:rsidR="003D60E5">
        <w:rPr>
          <w:lang w:val="en-GB"/>
        </w:rPr>
        <w:t>. More experiments with higher ozone doses</w:t>
      </w:r>
      <w:r w:rsidR="003D60E5" w:rsidRPr="001564B8">
        <w:rPr>
          <w:lang w:val="en-GB"/>
        </w:rPr>
        <w:t xml:space="preserve"> </w:t>
      </w:r>
      <w:r w:rsidR="003D60E5">
        <w:rPr>
          <w:lang w:val="en-GB"/>
        </w:rPr>
        <w:t xml:space="preserve">are </w:t>
      </w:r>
      <w:r w:rsidR="003D60E5" w:rsidRPr="00AB4786">
        <w:rPr>
          <w:lang w:val="en-GB"/>
        </w:rPr>
        <w:t>scheduled</w:t>
      </w:r>
      <w:r w:rsidR="003D60E5">
        <w:rPr>
          <w:lang w:val="en-GB"/>
        </w:rPr>
        <w:t xml:space="preserve"> to complete this study</w:t>
      </w:r>
      <w:r w:rsidR="003D60E5" w:rsidRPr="00AB4786">
        <w:rPr>
          <w:lang w:val="en-GB"/>
        </w:rPr>
        <w:t>.</w:t>
      </w:r>
      <w:r w:rsidR="003D60E5">
        <w:rPr>
          <w:lang w:val="en-GB"/>
        </w:rPr>
        <w:t xml:space="preserve"> </w:t>
      </w:r>
    </w:p>
    <w:p w14:paraId="4DD0DF9C" w14:textId="77777777" w:rsidR="003D60E5" w:rsidRPr="00055ED6" w:rsidRDefault="003D60E5" w:rsidP="003D60E5">
      <w:pPr>
        <w:pStyle w:val="CETAcknowledgementstitle"/>
      </w:pPr>
      <w:bookmarkStart w:id="2" w:name="_Hlk106343539"/>
      <w:r w:rsidRPr="00055ED6">
        <w:t>Acknowledgments</w:t>
      </w:r>
    </w:p>
    <w:p w14:paraId="362E6ACF" w14:textId="5DA02A82" w:rsidR="003D60E5" w:rsidRPr="00821D94" w:rsidRDefault="003D60E5" w:rsidP="003D60E5">
      <w:pPr>
        <w:pStyle w:val="CETBodytext"/>
      </w:pPr>
      <w:r w:rsidRPr="003A0420">
        <w:t>Authors are grateful to</w:t>
      </w:r>
      <w:r>
        <w:t xml:space="preserve"> 2014-2020 ERDF Operational Programme and by the Department of Economy, Knowledge, Business and University of the Regional Government of Andalusia (Project reference: FEDER-UCA18-108297) and</w:t>
      </w:r>
      <w:r w:rsidRPr="003A0420">
        <w:t xml:space="preserve"> the AUIP Academic Mobility Scholarship Program. </w:t>
      </w:r>
      <w:r w:rsidRPr="006718CC">
        <w:t>Authors are also grateful to the Spanish Government and ERDF co-founding obtained for infrastructures and scientific-technical equipment, Call 2015 (Ref.: UNCA15-CE-3476</w:t>
      </w:r>
      <w:r w:rsidR="00620B8C">
        <w:t>)</w:t>
      </w:r>
      <w:r w:rsidR="00AF462D">
        <w:t xml:space="preserve"> </w:t>
      </w:r>
      <w:r w:rsidRPr="00821D94">
        <w:t>We would also like to acknowledge the management company Verinsur</w:t>
      </w:r>
      <w:r w:rsidRPr="006718CC">
        <w:t>, through “Cátedra Verinsur-UCA”,</w:t>
      </w:r>
      <w:r w:rsidRPr="00821D94">
        <w:t xml:space="preserve"> for the financial support, the technical information and the wastes supplied for this study.</w:t>
      </w:r>
    </w:p>
    <w:bookmarkEnd w:id="2"/>
    <w:p w14:paraId="2DC4604A" w14:textId="77777777" w:rsidR="003D60E5" w:rsidRPr="00055ED6" w:rsidRDefault="003D60E5" w:rsidP="003D60E5">
      <w:pPr>
        <w:pStyle w:val="CETReference"/>
      </w:pPr>
      <w:r w:rsidRPr="00055ED6">
        <w:t>References</w:t>
      </w:r>
    </w:p>
    <w:p w14:paraId="67B2B5B6" w14:textId="77777777" w:rsidR="00ED1EDC" w:rsidRDefault="003D60E5" w:rsidP="00ED1EDC">
      <w:pPr>
        <w:widowControl w:val="0"/>
        <w:autoSpaceDE w:val="0"/>
        <w:autoSpaceDN w:val="0"/>
        <w:adjustRightInd w:val="0"/>
        <w:spacing w:before="100" w:beforeAutospacing="1" w:line="240" w:lineRule="auto"/>
        <w:ind w:left="482" w:hanging="482"/>
        <w:contextualSpacing/>
        <w:rPr>
          <w:rFonts w:cs="Arial"/>
          <w:noProof/>
          <w:szCs w:val="24"/>
        </w:rPr>
      </w:pPr>
      <w:r w:rsidRPr="000F11D7">
        <w:fldChar w:fldCharType="begin" w:fldLock="1"/>
      </w:r>
      <w:r w:rsidRPr="000F11D7">
        <w:instrText xml:space="preserve">ADDIN Mendeley Bibliography CSL_BIBLIOGRAPHY </w:instrText>
      </w:r>
      <w:r w:rsidRPr="000F11D7">
        <w:fldChar w:fldCharType="separate"/>
      </w:r>
      <w:r w:rsidR="001D4F51" w:rsidRPr="000F11D7">
        <w:rPr>
          <w:rFonts w:cs="Arial"/>
          <w:noProof/>
          <w:szCs w:val="24"/>
        </w:rPr>
        <w:t>Akhtar J., Amin N. A. S.</w:t>
      </w:r>
      <w:r w:rsidR="00142547" w:rsidRPr="000F11D7">
        <w:rPr>
          <w:rFonts w:cs="Arial"/>
          <w:noProof/>
          <w:szCs w:val="24"/>
        </w:rPr>
        <w:t>,</w:t>
      </w:r>
      <w:r w:rsidR="001D4F51" w:rsidRPr="000F11D7">
        <w:rPr>
          <w:rFonts w:cs="Arial"/>
          <w:noProof/>
          <w:szCs w:val="24"/>
        </w:rPr>
        <w:t xml:space="preserve"> 2011</w:t>
      </w:r>
      <w:r w:rsidR="00142547" w:rsidRPr="000F11D7">
        <w:rPr>
          <w:rFonts w:cs="Arial"/>
          <w:noProof/>
          <w:szCs w:val="24"/>
        </w:rPr>
        <w:t>,</w:t>
      </w:r>
      <w:r w:rsidR="001D4F51" w:rsidRPr="000F11D7">
        <w:rPr>
          <w:rFonts w:cs="Arial"/>
          <w:noProof/>
          <w:szCs w:val="24"/>
        </w:rPr>
        <w:t xml:space="preserve"> A review on process conditions for optimum bio-oil yield in hydrothermal liquefaction of biomass</w:t>
      </w:r>
      <w:r w:rsidR="000F11D7" w:rsidRPr="000F11D7">
        <w:rPr>
          <w:rFonts w:cs="Arial"/>
          <w:noProof/>
          <w:szCs w:val="24"/>
        </w:rPr>
        <w:t>,</w:t>
      </w:r>
      <w:r w:rsidR="001D4F51" w:rsidRPr="000F11D7">
        <w:rPr>
          <w:rFonts w:cs="Arial"/>
          <w:noProof/>
          <w:szCs w:val="24"/>
        </w:rPr>
        <w:t xml:space="preserve"> Renewable and Sustainable Energy Reviews, 15(3), 1615–1624. </w:t>
      </w:r>
    </w:p>
    <w:p w14:paraId="6621D272" w14:textId="3FC0EF8C" w:rsidR="001D4F51" w:rsidRPr="000F11D7" w:rsidRDefault="001D4F51" w:rsidP="00ED1EDC">
      <w:pPr>
        <w:widowControl w:val="0"/>
        <w:autoSpaceDE w:val="0"/>
        <w:autoSpaceDN w:val="0"/>
        <w:adjustRightInd w:val="0"/>
        <w:spacing w:before="100" w:beforeAutospacing="1" w:line="240" w:lineRule="auto"/>
        <w:ind w:left="482" w:hanging="482"/>
        <w:contextualSpacing/>
        <w:rPr>
          <w:rFonts w:cs="Arial"/>
          <w:noProof/>
          <w:szCs w:val="24"/>
        </w:rPr>
      </w:pPr>
      <w:r w:rsidRPr="000F11D7">
        <w:rPr>
          <w:rFonts w:cs="Arial"/>
          <w:noProof/>
          <w:szCs w:val="24"/>
        </w:rPr>
        <w:t>Gripa E., Costa A. M., Campos J. C., da Fonseca, F. V.</w:t>
      </w:r>
      <w:r w:rsidR="000F11D7" w:rsidRPr="000F11D7">
        <w:rPr>
          <w:rFonts w:cs="Arial"/>
          <w:noProof/>
          <w:szCs w:val="24"/>
        </w:rPr>
        <w:t xml:space="preserve">, </w:t>
      </w:r>
      <w:r w:rsidRPr="000F11D7">
        <w:rPr>
          <w:rFonts w:cs="Arial"/>
          <w:noProof/>
          <w:szCs w:val="24"/>
        </w:rPr>
        <w:t>2020</w:t>
      </w:r>
      <w:r w:rsidR="000F11D7" w:rsidRPr="000F11D7">
        <w:rPr>
          <w:rFonts w:cs="Arial"/>
          <w:noProof/>
          <w:szCs w:val="24"/>
        </w:rPr>
        <w:t>,</w:t>
      </w:r>
      <w:r w:rsidRPr="000F11D7">
        <w:rPr>
          <w:rFonts w:cs="Arial"/>
          <w:noProof/>
          <w:szCs w:val="24"/>
        </w:rPr>
        <w:t xml:space="preserve"> Ozonation pretreatment for reduction of landfill leachate fouling on membranes: A response surface methodology analysis</w:t>
      </w:r>
      <w:r w:rsidR="000F11D7" w:rsidRPr="000F11D7">
        <w:rPr>
          <w:rFonts w:cs="Arial"/>
          <w:noProof/>
          <w:szCs w:val="24"/>
        </w:rPr>
        <w:t>,</w:t>
      </w:r>
      <w:r w:rsidRPr="000F11D7">
        <w:rPr>
          <w:rFonts w:cs="Arial"/>
          <w:noProof/>
          <w:szCs w:val="24"/>
        </w:rPr>
        <w:t xml:space="preserve"> Processes, 8(5). </w:t>
      </w:r>
    </w:p>
    <w:p w14:paraId="3A93586D" w14:textId="0E686603" w:rsidR="001D4F51" w:rsidRPr="000F11D7" w:rsidRDefault="001D4F51" w:rsidP="00ED1EDC">
      <w:pPr>
        <w:widowControl w:val="0"/>
        <w:autoSpaceDE w:val="0"/>
        <w:autoSpaceDN w:val="0"/>
        <w:adjustRightInd w:val="0"/>
        <w:spacing w:line="240" w:lineRule="auto"/>
        <w:ind w:left="482" w:hanging="482"/>
        <w:rPr>
          <w:rFonts w:cs="Arial"/>
          <w:noProof/>
          <w:szCs w:val="24"/>
        </w:rPr>
      </w:pPr>
      <w:r w:rsidRPr="000F11D7">
        <w:rPr>
          <w:rFonts w:cs="Arial"/>
          <w:noProof/>
          <w:szCs w:val="24"/>
        </w:rPr>
        <w:t>Karagöz S., Bhaskar T., Muto A., Sakata Y., Uddin M. A.</w:t>
      </w:r>
      <w:r w:rsidR="000F11D7" w:rsidRPr="000F11D7">
        <w:rPr>
          <w:rFonts w:cs="Arial"/>
          <w:noProof/>
          <w:szCs w:val="24"/>
        </w:rPr>
        <w:t xml:space="preserve">, </w:t>
      </w:r>
      <w:r w:rsidRPr="000F11D7">
        <w:rPr>
          <w:rFonts w:cs="Arial"/>
          <w:noProof/>
          <w:szCs w:val="24"/>
        </w:rPr>
        <w:t>2004</w:t>
      </w:r>
      <w:r w:rsidR="000F11D7" w:rsidRPr="000F11D7">
        <w:rPr>
          <w:rFonts w:cs="Arial"/>
          <w:noProof/>
          <w:szCs w:val="24"/>
        </w:rPr>
        <w:t>,</w:t>
      </w:r>
      <w:r w:rsidRPr="000F11D7">
        <w:rPr>
          <w:rFonts w:cs="Arial"/>
          <w:noProof/>
          <w:szCs w:val="24"/>
        </w:rPr>
        <w:t xml:space="preserve"> Low-temperature hydrothermal treatment of biomass: Effect of reaction parameters on products and boiling point distributions</w:t>
      </w:r>
      <w:r w:rsidR="000F11D7" w:rsidRPr="000F11D7">
        <w:rPr>
          <w:rFonts w:cs="Arial"/>
          <w:noProof/>
          <w:szCs w:val="24"/>
        </w:rPr>
        <w:t>,</w:t>
      </w:r>
      <w:r w:rsidRPr="000F11D7">
        <w:rPr>
          <w:rFonts w:cs="Arial"/>
          <w:noProof/>
          <w:szCs w:val="24"/>
        </w:rPr>
        <w:t xml:space="preserve"> Energy and Fuels, 18(1), 234–241.</w:t>
      </w:r>
    </w:p>
    <w:p w14:paraId="41B40E7C" w14:textId="67980172" w:rsidR="001D4F51" w:rsidRPr="000F11D7" w:rsidRDefault="001D4F51" w:rsidP="00ED1EDC">
      <w:pPr>
        <w:widowControl w:val="0"/>
        <w:autoSpaceDE w:val="0"/>
        <w:autoSpaceDN w:val="0"/>
        <w:adjustRightInd w:val="0"/>
        <w:spacing w:line="240" w:lineRule="auto"/>
        <w:ind w:left="482" w:hanging="482"/>
        <w:rPr>
          <w:rFonts w:cs="Arial"/>
          <w:noProof/>
          <w:szCs w:val="24"/>
        </w:rPr>
      </w:pPr>
      <w:r w:rsidRPr="000F11D7">
        <w:rPr>
          <w:rFonts w:cs="Arial"/>
          <w:noProof/>
          <w:szCs w:val="24"/>
        </w:rPr>
        <w:t>Kosowski P., Szostek M., Pieniazek R., Antos P., Skrobacz K., Piechowiak T., Zaczek A., Józefczyk R., Balawejder M.</w:t>
      </w:r>
      <w:r w:rsidR="000F11D7" w:rsidRPr="000F11D7">
        <w:rPr>
          <w:rFonts w:cs="Arial"/>
          <w:noProof/>
          <w:szCs w:val="24"/>
        </w:rPr>
        <w:t>,</w:t>
      </w:r>
      <w:r w:rsidRPr="000F11D7">
        <w:rPr>
          <w:rFonts w:cs="Arial"/>
          <w:noProof/>
          <w:szCs w:val="24"/>
        </w:rPr>
        <w:t xml:space="preserve"> 2020</w:t>
      </w:r>
      <w:r w:rsidR="000F11D7" w:rsidRPr="000F11D7">
        <w:rPr>
          <w:rFonts w:cs="Arial"/>
          <w:noProof/>
          <w:szCs w:val="24"/>
        </w:rPr>
        <w:t>,</w:t>
      </w:r>
      <w:r w:rsidRPr="000F11D7">
        <w:rPr>
          <w:rFonts w:cs="Arial"/>
          <w:noProof/>
          <w:szCs w:val="24"/>
        </w:rPr>
        <w:t xml:space="preserve"> New approach for sewage sludge stabilization with ozone</w:t>
      </w:r>
      <w:r w:rsidR="000F11D7" w:rsidRPr="000F11D7">
        <w:rPr>
          <w:rFonts w:cs="Arial"/>
          <w:noProof/>
          <w:szCs w:val="24"/>
        </w:rPr>
        <w:t>,</w:t>
      </w:r>
      <w:r w:rsidRPr="000F11D7">
        <w:rPr>
          <w:rFonts w:cs="Arial"/>
          <w:noProof/>
          <w:szCs w:val="24"/>
        </w:rPr>
        <w:t xml:space="preserve"> Sustainability (Switzerland), 12(3), 1–9.</w:t>
      </w:r>
    </w:p>
    <w:p w14:paraId="339C906D" w14:textId="21166540" w:rsidR="001D4F51" w:rsidRPr="000F11D7" w:rsidRDefault="001D4F51" w:rsidP="00ED1EDC">
      <w:pPr>
        <w:widowControl w:val="0"/>
        <w:autoSpaceDE w:val="0"/>
        <w:autoSpaceDN w:val="0"/>
        <w:adjustRightInd w:val="0"/>
        <w:spacing w:line="240" w:lineRule="auto"/>
        <w:ind w:left="482" w:hanging="482"/>
        <w:rPr>
          <w:rFonts w:cs="Arial"/>
          <w:noProof/>
          <w:szCs w:val="24"/>
        </w:rPr>
      </w:pPr>
      <w:r w:rsidRPr="000F11D7">
        <w:rPr>
          <w:rFonts w:cs="Arial"/>
          <w:noProof/>
          <w:szCs w:val="24"/>
        </w:rPr>
        <w:t>Qu Y., Wei X., Zhong C.</w:t>
      </w:r>
      <w:r w:rsidR="000F11D7">
        <w:rPr>
          <w:rFonts w:cs="Arial"/>
          <w:noProof/>
          <w:szCs w:val="24"/>
        </w:rPr>
        <w:t xml:space="preserve">, </w:t>
      </w:r>
      <w:r w:rsidRPr="000F11D7">
        <w:rPr>
          <w:rFonts w:cs="Arial"/>
          <w:noProof/>
          <w:szCs w:val="24"/>
        </w:rPr>
        <w:t>2003</w:t>
      </w:r>
      <w:r w:rsidR="000F11D7">
        <w:rPr>
          <w:rFonts w:cs="Arial"/>
          <w:noProof/>
          <w:szCs w:val="24"/>
        </w:rPr>
        <w:t>,</w:t>
      </w:r>
      <w:r w:rsidRPr="000F11D7">
        <w:rPr>
          <w:rFonts w:cs="Arial"/>
          <w:noProof/>
          <w:szCs w:val="24"/>
        </w:rPr>
        <w:t xml:space="preserve"> Experimental study on the direct liquefaction of Cunninghamia lanceolata in water</w:t>
      </w:r>
      <w:r w:rsidR="000F11D7">
        <w:rPr>
          <w:rFonts w:cs="Arial"/>
          <w:noProof/>
          <w:szCs w:val="24"/>
        </w:rPr>
        <w:t>,</w:t>
      </w:r>
      <w:r w:rsidRPr="000F11D7">
        <w:rPr>
          <w:rFonts w:cs="Arial"/>
          <w:noProof/>
          <w:szCs w:val="24"/>
        </w:rPr>
        <w:t xml:space="preserve"> Energy, 28(7), 597–606. </w:t>
      </w:r>
    </w:p>
    <w:p w14:paraId="185D7639" w14:textId="7AE50A4F" w:rsidR="001D4F51" w:rsidRPr="000F11D7" w:rsidRDefault="001D4F51" w:rsidP="00ED1EDC">
      <w:pPr>
        <w:widowControl w:val="0"/>
        <w:autoSpaceDE w:val="0"/>
        <w:autoSpaceDN w:val="0"/>
        <w:adjustRightInd w:val="0"/>
        <w:spacing w:line="240" w:lineRule="auto"/>
        <w:ind w:left="482" w:hanging="482"/>
        <w:rPr>
          <w:rFonts w:cs="Arial"/>
          <w:noProof/>
          <w:szCs w:val="24"/>
        </w:rPr>
      </w:pPr>
      <w:r w:rsidRPr="000F11D7">
        <w:rPr>
          <w:rFonts w:cs="Arial"/>
          <w:noProof/>
          <w:szCs w:val="24"/>
        </w:rPr>
        <w:t>Shuping Z., Yulong W., Mingde Y., Kaleem I., Chun L., Tong J</w:t>
      </w:r>
      <w:r w:rsidR="000F11D7">
        <w:rPr>
          <w:rFonts w:cs="Arial"/>
          <w:noProof/>
          <w:szCs w:val="24"/>
        </w:rPr>
        <w:t>,</w:t>
      </w:r>
      <w:r w:rsidRPr="000F11D7">
        <w:rPr>
          <w:rFonts w:cs="Arial"/>
          <w:noProof/>
          <w:szCs w:val="24"/>
        </w:rPr>
        <w:t xml:space="preserve"> 2010</w:t>
      </w:r>
      <w:r w:rsidR="000F11D7">
        <w:rPr>
          <w:rFonts w:cs="Arial"/>
          <w:noProof/>
          <w:szCs w:val="24"/>
        </w:rPr>
        <w:t>,</w:t>
      </w:r>
      <w:r w:rsidRPr="000F11D7">
        <w:rPr>
          <w:rFonts w:cs="Arial"/>
          <w:noProof/>
          <w:szCs w:val="24"/>
        </w:rPr>
        <w:t xml:space="preserve"> Production and characterization of bio-oil from hydrothermal liquefaction of microalgae Dunaliella tertiolecta cake</w:t>
      </w:r>
      <w:r w:rsidR="000F11D7">
        <w:rPr>
          <w:rFonts w:cs="Arial"/>
          <w:noProof/>
          <w:szCs w:val="24"/>
        </w:rPr>
        <w:t>,</w:t>
      </w:r>
      <w:r w:rsidRPr="000F11D7">
        <w:rPr>
          <w:rFonts w:cs="Arial"/>
          <w:noProof/>
          <w:szCs w:val="24"/>
        </w:rPr>
        <w:t xml:space="preserve"> Energy, 35(12), 5406–5411.</w:t>
      </w:r>
    </w:p>
    <w:p w14:paraId="548D2D44" w14:textId="51AAC3F6" w:rsidR="001D4F51" w:rsidRPr="000F11D7" w:rsidRDefault="001D4F51" w:rsidP="00ED1EDC">
      <w:pPr>
        <w:widowControl w:val="0"/>
        <w:autoSpaceDE w:val="0"/>
        <w:autoSpaceDN w:val="0"/>
        <w:adjustRightInd w:val="0"/>
        <w:spacing w:line="240" w:lineRule="auto"/>
        <w:ind w:left="482" w:hanging="482"/>
        <w:rPr>
          <w:rFonts w:cs="Arial"/>
          <w:noProof/>
          <w:szCs w:val="24"/>
        </w:rPr>
      </w:pPr>
      <w:r w:rsidRPr="000F11D7">
        <w:rPr>
          <w:rFonts w:cs="Arial"/>
          <w:noProof/>
          <w:szCs w:val="24"/>
        </w:rPr>
        <w:t>Sugano M., Takagi H., Hirano K., Mashimo K.</w:t>
      </w:r>
      <w:r w:rsidR="000F11D7">
        <w:rPr>
          <w:rFonts w:cs="Arial"/>
          <w:noProof/>
          <w:szCs w:val="24"/>
        </w:rPr>
        <w:t>,</w:t>
      </w:r>
      <w:r w:rsidRPr="000F11D7">
        <w:rPr>
          <w:rFonts w:cs="Arial"/>
          <w:noProof/>
          <w:szCs w:val="24"/>
        </w:rPr>
        <w:t xml:space="preserve"> 2008</w:t>
      </w:r>
      <w:r w:rsidR="000F11D7">
        <w:rPr>
          <w:rFonts w:cs="Arial"/>
          <w:noProof/>
          <w:szCs w:val="24"/>
        </w:rPr>
        <w:t>,</w:t>
      </w:r>
      <w:r w:rsidRPr="000F11D7">
        <w:rPr>
          <w:rFonts w:cs="Arial"/>
          <w:noProof/>
          <w:szCs w:val="24"/>
        </w:rPr>
        <w:t xml:space="preserve"> Hydrothermal liquefaction of plantation biomass with two kinds of wastewater from paper industry</w:t>
      </w:r>
      <w:r w:rsidR="000F11D7">
        <w:rPr>
          <w:rFonts w:cs="Arial"/>
          <w:noProof/>
          <w:szCs w:val="24"/>
        </w:rPr>
        <w:t>,</w:t>
      </w:r>
      <w:r w:rsidRPr="000F11D7">
        <w:rPr>
          <w:rFonts w:cs="Arial"/>
          <w:noProof/>
          <w:szCs w:val="24"/>
        </w:rPr>
        <w:t xml:space="preserve"> Journal of Materials Science, 43(7), 2476–2486. </w:t>
      </w:r>
    </w:p>
    <w:p w14:paraId="470E6B42" w14:textId="7911286B" w:rsidR="001D4F51" w:rsidRPr="000F11D7" w:rsidRDefault="001D4F51" w:rsidP="00ED1EDC">
      <w:pPr>
        <w:widowControl w:val="0"/>
        <w:autoSpaceDE w:val="0"/>
        <w:autoSpaceDN w:val="0"/>
        <w:adjustRightInd w:val="0"/>
        <w:spacing w:line="240" w:lineRule="auto"/>
        <w:ind w:left="482" w:hanging="482"/>
        <w:rPr>
          <w:rFonts w:cs="Arial"/>
          <w:noProof/>
          <w:szCs w:val="24"/>
        </w:rPr>
      </w:pPr>
      <w:r w:rsidRPr="000F11D7">
        <w:rPr>
          <w:rFonts w:cs="Arial"/>
          <w:noProof/>
          <w:szCs w:val="24"/>
        </w:rPr>
        <w:t>Toor S. S., Rosendahl L., Rudolf A.</w:t>
      </w:r>
      <w:r w:rsidR="000F11D7">
        <w:rPr>
          <w:rFonts w:cs="Arial"/>
          <w:noProof/>
          <w:szCs w:val="24"/>
        </w:rPr>
        <w:t xml:space="preserve">, </w:t>
      </w:r>
      <w:r w:rsidRPr="000F11D7">
        <w:rPr>
          <w:rFonts w:cs="Arial"/>
          <w:noProof/>
          <w:szCs w:val="24"/>
        </w:rPr>
        <w:t>2011</w:t>
      </w:r>
      <w:r w:rsidR="000F11D7">
        <w:rPr>
          <w:rFonts w:cs="Arial"/>
          <w:noProof/>
          <w:szCs w:val="24"/>
        </w:rPr>
        <w:t>,</w:t>
      </w:r>
      <w:r w:rsidRPr="000F11D7">
        <w:rPr>
          <w:rFonts w:cs="Arial"/>
          <w:noProof/>
          <w:szCs w:val="24"/>
        </w:rPr>
        <w:t xml:space="preserve"> Hydrothermal liquefaction of biomass: A review of subcritical water technologies</w:t>
      </w:r>
      <w:r w:rsidR="000F11D7">
        <w:rPr>
          <w:rFonts w:cs="Arial"/>
          <w:noProof/>
          <w:szCs w:val="24"/>
        </w:rPr>
        <w:t>,</w:t>
      </w:r>
      <w:r w:rsidRPr="000F11D7">
        <w:rPr>
          <w:rFonts w:cs="Arial"/>
          <w:noProof/>
          <w:szCs w:val="24"/>
        </w:rPr>
        <w:t xml:space="preserve"> Energy, 36(5), 2328–2342. </w:t>
      </w:r>
    </w:p>
    <w:p w14:paraId="0F35AFDA" w14:textId="410A8544" w:rsidR="001D4F51" w:rsidRPr="000F11D7" w:rsidRDefault="001D4F51" w:rsidP="00ED1EDC">
      <w:pPr>
        <w:widowControl w:val="0"/>
        <w:autoSpaceDE w:val="0"/>
        <w:autoSpaceDN w:val="0"/>
        <w:adjustRightInd w:val="0"/>
        <w:spacing w:line="240" w:lineRule="auto"/>
        <w:ind w:left="482" w:hanging="482"/>
        <w:rPr>
          <w:rFonts w:cs="Arial"/>
          <w:noProof/>
          <w:szCs w:val="24"/>
        </w:rPr>
      </w:pPr>
      <w:r w:rsidRPr="000F11D7">
        <w:rPr>
          <w:rFonts w:cs="Arial"/>
          <w:noProof/>
          <w:szCs w:val="24"/>
        </w:rPr>
        <w:t>Yin S., Dolan R., Harris M., Tan Z</w:t>
      </w:r>
      <w:r w:rsidR="000F11D7">
        <w:rPr>
          <w:rFonts w:cs="Arial"/>
          <w:noProof/>
          <w:szCs w:val="24"/>
        </w:rPr>
        <w:t xml:space="preserve">., </w:t>
      </w:r>
      <w:r w:rsidRPr="000F11D7">
        <w:rPr>
          <w:rFonts w:cs="Arial"/>
          <w:noProof/>
          <w:szCs w:val="24"/>
        </w:rPr>
        <w:t>2010</w:t>
      </w:r>
      <w:r w:rsidR="000F11D7">
        <w:rPr>
          <w:rFonts w:cs="Arial"/>
          <w:noProof/>
          <w:szCs w:val="24"/>
        </w:rPr>
        <w:t>,</w:t>
      </w:r>
      <w:r w:rsidRPr="000F11D7">
        <w:rPr>
          <w:rFonts w:cs="Arial"/>
          <w:noProof/>
          <w:szCs w:val="24"/>
        </w:rPr>
        <w:t xml:space="preserve"> Subcritical hydrothermal liquefaction of cattle manure to bio-oil: Effects of conversion parameters on bio-oil yield and characterization of bio-oil</w:t>
      </w:r>
      <w:r w:rsidR="000F11D7">
        <w:rPr>
          <w:rFonts w:cs="Arial"/>
          <w:noProof/>
          <w:szCs w:val="24"/>
        </w:rPr>
        <w:t>,</w:t>
      </w:r>
      <w:r w:rsidRPr="000F11D7">
        <w:rPr>
          <w:rFonts w:cs="Arial"/>
          <w:noProof/>
          <w:szCs w:val="24"/>
        </w:rPr>
        <w:t xml:space="preserve"> Bioresource Technology, 101(10), 3657–3664. </w:t>
      </w:r>
    </w:p>
    <w:p w14:paraId="19C4FC68" w14:textId="03D1F2C2" w:rsidR="004628D2" w:rsidRPr="000F11D7" w:rsidRDefault="001D4F51" w:rsidP="00ED1EDC">
      <w:pPr>
        <w:widowControl w:val="0"/>
        <w:autoSpaceDE w:val="0"/>
        <w:autoSpaceDN w:val="0"/>
        <w:adjustRightInd w:val="0"/>
        <w:spacing w:line="240" w:lineRule="auto"/>
        <w:ind w:left="482" w:hanging="482"/>
      </w:pPr>
      <w:r w:rsidRPr="000F11D7">
        <w:rPr>
          <w:rFonts w:cs="Arial"/>
          <w:noProof/>
          <w:szCs w:val="24"/>
        </w:rPr>
        <w:t>Zhang B., von Keitz M., Valentas K.</w:t>
      </w:r>
      <w:r w:rsidR="000F11D7" w:rsidRPr="000F11D7">
        <w:rPr>
          <w:rFonts w:cs="Arial"/>
          <w:noProof/>
          <w:szCs w:val="24"/>
        </w:rPr>
        <w:t xml:space="preserve">, </w:t>
      </w:r>
      <w:r w:rsidRPr="000F11D7">
        <w:rPr>
          <w:rFonts w:cs="Arial"/>
          <w:noProof/>
          <w:szCs w:val="24"/>
        </w:rPr>
        <w:t>2009</w:t>
      </w:r>
      <w:r w:rsidR="000F11D7" w:rsidRPr="000F11D7">
        <w:rPr>
          <w:rFonts w:cs="Arial"/>
          <w:noProof/>
          <w:szCs w:val="24"/>
        </w:rPr>
        <w:t>,</w:t>
      </w:r>
      <w:r w:rsidRPr="000F11D7">
        <w:rPr>
          <w:rFonts w:cs="Arial"/>
          <w:noProof/>
          <w:szCs w:val="24"/>
        </w:rPr>
        <w:t xml:space="preserve"> Thermochemical liquefaction of high-diversity grassland perennials</w:t>
      </w:r>
      <w:r w:rsidR="000F11D7" w:rsidRPr="000F11D7">
        <w:rPr>
          <w:rFonts w:cs="Arial"/>
          <w:noProof/>
          <w:szCs w:val="24"/>
        </w:rPr>
        <w:t>,</w:t>
      </w:r>
      <w:r w:rsidRPr="000F11D7">
        <w:rPr>
          <w:rFonts w:cs="Arial"/>
          <w:noProof/>
          <w:szCs w:val="24"/>
        </w:rPr>
        <w:t xml:space="preserve"> Journal of Analytical and Applied Pyrolysis, 84(1), 18–24. </w:t>
      </w:r>
      <w:r w:rsidR="003D60E5" w:rsidRPr="000F11D7">
        <w:fldChar w:fldCharType="end"/>
      </w:r>
    </w:p>
    <w:sectPr w:rsidR="004628D2" w:rsidRPr="000F11D7"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8AB21" w14:textId="77777777" w:rsidR="00D14D3A" w:rsidRDefault="00D14D3A" w:rsidP="004F5E36">
      <w:r>
        <w:separator/>
      </w:r>
    </w:p>
  </w:endnote>
  <w:endnote w:type="continuationSeparator" w:id="0">
    <w:p w14:paraId="082ADD08" w14:textId="77777777" w:rsidR="00D14D3A" w:rsidRDefault="00D14D3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DDFD4" w14:textId="77777777" w:rsidR="00D14D3A" w:rsidRDefault="00D14D3A" w:rsidP="004F5E36">
      <w:r>
        <w:separator/>
      </w:r>
    </w:p>
  </w:footnote>
  <w:footnote w:type="continuationSeparator" w:id="0">
    <w:p w14:paraId="63A09887" w14:textId="77777777" w:rsidR="00D14D3A" w:rsidRDefault="00D14D3A"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61493516">
    <w:abstractNumId w:val="10"/>
  </w:num>
  <w:num w:numId="2" w16cid:durableId="1444348162">
    <w:abstractNumId w:val="8"/>
  </w:num>
  <w:num w:numId="3" w16cid:durableId="1489052824">
    <w:abstractNumId w:val="3"/>
  </w:num>
  <w:num w:numId="4" w16cid:durableId="555361700">
    <w:abstractNumId w:val="2"/>
  </w:num>
  <w:num w:numId="5" w16cid:durableId="223105103">
    <w:abstractNumId w:val="1"/>
  </w:num>
  <w:num w:numId="6" w16cid:durableId="344019054">
    <w:abstractNumId w:val="0"/>
  </w:num>
  <w:num w:numId="7" w16cid:durableId="888421070">
    <w:abstractNumId w:val="9"/>
  </w:num>
  <w:num w:numId="8" w16cid:durableId="1337151012">
    <w:abstractNumId w:val="7"/>
  </w:num>
  <w:num w:numId="9" w16cid:durableId="891892901">
    <w:abstractNumId w:val="6"/>
  </w:num>
  <w:num w:numId="10" w16cid:durableId="1037436112">
    <w:abstractNumId w:val="5"/>
  </w:num>
  <w:num w:numId="11" w16cid:durableId="2016416571">
    <w:abstractNumId w:val="4"/>
  </w:num>
  <w:num w:numId="12" w16cid:durableId="43870067">
    <w:abstractNumId w:val="17"/>
  </w:num>
  <w:num w:numId="13" w16cid:durableId="1717001315">
    <w:abstractNumId w:val="12"/>
  </w:num>
  <w:num w:numId="14" w16cid:durableId="1092316363">
    <w:abstractNumId w:val="18"/>
  </w:num>
  <w:num w:numId="15" w16cid:durableId="1391418164">
    <w:abstractNumId w:val="20"/>
  </w:num>
  <w:num w:numId="16" w16cid:durableId="460538700">
    <w:abstractNumId w:val="19"/>
  </w:num>
  <w:num w:numId="17" w16cid:durableId="1356076125">
    <w:abstractNumId w:val="11"/>
  </w:num>
  <w:num w:numId="18" w16cid:durableId="2008745398">
    <w:abstractNumId w:val="12"/>
    <w:lvlOverride w:ilvl="0">
      <w:startOverride w:val="1"/>
    </w:lvlOverride>
  </w:num>
  <w:num w:numId="19" w16cid:durableId="1098525095">
    <w:abstractNumId w:val="16"/>
  </w:num>
  <w:num w:numId="20" w16cid:durableId="2038457565">
    <w:abstractNumId w:val="15"/>
  </w:num>
  <w:num w:numId="21" w16cid:durableId="1337732294">
    <w:abstractNumId w:val="14"/>
  </w:num>
  <w:num w:numId="22" w16cid:durableId="4562655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261A0"/>
    <w:rsid w:val="0003148D"/>
    <w:rsid w:val="00031EEC"/>
    <w:rsid w:val="00051566"/>
    <w:rsid w:val="000562A9"/>
    <w:rsid w:val="00062A9A"/>
    <w:rsid w:val="00065058"/>
    <w:rsid w:val="00086C39"/>
    <w:rsid w:val="000924B1"/>
    <w:rsid w:val="0009672E"/>
    <w:rsid w:val="0009724C"/>
    <w:rsid w:val="000A03B2"/>
    <w:rsid w:val="000D0268"/>
    <w:rsid w:val="000D34BE"/>
    <w:rsid w:val="000D50C6"/>
    <w:rsid w:val="000E102F"/>
    <w:rsid w:val="000E36F1"/>
    <w:rsid w:val="000E3A73"/>
    <w:rsid w:val="000E414A"/>
    <w:rsid w:val="000F093C"/>
    <w:rsid w:val="000F11D7"/>
    <w:rsid w:val="000F705F"/>
    <w:rsid w:val="000F787B"/>
    <w:rsid w:val="00115EE1"/>
    <w:rsid w:val="0012091F"/>
    <w:rsid w:val="00126BC2"/>
    <w:rsid w:val="001308B6"/>
    <w:rsid w:val="0013121F"/>
    <w:rsid w:val="00131FE6"/>
    <w:rsid w:val="0013263F"/>
    <w:rsid w:val="001331DF"/>
    <w:rsid w:val="00134DE4"/>
    <w:rsid w:val="0014034D"/>
    <w:rsid w:val="00142547"/>
    <w:rsid w:val="00144B87"/>
    <w:rsid w:val="00144D16"/>
    <w:rsid w:val="00150E59"/>
    <w:rsid w:val="00152DE3"/>
    <w:rsid w:val="00164CF9"/>
    <w:rsid w:val="00166648"/>
    <w:rsid w:val="001667A6"/>
    <w:rsid w:val="00167A28"/>
    <w:rsid w:val="00184AD6"/>
    <w:rsid w:val="001A4AF7"/>
    <w:rsid w:val="001B0349"/>
    <w:rsid w:val="001B1E93"/>
    <w:rsid w:val="001B3B4A"/>
    <w:rsid w:val="001B47E0"/>
    <w:rsid w:val="001B65C1"/>
    <w:rsid w:val="001C684B"/>
    <w:rsid w:val="001D0CFB"/>
    <w:rsid w:val="001D21AF"/>
    <w:rsid w:val="001D28ED"/>
    <w:rsid w:val="001D4F51"/>
    <w:rsid w:val="001D53FC"/>
    <w:rsid w:val="001F42A5"/>
    <w:rsid w:val="001F7B9D"/>
    <w:rsid w:val="00201C93"/>
    <w:rsid w:val="002224B4"/>
    <w:rsid w:val="002447EF"/>
    <w:rsid w:val="00251550"/>
    <w:rsid w:val="00253086"/>
    <w:rsid w:val="00254E56"/>
    <w:rsid w:val="00256DD1"/>
    <w:rsid w:val="00263B05"/>
    <w:rsid w:val="0027221A"/>
    <w:rsid w:val="00275B61"/>
    <w:rsid w:val="00280FAF"/>
    <w:rsid w:val="00281934"/>
    <w:rsid w:val="00282656"/>
    <w:rsid w:val="00296B83"/>
    <w:rsid w:val="002B4013"/>
    <w:rsid w:val="002B4015"/>
    <w:rsid w:val="002B45AC"/>
    <w:rsid w:val="002B78CE"/>
    <w:rsid w:val="002C2FB6"/>
    <w:rsid w:val="002C4675"/>
    <w:rsid w:val="002C5CD6"/>
    <w:rsid w:val="002D3A65"/>
    <w:rsid w:val="002E5FA7"/>
    <w:rsid w:val="002F3309"/>
    <w:rsid w:val="002F7838"/>
    <w:rsid w:val="003008CE"/>
    <w:rsid w:val="003009B7"/>
    <w:rsid w:val="00300E56"/>
    <w:rsid w:val="0030152C"/>
    <w:rsid w:val="0030469C"/>
    <w:rsid w:val="00321CA6"/>
    <w:rsid w:val="00323763"/>
    <w:rsid w:val="00323C5F"/>
    <w:rsid w:val="00334C09"/>
    <w:rsid w:val="003723D4"/>
    <w:rsid w:val="00375145"/>
    <w:rsid w:val="00381905"/>
    <w:rsid w:val="00384CC8"/>
    <w:rsid w:val="003871FD"/>
    <w:rsid w:val="003A1E30"/>
    <w:rsid w:val="003A2829"/>
    <w:rsid w:val="003A4088"/>
    <w:rsid w:val="003A7D1C"/>
    <w:rsid w:val="003B304B"/>
    <w:rsid w:val="003B3146"/>
    <w:rsid w:val="003D0ADB"/>
    <w:rsid w:val="003D60E5"/>
    <w:rsid w:val="003F015E"/>
    <w:rsid w:val="00400414"/>
    <w:rsid w:val="00400447"/>
    <w:rsid w:val="00411BE8"/>
    <w:rsid w:val="0041446B"/>
    <w:rsid w:val="0044071E"/>
    <w:rsid w:val="0044329C"/>
    <w:rsid w:val="00453E24"/>
    <w:rsid w:val="00457456"/>
    <w:rsid w:val="004577FE"/>
    <w:rsid w:val="00457B9C"/>
    <w:rsid w:val="0046164A"/>
    <w:rsid w:val="004628D2"/>
    <w:rsid w:val="00462DCD"/>
    <w:rsid w:val="004648AD"/>
    <w:rsid w:val="004703A9"/>
    <w:rsid w:val="00472B98"/>
    <w:rsid w:val="004760DE"/>
    <w:rsid w:val="004763D7"/>
    <w:rsid w:val="00480CB7"/>
    <w:rsid w:val="004A004E"/>
    <w:rsid w:val="004A24CF"/>
    <w:rsid w:val="004C3D1D"/>
    <w:rsid w:val="004C3D84"/>
    <w:rsid w:val="004C7913"/>
    <w:rsid w:val="004D2DA3"/>
    <w:rsid w:val="004E4DD6"/>
    <w:rsid w:val="004F034B"/>
    <w:rsid w:val="004F5E36"/>
    <w:rsid w:val="00501E0F"/>
    <w:rsid w:val="00507B47"/>
    <w:rsid w:val="00507BEF"/>
    <w:rsid w:val="00507CC9"/>
    <w:rsid w:val="005119A5"/>
    <w:rsid w:val="005250E2"/>
    <w:rsid w:val="005278B7"/>
    <w:rsid w:val="00532016"/>
    <w:rsid w:val="005346C8"/>
    <w:rsid w:val="00543E7D"/>
    <w:rsid w:val="00547A68"/>
    <w:rsid w:val="005531C9"/>
    <w:rsid w:val="00563A09"/>
    <w:rsid w:val="00570C43"/>
    <w:rsid w:val="00571971"/>
    <w:rsid w:val="005A6C2D"/>
    <w:rsid w:val="005B2110"/>
    <w:rsid w:val="005B271E"/>
    <w:rsid w:val="005B61E6"/>
    <w:rsid w:val="005C77E1"/>
    <w:rsid w:val="005D668A"/>
    <w:rsid w:val="005D6A2F"/>
    <w:rsid w:val="005E1A82"/>
    <w:rsid w:val="005E44CF"/>
    <w:rsid w:val="005E794C"/>
    <w:rsid w:val="005F0A28"/>
    <w:rsid w:val="005F0E5E"/>
    <w:rsid w:val="005F4B95"/>
    <w:rsid w:val="00600535"/>
    <w:rsid w:val="00610CD6"/>
    <w:rsid w:val="00620B8C"/>
    <w:rsid w:val="00620DEE"/>
    <w:rsid w:val="00621F92"/>
    <w:rsid w:val="0062280A"/>
    <w:rsid w:val="00625639"/>
    <w:rsid w:val="00631B33"/>
    <w:rsid w:val="0064184D"/>
    <w:rsid w:val="006422CC"/>
    <w:rsid w:val="006567DD"/>
    <w:rsid w:val="00660E3E"/>
    <w:rsid w:val="00662E74"/>
    <w:rsid w:val="00680C23"/>
    <w:rsid w:val="00690CED"/>
    <w:rsid w:val="00693766"/>
    <w:rsid w:val="006A3281"/>
    <w:rsid w:val="006B4888"/>
    <w:rsid w:val="006C2E45"/>
    <w:rsid w:val="006C2EC6"/>
    <w:rsid w:val="006C359C"/>
    <w:rsid w:val="006C5579"/>
    <w:rsid w:val="006D65BD"/>
    <w:rsid w:val="006D6E8B"/>
    <w:rsid w:val="006E737D"/>
    <w:rsid w:val="00701D1C"/>
    <w:rsid w:val="00713973"/>
    <w:rsid w:val="00715F0D"/>
    <w:rsid w:val="00720A24"/>
    <w:rsid w:val="00732386"/>
    <w:rsid w:val="0073514D"/>
    <w:rsid w:val="007447F3"/>
    <w:rsid w:val="00747F43"/>
    <w:rsid w:val="0075499F"/>
    <w:rsid w:val="007661C8"/>
    <w:rsid w:val="0077098D"/>
    <w:rsid w:val="007729EE"/>
    <w:rsid w:val="007931FA"/>
    <w:rsid w:val="007A4861"/>
    <w:rsid w:val="007A6866"/>
    <w:rsid w:val="007A7BBA"/>
    <w:rsid w:val="007B0C50"/>
    <w:rsid w:val="007B48F9"/>
    <w:rsid w:val="007C1A43"/>
    <w:rsid w:val="007D0951"/>
    <w:rsid w:val="0080013E"/>
    <w:rsid w:val="00810488"/>
    <w:rsid w:val="00813288"/>
    <w:rsid w:val="008168FC"/>
    <w:rsid w:val="00830996"/>
    <w:rsid w:val="008345F1"/>
    <w:rsid w:val="00865B07"/>
    <w:rsid w:val="008667EA"/>
    <w:rsid w:val="0087637F"/>
    <w:rsid w:val="00890E99"/>
    <w:rsid w:val="00892AD5"/>
    <w:rsid w:val="008A1512"/>
    <w:rsid w:val="008B6479"/>
    <w:rsid w:val="008D32B9"/>
    <w:rsid w:val="008D433B"/>
    <w:rsid w:val="008D4A16"/>
    <w:rsid w:val="008E566E"/>
    <w:rsid w:val="0090161A"/>
    <w:rsid w:val="00901EB6"/>
    <w:rsid w:val="00902BB6"/>
    <w:rsid w:val="00904C62"/>
    <w:rsid w:val="00922BA8"/>
    <w:rsid w:val="00924DAC"/>
    <w:rsid w:val="00927058"/>
    <w:rsid w:val="00942750"/>
    <w:rsid w:val="009450CE"/>
    <w:rsid w:val="009459BB"/>
    <w:rsid w:val="00947179"/>
    <w:rsid w:val="0095164B"/>
    <w:rsid w:val="00954090"/>
    <w:rsid w:val="009573E7"/>
    <w:rsid w:val="00963E05"/>
    <w:rsid w:val="00964A45"/>
    <w:rsid w:val="00966115"/>
    <w:rsid w:val="00967843"/>
    <w:rsid w:val="00967D54"/>
    <w:rsid w:val="00971028"/>
    <w:rsid w:val="009816D5"/>
    <w:rsid w:val="00993B84"/>
    <w:rsid w:val="00996483"/>
    <w:rsid w:val="00996F5A"/>
    <w:rsid w:val="009A1ECB"/>
    <w:rsid w:val="009B041A"/>
    <w:rsid w:val="009C37C3"/>
    <w:rsid w:val="009C7C86"/>
    <w:rsid w:val="009D2FF7"/>
    <w:rsid w:val="009E7884"/>
    <w:rsid w:val="009E788A"/>
    <w:rsid w:val="009F0E08"/>
    <w:rsid w:val="009F1339"/>
    <w:rsid w:val="009F7BD9"/>
    <w:rsid w:val="00A015F0"/>
    <w:rsid w:val="00A173C1"/>
    <w:rsid w:val="00A1763D"/>
    <w:rsid w:val="00A17CEC"/>
    <w:rsid w:val="00A27EF0"/>
    <w:rsid w:val="00A42361"/>
    <w:rsid w:val="00A50B20"/>
    <w:rsid w:val="00A50F64"/>
    <w:rsid w:val="00A51390"/>
    <w:rsid w:val="00A60129"/>
    <w:rsid w:val="00A60D13"/>
    <w:rsid w:val="00A66E07"/>
    <w:rsid w:val="00A7223D"/>
    <w:rsid w:val="00A72745"/>
    <w:rsid w:val="00A76EFC"/>
    <w:rsid w:val="00A83F29"/>
    <w:rsid w:val="00A87D50"/>
    <w:rsid w:val="00A91010"/>
    <w:rsid w:val="00A97F29"/>
    <w:rsid w:val="00AA702E"/>
    <w:rsid w:val="00AA7D26"/>
    <w:rsid w:val="00AB0964"/>
    <w:rsid w:val="00AB5011"/>
    <w:rsid w:val="00AB679B"/>
    <w:rsid w:val="00AC7368"/>
    <w:rsid w:val="00AD0554"/>
    <w:rsid w:val="00AD16B9"/>
    <w:rsid w:val="00AD436A"/>
    <w:rsid w:val="00AE377D"/>
    <w:rsid w:val="00AE6F5C"/>
    <w:rsid w:val="00AF0EBA"/>
    <w:rsid w:val="00AF462D"/>
    <w:rsid w:val="00B02C8A"/>
    <w:rsid w:val="00B17FBD"/>
    <w:rsid w:val="00B315A6"/>
    <w:rsid w:val="00B31813"/>
    <w:rsid w:val="00B33365"/>
    <w:rsid w:val="00B57B36"/>
    <w:rsid w:val="00B57E6F"/>
    <w:rsid w:val="00B8686D"/>
    <w:rsid w:val="00B93F69"/>
    <w:rsid w:val="00BB1DDC"/>
    <w:rsid w:val="00BC30C9"/>
    <w:rsid w:val="00BD077D"/>
    <w:rsid w:val="00BE07A6"/>
    <w:rsid w:val="00BE3E58"/>
    <w:rsid w:val="00BF70D8"/>
    <w:rsid w:val="00C01616"/>
    <w:rsid w:val="00C0162B"/>
    <w:rsid w:val="00C068ED"/>
    <w:rsid w:val="00C22E0C"/>
    <w:rsid w:val="00C33673"/>
    <w:rsid w:val="00C345B1"/>
    <w:rsid w:val="00C40142"/>
    <w:rsid w:val="00C42B73"/>
    <w:rsid w:val="00C42DD2"/>
    <w:rsid w:val="00C452DE"/>
    <w:rsid w:val="00C52C3C"/>
    <w:rsid w:val="00C57182"/>
    <w:rsid w:val="00C57863"/>
    <w:rsid w:val="00C640AF"/>
    <w:rsid w:val="00C655FD"/>
    <w:rsid w:val="00C71CA9"/>
    <w:rsid w:val="00C75407"/>
    <w:rsid w:val="00C870A8"/>
    <w:rsid w:val="00C94434"/>
    <w:rsid w:val="00CA0D75"/>
    <w:rsid w:val="00CA1C95"/>
    <w:rsid w:val="00CA3C44"/>
    <w:rsid w:val="00CA5A9C"/>
    <w:rsid w:val="00CC4C20"/>
    <w:rsid w:val="00CD3517"/>
    <w:rsid w:val="00CD4724"/>
    <w:rsid w:val="00CD5FE2"/>
    <w:rsid w:val="00CE7C68"/>
    <w:rsid w:val="00CF7F4D"/>
    <w:rsid w:val="00D02B4C"/>
    <w:rsid w:val="00D040C4"/>
    <w:rsid w:val="00D14D3A"/>
    <w:rsid w:val="00D20AD1"/>
    <w:rsid w:val="00D33B5B"/>
    <w:rsid w:val="00D365F6"/>
    <w:rsid w:val="00D46B7E"/>
    <w:rsid w:val="00D57C84"/>
    <w:rsid w:val="00D6057D"/>
    <w:rsid w:val="00D71640"/>
    <w:rsid w:val="00D836C5"/>
    <w:rsid w:val="00D836FC"/>
    <w:rsid w:val="00D84576"/>
    <w:rsid w:val="00DA1399"/>
    <w:rsid w:val="00DA24C6"/>
    <w:rsid w:val="00DA4D7B"/>
    <w:rsid w:val="00DB431C"/>
    <w:rsid w:val="00DD271C"/>
    <w:rsid w:val="00DE2197"/>
    <w:rsid w:val="00DE264A"/>
    <w:rsid w:val="00DE70C5"/>
    <w:rsid w:val="00DF5072"/>
    <w:rsid w:val="00E02D18"/>
    <w:rsid w:val="00E041E7"/>
    <w:rsid w:val="00E23BCD"/>
    <w:rsid w:val="00E23CA1"/>
    <w:rsid w:val="00E2652A"/>
    <w:rsid w:val="00E409A8"/>
    <w:rsid w:val="00E47574"/>
    <w:rsid w:val="00E50C12"/>
    <w:rsid w:val="00E65B91"/>
    <w:rsid w:val="00E7209D"/>
    <w:rsid w:val="00E72EAD"/>
    <w:rsid w:val="00E756B8"/>
    <w:rsid w:val="00E76223"/>
    <w:rsid w:val="00E77223"/>
    <w:rsid w:val="00E8528B"/>
    <w:rsid w:val="00E85B94"/>
    <w:rsid w:val="00E978D0"/>
    <w:rsid w:val="00EA4613"/>
    <w:rsid w:val="00EA7F91"/>
    <w:rsid w:val="00EB1523"/>
    <w:rsid w:val="00EB162B"/>
    <w:rsid w:val="00EC0E49"/>
    <w:rsid w:val="00EC101F"/>
    <w:rsid w:val="00EC1D9F"/>
    <w:rsid w:val="00ED1EDC"/>
    <w:rsid w:val="00EE0131"/>
    <w:rsid w:val="00EE17B0"/>
    <w:rsid w:val="00EF06D9"/>
    <w:rsid w:val="00F262FE"/>
    <w:rsid w:val="00F3049E"/>
    <w:rsid w:val="00F30C64"/>
    <w:rsid w:val="00F32BA2"/>
    <w:rsid w:val="00F32CDB"/>
    <w:rsid w:val="00F565FE"/>
    <w:rsid w:val="00F61201"/>
    <w:rsid w:val="00F63A70"/>
    <w:rsid w:val="00F63D8C"/>
    <w:rsid w:val="00F7534E"/>
    <w:rsid w:val="00F93EDF"/>
    <w:rsid w:val="00FA1802"/>
    <w:rsid w:val="00FA21D0"/>
    <w:rsid w:val="00FA5F5F"/>
    <w:rsid w:val="00FA6B1B"/>
    <w:rsid w:val="00FB4B7D"/>
    <w:rsid w:val="00FB730C"/>
    <w:rsid w:val="00FC2695"/>
    <w:rsid w:val="00FC31AF"/>
    <w:rsid w:val="00FC3E03"/>
    <w:rsid w:val="00FC3FC1"/>
    <w:rsid w:val="00FD2D2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paragraph" w:styleId="Ttulo">
    <w:name w:val="Title"/>
    <w:basedOn w:val="Normal"/>
    <w:next w:val="Normal"/>
    <w:link w:val="TtuloCar"/>
    <w:uiPriority w:val="10"/>
    <w:qFormat/>
    <w:rsid w:val="003D60E5"/>
    <w:pPr>
      <w:tabs>
        <w:tab w:val="clear" w:pos="7100"/>
      </w:tabs>
      <w:spacing w:line="240" w:lineRule="auto"/>
      <w:contextualSpacing/>
      <w:jc w:val="left"/>
    </w:pPr>
    <w:rPr>
      <w:rFonts w:asciiTheme="majorHAnsi" w:eastAsiaTheme="majorEastAsia" w:hAnsiTheme="majorHAnsi" w:cstheme="majorBidi"/>
      <w:spacing w:val="-10"/>
      <w:kern w:val="28"/>
      <w:sz w:val="56"/>
      <w:szCs w:val="56"/>
      <w:lang w:val="en-US"/>
    </w:rPr>
  </w:style>
  <w:style w:type="character" w:customStyle="1" w:styleId="TtuloCar">
    <w:name w:val="Título Car"/>
    <w:basedOn w:val="Fuentedeprrafopredeter"/>
    <w:link w:val="Ttulo"/>
    <w:uiPriority w:val="10"/>
    <w:rsid w:val="003D60E5"/>
    <w:rPr>
      <w:rFonts w:asciiTheme="majorHAnsi" w:eastAsiaTheme="majorEastAsia" w:hAnsiTheme="majorHAnsi" w:cstheme="majorBidi"/>
      <w:spacing w:val="-10"/>
      <w:kern w:val="28"/>
      <w:sz w:val="56"/>
      <w:szCs w:val="56"/>
      <w:lang w:val="en-US"/>
    </w:rPr>
  </w:style>
  <w:style w:type="paragraph" w:styleId="Revisin">
    <w:name w:val="Revision"/>
    <w:hidden/>
    <w:uiPriority w:val="99"/>
    <w:semiHidden/>
    <w:rsid w:val="00166648"/>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93316">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tero.litio@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Jota\Desktop\TRABAJO\DOCTORADO\Posters,%20Publicaciones%20y%20Congresos\ICHEAP%202023\Nuevo%20Hoja%20de%20c&#225;lculo%20de%20Microsoft%20Excel.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Jota\Desktop\TESIS\FASE%204\Experimentos\Comparativ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ota\Desktop\TESIS\FASE%204\Experimentos\Comparativa.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tx>
            <c:v>Air</c:v>
          </c:tx>
          <c:spPr>
            <a:ln w="19050" cap="rnd">
              <a:solidFill>
                <a:schemeClr val="accent1"/>
              </a:solidFill>
              <a:round/>
            </a:ln>
            <a:effectLst/>
          </c:spPr>
          <c:marker>
            <c:symbol val="circle"/>
            <c:size val="5"/>
            <c:spPr>
              <a:solidFill>
                <a:schemeClr val="accent1"/>
              </a:solidFill>
              <a:ln w="9525">
                <a:solidFill>
                  <a:schemeClr val="accent1">
                    <a:alpha val="95000"/>
                  </a:schemeClr>
                </a:solidFill>
              </a:ln>
              <a:effectLst/>
            </c:spPr>
          </c:marker>
          <c:xVal>
            <c:numRef>
              <c:f>Hoja1!$A$5:$A$10</c:f>
              <c:numCache>
                <c:formatCode>General</c:formatCode>
                <c:ptCount val="6"/>
                <c:pt idx="0">
                  <c:v>0</c:v>
                </c:pt>
                <c:pt idx="1">
                  <c:v>1</c:v>
                </c:pt>
                <c:pt idx="2">
                  <c:v>2</c:v>
                </c:pt>
                <c:pt idx="3">
                  <c:v>3</c:v>
                </c:pt>
                <c:pt idx="4">
                  <c:v>4</c:v>
                </c:pt>
                <c:pt idx="5">
                  <c:v>5</c:v>
                </c:pt>
              </c:numCache>
            </c:numRef>
          </c:xVal>
          <c:yVal>
            <c:numRef>
              <c:f>Hoja1!$B$5:$B$10</c:f>
              <c:numCache>
                <c:formatCode>General</c:formatCode>
                <c:ptCount val="6"/>
                <c:pt idx="0">
                  <c:v>0</c:v>
                </c:pt>
                <c:pt idx="1">
                  <c:v>140</c:v>
                </c:pt>
                <c:pt idx="2">
                  <c:v>180</c:v>
                </c:pt>
                <c:pt idx="3">
                  <c:v>220</c:v>
                </c:pt>
                <c:pt idx="4">
                  <c:v>280</c:v>
                </c:pt>
                <c:pt idx="5">
                  <c:v>300</c:v>
                </c:pt>
              </c:numCache>
            </c:numRef>
          </c:yVal>
          <c:smooth val="0"/>
          <c:extLst>
            <c:ext xmlns:c16="http://schemas.microsoft.com/office/drawing/2014/chart" uri="{C3380CC4-5D6E-409C-BE32-E72D297353CC}">
              <c16:uniqueId val="{00000000-DDF2-4FCF-88C3-EF90D98AD81D}"/>
            </c:ext>
          </c:extLst>
        </c:ser>
        <c:ser>
          <c:idx val="1"/>
          <c:order val="1"/>
          <c:tx>
            <c:strRef>
              <c:f>Hoja1!$C$4</c:f>
              <c:strCache>
                <c:ptCount val="1"/>
                <c:pt idx="0">
                  <c:v>Ozone A</c:v>
                </c:pt>
              </c:strCache>
            </c:strRef>
          </c:tx>
          <c:spPr>
            <a:ln w="19050" cap="rnd">
              <a:solidFill>
                <a:schemeClr val="accent2"/>
              </a:solidFill>
              <a:round/>
            </a:ln>
            <a:effectLst/>
          </c:spPr>
          <c:marker>
            <c:symbol val="triangle"/>
            <c:size val="5"/>
            <c:spPr>
              <a:solidFill>
                <a:schemeClr val="accent2"/>
              </a:solidFill>
              <a:ln w="9525">
                <a:solidFill>
                  <a:schemeClr val="accent2"/>
                </a:solidFill>
              </a:ln>
              <a:effectLst/>
            </c:spPr>
          </c:marker>
          <c:xVal>
            <c:numRef>
              <c:f>Hoja1!$A$5:$A$10</c:f>
              <c:numCache>
                <c:formatCode>General</c:formatCode>
                <c:ptCount val="6"/>
                <c:pt idx="0">
                  <c:v>0</c:v>
                </c:pt>
                <c:pt idx="1">
                  <c:v>1</c:v>
                </c:pt>
                <c:pt idx="2">
                  <c:v>2</c:v>
                </c:pt>
                <c:pt idx="3">
                  <c:v>3</c:v>
                </c:pt>
                <c:pt idx="4">
                  <c:v>4</c:v>
                </c:pt>
                <c:pt idx="5">
                  <c:v>5</c:v>
                </c:pt>
              </c:numCache>
            </c:numRef>
          </c:xVal>
          <c:yVal>
            <c:numRef>
              <c:f>Hoja1!$C$5:$C$10</c:f>
              <c:numCache>
                <c:formatCode>General</c:formatCode>
                <c:ptCount val="6"/>
                <c:pt idx="0">
                  <c:v>0</c:v>
                </c:pt>
                <c:pt idx="1">
                  <c:v>120</c:v>
                </c:pt>
                <c:pt idx="2">
                  <c:v>140</c:v>
                </c:pt>
                <c:pt idx="3">
                  <c:v>170</c:v>
                </c:pt>
                <c:pt idx="4">
                  <c:v>210</c:v>
                </c:pt>
                <c:pt idx="5">
                  <c:v>210</c:v>
                </c:pt>
              </c:numCache>
            </c:numRef>
          </c:yVal>
          <c:smooth val="0"/>
          <c:extLst>
            <c:ext xmlns:c16="http://schemas.microsoft.com/office/drawing/2014/chart" uri="{C3380CC4-5D6E-409C-BE32-E72D297353CC}">
              <c16:uniqueId val="{00000001-DDF2-4FCF-88C3-EF90D98AD81D}"/>
            </c:ext>
          </c:extLst>
        </c:ser>
        <c:ser>
          <c:idx val="2"/>
          <c:order val="2"/>
          <c:tx>
            <c:strRef>
              <c:f>Hoja1!$D$4</c:f>
              <c:strCache>
                <c:ptCount val="1"/>
                <c:pt idx="0">
                  <c:v>Ozone B</c:v>
                </c:pt>
              </c:strCache>
            </c:strRef>
          </c:tx>
          <c:spPr>
            <a:ln w="19050" cap="rnd">
              <a:solidFill>
                <a:schemeClr val="accent3"/>
              </a:solidFill>
              <a:round/>
            </a:ln>
            <a:effectLst/>
          </c:spPr>
          <c:marker>
            <c:symbol val="square"/>
            <c:size val="5"/>
            <c:spPr>
              <a:solidFill>
                <a:schemeClr val="accent3"/>
              </a:solidFill>
              <a:ln w="9525">
                <a:solidFill>
                  <a:schemeClr val="accent3"/>
                </a:solidFill>
              </a:ln>
              <a:effectLst/>
            </c:spPr>
          </c:marker>
          <c:xVal>
            <c:numRef>
              <c:f>Hoja1!$A$5:$A$10</c:f>
              <c:numCache>
                <c:formatCode>General</c:formatCode>
                <c:ptCount val="6"/>
                <c:pt idx="0">
                  <c:v>0</c:v>
                </c:pt>
                <c:pt idx="1">
                  <c:v>1</c:v>
                </c:pt>
                <c:pt idx="2">
                  <c:v>2</c:v>
                </c:pt>
                <c:pt idx="3">
                  <c:v>3</c:v>
                </c:pt>
                <c:pt idx="4">
                  <c:v>4</c:v>
                </c:pt>
                <c:pt idx="5">
                  <c:v>5</c:v>
                </c:pt>
              </c:numCache>
            </c:numRef>
          </c:xVal>
          <c:yVal>
            <c:numRef>
              <c:f>Hoja1!$D$5:$D$10</c:f>
              <c:numCache>
                <c:formatCode>General</c:formatCode>
                <c:ptCount val="6"/>
                <c:pt idx="0">
                  <c:v>0</c:v>
                </c:pt>
                <c:pt idx="1">
                  <c:v>140</c:v>
                </c:pt>
                <c:pt idx="2">
                  <c:v>170</c:v>
                </c:pt>
                <c:pt idx="3">
                  <c:v>200</c:v>
                </c:pt>
                <c:pt idx="4">
                  <c:v>220</c:v>
                </c:pt>
                <c:pt idx="5">
                  <c:v>220</c:v>
                </c:pt>
              </c:numCache>
            </c:numRef>
          </c:yVal>
          <c:smooth val="0"/>
          <c:extLst>
            <c:ext xmlns:c16="http://schemas.microsoft.com/office/drawing/2014/chart" uri="{C3380CC4-5D6E-409C-BE32-E72D297353CC}">
              <c16:uniqueId val="{00000002-DDF2-4FCF-88C3-EF90D98AD81D}"/>
            </c:ext>
          </c:extLst>
        </c:ser>
        <c:dLbls>
          <c:showLegendKey val="0"/>
          <c:showVal val="0"/>
          <c:showCatName val="0"/>
          <c:showSerName val="0"/>
          <c:showPercent val="0"/>
          <c:showBubbleSize val="0"/>
        </c:dLbls>
        <c:axId val="892235024"/>
        <c:axId val="892231280"/>
      </c:scatterChart>
      <c:valAx>
        <c:axId val="892235024"/>
        <c:scaling>
          <c:orientation val="minMax"/>
          <c:max val="5"/>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 (min.)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2231280"/>
        <c:crosses val="autoZero"/>
        <c:crossBetween val="midCat"/>
      </c:valAx>
      <c:valAx>
        <c:axId val="8922312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Foam</a:t>
                </a:r>
                <a:r>
                  <a:rPr lang="en-US" baseline="0"/>
                  <a:t> volume (mL)</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2235024"/>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Gas composition for HTL0</a:t>
            </a:r>
          </a:p>
          <a:p>
            <a:pPr>
              <a:defRPr/>
            </a:pPr>
            <a:r>
              <a:rPr lang="es-ES"/>
              <a:t>No O</a:t>
            </a:r>
            <a:r>
              <a:rPr lang="es-ES" sz="1100"/>
              <a:t>3</a:t>
            </a:r>
            <a:r>
              <a:rPr lang="es-ES"/>
              <a:t> pre-treatment</a:t>
            </a:r>
            <a:endParaRPr lang="es-ES" baseline="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v>CO2</c:v>
          </c:tx>
          <c:spPr>
            <a:solidFill>
              <a:schemeClr val="accent2">
                <a:lumMod val="75000"/>
              </a:schemeClr>
            </a:solidFill>
            <a:ln>
              <a:noFill/>
            </a:ln>
            <a:effectLst/>
          </c:spPr>
          <c:invertIfNegative val="0"/>
          <c:cat>
            <c:strLit>
              <c:ptCount val="2"/>
              <c:pt idx="0">
                <c:v>Full</c:v>
              </c:pt>
              <c:pt idx="1">
                <c:v>Without N2</c:v>
              </c:pt>
            </c:strLit>
          </c:cat>
          <c:val>
            <c:numRef>
              <c:f>(Hoja1!$AA$222,Hoja1!$AB$222)</c:f>
              <c:numCache>
                <c:formatCode>0.00</c:formatCode>
                <c:ptCount val="2"/>
                <c:pt idx="0">
                  <c:v>0.65599677646242005</c:v>
                </c:pt>
                <c:pt idx="1">
                  <c:v>70.240853977521738</c:v>
                </c:pt>
              </c:numCache>
            </c:numRef>
          </c:val>
          <c:extLst>
            <c:ext xmlns:c16="http://schemas.microsoft.com/office/drawing/2014/chart" uri="{C3380CC4-5D6E-409C-BE32-E72D297353CC}">
              <c16:uniqueId val="{00000000-ED6A-4B80-81B5-1FB89A46F349}"/>
            </c:ext>
          </c:extLst>
        </c:ser>
        <c:ser>
          <c:idx val="1"/>
          <c:order val="1"/>
          <c:tx>
            <c:v>O2</c:v>
          </c:tx>
          <c:spPr>
            <a:solidFill>
              <a:srgbClr val="92D050"/>
            </a:solidFill>
            <a:ln>
              <a:noFill/>
            </a:ln>
            <a:effectLst/>
          </c:spPr>
          <c:invertIfNegative val="0"/>
          <c:cat>
            <c:strLit>
              <c:ptCount val="2"/>
              <c:pt idx="0">
                <c:v>Full</c:v>
              </c:pt>
              <c:pt idx="1">
                <c:v>Without N2</c:v>
              </c:pt>
            </c:strLit>
          </c:cat>
          <c:val>
            <c:numRef>
              <c:f>(Hoja1!$AA$221,Hoja1!$AB$221)</c:f>
              <c:numCache>
                <c:formatCode>0.00</c:formatCode>
                <c:ptCount val="2"/>
                <c:pt idx="0">
                  <c:v>0.30139656011735855</c:v>
                </c:pt>
                <c:pt idx="1">
                  <c:v>29.759146022478266</c:v>
                </c:pt>
              </c:numCache>
            </c:numRef>
          </c:val>
          <c:extLst>
            <c:ext xmlns:c16="http://schemas.microsoft.com/office/drawing/2014/chart" uri="{C3380CC4-5D6E-409C-BE32-E72D297353CC}">
              <c16:uniqueId val="{00000001-ED6A-4B80-81B5-1FB89A46F349}"/>
            </c:ext>
          </c:extLst>
        </c:ser>
        <c:ser>
          <c:idx val="2"/>
          <c:order val="2"/>
          <c:tx>
            <c:v>N2</c:v>
          </c:tx>
          <c:spPr>
            <a:solidFill>
              <a:schemeClr val="bg1">
                <a:lumMod val="75000"/>
              </a:schemeClr>
            </a:solidFill>
            <a:ln>
              <a:noFill/>
            </a:ln>
            <a:effectLst/>
          </c:spPr>
          <c:invertIfNegative val="0"/>
          <c:cat>
            <c:strLit>
              <c:ptCount val="2"/>
              <c:pt idx="0">
                <c:v>Full</c:v>
              </c:pt>
              <c:pt idx="1">
                <c:v>Without N2</c:v>
              </c:pt>
            </c:strLit>
          </c:cat>
          <c:val>
            <c:numRef>
              <c:f>Hoja1!$AA$220</c:f>
              <c:numCache>
                <c:formatCode>0.00</c:formatCode>
                <c:ptCount val="1"/>
                <c:pt idx="0">
                  <c:v>99.04260666342023</c:v>
                </c:pt>
              </c:numCache>
            </c:numRef>
          </c:val>
          <c:extLst>
            <c:ext xmlns:c16="http://schemas.microsoft.com/office/drawing/2014/chart" uri="{C3380CC4-5D6E-409C-BE32-E72D297353CC}">
              <c16:uniqueId val="{00000002-ED6A-4B80-81B5-1FB89A46F349}"/>
            </c:ext>
          </c:extLst>
        </c:ser>
        <c:ser>
          <c:idx val="3"/>
          <c:order val="3"/>
          <c:tx>
            <c:v>CO</c:v>
          </c:tx>
          <c:spPr>
            <a:solidFill>
              <a:schemeClr val="accent4"/>
            </a:solidFill>
            <a:ln>
              <a:noFill/>
            </a:ln>
            <a:effectLst/>
          </c:spPr>
          <c:invertIfNegative val="0"/>
          <c:cat>
            <c:strLit>
              <c:ptCount val="2"/>
              <c:pt idx="0">
                <c:v>Full</c:v>
              </c:pt>
              <c:pt idx="1">
                <c:v>Without N2</c:v>
              </c:pt>
            </c:strLit>
          </c:cat>
          <c:val>
            <c:numRef>
              <c:f>(Hoja1!$AA$219,Hoja1!$AB$219)</c:f>
              <c:numCache>
                <c:formatCode>0.00</c:formatCode>
                <c:ptCount val="2"/>
                <c:pt idx="0">
                  <c:v>0</c:v>
                </c:pt>
                <c:pt idx="1">
                  <c:v>0</c:v>
                </c:pt>
              </c:numCache>
            </c:numRef>
          </c:val>
          <c:extLst>
            <c:ext xmlns:c16="http://schemas.microsoft.com/office/drawing/2014/chart" uri="{C3380CC4-5D6E-409C-BE32-E72D297353CC}">
              <c16:uniqueId val="{00000003-ED6A-4B80-81B5-1FB89A46F349}"/>
            </c:ext>
          </c:extLst>
        </c:ser>
        <c:dLbls>
          <c:showLegendKey val="0"/>
          <c:showVal val="0"/>
          <c:showCatName val="0"/>
          <c:showSerName val="0"/>
          <c:showPercent val="0"/>
          <c:showBubbleSize val="0"/>
        </c:dLbls>
        <c:gapWidth val="150"/>
        <c:overlap val="100"/>
        <c:axId val="589900096"/>
        <c:axId val="589902720"/>
      </c:barChart>
      <c:catAx>
        <c:axId val="5899000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9902720"/>
        <c:crosses val="autoZero"/>
        <c:auto val="1"/>
        <c:lblAlgn val="ctr"/>
        <c:lblOffset val="100"/>
        <c:noMultiLvlLbl val="0"/>
      </c:catAx>
      <c:valAx>
        <c:axId val="5899027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99000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Gas composition for HTL1</a:t>
            </a:r>
          </a:p>
          <a:p>
            <a:pPr>
              <a:defRPr/>
            </a:pPr>
            <a:r>
              <a:rPr lang="es-ES"/>
              <a:t>O</a:t>
            </a:r>
            <a:r>
              <a:rPr lang="es-ES" sz="1100"/>
              <a:t>3</a:t>
            </a:r>
            <a:r>
              <a:rPr lang="es-ES"/>
              <a:t> pre-treatment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v>CO2</c:v>
          </c:tx>
          <c:spPr>
            <a:solidFill>
              <a:schemeClr val="accent2">
                <a:lumMod val="75000"/>
              </a:schemeClr>
            </a:solidFill>
            <a:ln>
              <a:noFill/>
            </a:ln>
            <a:effectLst/>
          </c:spPr>
          <c:invertIfNegative val="0"/>
          <c:cat>
            <c:strLit>
              <c:ptCount val="2"/>
              <c:pt idx="0">
                <c:v>Full</c:v>
              </c:pt>
              <c:pt idx="1">
                <c:v>Without N2</c:v>
              </c:pt>
            </c:strLit>
          </c:cat>
          <c:val>
            <c:numRef>
              <c:f>(Hoja1!$Z$183,Hoja1!$AA$183)</c:f>
              <c:numCache>
                <c:formatCode>0.00</c:formatCode>
                <c:ptCount val="2"/>
                <c:pt idx="0">
                  <c:v>0.92140087887499478</c:v>
                </c:pt>
                <c:pt idx="1">
                  <c:v>67.871336885722258</c:v>
                </c:pt>
              </c:numCache>
            </c:numRef>
          </c:val>
          <c:extLst>
            <c:ext xmlns:c16="http://schemas.microsoft.com/office/drawing/2014/chart" uri="{C3380CC4-5D6E-409C-BE32-E72D297353CC}">
              <c16:uniqueId val="{00000000-E179-4580-B869-9AF5E8F5A040}"/>
            </c:ext>
          </c:extLst>
        </c:ser>
        <c:ser>
          <c:idx val="1"/>
          <c:order val="1"/>
          <c:tx>
            <c:v>O2</c:v>
          </c:tx>
          <c:spPr>
            <a:solidFill>
              <a:srgbClr val="92D050"/>
            </a:solidFill>
            <a:ln>
              <a:noFill/>
            </a:ln>
            <a:effectLst/>
          </c:spPr>
          <c:invertIfNegative val="0"/>
          <c:cat>
            <c:strLit>
              <c:ptCount val="2"/>
              <c:pt idx="0">
                <c:v>Full</c:v>
              </c:pt>
              <c:pt idx="1">
                <c:v>Without N2</c:v>
              </c:pt>
            </c:strLit>
          </c:cat>
          <c:val>
            <c:numRef>
              <c:f>(Hoja1!$Z$182,Hoja1!$AA$182)</c:f>
              <c:numCache>
                <c:formatCode>0.00</c:formatCode>
                <c:ptCount val="2"/>
                <c:pt idx="0">
                  <c:v>0.21337240197599092</c:v>
                </c:pt>
                <c:pt idx="1">
                  <c:v>15.804917376423631</c:v>
                </c:pt>
              </c:numCache>
            </c:numRef>
          </c:val>
          <c:extLst>
            <c:ext xmlns:c16="http://schemas.microsoft.com/office/drawing/2014/chart" uri="{C3380CC4-5D6E-409C-BE32-E72D297353CC}">
              <c16:uniqueId val="{00000001-E179-4580-B869-9AF5E8F5A040}"/>
            </c:ext>
          </c:extLst>
        </c:ser>
        <c:ser>
          <c:idx val="2"/>
          <c:order val="2"/>
          <c:tx>
            <c:v>N2</c:v>
          </c:tx>
          <c:spPr>
            <a:solidFill>
              <a:schemeClr val="bg1">
                <a:lumMod val="75000"/>
              </a:schemeClr>
            </a:solidFill>
            <a:ln>
              <a:noFill/>
            </a:ln>
            <a:effectLst/>
          </c:spPr>
          <c:invertIfNegative val="0"/>
          <c:cat>
            <c:strLit>
              <c:ptCount val="2"/>
              <c:pt idx="0">
                <c:v>Full</c:v>
              </c:pt>
              <c:pt idx="1">
                <c:v>Without N2</c:v>
              </c:pt>
            </c:strLit>
          </c:cat>
          <c:val>
            <c:numRef>
              <c:f>Hoja1!$Z$181</c:f>
              <c:numCache>
                <c:formatCode>0.00</c:formatCode>
                <c:ptCount val="1"/>
                <c:pt idx="0">
                  <c:v>98.637201301000019</c:v>
                </c:pt>
              </c:numCache>
            </c:numRef>
          </c:val>
          <c:extLst>
            <c:ext xmlns:c16="http://schemas.microsoft.com/office/drawing/2014/chart" uri="{C3380CC4-5D6E-409C-BE32-E72D297353CC}">
              <c16:uniqueId val="{00000002-E179-4580-B869-9AF5E8F5A040}"/>
            </c:ext>
          </c:extLst>
        </c:ser>
        <c:ser>
          <c:idx val="3"/>
          <c:order val="3"/>
          <c:tx>
            <c:v>CO</c:v>
          </c:tx>
          <c:spPr>
            <a:solidFill>
              <a:schemeClr val="accent4"/>
            </a:solidFill>
            <a:ln>
              <a:noFill/>
            </a:ln>
            <a:effectLst/>
          </c:spPr>
          <c:invertIfNegative val="0"/>
          <c:cat>
            <c:strLit>
              <c:ptCount val="2"/>
              <c:pt idx="0">
                <c:v>Full</c:v>
              </c:pt>
              <c:pt idx="1">
                <c:v>Without N2</c:v>
              </c:pt>
            </c:strLit>
          </c:cat>
          <c:val>
            <c:numRef>
              <c:f>(Hoja1!$Z$180,Hoja1!$AA$180)</c:f>
              <c:numCache>
                <c:formatCode>0.00</c:formatCode>
                <c:ptCount val="2"/>
                <c:pt idx="0">
                  <c:v>0.22117499248839612</c:v>
                </c:pt>
                <c:pt idx="1">
                  <c:v>16.323745737854114</c:v>
                </c:pt>
              </c:numCache>
            </c:numRef>
          </c:val>
          <c:extLst>
            <c:ext xmlns:c16="http://schemas.microsoft.com/office/drawing/2014/chart" uri="{C3380CC4-5D6E-409C-BE32-E72D297353CC}">
              <c16:uniqueId val="{00000003-E179-4580-B869-9AF5E8F5A040}"/>
            </c:ext>
          </c:extLst>
        </c:ser>
        <c:dLbls>
          <c:showLegendKey val="0"/>
          <c:showVal val="0"/>
          <c:showCatName val="0"/>
          <c:showSerName val="0"/>
          <c:showPercent val="0"/>
          <c:showBubbleSize val="0"/>
        </c:dLbls>
        <c:gapWidth val="150"/>
        <c:overlap val="100"/>
        <c:axId val="589900096"/>
        <c:axId val="589902720"/>
      </c:barChart>
      <c:catAx>
        <c:axId val="5899000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9902720"/>
        <c:crosses val="autoZero"/>
        <c:auto val="1"/>
        <c:lblAlgn val="ctr"/>
        <c:lblOffset val="100"/>
        <c:noMultiLvlLbl val="0"/>
      </c:catAx>
      <c:valAx>
        <c:axId val="5899027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99000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ADF8C-D810-4438-A9D5-60D829257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7043</Words>
  <Characters>40148</Characters>
  <Application>Microsoft Office Word</Application>
  <DocSecurity>0</DocSecurity>
  <Lines>334</Lines>
  <Paragraphs>94</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47097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Jota</cp:lastModifiedBy>
  <cp:revision>5</cp:revision>
  <cp:lastPrinted>2015-05-12T18:31:00Z</cp:lastPrinted>
  <dcterms:created xsi:type="dcterms:W3CDTF">2023-04-14T10:16:00Z</dcterms:created>
  <dcterms:modified xsi:type="dcterms:W3CDTF">2023-04-15T15:34:00Z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Citation Style_1">
    <vt:lpwstr>http://www.zotero.org/styles/apa</vt:lpwstr>
  </property>
  <property fmtid="{D5CDD505-2E9C-101B-9397-08002B2CF9AE}" pid="6" name="Mendeley Unique User Id_1">
    <vt:lpwstr>88b36da3-5dab-3255-94e9-c0a134ab9dab</vt:lpwstr>
  </property>
  <property fmtid="{D5CDD505-2E9C-101B-9397-08002B2CF9AE}" pid="7" name="Mendeley Recent Style Id 0_1">
    <vt:lpwstr>http://www.zotero.org/styles/american-political-science-association</vt:lpwstr>
  </property>
  <property fmtid="{D5CDD505-2E9C-101B-9397-08002B2CF9AE}" pid="8" name="Mendeley Recent Style Name 0_1">
    <vt:lpwstr>American Political Science Association</vt:lpwstr>
  </property>
  <property fmtid="{D5CDD505-2E9C-101B-9397-08002B2CF9AE}" pid="9" name="Mendeley Recent Style Id 1_1">
    <vt:lpwstr>http://www.zotero.org/styles/apa</vt:lpwstr>
  </property>
  <property fmtid="{D5CDD505-2E9C-101B-9397-08002B2CF9AE}" pid="10" name="Mendeley Recent Style Name 1_1">
    <vt:lpwstr>American Psychological Association 7th edition</vt:lpwstr>
  </property>
  <property fmtid="{D5CDD505-2E9C-101B-9397-08002B2CF9AE}" pid="11" name="Mendeley Recent Style Id 2_1">
    <vt:lpwstr>http://www.zotero.org/styles/american-sociological-association</vt:lpwstr>
  </property>
  <property fmtid="{D5CDD505-2E9C-101B-9397-08002B2CF9AE}" pid="12" name="Mendeley Recent Style Name 2_1">
    <vt:lpwstr>American Sociological Association 6th edition</vt:lpwstr>
  </property>
  <property fmtid="{D5CDD505-2E9C-101B-9397-08002B2CF9AE}" pid="13" name="Mendeley Recent Style Id 3_1">
    <vt:lpwstr>http://www.zotero.org/styles/chicago-author-date</vt:lpwstr>
  </property>
  <property fmtid="{D5CDD505-2E9C-101B-9397-08002B2CF9AE}" pid="14" name="Mendeley Recent Style Name 3_1">
    <vt:lpwstr>Chicago Manual of Style 17th edition (author-date)</vt:lpwstr>
  </property>
  <property fmtid="{D5CDD505-2E9C-101B-9397-08002B2CF9AE}" pid="15" name="Mendeley Recent Style Id 4_1">
    <vt:lpwstr>http://www.zotero.org/styles/harvard-cite-them-right</vt:lpwstr>
  </property>
  <property fmtid="{D5CDD505-2E9C-101B-9397-08002B2CF9AE}" pid="16" name="Mendeley Recent Style Name 4_1">
    <vt:lpwstr>Cite Them Right 12th edition - Harvard</vt:lpwstr>
  </property>
  <property fmtid="{D5CDD505-2E9C-101B-9397-08002B2CF9AE}" pid="17" name="Mendeley Recent Style Id 5_1">
    <vt:lpwstr>http://www.zotero.org/styles/harvard1</vt:lpwstr>
  </property>
  <property fmtid="{D5CDD505-2E9C-101B-9397-08002B2CF9AE}" pid="18" name="Mendeley Recent Style Name 5_1">
    <vt:lpwstr>Harvard reference format 1 (deprecated)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8th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