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agen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agen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679AA2AE" w14:textId="6BF0DA3D" w:rsidR="00DE7F3E" w:rsidRPr="00DE7F3E" w:rsidRDefault="00DE7F3E" w:rsidP="00DE7F3E">
      <w:pPr>
        <w:pStyle w:val="CETTitle"/>
      </w:pPr>
      <w:r>
        <w:t>POTENTIAL APPLICATION OF RENEWABLE EUTECTIC MIXTURES AS PHASE CHANGE MATERIALS FOR THERMAL ENERGY STORAGE</w:t>
      </w:r>
    </w:p>
    <w:p w14:paraId="263D82B8" w14:textId="68419108" w:rsidR="006F3932" w:rsidRPr="001C7C2D" w:rsidRDefault="006F3932" w:rsidP="006F3932">
      <w:pPr>
        <w:pStyle w:val="CETAuthors"/>
        <w:rPr>
          <w:lang w:val="es-CO"/>
        </w:rPr>
      </w:pPr>
      <w:r w:rsidRPr="001C7C2D">
        <w:rPr>
          <w:lang w:val="es-CO"/>
        </w:rPr>
        <w:t>Víctor Alexis Lizcano-González</w:t>
      </w:r>
      <w:r w:rsidRPr="001C7C2D">
        <w:rPr>
          <w:vertAlign w:val="superscript"/>
          <w:lang w:val="es-CO"/>
        </w:rPr>
        <w:t>a</w:t>
      </w:r>
      <w:r w:rsidRPr="001C7C2D">
        <w:rPr>
          <w:lang w:val="es-CO"/>
        </w:rPr>
        <w:t xml:space="preserve">, </w:t>
      </w:r>
      <w:r w:rsidR="001C7C2D" w:rsidRPr="001C7C2D">
        <w:rPr>
          <w:lang w:val="es-CO"/>
        </w:rPr>
        <w:t>Viatcheslav Kafarov</w:t>
      </w:r>
      <w:r w:rsidR="001C7C2D" w:rsidRPr="001C7C2D">
        <w:rPr>
          <w:vertAlign w:val="superscript"/>
          <w:lang w:val="es-CO"/>
        </w:rPr>
        <w:t>a</w:t>
      </w:r>
      <w:r w:rsidR="001C7C2D" w:rsidRPr="001C7C2D">
        <w:rPr>
          <w:lang w:val="es-CO"/>
        </w:rPr>
        <w:t>*</w:t>
      </w:r>
      <w:r w:rsidR="001C7C2D">
        <w:rPr>
          <w:lang w:val="es-CO"/>
        </w:rPr>
        <w:t>,</w:t>
      </w:r>
      <w:r w:rsidR="001C7C2D" w:rsidRPr="001C7C2D">
        <w:rPr>
          <w:lang w:val="es-CO"/>
        </w:rPr>
        <w:t xml:space="preserve"> Khamid Mahkamov</w:t>
      </w:r>
      <w:r w:rsidR="001C7C2D" w:rsidRPr="001C7C2D">
        <w:rPr>
          <w:vertAlign w:val="superscript"/>
          <w:lang w:val="es-CO"/>
        </w:rPr>
        <w:t>b</w:t>
      </w:r>
      <w:r w:rsidR="001C7C2D" w:rsidRPr="001C7C2D">
        <w:rPr>
          <w:lang w:val="es-CO"/>
        </w:rPr>
        <w:t xml:space="preserve">, </w:t>
      </w:r>
      <w:r w:rsidRPr="001C7C2D">
        <w:rPr>
          <w:lang w:val="es-CO"/>
        </w:rPr>
        <w:t>María Paula Carvajal Arciniegas</w:t>
      </w:r>
      <w:r w:rsidRPr="001C7C2D">
        <w:rPr>
          <w:vertAlign w:val="superscript"/>
          <w:lang w:val="es-CO"/>
        </w:rPr>
        <w:t>a</w:t>
      </w:r>
      <w:r w:rsidRPr="001C7C2D">
        <w:rPr>
          <w:lang w:val="es-CO"/>
        </w:rPr>
        <w:t>,</w:t>
      </w:r>
      <w:r w:rsidR="001C7C2D">
        <w:rPr>
          <w:lang w:val="es-CO"/>
        </w:rPr>
        <w:t xml:space="preserve"> and</w:t>
      </w:r>
      <w:r w:rsidRPr="001C7C2D">
        <w:rPr>
          <w:lang w:val="es-CO"/>
        </w:rPr>
        <w:t xml:space="preserve"> Nelcy Daniela Socha Rojas</w:t>
      </w:r>
      <w:r w:rsidRPr="001C7C2D">
        <w:rPr>
          <w:vertAlign w:val="superscript"/>
          <w:lang w:val="es-CO"/>
        </w:rPr>
        <w:t>a</w:t>
      </w:r>
    </w:p>
    <w:p w14:paraId="57314381" w14:textId="77777777" w:rsidR="006F3932" w:rsidRDefault="006F3932" w:rsidP="006F3932">
      <w:pPr>
        <w:pStyle w:val="CETAddress"/>
      </w:pPr>
      <w:r w:rsidRPr="006F3932">
        <w:rPr>
          <w:vertAlign w:val="superscript"/>
        </w:rPr>
        <w:t xml:space="preserve">a </w:t>
      </w:r>
      <w:r>
        <w:t xml:space="preserve">Department of Chemical Engineering, Carrera 27 Calle 9, Universidad Industrial de Santander, Bucaramanga, Colombia </w:t>
      </w:r>
    </w:p>
    <w:p w14:paraId="0D24A3D3" w14:textId="77777777" w:rsidR="006F3932" w:rsidRDefault="006F3932" w:rsidP="006F3932">
      <w:pPr>
        <w:pStyle w:val="CETAddress"/>
      </w:pPr>
      <w:r w:rsidRPr="006F3932">
        <w:rPr>
          <w:vertAlign w:val="superscript"/>
        </w:rPr>
        <w:t>b</w:t>
      </w:r>
      <w:r>
        <w:t xml:space="preserve"> Department of Mechanical and Construction Engineering, Sutherland Building Newcastle-upon-Tyne NE1 8ST, Northumbria University, United Kingdom </w:t>
      </w:r>
    </w:p>
    <w:p w14:paraId="68882F63" w14:textId="17F78136" w:rsidR="006F3932" w:rsidRDefault="006F3932" w:rsidP="006F3932">
      <w:pPr>
        <w:pStyle w:val="CETAddress"/>
      </w:pPr>
      <w:r>
        <w:t>*Corresponding author. E-mail address: kafarov@uis.edu.co (V. Kafarov).</w:t>
      </w:r>
    </w:p>
    <w:p w14:paraId="10E958C1" w14:textId="77777777" w:rsidR="006F3932" w:rsidRPr="006F3932" w:rsidRDefault="006F3932" w:rsidP="006F3932">
      <w:pPr>
        <w:pStyle w:val="CETBodytext"/>
        <w:rPr>
          <w:lang w:val="en-GB"/>
        </w:rPr>
      </w:pPr>
    </w:p>
    <w:p w14:paraId="46C5E2D0" w14:textId="4F04A4F7" w:rsidR="008718DD" w:rsidRPr="008718DD" w:rsidRDefault="00C50053" w:rsidP="008718DD">
      <w:pPr>
        <w:pStyle w:val="CETBodytext"/>
        <w:rPr>
          <w:lang w:val="en-GB"/>
        </w:rPr>
      </w:pPr>
      <w:r w:rsidRPr="00E04BE5">
        <w:rPr>
          <w:lang w:val="en-GB"/>
        </w:rPr>
        <w:t>Many</w:t>
      </w:r>
      <w:r w:rsidR="00E04BE5" w:rsidRPr="00E04BE5">
        <w:rPr>
          <w:lang w:val="en-GB"/>
        </w:rPr>
        <w:t xml:space="preserve"> </w:t>
      </w:r>
      <w:r w:rsidRPr="00E04BE5">
        <w:rPr>
          <w:lang w:val="en-GB"/>
        </w:rPr>
        <w:t>energies</w:t>
      </w:r>
      <w:r w:rsidR="00E04BE5" w:rsidRPr="00E04BE5">
        <w:rPr>
          <w:lang w:val="en-GB"/>
        </w:rPr>
        <w:t xml:space="preserve"> management and storage technologies use phase change materials (PCM) to increase process efficiency. Technologies such as solar thermal energy storage, passive temperature management in buildings, even the development of high-performance sportswear employ various type</w:t>
      </w:r>
      <w:r w:rsidR="00614BB9">
        <w:rPr>
          <w:lang w:val="en-GB"/>
        </w:rPr>
        <w:t>s of PCM</w:t>
      </w:r>
      <w:r w:rsidR="00E04BE5" w:rsidRPr="00E04BE5">
        <w:rPr>
          <w:lang w:val="en-GB"/>
        </w:rPr>
        <w:t>. Phase change materials can be classified according to the working temperature, their nature or the phase transition, highlighting the use of materials of renewa</w:t>
      </w:r>
      <w:r w:rsidR="0069024C">
        <w:rPr>
          <w:lang w:val="en-GB"/>
        </w:rPr>
        <w:t>ble origin</w:t>
      </w:r>
      <w:r w:rsidR="00E04BE5" w:rsidRPr="00E04BE5">
        <w:rPr>
          <w:lang w:val="en-GB"/>
        </w:rPr>
        <w:t xml:space="preserve">. There are different methodologies to modify the properties of PCM, among which the preparation of eutectic mixtures stands out. This is a technique that allows obtaining PCM with a lower melting temperature than </w:t>
      </w:r>
      <w:r w:rsidR="00614BB9">
        <w:rPr>
          <w:lang w:val="en-GB"/>
        </w:rPr>
        <w:t>that of the initial components</w:t>
      </w:r>
      <w:r w:rsidR="00E04BE5" w:rsidRPr="00E04BE5">
        <w:rPr>
          <w:lang w:val="en-GB"/>
        </w:rPr>
        <w:t xml:space="preserve">. Considering the above, this work presents the thermal characterization of mixtures of palm stearin, hydrogenated palm stearin, </w:t>
      </w:r>
      <w:r w:rsidRPr="00E04BE5">
        <w:rPr>
          <w:lang w:val="en-GB"/>
        </w:rPr>
        <w:t>beeswax,</w:t>
      </w:r>
      <w:r w:rsidR="00E04BE5" w:rsidRPr="00E04BE5">
        <w:rPr>
          <w:lang w:val="en-GB"/>
        </w:rPr>
        <w:t xml:space="preserve"> and paraffin wax in order to evaluate the heat storage potential of the resulting products. Mixing ratios of 80:20, 65:35, 50:50, 35:65 and 20:80 were evaluated. Melting and crystallisation temperatures and enthalpies and their solid and liquid heat capacities were measured by differential scanning calorimetry. The thermal stability of the mixtures was also determined by thermogravimetric analysis. From the results obtained, the PCM obtained by mixing beeswax and hydrogenated palm stearin, which presents its eutectic melting point for the mixture ratio of 50:50 with a temperature of 56 °C and an enthalpy of fusion of 264 kJ/kg, stands out.</w:t>
      </w:r>
    </w:p>
    <w:p w14:paraId="476B2F2E" w14:textId="5E85389E" w:rsidR="00600535" w:rsidRDefault="00600535" w:rsidP="00600535">
      <w:pPr>
        <w:pStyle w:val="CETHeading1"/>
        <w:rPr>
          <w:lang w:val="en-GB"/>
        </w:rPr>
      </w:pPr>
      <w:r w:rsidRPr="00B57B36">
        <w:rPr>
          <w:lang w:val="en-GB"/>
        </w:rPr>
        <w:t>Introduction</w:t>
      </w:r>
    </w:p>
    <w:p w14:paraId="46ACEA15" w14:textId="2C19AD29" w:rsidR="00F113E2" w:rsidRDefault="00F113E2" w:rsidP="00F113E2">
      <w:pPr>
        <w:pStyle w:val="CETBodytext"/>
        <w:rPr>
          <w:lang w:val="en-GB"/>
        </w:rPr>
      </w:pPr>
      <w:r w:rsidRPr="00F113E2">
        <w:rPr>
          <w:lang w:val="en-GB"/>
        </w:rPr>
        <w:t xml:space="preserve">Population growth has a significant impact on global energy consumption. Most of its production is obtained from fossil resources such as coal, natural gas, </w:t>
      </w:r>
      <w:r w:rsidR="00E77A56" w:rsidRPr="00F113E2">
        <w:rPr>
          <w:lang w:val="en-GB"/>
        </w:rPr>
        <w:t>oil,</w:t>
      </w:r>
      <w:r w:rsidRPr="00F113E2">
        <w:rPr>
          <w:lang w:val="en-GB"/>
        </w:rPr>
        <w:t xml:space="preserve"> and its derivatives, which have a negative impact on the environment </w:t>
      </w:r>
      <w:sdt>
        <w:sdtPr>
          <w:rPr>
            <w:lang w:val="en-GB"/>
          </w:rPr>
          <w:id w:val="-109281218"/>
          <w:citation/>
        </w:sdtPr>
        <w:sdtEndPr/>
        <w:sdtContent>
          <w:r w:rsidR="00E91926">
            <w:rPr>
              <w:lang w:val="en-GB"/>
            </w:rPr>
            <w:fldChar w:fldCharType="begin"/>
          </w:r>
          <w:r w:rsidR="00E91926">
            <w:instrText xml:space="preserve">CITATION Pas16 \l 2058 </w:instrText>
          </w:r>
          <w:r w:rsidR="00E91926">
            <w:rPr>
              <w:lang w:val="en-GB"/>
            </w:rPr>
            <w:fldChar w:fldCharType="separate"/>
          </w:r>
          <w:r w:rsidR="00D82FD6" w:rsidRPr="00D82FD6">
            <w:rPr>
              <w:noProof/>
            </w:rPr>
            <w:t>(Pasquevich, 2016)</w:t>
          </w:r>
          <w:r w:rsidR="00E91926">
            <w:rPr>
              <w:lang w:val="en-GB"/>
            </w:rPr>
            <w:fldChar w:fldCharType="end"/>
          </w:r>
        </w:sdtContent>
      </w:sdt>
      <w:r w:rsidRPr="00F113E2">
        <w:rPr>
          <w:lang w:val="en-GB"/>
        </w:rPr>
        <w:t xml:space="preserve">. The use of renewable resources allows supplying part of the energy demand, taking advantage of various sources such as solar, wind, hydro, geothermal, among others. </w:t>
      </w:r>
    </w:p>
    <w:p w14:paraId="729CF10E" w14:textId="3526004F" w:rsidR="00F113E2" w:rsidRDefault="00F113E2" w:rsidP="00F113E2">
      <w:pPr>
        <w:pStyle w:val="CETBodytext"/>
        <w:rPr>
          <w:lang w:val="en-GB"/>
        </w:rPr>
      </w:pPr>
      <w:r w:rsidRPr="00F113E2">
        <w:rPr>
          <w:lang w:val="en-GB"/>
        </w:rPr>
        <w:t>The use of solar energy includes photovoltaic solar energy and solar thermal energy, the latter being commonly used for hot</w:t>
      </w:r>
      <w:r w:rsidR="00E91926">
        <w:rPr>
          <w:lang w:val="en-GB"/>
        </w:rPr>
        <w:t xml:space="preserve"> water supply and space heating</w:t>
      </w:r>
      <w:sdt>
        <w:sdtPr>
          <w:rPr>
            <w:lang w:val="en-GB"/>
          </w:rPr>
          <w:id w:val="-1832516902"/>
          <w:citation/>
        </w:sdtPr>
        <w:sdtEndPr/>
        <w:sdtContent>
          <w:r w:rsidR="00E91926">
            <w:rPr>
              <w:lang w:val="en-GB"/>
            </w:rPr>
            <w:fldChar w:fldCharType="begin"/>
          </w:r>
          <w:r w:rsidR="00E91926" w:rsidRPr="00E91926">
            <w:instrText xml:space="preserve"> CITATION Age08 \l 2058 </w:instrText>
          </w:r>
          <w:r w:rsidR="00E91926">
            <w:rPr>
              <w:lang w:val="en-GB"/>
            </w:rPr>
            <w:fldChar w:fldCharType="separate"/>
          </w:r>
          <w:r w:rsidR="00D82FD6">
            <w:rPr>
              <w:noProof/>
            </w:rPr>
            <w:t xml:space="preserve"> </w:t>
          </w:r>
          <w:r w:rsidR="00D82FD6" w:rsidRPr="00D82FD6">
            <w:rPr>
              <w:noProof/>
            </w:rPr>
            <w:t>(Agencia Valenciana de la Energía , 2008)</w:t>
          </w:r>
          <w:r w:rsidR="00E91926">
            <w:rPr>
              <w:lang w:val="en-GB"/>
            </w:rPr>
            <w:fldChar w:fldCharType="end"/>
          </w:r>
        </w:sdtContent>
      </w:sdt>
      <w:r w:rsidR="00E91926">
        <w:rPr>
          <w:lang w:val="en-GB"/>
        </w:rPr>
        <w:t>.</w:t>
      </w:r>
      <w:r w:rsidR="005D0AB8">
        <w:rPr>
          <w:lang w:val="en-GB"/>
        </w:rPr>
        <w:t xml:space="preserve"> </w:t>
      </w:r>
      <w:r w:rsidRPr="00F113E2">
        <w:rPr>
          <w:lang w:val="en-GB"/>
        </w:rPr>
        <w:t>Solar thermal systems (TES) capture solar radiation and transfer it in the form of heat to a fluid for further use. Many of the TES also employ a heat storage system, which can be either sensible heat or latent heat</w:t>
      </w:r>
      <w:sdt>
        <w:sdtPr>
          <w:rPr>
            <w:lang w:val="en-GB"/>
          </w:rPr>
          <w:id w:val="-467976615"/>
          <w:citation/>
        </w:sdtPr>
        <w:sdtEndPr/>
        <w:sdtContent>
          <w:r w:rsidR="004A306E">
            <w:rPr>
              <w:lang w:val="en-GB"/>
            </w:rPr>
            <w:fldChar w:fldCharType="begin"/>
          </w:r>
          <w:r w:rsidR="004A306E" w:rsidRPr="004A306E">
            <w:instrText xml:space="preserve"> CITATION Sak21 \l 2058 </w:instrText>
          </w:r>
          <w:r w:rsidR="004A306E">
            <w:rPr>
              <w:lang w:val="en-GB"/>
            </w:rPr>
            <w:fldChar w:fldCharType="separate"/>
          </w:r>
          <w:r w:rsidR="00D82FD6">
            <w:rPr>
              <w:noProof/>
            </w:rPr>
            <w:t xml:space="preserve"> </w:t>
          </w:r>
          <w:r w:rsidR="00D82FD6" w:rsidRPr="00D82FD6">
            <w:rPr>
              <w:noProof/>
            </w:rPr>
            <w:t>(Sakhaei &amp; Valipour, 2021)</w:t>
          </w:r>
          <w:r w:rsidR="004A306E">
            <w:rPr>
              <w:lang w:val="en-GB"/>
            </w:rPr>
            <w:fldChar w:fldCharType="end"/>
          </w:r>
        </w:sdtContent>
      </w:sdt>
      <w:r w:rsidRPr="00F113E2">
        <w:rPr>
          <w:lang w:val="en-GB"/>
        </w:rPr>
        <w:t xml:space="preserve">. For latent heat storage, the use of phase change materials (PCM) is required, which must have some characteristics such as </w:t>
      </w:r>
      <w:r w:rsidR="000E6AA5" w:rsidRPr="000E6AA5">
        <w:rPr>
          <w:lang w:val="en-GB"/>
        </w:rPr>
        <w:t>melting temperature suitable for the application</w:t>
      </w:r>
      <w:r w:rsidRPr="00F113E2">
        <w:rPr>
          <w:lang w:val="en-GB"/>
        </w:rPr>
        <w:t>, chemical stability, high thermal conductivity, among others</w:t>
      </w:r>
      <w:r w:rsidR="004A306E" w:rsidRPr="004A306E">
        <w:rPr>
          <w:lang w:val="en-GB"/>
        </w:rPr>
        <w:t xml:space="preserve"> </w:t>
      </w:r>
      <w:r w:rsidR="004A306E" w:rsidRPr="004A306E">
        <w:rPr>
          <w:noProof/>
        </w:rPr>
        <w:t xml:space="preserve">(Lui, </w:t>
      </w:r>
      <w:r w:rsidR="00A56558">
        <w:rPr>
          <w:noProof/>
        </w:rPr>
        <w:t>et al.</w:t>
      </w:r>
      <w:r w:rsidR="004A306E" w:rsidRPr="004A306E">
        <w:rPr>
          <w:noProof/>
        </w:rPr>
        <w:t>, 2021)</w:t>
      </w:r>
      <w:r w:rsidR="00E04BE5">
        <w:rPr>
          <w:lang w:val="en-GB"/>
        </w:rPr>
        <w:t xml:space="preserve">. </w:t>
      </w:r>
      <w:r w:rsidR="00DA06E5">
        <w:rPr>
          <w:lang w:val="en-GB"/>
        </w:rPr>
        <w:t>This characteristic</w:t>
      </w:r>
      <w:r w:rsidR="00E04BE5">
        <w:rPr>
          <w:lang w:val="en-GB"/>
        </w:rPr>
        <w:t xml:space="preserve"> can be </w:t>
      </w:r>
      <w:r w:rsidR="00DA06E5">
        <w:rPr>
          <w:lang w:val="en-GB"/>
        </w:rPr>
        <w:t>enhancing</w:t>
      </w:r>
      <w:r w:rsidR="00E04BE5">
        <w:rPr>
          <w:lang w:val="en-GB"/>
        </w:rPr>
        <w:t xml:space="preserve"> by </w:t>
      </w:r>
      <w:r w:rsidRPr="00F113E2">
        <w:rPr>
          <w:lang w:val="en-GB"/>
        </w:rPr>
        <w:t>using mixtures of different materials, known as eutectic mixtures.</w:t>
      </w:r>
    </w:p>
    <w:p w14:paraId="37D9EB60" w14:textId="7AA30F85" w:rsidR="00F44A00" w:rsidRDefault="00F113E2" w:rsidP="00F113E2">
      <w:pPr>
        <w:pStyle w:val="CETBodytext"/>
        <w:rPr>
          <w:lang w:val="en-GB"/>
        </w:rPr>
      </w:pPr>
      <w:r w:rsidRPr="00F113E2">
        <w:rPr>
          <w:lang w:val="en-GB"/>
        </w:rPr>
        <w:t xml:space="preserve">Eutectic mixtures are obtained by heating two or more solids in an established proportion that undergo a solid-liquid phase change at a given temperature </w:t>
      </w:r>
      <w:r w:rsidR="00AD0D76">
        <w:rPr>
          <w:noProof/>
        </w:rPr>
        <w:t>(Alonso et al.</w:t>
      </w:r>
      <w:r w:rsidR="00AD0D76" w:rsidRPr="00AD0D76">
        <w:rPr>
          <w:noProof/>
        </w:rPr>
        <w:t>, 2018)</w:t>
      </w:r>
      <w:r w:rsidRPr="00F113E2">
        <w:rPr>
          <w:lang w:val="en-GB"/>
        </w:rPr>
        <w:t xml:space="preserve">. </w:t>
      </w:r>
      <w:r w:rsidR="009F777A" w:rsidRPr="009F777A">
        <w:rPr>
          <w:lang w:val="en-GB"/>
        </w:rPr>
        <w:t>The components of the mixture influence its eutectic point</w:t>
      </w:r>
      <w:r w:rsidR="009431CE">
        <w:rPr>
          <w:lang w:val="en-GB"/>
        </w:rPr>
        <w:t>.</w:t>
      </w:r>
      <w:r w:rsidR="009F777A" w:rsidRPr="009F777A">
        <w:rPr>
          <w:lang w:val="en-GB"/>
        </w:rPr>
        <w:t xml:space="preserve"> </w:t>
      </w:r>
      <w:r w:rsidR="009431CE">
        <w:rPr>
          <w:lang w:val="en-GB"/>
        </w:rPr>
        <w:t>Some</w:t>
      </w:r>
      <w:r w:rsidR="009F777A" w:rsidRPr="009F777A">
        <w:rPr>
          <w:lang w:val="en-GB"/>
        </w:rPr>
        <w:t xml:space="preserve"> studies </w:t>
      </w:r>
      <w:r w:rsidR="009431CE">
        <w:rPr>
          <w:lang w:val="en-GB"/>
        </w:rPr>
        <w:t>conclude that</w:t>
      </w:r>
      <w:r w:rsidR="009F777A" w:rsidRPr="009F777A">
        <w:rPr>
          <w:lang w:val="en-GB"/>
        </w:rPr>
        <w:t xml:space="preserve"> this point occurs in </w:t>
      </w:r>
      <w:r w:rsidR="00AD2C4D">
        <w:rPr>
          <w:lang w:val="en-GB"/>
        </w:rPr>
        <w:t>50:50 ratios such as Polyethylene G</w:t>
      </w:r>
      <w:r w:rsidR="00AD2C4D" w:rsidRPr="00AD2C4D">
        <w:rPr>
          <w:lang w:val="en-GB"/>
        </w:rPr>
        <w:t>lycol 6000</w:t>
      </w:r>
      <w:r w:rsidR="00AD2C4D">
        <w:rPr>
          <w:lang w:val="en-GB"/>
        </w:rPr>
        <w:t xml:space="preserve"> (PEG600)</w:t>
      </w:r>
      <w:r w:rsidR="00E93E2D">
        <w:rPr>
          <w:lang w:val="en-GB"/>
        </w:rPr>
        <w:t>/</w:t>
      </w:r>
      <w:r w:rsidR="00AD2C4D" w:rsidRPr="00AD2C4D">
        <w:rPr>
          <w:lang w:val="en-GB"/>
        </w:rPr>
        <w:t xml:space="preserve">Myristic </w:t>
      </w:r>
      <w:r w:rsidR="00AD2C4D">
        <w:rPr>
          <w:lang w:val="en-GB"/>
        </w:rPr>
        <w:t>A</w:t>
      </w:r>
      <w:r w:rsidR="00AD2C4D" w:rsidRPr="00AD2C4D">
        <w:rPr>
          <w:lang w:val="en-GB"/>
        </w:rPr>
        <w:t>cid</w:t>
      </w:r>
      <w:r w:rsidR="00AD2C4D">
        <w:rPr>
          <w:lang w:val="en-GB"/>
        </w:rPr>
        <w:t xml:space="preserve"> (MA)</w:t>
      </w:r>
      <w:r w:rsidR="00AD2C4D" w:rsidRPr="00AD2C4D">
        <w:rPr>
          <w:lang w:val="en-GB"/>
        </w:rPr>
        <w:t xml:space="preserve"> </w:t>
      </w:r>
      <w:r w:rsidR="00B609C9">
        <w:rPr>
          <w:noProof/>
        </w:rPr>
        <w:t>(Ansu</w:t>
      </w:r>
      <w:r w:rsidR="00B609C9" w:rsidRPr="00B609C9">
        <w:rPr>
          <w:noProof/>
        </w:rPr>
        <w:t>,</w:t>
      </w:r>
      <w:r w:rsidR="00B609C9">
        <w:rPr>
          <w:noProof/>
        </w:rPr>
        <w:t xml:space="preserve"> et al.,</w:t>
      </w:r>
      <w:r w:rsidR="00B609C9" w:rsidRPr="00B609C9">
        <w:rPr>
          <w:noProof/>
        </w:rPr>
        <w:t xml:space="preserve"> 2021)</w:t>
      </w:r>
      <w:r w:rsidR="009F777A" w:rsidRPr="009F777A">
        <w:rPr>
          <w:lang w:val="en-GB"/>
        </w:rPr>
        <w:t xml:space="preserve"> </w:t>
      </w:r>
      <w:r w:rsidR="003D04C0" w:rsidRPr="003D04C0">
        <w:rPr>
          <w:lang w:val="en-GB"/>
        </w:rPr>
        <w:t>while</w:t>
      </w:r>
      <w:r w:rsidR="009F777A" w:rsidRPr="009F777A">
        <w:rPr>
          <w:lang w:val="en-GB"/>
        </w:rPr>
        <w:t xml:space="preserve"> for </w:t>
      </w:r>
      <w:r w:rsidR="003D04C0" w:rsidRPr="003D04C0">
        <w:rPr>
          <w:lang w:val="en-GB"/>
        </w:rPr>
        <w:t>others this point lies</w:t>
      </w:r>
      <w:r w:rsidR="009F777A" w:rsidRPr="009F777A">
        <w:rPr>
          <w:lang w:val="en-GB"/>
        </w:rPr>
        <w:t xml:space="preserve"> with </w:t>
      </w:r>
      <w:r w:rsidR="003D04C0" w:rsidRPr="003D04C0">
        <w:rPr>
          <w:lang w:val="en-GB"/>
        </w:rPr>
        <w:t>the</w:t>
      </w:r>
      <w:r w:rsidR="009F777A" w:rsidRPr="009F777A">
        <w:rPr>
          <w:lang w:val="en-GB"/>
        </w:rPr>
        <w:t xml:space="preserve"> majority of one of the components such as </w:t>
      </w:r>
      <w:r w:rsidR="00AD2C4D">
        <w:rPr>
          <w:lang w:val="en-GB"/>
        </w:rPr>
        <w:t>Stearic A</w:t>
      </w:r>
      <w:r w:rsidR="00AD2C4D" w:rsidRPr="00AD2C4D">
        <w:rPr>
          <w:lang w:val="en-GB"/>
        </w:rPr>
        <w:t>cid</w:t>
      </w:r>
      <w:r w:rsidR="00AD2C4D">
        <w:rPr>
          <w:lang w:val="en-GB"/>
        </w:rPr>
        <w:t xml:space="preserve"> (</w:t>
      </w:r>
      <w:r w:rsidR="009F777A">
        <w:rPr>
          <w:lang w:val="en-GB"/>
        </w:rPr>
        <w:t>SA</w:t>
      </w:r>
      <w:r w:rsidR="00AD2C4D">
        <w:rPr>
          <w:lang w:val="en-GB"/>
        </w:rPr>
        <w:t>)</w:t>
      </w:r>
      <w:r w:rsidR="00364307">
        <w:rPr>
          <w:lang w:val="en-GB"/>
        </w:rPr>
        <w:t>/</w:t>
      </w:r>
      <w:r w:rsidR="00AD2C4D">
        <w:rPr>
          <w:lang w:val="en-GB"/>
        </w:rPr>
        <w:t>H</w:t>
      </w:r>
      <w:r w:rsidR="00AD2C4D" w:rsidRPr="00AD2C4D">
        <w:rPr>
          <w:lang w:val="en-GB"/>
        </w:rPr>
        <w:t>exanamide</w:t>
      </w:r>
      <w:r w:rsidR="00AD2C4D">
        <w:rPr>
          <w:lang w:val="en-GB"/>
        </w:rPr>
        <w:t xml:space="preserve"> (</w:t>
      </w:r>
      <w:r w:rsidR="009F777A" w:rsidRPr="009F777A">
        <w:rPr>
          <w:lang w:val="en-GB"/>
        </w:rPr>
        <w:t>HA</w:t>
      </w:r>
      <w:r w:rsidR="00AD2C4D">
        <w:rPr>
          <w:lang w:val="en-GB"/>
        </w:rPr>
        <w:t>)</w:t>
      </w:r>
      <w:r w:rsidR="009F777A" w:rsidRPr="009F777A">
        <w:rPr>
          <w:lang w:val="en-GB"/>
        </w:rPr>
        <w:t xml:space="preserve"> </w:t>
      </w:r>
      <w:r w:rsidR="00364307">
        <w:rPr>
          <w:lang w:val="en-GB"/>
        </w:rPr>
        <w:t xml:space="preserve">mixture </w:t>
      </w:r>
      <w:r w:rsidR="00483B52" w:rsidRPr="00483B52">
        <w:rPr>
          <w:noProof/>
        </w:rPr>
        <w:t>(Ma,</w:t>
      </w:r>
      <w:r w:rsidR="00483B52">
        <w:rPr>
          <w:noProof/>
        </w:rPr>
        <w:t xml:space="preserve"> et al.,</w:t>
      </w:r>
      <w:r w:rsidR="00483B52" w:rsidRPr="00483B52">
        <w:rPr>
          <w:noProof/>
        </w:rPr>
        <w:t xml:space="preserve"> 2019)</w:t>
      </w:r>
      <w:r w:rsidR="00483B52">
        <w:rPr>
          <w:lang w:val="en-GB"/>
        </w:rPr>
        <w:t>.</w:t>
      </w:r>
      <w:r w:rsidR="00E04BE5">
        <w:rPr>
          <w:lang w:val="en-GB"/>
        </w:rPr>
        <w:t xml:space="preserve"> </w:t>
      </w:r>
      <w:r w:rsidRPr="00F113E2">
        <w:rPr>
          <w:lang w:val="en-GB"/>
        </w:rPr>
        <w:t xml:space="preserve">Among the main applications are solar thermal energy storage, sustainable alternative to conventional solvents in organic </w:t>
      </w:r>
      <w:r w:rsidRPr="00F113E2">
        <w:rPr>
          <w:lang w:val="en-GB"/>
        </w:rPr>
        <w:lastRenderedPageBreak/>
        <w:t>chemistry, water heating in homes, residential units, hotels, swimming pools, domestic heating, among others</w:t>
      </w:r>
      <w:sdt>
        <w:sdtPr>
          <w:rPr>
            <w:lang w:val="en-GB"/>
          </w:rPr>
          <w:id w:val="968787594"/>
          <w:citation/>
        </w:sdtPr>
        <w:sdtEndPr/>
        <w:sdtContent>
          <w:r w:rsidR="0043148F">
            <w:rPr>
              <w:lang w:val="en-GB"/>
            </w:rPr>
            <w:fldChar w:fldCharType="begin"/>
          </w:r>
          <w:r w:rsidR="0043148F" w:rsidRPr="0043148F">
            <w:instrText xml:space="preserve"> CITATION Chw16 \l 2058 </w:instrText>
          </w:r>
          <w:r w:rsidR="0043148F">
            <w:rPr>
              <w:lang w:val="en-GB"/>
            </w:rPr>
            <w:fldChar w:fldCharType="separate"/>
          </w:r>
          <w:r w:rsidR="00D82FD6">
            <w:rPr>
              <w:noProof/>
            </w:rPr>
            <w:t xml:space="preserve"> </w:t>
          </w:r>
          <w:r w:rsidR="00D82FD6" w:rsidRPr="00D82FD6">
            <w:rPr>
              <w:noProof/>
            </w:rPr>
            <w:t>(Chwieduk, 2016)</w:t>
          </w:r>
          <w:r w:rsidR="0043148F">
            <w:rPr>
              <w:lang w:val="en-GB"/>
            </w:rPr>
            <w:fldChar w:fldCharType="end"/>
          </w:r>
        </w:sdtContent>
      </w:sdt>
      <w:r w:rsidR="0043148F">
        <w:rPr>
          <w:lang w:val="en-GB"/>
        </w:rPr>
        <w:t>.</w:t>
      </w:r>
    </w:p>
    <w:p w14:paraId="4A1F7114" w14:textId="05A23E22" w:rsidR="00F44A00" w:rsidRDefault="00F44A00" w:rsidP="00F44A00">
      <w:pPr>
        <w:pStyle w:val="CETHeading1"/>
        <w:tabs>
          <w:tab w:val="num" w:pos="360"/>
        </w:tabs>
        <w:rPr>
          <w:lang w:val="en-GB"/>
        </w:rPr>
      </w:pPr>
      <w:r w:rsidRPr="00F44A00">
        <w:rPr>
          <w:lang w:val="en-GB"/>
        </w:rPr>
        <w:t>Materials and Methods</w:t>
      </w:r>
    </w:p>
    <w:p w14:paraId="3C3648B0" w14:textId="098F5378" w:rsidR="00F44A00" w:rsidRDefault="00F44A00" w:rsidP="00F44A00">
      <w:pPr>
        <w:pStyle w:val="CETBodytext"/>
        <w:rPr>
          <w:lang w:val="en-GB"/>
        </w:rPr>
      </w:pPr>
    </w:p>
    <w:p w14:paraId="4DB36687" w14:textId="3CF2B53A" w:rsidR="00D50161" w:rsidRDefault="00A31046" w:rsidP="00D50161">
      <w:pPr>
        <w:pStyle w:val="CETBodytext"/>
        <w:rPr>
          <w:lang w:val="en-GB"/>
        </w:rPr>
      </w:pPr>
      <w:r w:rsidRPr="00A31046">
        <w:rPr>
          <w:lang w:val="en-GB"/>
        </w:rPr>
        <w:t xml:space="preserve">Four </w:t>
      </w:r>
      <w:r w:rsidR="00E45F2F">
        <w:rPr>
          <w:lang w:val="en-GB"/>
        </w:rPr>
        <w:t>materials were selected:</w:t>
      </w:r>
      <w:r w:rsidRPr="00A31046">
        <w:rPr>
          <w:lang w:val="en-GB"/>
        </w:rPr>
        <w:t xml:space="preserve"> </w:t>
      </w:r>
      <w:r w:rsidR="00E45F2F">
        <w:rPr>
          <w:lang w:val="en-GB"/>
        </w:rPr>
        <w:t>hydrogenated palm stearin (HPS</w:t>
      </w:r>
      <w:r w:rsidRPr="00A31046">
        <w:rPr>
          <w:lang w:val="en-GB"/>
        </w:rPr>
        <w:t>), beeswax (</w:t>
      </w:r>
      <w:r w:rsidR="00E45F2F">
        <w:rPr>
          <w:lang w:val="en-GB"/>
        </w:rPr>
        <w:t>B</w:t>
      </w:r>
      <w:r w:rsidRPr="00A31046">
        <w:rPr>
          <w:lang w:val="en-GB"/>
        </w:rPr>
        <w:t>W), pa</w:t>
      </w:r>
      <w:r w:rsidR="00A24A6D">
        <w:rPr>
          <w:lang w:val="en-GB"/>
        </w:rPr>
        <w:t>lm stearin (PS) and paraffin wax (PW</w:t>
      </w:r>
      <w:r w:rsidRPr="00A31046">
        <w:rPr>
          <w:lang w:val="en-GB"/>
        </w:rPr>
        <w:t xml:space="preserve">). </w:t>
      </w:r>
      <w:r w:rsidR="00D50161">
        <w:rPr>
          <w:lang w:val="en-GB"/>
        </w:rPr>
        <w:t>T</w:t>
      </w:r>
      <w:r w:rsidR="00D50161" w:rsidRPr="00443B90">
        <w:rPr>
          <w:lang w:val="en-GB"/>
        </w:rPr>
        <w:t>wo mixtures were made for each type of stearin, the fir</w:t>
      </w:r>
      <w:r w:rsidR="00D50161">
        <w:rPr>
          <w:lang w:val="en-GB"/>
        </w:rPr>
        <w:t xml:space="preserve">st with beeswax completely </w:t>
      </w:r>
      <w:r w:rsidR="005944B9">
        <w:rPr>
          <w:lang w:val="en-GB"/>
        </w:rPr>
        <w:t>agro-industrial</w:t>
      </w:r>
      <w:r w:rsidR="00D50161">
        <w:rPr>
          <w:lang w:val="en-GB"/>
        </w:rPr>
        <w:t xml:space="preserve"> and the second with paraffin wax</w:t>
      </w:r>
      <w:r w:rsidR="00D50161" w:rsidRPr="00443B90">
        <w:rPr>
          <w:lang w:val="en-GB"/>
        </w:rPr>
        <w:t>. The combinations made were: palm stearin (</w:t>
      </w:r>
      <w:r w:rsidR="00D50161">
        <w:rPr>
          <w:lang w:val="en-GB"/>
        </w:rPr>
        <w:t>PS)/beeswax (BW), hydrogenated palm stearin (HPS)/beeswax (BW), palm stearin (PS)/paraffin (PW</w:t>
      </w:r>
      <w:r w:rsidR="00D50161" w:rsidRPr="00443B90">
        <w:rPr>
          <w:lang w:val="en-GB"/>
        </w:rPr>
        <w:t xml:space="preserve">) </w:t>
      </w:r>
      <w:r w:rsidR="00D50161">
        <w:rPr>
          <w:lang w:val="en-GB"/>
        </w:rPr>
        <w:t>and hydrogenated palm stearin (</w:t>
      </w:r>
      <w:r w:rsidR="00D50161" w:rsidRPr="00443B90">
        <w:rPr>
          <w:lang w:val="en-GB"/>
        </w:rPr>
        <w:t>H</w:t>
      </w:r>
      <w:r w:rsidR="00D50161">
        <w:rPr>
          <w:lang w:val="en-GB"/>
        </w:rPr>
        <w:t>PS)/paraffin (PW</w:t>
      </w:r>
      <w:r w:rsidR="00D50161" w:rsidRPr="00443B90">
        <w:rPr>
          <w:lang w:val="en-GB"/>
        </w:rPr>
        <w:t>).</w:t>
      </w:r>
    </w:p>
    <w:p w14:paraId="215E2336" w14:textId="331F2C54" w:rsidR="00BD03D5" w:rsidRDefault="00A31046" w:rsidP="00A31046">
      <w:pPr>
        <w:pStyle w:val="CETBodytext"/>
        <w:rPr>
          <w:noProof/>
        </w:rPr>
      </w:pPr>
      <w:r w:rsidRPr="00A31046">
        <w:rPr>
          <w:lang w:val="en-GB"/>
        </w:rPr>
        <w:t>Five mixing ratios were prepared for</w:t>
      </w:r>
      <w:r w:rsidR="001F3BCD">
        <w:rPr>
          <w:lang w:val="en-GB"/>
        </w:rPr>
        <w:t xml:space="preserve"> each binary mixture:</w:t>
      </w:r>
      <w:r w:rsidRPr="00A31046">
        <w:rPr>
          <w:lang w:val="en-GB"/>
        </w:rPr>
        <w:t xml:space="preserve"> 20:80,</w:t>
      </w:r>
      <w:r w:rsidR="00460239">
        <w:rPr>
          <w:lang w:val="en-GB"/>
        </w:rPr>
        <w:t xml:space="preserve"> 35:65, 50</w:t>
      </w:r>
      <w:r w:rsidR="004C0783">
        <w:rPr>
          <w:lang w:val="en-GB"/>
        </w:rPr>
        <w:t>:</w:t>
      </w:r>
      <w:r w:rsidR="00460239">
        <w:rPr>
          <w:lang w:val="en-GB"/>
        </w:rPr>
        <w:t xml:space="preserve">50, 65:35 and 80:20. </w:t>
      </w:r>
      <w:r w:rsidR="0036198E" w:rsidRPr="00443B90">
        <w:rPr>
          <w:lang w:val="en-GB"/>
        </w:rPr>
        <w:t>Palm stearin (PS) and hydrogenated palm stearin (H</w:t>
      </w:r>
      <w:r w:rsidR="0036198E">
        <w:rPr>
          <w:lang w:val="en-GB"/>
        </w:rPr>
        <w:t>P</w:t>
      </w:r>
      <w:r w:rsidR="0036198E" w:rsidRPr="00443B90">
        <w:rPr>
          <w:lang w:val="en-GB"/>
        </w:rPr>
        <w:t>S) were studied as the main material</w:t>
      </w:r>
      <w:r w:rsidR="00460239">
        <w:rPr>
          <w:lang w:val="en-GB"/>
        </w:rPr>
        <w:t>s, d</w:t>
      </w:r>
      <w:r w:rsidR="00460239" w:rsidRPr="00460239">
        <w:rPr>
          <w:lang w:val="en-GB"/>
        </w:rPr>
        <w:t>ue to its composition, low cost and physicochemical characteristics</w:t>
      </w:r>
      <w:r w:rsidR="00E04BE5">
        <w:rPr>
          <w:lang w:val="en-GB"/>
        </w:rPr>
        <w:t>.</w:t>
      </w:r>
      <w:r w:rsidR="00460239" w:rsidRPr="00460239">
        <w:rPr>
          <w:lang w:val="en-GB"/>
        </w:rPr>
        <w:t xml:space="preserve"> </w:t>
      </w:r>
      <w:r w:rsidR="00E04BE5">
        <w:rPr>
          <w:lang w:val="en-GB"/>
        </w:rPr>
        <w:t>P</w:t>
      </w:r>
      <w:r w:rsidR="00460239" w:rsidRPr="00460239">
        <w:rPr>
          <w:lang w:val="en-GB"/>
        </w:rPr>
        <w:t xml:space="preserve">alm stearin </w:t>
      </w:r>
      <w:r w:rsidR="00E04BE5">
        <w:rPr>
          <w:lang w:val="en-GB"/>
        </w:rPr>
        <w:t>has been reported to be</w:t>
      </w:r>
      <w:r w:rsidR="00460239" w:rsidRPr="00460239">
        <w:rPr>
          <w:lang w:val="en-GB"/>
        </w:rPr>
        <w:t xml:space="preserve"> a</w:t>
      </w:r>
      <w:r w:rsidR="00E04BE5">
        <w:rPr>
          <w:lang w:val="en-GB"/>
        </w:rPr>
        <w:t xml:space="preserve"> promising</w:t>
      </w:r>
      <w:r w:rsidR="00460239" w:rsidRPr="00460239">
        <w:rPr>
          <w:lang w:val="en-GB"/>
        </w:rPr>
        <w:t xml:space="preserve"> raw material for obtaining phase change materials </w:t>
      </w:r>
      <w:r w:rsidR="00A3757E" w:rsidRPr="0003555E">
        <w:rPr>
          <w:noProof/>
        </w:rPr>
        <w:t>(Lizcano Gon</w:t>
      </w:r>
      <w:r w:rsidR="00A3757E">
        <w:rPr>
          <w:noProof/>
        </w:rPr>
        <w:t>zález</w:t>
      </w:r>
      <w:r w:rsidR="00A3757E" w:rsidRPr="0003555E">
        <w:rPr>
          <w:noProof/>
        </w:rPr>
        <w:t>,</w:t>
      </w:r>
      <w:r w:rsidR="00A3757E">
        <w:rPr>
          <w:noProof/>
        </w:rPr>
        <w:t xml:space="preserve"> et al.,</w:t>
      </w:r>
      <w:r w:rsidR="00A3757E" w:rsidRPr="0003555E">
        <w:rPr>
          <w:noProof/>
        </w:rPr>
        <w:t xml:space="preserve"> 2022)</w:t>
      </w:r>
      <w:r w:rsidR="00D50161">
        <w:rPr>
          <w:noProof/>
        </w:rPr>
        <w:t>. Figu</w:t>
      </w:r>
      <w:r w:rsidR="00FD3FE3">
        <w:rPr>
          <w:noProof/>
        </w:rPr>
        <w:t>r</w:t>
      </w:r>
      <w:r w:rsidR="00D50161">
        <w:rPr>
          <w:noProof/>
        </w:rPr>
        <w:t xml:space="preserve">e 1 shows pictures of the raw materials employed while </w:t>
      </w:r>
      <w:r w:rsidR="00D50161" w:rsidRPr="00443B90">
        <w:rPr>
          <w:lang w:val="en-GB"/>
        </w:rPr>
        <w:t xml:space="preserve">Table 1 </w:t>
      </w:r>
      <w:r w:rsidR="00D50161">
        <w:rPr>
          <w:lang w:val="en-GB"/>
        </w:rPr>
        <w:t>summarises</w:t>
      </w:r>
      <w:r w:rsidR="00D50161" w:rsidRPr="00443B90">
        <w:rPr>
          <w:lang w:val="en-GB"/>
        </w:rPr>
        <w:t xml:space="preserve"> the mixing ratios chosen.</w:t>
      </w:r>
    </w:p>
    <w:p w14:paraId="79EC83BD" w14:textId="0186DCC1" w:rsidR="006A7D88" w:rsidRDefault="006A7D88" w:rsidP="00A31046">
      <w:pPr>
        <w:pStyle w:val="CETBodytext"/>
        <w:rPr>
          <w:noProof/>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tblGrid>
      <w:tr w:rsidR="006A7D88" w14:paraId="7EEA6348" w14:textId="77777777" w:rsidTr="00D50161">
        <w:trPr>
          <w:trHeight w:val="227"/>
          <w:jc w:val="center"/>
        </w:trPr>
        <w:tc>
          <w:tcPr>
            <w:tcW w:w="3005" w:type="dxa"/>
            <w:vAlign w:val="center"/>
          </w:tcPr>
          <w:p w14:paraId="6528A75F" w14:textId="63A9C4A5" w:rsidR="00910E3B" w:rsidRDefault="00910E3B" w:rsidP="00D50161">
            <w:pPr>
              <w:pStyle w:val="CETBodytext"/>
              <w:jc w:val="center"/>
              <w:rPr>
                <w:lang w:val="en-GB"/>
              </w:rPr>
            </w:pPr>
          </w:p>
          <w:p w14:paraId="02E9E5AE" w14:textId="369B7A6A" w:rsidR="00910E3B" w:rsidRPr="00910E3B" w:rsidRDefault="00910E3B" w:rsidP="00D50161">
            <w:pPr>
              <w:pStyle w:val="CETBodytext"/>
              <w:jc w:val="center"/>
              <w:rPr>
                <w:b/>
                <w:lang w:val="en-GB"/>
              </w:rPr>
            </w:pPr>
            <w:r w:rsidRPr="00910E3B">
              <w:rPr>
                <w:b/>
                <w:lang w:val="en-GB"/>
              </w:rPr>
              <w:t>1.a</w:t>
            </w:r>
          </w:p>
          <w:p w14:paraId="59972B5E" w14:textId="77777777" w:rsidR="006A7D88" w:rsidRDefault="006A7D88" w:rsidP="00D50161">
            <w:pPr>
              <w:pStyle w:val="CETBodytext"/>
              <w:jc w:val="center"/>
              <w:rPr>
                <w:lang w:val="en-GB"/>
              </w:rPr>
            </w:pPr>
            <w:r w:rsidRPr="006A7D88">
              <w:rPr>
                <w:noProof/>
              </w:rPr>
              <w:drawing>
                <wp:inline distT="0" distB="0" distL="0" distR="0" wp14:anchorId="6FD327C0" wp14:editId="064130E1">
                  <wp:extent cx="1513460" cy="1391920"/>
                  <wp:effectExtent l="133350" t="76200" r="86995" b="132080"/>
                  <wp:docPr id="8" name="Imagen 8">
                    <a:extLst xmlns:a="http://schemas.openxmlformats.org/drawingml/2006/main">
                      <a:ext uri="{FF2B5EF4-FFF2-40B4-BE49-F238E27FC236}">
                        <a16:creationId xmlns:a16="http://schemas.microsoft.com/office/drawing/2014/main" id="{F101455C-978E-46F4-A629-EB819BE95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F101455C-978E-46F4-A629-EB819BE95030}"/>
                              </a:ext>
                            </a:extLst>
                          </pic:cNvPr>
                          <pic:cNvPicPr>
                            <a:picLocks noChangeAspect="1"/>
                          </pic:cNvPicPr>
                        </pic:nvPicPr>
                        <pic:blipFill rotWithShape="1">
                          <a:blip r:embed="rId10"/>
                          <a:srcRect l="10491" t="15326" r="16196"/>
                          <a:stretch/>
                        </pic:blipFill>
                        <pic:spPr>
                          <a:xfrm rot="10800000">
                            <a:off x="0" y="0"/>
                            <a:ext cx="1514565" cy="13929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005" w:type="dxa"/>
            <w:vAlign w:val="center"/>
          </w:tcPr>
          <w:p w14:paraId="1AE7D139" w14:textId="77777777" w:rsidR="00910E3B" w:rsidRDefault="00910E3B" w:rsidP="00D50161">
            <w:pPr>
              <w:pStyle w:val="CETBodytext"/>
              <w:jc w:val="center"/>
              <w:rPr>
                <w:lang w:val="en-GB"/>
              </w:rPr>
            </w:pPr>
          </w:p>
          <w:p w14:paraId="4FBF3FAF" w14:textId="49D7D09A" w:rsidR="00910E3B" w:rsidRPr="00910E3B" w:rsidRDefault="00910E3B" w:rsidP="00D50161">
            <w:pPr>
              <w:pStyle w:val="CETBodytext"/>
              <w:jc w:val="center"/>
              <w:rPr>
                <w:b/>
                <w:lang w:val="en-GB"/>
              </w:rPr>
            </w:pPr>
            <w:r w:rsidRPr="00910E3B">
              <w:rPr>
                <w:b/>
                <w:lang w:val="en-GB"/>
              </w:rPr>
              <w:t>1.b</w:t>
            </w:r>
          </w:p>
          <w:p w14:paraId="1767A9D1" w14:textId="4A523B71" w:rsidR="006A7D88" w:rsidRDefault="006A7D88" w:rsidP="00D50161">
            <w:pPr>
              <w:pStyle w:val="CETBodytext"/>
              <w:jc w:val="center"/>
              <w:rPr>
                <w:lang w:val="en-GB"/>
              </w:rPr>
            </w:pPr>
            <w:r w:rsidRPr="006A7D88">
              <w:rPr>
                <w:noProof/>
              </w:rPr>
              <w:drawing>
                <wp:inline distT="0" distB="0" distL="0" distR="0" wp14:anchorId="1EB3AC3A" wp14:editId="4199D739">
                  <wp:extent cx="1440000" cy="1458988"/>
                  <wp:effectExtent l="133350" t="76200" r="84455" b="141605"/>
                  <wp:docPr id="17" name="Imagen 17">
                    <a:extLst xmlns:a="http://schemas.openxmlformats.org/drawingml/2006/main">
                      <a:ext uri="{FF2B5EF4-FFF2-40B4-BE49-F238E27FC236}">
                        <a16:creationId xmlns:a16="http://schemas.microsoft.com/office/drawing/2014/main" id="{D69413C0-BE9C-4BBD-9025-570B4B5F7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D69413C0-BE9C-4BBD-9025-570B4B5F7428}"/>
                              </a:ext>
                            </a:extLst>
                          </pic:cNvPr>
                          <pic:cNvPicPr>
                            <a:picLocks noChangeAspect="1"/>
                          </pic:cNvPicPr>
                        </pic:nvPicPr>
                        <pic:blipFill rotWithShape="1">
                          <a:blip r:embed="rId11"/>
                          <a:srcRect t="11257"/>
                          <a:stretch/>
                        </pic:blipFill>
                        <pic:spPr>
                          <a:xfrm>
                            <a:off x="0" y="0"/>
                            <a:ext cx="1440000" cy="14589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6A7D88" w14:paraId="4177E439" w14:textId="77777777" w:rsidTr="00D50161">
        <w:trPr>
          <w:trHeight w:val="227"/>
          <w:jc w:val="center"/>
        </w:trPr>
        <w:tc>
          <w:tcPr>
            <w:tcW w:w="3005" w:type="dxa"/>
            <w:vAlign w:val="center"/>
          </w:tcPr>
          <w:p w14:paraId="4AAD8219" w14:textId="77777777" w:rsidR="00910E3B" w:rsidRDefault="00910E3B" w:rsidP="00D50161">
            <w:pPr>
              <w:pStyle w:val="CETBodytext"/>
              <w:jc w:val="center"/>
              <w:rPr>
                <w:lang w:val="en-GB"/>
              </w:rPr>
            </w:pPr>
          </w:p>
          <w:p w14:paraId="1FD43B38" w14:textId="2735AE35" w:rsidR="00910E3B" w:rsidRPr="00910E3B" w:rsidRDefault="00910E3B" w:rsidP="00D50161">
            <w:pPr>
              <w:pStyle w:val="CETBodytext"/>
              <w:jc w:val="center"/>
              <w:rPr>
                <w:b/>
                <w:lang w:val="en-GB"/>
              </w:rPr>
            </w:pPr>
            <w:r w:rsidRPr="00910E3B">
              <w:rPr>
                <w:b/>
                <w:lang w:val="en-GB"/>
              </w:rPr>
              <w:t>1.c</w:t>
            </w:r>
          </w:p>
          <w:p w14:paraId="00EFAF61" w14:textId="7D64D1DE" w:rsidR="006A7D88" w:rsidRDefault="006A7D88" w:rsidP="00D50161">
            <w:pPr>
              <w:pStyle w:val="CETBodytext"/>
              <w:jc w:val="center"/>
              <w:rPr>
                <w:lang w:val="en-GB"/>
              </w:rPr>
            </w:pPr>
            <w:r w:rsidRPr="006A7D88">
              <w:rPr>
                <w:noProof/>
              </w:rPr>
              <w:drawing>
                <wp:inline distT="0" distB="0" distL="0" distR="0" wp14:anchorId="1C7BD828" wp14:editId="5F0F10C9">
                  <wp:extent cx="1457325" cy="1434560"/>
                  <wp:effectExtent l="133350" t="76200" r="85725" b="127635"/>
                  <wp:docPr id="3" name="Imagen 3">
                    <a:extLst xmlns:a="http://schemas.openxmlformats.org/drawingml/2006/main">
                      <a:ext uri="{FF2B5EF4-FFF2-40B4-BE49-F238E27FC236}">
                        <a16:creationId xmlns:a16="http://schemas.microsoft.com/office/drawing/2014/main" id="{5E2CFDA9-D9A6-484A-B6DB-CD0E2520B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E2CFDA9-D9A6-484A-B6DB-CD0E2520B7B3}"/>
                              </a:ext>
                            </a:extLst>
                          </pic:cNvPr>
                          <pic:cNvPicPr>
                            <a:picLocks noChangeAspect="1"/>
                          </pic:cNvPicPr>
                        </pic:nvPicPr>
                        <pic:blipFill rotWithShape="1">
                          <a:blip r:embed="rId12"/>
                          <a:srcRect t="9723"/>
                          <a:stretch/>
                        </pic:blipFill>
                        <pic:spPr>
                          <a:xfrm>
                            <a:off x="0" y="0"/>
                            <a:ext cx="1461101" cy="14382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005" w:type="dxa"/>
            <w:vAlign w:val="center"/>
          </w:tcPr>
          <w:p w14:paraId="3F84DF21" w14:textId="77777777" w:rsidR="00910E3B" w:rsidRDefault="00910E3B" w:rsidP="00D50161">
            <w:pPr>
              <w:pStyle w:val="CETBodytext"/>
              <w:jc w:val="center"/>
              <w:rPr>
                <w:lang w:val="en-GB"/>
              </w:rPr>
            </w:pPr>
          </w:p>
          <w:p w14:paraId="6F61F9AD" w14:textId="69802104" w:rsidR="00910E3B" w:rsidRPr="00910E3B" w:rsidRDefault="00910E3B" w:rsidP="00D50161">
            <w:pPr>
              <w:pStyle w:val="CETBodytext"/>
              <w:jc w:val="center"/>
              <w:rPr>
                <w:b/>
                <w:lang w:val="en-GB"/>
              </w:rPr>
            </w:pPr>
            <w:r w:rsidRPr="00910E3B">
              <w:rPr>
                <w:b/>
                <w:lang w:val="en-GB"/>
              </w:rPr>
              <w:t>1.d</w:t>
            </w:r>
          </w:p>
          <w:p w14:paraId="0627D736" w14:textId="6770D9D7" w:rsidR="006A7D88" w:rsidRDefault="006A7D88" w:rsidP="00C012C2">
            <w:pPr>
              <w:pStyle w:val="CETBodytext"/>
              <w:keepNext/>
              <w:jc w:val="center"/>
              <w:rPr>
                <w:lang w:val="en-GB"/>
              </w:rPr>
            </w:pPr>
            <w:r w:rsidRPr="006A7D88">
              <w:rPr>
                <w:noProof/>
              </w:rPr>
              <w:drawing>
                <wp:inline distT="0" distB="0" distL="0" distR="0" wp14:anchorId="69D5E7B8" wp14:editId="275722AF">
                  <wp:extent cx="1440000" cy="1420143"/>
                  <wp:effectExtent l="133350" t="76200" r="84455" b="142240"/>
                  <wp:docPr id="26" name="Imagen 26">
                    <a:extLst xmlns:a="http://schemas.openxmlformats.org/drawingml/2006/main">
                      <a:ext uri="{FF2B5EF4-FFF2-40B4-BE49-F238E27FC236}">
                        <a16:creationId xmlns:a16="http://schemas.microsoft.com/office/drawing/2014/main" id="{48D0C432-EE2F-4DBE-8B64-9EE8EA63E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48D0C432-EE2F-4DBE-8B64-9EE8EA63E46A}"/>
                              </a:ext>
                            </a:extLst>
                          </pic:cNvPr>
                          <pic:cNvPicPr>
                            <a:picLocks noChangeAspect="1"/>
                          </pic:cNvPicPr>
                        </pic:nvPicPr>
                        <pic:blipFill rotWithShape="1">
                          <a:blip r:embed="rId13"/>
                          <a:srcRect l="5066" t="19334" b="10447"/>
                          <a:stretch/>
                        </pic:blipFill>
                        <pic:spPr>
                          <a:xfrm>
                            <a:off x="0" y="0"/>
                            <a:ext cx="1440000" cy="14201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2DCF8B97" w14:textId="679C344F" w:rsidR="006A7D88" w:rsidRDefault="00C012C2" w:rsidP="00C012C2">
      <w:pPr>
        <w:pStyle w:val="CETTabletitle"/>
      </w:pPr>
      <w:r>
        <w:t xml:space="preserve">Figure </w:t>
      </w:r>
      <w:r>
        <w:fldChar w:fldCharType="begin"/>
      </w:r>
      <w:r>
        <w:instrText xml:space="preserve"> SEQ Figure \* ARABIC </w:instrText>
      </w:r>
      <w:r>
        <w:fldChar w:fldCharType="separate"/>
      </w:r>
      <w:r>
        <w:rPr>
          <w:noProof/>
        </w:rPr>
        <w:t>1</w:t>
      </w:r>
      <w:r>
        <w:fldChar w:fldCharType="end"/>
      </w:r>
      <w:r>
        <w:t>.</w:t>
      </w:r>
      <w:r w:rsidRPr="00F20EBB">
        <w:t>a Hydrogenated Palm Stearin. 1.b. Beeswax. 1.c. Palm Stearin. 1.d. Paraffin Wax.</w:t>
      </w:r>
    </w:p>
    <w:p w14:paraId="61EE625B" w14:textId="77777777" w:rsidR="00A630F4" w:rsidRPr="00A630F4" w:rsidRDefault="00A630F4" w:rsidP="00A630F4"/>
    <w:p w14:paraId="44E06077" w14:textId="5B6BAB7A" w:rsidR="00D50161" w:rsidRDefault="00D50161" w:rsidP="00D50161">
      <w:pPr>
        <w:pStyle w:val="CETBodytext"/>
        <w:rPr>
          <w:lang w:val="en-GB"/>
        </w:rPr>
      </w:pPr>
      <w:r w:rsidRPr="003B1EBB">
        <w:rPr>
          <w:lang w:val="en-GB"/>
        </w:rPr>
        <w:t xml:space="preserve">The respective mixtures were made in the proportions named above, for a total of 2 grams per mixture and were transferred to a test tube to be subjected to 50 melting cycles. </w:t>
      </w:r>
      <w:r>
        <w:rPr>
          <w:lang w:val="en-GB"/>
        </w:rPr>
        <w:t>During the melting cycles, samples were heating and cooled in a temperature range between 283 K and 373 K. Finally</w:t>
      </w:r>
      <w:r w:rsidRPr="003B1EBB">
        <w:rPr>
          <w:lang w:val="en-GB"/>
        </w:rPr>
        <w:t xml:space="preserve">, the melted sample was deposited in an Eppendorf tube. </w:t>
      </w:r>
      <w:r>
        <w:rPr>
          <w:lang w:val="en-GB"/>
        </w:rPr>
        <w:t>T</w:t>
      </w:r>
      <w:r w:rsidRPr="003B1EBB">
        <w:rPr>
          <w:lang w:val="en-GB"/>
        </w:rPr>
        <w:t>o achieve a more homogeneous mixture, the Eppendorf tubes were taken to the oven again for melting and stirring.</w:t>
      </w:r>
    </w:p>
    <w:p w14:paraId="2853B7D5" w14:textId="2EC03C2C" w:rsidR="00362BA8" w:rsidRDefault="00362BA8" w:rsidP="00D50161">
      <w:pPr>
        <w:pStyle w:val="CETBodytext"/>
        <w:rPr>
          <w:lang w:val="en-GB"/>
        </w:rPr>
      </w:pPr>
      <w:r>
        <w:rPr>
          <w:lang w:val="en-GB"/>
        </w:rPr>
        <w:t>The</w:t>
      </w:r>
      <w:r w:rsidRPr="00A31046">
        <w:rPr>
          <w:lang w:val="en-GB"/>
        </w:rPr>
        <w:t xml:space="preserve"> thermal characterization of the blends was performed </w:t>
      </w:r>
      <w:r>
        <w:rPr>
          <w:lang w:val="en-GB"/>
        </w:rPr>
        <w:t xml:space="preserve">to measure </w:t>
      </w:r>
      <w:r w:rsidRPr="00A31046">
        <w:rPr>
          <w:lang w:val="en-GB"/>
        </w:rPr>
        <w:t>enthalpy of fusion and crystallization based on (ASTM E793-06, 2018) and heat capacity</w:t>
      </w:r>
      <w:r>
        <w:rPr>
          <w:lang w:val="en-GB"/>
        </w:rPr>
        <w:t xml:space="preserve"> by (ASTM E1269-11, 2018). The</w:t>
      </w:r>
      <w:r w:rsidRPr="00A31046">
        <w:rPr>
          <w:lang w:val="en-GB"/>
        </w:rPr>
        <w:t xml:space="preserve"> eutectic mixtures were subjected to 50 melting/crystallization cycles and characterized, using Differential Scanning Calorimetry (DSC) and T</w:t>
      </w:r>
      <w:r>
        <w:rPr>
          <w:lang w:val="en-GB"/>
        </w:rPr>
        <w:t>hermogravimetric Analysis (TGA).</w:t>
      </w:r>
    </w:p>
    <w:p w14:paraId="44E6E187" w14:textId="70E7908B" w:rsidR="00910E3B" w:rsidRDefault="00910E3B" w:rsidP="00A31046">
      <w:pPr>
        <w:pStyle w:val="CETBodytext"/>
        <w:rPr>
          <w:lang w:val="en-GB"/>
        </w:rPr>
      </w:pPr>
    </w:p>
    <w:p w14:paraId="0292810D" w14:textId="1F8F785F" w:rsidR="00FE65AA" w:rsidRDefault="00FE65AA" w:rsidP="00FE65AA">
      <w:pPr>
        <w:pStyle w:val="CETTabletitle"/>
      </w:pPr>
      <w:r>
        <w:lastRenderedPageBreak/>
        <w:t xml:space="preserve">Table </w:t>
      </w:r>
      <w:r>
        <w:fldChar w:fldCharType="begin"/>
      </w:r>
      <w:r>
        <w:instrText xml:space="preserve"> SEQ Table \* ARABIC </w:instrText>
      </w:r>
      <w:r>
        <w:fldChar w:fldCharType="separate"/>
      </w:r>
      <w:r w:rsidR="00251421">
        <w:rPr>
          <w:noProof/>
        </w:rPr>
        <w:t>1</w:t>
      </w:r>
      <w:r>
        <w:fldChar w:fldCharType="end"/>
      </w:r>
      <w:r>
        <w:t xml:space="preserve">. </w:t>
      </w:r>
      <w:r w:rsidRPr="00CF77D5">
        <w:t>Proportions of eutectic mixtures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79"/>
        <w:gridCol w:w="1222"/>
        <w:gridCol w:w="1222"/>
        <w:gridCol w:w="1222"/>
        <w:gridCol w:w="1221"/>
        <w:gridCol w:w="1221"/>
      </w:tblGrid>
      <w:tr w:rsidR="00FE65AA" w:rsidRPr="00B57B36" w14:paraId="2B352D35" w14:textId="77777777" w:rsidTr="00DB5BDB">
        <w:trPr>
          <w:trHeight w:val="20"/>
        </w:trPr>
        <w:tc>
          <w:tcPr>
            <w:tcW w:w="1523" w:type="pct"/>
            <w:tcBorders>
              <w:top w:val="single" w:sz="12" w:space="0" w:color="008000"/>
              <w:bottom w:val="single" w:sz="6" w:space="0" w:color="008000"/>
            </w:tcBorders>
            <w:shd w:val="clear" w:color="auto" w:fill="FFFFFF"/>
            <w:vAlign w:val="center"/>
          </w:tcPr>
          <w:p w14:paraId="51EAB390" w14:textId="51249A0B" w:rsidR="00FE65AA" w:rsidRPr="00B57B36" w:rsidRDefault="00FE65AA" w:rsidP="00DB5BDB">
            <w:pPr>
              <w:pStyle w:val="CETBodytext"/>
              <w:spacing w:line="240" w:lineRule="auto"/>
              <w:jc w:val="left"/>
              <w:rPr>
                <w:lang w:val="en-GB"/>
              </w:rPr>
            </w:pPr>
            <w:r w:rsidRPr="00A31046">
              <w:rPr>
                <w:rFonts w:cs="Arial"/>
                <w:bCs/>
                <w:color w:val="000000"/>
                <w:szCs w:val="18"/>
              </w:rPr>
              <w:t>Components of the</w:t>
            </w:r>
            <w:r w:rsidR="005917BA" w:rsidRPr="00B20006">
              <w:rPr>
                <w:rFonts w:cs="Arial"/>
                <w:bCs/>
                <w:color w:val="000000"/>
                <w:szCs w:val="18"/>
              </w:rPr>
              <w:t xml:space="preserve"> </w:t>
            </w:r>
            <w:r w:rsidRPr="00A31046">
              <w:rPr>
                <w:rFonts w:cs="Arial"/>
                <w:bCs/>
                <w:color w:val="000000"/>
                <w:szCs w:val="18"/>
              </w:rPr>
              <w:t>mixture</w:t>
            </w:r>
          </w:p>
        </w:tc>
        <w:tc>
          <w:tcPr>
            <w:tcW w:w="695" w:type="pct"/>
            <w:tcBorders>
              <w:top w:val="single" w:sz="12" w:space="0" w:color="008000"/>
              <w:bottom w:val="single" w:sz="6" w:space="0" w:color="008000"/>
            </w:tcBorders>
            <w:shd w:val="clear" w:color="auto" w:fill="FFFFFF"/>
            <w:vAlign w:val="center"/>
          </w:tcPr>
          <w:p w14:paraId="33F78EB4" w14:textId="77777777" w:rsidR="00FE65AA" w:rsidRPr="00A31046" w:rsidRDefault="00FE65AA" w:rsidP="003872AE">
            <w:pPr>
              <w:tabs>
                <w:tab w:val="clear" w:pos="7100"/>
              </w:tabs>
              <w:spacing w:line="240" w:lineRule="auto"/>
              <w:jc w:val="left"/>
              <w:rPr>
                <w:rFonts w:cs="Arial"/>
                <w:bCs/>
                <w:color w:val="000000"/>
                <w:szCs w:val="18"/>
                <w:lang w:val="en-US"/>
              </w:rPr>
            </w:pPr>
            <w:r w:rsidRPr="00A31046">
              <w:rPr>
                <w:rFonts w:cs="Arial"/>
                <w:bCs/>
                <w:color w:val="000000"/>
                <w:szCs w:val="18"/>
                <w:lang w:val="en-US"/>
              </w:rPr>
              <w:t>20:80</w:t>
            </w:r>
          </w:p>
        </w:tc>
        <w:tc>
          <w:tcPr>
            <w:tcW w:w="695" w:type="pct"/>
            <w:tcBorders>
              <w:top w:val="single" w:sz="12" w:space="0" w:color="008000"/>
              <w:bottom w:val="single" w:sz="6" w:space="0" w:color="008000"/>
            </w:tcBorders>
            <w:shd w:val="clear" w:color="auto" w:fill="FFFFFF"/>
            <w:vAlign w:val="center"/>
          </w:tcPr>
          <w:p w14:paraId="3B2A5EBE" w14:textId="77777777" w:rsidR="00FE65AA" w:rsidRPr="00A31046" w:rsidRDefault="00FE65AA" w:rsidP="003872AE">
            <w:pPr>
              <w:tabs>
                <w:tab w:val="clear" w:pos="7100"/>
              </w:tabs>
              <w:spacing w:line="240" w:lineRule="auto"/>
              <w:jc w:val="left"/>
              <w:rPr>
                <w:rFonts w:cs="Arial"/>
                <w:bCs/>
                <w:color w:val="000000"/>
                <w:szCs w:val="18"/>
                <w:lang w:val="en-US"/>
              </w:rPr>
            </w:pPr>
            <w:r w:rsidRPr="00A31046">
              <w:rPr>
                <w:rFonts w:cs="Arial"/>
                <w:bCs/>
                <w:color w:val="000000"/>
                <w:szCs w:val="18"/>
                <w:lang w:val="en-US"/>
              </w:rPr>
              <w:t>35:65</w:t>
            </w:r>
          </w:p>
        </w:tc>
        <w:tc>
          <w:tcPr>
            <w:tcW w:w="695" w:type="pct"/>
            <w:tcBorders>
              <w:top w:val="single" w:sz="12" w:space="0" w:color="008000"/>
              <w:bottom w:val="single" w:sz="6" w:space="0" w:color="008000"/>
            </w:tcBorders>
            <w:shd w:val="clear" w:color="auto" w:fill="FFFFFF"/>
            <w:vAlign w:val="center"/>
          </w:tcPr>
          <w:p w14:paraId="63816036" w14:textId="77777777" w:rsidR="00FE65AA" w:rsidRPr="00A31046" w:rsidRDefault="00FE65AA" w:rsidP="003872AE">
            <w:pPr>
              <w:tabs>
                <w:tab w:val="clear" w:pos="7100"/>
              </w:tabs>
              <w:spacing w:line="240" w:lineRule="auto"/>
              <w:jc w:val="left"/>
              <w:rPr>
                <w:rFonts w:cs="Arial"/>
                <w:bCs/>
                <w:color w:val="000000"/>
                <w:szCs w:val="18"/>
                <w:lang w:val="en-US"/>
              </w:rPr>
            </w:pPr>
            <w:r w:rsidRPr="00A31046">
              <w:rPr>
                <w:rFonts w:cs="Arial"/>
                <w:bCs/>
                <w:color w:val="000000"/>
                <w:szCs w:val="18"/>
                <w:lang w:val="en-US"/>
              </w:rPr>
              <w:t>50:50</w:t>
            </w:r>
          </w:p>
        </w:tc>
        <w:tc>
          <w:tcPr>
            <w:tcW w:w="695" w:type="pct"/>
            <w:tcBorders>
              <w:top w:val="single" w:sz="12" w:space="0" w:color="008000"/>
              <w:bottom w:val="single" w:sz="6" w:space="0" w:color="008000"/>
            </w:tcBorders>
            <w:shd w:val="clear" w:color="auto" w:fill="FFFFFF"/>
            <w:vAlign w:val="center"/>
          </w:tcPr>
          <w:p w14:paraId="7554D281" w14:textId="77777777" w:rsidR="00FE65AA" w:rsidRPr="00A31046" w:rsidRDefault="00FE65AA" w:rsidP="003872AE">
            <w:pPr>
              <w:tabs>
                <w:tab w:val="clear" w:pos="7100"/>
              </w:tabs>
              <w:spacing w:line="240" w:lineRule="auto"/>
              <w:jc w:val="left"/>
              <w:rPr>
                <w:rFonts w:cs="Arial"/>
                <w:bCs/>
                <w:color w:val="000000"/>
                <w:szCs w:val="18"/>
                <w:lang w:val="en-US"/>
              </w:rPr>
            </w:pPr>
            <w:r w:rsidRPr="00A31046">
              <w:rPr>
                <w:rFonts w:cs="Arial"/>
                <w:bCs/>
                <w:color w:val="000000"/>
                <w:szCs w:val="18"/>
                <w:lang w:val="en-US"/>
              </w:rPr>
              <w:t>65:35</w:t>
            </w:r>
          </w:p>
        </w:tc>
        <w:tc>
          <w:tcPr>
            <w:tcW w:w="695" w:type="pct"/>
            <w:tcBorders>
              <w:top w:val="single" w:sz="12" w:space="0" w:color="008000"/>
              <w:bottom w:val="single" w:sz="6" w:space="0" w:color="008000"/>
            </w:tcBorders>
            <w:shd w:val="clear" w:color="auto" w:fill="FFFFFF"/>
            <w:vAlign w:val="center"/>
          </w:tcPr>
          <w:p w14:paraId="521C855D" w14:textId="77777777" w:rsidR="00FE65AA" w:rsidRPr="00A31046" w:rsidRDefault="00FE65AA" w:rsidP="003872AE">
            <w:pPr>
              <w:tabs>
                <w:tab w:val="clear" w:pos="7100"/>
              </w:tabs>
              <w:spacing w:line="240" w:lineRule="auto"/>
              <w:jc w:val="left"/>
              <w:rPr>
                <w:rFonts w:cs="Arial"/>
                <w:bCs/>
                <w:color w:val="000000"/>
                <w:szCs w:val="18"/>
                <w:lang w:val="en-US"/>
              </w:rPr>
            </w:pPr>
            <w:r w:rsidRPr="00A31046">
              <w:rPr>
                <w:rFonts w:cs="Arial"/>
                <w:bCs/>
                <w:color w:val="000000"/>
                <w:szCs w:val="18"/>
                <w:lang w:val="en-US"/>
              </w:rPr>
              <w:t>80:20</w:t>
            </w:r>
          </w:p>
        </w:tc>
      </w:tr>
      <w:tr w:rsidR="00FE65AA" w:rsidRPr="00B57B36" w14:paraId="6FB24175" w14:textId="77777777" w:rsidTr="00DB5BDB">
        <w:trPr>
          <w:trHeight w:val="20"/>
        </w:trPr>
        <w:tc>
          <w:tcPr>
            <w:tcW w:w="1523" w:type="pct"/>
            <w:shd w:val="clear" w:color="auto" w:fill="FFFFFF"/>
            <w:vAlign w:val="center"/>
          </w:tcPr>
          <w:p w14:paraId="32141DBA" w14:textId="77777777" w:rsidR="00FE65AA" w:rsidRPr="006E65C0" w:rsidRDefault="00FE65AA" w:rsidP="00DB5BDB">
            <w:pPr>
              <w:pStyle w:val="CETBodytext"/>
              <w:spacing w:line="240" w:lineRule="auto"/>
              <w:jc w:val="left"/>
              <w:rPr>
                <w:rFonts w:cs="Arial"/>
                <w:szCs w:val="18"/>
                <w:lang w:val="en-GB"/>
              </w:rPr>
            </w:pPr>
            <w:r w:rsidRPr="00A31046">
              <w:rPr>
                <w:rFonts w:cs="Arial"/>
                <w:szCs w:val="18"/>
                <w:lang w:val="en-GB"/>
              </w:rPr>
              <w:t>Palm Stearin/Paraffin</w:t>
            </w:r>
          </w:p>
        </w:tc>
        <w:tc>
          <w:tcPr>
            <w:tcW w:w="695" w:type="pct"/>
            <w:shd w:val="clear" w:color="auto" w:fill="FFFFFF"/>
            <w:vAlign w:val="center"/>
          </w:tcPr>
          <w:p w14:paraId="48C52962" w14:textId="6B9C4455" w:rsidR="00FE65AA" w:rsidRPr="00A31046" w:rsidRDefault="00FE65AA" w:rsidP="00DB5BDB">
            <w:pPr>
              <w:pStyle w:val="CETBodytext"/>
              <w:spacing w:line="240" w:lineRule="auto"/>
              <w:jc w:val="left"/>
              <w:rPr>
                <w:rFonts w:cs="Arial"/>
                <w:szCs w:val="18"/>
                <w:lang w:val="en-GB"/>
              </w:rPr>
            </w:pPr>
            <w:r>
              <w:rPr>
                <w:rFonts w:cs="Arial"/>
                <w:szCs w:val="18"/>
                <w:lang w:val="en-GB"/>
              </w:rPr>
              <w:t>PS/PW</w:t>
            </w:r>
            <w:r w:rsidRPr="00A31046">
              <w:rPr>
                <w:rFonts w:cs="Arial"/>
                <w:szCs w:val="18"/>
                <w:lang w:val="en-GB"/>
              </w:rPr>
              <w:t xml:space="preserve"> (1)</w:t>
            </w:r>
          </w:p>
        </w:tc>
        <w:tc>
          <w:tcPr>
            <w:tcW w:w="695" w:type="pct"/>
            <w:shd w:val="clear" w:color="auto" w:fill="FFFFFF"/>
            <w:vAlign w:val="center"/>
          </w:tcPr>
          <w:p w14:paraId="4ED17303" w14:textId="58F3DCBE" w:rsidR="00FE65AA" w:rsidRPr="00A31046" w:rsidRDefault="00FE65AA" w:rsidP="00DB5BDB">
            <w:pPr>
              <w:tabs>
                <w:tab w:val="clear" w:pos="7100"/>
              </w:tabs>
              <w:spacing w:line="240" w:lineRule="auto"/>
              <w:jc w:val="left"/>
              <w:rPr>
                <w:rFonts w:cs="Arial"/>
                <w:szCs w:val="18"/>
              </w:rPr>
            </w:pPr>
            <w:r w:rsidRPr="00A31046">
              <w:rPr>
                <w:rFonts w:cs="Arial"/>
                <w:szCs w:val="18"/>
              </w:rPr>
              <w:t>P</w:t>
            </w:r>
            <w:r>
              <w:rPr>
                <w:rFonts w:cs="Arial"/>
                <w:szCs w:val="18"/>
              </w:rPr>
              <w:t>S/PW</w:t>
            </w:r>
            <w:r w:rsidRPr="00A31046">
              <w:rPr>
                <w:rFonts w:cs="Arial"/>
                <w:szCs w:val="18"/>
              </w:rPr>
              <w:t xml:space="preserve"> (2)</w:t>
            </w:r>
          </w:p>
        </w:tc>
        <w:tc>
          <w:tcPr>
            <w:tcW w:w="695" w:type="pct"/>
            <w:shd w:val="clear" w:color="auto" w:fill="FFFFFF"/>
            <w:vAlign w:val="center"/>
          </w:tcPr>
          <w:p w14:paraId="54360ED5" w14:textId="55ECC068" w:rsidR="00FE65AA" w:rsidRPr="00A31046" w:rsidRDefault="00FE65AA" w:rsidP="00DB5BDB">
            <w:pPr>
              <w:tabs>
                <w:tab w:val="clear" w:pos="7100"/>
              </w:tabs>
              <w:spacing w:line="240" w:lineRule="auto"/>
              <w:jc w:val="left"/>
              <w:rPr>
                <w:rFonts w:cs="Arial"/>
                <w:szCs w:val="18"/>
              </w:rPr>
            </w:pPr>
            <w:r>
              <w:rPr>
                <w:rFonts w:cs="Arial"/>
                <w:szCs w:val="18"/>
              </w:rPr>
              <w:t>PS/PW</w:t>
            </w:r>
            <w:r w:rsidRPr="00A31046">
              <w:rPr>
                <w:rFonts w:cs="Arial"/>
                <w:szCs w:val="18"/>
              </w:rPr>
              <w:t xml:space="preserve"> (3)</w:t>
            </w:r>
          </w:p>
        </w:tc>
        <w:tc>
          <w:tcPr>
            <w:tcW w:w="695" w:type="pct"/>
            <w:shd w:val="clear" w:color="auto" w:fill="FFFFFF"/>
            <w:vAlign w:val="center"/>
          </w:tcPr>
          <w:p w14:paraId="38E3EBED" w14:textId="7BA6DB32" w:rsidR="00FE65AA" w:rsidRPr="00A31046" w:rsidRDefault="00FE65AA" w:rsidP="00DB5BDB">
            <w:pPr>
              <w:tabs>
                <w:tab w:val="clear" w:pos="7100"/>
              </w:tabs>
              <w:spacing w:line="240" w:lineRule="auto"/>
              <w:jc w:val="left"/>
              <w:rPr>
                <w:rFonts w:cs="Arial"/>
                <w:szCs w:val="18"/>
              </w:rPr>
            </w:pPr>
            <w:r>
              <w:rPr>
                <w:rFonts w:cs="Arial"/>
                <w:szCs w:val="18"/>
              </w:rPr>
              <w:t>PS/PW</w:t>
            </w:r>
            <w:r w:rsidRPr="00A31046">
              <w:rPr>
                <w:rFonts w:cs="Arial"/>
                <w:szCs w:val="18"/>
              </w:rPr>
              <w:t xml:space="preserve"> (4)</w:t>
            </w:r>
          </w:p>
        </w:tc>
        <w:tc>
          <w:tcPr>
            <w:tcW w:w="695" w:type="pct"/>
            <w:shd w:val="clear" w:color="auto" w:fill="FFFFFF"/>
            <w:vAlign w:val="center"/>
          </w:tcPr>
          <w:p w14:paraId="1ADEC82E" w14:textId="3D93F731" w:rsidR="00FE65AA" w:rsidRPr="00A31046" w:rsidRDefault="00FE65AA" w:rsidP="00DB5BDB">
            <w:pPr>
              <w:tabs>
                <w:tab w:val="clear" w:pos="7100"/>
              </w:tabs>
              <w:spacing w:line="240" w:lineRule="auto"/>
              <w:jc w:val="left"/>
              <w:rPr>
                <w:rFonts w:cs="Arial"/>
                <w:szCs w:val="18"/>
              </w:rPr>
            </w:pPr>
            <w:r>
              <w:rPr>
                <w:rFonts w:cs="Arial"/>
                <w:szCs w:val="18"/>
              </w:rPr>
              <w:t>PS/PW</w:t>
            </w:r>
            <w:r w:rsidRPr="00A31046">
              <w:rPr>
                <w:rFonts w:cs="Arial"/>
                <w:szCs w:val="18"/>
              </w:rPr>
              <w:t xml:space="preserve"> (5)</w:t>
            </w:r>
          </w:p>
        </w:tc>
      </w:tr>
      <w:tr w:rsidR="00FE65AA" w:rsidRPr="00B57B36" w14:paraId="11CEFFF2" w14:textId="77777777" w:rsidTr="00DB5BDB">
        <w:trPr>
          <w:trHeight w:val="20"/>
        </w:trPr>
        <w:tc>
          <w:tcPr>
            <w:tcW w:w="1523" w:type="pct"/>
            <w:shd w:val="clear" w:color="auto" w:fill="FFFFFF"/>
            <w:vAlign w:val="center"/>
          </w:tcPr>
          <w:p w14:paraId="248620EA" w14:textId="77777777" w:rsidR="00FE65AA" w:rsidRPr="00A31046" w:rsidRDefault="00FE65AA" w:rsidP="00DB5BDB">
            <w:pPr>
              <w:pStyle w:val="CETBodytext"/>
              <w:spacing w:line="240" w:lineRule="auto"/>
              <w:jc w:val="left"/>
              <w:rPr>
                <w:rFonts w:cs="Arial"/>
                <w:szCs w:val="18"/>
                <w:lang w:val="en-GB"/>
              </w:rPr>
            </w:pPr>
            <w:r w:rsidRPr="00A31046">
              <w:rPr>
                <w:rFonts w:cs="Arial"/>
                <w:szCs w:val="18"/>
                <w:lang w:val="en-GB"/>
              </w:rPr>
              <w:t>Palm Stearin/Beeswax</w:t>
            </w:r>
          </w:p>
        </w:tc>
        <w:tc>
          <w:tcPr>
            <w:tcW w:w="695" w:type="pct"/>
            <w:shd w:val="clear" w:color="auto" w:fill="FFFFFF"/>
            <w:vAlign w:val="center"/>
          </w:tcPr>
          <w:p w14:paraId="48A96AC7" w14:textId="1285D41D" w:rsidR="00FE65AA" w:rsidRPr="00A31046" w:rsidRDefault="00FE65AA" w:rsidP="00DB5BDB">
            <w:pPr>
              <w:pStyle w:val="CETBodytext"/>
              <w:spacing w:line="240" w:lineRule="auto"/>
              <w:jc w:val="left"/>
              <w:rPr>
                <w:rFonts w:cs="Arial"/>
                <w:szCs w:val="18"/>
                <w:lang w:val="en-GB"/>
              </w:rPr>
            </w:pPr>
            <w:r>
              <w:rPr>
                <w:rFonts w:cs="Arial"/>
                <w:szCs w:val="18"/>
                <w:lang w:val="en-GB"/>
              </w:rPr>
              <w:t>PS/BW</w:t>
            </w:r>
            <w:r w:rsidRPr="00A31046">
              <w:rPr>
                <w:rFonts w:cs="Arial"/>
                <w:szCs w:val="18"/>
                <w:lang w:val="en-GB"/>
              </w:rPr>
              <w:t xml:space="preserve"> (1)</w:t>
            </w:r>
          </w:p>
        </w:tc>
        <w:tc>
          <w:tcPr>
            <w:tcW w:w="695" w:type="pct"/>
            <w:shd w:val="clear" w:color="auto" w:fill="FFFFFF"/>
            <w:vAlign w:val="center"/>
          </w:tcPr>
          <w:p w14:paraId="26722FDB" w14:textId="1FDDFC08" w:rsidR="00FE65AA" w:rsidRPr="00A31046" w:rsidRDefault="00FE65AA" w:rsidP="00DB5BDB">
            <w:pPr>
              <w:pStyle w:val="CETBodytext"/>
              <w:spacing w:line="240" w:lineRule="auto"/>
              <w:jc w:val="left"/>
              <w:rPr>
                <w:rFonts w:cs="Arial"/>
                <w:szCs w:val="18"/>
                <w:lang w:val="en-GB"/>
              </w:rPr>
            </w:pPr>
            <w:r>
              <w:rPr>
                <w:rFonts w:cs="Arial"/>
                <w:szCs w:val="18"/>
                <w:lang w:val="en-GB"/>
              </w:rPr>
              <w:t>PS/BW</w:t>
            </w:r>
            <w:r w:rsidRPr="00A31046">
              <w:rPr>
                <w:rFonts w:cs="Arial"/>
                <w:szCs w:val="18"/>
                <w:lang w:val="en-GB"/>
              </w:rPr>
              <w:t xml:space="preserve"> (2)</w:t>
            </w:r>
          </w:p>
        </w:tc>
        <w:tc>
          <w:tcPr>
            <w:tcW w:w="695" w:type="pct"/>
            <w:shd w:val="clear" w:color="auto" w:fill="FFFFFF"/>
            <w:vAlign w:val="center"/>
          </w:tcPr>
          <w:p w14:paraId="05A2BD0E" w14:textId="67E2BAFD" w:rsidR="00FE65AA" w:rsidRPr="00A31046" w:rsidRDefault="00FE65AA" w:rsidP="00DB5BDB">
            <w:pPr>
              <w:pStyle w:val="CETBodytext"/>
              <w:spacing w:line="240" w:lineRule="auto"/>
              <w:jc w:val="left"/>
              <w:rPr>
                <w:rFonts w:cs="Arial"/>
                <w:szCs w:val="18"/>
                <w:lang w:val="en-GB"/>
              </w:rPr>
            </w:pPr>
            <w:r>
              <w:rPr>
                <w:rFonts w:cs="Arial"/>
                <w:szCs w:val="18"/>
                <w:lang w:val="en-GB"/>
              </w:rPr>
              <w:t>PS/BW</w:t>
            </w:r>
            <w:r w:rsidRPr="00A31046">
              <w:rPr>
                <w:rFonts w:cs="Arial"/>
                <w:szCs w:val="18"/>
                <w:lang w:val="en-GB"/>
              </w:rPr>
              <w:t xml:space="preserve"> (3)</w:t>
            </w:r>
          </w:p>
        </w:tc>
        <w:tc>
          <w:tcPr>
            <w:tcW w:w="695" w:type="pct"/>
            <w:shd w:val="clear" w:color="auto" w:fill="FFFFFF"/>
            <w:vAlign w:val="center"/>
          </w:tcPr>
          <w:p w14:paraId="4F3B630E" w14:textId="252F0A7C" w:rsidR="00FE65AA" w:rsidRPr="00A31046" w:rsidRDefault="00FE65AA" w:rsidP="00DB5BDB">
            <w:pPr>
              <w:pStyle w:val="CETBodytext"/>
              <w:spacing w:line="240" w:lineRule="auto"/>
              <w:jc w:val="left"/>
              <w:rPr>
                <w:rFonts w:cs="Arial"/>
                <w:szCs w:val="18"/>
                <w:lang w:val="en-GB"/>
              </w:rPr>
            </w:pPr>
            <w:r>
              <w:rPr>
                <w:rFonts w:cs="Arial"/>
                <w:szCs w:val="18"/>
                <w:lang w:val="en-GB"/>
              </w:rPr>
              <w:t>PS/BW</w:t>
            </w:r>
            <w:r w:rsidRPr="00A31046">
              <w:rPr>
                <w:rFonts w:cs="Arial"/>
                <w:szCs w:val="18"/>
                <w:lang w:val="en-GB"/>
              </w:rPr>
              <w:t xml:space="preserve"> (4)</w:t>
            </w:r>
          </w:p>
        </w:tc>
        <w:tc>
          <w:tcPr>
            <w:tcW w:w="695" w:type="pct"/>
            <w:shd w:val="clear" w:color="auto" w:fill="FFFFFF"/>
            <w:vAlign w:val="center"/>
          </w:tcPr>
          <w:p w14:paraId="3453E6EE" w14:textId="6D862334" w:rsidR="00FE65AA" w:rsidRPr="00A31046" w:rsidRDefault="00FE65AA" w:rsidP="00DB5BDB">
            <w:pPr>
              <w:pStyle w:val="CETBodytext"/>
              <w:spacing w:line="240" w:lineRule="auto"/>
              <w:jc w:val="left"/>
              <w:rPr>
                <w:rFonts w:cs="Arial"/>
                <w:szCs w:val="18"/>
                <w:lang w:val="en-GB"/>
              </w:rPr>
            </w:pPr>
            <w:r>
              <w:rPr>
                <w:rFonts w:cs="Arial"/>
                <w:szCs w:val="18"/>
                <w:lang w:val="en-GB"/>
              </w:rPr>
              <w:t>PS/BW</w:t>
            </w:r>
            <w:r w:rsidRPr="00A31046">
              <w:rPr>
                <w:rFonts w:cs="Arial"/>
                <w:szCs w:val="18"/>
                <w:lang w:val="en-GB"/>
              </w:rPr>
              <w:t xml:space="preserve"> (5)</w:t>
            </w:r>
          </w:p>
        </w:tc>
      </w:tr>
      <w:tr w:rsidR="00FE65AA" w:rsidRPr="00B57B36" w14:paraId="389EC658" w14:textId="77777777" w:rsidTr="00DB5BDB">
        <w:trPr>
          <w:trHeight w:val="20"/>
        </w:trPr>
        <w:tc>
          <w:tcPr>
            <w:tcW w:w="1523" w:type="pct"/>
            <w:shd w:val="clear" w:color="auto" w:fill="FFFFFF"/>
            <w:vAlign w:val="center"/>
          </w:tcPr>
          <w:p w14:paraId="4D3DA554" w14:textId="04367D3A" w:rsidR="00FE65AA" w:rsidRPr="00A31046" w:rsidRDefault="00FE65AA" w:rsidP="00DB5BDB">
            <w:pPr>
              <w:pStyle w:val="CETBodytext"/>
              <w:spacing w:line="240" w:lineRule="auto"/>
              <w:jc w:val="left"/>
              <w:rPr>
                <w:rFonts w:cs="Arial"/>
                <w:szCs w:val="18"/>
                <w:lang w:val="en-GB"/>
              </w:rPr>
            </w:pPr>
            <w:r>
              <w:rPr>
                <w:rFonts w:cs="Arial"/>
                <w:szCs w:val="18"/>
                <w:lang w:val="en-GB"/>
              </w:rPr>
              <w:t xml:space="preserve">Hydrogenated Palm </w:t>
            </w:r>
            <w:r w:rsidRPr="00A31046">
              <w:rPr>
                <w:rFonts w:cs="Arial"/>
                <w:szCs w:val="18"/>
                <w:lang w:val="en-GB"/>
              </w:rPr>
              <w:t>Stearin/Paraffin</w:t>
            </w:r>
          </w:p>
        </w:tc>
        <w:tc>
          <w:tcPr>
            <w:tcW w:w="695" w:type="pct"/>
            <w:shd w:val="clear" w:color="auto" w:fill="FFFFFF"/>
            <w:vAlign w:val="center"/>
          </w:tcPr>
          <w:p w14:paraId="50FC6D1E" w14:textId="2561D069" w:rsidR="00FE65AA" w:rsidRPr="00A31046" w:rsidRDefault="00FE65AA" w:rsidP="00DB5BDB">
            <w:pPr>
              <w:pStyle w:val="CETBodytext"/>
              <w:spacing w:line="240" w:lineRule="auto"/>
              <w:jc w:val="left"/>
              <w:rPr>
                <w:rFonts w:cs="Arial"/>
                <w:szCs w:val="18"/>
                <w:lang w:val="en-GB"/>
              </w:rPr>
            </w:pPr>
            <w:r>
              <w:rPr>
                <w:rFonts w:cs="Arial"/>
                <w:szCs w:val="18"/>
                <w:lang w:val="en-GB"/>
              </w:rPr>
              <w:t>HPS/PW</w:t>
            </w:r>
            <w:r w:rsidRPr="00A31046">
              <w:rPr>
                <w:rFonts w:cs="Arial"/>
                <w:szCs w:val="18"/>
                <w:lang w:val="en-GB"/>
              </w:rPr>
              <w:t xml:space="preserve"> (1)</w:t>
            </w:r>
          </w:p>
        </w:tc>
        <w:tc>
          <w:tcPr>
            <w:tcW w:w="695" w:type="pct"/>
            <w:shd w:val="clear" w:color="auto" w:fill="FFFFFF"/>
            <w:vAlign w:val="center"/>
          </w:tcPr>
          <w:p w14:paraId="7EF2FD6C" w14:textId="7C4CE65B" w:rsidR="00FE65AA" w:rsidRPr="00A31046" w:rsidRDefault="00FE65AA" w:rsidP="00DB5BDB">
            <w:pPr>
              <w:pStyle w:val="CETBodytext"/>
              <w:spacing w:line="240" w:lineRule="auto"/>
              <w:jc w:val="left"/>
              <w:rPr>
                <w:rFonts w:cs="Arial"/>
                <w:szCs w:val="18"/>
                <w:lang w:val="en-GB"/>
              </w:rPr>
            </w:pPr>
            <w:r>
              <w:rPr>
                <w:rFonts w:cs="Arial"/>
                <w:szCs w:val="18"/>
                <w:lang w:val="en-GB"/>
              </w:rPr>
              <w:t>HPS/PW</w:t>
            </w:r>
            <w:r w:rsidRPr="00A31046">
              <w:rPr>
                <w:rFonts w:cs="Arial"/>
                <w:szCs w:val="18"/>
                <w:lang w:val="en-GB"/>
              </w:rPr>
              <w:t xml:space="preserve"> (2)</w:t>
            </w:r>
          </w:p>
        </w:tc>
        <w:tc>
          <w:tcPr>
            <w:tcW w:w="695" w:type="pct"/>
            <w:shd w:val="clear" w:color="auto" w:fill="FFFFFF"/>
            <w:vAlign w:val="center"/>
          </w:tcPr>
          <w:p w14:paraId="4AF11D28" w14:textId="193EC477" w:rsidR="00FE65AA" w:rsidRPr="00A31046" w:rsidRDefault="00FE65AA" w:rsidP="00DB5BDB">
            <w:pPr>
              <w:pStyle w:val="CETBodytext"/>
              <w:spacing w:line="240" w:lineRule="auto"/>
              <w:jc w:val="left"/>
              <w:rPr>
                <w:rFonts w:cs="Arial"/>
                <w:szCs w:val="18"/>
                <w:lang w:val="en-GB"/>
              </w:rPr>
            </w:pPr>
            <w:r>
              <w:rPr>
                <w:rFonts w:cs="Arial"/>
                <w:szCs w:val="18"/>
                <w:lang w:val="en-GB"/>
              </w:rPr>
              <w:t>HPS/PW</w:t>
            </w:r>
            <w:r w:rsidRPr="00A31046">
              <w:rPr>
                <w:rFonts w:cs="Arial"/>
                <w:szCs w:val="18"/>
                <w:lang w:val="en-GB"/>
              </w:rPr>
              <w:t xml:space="preserve"> (3)</w:t>
            </w:r>
          </w:p>
        </w:tc>
        <w:tc>
          <w:tcPr>
            <w:tcW w:w="695" w:type="pct"/>
            <w:shd w:val="clear" w:color="auto" w:fill="FFFFFF"/>
            <w:vAlign w:val="center"/>
          </w:tcPr>
          <w:p w14:paraId="1EF86A5D" w14:textId="36086F96" w:rsidR="00FE65AA" w:rsidRPr="00A31046" w:rsidRDefault="00FE65AA" w:rsidP="00DB5BDB">
            <w:pPr>
              <w:pStyle w:val="CETBodytext"/>
              <w:spacing w:line="240" w:lineRule="auto"/>
              <w:jc w:val="left"/>
              <w:rPr>
                <w:rFonts w:cs="Arial"/>
                <w:szCs w:val="18"/>
                <w:lang w:val="en-GB"/>
              </w:rPr>
            </w:pPr>
            <w:r>
              <w:rPr>
                <w:rFonts w:cs="Arial"/>
                <w:szCs w:val="18"/>
                <w:lang w:val="en-GB"/>
              </w:rPr>
              <w:t>HPS/PW</w:t>
            </w:r>
            <w:r w:rsidRPr="00A31046">
              <w:rPr>
                <w:rFonts w:cs="Arial"/>
                <w:szCs w:val="18"/>
                <w:lang w:val="en-GB"/>
              </w:rPr>
              <w:t xml:space="preserve"> (4)</w:t>
            </w:r>
          </w:p>
        </w:tc>
        <w:tc>
          <w:tcPr>
            <w:tcW w:w="695" w:type="pct"/>
            <w:shd w:val="clear" w:color="auto" w:fill="FFFFFF"/>
            <w:vAlign w:val="center"/>
          </w:tcPr>
          <w:p w14:paraId="3B153BAA" w14:textId="24CC379E" w:rsidR="00FE65AA" w:rsidRPr="00A31046" w:rsidRDefault="00FE65AA" w:rsidP="00DB5BDB">
            <w:pPr>
              <w:pStyle w:val="CETBodytext"/>
              <w:spacing w:line="240" w:lineRule="auto"/>
              <w:jc w:val="left"/>
              <w:rPr>
                <w:rFonts w:cs="Arial"/>
                <w:szCs w:val="18"/>
                <w:lang w:val="en-GB"/>
              </w:rPr>
            </w:pPr>
            <w:r>
              <w:rPr>
                <w:rFonts w:cs="Arial"/>
                <w:szCs w:val="18"/>
                <w:lang w:val="en-GB"/>
              </w:rPr>
              <w:t>HPS/PW</w:t>
            </w:r>
            <w:r w:rsidRPr="00A31046">
              <w:rPr>
                <w:rFonts w:cs="Arial"/>
                <w:szCs w:val="18"/>
                <w:lang w:val="en-GB"/>
              </w:rPr>
              <w:t xml:space="preserve"> (5)</w:t>
            </w:r>
          </w:p>
        </w:tc>
      </w:tr>
      <w:tr w:rsidR="00FE65AA" w:rsidRPr="00B57B36" w14:paraId="7393211C" w14:textId="77777777" w:rsidTr="00DB5BDB">
        <w:trPr>
          <w:trHeight w:val="20"/>
        </w:trPr>
        <w:tc>
          <w:tcPr>
            <w:tcW w:w="1523" w:type="pct"/>
            <w:shd w:val="clear" w:color="auto" w:fill="FFFFFF"/>
            <w:vAlign w:val="center"/>
          </w:tcPr>
          <w:p w14:paraId="3E2BF2CA" w14:textId="77777777" w:rsidR="00FE65AA" w:rsidRPr="00A31046" w:rsidRDefault="00FE65AA" w:rsidP="00DB5BDB">
            <w:pPr>
              <w:pStyle w:val="CETBodytext"/>
              <w:spacing w:line="240" w:lineRule="auto"/>
              <w:jc w:val="left"/>
              <w:rPr>
                <w:rFonts w:cs="Arial"/>
                <w:szCs w:val="18"/>
                <w:lang w:val="en-GB"/>
              </w:rPr>
            </w:pPr>
            <w:r w:rsidRPr="00A31046">
              <w:rPr>
                <w:rFonts w:cs="Arial"/>
                <w:szCs w:val="18"/>
                <w:lang w:val="en-GB"/>
              </w:rPr>
              <w:t>Hydrogenated Palm Stearin/Beeswax</w:t>
            </w:r>
          </w:p>
        </w:tc>
        <w:tc>
          <w:tcPr>
            <w:tcW w:w="695" w:type="pct"/>
            <w:shd w:val="clear" w:color="auto" w:fill="FFFFFF"/>
            <w:vAlign w:val="center"/>
          </w:tcPr>
          <w:p w14:paraId="370DFA89" w14:textId="3E39C853" w:rsidR="00FE65AA" w:rsidRPr="00A31046" w:rsidRDefault="00FE65AA" w:rsidP="00DB5BDB">
            <w:pPr>
              <w:pStyle w:val="CETBodytext"/>
              <w:spacing w:line="240" w:lineRule="auto"/>
              <w:jc w:val="left"/>
              <w:rPr>
                <w:rFonts w:cs="Arial"/>
                <w:szCs w:val="18"/>
                <w:lang w:val="en-GB"/>
              </w:rPr>
            </w:pPr>
            <w:r>
              <w:rPr>
                <w:rFonts w:cs="Arial"/>
                <w:szCs w:val="18"/>
                <w:lang w:val="en-GB"/>
              </w:rPr>
              <w:t>HPS/BW</w:t>
            </w:r>
            <w:r w:rsidRPr="00A31046">
              <w:rPr>
                <w:rFonts w:cs="Arial"/>
                <w:szCs w:val="18"/>
                <w:lang w:val="en-GB"/>
              </w:rPr>
              <w:t xml:space="preserve"> (1)</w:t>
            </w:r>
          </w:p>
        </w:tc>
        <w:tc>
          <w:tcPr>
            <w:tcW w:w="695" w:type="pct"/>
            <w:shd w:val="clear" w:color="auto" w:fill="FFFFFF"/>
            <w:vAlign w:val="center"/>
          </w:tcPr>
          <w:p w14:paraId="2E513ABA" w14:textId="17CC0BD5" w:rsidR="00FE65AA" w:rsidRPr="00A31046" w:rsidRDefault="00FE65AA" w:rsidP="00DB5BDB">
            <w:pPr>
              <w:pStyle w:val="CETBodytext"/>
              <w:spacing w:line="240" w:lineRule="auto"/>
              <w:jc w:val="left"/>
              <w:rPr>
                <w:rFonts w:cs="Arial"/>
                <w:szCs w:val="18"/>
                <w:lang w:val="en-GB"/>
              </w:rPr>
            </w:pPr>
            <w:r>
              <w:rPr>
                <w:rFonts w:cs="Arial"/>
                <w:szCs w:val="18"/>
                <w:lang w:val="en-GB"/>
              </w:rPr>
              <w:t>HPS/BW</w:t>
            </w:r>
            <w:r w:rsidRPr="00A31046">
              <w:rPr>
                <w:rFonts w:cs="Arial"/>
                <w:szCs w:val="18"/>
                <w:lang w:val="en-GB"/>
              </w:rPr>
              <w:t xml:space="preserve"> (2)</w:t>
            </w:r>
          </w:p>
        </w:tc>
        <w:tc>
          <w:tcPr>
            <w:tcW w:w="695" w:type="pct"/>
            <w:shd w:val="clear" w:color="auto" w:fill="FFFFFF"/>
            <w:vAlign w:val="center"/>
          </w:tcPr>
          <w:p w14:paraId="7D46CD0E" w14:textId="0743B894" w:rsidR="00FE65AA" w:rsidRPr="00A31046" w:rsidRDefault="00FE65AA" w:rsidP="00DB5BDB">
            <w:pPr>
              <w:pStyle w:val="CETBodytext"/>
              <w:spacing w:line="240" w:lineRule="auto"/>
              <w:jc w:val="left"/>
              <w:rPr>
                <w:rFonts w:cs="Arial"/>
                <w:szCs w:val="18"/>
                <w:lang w:val="en-GB"/>
              </w:rPr>
            </w:pPr>
            <w:r>
              <w:rPr>
                <w:rFonts w:cs="Arial"/>
                <w:szCs w:val="18"/>
                <w:lang w:val="en-GB"/>
              </w:rPr>
              <w:t>HPS/BW</w:t>
            </w:r>
            <w:r w:rsidRPr="00A31046">
              <w:rPr>
                <w:rFonts w:cs="Arial"/>
                <w:szCs w:val="18"/>
                <w:lang w:val="en-GB"/>
              </w:rPr>
              <w:t xml:space="preserve"> (3)</w:t>
            </w:r>
          </w:p>
        </w:tc>
        <w:tc>
          <w:tcPr>
            <w:tcW w:w="695" w:type="pct"/>
            <w:shd w:val="clear" w:color="auto" w:fill="FFFFFF"/>
            <w:vAlign w:val="center"/>
          </w:tcPr>
          <w:p w14:paraId="203589F9" w14:textId="11FA5A5D" w:rsidR="00FE65AA" w:rsidRPr="00A31046" w:rsidRDefault="00FE65AA" w:rsidP="00DB5BDB">
            <w:pPr>
              <w:pStyle w:val="CETBodytext"/>
              <w:spacing w:line="240" w:lineRule="auto"/>
              <w:jc w:val="left"/>
              <w:rPr>
                <w:rFonts w:cs="Arial"/>
                <w:szCs w:val="18"/>
                <w:lang w:val="en-GB"/>
              </w:rPr>
            </w:pPr>
            <w:r>
              <w:rPr>
                <w:rFonts w:cs="Arial"/>
                <w:szCs w:val="18"/>
                <w:lang w:val="en-GB"/>
              </w:rPr>
              <w:t>HPS/BW</w:t>
            </w:r>
            <w:r w:rsidRPr="00A31046">
              <w:rPr>
                <w:rFonts w:cs="Arial"/>
                <w:szCs w:val="18"/>
                <w:lang w:val="en-GB"/>
              </w:rPr>
              <w:t xml:space="preserve"> (4)</w:t>
            </w:r>
          </w:p>
        </w:tc>
        <w:tc>
          <w:tcPr>
            <w:tcW w:w="695" w:type="pct"/>
            <w:shd w:val="clear" w:color="auto" w:fill="FFFFFF"/>
            <w:vAlign w:val="center"/>
          </w:tcPr>
          <w:p w14:paraId="40FAE0E9" w14:textId="78BDDB4F" w:rsidR="00FE65AA" w:rsidRPr="00A31046" w:rsidRDefault="00FE65AA" w:rsidP="00DB5BDB">
            <w:pPr>
              <w:pStyle w:val="CETBodytext"/>
              <w:spacing w:line="240" w:lineRule="auto"/>
              <w:jc w:val="left"/>
              <w:rPr>
                <w:rFonts w:cs="Arial"/>
                <w:szCs w:val="18"/>
                <w:lang w:val="en-GB"/>
              </w:rPr>
            </w:pPr>
            <w:r>
              <w:rPr>
                <w:rFonts w:cs="Arial"/>
                <w:szCs w:val="18"/>
                <w:lang w:val="en-GB"/>
              </w:rPr>
              <w:t>HPS/BW</w:t>
            </w:r>
            <w:r w:rsidRPr="00A31046">
              <w:rPr>
                <w:rFonts w:cs="Arial"/>
                <w:szCs w:val="18"/>
                <w:lang w:val="en-GB"/>
              </w:rPr>
              <w:t xml:space="preserve"> (5)</w:t>
            </w:r>
          </w:p>
        </w:tc>
      </w:tr>
    </w:tbl>
    <w:p w14:paraId="6F6CD8DE" w14:textId="77777777" w:rsidR="0036198E" w:rsidRDefault="0036198E" w:rsidP="0036198E">
      <w:pPr>
        <w:pStyle w:val="CETBodytext"/>
        <w:rPr>
          <w:lang w:val="en-GB"/>
        </w:rPr>
      </w:pPr>
      <w:r w:rsidRPr="00B44A13">
        <w:rPr>
          <w:i/>
          <w:lang w:val="en-GB"/>
        </w:rPr>
        <w:t>Note:</w:t>
      </w:r>
      <w:r w:rsidRPr="00B44A13">
        <w:rPr>
          <w:lang w:val="en-GB"/>
        </w:rPr>
        <w:t xml:space="preserve"> Eutectic mixture ratio (% by weight).</w:t>
      </w:r>
    </w:p>
    <w:p w14:paraId="4D94057F" w14:textId="77777777" w:rsidR="00910E3B" w:rsidRDefault="00910E3B" w:rsidP="00A31046">
      <w:pPr>
        <w:pStyle w:val="CETBodytext"/>
        <w:rPr>
          <w:b/>
        </w:rPr>
      </w:pPr>
    </w:p>
    <w:p w14:paraId="13C31C42" w14:textId="6F092B44" w:rsidR="00312B71" w:rsidRDefault="00A74496" w:rsidP="00F44A00">
      <w:pPr>
        <w:pStyle w:val="CETBodytext"/>
        <w:rPr>
          <w:b/>
        </w:rPr>
      </w:pPr>
      <w:r w:rsidRPr="00443B90">
        <w:rPr>
          <w:lang w:val="en-GB"/>
        </w:rPr>
        <w:t xml:space="preserve">The energy stored and released from a material depends on the heat capacity </w:t>
      </w:r>
      <w:r w:rsidR="00B733AD">
        <w:rPr>
          <w:lang w:val="en-GB"/>
        </w:rPr>
        <w:t xml:space="preserve">and the </w:t>
      </w:r>
      <w:r w:rsidR="004A288D">
        <w:rPr>
          <w:lang w:val="en-GB"/>
        </w:rPr>
        <w:t>enthalpy of fusion and crystallization</w:t>
      </w:r>
      <w:r w:rsidRPr="00443B90">
        <w:rPr>
          <w:lang w:val="en-GB"/>
        </w:rPr>
        <w:t xml:space="preserve"> of the sample under study, therefore, the energy stored by a body between two temperatures (T</w:t>
      </w:r>
      <w:r w:rsidRPr="00443B90">
        <w:rPr>
          <w:vertAlign w:val="subscript"/>
          <w:lang w:val="en-GB"/>
        </w:rPr>
        <w:t>o</w:t>
      </w:r>
      <w:r w:rsidRPr="00443B90">
        <w:rPr>
          <w:lang w:val="en-GB"/>
        </w:rPr>
        <w:t>) and (T</w:t>
      </w:r>
      <w:r w:rsidRPr="00443B90">
        <w:rPr>
          <w:vertAlign w:val="subscript"/>
          <w:lang w:val="en-GB"/>
        </w:rPr>
        <w:t>3</w:t>
      </w:r>
      <w:r w:rsidRPr="00443B90">
        <w:rPr>
          <w:lang w:val="en-GB"/>
        </w:rPr>
        <w:t xml:space="preserve">) </w:t>
      </w:r>
      <w:r w:rsidR="004A288D">
        <w:rPr>
          <w:lang w:val="en-GB"/>
        </w:rPr>
        <w:t>during</w:t>
      </w:r>
      <w:r w:rsidRPr="00443B90">
        <w:rPr>
          <w:lang w:val="en-GB"/>
        </w:rPr>
        <w:t xml:space="preserve"> the heating process is expressed by equation 1</w:t>
      </w:r>
      <w:sdt>
        <w:sdtPr>
          <w:rPr>
            <w:lang w:val="en-GB"/>
          </w:rPr>
          <w:id w:val="-816262789"/>
          <w:citation/>
        </w:sdtPr>
        <w:sdtEndPr/>
        <w:sdtContent>
          <w:r>
            <w:rPr>
              <w:lang w:val="en-GB"/>
            </w:rPr>
            <w:fldChar w:fldCharType="begin"/>
          </w:r>
          <w:r w:rsidRPr="00386C42">
            <w:instrText xml:space="preserve"> CITATION Est91 \l 2058 </w:instrText>
          </w:r>
          <w:r>
            <w:rPr>
              <w:lang w:val="en-GB"/>
            </w:rPr>
            <w:fldChar w:fldCharType="separate"/>
          </w:r>
          <w:r w:rsidR="00D82FD6">
            <w:rPr>
              <w:noProof/>
            </w:rPr>
            <w:t xml:space="preserve"> </w:t>
          </w:r>
          <w:r w:rsidR="00D82FD6" w:rsidRPr="00D82FD6">
            <w:rPr>
              <w:noProof/>
            </w:rPr>
            <w:t>(Esteban Saiz, 1991)</w:t>
          </w:r>
          <w:r>
            <w:rPr>
              <w:lang w:val="en-GB"/>
            </w:rPr>
            <w:fldChar w:fldCharType="end"/>
          </w:r>
        </w:sdtContent>
      </w:sdt>
      <w:r>
        <w:rPr>
          <w:lang w:val="en-GB"/>
        </w:rPr>
        <w:t xml:space="preserve">, </w:t>
      </w:r>
      <w:r w:rsidRPr="00443B90">
        <w:rPr>
          <w:lang w:val="en-GB"/>
        </w:rPr>
        <w:t>where the first and third expressions represent the sensible heat of the sample and the second expression the latent heat.</w:t>
      </w:r>
      <w:r w:rsidR="005A6ECC">
        <w:rPr>
          <w:lang w:val="en-GB"/>
        </w:rPr>
        <w:t xml:space="preserve"> Equation 2 </w:t>
      </w:r>
      <w:r w:rsidR="00654CC9">
        <w:rPr>
          <w:lang w:val="en-GB"/>
        </w:rPr>
        <w:t xml:space="preserve">express the energy release during the cooling process </w:t>
      </w:r>
    </w:p>
    <w:p w14:paraId="26319734" w14:textId="77777777" w:rsidR="00D50161" w:rsidRPr="00D50161" w:rsidRDefault="00D50161" w:rsidP="00F44A00">
      <w:pPr>
        <w:pStyle w:val="CETBodytext"/>
        <w:rPr>
          <w:b/>
        </w:rPr>
      </w:pPr>
    </w:p>
    <w:p w14:paraId="19C85774" w14:textId="35CFCD9D" w:rsidR="00312B71" w:rsidRDefault="00312B71" w:rsidP="00F44A00">
      <w:pPr>
        <w:pStyle w:val="CETBodytext"/>
        <w:rPr>
          <w:noProof/>
        </w:rPr>
      </w:pPr>
    </w:p>
    <w:p w14:paraId="000FDD07" w14:textId="444E3638" w:rsidR="00312B71" w:rsidRDefault="005B7A73" w:rsidP="00F44A00">
      <w:pPr>
        <w:pStyle w:val="CETBodytext"/>
        <w:rPr>
          <w:noProof/>
        </w:rPr>
      </w:pPr>
      <m:oMathPara>
        <m:oMath>
          <m:sSub>
            <m:sSubPr>
              <m:ctrlPr>
                <w:rPr>
                  <w:rFonts w:ascii="Cambria Math" w:hAnsi="Cambria Math"/>
                  <w:i/>
                  <w:noProof/>
                </w:rPr>
              </m:ctrlPr>
            </m:sSubPr>
            <m:e>
              <m:r>
                <w:rPr>
                  <w:rFonts w:ascii="Cambria Math" w:hAnsi="Cambria Math"/>
                  <w:noProof/>
                </w:rPr>
                <m:t>E</m:t>
              </m:r>
            </m:e>
            <m:sub>
              <m:r>
                <w:rPr>
                  <w:rFonts w:ascii="Cambria Math" w:hAnsi="Cambria Math"/>
                  <w:noProof/>
                </w:rPr>
                <m:t>s</m:t>
              </m:r>
            </m:sub>
          </m:sSub>
          <m:r>
            <w:rPr>
              <w:rFonts w:ascii="Cambria Math" w:hAnsi="Cambria Math"/>
              <w:noProof/>
            </w:rPr>
            <m:t>=</m:t>
          </m:r>
          <m:nary>
            <m:naryPr>
              <m:limLoc m:val="subSup"/>
              <m:ctrlPr>
                <w:rPr>
                  <w:rFonts w:ascii="Cambria Math" w:hAnsi="Cambria Math"/>
                  <w:i/>
                  <w:noProof/>
                </w:rPr>
              </m:ctrlPr>
            </m:naryPr>
            <m:sub>
              <m:sSub>
                <m:sSubPr>
                  <m:ctrlPr>
                    <w:rPr>
                      <w:rFonts w:ascii="Cambria Math" w:hAnsi="Cambria Math"/>
                      <w:i/>
                      <w:noProof/>
                    </w:rPr>
                  </m:ctrlPr>
                </m:sSubPr>
                <m:e>
                  <m:r>
                    <w:rPr>
                      <w:rFonts w:ascii="Cambria Math" w:hAnsi="Cambria Math"/>
                      <w:noProof/>
                    </w:rPr>
                    <m:t>T</m:t>
                  </m:r>
                </m:e>
                <m:sub>
                  <m:r>
                    <w:rPr>
                      <w:rFonts w:ascii="Cambria Math" w:hAnsi="Cambria Math"/>
                      <w:noProof/>
                    </w:rPr>
                    <m:t>0</m:t>
                  </m:r>
                </m:sub>
              </m:sSub>
            </m:sub>
            <m:sup>
              <m:sSub>
                <m:sSubPr>
                  <m:ctrlPr>
                    <w:rPr>
                      <w:rFonts w:ascii="Cambria Math" w:hAnsi="Cambria Math"/>
                      <w:i/>
                      <w:noProof/>
                    </w:rPr>
                  </m:ctrlPr>
                </m:sSubPr>
                <m:e>
                  <m:r>
                    <w:rPr>
                      <w:rFonts w:ascii="Cambria Math" w:hAnsi="Cambria Math"/>
                      <w:noProof/>
                    </w:rPr>
                    <m:t>T</m:t>
                  </m:r>
                </m:e>
                <m:sub>
                  <m:r>
                    <w:rPr>
                      <w:rFonts w:ascii="Cambria Math" w:hAnsi="Cambria Math"/>
                      <w:noProof/>
                    </w:rPr>
                    <m:t>1</m:t>
                  </m:r>
                </m:sub>
              </m:sSub>
            </m:sup>
            <m:e>
              <m:r>
                <w:rPr>
                  <w:rFonts w:ascii="Cambria Math" w:hAnsi="Cambria Math"/>
                  <w:noProof/>
                </w:rPr>
                <m:t>m*</m:t>
              </m:r>
              <m:sSub>
                <m:sSubPr>
                  <m:ctrlPr>
                    <w:rPr>
                      <w:rFonts w:ascii="Cambria Math" w:hAnsi="Cambria Math"/>
                      <w:i/>
                      <w:noProof/>
                    </w:rPr>
                  </m:ctrlPr>
                </m:sSubPr>
                <m:e>
                  <m:r>
                    <w:rPr>
                      <w:rFonts w:ascii="Cambria Math" w:hAnsi="Cambria Math"/>
                      <w:noProof/>
                    </w:rPr>
                    <m:t>C</m:t>
                  </m:r>
                </m:e>
                <m:sub>
                  <m:r>
                    <w:rPr>
                      <w:rFonts w:ascii="Cambria Math" w:hAnsi="Cambria Math"/>
                      <w:noProof/>
                    </w:rPr>
                    <m:t>psolid</m:t>
                  </m:r>
                </m:sub>
              </m:sSub>
              <m:r>
                <w:rPr>
                  <w:rFonts w:ascii="Cambria Math" w:hAnsi="Cambria Math"/>
                  <w:noProof/>
                </w:rPr>
                <m:t xml:space="preserve"> dT +m*</m:t>
              </m:r>
              <m:sSub>
                <m:sSubPr>
                  <m:ctrlPr>
                    <w:rPr>
                      <w:rFonts w:ascii="Cambria Math" w:hAnsi="Cambria Math"/>
                      <w:i/>
                      <w:noProof/>
                    </w:rPr>
                  </m:ctrlPr>
                </m:sSubPr>
                <m:e>
                  <m:r>
                    <w:rPr>
                      <w:rFonts w:ascii="Cambria Math" w:hAnsi="Cambria Math"/>
                      <w:noProof/>
                    </w:rPr>
                    <m:t>H</m:t>
                  </m:r>
                </m:e>
                <m:sub>
                  <m:r>
                    <w:rPr>
                      <w:rFonts w:ascii="Cambria Math" w:hAnsi="Cambria Math"/>
                      <w:noProof/>
                    </w:rPr>
                    <m:t>f</m:t>
                  </m:r>
                </m:sub>
              </m:sSub>
              <m:r>
                <w:rPr>
                  <w:rFonts w:ascii="Cambria Math" w:hAnsi="Cambria Math"/>
                  <w:noProof/>
                </w:rPr>
                <m:t>+</m:t>
              </m:r>
              <m:nary>
                <m:naryPr>
                  <m:limLoc m:val="subSup"/>
                  <m:ctrlPr>
                    <w:rPr>
                      <w:rFonts w:ascii="Cambria Math" w:hAnsi="Cambria Math"/>
                      <w:i/>
                      <w:noProof/>
                    </w:rPr>
                  </m:ctrlPr>
                </m:naryPr>
                <m:sub>
                  <m:sSub>
                    <m:sSubPr>
                      <m:ctrlPr>
                        <w:rPr>
                          <w:rFonts w:ascii="Cambria Math" w:hAnsi="Cambria Math"/>
                          <w:i/>
                          <w:noProof/>
                        </w:rPr>
                      </m:ctrlPr>
                    </m:sSubPr>
                    <m:e>
                      <m:r>
                        <w:rPr>
                          <w:rFonts w:ascii="Cambria Math" w:hAnsi="Cambria Math"/>
                          <w:noProof/>
                        </w:rPr>
                        <m:t>T</m:t>
                      </m:r>
                    </m:e>
                    <m:sub>
                      <m:r>
                        <w:rPr>
                          <w:rFonts w:ascii="Cambria Math" w:hAnsi="Cambria Math"/>
                          <w:noProof/>
                        </w:rPr>
                        <m:t>2</m:t>
                      </m:r>
                    </m:sub>
                  </m:sSub>
                </m:sub>
                <m:sup>
                  <m:sSub>
                    <m:sSubPr>
                      <m:ctrlPr>
                        <w:rPr>
                          <w:rFonts w:ascii="Cambria Math" w:hAnsi="Cambria Math"/>
                          <w:i/>
                          <w:noProof/>
                        </w:rPr>
                      </m:ctrlPr>
                    </m:sSubPr>
                    <m:e>
                      <m:r>
                        <w:rPr>
                          <w:rFonts w:ascii="Cambria Math" w:hAnsi="Cambria Math"/>
                          <w:noProof/>
                        </w:rPr>
                        <m:t>T</m:t>
                      </m:r>
                    </m:e>
                    <m:sub>
                      <m:r>
                        <w:rPr>
                          <w:rFonts w:ascii="Cambria Math" w:hAnsi="Cambria Math"/>
                          <w:noProof/>
                        </w:rPr>
                        <m:t>3</m:t>
                      </m:r>
                    </m:sub>
                  </m:sSub>
                </m:sup>
                <m:e>
                  <m:r>
                    <w:rPr>
                      <w:rFonts w:ascii="Cambria Math" w:hAnsi="Cambria Math"/>
                      <w:noProof/>
                    </w:rPr>
                    <m:t>m*</m:t>
                  </m:r>
                  <m:sSub>
                    <m:sSubPr>
                      <m:ctrlPr>
                        <w:rPr>
                          <w:rFonts w:ascii="Cambria Math" w:hAnsi="Cambria Math"/>
                          <w:i/>
                          <w:noProof/>
                        </w:rPr>
                      </m:ctrlPr>
                    </m:sSubPr>
                    <m:e>
                      <m:r>
                        <w:rPr>
                          <w:rFonts w:ascii="Cambria Math" w:hAnsi="Cambria Math"/>
                          <w:noProof/>
                        </w:rPr>
                        <m:t>C</m:t>
                      </m:r>
                    </m:e>
                    <m:sub>
                      <m:r>
                        <w:rPr>
                          <w:rFonts w:ascii="Cambria Math" w:hAnsi="Cambria Math"/>
                          <w:noProof/>
                        </w:rPr>
                        <m:t>pliquid</m:t>
                      </m:r>
                    </m:sub>
                  </m:sSub>
                  <m:r>
                    <w:rPr>
                      <w:rFonts w:ascii="Cambria Math" w:hAnsi="Cambria Math"/>
                      <w:noProof/>
                    </w:rPr>
                    <m:t xml:space="preserve"> dT                                                                                                      (1)</m:t>
                  </m:r>
                </m:e>
              </m:nary>
            </m:e>
          </m:nary>
        </m:oMath>
      </m:oMathPara>
    </w:p>
    <w:p w14:paraId="5928D7D0" w14:textId="77777777" w:rsidR="00276B87" w:rsidRDefault="00276B87" w:rsidP="00F44A00">
      <w:pPr>
        <w:pStyle w:val="CETBodytext"/>
        <w:rPr>
          <w:noProof/>
        </w:rPr>
      </w:pPr>
    </w:p>
    <w:p w14:paraId="4A903237" w14:textId="77777777" w:rsidR="00AF04E7" w:rsidRDefault="00AF04E7" w:rsidP="00312B71">
      <w:pPr>
        <w:pStyle w:val="CETBodytext"/>
        <w:rPr>
          <w:noProof/>
        </w:rPr>
      </w:pPr>
    </w:p>
    <w:p w14:paraId="6B6459C7" w14:textId="33141CC9" w:rsidR="007F2117" w:rsidRDefault="005B7A73" w:rsidP="00312B71">
      <w:pPr>
        <w:pStyle w:val="CETBodytext"/>
        <w:rPr>
          <w:lang w:val="en-GB"/>
        </w:rPr>
      </w:pPr>
      <m:oMathPara>
        <m:oMath>
          <m:sSub>
            <m:sSubPr>
              <m:ctrlPr>
                <w:rPr>
                  <w:rFonts w:ascii="Cambria Math" w:hAnsi="Cambria Math"/>
                  <w:i/>
                  <w:noProof/>
                </w:rPr>
              </m:ctrlPr>
            </m:sSubPr>
            <m:e>
              <m:r>
                <w:rPr>
                  <w:rFonts w:ascii="Cambria Math" w:hAnsi="Cambria Math"/>
                  <w:noProof/>
                </w:rPr>
                <m:t>E</m:t>
              </m:r>
            </m:e>
            <m:sub>
              <m:r>
                <w:rPr>
                  <w:rFonts w:ascii="Cambria Math" w:hAnsi="Cambria Math"/>
                  <w:noProof/>
                </w:rPr>
                <m:t>r</m:t>
              </m:r>
            </m:sub>
          </m:sSub>
          <m:r>
            <w:rPr>
              <w:rFonts w:ascii="Cambria Math" w:hAnsi="Cambria Math"/>
              <w:noProof/>
            </w:rPr>
            <m:t>=</m:t>
          </m:r>
          <m:nary>
            <m:naryPr>
              <m:limLoc m:val="subSup"/>
              <m:ctrlPr>
                <w:rPr>
                  <w:rFonts w:ascii="Cambria Math" w:hAnsi="Cambria Math"/>
                  <w:i/>
                  <w:noProof/>
                </w:rPr>
              </m:ctrlPr>
            </m:naryPr>
            <m:sub>
              <m:sSub>
                <m:sSubPr>
                  <m:ctrlPr>
                    <w:rPr>
                      <w:rFonts w:ascii="Cambria Math" w:hAnsi="Cambria Math"/>
                      <w:i/>
                      <w:noProof/>
                    </w:rPr>
                  </m:ctrlPr>
                </m:sSubPr>
                <m:e>
                  <m:r>
                    <w:rPr>
                      <w:rFonts w:ascii="Cambria Math" w:hAnsi="Cambria Math"/>
                      <w:noProof/>
                    </w:rPr>
                    <m:t>T</m:t>
                  </m:r>
                </m:e>
                <m:sub>
                  <m:r>
                    <w:rPr>
                      <w:rFonts w:ascii="Cambria Math" w:hAnsi="Cambria Math"/>
                      <w:noProof/>
                    </w:rPr>
                    <m:t>0</m:t>
                  </m:r>
                </m:sub>
              </m:sSub>
            </m:sub>
            <m:sup>
              <m:sSub>
                <m:sSubPr>
                  <m:ctrlPr>
                    <w:rPr>
                      <w:rFonts w:ascii="Cambria Math" w:hAnsi="Cambria Math"/>
                      <w:i/>
                      <w:noProof/>
                    </w:rPr>
                  </m:ctrlPr>
                </m:sSubPr>
                <m:e>
                  <m:r>
                    <w:rPr>
                      <w:rFonts w:ascii="Cambria Math" w:hAnsi="Cambria Math"/>
                      <w:noProof/>
                    </w:rPr>
                    <m:t>T</m:t>
                  </m:r>
                </m:e>
                <m:sub>
                  <m:r>
                    <w:rPr>
                      <w:rFonts w:ascii="Cambria Math" w:hAnsi="Cambria Math"/>
                      <w:noProof/>
                    </w:rPr>
                    <m:t>1</m:t>
                  </m:r>
                </m:sub>
              </m:sSub>
            </m:sup>
            <m:e>
              <m:r>
                <w:rPr>
                  <w:rFonts w:ascii="Cambria Math" w:hAnsi="Cambria Math"/>
                  <w:noProof/>
                </w:rPr>
                <m:t>m*</m:t>
              </m:r>
              <m:sSub>
                <m:sSubPr>
                  <m:ctrlPr>
                    <w:rPr>
                      <w:rFonts w:ascii="Cambria Math" w:hAnsi="Cambria Math"/>
                      <w:i/>
                      <w:noProof/>
                    </w:rPr>
                  </m:ctrlPr>
                </m:sSubPr>
                <m:e>
                  <m:r>
                    <w:rPr>
                      <w:rFonts w:ascii="Cambria Math" w:hAnsi="Cambria Math"/>
                      <w:noProof/>
                    </w:rPr>
                    <m:t>C</m:t>
                  </m:r>
                </m:e>
                <m:sub>
                  <m:r>
                    <w:rPr>
                      <w:rFonts w:ascii="Cambria Math" w:hAnsi="Cambria Math"/>
                      <w:noProof/>
                    </w:rPr>
                    <m:t>psolid</m:t>
                  </m:r>
                </m:sub>
              </m:sSub>
              <m:r>
                <w:rPr>
                  <w:rFonts w:ascii="Cambria Math" w:hAnsi="Cambria Math"/>
                  <w:noProof/>
                </w:rPr>
                <m:t xml:space="preserve"> dT +m*</m:t>
              </m:r>
              <m:sSub>
                <m:sSubPr>
                  <m:ctrlPr>
                    <w:rPr>
                      <w:rFonts w:ascii="Cambria Math" w:hAnsi="Cambria Math"/>
                      <w:i/>
                      <w:noProof/>
                    </w:rPr>
                  </m:ctrlPr>
                </m:sSubPr>
                <m:e>
                  <m:r>
                    <w:rPr>
                      <w:rFonts w:ascii="Cambria Math" w:hAnsi="Cambria Math"/>
                      <w:noProof/>
                    </w:rPr>
                    <m:t>H</m:t>
                  </m:r>
                </m:e>
                <m:sub>
                  <m:r>
                    <w:rPr>
                      <w:rFonts w:ascii="Cambria Math" w:hAnsi="Cambria Math"/>
                      <w:noProof/>
                    </w:rPr>
                    <m:t>c</m:t>
                  </m:r>
                </m:sub>
              </m:sSub>
              <m:r>
                <w:rPr>
                  <w:rFonts w:ascii="Cambria Math" w:hAnsi="Cambria Math"/>
                  <w:noProof/>
                </w:rPr>
                <m:t>+</m:t>
              </m:r>
              <m:nary>
                <m:naryPr>
                  <m:limLoc m:val="subSup"/>
                  <m:ctrlPr>
                    <w:rPr>
                      <w:rFonts w:ascii="Cambria Math" w:hAnsi="Cambria Math"/>
                      <w:i/>
                      <w:noProof/>
                    </w:rPr>
                  </m:ctrlPr>
                </m:naryPr>
                <m:sub>
                  <m:sSub>
                    <m:sSubPr>
                      <m:ctrlPr>
                        <w:rPr>
                          <w:rFonts w:ascii="Cambria Math" w:hAnsi="Cambria Math"/>
                          <w:i/>
                          <w:noProof/>
                        </w:rPr>
                      </m:ctrlPr>
                    </m:sSubPr>
                    <m:e>
                      <m:r>
                        <w:rPr>
                          <w:rFonts w:ascii="Cambria Math" w:hAnsi="Cambria Math"/>
                          <w:noProof/>
                        </w:rPr>
                        <m:t>T</m:t>
                      </m:r>
                    </m:e>
                    <m:sub>
                      <m:r>
                        <w:rPr>
                          <w:rFonts w:ascii="Cambria Math" w:hAnsi="Cambria Math"/>
                          <w:noProof/>
                        </w:rPr>
                        <m:t>2</m:t>
                      </m:r>
                    </m:sub>
                  </m:sSub>
                </m:sub>
                <m:sup>
                  <m:sSub>
                    <m:sSubPr>
                      <m:ctrlPr>
                        <w:rPr>
                          <w:rFonts w:ascii="Cambria Math" w:hAnsi="Cambria Math"/>
                          <w:i/>
                          <w:noProof/>
                        </w:rPr>
                      </m:ctrlPr>
                    </m:sSubPr>
                    <m:e>
                      <m:r>
                        <w:rPr>
                          <w:rFonts w:ascii="Cambria Math" w:hAnsi="Cambria Math"/>
                          <w:noProof/>
                        </w:rPr>
                        <m:t>T</m:t>
                      </m:r>
                    </m:e>
                    <m:sub>
                      <m:r>
                        <w:rPr>
                          <w:rFonts w:ascii="Cambria Math" w:hAnsi="Cambria Math"/>
                          <w:noProof/>
                        </w:rPr>
                        <m:t>3</m:t>
                      </m:r>
                    </m:sub>
                  </m:sSub>
                </m:sup>
                <m:e>
                  <m:r>
                    <w:rPr>
                      <w:rFonts w:ascii="Cambria Math" w:hAnsi="Cambria Math"/>
                      <w:noProof/>
                    </w:rPr>
                    <m:t>m*</m:t>
                  </m:r>
                  <m:sSub>
                    <m:sSubPr>
                      <m:ctrlPr>
                        <w:rPr>
                          <w:rFonts w:ascii="Cambria Math" w:hAnsi="Cambria Math"/>
                          <w:i/>
                          <w:noProof/>
                        </w:rPr>
                      </m:ctrlPr>
                    </m:sSubPr>
                    <m:e>
                      <m:r>
                        <w:rPr>
                          <w:rFonts w:ascii="Cambria Math" w:hAnsi="Cambria Math"/>
                          <w:noProof/>
                        </w:rPr>
                        <m:t>C</m:t>
                      </m:r>
                    </m:e>
                    <m:sub>
                      <m:r>
                        <w:rPr>
                          <w:rFonts w:ascii="Cambria Math" w:hAnsi="Cambria Math"/>
                          <w:noProof/>
                        </w:rPr>
                        <m:t>pliquid</m:t>
                      </m:r>
                    </m:sub>
                  </m:sSub>
                  <m:r>
                    <w:rPr>
                      <w:rFonts w:ascii="Cambria Math" w:hAnsi="Cambria Math"/>
                      <w:noProof/>
                    </w:rPr>
                    <m:t xml:space="preserve"> dT                                                                                                       (2)</m:t>
                  </m:r>
                </m:e>
              </m:nary>
            </m:e>
          </m:nary>
        </m:oMath>
      </m:oMathPara>
    </w:p>
    <w:p w14:paraId="619A645F" w14:textId="6DE3BF24" w:rsidR="00AF04E7" w:rsidRDefault="00AF04E7" w:rsidP="00312B71">
      <w:pPr>
        <w:pStyle w:val="CETBodytext"/>
        <w:rPr>
          <w:lang w:val="en-GB"/>
        </w:rPr>
      </w:pPr>
    </w:p>
    <w:p w14:paraId="5528CB5A" w14:textId="77777777" w:rsidR="00C039BE" w:rsidRDefault="00C039BE" w:rsidP="00312B71">
      <w:pPr>
        <w:pStyle w:val="CETBodytext"/>
        <w:rPr>
          <w:lang w:val="en-GB"/>
        </w:rPr>
      </w:pPr>
    </w:p>
    <w:p w14:paraId="04CCAC43" w14:textId="18E34352" w:rsidR="00312B71" w:rsidRDefault="00312B71" w:rsidP="00312B71">
      <w:pPr>
        <w:pStyle w:val="CETBodytext"/>
        <w:rPr>
          <w:lang w:val="en-GB"/>
        </w:rPr>
      </w:pPr>
      <w:r w:rsidRPr="00443B90">
        <w:rPr>
          <w:lang w:val="en-GB"/>
        </w:rPr>
        <w:t>Where:</w:t>
      </w:r>
    </w:p>
    <w:p w14:paraId="3AF93193" w14:textId="77777777" w:rsidR="00312B71" w:rsidRPr="00443B90" w:rsidRDefault="00312B71" w:rsidP="00312B71">
      <w:pPr>
        <w:pStyle w:val="CETBodytext"/>
        <w:rPr>
          <w:lang w:val="en-GB"/>
        </w:rPr>
      </w:pPr>
    </w:p>
    <w:p w14:paraId="04EFA6D4" w14:textId="77777777" w:rsidR="00312B71" w:rsidRDefault="00312B71" w:rsidP="00312B71">
      <w:pPr>
        <w:pStyle w:val="CETBodytext"/>
        <w:rPr>
          <w:lang w:val="en-GB"/>
        </w:rPr>
      </w:pPr>
      <w:r w:rsidRPr="00443B90">
        <w:rPr>
          <w:lang w:val="en-GB"/>
        </w:rPr>
        <w:t>m: mass of the sample (kg).</w:t>
      </w:r>
    </w:p>
    <w:p w14:paraId="78DFBEFF" w14:textId="4694C7D3" w:rsidR="00312B71" w:rsidRDefault="005B7A73" w:rsidP="00312B71">
      <w:pPr>
        <w:pStyle w:val="CETBodytext"/>
        <w:rPr>
          <w:lang w:val="en-GB"/>
        </w:rPr>
      </w:pPr>
      <m:oMath>
        <m:sSub>
          <m:sSubPr>
            <m:ctrlPr>
              <w:rPr>
                <w:rFonts w:ascii="Cambria Math" w:hAnsi="Cambria Math"/>
                <w:i/>
                <w:noProof/>
              </w:rPr>
            </m:ctrlPr>
          </m:sSubPr>
          <m:e>
            <m:r>
              <w:rPr>
                <w:rFonts w:ascii="Cambria Math" w:hAnsi="Cambria Math"/>
                <w:noProof/>
              </w:rPr>
              <m:t>C</m:t>
            </m:r>
          </m:e>
          <m:sub>
            <m:r>
              <w:rPr>
                <w:rFonts w:ascii="Cambria Math" w:hAnsi="Cambria Math"/>
                <w:noProof/>
              </w:rPr>
              <m:t>psolid</m:t>
            </m:r>
          </m:sub>
        </m:sSub>
      </m:oMath>
      <w:r w:rsidR="00312B71" w:rsidRPr="00443B90">
        <w:rPr>
          <w:lang w:val="en-GB"/>
        </w:rPr>
        <w:t>: heat capacity in solid state (kJ/kg</w:t>
      </w:r>
      <w:r w:rsidR="00C96C4C">
        <w:rPr>
          <w:rFonts w:cs="Arial"/>
          <w:lang w:val="en-GB"/>
        </w:rPr>
        <w:t>·</w:t>
      </w:r>
      <w:r w:rsidR="00312B71" w:rsidRPr="00443B90">
        <w:rPr>
          <w:lang w:val="en-GB"/>
        </w:rPr>
        <w:t>K).</w:t>
      </w:r>
    </w:p>
    <w:p w14:paraId="3AAF2E61" w14:textId="7BFA1A95" w:rsidR="00312B71" w:rsidRDefault="005B7A73" w:rsidP="00312B71">
      <w:pPr>
        <w:pStyle w:val="CETBodytext"/>
        <w:rPr>
          <w:lang w:val="en-GB"/>
        </w:rPr>
      </w:pPr>
      <m:oMath>
        <m:sSub>
          <m:sSubPr>
            <m:ctrlPr>
              <w:rPr>
                <w:rFonts w:ascii="Cambria Math" w:hAnsi="Cambria Math"/>
                <w:i/>
                <w:noProof/>
              </w:rPr>
            </m:ctrlPr>
          </m:sSubPr>
          <m:e>
            <m:r>
              <w:rPr>
                <w:rFonts w:ascii="Cambria Math" w:hAnsi="Cambria Math"/>
                <w:noProof/>
              </w:rPr>
              <m:t>C</m:t>
            </m:r>
          </m:e>
          <m:sub>
            <m:r>
              <w:rPr>
                <w:rFonts w:ascii="Cambria Math" w:hAnsi="Cambria Math"/>
                <w:noProof/>
              </w:rPr>
              <m:t>pliquid</m:t>
            </m:r>
          </m:sub>
        </m:sSub>
      </m:oMath>
      <w:r w:rsidR="00312B71" w:rsidRPr="00443B90">
        <w:rPr>
          <w:lang w:val="en-GB"/>
        </w:rPr>
        <w:t>: heat capacity in liquid state (kJ/kg</w:t>
      </w:r>
      <w:r w:rsidR="00C96C4C">
        <w:rPr>
          <w:rFonts w:cs="Arial"/>
          <w:lang w:val="en-GB"/>
        </w:rPr>
        <w:t>·</w:t>
      </w:r>
      <w:r w:rsidR="00312B71" w:rsidRPr="00443B90">
        <w:rPr>
          <w:lang w:val="en-GB"/>
        </w:rPr>
        <w:t>K).</w:t>
      </w:r>
    </w:p>
    <w:p w14:paraId="6D930EE2" w14:textId="334EAD6E" w:rsidR="00312B71" w:rsidRPr="00443B90" w:rsidRDefault="0090702A" w:rsidP="00312B71">
      <w:pPr>
        <w:pStyle w:val="CETBodytext"/>
        <w:rPr>
          <w:lang w:val="en-GB"/>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f</m:t>
            </m:r>
          </m:sub>
        </m:sSub>
      </m:oMath>
      <w:r w:rsidR="00312B71" w:rsidRPr="00443B90">
        <w:rPr>
          <w:lang w:val="en-GB"/>
        </w:rPr>
        <w:t>: enthalpy of fusion for the calculation of stored energy (kJ/kg).</w:t>
      </w:r>
    </w:p>
    <w:p w14:paraId="3DAEF787" w14:textId="161F7A70" w:rsidR="00312B71" w:rsidRPr="00443B90" w:rsidRDefault="0090702A" w:rsidP="00312B71">
      <w:pPr>
        <w:pStyle w:val="CETBodytext"/>
        <w:rPr>
          <w:lang w:val="en-GB"/>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c</m:t>
            </m:r>
          </m:sub>
        </m:sSub>
      </m:oMath>
      <w:r w:rsidR="00312B71" w:rsidRPr="00443B90">
        <w:rPr>
          <w:lang w:val="en-GB"/>
        </w:rPr>
        <w:t>: enthalpy of crystallization for calculation of energy released (kJ/kg).</w:t>
      </w:r>
    </w:p>
    <w:p w14:paraId="7C5AC098" w14:textId="0A40685C" w:rsidR="00312B71" w:rsidRDefault="0090702A" w:rsidP="00312B71">
      <w:pPr>
        <w:pStyle w:val="CETBodytext"/>
        <w:rPr>
          <w:lang w:val="en-GB"/>
        </w:rPr>
      </w:pPr>
      <m:oMath>
        <m:sSub>
          <m:sSubPr>
            <m:ctrlPr>
              <w:rPr>
                <w:rFonts w:ascii="Cambria Math" w:hAnsi="Cambria Math"/>
                <w:i/>
                <w:noProof/>
              </w:rPr>
            </m:ctrlPr>
          </m:sSubPr>
          <m:e>
            <m:r>
              <w:rPr>
                <w:rFonts w:ascii="Cambria Math" w:hAnsi="Cambria Math"/>
                <w:noProof/>
              </w:rPr>
              <m:t>E</m:t>
            </m:r>
          </m:e>
          <m:sub>
            <m:r>
              <w:rPr>
                <w:rFonts w:ascii="Cambria Math" w:hAnsi="Cambria Math"/>
                <w:noProof/>
              </w:rPr>
              <m:t>s</m:t>
            </m:r>
          </m:sub>
        </m:sSub>
      </m:oMath>
      <w:r w:rsidR="00312B71" w:rsidRPr="00443B90">
        <w:rPr>
          <w:lang w:val="en-GB"/>
        </w:rPr>
        <w:t>: energy stored</w:t>
      </w:r>
      <w:r w:rsidR="00312B71">
        <w:rPr>
          <w:lang w:val="en-GB"/>
        </w:rPr>
        <w:t xml:space="preserve"> </w:t>
      </w:r>
      <w:r w:rsidR="00312B71" w:rsidRPr="00443B90">
        <w:rPr>
          <w:lang w:val="en-GB"/>
        </w:rPr>
        <w:t>(kJ).</w:t>
      </w:r>
    </w:p>
    <w:p w14:paraId="409B7D28" w14:textId="3BF91E11" w:rsidR="00312B71" w:rsidRDefault="0090702A" w:rsidP="00312B71">
      <w:pPr>
        <w:pStyle w:val="CETBodytext"/>
        <w:rPr>
          <w:lang w:val="en-GB"/>
        </w:rPr>
      </w:pPr>
      <m:oMath>
        <m:sSub>
          <m:sSubPr>
            <m:ctrlPr>
              <w:rPr>
                <w:rFonts w:ascii="Cambria Math" w:hAnsi="Cambria Math"/>
                <w:i/>
                <w:noProof/>
              </w:rPr>
            </m:ctrlPr>
          </m:sSubPr>
          <m:e>
            <m:r>
              <w:rPr>
                <w:rFonts w:ascii="Cambria Math" w:hAnsi="Cambria Math"/>
                <w:noProof/>
              </w:rPr>
              <m:t>E</m:t>
            </m:r>
          </m:e>
          <m:sub>
            <m:r>
              <w:rPr>
                <w:rFonts w:ascii="Cambria Math" w:hAnsi="Cambria Math"/>
                <w:noProof/>
              </w:rPr>
              <m:t>r</m:t>
            </m:r>
          </m:sub>
        </m:sSub>
      </m:oMath>
      <w:r w:rsidR="00312B71">
        <w:rPr>
          <w:lang w:val="en-GB"/>
        </w:rPr>
        <w:t xml:space="preserve">: energy </w:t>
      </w:r>
      <w:r w:rsidR="00312B71" w:rsidRPr="00443B90">
        <w:rPr>
          <w:lang w:val="en-GB"/>
        </w:rPr>
        <w:t>released (kJ).</w:t>
      </w:r>
    </w:p>
    <w:p w14:paraId="537357D7" w14:textId="0AFDA2AF" w:rsidR="00AE17FD" w:rsidRDefault="00AE17FD" w:rsidP="00312B71">
      <w:pPr>
        <w:pStyle w:val="CETBodytext"/>
        <w:rPr>
          <w:lang w:val="en-GB"/>
        </w:rPr>
      </w:pPr>
    </w:p>
    <w:p w14:paraId="7E8F55DB" w14:textId="109A8648" w:rsidR="00AE17FD" w:rsidRDefault="00AE17FD" w:rsidP="00AE17FD">
      <w:pPr>
        <w:pStyle w:val="CETBodytext"/>
        <w:rPr>
          <w:noProof/>
        </w:rPr>
      </w:pPr>
      <w:r w:rsidRPr="00A31046">
        <w:rPr>
          <w:lang w:val="en-GB"/>
        </w:rPr>
        <w:t>Finally, the amount of energy stored and released was calculated based on a wor</w:t>
      </w:r>
      <w:r w:rsidR="00FF384B">
        <w:rPr>
          <w:lang w:val="en-GB"/>
        </w:rPr>
        <w:t>king temperature range from 303.15 K to 358.</w:t>
      </w:r>
      <w:r>
        <w:rPr>
          <w:lang w:val="en-GB"/>
        </w:rPr>
        <w:t>15 K</w:t>
      </w:r>
      <w:r w:rsidRPr="00A31046">
        <w:rPr>
          <w:lang w:val="en-GB"/>
        </w:rPr>
        <w:t xml:space="preserve">, </w:t>
      </w:r>
      <w:r w:rsidR="00D50161" w:rsidRPr="00A31046">
        <w:rPr>
          <w:lang w:val="en-GB"/>
        </w:rPr>
        <w:t>considering</w:t>
      </w:r>
      <w:r w:rsidRPr="00A31046">
        <w:rPr>
          <w:lang w:val="en-GB"/>
        </w:rPr>
        <w:t xml:space="preserve"> that this range is reported as adequate in most organic PCM studies, for heating and domestic hot water applications such as solar thermal systems </w:t>
      </w:r>
      <w:r>
        <w:rPr>
          <w:noProof/>
        </w:rPr>
        <w:t>(Xiao et al.</w:t>
      </w:r>
      <w:r w:rsidRPr="0043148F">
        <w:rPr>
          <w:noProof/>
        </w:rPr>
        <w:t>, 2020)</w:t>
      </w:r>
    </w:p>
    <w:p w14:paraId="396AE7DC" w14:textId="5514221D" w:rsidR="005B286C" w:rsidRDefault="00F44A00" w:rsidP="005B286C">
      <w:pPr>
        <w:pStyle w:val="CETHeading1"/>
        <w:tabs>
          <w:tab w:val="num" w:pos="360"/>
        </w:tabs>
        <w:rPr>
          <w:lang w:val="en-GB"/>
        </w:rPr>
      </w:pPr>
      <w:r w:rsidRPr="00F44A00">
        <w:rPr>
          <w:lang w:val="en-GB"/>
        </w:rPr>
        <w:t>Results and discussion</w:t>
      </w:r>
    </w:p>
    <w:p w14:paraId="006D8F3A" w14:textId="77777777" w:rsidR="00E03AF7" w:rsidRPr="00E03AF7" w:rsidRDefault="00E03AF7" w:rsidP="00E03AF7">
      <w:pPr>
        <w:pStyle w:val="CETBodytext"/>
        <w:rPr>
          <w:lang w:val="en-GB"/>
        </w:rPr>
      </w:pPr>
    </w:p>
    <w:p w14:paraId="33868F65" w14:textId="71CA3050" w:rsidR="005B286C" w:rsidRPr="00E65810" w:rsidRDefault="005B286C" w:rsidP="00E65810">
      <w:pPr>
        <w:pStyle w:val="CETheadingx"/>
      </w:pPr>
      <w:r w:rsidRPr="00DE3C02">
        <w:t>Eutectic graphs</w:t>
      </w:r>
    </w:p>
    <w:p w14:paraId="5BABB152" w14:textId="64BE769F" w:rsidR="005B286C" w:rsidRDefault="005B286C" w:rsidP="00251421">
      <w:pPr>
        <w:pStyle w:val="CETBodytext"/>
        <w:rPr>
          <w:lang w:val="en-GB"/>
        </w:rPr>
      </w:pPr>
    </w:p>
    <w:p w14:paraId="31DE1C67" w14:textId="31E55BF5" w:rsidR="005B286C" w:rsidRDefault="005B286C" w:rsidP="005B286C">
      <w:pPr>
        <w:pStyle w:val="CETBodytext"/>
        <w:rPr>
          <w:lang w:val="en-GB"/>
        </w:rPr>
      </w:pPr>
      <w:r w:rsidRPr="00887318">
        <w:rPr>
          <w:lang w:val="en-GB"/>
        </w:rPr>
        <w:t xml:space="preserve">The effects of mixing ratios on the temperature and enthalpy of fusion of binary </w:t>
      </w:r>
      <w:r>
        <w:rPr>
          <w:lang w:val="en-GB"/>
        </w:rPr>
        <w:t xml:space="preserve">eutectic mixtures are shown in </w:t>
      </w:r>
      <w:r w:rsidR="000B22E9">
        <w:rPr>
          <w:lang w:val="en-GB"/>
        </w:rPr>
        <w:fldChar w:fldCharType="begin"/>
      </w:r>
      <w:r w:rsidR="000B22E9">
        <w:rPr>
          <w:lang w:val="en-GB"/>
        </w:rPr>
        <w:instrText xml:space="preserve"> REF _Ref130027023 \h </w:instrText>
      </w:r>
      <w:r w:rsidR="000B22E9">
        <w:rPr>
          <w:lang w:val="en-GB"/>
        </w:rPr>
      </w:r>
      <w:r w:rsidR="000B22E9">
        <w:rPr>
          <w:lang w:val="en-GB"/>
        </w:rPr>
        <w:fldChar w:fldCharType="separate"/>
      </w:r>
      <w:r w:rsidR="000B22E9">
        <w:t xml:space="preserve">Figure </w:t>
      </w:r>
      <w:r w:rsidR="000B22E9">
        <w:rPr>
          <w:noProof/>
        </w:rPr>
        <w:t>2</w:t>
      </w:r>
      <w:r w:rsidR="000B22E9">
        <w:rPr>
          <w:lang w:val="en-GB"/>
        </w:rPr>
        <w:fldChar w:fldCharType="end"/>
      </w:r>
      <w:r w:rsidRPr="00ED77E8">
        <w:rPr>
          <w:lang w:val="en-GB"/>
        </w:rPr>
        <w:t xml:space="preserve"> for</w:t>
      </w:r>
      <w:r>
        <w:rPr>
          <w:lang w:val="en-GB"/>
        </w:rPr>
        <w:t xml:space="preserve"> SP/BW and SP/PW and in </w:t>
      </w:r>
      <w:r w:rsidR="00737A2D">
        <w:rPr>
          <w:lang w:val="en-GB"/>
        </w:rPr>
        <w:fldChar w:fldCharType="begin"/>
      </w:r>
      <w:r w:rsidR="00737A2D">
        <w:rPr>
          <w:lang w:val="en-GB"/>
        </w:rPr>
        <w:instrText xml:space="preserve"> REF _Ref130027045 \h </w:instrText>
      </w:r>
      <w:r w:rsidR="00737A2D">
        <w:rPr>
          <w:lang w:val="en-GB"/>
        </w:rPr>
      </w:r>
      <w:r w:rsidR="00737A2D">
        <w:rPr>
          <w:lang w:val="en-GB"/>
        </w:rPr>
        <w:fldChar w:fldCharType="separate"/>
      </w:r>
      <w:r w:rsidR="00737A2D">
        <w:t xml:space="preserve">Figure </w:t>
      </w:r>
      <w:r w:rsidR="00737A2D">
        <w:rPr>
          <w:noProof/>
        </w:rPr>
        <w:t>3</w:t>
      </w:r>
      <w:r w:rsidR="00737A2D">
        <w:rPr>
          <w:lang w:val="en-GB"/>
        </w:rPr>
        <w:fldChar w:fldCharType="end"/>
      </w:r>
      <w:r w:rsidRPr="00887318">
        <w:rPr>
          <w:lang w:val="en-GB"/>
        </w:rPr>
        <w:t xml:space="preserve"> for HSP/BW and HSP/PW.</w:t>
      </w:r>
    </w:p>
    <w:p w14:paraId="699C09BC" w14:textId="77777777" w:rsidR="00B27324" w:rsidRDefault="00B27324" w:rsidP="00B27324">
      <w:pPr>
        <w:pStyle w:val="CETBodytext"/>
        <w:rPr>
          <w:lang w:val="en-GB"/>
        </w:rPr>
      </w:pPr>
      <w:r w:rsidRPr="005E474B">
        <w:t>The melting temperatures of the SP/BW and SP/PW eutectic mixtures do not exceed the melting temperature of the pure substances.</w:t>
      </w:r>
      <w:r>
        <w:t xml:space="preserve"> </w:t>
      </w:r>
      <w:r w:rsidRPr="00F453D1">
        <w:t>The eutectic mixture ratio that obtains the lowest melting temperature is that of 20% SP and 80% BW with a value of 317.70 K. In addition, it can be evidenced that the highest enthalpy belongs to the binary eutectic mixture 20% SP and 80% PW.</w:t>
      </w:r>
      <w:r>
        <w:t xml:space="preserve"> </w:t>
      </w:r>
      <w:r w:rsidRPr="00D65516">
        <w:rPr>
          <w:lang w:val="en-GB"/>
        </w:rPr>
        <w:t>The highest enthalpy of fusion of the binary eutectic mixtures HSP/BW and HSP/PW, is observed at the mixing ratio 20:80 with a value of 257.103 kJ/kg and 275.59 kJ/kg, respectively. Furthermore, the melting temperatures again remain within the temperature range of pure substances.</w:t>
      </w:r>
    </w:p>
    <w:p w14:paraId="78F4238F" w14:textId="222E4DD6" w:rsidR="00B27324" w:rsidRDefault="00B27324" w:rsidP="00B27324"/>
    <w:p w14:paraId="79D997D0" w14:textId="2BA1EF8A" w:rsidR="005B286C" w:rsidRDefault="005B286C" w:rsidP="00251421">
      <w:pPr>
        <w:pStyle w:val="CETBodytext"/>
        <w:rPr>
          <w:lang w:val="en-GB"/>
        </w:rPr>
      </w:pPr>
    </w:p>
    <w:p w14:paraId="7E6F470A" w14:textId="0E053688" w:rsidR="005B286C" w:rsidRDefault="005B286C" w:rsidP="00251421">
      <w:pPr>
        <w:pStyle w:val="CETBodytext"/>
        <w:rPr>
          <w:lang w:val="en-GB"/>
        </w:rPr>
      </w:pPr>
    </w:p>
    <w:p w14:paraId="7757FAFA" w14:textId="05444428" w:rsidR="005B286C" w:rsidRDefault="005B286C" w:rsidP="00251421">
      <w:pPr>
        <w:pStyle w:val="CETBodytext"/>
        <w:rPr>
          <w:lang w:val="en-GB"/>
        </w:rPr>
      </w:pPr>
    </w:p>
    <w:p w14:paraId="26F76569" w14:textId="7BFA2D6E" w:rsidR="005B286C" w:rsidRDefault="005B286C" w:rsidP="00251421">
      <w:pPr>
        <w:pStyle w:val="CETBodytext"/>
        <w:rPr>
          <w:lang w:val="en-GB"/>
        </w:rPr>
      </w:pPr>
    </w:p>
    <w:p w14:paraId="0FD28BFC" w14:textId="77777777" w:rsidR="00C012C2" w:rsidRDefault="00E65810" w:rsidP="00C012C2">
      <w:pPr>
        <w:pStyle w:val="CETBodytext"/>
        <w:keepNext/>
      </w:pPr>
      <w:r>
        <w:rPr>
          <w:noProof/>
        </w:rPr>
        <w:drawing>
          <wp:inline distT="0" distB="0" distL="0" distR="0" wp14:anchorId="0DDEAB5E" wp14:editId="6361D9A3">
            <wp:extent cx="3599999" cy="21600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tretch>
                      <a:fillRect/>
                    </a:stretch>
                  </pic:blipFill>
                  <pic:spPr bwMode="auto">
                    <a:xfrm>
                      <a:off x="0" y="0"/>
                      <a:ext cx="3599999" cy="2160000"/>
                    </a:xfrm>
                    <a:prstGeom prst="rect">
                      <a:avLst/>
                    </a:prstGeom>
                    <a:noFill/>
                  </pic:spPr>
                </pic:pic>
              </a:graphicData>
            </a:graphic>
          </wp:inline>
        </w:drawing>
      </w:r>
    </w:p>
    <w:p w14:paraId="245F1EE0" w14:textId="7F5677C9" w:rsidR="00C012C2" w:rsidRDefault="00C012C2" w:rsidP="00C012C2">
      <w:pPr>
        <w:pStyle w:val="CETTabletitle"/>
      </w:pPr>
      <w:bookmarkStart w:id="0" w:name="_Ref130027023"/>
      <w:r>
        <w:t xml:space="preserve">Figure </w:t>
      </w:r>
      <w:r>
        <w:fldChar w:fldCharType="begin"/>
      </w:r>
      <w:r>
        <w:instrText xml:space="preserve"> SEQ Figure \* ARABIC </w:instrText>
      </w:r>
      <w:r>
        <w:fldChar w:fldCharType="separate"/>
      </w:r>
      <w:r>
        <w:rPr>
          <w:noProof/>
        </w:rPr>
        <w:t>2</w:t>
      </w:r>
      <w:r>
        <w:fldChar w:fldCharType="end"/>
      </w:r>
      <w:bookmarkEnd w:id="0"/>
      <w:r>
        <w:t xml:space="preserve">. </w:t>
      </w:r>
      <w:r w:rsidRPr="00BF1DFC">
        <w:t>Composition-melting temperature-enthalpy diagram for the SP/BW and SP/PW binary system</w:t>
      </w:r>
      <w:r>
        <w:t>.</w:t>
      </w:r>
    </w:p>
    <w:p w14:paraId="338AE8C5" w14:textId="762EA0E3" w:rsidR="00E65810" w:rsidRDefault="00E65810" w:rsidP="00E65810"/>
    <w:p w14:paraId="75DF2616" w14:textId="77777777" w:rsidR="00C012C2" w:rsidRDefault="00C012C2" w:rsidP="00E65810"/>
    <w:p w14:paraId="38F4B703" w14:textId="77777777" w:rsidR="00E65810" w:rsidRDefault="00E65810" w:rsidP="00E65810">
      <w:pPr>
        <w:keepNext/>
      </w:pPr>
      <w:r>
        <w:rPr>
          <w:noProof/>
          <w:lang w:val="en-US"/>
        </w:rPr>
        <w:drawing>
          <wp:inline distT="0" distB="0" distL="0" distR="0" wp14:anchorId="3EFA682A" wp14:editId="51A8A968">
            <wp:extent cx="3595199" cy="21600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tretch>
                      <a:fillRect/>
                    </a:stretch>
                  </pic:blipFill>
                  <pic:spPr bwMode="auto">
                    <a:xfrm>
                      <a:off x="0" y="0"/>
                      <a:ext cx="3595199" cy="2160000"/>
                    </a:xfrm>
                    <a:prstGeom prst="rect">
                      <a:avLst/>
                    </a:prstGeom>
                    <a:noFill/>
                  </pic:spPr>
                </pic:pic>
              </a:graphicData>
            </a:graphic>
          </wp:inline>
        </w:drawing>
      </w:r>
    </w:p>
    <w:p w14:paraId="6057D96F" w14:textId="75B13FF9" w:rsidR="00E65810" w:rsidRPr="00E65810" w:rsidRDefault="00E65810" w:rsidP="00E65810">
      <w:pPr>
        <w:pStyle w:val="CETCaption"/>
      </w:pPr>
      <w:bookmarkStart w:id="1" w:name="_Ref130027045"/>
      <w:r>
        <w:t xml:space="preserve">Figure </w:t>
      </w:r>
      <w:r>
        <w:fldChar w:fldCharType="begin"/>
      </w:r>
      <w:r>
        <w:instrText xml:space="preserve"> SEQ Figure \* ARABIC </w:instrText>
      </w:r>
      <w:r>
        <w:fldChar w:fldCharType="separate"/>
      </w:r>
      <w:r w:rsidR="00C012C2">
        <w:rPr>
          <w:noProof/>
        </w:rPr>
        <w:t>3</w:t>
      </w:r>
      <w:r>
        <w:fldChar w:fldCharType="end"/>
      </w:r>
      <w:bookmarkEnd w:id="1"/>
      <w:r>
        <w:t xml:space="preserve">. </w:t>
      </w:r>
      <w:r w:rsidRPr="008544D1">
        <w:t>Composition-</w:t>
      </w:r>
      <w:r w:rsidR="00B23181">
        <w:t xml:space="preserve">melting </w:t>
      </w:r>
      <w:r w:rsidRPr="008544D1">
        <w:t>temperature-enthalpy diagram for the HSP/BW and HSP/PW binary system</w:t>
      </w:r>
    </w:p>
    <w:p w14:paraId="60357808" w14:textId="5CA6E983" w:rsidR="00B25F09" w:rsidRDefault="00B25F09" w:rsidP="00251421">
      <w:pPr>
        <w:pStyle w:val="CETBodytext"/>
        <w:rPr>
          <w:lang w:val="en-GB"/>
        </w:rPr>
      </w:pPr>
    </w:p>
    <w:p w14:paraId="0A59284D" w14:textId="21151517" w:rsidR="00B25F09" w:rsidRDefault="002964B7" w:rsidP="00251421">
      <w:pPr>
        <w:pStyle w:val="CETBodytext"/>
        <w:rPr>
          <w:lang w:val="en-GB"/>
        </w:rPr>
      </w:pPr>
      <w:r w:rsidRPr="002964B7">
        <w:rPr>
          <w:lang w:val="en-GB"/>
        </w:rPr>
        <w:t>Based on the data reported above, it is concluded that all mixtures are promising for use as phase change material. However, the mixtures where the proportion of SP and HPS is 20% and 80% corresponds to the other material, BW or PW, stand out.</w:t>
      </w:r>
    </w:p>
    <w:p w14:paraId="125F70E3" w14:textId="77777777" w:rsidR="00B25F09" w:rsidRDefault="00B25F09" w:rsidP="00251421">
      <w:pPr>
        <w:pStyle w:val="CETBodytext"/>
        <w:rPr>
          <w:lang w:val="en-GB"/>
        </w:rPr>
      </w:pPr>
    </w:p>
    <w:p w14:paraId="4F47C495" w14:textId="452C1991" w:rsidR="00251421" w:rsidRDefault="002D1224" w:rsidP="00251421">
      <w:pPr>
        <w:pStyle w:val="CETheadingx"/>
      </w:pPr>
      <w:r w:rsidRPr="002D1224">
        <w:t>Thermal properties</w:t>
      </w:r>
      <w:r>
        <w:t>.</w:t>
      </w:r>
    </w:p>
    <w:p w14:paraId="47DDB79A" w14:textId="77777777" w:rsidR="00AE17FD" w:rsidRPr="00AE17FD" w:rsidRDefault="00AE17FD" w:rsidP="00AE17FD">
      <w:pPr>
        <w:pStyle w:val="CETBodytext"/>
      </w:pPr>
    </w:p>
    <w:p w14:paraId="7852D1C2" w14:textId="43BC4FFA" w:rsidR="00AE17FD" w:rsidRDefault="00AE17FD" w:rsidP="00AE17FD">
      <w:pPr>
        <w:pStyle w:val="CETBodytext"/>
        <w:rPr>
          <w:lang w:val="en-GB"/>
        </w:rPr>
      </w:pPr>
      <w:r w:rsidRPr="00443B90">
        <w:rPr>
          <w:lang w:val="en-GB"/>
        </w:rPr>
        <w:t>The thermal properties of the best performing blends for use as phase change materials in solar thermal applications are presented below.</w:t>
      </w:r>
    </w:p>
    <w:p w14:paraId="58230E68" w14:textId="54B953ED" w:rsidR="00AE17FD" w:rsidRDefault="00306432" w:rsidP="00AE17FD">
      <w:pPr>
        <w:pStyle w:val="CETBodytext"/>
        <w:rPr>
          <w:lang w:val="en-GB"/>
        </w:rPr>
      </w:pPr>
      <w:r w:rsidRPr="001C3636">
        <w:rPr>
          <w:lang w:val="en-GB"/>
        </w:rPr>
        <w:t>After characterization of the previously mentioned blends, better thermal properties and congruent energy values were obtained for their use as phase change materials, in the ratio 20:80 for each type of blend: (</w:t>
      </w:r>
      <w:r w:rsidR="00C97023" w:rsidRPr="001C3636">
        <w:rPr>
          <w:lang w:val="en-GB"/>
        </w:rPr>
        <w:t>SP/PW</w:t>
      </w:r>
      <w:r w:rsidR="00D50161" w:rsidRPr="001C3636">
        <w:rPr>
          <w:lang w:val="en-GB"/>
        </w:rPr>
        <w:t> </w:t>
      </w:r>
      <w:r w:rsidRPr="001C3636">
        <w:rPr>
          <w:lang w:val="en-GB"/>
        </w:rPr>
        <w:t xml:space="preserve"> 1),</w:t>
      </w:r>
      <w:r w:rsidR="00C97023" w:rsidRPr="001C3636">
        <w:rPr>
          <w:lang w:val="en-GB"/>
        </w:rPr>
        <w:t xml:space="preserve"> (SP/BW 1), (</w:t>
      </w:r>
      <w:r w:rsidRPr="001C3636">
        <w:rPr>
          <w:lang w:val="en-GB"/>
        </w:rPr>
        <w:t>H</w:t>
      </w:r>
      <w:r w:rsidR="00C97023" w:rsidRPr="001C3636">
        <w:rPr>
          <w:lang w:val="en-GB"/>
        </w:rPr>
        <w:t>SP/PW 1) and (HSP/BW</w:t>
      </w:r>
      <w:r w:rsidRPr="001C3636">
        <w:rPr>
          <w:lang w:val="en-GB"/>
        </w:rPr>
        <w:t xml:space="preserve"> 1).</w:t>
      </w:r>
    </w:p>
    <w:p w14:paraId="64D59738" w14:textId="3665BB8B" w:rsidR="001D03A1" w:rsidRDefault="001D03A1" w:rsidP="00AE17FD">
      <w:pPr>
        <w:pStyle w:val="CETBodytext"/>
        <w:rPr>
          <w:lang w:val="en-GB"/>
        </w:rPr>
      </w:pPr>
    </w:p>
    <w:p w14:paraId="5E32F20D" w14:textId="77777777" w:rsidR="001C7C2D" w:rsidRDefault="001C7C2D" w:rsidP="001C7C2D">
      <w:pPr>
        <w:pStyle w:val="CETBodytext"/>
        <w:rPr>
          <w:lang w:val="en-GB"/>
        </w:rPr>
      </w:pPr>
      <w:r w:rsidRPr="00443B90">
        <w:rPr>
          <w:lang w:val="en-GB"/>
        </w:rPr>
        <w:t>The temperature data shown were obtained by Differential Scanning Calorimetry (DSC - HCH) analysis, where the highest melting and crystallization temperature of the most representative peak was reported.</w:t>
      </w:r>
      <w:r>
        <w:rPr>
          <w:lang w:val="en-GB"/>
        </w:rPr>
        <w:t xml:space="preserve"> </w:t>
      </w:r>
      <w:r>
        <w:rPr>
          <w:lang w:val="en-GB"/>
        </w:rPr>
        <w:fldChar w:fldCharType="begin"/>
      </w:r>
      <w:r>
        <w:rPr>
          <w:lang w:val="en-GB"/>
        </w:rPr>
        <w:instrText xml:space="preserve"> REF _Ref129963096 \h </w:instrText>
      </w:r>
      <w:r>
        <w:rPr>
          <w:lang w:val="en-GB"/>
        </w:rPr>
      </w:r>
      <w:r>
        <w:rPr>
          <w:lang w:val="en-GB"/>
        </w:rPr>
        <w:fldChar w:fldCharType="separate"/>
      </w:r>
      <w:r>
        <w:t xml:space="preserve">Table </w:t>
      </w:r>
      <w:r>
        <w:rPr>
          <w:noProof/>
        </w:rPr>
        <w:t>2</w:t>
      </w:r>
      <w:r>
        <w:rPr>
          <w:lang w:val="en-GB"/>
        </w:rPr>
        <w:fldChar w:fldCharType="end"/>
      </w:r>
      <w:r w:rsidRPr="00306432">
        <w:rPr>
          <w:lang w:val="en-GB"/>
        </w:rPr>
        <w:t xml:space="preserve"> shows thermal properties such as temperatures and enthalpies of fusion and crystallization and the solid and liquid heat capacities of the four mixtures with the best characteristics.</w:t>
      </w:r>
    </w:p>
    <w:p w14:paraId="77D8A2F4" w14:textId="77777777" w:rsidR="001C7C2D" w:rsidRDefault="001C7C2D" w:rsidP="00AE17FD">
      <w:pPr>
        <w:pStyle w:val="CETBodytext"/>
        <w:rPr>
          <w:lang w:val="en-GB"/>
        </w:rPr>
      </w:pPr>
    </w:p>
    <w:p w14:paraId="70D5A067" w14:textId="77777777" w:rsidR="00251421" w:rsidRDefault="00251421" w:rsidP="00251421">
      <w:pPr>
        <w:pStyle w:val="CETTabletitle"/>
      </w:pPr>
      <w:bookmarkStart w:id="2" w:name="_Ref129963096"/>
      <w:r>
        <w:lastRenderedPageBreak/>
        <w:t xml:space="preserve">Table </w:t>
      </w:r>
      <w:r>
        <w:fldChar w:fldCharType="begin"/>
      </w:r>
      <w:r>
        <w:instrText xml:space="preserve"> SEQ Table \* ARABIC </w:instrText>
      </w:r>
      <w:r>
        <w:fldChar w:fldCharType="separate"/>
      </w:r>
      <w:r>
        <w:rPr>
          <w:noProof/>
        </w:rPr>
        <w:t>2</w:t>
      </w:r>
      <w:r>
        <w:fldChar w:fldCharType="end"/>
      </w:r>
      <w:bookmarkEnd w:id="2"/>
      <w:r>
        <w:t xml:space="preserve">. </w:t>
      </w:r>
      <w:r w:rsidRPr="004D277D">
        <w:t>Thermal properties of samples</w:t>
      </w:r>
    </w:p>
    <w:tbl>
      <w:tblPr>
        <w:tblW w:w="846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40"/>
        <w:gridCol w:w="1039"/>
        <w:gridCol w:w="1039"/>
        <w:gridCol w:w="1039"/>
        <w:gridCol w:w="1040"/>
        <w:gridCol w:w="1634"/>
        <w:gridCol w:w="1634"/>
      </w:tblGrid>
      <w:tr w:rsidR="00724EBA" w:rsidRPr="00B57B36" w14:paraId="3624D3A4" w14:textId="77777777" w:rsidTr="001C7C2D">
        <w:trPr>
          <w:trHeight w:val="20"/>
        </w:trPr>
        <w:tc>
          <w:tcPr>
            <w:tcW w:w="1040" w:type="dxa"/>
            <w:tcBorders>
              <w:top w:val="single" w:sz="12" w:space="0" w:color="008000"/>
              <w:bottom w:val="single" w:sz="6" w:space="0" w:color="008000"/>
            </w:tcBorders>
            <w:shd w:val="clear" w:color="auto" w:fill="FFFFFF"/>
            <w:vAlign w:val="center"/>
          </w:tcPr>
          <w:p w14:paraId="2A58B826" w14:textId="77777777" w:rsidR="00251421" w:rsidRPr="00072587" w:rsidRDefault="00251421" w:rsidP="00E84D3E">
            <w:pPr>
              <w:pStyle w:val="CETBodytext"/>
              <w:jc w:val="left"/>
              <w:rPr>
                <w:rFonts w:cs="Arial"/>
                <w:bCs/>
                <w:color w:val="000000"/>
                <w:szCs w:val="18"/>
              </w:rPr>
            </w:pPr>
            <w:r w:rsidRPr="00072587">
              <w:rPr>
                <w:rFonts w:cs="Arial"/>
                <w:bCs/>
                <w:color w:val="000000"/>
                <w:szCs w:val="18"/>
              </w:rPr>
              <w:t>Sample</w:t>
            </w:r>
          </w:p>
        </w:tc>
        <w:tc>
          <w:tcPr>
            <w:tcW w:w="1039" w:type="dxa"/>
            <w:tcBorders>
              <w:top w:val="single" w:sz="12" w:space="0" w:color="008000"/>
              <w:bottom w:val="single" w:sz="6" w:space="0" w:color="008000"/>
            </w:tcBorders>
            <w:shd w:val="clear" w:color="auto" w:fill="FFFFFF"/>
            <w:vAlign w:val="center"/>
          </w:tcPr>
          <w:p w14:paraId="289D63DF" w14:textId="2A561D0F" w:rsidR="00251421" w:rsidRPr="00072587" w:rsidRDefault="00251421" w:rsidP="00C96C4C">
            <w:pPr>
              <w:pStyle w:val="CETBodytext"/>
              <w:jc w:val="left"/>
              <w:rPr>
                <w:rFonts w:cs="Arial"/>
                <w:bCs/>
                <w:color w:val="000000"/>
                <w:szCs w:val="18"/>
              </w:rPr>
            </w:pPr>
            <w:r>
              <w:rPr>
                <w:rFonts w:cs="Arial"/>
                <w:bCs/>
                <w:color w:val="000000"/>
                <w:szCs w:val="18"/>
              </w:rPr>
              <w:t>Tm</w:t>
            </w:r>
            <w:r w:rsidRPr="00072587">
              <w:rPr>
                <w:rFonts w:cs="Arial"/>
                <w:bCs/>
                <w:color w:val="000000"/>
                <w:szCs w:val="18"/>
              </w:rPr>
              <w:t xml:space="preserve"> [K]</w:t>
            </w:r>
          </w:p>
        </w:tc>
        <w:tc>
          <w:tcPr>
            <w:tcW w:w="1039" w:type="dxa"/>
            <w:tcBorders>
              <w:top w:val="single" w:sz="12" w:space="0" w:color="008000"/>
              <w:bottom w:val="single" w:sz="6" w:space="0" w:color="008000"/>
            </w:tcBorders>
            <w:shd w:val="clear" w:color="auto" w:fill="FFFFFF"/>
            <w:vAlign w:val="center"/>
          </w:tcPr>
          <w:p w14:paraId="390D223A" w14:textId="1D3F3160" w:rsidR="00251421" w:rsidRPr="00072587" w:rsidRDefault="00251421" w:rsidP="00E84D3E">
            <w:pPr>
              <w:pStyle w:val="CETBodytext"/>
              <w:jc w:val="left"/>
              <w:rPr>
                <w:rFonts w:cs="Arial"/>
                <w:bCs/>
                <w:color w:val="000000"/>
                <w:szCs w:val="18"/>
              </w:rPr>
            </w:pPr>
            <w:r>
              <w:rPr>
                <w:rFonts w:cs="Arial"/>
                <w:bCs/>
                <w:color w:val="000000"/>
                <w:szCs w:val="18"/>
              </w:rPr>
              <w:t>Tc</w:t>
            </w:r>
            <w:r w:rsidR="00C96C4C">
              <w:rPr>
                <w:rFonts w:cs="Arial"/>
                <w:bCs/>
                <w:color w:val="000000"/>
                <w:szCs w:val="18"/>
              </w:rPr>
              <w:t xml:space="preserve"> [</w:t>
            </w:r>
            <w:r w:rsidRPr="00072587">
              <w:rPr>
                <w:rFonts w:cs="Arial"/>
                <w:bCs/>
                <w:color w:val="000000"/>
                <w:szCs w:val="18"/>
              </w:rPr>
              <w:t>K]</w:t>
            </w:r>
          </w:p>
        </w:tc>
        <w:tc>
          <w:tcPr>
            <w:tcW w:w="1039" w:type="dxa"/>
            <w:tcBorders>
              <w:top w:val="single" w:sz="12" w:space="0" w:color="008000"/>
              <w:bottom w:val="single" w:sz="6" w:space="0" w:color="008000"/>
            </w:tcBorders>
            <w:shd w:val="clear" w:color="auto" w:fill="FFFFFF"/>
            <w:vAlign w:val="center"/>
          </w:tcPr>
          <w:p w14:paraId="47E6D819" w14:textId="7FBFCF2F" w:rsidR="00251421" w:rsidRPr="00072587" w:rsidRDefault="00251421" w:rsidP="00E84D3E">
            <w:pPr>
              <w:pStyle w:val="CETBodytext"/>
              <w:jc w:val="left"/>
              <w:rPr>
                <w:rFonts w:cs="Arial"/>
                <w:bCs/>
                <w:color w:val="000000"/>
                <w:szCs w:val="18"/>
              </w:rPr>
            </w:pPr>
            <w:r>
              <w:rPr>
                <w:rFonts w:cs="Arial"/>
                <w:bCs/>
                <w:color w:val="000000"/>
                <w:szCs w:val="18"/>
              </w:rPr>
              <w:t>Hf [</w:t>
            </w:r>
            <w:r w:rsidR="00724EBA">
              <w:rPr>
                <w:rFonts w:cs="Arial"/>
                <w:bCs/>
                <w:color w:val="000000"/>
                <w:szCs w:val="18"/>
              </w:rPr>
              <w:t>k</w:t>
            </w:r>
            <w:r>
              <w:rPr>
                <w:rFonts w:cs="Arial"/>
                <w:bCs/>
                <w:color w:val="000000"/>
                <w:szCs w:val="18"/>
              </w:rPr>
              <w:t>J/</w:t>
            </w:r>
            <w:r w:rsidR="00724EBA">
              <w:rPr>
                <w:rFonts w:cs="Arial"/>
                <w:bCs/>
                <w:color w:val="000000"/>
                <w:szCs w:val="18"/>
              </w:rPr>
              <w:t>k</w:t>
            </w:r>
            <w:r>
              <w:rPr>
                <w:rFonts w:cs="Arial"/>
                <w:bCs/>
                <w:color w:val="000000"/>
                <w:szCs w:val="18"/>
              </w:rPr>
              <w:t xml:space="preserve">g] </w:t>
            </w:r>
          </w:p>
        </w:tc>
        <w:tc>
          <w:tcPr>
            <w:tcW w:w="1040" w:type="dxa"/>
            <w:tcBorders>
              <w:top w:val="single" w:sz="12" w:space="0" w:color="008000"/>
              <w:bottom w:val="single" w:sz="6" w:space="0" w:color="008000"/>
            </w:tcBorders>
            <w:shd w:val="clear" w:color="auto" w:fill="FFFFFF"/>
            <w:vAlign w:val="center"/>
          </w:tcPr>
          <w:p w14:paraId="7DFD066D" w14:textId="447106EC" w:rsidR="00251421" w:rsidRPr="00072587" w:rsidRDefault="00251421" w:rsidP="00E84D3E">
            <w:pPr>
              <w:pStyle w:val="CETBodytext"/>
              <w:jc w:val="left"/>
              <w:rPr>
                <w:rFonts w:cs="Arial"/>
                <w:bCs/>
                <w:color w:val="000000"/>
                <w:szCs w:val="18"/>
              </w:rPr>
            </w:pPr>
            <w:proofErr w:type="spellStart"/>
            <w:r>
              <w:rPr>
                <w:rFonts w:cs="Arial"/>
                <w:bCs/>
                <w:color w:val="000000"/>
                <w:szCs w:val="18"/>
              </w:rPr>
              <w:t>Hc</w:t>
            </w:r>
            <w:proofErr w:type="spellEnd"/>
            <w:r>
              <w:rPr>
                <w:rFonts w:cs="Arial"/>
                <w:bCs/>
                <w:color w:val="000000"/>
                <w:szCs w:val="18"/>
              </w:rPr>
              <w:t xml:space="preserve"> [</w:t>
            </w:r>
            <w:r w:rsidR="00724EBA">
              <w:rPr>
                <w:rFonts w:cs="Arial"/>
                <w:bCs/>
                <w:color w:val="000000"/>
                <w:szCs w:val="18"/>
              </w:rPr>
              <w:t>k</w:t>
            </w:r>
            <w:r>
              <w:rPr>
                <w:rFonts w:cs="Arial"/>
                <w:bCs/>
                <w:color w:val="000000"/>
                <w:szCs w:val="18"/>
              </w:rPr>
              <w:t>J/</w:t>
            </w:r>
            <w:r w:rsidR="00724EBA">
              <w:rPr>
                <w:rFonts w:cs="Arial"/>
                <w:bCs/>
                <w:color w:val="000000"/>
                <w:szCs w:val="18"/>
              </w:rPr>
              <w:t>k</w:t>
            </w:r>
            <w:r>
              <w:rPr>
                <w:rFonts w:cs="Arial"/>
                <w:bCs/>
                <w:color w:val="000000"/>
                <w:szCs w:val="18"/>
              </w:rPr>
              <w:t>g]</w:t>
            </w:r>
          </w:p>
        </w:tc>
        <w:tc>
          <w:tcPr>
            <w:tcW w:w="1634" w:type="dxa"/>
            <w:tcBorders>
              <w:top w:val="single" w:sz="12" w:space="0" w:color="008000"/>
              <w:bottom w:val="single" w:sz="6" w:space="0" w:color="008000"/>
            </w:tcBorders>
            <w:shd w:val="clear" w:color="auto" w:fill="FFFFFF"/>
            <w:vAlign w:val="center"/>
          </w:tcPr>
          <w:p w14:paraId="6EEC9182" w14:textId="7ED22D7F" w:rsidR="00251421" w:rsidRDefault="00251421" w:rsidP="00C96C4C">
            <w:pPr>
              <w:pStyle w:val="CETBodytext"/>
              <w:jc w:val="left"/>
              <w:rPr>
                <w:rFonts w:cs="Arial"/>
                <w:bCs/>
                <w:color w:val="000000"/>
                <w:szCs w:val="18"/>
              </w:rPr>
            </w:pPr>
            <w:proofErr w:type="spellStart"/>
            <w:r>
              <w:rPr>
                <w:rFonts w:cs="Arial"/>
                <w:bCs/>
                <w:color w:val="000000"/>
                <w:szCs w:val="18"/>
              </w:rPr>
              <w:t>Cpsolid</w:t>
            </w:r>
            <w:proofErr w:type="spellEnd"/>
            <w:r>
              <w:rPr>
                <w:rFonts w:cs="Arial"/>
                <w:bCs/>
                <w:color w:val="000000"/>
                <w:szCs w:val="18"/>
              </w:rPr>
              <w:t xml:space="preserve"> [</w:t>
            </w:r>
            <w:r w:rsidR="00724EBA">
              <w:rPr>
                <w:rFonts w:cs="Arial"/>
                <w:bCs/>
                <w:color w:val="000000"/>
                <w:szCs w:val="18"/>
              </w:rPr>
              <w:t>k</w:t>
            </w:r>
            <w:r>
              <w:rPr>
                <w:rFonts w:cs="Arial"/>
                <w:bCs/>
                <w:color w:val="000000"/>
                <w:szCs w:val="18"/>
              </w:rPr>
              <w:t>J</w:t>
            </w:r>
            <w:r w:rsidR="00C96C4C">
              <w:rPr>
                <w:rFonts w:cs="Arial"/>
                <w:bCs/>
                <w:color w:val="000000"/>
                <w:szCs w:val="18"/>
              </w:rPr>
              <w:t>/</w:t>
            </w:r>
            <w:proofErr w:type="spellStart"/>
            <w:r w:rsidR="00724EBA">
              <w:rPr>
                <w:rFonts w:cs="Arial"/>
                <w:bCs/>
                <w:color w:val="000000"/>
                <w:szCs w:val="18"/>
              </w:rPr>
              <w:t>k</w:t>
            </w:r>
            <w:r w:rsidR="00C96C4C">
              <w:rPr>
                <w:rFonts w:cs="Arial"/>
                <w:bCs/>
                <w:color w:val="000000"/>
                <w:szCs w:val="18"/>
              </w:rPr>
              <w:t>g·</w:t>
            </w:r>
            <w:r>
              <w:rPr>
                <w:rFonts w:cs="Arial"/>
                <w:bCs/>
                <w:color w:val="000000"/>
                <w:szCs w:val="18"/>
              </w:rPr>
              <w:t>K</w:t>
            </w:r>
            <w:proofErr w:type="spellEnd"/>
            <w:r>
              <w:rPr>
                <w:rFonts w:cs="Arial"/>
                <w:bCs/>
                <w:color w:val="000000"/>
                <w:szCs w:val="18"/>
              </w:rPr>
              <w:t>]</w:t>
            </w:r>
          </w:p>
        </w:tc>
        <w:tc>
          <w:tcPr>
            <w:tcW w:w="1634" w:type="dxa"/>
            <w:tcBorders>
              <w:top w:val="single" w:sz="12" w:space="0" w:color="008000"/>
              <w:bottom w:val="single" w:sz="6" w:space="0" w:color="008000"/>
            </w:tcBorders>
            <w:shd w:val="clear" w:color="auto" w:fill="FFFFFF"/>
            <w:vAlign w:val="center"/>
          </w:tcPr>
          <w:p w14:paraId="049729A2" w14:textId="5BE9906A" w:rsidR="00251421" w:rsidRDefault="00251421" w:rsidP="00E84D3E">
            <w:pPr>
              <w:pStyle w:val="CETBodytext"/>
              <w:jc w:val="left"/>
              <w:rPr>
                <w:rFonts w:cs="Arial"/>
                <w:bCs/>
                <w:color w:val="000000"/>
                <w:szCs w:val="18"/>
              </w:rPr>
            </w:pPr>
            <w:proofErr w:type="spellStart"/>
            <w:r>
              <w:rPr>
                <w:rFonts w:cs="Arial"/>
                <w:bCs/>
                <w:color w:val="000000"/>
                <w:szCs w:val="18"/>
              </w:rPr>
              <w:t>Cpliquid</w:t>
            </w:r>
            <w:proofErr w:type="spellEnd"/>
            <w:r>
              <w:rPr>
                <w:rFonts w:cs="Arial"/>
                <w:bCs/>
                <w:color w:val="000000"/>
                <w:szCs w:val="18"/>
              </w:rPr>
              <w:t xml:space="preserve"> [</w:t>
            </w:r>
            <w:r w:rsidR="00724EBA">
              <w:rPr>
                <w:rFonts w:cs="Arial"/>
                <w:bCs/>
                <w:color w:val="000000"/>
                <w:szCs w:val="18"/>
              </w:rPr>
              <w:t>k</w:t>
            </w:r>
            <w:r w:rsidR="00C96C4C">
              <w:rPr>
                <w:rFonts w:cs="Arial"/>
                <w:bCs/>
                <w:color w:val="000000"/>
                <w:szCs w:val="18"/>
              </w:rPr>
              <w:t>J/</w:t>
            </w:r>
            <w:proofErr w:type="spellStart"/>
            <w:r w:rsidR="00724EBA">
              <w:rPr>
                <w:rFonts w:cs="Arial"/>
                <w:bCs/>
                <w:color w:val="000000"/>
                <w:szCs w:val="18"/>
              </w:rPr>
              <w:t>k</w:t>
            </w:r>
            <w:r w:rsidR="00C96C4C">
              <w:rPr>
                <w:rFonts w:cs="Arial"/>
                <w:bCs/>
                <w:color w:val="000000"/>
                <w:szCs w:val="18"/>
              </w:rPr>
              <w:t>g·</w:t>
            </w:r>
            <w:r>
              <w:rPr>
                <w:rFonts w:cs="Arial"/>
                <w:bCs/>
                <w:color w:val="000000"/>
                <w:szCs w:val="18"/>
              </w:rPr>
              <w:t>K</w:t>
            </w:r>
            <w:proofErr w:type="spellEnd"/>
            <w:r>
              <w:rPr>
                <w:rFonts w:cs="Arial"/>
                <w:bCs/>
                <w:color w:val="000000"/>
                <w:szCs w:val="18"/>
              </w:rPr>
              <w:t>]</w:t>
            </w:r>
          </w:p>
        </w:tc>
      </w:tr>
      <w:tr w:rsidR="00724EBA" w:rsidRPr="00B57B36" w14:paraId="0F420FCB" w14:textId="77777777" w:rsidTr="001C7C2D">
        <w:trPr>
          <w:trHeight w:val="20"/>
        </w:trPr>
        <w:tc>
          <w:tcPr>
            <w:tcW w:w="1040" w:type="dxa"/>
            <w:shd w:val="clear" w:color="auto" w:fill="FFFFFF"/>
            <w:vAlign w:val="center"/>
          </w:tcPr>
          <w:p w14:paraId="3DD7FF5D" w14:textId="24510954" w:rsidR="00251421" w:rsidRPr="00B57B36" w:rsidRDefault="00251421" w:rsidP="00306432">
            <w:pPr>
              <w:pStyle w:val="CETBodytext"/>
              <w:jc w:val="left"/>
              <w:rPr>
                <w:lang w:val="en-GB"/>
              </w:rPr>
            </w:pPr>
            <w:r>
              <w:rPr>
                <w:lang w:val="en-GB"/>
              </w:rPr>
              <w:t>H</w:t>
            </w:r>
            <w:r w:rsidR="00306432">
              <w:rPr>
                <w:lang w:val="en-GB"/>
              </w:rPr>
              <w:t>SP/BW</w:t>
            </w:r>
            <w:r>
              <w:rPr>
                <w:lang w:val="en-GB"/>
              </w:rPr>
              <w:t>-1</w:t>
            </w:r>
          </w:p>
        </w:tc>
        <w:tc>
          <w:tcPr>
            <w:tcW w:w="1039" w:type="dxa"/>
            <w:shd w:val="clear" w:color="auto" w:fill="FFFFFF"/>
            <w:vAlign w:val="center"/>
          </w:tcPr>
          <w:p w14:paraId="226C62E3" w14:textId="1B42576A" w:rsidR="00251421" w:rsidRPr="00072587" w:rsidRDefault="007A04C3" w:rsidP="00FF384B">
            <w:pPr>
              <w:tabs>
                <w:tab w:val="clear" w:pos="7100"/>
              </w:tabs>
              <w:spacing w:line="240" w:lineRule="auto"/>
              <w:jc w:val="left"/>
              <w:rPr>
                <w:rFonts w:cs="Arial"/>
                <w:color w:val="000000"/>
                <w:szCs w:val="18"/>
                <w:lang w:val="en-US"/>
              </w:rPr>
            </w:pPr>
            <w:r>
              <w:rPr>
                <w:rFonts w:cs="Arial"/>
                <w:color w:val="000000"/>
                <w:szCs w:val="18"/>
              </w:rPr>
              <w:t>324</w:t>
            </w:r>
            <w:r w:rsidR="00FF384B">
              <w:rPr>
                <w:rFonts w:cs="Arial"/>
                <w:color w:val="000000"/>
                <w:szCs w:val="18"/>
              </w:rPr>
              <w:t>.</w:t>
            </w:r>
            <w:r w:rsidR="00251421">
              <w:rPr>
                <w:rFonts w:cs="Arial"/>
                <w:color w:val="000000"/>
                <w:szCs w:val="18"/>
              </w:rPr>
              <w:t>3</w:t>
            </w:r>
          </w:p>
        </w:tc>
        <w:tc>
          <w:tcPr>
            <w:tcW w:w="1039" w:type="dxa"/>
            <w:shd w:val="clear" w:color="auto" w:fill="FFFFFF"/>
            <w:vAlign w:val="center"/>
          </w:tcPr>
          <w:p w14:paraId="331A589C" w14:textId="534CF5F5" w:rsidR="00251421" w:rsidRPr="00072587" w:rsidRDefault="007A04C3" w:rsidP="00E84D3E">
            <w:pPr>
              <w:tabs>
                <w:tab w:val="clear" w:pos="7100"/>
              </w:tabs>
              <w:spacing w:line="240" w:lineRule="auto"/>
              <w:jc w:val="left"/>
              <w:rPr>
                <w:rFonts w:cs="Arial"/>
                <w:color w:val="000000"/>
                <w:szCs w:val="18"/>
                <w:lang w:val="en-US"/>
              </w:rPr>
            </w:pPr>
            <w:r>
              <w:rPr>
                <w:rFonts w:cs="Arial"/>
                <w:color w:val="000000"/>
                <w:szCs w:val="18"/>
              </w:rPr>
              <w:t>3</w:t>
            </w:r>
            <w:r w:rsidR="00FF384B">
              <w:rPr>
                <w:rFonts w:cs="Arial"/>
                <w:color w:val="000000"/>
                <w:szCs w:val="18"/>
              </w:rPr>
              <w:t>31.</w:t>
            </w:r>
            <w:r w:rsidR="00251421">
              <w:rPr>
                <w:rFonts w:cs="Arial"/>
                <w:color w:val="000000"/>
                <w:szCs w:val="18"/>
              </w:rPr>
              <w:t>28</w:t>
            </w:r>
          </w:p>
        </w:tc>
        <w:tc>
          <w:tcPr>
            <w:tcW w:w="1039" w:type="dxa"/>
            <w:shd w:val="clear" w:color="auto" w:fill="FFFFFF"/>
            <w:vAlign w:val="center"/>
          </w:tcPr>
          <w:p w14:paraId="14C630B7" w14:textId="5559B6B2"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lang w:val="en-US"/>
              </w:rPr>
              <w:t>257.</w:t>
            </w:r>
            <w:r w:rsidR="00251421">
              <w:rPr>
                <w:rFonts w:cs="Arial"/>
                <w:color w:val="000000"/>
                <w:szCs w:val="18"/>
                <w:lang w:val="en-US"/>
              </w:rPr>
              <w:t>103</w:t>
            </w:r>
          </w:p>
        </w:tc>
        <w:tc>
          <w:tcPr>
            <w:tcW w:w="1040" w:type="dxa"/>
            <w:shd w:val="clear" w:color="auto" w:fill="FFFFFF"/>
            <w:vAlign w:val="center"/>
          </w:tcPr>
          <w:p w14:paraId="1247A05E" w14:textId="5DAA2026"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lang w:val="en-US"/>
              </w:rPr>
              <w:t>198.</w:t>
            </w:r>
            <w:r w:rsidR="00251421">
              <w:rPr>
                <w:rFonts w:cs="Arial"/>
                <w:color w:val="000000"/>
                <w:szCs w:val="18"/>
                <w:lang w:val="en-US"/>
              </w:rPr>
              <w:t>92</w:t>
            </w:r>
          </w:p>
        </w:tc>
        <w:tc>
          <w:tcPr>
            <w:tcW w:w="1634" w:type="dxa"/>
            <w:shd w:val="clear" w:color="auto" w:fill="FFFFFF"/>
            <w:vAlign w:val="center"/>
          </w:tcPr>
          <w:p w14:paraId="60DFFF5A" w14:textId="406C7687" w:rsidR="00251421" w:rsidRPr="00E1107A" w:rsidRDefault="00FF384B" w:rsidP="00E84D3E">
            <w:pPr>
              <w:pStyle w:val="CETBodytext"/>
              <w:jc w:val="left"/>
              <w:rPr>
                <w:rFonts w:cs="Arial"/>
                <w:bCs/>
                <w:color w:val="000000"/>
                <w:szCs w:val="18"/>
              </w:rPr>
            </w:pPr>
            <w:r>
              <w:rPr>
                <w:rFonts w:cs="Arial"/>
                <w:bCs/>
                <w:color w:val="000000"/>
                <w:szCs w:val="18"/>
              </w:rPr>
              <w:t>0.</w:t>
            </w:r>
            <w:r w:rsidR="00251421">
              <w:rPr>
                <w:rFonts w:cs="Arial"/>
                <w:bCs/>
                <w:color w:val="000000"/>
                <w:szCs w:val="18"/>
              </w:rPr>
              <w:t>620</w:t>
            </w:r>
            <w:r w:rsidR="00306432">
              <w:rPr>
                <w:rFonts w:cs="Arial"/>
                <w:bCs/>
                <w:color w:val="000000"/>
                <w:szCs w:val="18"/>
              </w:rPr>
              <w:t>*</w:t>
            </w:r>
          </w:p>
        </w:tc>
        <w:tc>
          <w:tcPr>
            <w:tcW w:w="1634" w:type="dxa"/>
            <w:shd w:val="clear" w:color="auto" w:fill="FFFFFF"/>
            <w:vAlign w:val="center"/>
          </w:tcPr>
          <w:p w14:paraId="0C540B4C" w14:textId="53D9C683" w:rsidR="00251421" w:rsidRPr="00E1107A" w:rsidRDefault="00FF384B" w:rsidP="00E84D3E">
            <w:pPr>
              <w:pStyle w:val="CETBodytext"/>
              <w:jc w:val="left"/>
              <w:rPr>
                <w:rFonts w:cs="Arial"/>
                <w:bCs/>
                <w:color w:val="000000"/>
                <w:szCs w:val="18"/>
              </w:rPr>
            </w:pPr>
            <w:r>
              <w:rPr>
                <w:rFonts w:cs="Arial"/>
                <w:bCs/>
                <w:color w:val="000000"/>
                <w:szCs w:val="18"/>
              </w:rPr>
              <w:t>0.</w:t>
            </w:r>
            <w:r w:rsidR="00251421">
              <w:rPr>
                <w:rFonts w:cs="Arial"/>
                <w:bCs/>
                <w:color w:val="000000"/>
                <w:szCs w:val="18"/>
              </w:rPr>
              <w:t>723</w:t>
            </w:r>
            <w:r w:rsidR="0019028D">
              <w:rPr>
                <w:rFonts w:cs="Arial"/>
                <w:bCs/>
                <w:color w:val="000000"/>
                <w:szCs w:val="18"/>
              </w:rPr>
              <w:t>***</w:t>
            </w:r>
          </w:p>
        </w:tc>
      </w:tr>
      <w:tr w:rsidR="00724EBA" w:rsidRPr="00B57B36" w14:paraId="6ACE1439" w14:textId="77777777" w:rsidTr="001C7C2D">
        <w:trPr>
          <w:trHeight w:val="20"/>
        </w:trPr>
        <w:tc>
          <w:tcPr>
            <w:tcW w:w="1040" w:type="dxa"/>
            <w:shd w:val="clear" w:color="auto" w:fill="FFFFFF"/>
            <w:vAlign w:val="center"/>
          </w:tcPr>
          <w:p w14:paraId="7464A686" w14:textId="5A8B298F" w:rsidR="00251421" w:rsidRPr="00B57B36" w:rsidRDefault="00306432" w:rsidP="00E84D3E">
            <w:pPr>
              <w:pStyle w:val="CETBodytext"/>
              <w:jc w:val="left"/>
              <w:rPr>
                <w:lang w:val="en-GB"/>
              </w:rPr>
            </w:pPr>
            <w:r>
              <w:rPr>
                <w:lang w:val="en-GB"/>
              </w:rPr>
              <w:t>SP/BW</w:t>
            </w:r>
            <w:r w:rsidR="00251421">
              <w:rPr>
                <w:lang w:val="en-GB"/>
              </w:rPr>
              <w:t>-1</w:t>
            </w:r>
          </w:p>
        </w:tc>
        <w:tc>
          <w:tcPr>
            <w:tcW w:w="1039" w:type="dxa"/>
            <w:shd w:val="clear" w:color="auto" w:fill="FFFFFF"/>
            <w:vAlign w:val="center"/>
          </w:tcPr>
          <w:p w14:paraId="54556355" w14:textId="7EC2C7BF"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rPr>
              <w:t>317.</w:t>
            </w:r>
            <w:r w:rsidR="00251421">
              <w:rPr>
                <w:rFonts w:cs="Arial"/>
                <w:color w:val="000000"/>
                <w:szCs w:val="18"/>
              </w:rPr>
              <w:t>7</w:t>
            </w:r>
          </w:p>
        </w:tc>
        <w:tc>
          <w:tcPr>
            <w:tcW w:w="1039" w:type="dxa"/>
            <w:shd w:val="clear" w:color="auto" w:fill="FFFFFF"/>
            <w:vAlign w:val="center"/>
          </w:tcPr>
          <w:p w14:paraId="6AD08912" w14:textId="58B75683" w:rsidR="00251421" w:rsidRPr="00072587" w:rsidRDefault="00251421" w:rsidP="007A04C3">
            <w:pPr>
              <w:tabs>
                <w:tab w:val="clear" w:pos="7100"/>
              </w:tabs>
              <w:spacing w:line="240" w:lineRule="auto"/>
              <w:jc w:val="left"/>
              <w:rPr>
                <w:rFonts w:cs="Arial"/>
                <w:color w:val="000000"/>
                <w:szCs w:val="18"/>
                <w:lang w:val="en-US"/>
              </w:rPr>
            </w:pPr>
            <w:r>
              <w:rPr>
                <w:rFonts w:cs="Arial"/>
                <w:color w:val="000000"/>
                <w:szCs w:val="18"/>
              </w:rPr>
              <w:t>331</w:t>
            </w:r>
            <w:r w:rsidR="00FF384B">
              <w:rPr>
                <w:rFonts w:cs="Arial"/>
                <w:color w:val="000000"/>
                <w:szCs w:val="18"/>
              </w:rPr>
              <w:t>.</w:t>
            </w:r>
            <w:r>
              <w:rPr>
                <w:rFonts w:cs="Arial"/>
                <w:color w:val="000000"/>
                <w:szCs w:val="18"/>
              </w:rPr>
              <w:t>61</w:t>
            </w:r>
          </w:p>
        </w:tc>
        <w:tc>
          <w:tcPr>
            <w:tcW w:w="1039" w:type="dxa"/>
            <w:shd w:val="clear" w:color="auto" w:fill="FFFFFF"/>
            <w:vAlign w:val="center"/>
          </w:tcPr>
          <w:p w14:paraId="5D276588" w14:textId="77FC9BE9"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lang w:val="en-US"/>
              </w:rPr>
              <w:t>184.</w:t>
            </w:r>
            <w:r w:rsidR="00251421">
              <w:rPr>
                <w:rFonts w:cs="Arial"/>
                <w:color w:val="000000"/>
                <w:szCs w:val="18"/>
                <w:lang w:val="en-US"/>
              </w:rPr>
              <w:t>60</w:t>
            </w:r>
          </w:p>
        </w:tc>
        <w:tc>
          <w:tcPr>
            <w:tcW w:w="1040" w:type="dxa"/>
            <w:shd w:val="clear" w:color="auto" w:fill="FFFFFF"/>
            <w:vAlign w:val="center"/>
          </w:tcPr>
          <w:p w14:paraId="4B6F051F" w14:textId="770F7D44"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lang w:val="en-US"/>
              </w:rPr>
              <w:t>170.</w:t>
            </w:r>
            <w:r w:rsidR="00251421">
              <w:rPr>
                <w:rFonts w:cs="Arial"/>
                <w:color w:val="000000"/>
                <w:szCs w:val="18"/>
                <w:lang w:val="en-US"/>
              </w:rPr>
              <w:t>28</w:t>
            </w:r>
          </w:p>
        </w:tc>
        <w:tc>
          <w:tcPr>
            <w:tcW w:w="1634" w:type="dxa"/>
            <w:shd w:val="clear" w:color="auto" w:fill="FFFFFF"/>
            <w:vAlign w:val="center"/>
          </w:tcPr>
          <w:p w14:paraId="7D24539E" w14:textId="3B42A98F" w:rsidR="00251421" w:rsidRPr="00E1107A" w:rsidRDefault="00FF384B" w:rsidP="00E84D3E">
            <w:pPr>
              <w:pStyle w:val="CETBodytext"/>
              <w:jc w:val="left"/>
              <w:rPr>
                <w:rFonts w:cs="Arial"/>
                <w:bCs/>
                <w:color w:val="000000"/>
                <w:szCs w:val="18"/>
              </w:rPr>
            </w:pPr>
            <w:r>
              <w:rPr>
                <w:rFonts w:cs="Arial"/>
                <w:bCs/>
                <w:color w:val="000000"/>
                <w:szCs w:val="18"/>
              </w:rPr>
              <w:t>0.</w:t>
            </w:r>
            <w:r w:rsidR="00251421">
              <w:rPr>
                <w:rFonts w:cs="Arial"/>
                <w:bCs/>
                <w:color w:val="000000"/>
                <w:szCs w:val="18"/>
              </w:rPr>
              <w:t>639</w:t>
            </w:r>
            <w:r w:rsidR="00306432">
              <w:rPr>
                <w:rFonts w:cs="Arial"/>
                <w:bCs/>
                <w:color w:val="000000"/>
                <w:szCs w:val="18"/>
              </w:rPr>
              <w:t>**</w:t>
            </w:r>
          </w:p>
        </w:tc>
        <w:tc>
          <w:tcPr>
            <w:tcW w:w="1634" w:type="dxa"/>
            <w:shd w:val="clear" w:color="auto" w:fill="FFFFFF"/>
            <w:vAlign w:val="center"/>
          </w:tcPr>
          <w:p w14:paraId="75A8E109" w14:textId="1D8A0221" w:rsidR="00251421" w:rsidRPr="00E1107A" w:rsidRDefault="00FF384B" w:rsidP="00E84D3E">
            <w:pPr>
              <w:pStyle w:val="CETBodytext"/>
              <w:jc w:val="left"/>
              <w:rPr>
                <w:rFonts w:cs="Arial"/>
                <w:bCs/>
                <w:color w:val="000000"/>
                <w:szCs w:val="18"/>
              </w:rPr>
            </w:pPr>
            <w:r>
              <w:rPr>
                <w:rFonts w:cs="Arial"/>
                <w:bCs/>
                <w:color w:val="000000"/>
                <w:szCs w:val="18"/>
              </w:rPr>
              <w:t>0.</w:t>
            </w:r>
            <w:r w:rsidR="00251421">
              <w:rPr>
                <w:rFonts w:cs="Arial"/>
                <w:bCs/>
                <w:color w:val="000000"/>
                <w:szCs w:val="18"/>
              </w:rPr>
              <w:t>678</w:t>
            </w:r>
            <w:r w:rsidR="0019028D">
              <w:rPr>
                <w:rFonts w:cs="Arial"/>
                <w:bCs/>
                <w:color w:val="000000"/>
                <w:szCs w:val="18"/>
              </w:rPr>
              <w:t>***</w:t>
            </w:r>
          </w:p>
        </w:tc>
      </w:tr>
      <w:tr w:rsidR="00724EBA" w:rsidRPr="00B57B36" w14:paraId="2755C093" w14:textId="77777777" w:rsidTr="001C7C2D">
        <w:trPr>
          <w:trHeight w:val="20"/>
        </w:trPr>
        <w:tc>
          <w:tcPr>
            <w:tcW w:w="1040" w:type="dxa"/>
            <w:shd w:val="clear" w:color="auto" w:fill="FFFFFF"/>
            <w:vAlign w:val="center"/>
          </w:tcPr>
          <w:p w14:paraId="7EEAB594" w14:textId="0B0751A7" w:rsidR="00251421" w:rsidRPr="00B57B36" w:rsidRDefault="00306432" w:rsidP="00E84D3E">
            <w:pPr>
              <w:pStyle w:val="CETBodytext"/>
              <w:jc w:val="left"/>
              <w:rPr>
                <w:lang w:val="en-GB"/>
              </w:rPr>
            </w:pPr>
            <w:r>
              <w:rPr>
                <w:lang w:val="en-GB"/>
              </w:rPr>
              <w:t>HSP/PW</w:t>
            </w:r>
            <w:r w:rsidR="00251421">
              <w:rPr>
                <w:lang w:val="en-GB"/>
              </w:rPr>
              <w:t>-1</w:t>
            </w:r>
          </w:p>
        </w:tc>
        <w:tc>
          <w:tcPr>
            <w:tcW w:w="1039" w:type="dxa"/>
            <w:shd w:val="clear" w:color="auto" w:fill="FFFFFF"/>
            <w:vAlign w:val="center"/>
          </w:tcPr>
          <w:p w14:paraId="0D44FE1B" w14:textId="0D926C1D"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rPr>
              <w:t>328.</w:t>
            </w:r>
            <w:r w:rsidR="00251421">
              <w:rPr>
                <w:rFonts w:cs="Arial"/>
                <w:color w:val="000000"/>
                <w:szCs w:val="18"/>
              </w:rPr>
              <w:t>9</w:t>
            </w:r>
          </w:p>
        </w:tc>
        <w:tc>
          <w:tcPr>
            <w:tcW w:w="1039" w:type="dxa"/>
            <w:shd w:val="clear" w:color="auto" w:fill="FFFFFF"/>
            <w:vAlign w:val="center"/>
          </w:tcPr>
          <w:p w14:paraId="2AD517B8" w14:textId="4505F05A"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rPr>
              <w:t>324.</w:t>
            </w:r>
            <w:r w:rsidR="00251421">
              <w:rPr>
                <w:rFonts w:cs="Arial"/>
                <w:color w:val="000000"/>
                <w:szCs w:val="18"/>
              </w:rPr>
              <w:t>96</w:t>
            </w:r>
          </w:p>
        </w:tc>
        <w:tc>
          <w:tcPr>
            <w:tcW w:w="1039" w:type="dxa"/>
            <w:shd w:val="clear" w:color="auto" w:fill="FFFFFF"/>
            <w:vAlign w:val="center"/>
          </w:tcPr>
          <w:p w14:paraId="4BFBB360" w14:textId="253C4364"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lang w:val="en-US"/>
              </w:rPr>
              <w:t>275.</w:t>
            </w:r>
            <w:r w:rsidR="00251421">
              <w:rPr>
                <w:rFonts w:cs="Arial"/>
                <w:color w:val="000000"/>
                <w:szCs w:val="18"/>
                <w:lang w:val="en-US"/>
              </w:rPr>
              <w:t>59</w:t>
            </w:r>
          </w:p>
        </w:tc>
        <w:tc>
          <w:tcPr>
            <w:tcW w:w="1040" w:type="dxa"/>
            <w:shd w:val="clear" w:color="auto" w:fill="FFFFFF"/>
            <w:vAlign w:val="center"/>
          </w:tcPr>
          <w:p w14:paraId="121D594C" w14:textId="2F45C6CC"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lang w:val="en-US"/>
              </w:rPr>
              <w:t>186.</w:t>
            </w:r>
            <w:r w:rsidR="00251421">
              <w:rPr>
                <w:rFonts w:cs="Arial"/>
                <w:color w:val="000000"/>
                <w:szCs w:val="18"/>
                <w:lang w:val="en-US"/>
              </w:rPr>
              <w:t>32</w:t>
            </w:r>
          </w:p>
        </w:tc>
        <w:tc>
          <w:tcPr>
            <w:tcW w:w="1634" w:type="dxa"/>
            <w:shd w:val="clear" w:color="auto" w:fill="FFFFFF"/>
            <w:vAlign w:val="center"/>
          </w:tcPr>
          <w:p w14:paraId="0AF76FE9" w14:textId="0B9BB089" w:rsidR="00251421" w:rsidRPr="00E1107A" w:rsidRDefault="00FF384B" w:rsidP="00E84D3E">
            <w:pPr>
              <w:pStyle w:val="CETBodytext"/>
              <w:jc w:val="left"/>
              <w:rPr>
                <w:rFonts w:cs="Arial"/>
                <w:bCs/>
                <w:color w:val="000000"/>
                <w:szCs w:val="18"/>
              </w:rPr>
            </w:pPr>
            <w:r>
              <w:rPr>
                <w:rFonts w:cs="Arial"/>
                <w:bCs/>
                <w:color w:val="000000"/>
                <w:szCs w:val="18"/>
              </w:rPr>
              <w:t>0.</w:t>
            </w:r>
            <w:r w:rsidR="00251421">
              <w:rPr>
                <w:rFonts w:cs="Arial"/>
                <w:bCs/>
                <w:color w:val="000000"/>
                <w:szCs w:val="18"/>
              </w:rPr>
              <w:t>631</w:t>
            </w:r>
            <w:r w:rsidR="0019028D">
              <w:rPr>
                <w:rFonts w:cs="Arial"/>
                <w:bCs/>
                <w:color w:val="000000"/>
                <w:szCs w:val="18"/>
              </w:rPr>
              <w:t>**</w:t>
            </w:r>
          </w:p>
        </w:tc>
        <w:tc>
          <w:tcPr>
            <w:tcW w:w="1634" w:type="dxa"/>
            <w:shd w:val="clear" w:color="auto" w:fill="FFFFFF"/>
            <w:vAlign w:val="center"/>
          </w:tcPr>
          <w:p w14:paraId="518CF311" w14:textId="3C4026B9" w:rsidR="00251421" w:rsidRPr="00E1107A" w:rsidRDefault="00FF384B" w:rsidP="00E84D3E">
            <w:pPr>
              <w:pStyle w:val="CETBodytext"/>
              <w:jc w:val="left"/>
              <w:rPr>
                <w:rFonts w:cs="Arial"/>
                <w:bCs/>
                <w:color w:val="000000"/>
                <w:szCs w:val="18"/>
              </w:rPr>
            </w:pPr>
            <w:r>
              <w:rPr>
                <w:rFonts w:cs="Arial"/>
                <w:bCs/>
                <w:color w:val="000000"/>
                <w:szCs w:val="18"/>
              </w:rPr>
              <w:t>0.</w:t>
            </w:r>
            <w:r w:rsidR="00251421">
              <w:rPr>
                <w:rFonts w:cs="Arial"/>
                <w:bCs/>
                <w:color w:val="000000"/>
                <w:szCs w:val="18"/>
              </w:rPr>
              <w:t>667</w:t>
            </w:r>
            <w:r w:rsidR="0019028D">
              <w:rPr>
                <w:rFonts w:cs="Arial"/>
                <w:bCs/>
                <w:color w:val="000000"/>
                <w:szCs w:val="18"/>
              </w:rPr>
              <w:t>***</w:t>
            </w:r>
          </w:p>
        </w:tc>
      </w:tr>
      <w:tr w:rsidR="00724EBA" w:rsidRPr="00B57B36" w14:paraId="5C48A710" w14:textId="77777777" w:rsidTr="001C7C2D">
        <w:trPr>
          <w:trHeight w:val="20"/>
        </w:trPr>
        <w:tc>
          <w:tcPr>
            <w:tcW w:w="1040" w:type="dxa"/>
            <w:shd w:val="clear" w:color="auto" w:fill="FFFFFF"/>
            <w:vAlign w:val="center"/>
          </w:tcPr>
          <w:p w14:paraId="1FC98260" w14:textId="3900935D" w:rsidR="00251421" w:rsidRPr="00B57B36" w:rsidRDefault="00306432" w:rsidP="00E84D3E">
            <w:pPr>
              <w:pStyle w:val="CETBodytext"/>
              <w:ind w:right="-1"/>
              <w:jc w:val="left"/>
              <w:rPr>
                <w:rFonts w:cs="Arial"/>
                <w:szCs w:val="18"/>
                <w:lang w:val="en-GB"/>
              </w:rPr>
            </w:pPr>
            <w:r>
              <w:rPr>
                <w:rFonts w:cs="Arial"/>
                <w:szCs w:val="18"/>
                <w:lang w:val="en-GB"/>
              </w:rPr>
              <w:t>SP/PW</w:t>
            </w:r>
            <w:r w:rsidR="00251421">
              <w:rPr>
                <w:rFonts w:cs="Arial"/>
                <w:szCs w:val="18"/>
                <w:lang w:val="en-GB"/>
              </w:rPr>
              <w:t>-1</w:t>
            </w:r>
          </w:p>
        </w:tc>
        <w:tc>
          <w:tcPr>
            <w:tcW w:w="1039" w:type="dxa"/>
            <w:shd w:val="clear" w:color="auto" w:fill="FFFFFF"/>
            <w:vAlign w:val="center"/>
          </w:tcPr>
          <w:p w14:paraId="109B4E7B" w14:textId="4178780D"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rPr>
              <w:t>324.</w:t>
            </w:r>
            <w:r w:rsidR="00251421">
              <w:rPr>
                <w:rFonts w:cs="Arial"/>
                <w:color w:val="000000"/>
                <w:szCs w:val="18"/>
              </w:rPr>
              <w:t>4</w:t>
            </w:r>
          </w:p>
        </w:tc>
        <w:tc>
          <w:tcPr>
            <w:tcW w:w="1039" w:type="dxa"/>
            <w:shd w:val="clear" w:color="auto" w:fill="FFFFFF"/>
            <w:vAlign w:val="center"/>
          </w:tcPr>
          <w:p w14:paraId="311E819A" w14:textId="2D3824F0"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rPr>
              <w:t>323.</w:t>
            </w:r>
            <w:r w:rsidR="00251421">
              <w:rPr>
                <w:rFonts w:cs="Arial"/>
                <w:color w:val="000000"/>
                <w:szCs w:val="18"/>
              </w:rPr>
              <w:t>76</w:t>
            </w:r>
          </w:p>
        </w:tc>
        <w:tc>
          <w:tcPr>
            <w:tcW w:w="1039" w:type="dxa"/>
            <w:shd w:val="clear" w:color="auto" w:fill="FFFFFF"/>
            <w:vAlign w:val="center"/>
          </w:tcPr>
          <w:p w14:paraId="7A5EBE45" w14:textId="667EB010"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lang w:val="en-US"/>
              </w:rPr>
              <w:t>265.</w:t>
            </w:r>
            <w:r w:rsidR="00251421">
              <w:rPr>
                <w:rFonts w:cs="Arial"/>
                <w:color w:val="000000"/>
                <w:szCs w:val="18"/>
                <w:lang w:val="en-US"/>
              </w:rPr>
              <w:t>16</w:t>
            </w:r>
          </w:p>
        </w:tc>
        <w:tc>
          <w:tcPr>
            <w:tcW w:w="1040" w:type="dxa"/>
            <w:shd w:val="clear" w:color="auto" w:fill="FFFFFF"/>
            <w:vAlign w:val="center"/>
          </w:tcPr>
          <w:p w14:paraId="1FB6484B" w14:textId="4BB5FC71" w:rsidR="00251421" w:rsidRPr="00072587" w:rsidRDefault="00FF384B" w:rsidP="00E84D3E">
            <w:pPr>
              <w:tabs>
                <w:tab w:val="clear" w:pos="7100"/>
              </w:tabs>
              <w:spacing w:line="240" w:lineRule="auto"/>
              <w:jc w:val="left"/>
              <w:rPr>
                <w:rFonts w:cs="Arial"/>
                <w:color w:val="000000"/>
                <w:szCs w:val="18"/>
                <w:lang w:val="en-US"/>
              </w:rPr>
            </w:pPr>
            <w:r>
              <w:rPr>
                <w:rFonts w:cs="Arial"/>
                <w:color w:val="000000"/>
                <w:szCs w:val="18"/>
                <w:lang w:val="en-US"/>
              </w:rPr>
              <w:t>181.</w:t>
            </w:r>
            <w:r w:rsidR="00251421">
              <w:rPr>
                <w:rFonts w:cs="Arial"/>
                <w:color w:val="000000"/>
                <w:szCs w:val="18"/>
                <w:lang w:val="en-US"/>
              </w:rPr>
              <w:t>19</w:t>
            </w:r>
          </w:p>
        </w:tc>
        <w:tc>
          <w:tcPr>
            <w:tcW w:w="1634" w:type="dxa"/>
            <w:shd w:val="clear" w:color="auto" w:fill="FFFFFF"/>
            <w:vAlign w:val="center"/>
          </w:tcPr>
          <w:p w14:paraId="2F001607" w14:textId="6ACA06BE" w:rsidR="00251421" w:rsidRPr="00E1107A" w:rsidRDefault="00FF384B" w:rsidP="00E84D3E">
            <w:pPr>
              <w:pStyle w:val="CETBodytext"/>
              <w:jc w:val="left"/>
              <w:rPr>
                <w:rFonts w:cs="Arial"/>
                <w:bCs/>
                <w:color w:val="000000"/>
                <w:szCs w:val="18"/>
              </w:rPr>
            </w:pPr>
            <w:r>
              <w:rPr>
                <w:rFonts w:cs="Arial"/>
                <w:bCs/>
                <w:color w:val="000000"/>
                <w:szCs w:val="18"/>
              </w:rPr>
              <w:t>0.</w:t>
            </w:r>
            <w:r w:rsidR="00251421">
              <w:rPr>
                <w:rFonts w:cs="Arial"/>
                <w:bCs/>
                <w:color w:val="000000"/>
                <w:szCs w:val="18"/>
              </w:rPr>
              <w:t>622</w:t>
            </w:r>
            <w:r w:rsidR="0019028D">
              <w:rPr>
                <w:rFonts w:cs="Arial"/>
                <w:bCs/>
                <w:color w:val="000000"/>
                <w:szCs w:val="18"/>
              </w:rPr>
              <w:t>*</w:t>
            </w:r>
          </w:p>
        </w:tc>
        <w:tc>
          <w:tcPr>
            <w:tcW w:w="1634" w:type="dxa"/>
            <w:shd w:val="clear" w:color="auto" w:fill="FFFFFF"/>
            <w:vAlign w:val="center"/>
          </w:tcPr>
          <w:p w14:paraId="3159C789" w14:textId="4BAAE248" w:rsidR="00251421" w:rsidRPr="00E1107A" w:rsidRDefault="00FF384B" w:rsidP="00E84D3E">
            <w:pPr>
              <w:pStyle w:val="CETBodytext"/>
              <w:jc w:val="left"/>
              <w:rPr>
                <w:rFonts w:cs="Arial"/>
                <w:bCs/>
                <w:color w:val="000000"/>
                <w:szCs w:val="18"/>
              </w:rPr>
            </w:pPr>
            <w:r>
              <w:rPr>
                <w:rFonts w:cs="Arial"/>
                <w:bCs/>
                <w:color w:val="000000"/>
                <w:szCs w:val="18"/>
              </w:rPr>
              <w:t>0.</w:t>
            </w:r>
            <w:r w:rsidR="00251421">
              <w:rPr>
                <w:rFonts w:cs="Arial"/>
                <w:bCs/>
                <w:color w:val="000000"/>
                <w:szCs w:val="18"/>
              </w:rPr>
              <w:t>662</w:t>
            </w:r>
            <w:r w:rsidR="0019028D">
              <w:rPr>
                <w:rFonts w:cs="Arial"/>
                <w:bCs/>
                <w:color w:val="000000"/>
                <w:szCs w:val="18"/>
              </w:rPr>
              <w:t>***</w:t>
            </w:r>
          </w:p>
        </w:tc>
      </w:tr>
    </w:tbl>
    <w:p w14:paraId="2C870A9C" w14:textId="70DF3ECE" w:rsidR="002D1224" w:rsidRPr="00DA1DEE" w:rsidRDefault="00306432" w:rsidP="0019028D">
      <w:pPr>
        <w:pStyle w:val="CETBodytext"/>
        <w:rPr>
          <w:lang w:val="en-GB"/>
        </w:rPr>
      </w:pPr>
      <w:r w:rsidRPr="00306432">
        <w:rPr>
          <w:i/>
          <w:lang w:val="en-GB"/>
        </w:rPr>
        <w:t xml:space="preserve">Note: </w:t>
      </w:r>
      <w:r w:rsidR="0019028D" w:rsidRPr="0019028D">
        <w:rPr>
          <w:lang w:val="en-GB"/>
        </w:rPr>
        <w:t xml:space="preserve">*Calculated </w:t>
      </w:r>
      <w:r w:rsidR="00D50161">
        <w:rPr>
          <w:lang w:val="en-GB"/>
        </w:rPr>
        <w:t>at</w:t>
      </w:r>
      <w:r w:rsidR="0019028D" w:rsidRPr="0019028D">
        <w:rPr>
          <w:lang w:val="en-GB"/>
        </w:rPr>
        <w:t xml:space="preserve"> 300 K. ** Calculated </w:t>
      </w:r>
      <w:r w:rsidR="00D50161">
        <w:rPr>
          <w:lang w:val="en-GB"/>
        </w:rPr>
        <w:t>at</w:t>
      </w:r>
      <w:r w:rsidR="0019028D" w:rsidRPr="0019028D">
        <w:rPr>
          <w:lang w:val="en-GB"/>
        </w:rPr>
        <w:t xml:space="preserve"> 290 K. *** Calculated heat capacity 360 K</w:t>
      </w:r>
    </w:p>
    <w:p w14:paraId="6030E058" w14:textId="4E1B7545" w:rsidR="00306432" w:rsidRPr="00306432" w:rsidRDefault="00306432" w:rsidP="002D1224">
      <w:pPr>
        <w:pStyle w:val="CETBodytext"/>
        <w:rPr>
          <w:i/>
          <w:lang w:val="en-GB"/>
        </w:rPr>
      </w:pPr>
    </w:p>
    <w:p w14:paraId="30D29556" w14:textId="19B7D40B" w:rsidR="00E84804" w:rsidRDefault="00E84804" w:rsidP="00251421">
      <w:pPr>
        <w:pStyle w:val="CETBodytext"/>
        <w:rPr>
          <w:lang w:val="en-GB"/>
        </w:rPr>
      </w:pPr>
    </w:p>
    <w:p w14:paraId="3C4E6EA2" w14:textId="49A1FED7" w:rsidR="00E84804" w:rsidRDefault="00E84804" w:rsidP="00251421">
      <w:pPr>
        <w:pStyle w:val="CETBodytext"/>
        <w:rPr>
          <w:lang w:val="en-GB"/>
        </w:rPr>
      </w:pPr>
      <w:r w:rsidRPr="00E84804">
        <w:rPr>
          <w:lang w:val="en-GB"/>
        </w:rPr>
        <w:t>It is observed that the difference between the melting temperatures of the mixture made with hydrogenated palm stearin and palm stearin is not significant and therefore the completely agro-industrial mixture is a valid option as a eutectic mixture.</w:t>
      </w:r>
    </w:p>
    <w:p w14:paraId="14D06FBF" w14:textId="64625F37" w:rsidR="00443B90" w:rsidRDefault="00443B90" w:rsidP="008718DD">
      <w:pPr>
        <w:pStyle w:val="CETBodytext"/>
        <w:rPr>
          <w:lang w:val="en-GB"/>
        </w:rPr>
      </w:pPr>
    </w:p>
    <w:p w14:paraId="75B0A6A2" w14:textId="6795AF45" w:rsidR="002C6C09" w:rsidRDefault="002D1224" w:rsidP="002D1224">
      <w:pPr>
        <w:pStyle w:val="CETheadingx"/>
      </w:pPr>
      <w:r w:rsidRPr="002C6C09">
        <w:t>Thermal stability study by thermogravimetric analysis (TGA)</w:t>
      </w:r>
    </w:p>
    <w:p w14:paraId="629EA66C" w14:textId="77777777" w:rsidR="002D1224" w:rsidRDefault="002D1224" w:rsidP="002D1224">
      <w:pPr>
        <w:pStyle w:val="CETBodytext"/>
      </w:pPr>
    </w:p>
    <w:p w14:paraId="689C982F" w14:textId="08B6C05A" w:rsidR="002D1224" w:rsidRDefault="009963E4" w:rsidP="002D1224">
      <w:pPr>
        <w:pStyle w:val="CETBodytext"/>
        <w:rPr>
          <w:lang w:val="en-GB"/>
        </w:rPr>
      </w:pPr>
      <w:r>
        <w:rPr>
          <w:lang w:val="en-GB"/>
        </w:rPr>
        <w:t>Figure 4</w:t>
      </w:r>
      <w:r w:rsidR="002D1224" w:rsidRPr="00155DC1">
        <w:rPr>
          <w:lang w:val="en-GB"/>
        </w:rPr>
        <w:t xml:space="preserve"> shows the thermo</w:t>
      </w:r>
      <w:r w:rsidR="00273BDB">
        <w:rPr>
          <w:lang w:val="en-GB"/>
        </w:rPr>
        <w:t xml:space="preserve">gravimetric TG curves for the PS/BW-1, </w:t>
      </w:r>
      <w:r w:rsidR="002D1224" w:rsidRPr="00155DC1">
        <w:rPr>
          <w:lang w:val="en-GB"/>
        </w:rPr>
        <w:t>H</w:t>
      </w:r>
      <w:r w:rsidR="00273BDB">
        <w:rPr>
          <w:lang w:val="en-GB"/>
        </w:rPr>
        <w:t>SP/BW-1, PS/PW</w:t>
      </w:r>
      <w:r w:rsidR="002D1224" w:rsidRPr="00155DC1">
        <w:rPr>
          <w:lang w:val="en-GB"/>
        </w:rPr>
        <w:t>-</w:t>
      </w:r>
      <w:r w:rsidR="00E77A56" w:rsidRPr="00155DC1">
        <w:rPr>
          <w:lang w:val="en-GB"/>
        </w:rPr>
        <w:t>1,</w:t>
      </w:r>
      <w:r w:rsidR="002D1224" w:rsidRPr="00155DC1">
        <w:rPr>
          <w:lang w:val="en-GB"/>
        </w:rPr>
        <w:t xml:space="preserve"> and H</w:t>
      </w:r>
      <w:r w:rsidR="00273BDB">
        <w:rPr>
          <w:lang w:val="en-GB"/>
        </w:rPr>
        <w:t>SP/PW</w:t>
      </w:r>
      <w:r w:rsidR="002D1224" w:rsidRPr="00155DC1">
        <w:rPr>
          <w:lang w:val="en-GB"/>
        </w:rPr>
        <w:t>-1 samples.</w:t>
      </w:r>
    </w:p>
    <w:p w14:paraId="17EC3F12" w14:textId="77777777" w:rsidR="00640964" w:rsidRDefault="00640964" w:rsidP="002D1224">
      <w:pPr>
        <w:pStyle w:val="CETBodytext"/>
        <w:rPr>
          <w:lang w:val="en-GB"/>
        </w:rPr>
      </w:pPr>
    </w:p>
    <w:p w14:paraId="323A8A16" w14:textId="0AD037A6" w:rsidR="002D1224" w:rsidRDefault="002D1224" w:rsidP="002D1224">
      <w:pPr>
        <w:pStyle w:val="CETBodytext"/>
        <w:rPr>
          <w:lang w:val="en-GB"/>
        </w:rPr>
      </w:pPr>
    </w:p>
    <w:p w14:paraId="3BFD88D3" w14:textId="77777777" w:rsidR="00640964" w:rsidRDefault="00640964" w:rsidP="00640964">
      <w:pPr>
        <w:pStyle w:val="CETBodytext"/>
        <w:keepNext/>
      </w:pPr>
      <w:r>
        <w:rPr>
          <w:noProof/>
        </w:rPr>
        <w:drawing>
          <wp:inline distT="0" distB="0" distL="0" distR="0" wp14:anchorId="4659E8FB" wp14:editId="7BC6EF1E">
            <wp:extent cx="4111766" cy="21600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1766" cy="2160000"/>
                    </a:xfrm>
                    <a:prstGeom prst="rect">
                      <a:avLst/>
                    </a:prstGeom>
                    <a:noFill/>
                  </pic:spPr>
                </pic:pic>
              </a:graphicData>
            </a:graphic>
          </wp:inline>
        </w:drawing>
      </w:r>
    </w:p>
    <w:p w14:paraId="44E01A63" w14:textId="56015B52" w:rsidR="00E84804" w:rsidRPr="00640964" w:rsidRDefault="00640964" w:rsidP="00640964">
      <w:pPr>
        <w:pStyle w:val="CETCaption"/>
      </w:pPr>
      <w:r>
        <w:t xml:space="preserve">Figure </w:t>
      </w:r>
      <w:r>
        <w:fldChar w:fldCharType="begin"/>
      </w:r>
      <w:r>
        <w:instrText xml:space="preserve"> SEQ Figure \* ARABIC </w:instrText>
      </w:r>
      <w:r>
        <w:fldChar w:fldCharType="separate"/>
      </w:r>
      <w:r w:rsidR="00C012C2">
        <w:rPr>
          <w:noProof/>
        </w:rPr>
        <w:t>4</w:t>
      </w:r>
      <w:r>
        <w:fldChar w:fldCharType="end"/>
      </w:r>
      <w:r>
        <w:t xml:space="preserve">. </w:t>
      </w:r>
      <w:r w:rsidRPr="002D0F2A">
        <w:t>Thermogravimetric curves of eutectic mixtures</w:t>
      </w:r>
    </w:p>
    <w:p w14:paraId="6C377002" w14:textId="35800C39" w:rsidR="002D1224" w:rsidRDefault="009963E4" w:rsidP="002D1224">
      <w:pPr>
        <w:pStyle w:val="CETBodytext"/>
        <w:rPr>
          <w:lang w:val="en-GB"/>
        </w:rPr>
      </w:pPr>
      <w:r>
        <w:rPr>
          <w:lang w:val="en-GB"/>
        </w:rPr>
        <w:t>As shown in Figure 4</w:t>
      </w:r>
      <w:r w:rsidR="002D1224" w:rsidRPr="001D48CC">
        <w:rPr>
          <w:lang w:val="en-GB"/>
        </w:rPr>
        <w:t xml:space="preserve">, it is observed that there is no thermal </w:t>
      </w:r>
      <w:r w:rsidR="007A04C3">
        <w:rPr>
          <w:lang w:val="en-GB"/>
        </w:rPr>
        <w:t xml:space="preserve">degradation before </w:t>
      </w:r>
      <w:r w:rsidR="00FF384B">
        <w:rPr>
          <w:lang w:val="en-GB"/>
        </w:rPr>
        <w:t>446.</w:t>
      </w:r>
      <w:r w:rsidR="002D1224" w:rsidRPr="001D48CC">
        <w:rPr>
          <w:lang w:val="en-GB"/>
        </w:rPr>
        <w:t>15 K, which indi</w:t>
      </w:r>
      <w:r w:rsidR="00BD6EBD">
        <w:rPr>
          <w:lang w:val="en-GB"/>
        </w:rPr>
        <w:t>ca</w:t>
      </w:r>
      <w:r w:rsidR="002D1224" w:rsidRPr="001D48CC">
        <w:rPr>
          <w:lang w:val="en-GB"/>
        </w:rPr>
        <w:t>tes that the eutectic mixtures begin to evaporate slowly from that temperature. I</w:t>
      </w:r>
      <w:r w:rsidR="00F27C95">
        <w:rPr>
          <w:lang w:val="en-GB"/>
        </w:rPr>
        <w:t>n addition, as shown in Figure 4</w:t>
      </w:r>
      <w:r w:rsidR="006D507A">
        <w:rPr>
          <w:lang w:val="en-GB"/>
        </w:rPr>
        <w:t>, the SP/BW</w:t>
      </w:r>
      <w:r w:rsidR="002D1224" w:rsidRPr="001D48CC">
        <w:rPr>
          <w:lang w:val="en-GB"/>
        </w:rPr>
        <w:t>-1 mixture shows a trend of greater thermal stability.</w:t>
      </w:r>
      <w:r w:rsidR="006E4B3D">
        <w:rPr>
          <w:lang w:val="en-GB"/>
        </w:rPr>
        <w:t xml:space="preserve"> </w:t>
      </w:r>
      <w:r w:rsidR="006E4B3D" w:rsidRPr="006E4B3D">
        <w:rPr>
          <w:lang w:val="en-GB"/>
        </w:rPr>
        <w:t>Although all blends have adequate thermal stability for the application, it is noted that the PS/BW and HPS/BW blends have significantly higher stability than those using paraffin wax.</w:t>
      </w:r>
    </w:p>
    <w:p w14:paraId="2B09AE46" w14:textId="776FF91A" w:rsidR="00E84804" w:rsidRDefault="00E84804" w:rsidP="00155DC1">
      <w:pPr>
        <w:pStyle w:val="CETBodytext"/>
        <w:rPr>
          <w:lang w:val="en-GB"/>
        </w:rPr>
      </w:pPr>
    </w:p>
    <w:p w14:paraId="6DAE8A1F" w14:textId="0828C4FB" w:rsidR="002D1224" w:rsidRDefault="002D1224" w:rsidP="00155DC1">
      <w:pPr>
        <w:pStyle w:val="CETheadingx"/>
      </w:pPr>
      <w:r w:rsidRPr="002D1224">
        <w:t>Energy stored in and released from samples</w:t>
      </w:r>
      <w:r>
        <w:t>.</w:t>
      </w:r>
    </w:p>
    <w:p w14:paraId="0D488FC1" w14:textId="77777777" w:rsidR="001C7C2D" w:rsidRDefault="0010658F" w:rsidP="001C7C2D">
      <w:pPr>
        <w:pStyle w:val="CETBodytext"/>
      </w:pPr>
      <w:r w:rsidRPr="0010658F">
        <w:t>Table 3 reports the values obtained from the calculation of stored and released energy for each sample.</w:t>
      </w:r>
    </w:p>
    <w:p w14:paraId="59C3215E" w14:textId="77777777" w:rsidR="001C7C2D" w:rsidRDefault="001C7C2D" w:rsidP="001C7C2D">
      <w:pPr>
        <w:pStyle w:val="CETBodytext"/>
      </w:pPr>
    </w:p>
    <w:p w14:paraId="1F19876F" w14:textId="2DE3FD79" w:rsidR="00251421" w:rsidRPr="001C7C2D" w:rsidRDefault="001C7C2D" w:rsidP="00251421">
      <w:pPr>
        <w:pStyle w:val="CETBodytext"/>
        <w:rPr>
          <w:lang w:val="en-GB"/>
        </w:rPr>
      </w:pPr>
      <w:r w:rsidRPr="006B5941">
        <w:rPr>
          <w:lang w:val="en-GB"/>
        </w:rPr>
        <w:t>It is observed that the energy stored and released is greater when palm stearin and hydrogenated palm stearin are in lower proportion (20:80). Likewise, it is evident that with HPS the energy is greater than with PS.</w:t>
      </w:r>
    </w:p>
    <w:p w14:paraId="2D9CE577" w14:textId="2E5A3486" w:rsidR="00251421" w:rsidRDefault="00251421" w:rsidP="00251421">
      <w:pPr>
        <w:pStyle w:val="CETTabletitle"/>
      </w:pPr>
      <w:r>
        <w:t xml:space="preserve">Table </w:t>
      </w:r>
      <w:r>
        <w:fldChar w:fldCharType="begin"/>
      </w:r>
      <w:r>
        <w:instrText xml:space="preserve"> SEQ Table \* ARABIC </w:instrText>
      </w:r>
      <w:r>
        <w:fldChar w:fldCharType="separate"/>
      </w:r>
      <w:r>
        <w:rPr>
          <w:noProof/>
        </w:rPr>
        <w:t>3</w:t>
      </w:r>
      <w:r>
        <w:fldChar w:fldCharType="end"/>
      </w:r>
      <w:r>
        <w:t xml:space="preserve">. </w:t>
      </w:r>
      <w:r w:rsidR="006E4B3D">
        <w:t>Theoretical e</w:t>
      </w:r>
      <w:r w:rsidRPr="003627EF">
        <w:t xml:space="preserve">nergy stored and released from </w:t>
      </w:r>
      <w:r w:rsidR="006E4B3D">
        <w:t xml:space="preserve">1 kg of the </w:t>
      </w:r>
      <w:r w:rsidR="00C50053" w:rsidRPr="003627EF">
        <w:t>samples.</w:t>
      </w:r>
    </w:p>
    <w:tbl>
      <w:tblPr>
        <w:tblW w:w="451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04"/>
        <w:gridCol w:w="1503"/>
        <w:gridCol w:w="1503"/>
      </w:tblGrid>
      <w:tr w:rsidR="00251421" w:rsidRPr="00B57B36" w14:paraId="03742781" w14:textId="77777777" w:rsidTr="001C7C2D">
        <w:trPr>
          <w:trHeight w:val="20"/>
        </w:trPr>
        <w:tc>
          <w:tcPr>
            <w:tcW w:w="1504" w:type="dxa"/>
            <w:tcBorders>
              <w:top w:val="single" w:sz="12" w:space="0" w:color="008000"/>
              <w:bottom w:val="single" w:sz="6" w:space="0" w:color="008000"/>
            </w:tcBorders>
            <w:shd w:val="clear" w:color="auto" w:fill="FFFFFF"/>
            <w:vAlign w:val="center"/>
          </w:tcPr>
          <w:p w14:paraId="6CF3ADF5" w14:textId="77777777" w:rsidR="00251421" w:rsidRPr="00072587" w:rsidRDefault="00251421" w:rsidP="001C7C2D">
            <w:pPr>
              <w:pStyle w:val="CETBodytext"/>
              <w:spacing w:line="240" w:lineRule="auto"/>
              <w:jc w:val="left"/>
              <w:rPr>
                <w:rFonts w:cs="Arial"/>
                <w:bCs/>
                <w:color w:val="000000"/>
                <w:szCs w:val="18"/>
              </w:rPr>
            </w:pPr>
            <w:r w:rsidRPr="00072587">
              <w:rPr>
                <w:rFonts w:cs="Arial"/>
                <w:bCs/>
                <w:color w:val="000000"/>
                <w:szCs w:val="18"/>
              </w:rPr>
              <w:t>Sample</w:t>
            </w:r>
          </w:p>
        </w:tc>
        <w:tc>
          <w:tcPr>
            <w:tcW w:w="1503" w:type="dxa"/>
            <w:tcBorders>
              <w:top w:val="single" w:sz="12" w:space="0" w:color="008000"/>
              <w:bottom w:val="single" w:sz="6" w:space="0" w:color="008000"/>
            </w:tcBorders>
            <w:shd w:val="clear" w:color="auto" w:fill="FFFFFF"/>
            <w:vAlign w:val="center"/>
          </w:tcPr>
          <w:p w14:paraId="5B658C15" w14:textId="46199E84" w:rsidR="00251421" w:rsidRPr="00072587" w:rsidRDefault="00251421" w:rsidP="001C7C2D">
            <w:pPr>
              <w:pStyle w:val="CETBodytext"/>
              <w:spacing w:line="240" w:lineRule="auto"/>
              <w:jc w:val="left"/>
              <w:rPr>
                <w:rFonts w:cs="Arial"/>
                <w:bCs/>
                <w:color w:val="000000"/>
                <w:szCs w:val="18"/>
              </w:rPr>
            </w:pPr>
            <w:r>
              <w:rPr>
                <w:rFonts w:cs="Arial"/>
                <w:bCs/>
                <w:color w:val="000000"/>
                <w:szCs w:val="18"/>
              </w:rPr>
              <w:t>E</w:t>
            </w:r>
            <w:r w:rsidRPr="00BD6EBD">
              <w:rPr>
                <w:rFonts w:cs="Arial"/>
                <w:bCs/>
                <w:color w:val="000000"/>
                <w:szCs w:val="18"/>
                <w:vertAlign w:val="subscript"/>
              </w:rPr>
              <w:t>s</w:t>
            </w:r>
            <w:r w:rsidRPr="00072587">
              <w:rPr>
                <w:rFonts w:cs="Arial"/>
                <w:bCs/>
                <w:color w:val="000000"/>
                <w:szCs w:val="18"/>
              </w:rPr>
              <w:t xml:space="preserve"> [kJ</w:t>
            </w:r>
            <w:r w:rsidR="006E4B3D">
              <w:rPr>
                <w:rFonts w:cs="Arial"/>
                <w:bCs/>
                <w:color w:val="000000"/>
                <w:szCs w:val="18"/>
              </w:rPr>
              <w:t>/kg</w:t>
            </w:r>
            <w:r w:rsidRPr="00072587">
              <w:rPr>
                <w:rFonts w:cs="Arial"/>
                <w:bCs/>
                <w:color w:val="000000"/>
                <w:szCs w:val="18"/>
              </w:rPr>
              <w:t>]</w:t>
            </w:r>
          </w:p>
        </w:tc>
        <w:tc>
          <w:tcPr>
            <w:tcW w:w="1503" w:type="dxa"/>
            <w:tcBorders>
              <w:top w:val="single" w:sz="12" w:space="0" w:color="008000"/>
              <w:bottom w:val="single" w:sz="6" w:space="0" w:color="008000"/>
            </w:tcBorders>
            <w:shd w:val="clear" w:color="auto" w:fill="FFFFFF"/>
            <w:vAlign w:val="center"/>
          </w:tcPr>
          <w:p w14:paraId="61BBFA09" w14:textId="0ECCB754" w:rsidR="00251421" w:rsidRPr="00072587" w:rsidRDefault="00251421" w:rsidP="001C7C2D">
            <w:pPr>
              <w:pStyle w:val="CETBodytext"/>
              <w:spacing w:line="240" w:lineRule="auto"/>
              <w:jc w:val="left"/>
              <w:rPr>
                <w:rFonts w:cs="Arial"/>
                <w:bCs/>
                <w:color w:val="000000"/>
                <w:szCs w:val="18"/>
              </w:rPr>
            </w:pPr>
            <w:r>
              <w:rPr>
                <w:rFonts w:cs="Arial"/>
                <w:bCs/>
                <w:color w:val="000000"/>
                <w:szCs w:val="18"/>
              </w:rPr>
              <w:t>E</w:t>
            </w:r>
            <w:r w:rsidRPr="00BD6EBD">
              <w:rPr>
                <w:rFonts w:cs="Arial"/>
                <w:bCs/>
                <w:color w:val="000000"/>
                <w:szCs w:val="18"/>
                <w:vertAlign w:val="subscript"/>
              </w:rPr>
              <w:t>r</w:t>
            </w:r>
            <w:r w:rsidRPr="00072587">
              <w:rPr>
                <w:rFonts w:cs="Arial"/>
                <w:bCs/>
                <w:color w:val="000000"/>
                <w:szCs w:val="18"/>
              </w:rPr>
              <w:t xml:space="preserve"> [kJ</w:t>
            </w:r>
            <w:r w:rsidR="006E4B3D">
              <w:rPr>
                <w:rFonts w:cs="Arial"/>
                <w:bCs/>
                <w:color w:val="000000"/>
                <w:szCs w:val="18"/>
              </w:rPr>
              <w:t>/kg]</w:t>
            </w:r>
          </w:p>
        </w:tc>
      </w:tr>
      <w:tr w:rsidR="00251421" w:rsidRPr="00B57B36" w14:paraId="53FCE4ED" w14:textId="77777777" w:rsidTr="001C7C2D">
        <w:trPr>
          <w:trHeight w:val="20"/>
        </w:trPr>
        <w:tc>
          <w:tcPr>
            <w:tcW w:w="1504" w:type="dxa"/>
            <w:shd w:val="clear" w:color="auto" w:fill="FFFFFF"/>
          </w:tcPr>
          <w:p w14:paraId="1A1C397C" w14:textId="7A5B8BEF" w:rsidR="00251421" w:rsidRPr="00B57B36" w:rsidRDefault="00251421" w:rsidP="001C7C2D">
            <w:pPr>
              <w:pStyle w:val="CETBodytext"/>
              <w:spacing w:line="240" w:lineRule="auto"/>
              <w:rPr>
                <w:lang w:val="en-GB"/>
              </w:rPr>
            </w:pPr>
            <w:r>
              <w:rPr>
                <w:lang w:val="en-GB"/>
              </w:rPr>
              <w:t>H</w:t>
            </w:r>
            <w:r w:rsidR="002837BC">
              <w:rPr>
                <w:lang w:val="en-GB"/>
              </w:rPr>
              <w:t>PS/BW</w:t>
            </w:r>
            <w:r>
              <w:rPr>
                <w:lang w:val="en-GB"/>
              </w:rPr>
              <w:t>-1</w:t>
            </w:r>
          </w:p>
        </w:tc>
        <w:tc>
          <w:tcPr>
            <w:tcW w:w="1503" w:type="dxa"/>
            <w:shd w:val="clear" w:color="auto" w:fill="FFFFFF"/>
          </w:tcPr>
          <w:p w14:paraId="47D617AC" w14:textId="12C9B789" w:rsidR="00251421" w:rsidRPr="00072587" w:rsidRDefault="00251421" w:rsidP="001C7C2D">
            <w:pPr>
              <w:tabs>
                <w:tab w:val="clear" w:pos="7100"/>
              </w:tabs>
              <w:spacing w:line="240" w:lineRule="auto"/>
              <w:rPr>
                <w:rFonts w:cs="Arial"/>
                <w:color w:val="000000"/>
                <w:szCs w:val="18"/>
                <w:lang w:val="en-US"/>
              </w:rPr>
            </w:pPr>
            <w:r>
              <w:rPr>
                <w:rFonts w:cs="Arial"/>
                <w:color w:val="000000"/>
                <w:szCs w:val="18"/>
              </w:rPr>
              <w:t>277</w:t>
            </w:r>
            <w:r w:rsidR="00FF384B">
              <w:rPr>
                <w:rFonts w:cs="Arial"/>
                <w:color w:val="000000"/>
                <w:szCs w:val="18"/>
              </w:rPr>
              <w:t>.</w:t>
            </w:r>
            <w:r>
              <w:rPr>
                <w:rFonts w:cs="Arial"/>
                <w:color w:val="000000"/>
                <w:szCs w:val="18"/>
              </w:rPr>
              <w:t>52</w:t>
            </w:r>
          </w:p>
        </w:tc>
        <w:tc>
          <w:tcPr>
            <w:tcW w:w="1503" w:type="dxa"/>
            <w:shd w:val="clear" w:color="auto" w:fill="FFFFFF"/>
          </w:tcPr>
          <w:p w14:paraId="7B570237" w14:textId="75935953" w:rsidR="00251421" w:rsidRPr="00072587" w:rsidRDefault="00251421" w:rsidP="001C7C2D">
            <w:pPr>
              <w:tabs>
                <w:tab w:val="clear" w:pos="7100"/>
              </w:tabs>
              <w:spacing w:line="240" w:lineRule="auto"/>
              <w:rPr>
                <w:rFonts w:cs="Arial"/>
                <w:color w:val="000000"/>
                <w:szCs w:val="18"/>
                <w:lang w:val="en-US"/>
              </w:rPr>
            </w:pPr>
            <w:r>
              <w:rPr>
                <w:rFonts w:cs="Arial"/>
                <w:color w:val="000000"/>
                <w:szCs w:val="18"/>
              </w:rPr>
              <w:t>2</w:t>
            </w:r>
            <w:r w:rsidR="00FF384B">
              <w:rPr>
                <w:rFonts w:cs="Arial"/>
                <w:color w:val="000000"/>
                <w:szCs w:val="18"/>
              </w:rPr>
              <w:t>16.</w:t>
            </w:r>
            <w:r>
              <w:rPr>
                <w:rFonts w:cs="Arial"/>
                <w:color w:val="000000"/>
                <w:szCs w:val="18"/>
              </w:rPr>
              <w:t>24</w:t>
            </w:r>
          </w:p>
        </w:tc>
      </w:tr>
      <w:tr w:rsidR="00251421" w:rsidRPr="00B57B36" w14:paraId="5E3640B7" w14:textId="77777777" w:rsidTr="001C7C2D">
        <w:trPr>
          <w:trHeight w:val="20"/>
        </w:trPr>
        <w:tc>
          <w:tcPr>
            <w:tcW w:w="1504" w:type="dxa"/>
            <w:shd w:val="clear" w:color="auto" w:fill="FFFFFF"/>
          </w:tcPr>
          <w:p w14:paraId="27E73622" w14:textId="16127B2C" w:rsidR="00251421" w:rsidRPr="00B57B36" w:rsidRDefault="002837BC" w:rsidP="001C7C2D">
            <w:pPr>
              <w:pStyle w:val="CETBodytext"/>
              <w:spacing w:line="240" w:lineRule="auto"/>
              <w:rPr>
                <w:lang w:val="en-GB"/>
              </w:rPr>
            </w:pPr>
            <w:r>
              <w:rPr>
                <w:lang w:val="en-GB"/>
              </w:rPr>
              <w:t>PS/BW</w:t>
            </w:r>
            <w:r w:rsidR="00251421">
              <w:rPr>
                <w:lang w:val="en-GB"/>
              </w:rPr>
              <w:t>-1</w:t>
            </w:r>
          </w:p>
        </w:tc>
        <w:tc>
          <w:tcPr>
            <w:tcW w:w="1503" w:type="dxa"/>
            <w:shd w:val="clear" w:color="auto" w:fill="FFFFFF"/>
          </w:tcPr>
          <w:p w14:paraId="6C148E9D" w14:textId="3D13F8C7" w:rsidR="00251421" w:rsidRPr="00072587" w:rsidRDefault="00FF384B" w:rsidP="001C7C2D">
            <w:pPr>
              <w:tabs>
                <w:tab w:val="clear" w:pos="7100"/>
              </w:tabs>
              <w:spacing w:line="240" w:lineRule="auto"/>
              <w:rPr>
                <w:rFonts w:cs="Arial"/>
                <w:color w:val="000000"/>
                <w:szCs w:val="18"/>
                <w:lang w:val="en-US"/>
              </w:rPr>
            </w:pPr>
            <w:r>
              <w:rPr>
                <w:rFonts w:cs="Arial"/>
                <w:color w:val="000000"/>
                <w:szCs w:val="18"/>
              </w:rPr>
              <w:t>197.</w:t>
            </w:r>
            <w:r w:rsidR="00251421">
              <w:rPr>
                <w:rFonts w:cs="Arial"/>
                <w:color w:val="000000"/>
                <w:szCs w:val="18"/>
              </w:rPr>
              <w:t>83</w:t>
            </w:r>
          </w:p>
        </w:tc>
        <w:tc>
          <w:tcPr>
            <w:tcW w:w="1503" w:type="dxa"/>
            <w:shd w:val="clear" w:color="auto" w:fill="FFFFFF"/>
          </w:tcPr>
          <w:p w14:paraId="6BB01C30" w14:textId="2E7E9DFA" w:rsidR="00251421" w:rsidRPr="00072587" w:rsidRDefault="00FF384B" w:rsidP="001C7C2D">
            <w:pPr>
              <w:tabs>
                <w:tab w:val="clear" w:pos="7100"/>
              </w:tabs>
              <w:spacing w:line="240" w:lineRule="auto"/>
              <w:rPr>
                <w:rFonts w:cs="Arial"/>
                <w:color w:val="000000"/>
                <w:szCs w:val="18"/>
                <w:lang w:val="en-US"/>
              </w:rPr>
            </w:pPr>
            <w:r>
              <w:rPr>
                <w:rFonts w:cs="Arial"/>
                <w:color w:val="000000"/>
                <w:szCs w:val="18"/>
              </w:rPr>
              <w:t>186.</w:t>
            </w:r>
            <w:r w:rsidR="00251421">
              <w:rPr>
                <w:rFonts w:cs="Arial"/>
                <w:color w:val="000000"/>
                <w:szCs w:val="18"/>
              </w:rPr>
              <w:t>91</w:t>
            </w:r>
          </w:p>
        </w:tc>
      </w:tr>
      <w:tr w:rsidR="00251421" w:rsidRPr="00B57B36" w14:paraId="55AB515C" w14:textId="77777777" w:rsidTr="001C7C2D">
        <w:trPr>
          <w:trHeight w:val="20"/>
        </w:trPr>
        <w:tc>
          <w:tcPr>
            <w:tcW w:w="1504" w:type="dxa"/>
            <w:shd w:val="clear" w:color="auto" w:fill="FFFFFF"/>
          </w:tcPr>
          <w:p w14:paraId="625DA03E" w14:textId="0CCC4436" w:rsidR="00251421" w:rsidRPr="00B57B36" w:rsidRDefault="002837BC" w:rsidP="001C7C2D">
            <w:pPr>
              <w:pStyle w:val="CETBodytext"/>
              <w:spacing w:line="240" w:lineRule="auto"/>
              <w:rPr>
                <w:lang w:val="en-GB"/>
              </w:rPr>
            </w:pPr>
            <w:r>
              <w:rPr>
                <w:lang w:val="en-GB"/>
              </w:rPr>
              <w:t>HPS/PW</w:t>
            </w:r>
            <w:r w:rsidR="00251421">
              <w:rPr>
                <w:lang w:val="en-GB"/>
              </w:rPr>
              <w:t>-1</w:t>
            </w:r>
          </w:p>
        </w:tc>
        <w:tc>
          <w:tcPr>
            <w:tcW w:w="1503" w:type="dxa"/>
            <w:shd w:val="clear" w:color="auto" w:fill="FFFFFF"/>
          </w:tcPr>
          <w:p w14:paraId="3CD95CB7" w14:textId="6BCE9FB7" w:rsidR="00251421" w:rsidRPr="00072587" w:rsidRDefault="00251421" w:rsidP="001C7C2D">
            <w:pPr>
              <w:tabs>
                <w:tab w:val="clear" w:pos="7100"/>
              </w:tabs>
              <w:spacing w:line="240" w:lineRule="auto"/>
              <w:rPr>
                <w:rFonts w:cs="Arial"/>
                <w:color w:val="000000"/>
                <w:szCs w:val="18"/>
                <w:lang w:val="en-US"/>
              </w:rPr>
            </w:pPr>
            <w:r>
              <w:rPr>
                <w:rFonts w:cs="Arial"/>
                <w:color w:val="000000"/>
                <w:szCs w:val="18"/>
              </w:rPr>
              <w:t>292</w:t>
            </w:r>
            <w:r w:rsidR="00FF384B">
              <w:rPr>
                <w:rFonts w:cs="Arial"/>
                <w:color w:val="000000"/>
                <w:szCs w:val="18"/>
              </w:rPr>
              <w:t>.</w:t>
            </w:r>
            <w:r>
              <w:rPr>
                <w:rFonts w:cs="Arial"/>
                <w:color w:val="000000"/>
                <w:szCs w:val="18"/>
              </w:rPr>
              <w:t>42</w:t>
            </w:r>
          </w:p>
        </w:tc>
        <w:tc>
          <w:tcPr>
            <w:tcW w:w="1503" w:type="dxa"/>
            <w:shd w:val="clear" w:color="auto" w:fill="FFFFFF"/>
          </w:tcPr>
          <w:p w14:paraId="79C6AB6C" w14:textId="10B24E59" w:rsidR="00251421" w:rsidRPr="00072587" w:rsidRDefault="00251421" w:rsidP="001C7C2D">
            <w:pPr>
              <w:tabs>
                <w:tab w:val="clear" w:pos="7100"/>
              </w:tabs>
              <w:spacing w:line="240" w:lineRule="auto"/>
              <w:rPr>
                <w:rFonts w:cs="Arial"/>
                <w:color w:val="000000"/>
                <w:szCs w:val="18"/>
                <w:lang w:val="en-US"/>
              </w:rPr>
            </w:pPr>
            <w:r>
              <w:rPr>
                <w:rFonts w:cs="Arial"/>
                <w:color w:val="000000"/>
                <w:szCs w:val="18"/>
              </w:rPr>
              <w:t>2</w:t>
            </w:r>
            <w:r w:rsidR="00FF384B">
              <w:rPr>
                <w:rFonts w:cs="Arial"/>
                <w:color w:val="000000"/>
                <w:szCs w:val="18"/>
              </w:rPr>
              <w:t>05.</w:t>
            </w:r>
            <w:r>
              <w:rPr>
                <w:rFonts w:cs="Arial"/>
                <w:color w:val="000000"/>
                <w:szCs w:val="18"/>
              </w:rPr>
              <w:t>85</w:t>
            </w:r>
          </w:p>
        </w:tc>
      </w:tr>
      <w:tr w:rsidR="00251421" w:rsidRPr="00B57B36" w14:paraId="0CD7D7EF" w14:textId="77777777" w:rsidTr="001C7C2D">
        <w:trPr>
          <w:trHeight w:val="20"/>
        </w:trPr>
        <w:tc>
          <w:tcPr>
            <w:tcW w:w="1504" w:type="dxa"/>
            <w:shd w:val="clear" w:color="auto" w:fill="FFFFFF"/>
          </w:tcPr>
          <w:p w14:paraId="285D0B78" w14:textId="388B739C" w:rsidR="00251421" w:rsidRPr="00B57B36" w:rsidRDefault="002837BC" w:rsidP="001C7C2D">
            <w:pPr>
              <w:pStyle w:val="CETBodytext"/>
              <w:spacing w:line="240" w:lineRule="auto"/>
              <w:ind w:right="-1"/>
              <w:rPr>
                <w:rFonts w:cs="Arial"/>
                <w:szCs w:val="18"/>
                <w:lang w:val="en-GB"/>
              </w:rPr>
            </w:pPr>
            <w:r>
              <w:rPr>
                <w:rFonts w:cs="Arial"/>
                <w:szCs w:val="18"/>
                <w:lang w:val="en-GB"/>
              </w:rPr>
              <w:t>PS/PW</w:t>
            </w:r>
            <w:r w:rsidR="00251421">
              <w:rPr>
                <w:rFonts w:cs="Arial"/>
                <w:szCs w:val="18"/>
                <w:lang w:val="en-GB"/>
              </w:rPr>
              <w:t>-1</w:t>
            </w:r>
          </w:p>
        </w:tc>
        <w:tc>
          <w:tcPr>
            <w:tcW w:w="1503" w:type="dxa"/>
            <w:shd w:val="clear" w:color="auto" w:fill="FFFFFF"/>
          </w:tcPr>
          <w:p w14:paraId="148DB44B" w14:textId="05C445DD" w:rsidR="00251421" w:rsidRPr="00072587" w:rsidRDefault="00FF384B" w:rsidP="001C7C2D">
            <w:pPr>
              <w:tabs>
                <w:tab w:val="clear" w:pos="7100"/>
              </w:tabs>
              <w:spacing w:line="240" w:lineRule="auto"/>
              <w:rPr>
                <w:rFonts w:cs="Arial"/>
                <w:color w:val="000000"/>
                <w:szCs w:val="18"/>
                <w:lang w:val="en-US"/>
              </w:rPr>
            </w:pPr>
            <w:r>
              <w:rPr>
                <w:rFonts w:cs="Arial"/>
                <w:color w:val="000000"/>
                <w:szCs w:val="18"/>
              </w:rPr>
              <w:t>282.</w:t>
            </w:r>
            <w:r w:rsidR="00251421">
              <w:rPr>
                <w:rFonts w:cs="Arial"/>
                <w:color w:val="000000"/>
                <w:szCs w:val="18"/>
              </w:rPr>
              <w:t>13</w:t>
            </w:r>
          </w:p>
        </w:tc>
        <w:tc>
          <w:tcPr>
            <w:tcW w:w="1503" w:type="dxa"/>
            <w:shd w:val="clear" w:color="auto" w:fill="FFFFFF"/>
          </w:tcPr>
          <w:p w14:paraId="1B4A4F7B" w14:textId="277B1E11" w:rsidR="00251421" w:rsidRPr="00072587" w:rsidRDefault="00FF384B" w:rsidP="001C7C2D">
            <w:pPr>
              <w:tabs>
                <w:tab w:val="clear" w:pos="7100"/>
              </w:tabs>
              <w:spacing w:line="240" w:lineRule="auto"/>
              <w:rPr>
                <w:rFonts w:cs="Arial"/>
                <w:color w:val="000000"/>
                <w:szCs w:val="18"/>
                <w:lang w:val="en-US"/>
              </w:rPr>
            </w:pPr>
            <w:r>
              <w:rPr>
                <w:rFonts w:cs="Arial"/>
                <w:color w:val="000000"/>
                <w:szCs w:val="18"/>
              </w:rPr>
              <w:t>201.</w:t>
            </w:r>
            <w:r w:rsidR="00251421">
              <w:rPr>
                <w:rFonts w:cs="Arial"/>
                <w:color w:val="000000"/>
                <w:szCs w:val="18"/>
              </w:rPr>
              <w:t>39</w:t>
            </w:r>
          </w:p>
        </w:tc>
      </w:tr>
    </w:tbl>
    <w:p w14:paraId="52E7128A" w14:textId="6582B185" w:rsidR="00251421" w:rsidRDefault="00251421" w:rsidP="00251421">
      <w:pPr>
        <w:pStyle w:val="CETBodytext"/>
        <w:rPr>
          <w:lang w:val="en-GB"/>
        </w:rPr>
      </w:pPr>
    </w:p>
    <w:p w14:paraId="25EC136B" w14:textId="7C06F735" w:rsidR="001D48CC" w:rsidRDefault="001D48CC" w:rsidP="001D48CC">
      <w:pPr>
        <w:pStyle w:val="CETHeading1"/>
      </w:pPr>
      <w:r>
        <w:t xml:space="preserve">Conclusion </w:t>
      </w:r>
    </w:p>
    <w:p w14:paraId="1523989A" w14:textId="536E7371" w:rsidR="008718DD" w:rsidRDefault="00CE382B" w:rsidP="008718DD">
      <w:pPr>
        <w:pStyle w:val="CETBodytext"/>
        <w:rPr>
          <w:lang w:val="en-GB"/>
        </w:rPr>
      </w:pPr>
      <w:r w:rsidRPr="00CE382B">
        <w:rPr>
          <w:lang w:val="en-GB"/>
        </w:rPr>
        <w:t>The study characterized fou</w:t>
      </w:r>
      <w:r w:rsidR="009963E4">
        <w:rPr>
          <w:lang w:val="en-GB"/>
        </w:rPr>
        <w:t>r types of eutectic blends of SP/BW, HSP/BW, SP/</w:t>
      </w:r>
      <w:r w:rsidR="00E77A56">
        <w:rPr>
          <w:lang w:val="en-GB"/>
        </w:rPr>
        <w:t>PW,</w:t>
      </w:r>
      <w:r w:rsidR="009963E4">
        <w:rPr>
          <w:lang w:val="en-GB"/>
        </w:rPr>
        <w:t xml:space="preserve"> and </w:t>
      </w:r>
      <w:r w:rsidRPr="00CE382B">
        <w:rPr>
          <w:lang w:val="en-GB"/>
        </w:rPr>
        <w:t>H</w:t>
      </w:r>
      <w:r w:rsidR="009963E4">
        <w:rPr>
          <w:lang w:val="en-GB"/>
        </w:rPr>
        <w:t>SP/PW</w:t>
      </w:r>
      <w:r w:rsidRPr="00CE382B">
        <w:rPr>
          <w:lang w:val="en-GB"/>
        </w:rPr>
        <w:t xml:space="preserve"> as potential PCMs for thermal energy storage applications. It can be concluded from the DSC analysis that the eutectic blends are promising PCMs for thermal storage.</w:t>
      </w:r>
    </w:p>
    <w:p w14:paraId="529CA461" w14:textId="7BC3FA30" w:rsidR="00CE382B" w:rsidRDefault="00CE382B" w:rsidP="008718DD">
      <w:pPr>
        <w:pStyle w:val="CETBodytext"/>
        <w:rPr>
          <w:lang w:val="en-GB"/>
        </w:rPr>
      </w:pPr>
      <w:r w:rsidRPr="00CE382B">
        <w:rPr>
          <w:lang w:val="en-GB"/>
        </w:rPr>
        <w:t>The thermogravimetric analysis showed that the four types of eutectic mixtures performed presented thermal stability, since there was no degradation before the maximum working temperature of 373.15°C.</w:t>
      </w:r>
    </w:p>
    <w:p w14:paraId="0C90757B" w14:textId="3AC3A333" w:rsidR="00CE382B" w:rsidRDefault="00CE382B" w:rsidP="008718DD">
      <w:pPr>
        <w:pStyle w:val="CETBodytext"/>
        <w:rPr>
          <w:lang w:val="en-GB"/>
        </w:rPr>
      </w:pPr>
      <w:r w:rsidRPr="00CE382B">
        <w:rPr>
          <w:lang w:val="en-GB"/>
        </w:rPr>
        <w:t>The binary mixture consi</w:t>
      </w:r>
      <w:r w:rsidR="003D52F1">
        <w:rPr>
          <w:lang w:val="en-GB"/>
        </w:rPr>
        <w:t>sting of a molar ratio of 20% HSP and 80% BW</w:t>
      </w:r>
      <w:r w:rsidRPr="00CE382B">
        <w:rPr>
          <w:lang w:val="en-GB"/>
        </w:rPr>
        <w:t xml:space="preserve"> was found to be a suitable PCM for thermal energy storage, particularly due to: 1) Suitable melting temperatures that are within the temperature range (T</w:t>
      </w:r>
      <w:r w:rsidRPr="00CE382B">
        <w:rPr>
          <w:vertAlign w:val="subscript"/>
          <w:lang w:val="en-GB"/>
        </w:rPr>
        <w:t>o</w:t>
      </w:r>
      <w:r w:rsidRPr="00CE382B">
        <w:rPr>
          <w:lang w:val="en-GB"/>
        </w:rPr>
        <w:t xml:space="preserve">= 315.3 K, </w:t>
      </w:r>
      <w:proofErr w:type="spellStart"/>
      <w:r w:rsidRPr="00CE382B">
        <w:rPr>
          <w:lang w:val="en-GB"/>
        </w:rPr>
        <w:t>T</w:t>
      </w:r>
      <w:r w:rsidRPr="00CE382B">
        <w:rPr>
          <w:vertAlign w:val="subscript"/>
          <w:lang w:val="en-GB"/>
        </w:rPr>
        <w:t>f</w:t>
      </w:r>
      <w:proofErr w:type="spellEnd"/>
      <w:r w:rsidRPr="00CE382B">
        <w:rPr>
          <w:lang w:val="en-GB"/>
        </w:rPr>
        <w:t xml:space="preserve"> = 340.19 K). 2) The individual PCMs used to </w:t>
      </w:r>
      <w:r w:rsidR="003D52F1">
        <w:rPr>
          <w:lang w:val="en-GB"/>
        </w:rPr>
        <w:t>prepare the eutectic mixture (HSP and BW</w:t>
      </w:r>
      <w:r w:rsidRPr="00CE382B">
        <w:rPr>
          <w:lang w:val="en-GB"/>
        </w:rPr>
        <w:t xml:space="preserve">) are PCMs that are commercially available for thermal energy storage applications. Due to this, it was determined that, a total replacement using </w:t>
      </w:r>
      <w:r w:rsidR="008974CF" w:rsidRPr="00CE382B">
        <w:rPr>
          <w:lang w:val="en-GB"/>
        </w:rPr>
        <w:t>agro-industrial</w:t>
      </w:r>
      <w:r w:rsidRPr="00CE382B">
        <w:rPr>
          <w:lang w:val="en-GB"/>
        </w:rPr>
        <w:t xml:space="preserve"> materials by eutectic blends, reports promising results for their use as PCMs. However, the characteristics obtained in the </w:t>
      </w:r>
      <w:r w:rsidR="00DC41B6">
        <w:rPr>
          <w:lang w:val="en-GB"/>
        </w:rPr>
        <w:t>HSP/PW</w:t>
      </w:r>
      <w:r w:rsidRPr="00CE382B">
        <w:rPr>
          <w:lang w:val="en-GB"/>
        </w:rPr>
        <w:t>-1 mixture show that using a partial substitution of kerosene also provides appropriate results for its use as PCM.</w:t>
      </w:r>
    </w:p>
    <w:p w14:paraId="7C007314" w14:textId="0E1BC12E" w:rsidR="00CE382B" w:rsidRDefault="00CE382B" w:rsidP="008718DD">
      <w:pPr>
        <w:pStyle w:val="CETBodytext"/>
        <w:rPr>
          <w:lang w:val="en-GB"/>
        </w:rPr>
      </w:pPr>
      <w:r w:rsidRPr="00CE382B">
        <w:rPr>
          <w:lang w:val="en-GB"/>
        </w:rPr>
        <w:t>Finally, the effective utilization of these eutectic mixtures depends on the development of a modern, efficient and economical thermal energy storage system, designed according to the appropriate climatic conditions and making this project environmentally viable.</w:t>
      </w:r>
    </w:p>
    <w:p w14:paraId="6F717C12" w14:textId="77777777" w:rsidR="00E07692" w:rsidRDefault="00E07692" w:rsidP="008718DD">
      <w:pPr>
        <w:pStyle w:val="CETBodytext"/>
        <w:rPr>
          <w:lang w:val="en-GB"/>
        </w:rPr>
      </w:pPr>
    </w:p>
    <w:p w14:paraId="0E48EF4B" w14:textId="2127B7AC" w:rsidR="00E07692" w:rsidRDefault="00E07692" w:rsidP="008718DD">
      <w:pPr>
        <w:pStyle w:val="CETBodytext"/>
        <w:rPr>
          <w:b/>
          <w:bCs/>
          <w:lang w:val="en-GB"/>
        </w:rPr>
      </w:pPr>
      <w:r w:rsidRPr="00E07692">
        <w:rPr>
          <w:b/>
          <w:bCs/>
          <w:lang w:val="en-GB"/>
        </w:rPr>
        <w:t>Acknowledgments</w:t>
      </w:r>
    </w:p>
    <w:p w14:paraId="0BBE134F" w14:textId="15F77EAA" w:rsidR="002556BF" w:rsidRDefault="002556BF" w:rsidP="008718DD">
      <w:pPr>
        <w:pStyle w:val="CETBodytext"/>
        <w:rPr>
          <w:b/>
          <w:bCs/>
          <w:lang w:val="en-GB"/>
        </w:rPr>
      </w:pPr>
    </w:p>
    <w:p w14:paraId="1648A8FA" w14:textId="10880633" w:rsidR="00E07692" w:rsidRDefault="00BD6372" w:rsidP="008718DD">
      <w:pPr>
        <w:pStyle w:val="CETBodytext"/>
        <w:rPr>
          <w:lang w:val="en-GB"/>
        </w:rPr>
      </w:pPr>
      <w:r w:rsidRPr="00BD6372">
        <w:rPr>
          <w:lang w:val="en-GB"/>
        </w:rPr>
        <w:t>The authors would like to thank The Royal Society for funding this research through the Enabling Harvesting of Solar Energy for Remote Applications in the Andes Region project (ICA\R1\19120). Special thanks to the School of Chemical Engineering of the Universidad Industrial de Santander for providing access to the materials and equipment necessary for the characterization of the samples.</w:t>
      </w:r>
    </w:p>
    <w:sdt>
      <w:sdtPr>
        <w:rPr>
          <w:b w:val="0"/>
          <w:sz w:val="18"/>
        </w:rPr>
        <w:id w:val="-508289099"/>
        <w:docPartObj>
          <w:docPartGallery w:val="Bibliographies"/>
          <w:docPartUnique/>
        </w:docPartObj>
      </w:sdtPr>
      <w:sdtEndPr/>
      <w:sdtContent>
        <w:p w14:paraId="02F51AA4" w14:textId="66E47A1C" w:rsidR="00106126" w:rsidRPr="008974CF" w:rsidRDefault="00106126">
          <w:pPr>
            <w:pStyle w:val="Ttulo1"/>
          </w:pPr>
          <w:r w:rsidRPr="008974CF">
            <w:t xml:space="preserve">References </w:t>
          </w:r>
        </w:p>
        <w:sdt>
          <w:sdtPr>
            <w:id w:val="-573587230"/>
            <w:bibliography/>
          </w:sdtPr>
          <w:sdtEndPr/>
          <w:sdtContent>
            <w:p w14:paraId="145B5E85" w14:textId="77777777" w:rsidR="00D82FD6" w:rsidRPr="001C7C2D" w:rsidRDefault="00106126" w:rsidP="00D82FD6">
              <w:pPr>
                <w:pStyle w:val="Bibliografa"/>
                <w:rPr>
                  <w:noProof/>
                  <w:sz w:val="24"/>
                  <w:szCs w:val="24"/>
                  <w:lang w:val="es-CO"/>
                </w:rPr>
              </w:pPr>
              <w:r w:rsidRPr="00D82FD6">
                <w:fldChar w:fldCharType="begin"/>
              </w:r>
              <w:r w:rsidRPr="00D82FD6">
                <w:rPr>
                  <w:lang w:val="es-CO"/>
                </w:rPr>
                <w:instrText>BIBLIOGRAPHY</w:instrText>
              </w:r>
              <w:r w:rsidRPr="00D82FD6">
                <w:fldChar w:fldCharType="separate"/>
              </w:r>
              <w:r w:rsidR="00D82FD6" w:rsidRPr="001C7C2D">
                <w:rPr>
                  <w:noProof/>
                  <w:lang w:val="es-CO"/>
                </w:rPr>
                <w:t xml:space="preserve">Agencia Valenciana de la Energía . (2008). </w:t>
              </w:r>
              <w:r w:rsidR="00D82FD6" w:rsidRPr="001C7C2D">
                <w:rPr>
                  <w:iCs/>
                  <w:noProof/>
                  <w:lang w:val="es-CO"/>
                </w:rPr>
                <w:t>Guía práctica de energía solar térmica .</w:t>
              </w:r>
              <w:r w:rsidR="00D82FD6" w:rsidRPr="001C7C2D">
                <w:rPr>
                  <w:noProof/>
                  <w:lang w:val="es-CO"/>
                </w:rPr>
                <w:t xml:space="preserve"> Valencia .</w:t>
              </w:r>
            </w:p>
            <w:p w14:paraId="1045D8F5" w14:textId="77777777" w:rsidR="00D82FD6" w:rsidRPr="001C7C2D" w:rsidRDefault="00D82FD6" w:rsidP="00D82FD6">
              <w:pPr>
                <w:pStyle w:val="Bibliografa"/>
                <w:rPr>
                  <w:noProof/>
                  <w:lang w:val="es-CO"/>
                </w:rPr>
              </w:pPr>
              <w:r w:rsidRPr="001C7C2D">
                <w:rPr>
                  <w:noProof/>
                  <w:lang w:val="es-CO"/>
                </w:rPr>
                <w:t xml:space="preserve">Alonso , D., Baeza, A., Chinchilla, R., Gómez, C., Guillena , G., Marset , X., . . . Saavedra , B. (2018). Mezclas eutécticas como alternativa sostenible a los disolventes convencionales en Química Orgánica. </w:t>
              </w:r>
              <w:r w:rsidRPr="001C7C2D">
                <w:rPr>
                  <w:iCs/>
                  <w:noProof/>
                  <w:lang w:val="es-CO"/>
                </w:rPr>
                <w:t>Real Sociedad Española de Química</w:t>
              </w:r>
              <w:r w:rsidRPr="001C7C2D">
                <w:rPr>
                  <w:noProof/>
                  <w:lang w:val="es-CO"/>
                </w:rPr>
                <w:t>, 79-87.</w:t>
              </w:r>
            </w:p>
            <w:p w14:paraId="62A0D64D" w14:textId="77777777" w:rsidR="00D82FD6" w:rsidRPr="00D82FD6" w:rsidRDefault="00D82FD6" w:rsidP="00D82FD6">
              <w:pPr>
                <w:pStyle w:val="Bibliografa"/>
                <w:rPr>
                  <w:noProof/>
                </w:rPr>
              </w:pPr>
              <w:r w:rsidRPr="001C7C2D">
                <w:rPr>
                  <w:noProof/>
                  <w:lang w:val="es-CO"/>
                </w:rPr>
                <w:t xml:space="preserve">Ansu, A., Sharma, R., &amp; Singh, P. (2021). </w:t>
              </w:r>
              <w:r w:rsidRPr="00D82FD6">
                <w:rPr>
                  <w:noProof/>
                </w:rPr>
                <w:t xml:space="preserve">Development and Testing of Binary Organic Eutectic Mixture for Thermal Energy Storage. </w:t>
              </w:r>
              <w:r w:rsidRPr="00D82FD6">
                <w:rPr>
                  <w:iCs/>
                  <w:noProof/>
                </w:rPr>
                <w:t>Lecture Notes in Mechanical Engineering</w:t>
              </w:r>
              <w:r w:rsidRPr="00D82FD6">
                <w:rPr>
                  <w:noProof/>
                </w:rPr>
                <w:t>, 787 - 794.</w:t>
              </w:r>
            </w:p>
            <w:p w14:paraId="4F4A3F5F" w14:textId="77777777" w:rsidR="00D82FD6" w:rsidRPr="00D82FD6" w:rsidRDefault="00D82FD6" w:rsidP="00D82FD6">
              <w:pPr>
                <w:pStyle w:val="Bibliografa"/>
                <w:rPr>
                  <w:noProof/>
                </w:rPr>
              </w:pPr>
              <w:r w:rsidRPr="00D82FD6">
                <w:rPr>
                  <w:noProof/>
                </w:rPr>
                <w:t xml:space="preserve">Chwieduk, D. (2016). Active solar space heating. </w:t>
              </w:r>
              <w:r w:rsidRPr="00D82FD6">
                <w:rPr>
                  <w:iCs/>
                  <w:noProof/>
                </w:rPr>
                <w:t>Advances in Solar Heating and Cooling</w:t>
              </w:r>
              <w:r w:rsidRPr="00D82FD6">
                <w:rPr>
                  <w:noProof/>
                </w:rPr>
                <w:t>, 151-202.</w:t>
              </w:r>
            </w:p>
            <w:p w14:paraId="6E6DF72D" w14:textId="77777777" w:rsidR="00D82FD6" w:rsidRPr="001C7C2D" w:rsidRDefault="00D82FD6" w:rsidP="00D82FD6">
              <w:pPr>
                <w:pStyle w:val="Bibliografa"/>
                <w:rPr>
                  <w:noProof/>
                  <w:lang w:val="es-CO"/>
                </w:rPr>
              </w:pPr>
              <w:r w:rsidRPr="001C7C2D">
                <w:rPr>
                  <w:noProof/>
                  <w:lang w:val="es-CO"/>
                </w:rPr>
                <w:t xml:space="preserve">Esteban Saiz, J. (1991). Análisis sobre el almacenamiento térmico en la edificación . </w:t>
              </w:r>
              <w:r w:rsidRPr="001C7C2D">
                <w:rPr>
                  <w:iCs/>
                  <w:noProof/>
                  <w:lang w:val="es-CO"/>
                </w:rPr>
                <w:t xml:space="preserve">Informes de la construcción </w:t>
              </w:r>
              <w:r w:rsidRPr="001C7C2D">
                <w:rPr>
                  <w:noProof/>
                  <w:lang w:val="es-CO"/>
                </w:rPr>
                <w:t>.</w:t>
              </w:r>
            </w:p>
            <w:p w14:paraId="0BB0671F" w14:textId="77777777" w:rsidR="00D82FD6" w:rsidRPr="00D82FD6" w:rsidRDefault="00D82FD6" w:rsidP="00D82FD6">
              <w:pPr>
                <w:pStyle w:val="Bibliografa"/>
                <w:rPr>
                  <w:noProof/>
                </w:rPr>
              </w:pPr>
              <w:r w:rsidRPr="001C7C2D">
                <w:rPr>
                  <w:noProof/>
                  <w:lang w:val="es-CO"/>
                </w:rPr>
                <w:t xml:space="preserve">Lizcano González, V., Viatcheslav V., K., &amp; Khamid , M. (2022). </w:t>
              </w:r>
              <w:r w:rsidRPr="00D82FD6">
                <w:rPr>
                  <w:noProof/>
                </w:rPr>
                <w:t xml:space="preserve">Production of Fatty Esters from Palm Oil By-Products for use Phase Change Materials. </w:t>
              </w:r>
              <w:r w:rsidRPr="00D82FD6">
                <w:rPr>
                  <w:iCs/>
                  <w:noProof/>
                </w:rPr>
                <w:t>Chemical Engineering Transactions</w:t>
              </w:r>
              <w:r w:rsidRPr="00D82FD6">
                <w:rPr>
                  <w:noProof/>
                </w:rPr>
                <w:t>.</w:t>
              </w:r>
            </w:p>
            <w:p w14:paraId="0970C7CA" w14:textId="77777777" w:rsidR="00D82FD6" w:rsidRPr="00D82FD6" w:rsidRDefault="00D82FD6" w:rsidP="00D82FD6">
              <w:pPr>
                <w:pStyle w:val="Bibliografa"/>
                <w:rPr>
                  <w:noProof/>
                </w:rPr>
              </w:pPr>
              <w:r w:rsidRPr="00D82FD6">
                <w:rPr>
                  <w:noProof/>
                </w:rPr>
                <w:t xml:space="preserve">Lui, Y., Zheng , J., Deng, Y., Wu, F., &amp; Wang, H. (2021). </w:t>
              </w:r>
              <w:r w:rsidRPr="00D82FD6">
                <w:rPr>
                  <w:iCs/>
                  <w:noProof/>
                </w:rPr>
                <w:t>Effect of functional modification of porous medium on phase change behavior and heat storage characteristics of form-stable composite phase change materials: A critical review.</w:t>
              </w:r>
              <w:r w:rsidRPr="00D82FD6">
                <w:rPr>
                  <w:noProof/>
                </w:rPr>
                <w:t xml:space="preserve"> Storage, Journal of Energy.</w:t>
              </w:r>
            </w:p>
            <w:p w14:paraId="46AD3459" w14:textId="77777777" w:rsidR="00D82FD6" w:rsidRPr="001C7C2D" w:rsidRDefault="00D82FD6" w:rsidP="00D82FD6">
              <w:pPr>
                <w:pStyle w:val="Bibliografa"/>
                <w:rPr>
                  <w:noProof/>
                  <w:lang w:val="es-CO"/>
                </w:rPr>
              </w:pPr>
              <w:r w:rsidRPr="00D82FD6">
                <w:rPr>
                  <w:noProof/>
                </w:rPr>
                <w:t xml:space="preserve">Ma, G., Zhang, Y., Jing, Y., Jia, Y., &amp; Sun, J. (2019). A novel low-temperature phase change material based on stearic acid and hexanamide eutectic mixture for thermal energy storage. </w:t>
              </w:r>
              <w:r w:rsidRPr="001C7C2D">
                <w:rPr>
                  <w:iCs/>
                  <w:noProof/>
                  <w:lang w:val="es-CO"/>
                </w:rPr>
                <w:t>Chemical Physics Letters</w:t>
              </w:r>
              <w:r w:rsidRPr="001C7C2D">
                <w:rPr>
                  <w:noProof/>
                  <w:lang w:val="es-CO"/>
                </w:rPr>
                <w:t>, 166 - 171.</w:t>
              </w:r>
            </w:p>
            <w:p w14:paraId="7DBE1B5C" w14:textId="77777777" w:rsidR="00D82FD6" w:rsidRPr="001C7C2D" w:rsidRDefault="00D82FD6" w:rsidP="00D82FD6">
              <w:pPr>
                <w:pStyle w:val="Bibliografa"/>
                <w:rPr>
                  <w:noProof/>
                  <w:lang w:val="es-CO"/>
                </w:rPr>
              </w:pPr>
              <w:r w:rsidRPr="001C7C2D">
                <w:rPr>
                  <w:noProof/>
                  <w:lang w:val="es-CO"/>
                </w:rPr>
                <w:t xml:space="preserve">Pasquevich, D. M. (2016). </w:t>
              </w:r>
              <w:r w:rsidRPr="001C7C2D">
                <w:rPr>
                  <w:iCs/>
                  <w:noProof/>
                  <w:lang w:val="es-CO"/>
                </w:rPr>
                <w:t>La creciente demanda mundial de energía frente a los riesgos ambientales .</w:t>
              </w:r>
              <w:r w:rsidRPr="001C7C2D">
                <w:rPr>
                  <w:noProof/>
                  <w:lang w:val="es-CO"/>
                </w:rPr>
                <w:t xml:space="preserve"> Buenos Aires: Asociación Argentina para el Progreso de las Ciencias .</w:t>
              </w:r>
            </w:p>
            <w:p w14:paraId="012CA13F" w14:textId="77777777" w:rsidR="00D82FD6" w:rsidRPr="00D82FD6" w:rsidRDefault="00D82FD6" w:rsidP="00D82FD6">
              <w:pPr>
                <w:pStyle w:val="Bibliografa"/>
                <w:rPr>
                  <w:noProof/>
                </w:rPr>
              </w:pPr>
              <w:r w:rsidRPr="00D82FD6">
                <w:rPr>
                  <w:noProof/>
                </w:rPr>
                <w:t xml:space="preserve">Sakhaei, S., &amp; Valipour, M. (2021). Thermal behavior of a flat plate solar collector with simultaneous use of helically heat collecting tubes and phase change materials. </w:t>
              </w:r>
              <w:r w:rsidRPr="00D82FD6">
                <w:rPr>
                  <w:iCs/>
                  <w:noProof/>
                </w:rPr>
                <w:t>Sustainable Energy Technologies and Assessments</w:t>
              </w:r>
              <w:r w:rsidRPr="00D82FD6">
                <w:rPr>
                  <w:noProof/>
                </w:rPr>
                <w:t>.</w:t>
              </w:r>
            </w:p>
            <w:p w14:paraId="28329513" w14:textId="77777777" w:rsidR="00D82FD6" w:rsidRPr="00D82FD6" w:rsidRDefault="00D82FD6" w:rsidP="00D82FD6">
              <w:pPr>
                <w:pStyle w:val="Bibliografa"/>
                <w:rPr>
                  <w:noProof/>
                </w:rPr>
              </w:pPr>
              <w:r w:rsidRPr="00D82FD6">
                <w:rPr>
                  <w:noProof/>
                </w:rPr>
                <w:t xml:space="preserve">Xiao , Q., Cao, J., Zhang, Y., Li Li, Xu, T., &amp; Yuan , W. (2020). The application of solar-to-thermal conversion phase change material in novel solar water heating system. </w:t>
              </w:r>
              <w:r w:rsidRPr="00D82FD6">
                <w:rPr>
                  <w:iCs/>
                  <w:noProof/>
                </w:rPr>
                <w:t>Solar Energy</w:t>
              </w:r>
              <w:r w:rsidRPr="00D82FD6">
                <w:rPr>
                  <w:noProof/>
                </w:rPr>
                <w:t>, 484 - 490.</w:t>
              </w:r>
            </w:p>
            <w:p w14:paraId="45250F85" w14:textId="34316B3C" w:rsidR="008718DD" w:rsidRPr="00D82FD6" w:rsidRDefault="00106126" w:rsidP="00D82FD6">
              <w:r w:rsidRPr="00D82FD6">
                <w:rPr>
                  <w:b/>
                  <w:bCs/>
                </w:rPr>
                <w:fldChar w:fldCharType="end"/>
              </w:r>
            </w:p>
          </w:sdtContent>
        </w:sdt>
      </w:sdtContent>
    </w:sdt>
    <w:sectPr w:rsidR="008718DD" w:rsidRPr="00D82FD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FC144" w14:textId="77777777" w:rsidR="005B7A73" w:rsidRDefault="005B7A73" w:rsidP="004F5E36">
      <w:r>
        <w:separator/>
      </w:r>
    </w:p>
  </w:endnote>
  <w:endnote w:type="continuationSeparator" w:id="0">
    <w:p w14:paraId="7068BB45" w14:textId="77777777" w:rsidR="005B7A73" w:rsidRDefault="005B7A73" w:rsidP="004F5E36">
      <w:r>
        <w:continuationSeparator/>
      </w:r>
    </w:p>
  </w:endnote>
  <w:endnote w:type="continuationNotice" w:id="1">
    <w:p w14:paraId="00221522" w14:textId="77777777" w:rsidR="005B7A73" w:rsidRDefault="005B7A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AD771" w14:textId="77777777" w:rsidR="005B7A73" w:rsidRDefault="005B7A73" w:rsidP="004F5E36">
      <w:r>
        <w:separator/>
      </w:r>
    </w:p>
  </w:footnote>
  <w:footnote w:type="continuationSeparator" w:id="0">
    <w:p w14:paraId="640F4B39" w14:textId="77777777" w:rsidR="005B7A73" w:rsidRDefault="005B7A73" w:rsidP="004F5E36">
      <w:r>
        <w:continuationSeparator/>
      </w:r>
    </w:p>
  </w:footnote>
  <w:footnote w:type="continuationNotice" w:id="1">
    <w:p w14:paraId="71E2F834" w14:textId="77777777" w:rsidR="005B7A73" w:rsidRDefault="005B7A7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00C3"/>
    <w:rsid w:val="00026CA6"/>
    <w:rsid w:val="0003148D"/>
    <w:rsid w:val="00031EEC"/>
    <w:rsid w:val="0003555E"/>
    <w:rsid w:val="00040578"/>
    <w:rsid w:val="00041BB9"/>
    <w:rsid w:val="0004347E"/>
    <w:rsid w:val="00051566"/>
    <w:rsid w:val="000562A9"/>
    <w:rsid w:val="00062A9A"/>
    <w:rsid w:val="00065058"/>
    <w:rsid w:val="00086C39"/>
    <w:rsid w:val="00091A3E"/>
    <w:rsid w:val="0009318E"/>
    <w:rsid w:val="000A03B2"/>
    <w:rsid w:val="000B22E9"/>
    <w:rsid w:val="000D0268"/>
    <w:rsid w:val="000D34BE"/>
    <w:rsid w:val="000E102F"/>
    <w:rsid w:val="000E36F1"/>
    <w:rsid w:val="000E3A73"/>
    <w:rsid w:val="000E414A"/>
    <w:rsid w:val="000E6AA5"/>
    <w:rsid w:val="000F093C"/>
    <w:rsid w:val="000F787B"/>
    <w:rsid w:val="0010180B"/>
    <w:rsid w:val="00106126"/>
    <w:rsid w:val="0010658F"/>
    <w:rsid w:val="0012091F"/>
    <w:rsid w:val="00126BC2"/>
    <w:rsid w:val="001308B6"/>
    <w:rsid w:val="0013121F"/>
    <w:rsid w:val="00131FE6"/>
    <w:rsid w:val="0013263F"/>
    <w:rsid w:val="001331DF"/>
    <w:rsid w:val="00134DE4"/>
    <w:rsid w:val="0014034D"/>
    <w:rsid w:val="00144D16"/>
    <w:rsid w:val="00150E59"/>
    <w:rsid w:val="00152DE3"/>
    <w:rsid w:val="00155DC1"/>
    <w:rsid w:val="00164CF9"/>
    <w:rsid w:val="001667A6"/>
    <w:rsid w:val="00184AD6"/>
    <w:rsid w:val="0019028D"/>
    <w:rsid w:val="001A4AF7"/>
    <w:rsid w:val="001B0349"/>
    <w:rsid w:val="001B1E93"/>
    <w:rsid w:val="001B65C1"/>
    <w:rsid w:val="001C3636"/>
    <w:rsid w:val="001C684B"/>
    <w:rsid w:val="001C7C2D"/>
    <w:rsid w:val="001D03A1"/>
    <w:rsid w:val="001D0CFB"/>
    <w:rsid w:val="001D21AF"/>
    <w:rsid w:val="001D48CC"/>
    <w:rsid w:val="001D53FC"/>
    <w:rsid w:val="001F3BCD"/>
    <w:rsid w:val="001F42A5"/>
    <w:rsid w:val="001F7B9D"/>
    <w:rsid w:val="00201C93"/>
    <w:rsid w:val="002224B4"/>
    <w:rsid w:val="002447EF"/>
    <w:rsid w:val="00251421"/>
    <w:rsid w:val="00251550"/>
    <w:rsid w:val="002556BF"/>
    <w:rsid w:val="00263B05"/>
    <w:rsid w:val="0027221A"/>
    <w:rsid w:val="00273BDB"/>
    <w:rsid w:val="00275B61"/>
    <w:rsid w:val="00276B87"/>
    <w:rsid w:val="00280C4D"/>
    <w:rsid w:val="00280FAF"/>
    <w:rsid w:val="00282656"/>
    <w:rsid w:val="002837BC"/>
    <w:rsid w:val="002964B7"/>
    <w:rsid w:val="00296B83"/>
    <w:rsid w:val="002B4015"/>
    <w:rsid w:val="002B78CE"/>
    <w:rsid w:val="002C2FB6"/>
    <w:rsid w:val="002C47D6"/>
    <w:rsid w:val="002C6C09"/>
    <w:rsid w:val="002D1224"/>
    <w:rsid w:val="002E3548"/>
    <w:rsid w:val="002E5FA7"/>
    <w:rsid w:val="002F3309"/>
    <w:rsid w:val="003008CE"/>
    <w:rsid w:val="003009B7"/>
    <w:rsid w:val="00300E56"/>
    <w:rsid w:val="0030152C"/>
    <w:rsid w:val="0030469C"/>
    <w:rsid w:val="00306432"/>
    <w:rsid w:val="00312B71"/>
    <w:rsid w:val="00321CA6"/>
    <w:rsid w:val="00323763"/>
    <w:rsid w:val="00323C5F"/>
    <w:rsid w:val="003250C3"/>
    <w:rsid w:val="00334C09"/>
    <w:rsid w:val="00347A06"/>
    <w:rsid w:val="0036198E"/>
    <w:rsid w:val="00362BA8"/>
    <w:rsid w:val="003640BC"/>
    <w:rsid w:val="00364307"/>
    <w:rsid w:val="003723D4"/>
    <w:rsid w:val="00374412"/>
    <w:rsid w:val="00381905"/>
    <w:rsid w:val="00384CC8"/>
    <w:rsid w:val="00385080"/>
    <w:rsid w:val="00386C42"/>
    <w:rsid w:val="003871FD"/>
    <w:rsid w:val="003872AE"/>
    <w:rsid w:val="003A1E30"/>
    <w:rsid w:val="003A2829"/>
    <w:rsid w:val="003A7D1C"/>
    <w:rsid w:val="003B1EBB"/>
    <w:rsid w:val="003B304B"/>
    <w:rsid w:val="003B3146"/>
    <w:rsid w:val="003B720D"/>
    <w:rsid w:val="003D04C0"/>
    <w:rsid w:val="003D52F1"/>
    <w:rsid w:val="003D6E71"/>
    <w:rsid w:val="003F004B"/>
    <w:rsid w:val="003F015E"/>
    <w:rsid w:val="003F58E8"/>
    <w:rsid w:val="00400414"/>
    <w:rsid w:val="0041446B"/>
    <w:rsid w:val="004229EC"/>
    <w:rsid w:val="0043148F"/>
    <w:rsid w:val="0044071E"/>
    <w:rsid w:val="0044329C"/>
    <w:rsid w:val="00443B90"/>
    <w:rsid w:val="00453E24"/>
    <w:rsid w:val="00457456"/>
    <w:rsid w:val="004577FE"/>
    <w:rsid w:val="00457B9C"/>
    <w:rsid w:val="00460239"/>
    <w:rsid w:val="0046164A"/>
    <w:rsid w:val="004628D2"/>
    <w:rsid w:val="00462D68"/>
    <w:rsid w:val="00462DCD"/>
    <w:rsid w:val="0046430E"/>
    <w:rsid w:val="004648AD"/>
    <w:rsid w:val="004703A9"/>
    <w:rsid w:val="004760DE"/>
    <w:rsid w:val="004763D7"/>
    <w:rsid w:val="00483B52"/>
    <w:rsid w:val="004A004E"/>
    <w:rsid w:val="004A1CEA"/>
    <w:rsid w:val="004A24CF"/>
    <w:rsid w:val="004A288D"/>
    <w:rsid w:val="004A306E"/>
    <w:rsid w:val="004A70BB"/>
    <w:rsid w:val="004B2242"/>
    <w:rsid w:val="004B552C"/>
    <w:rsid w:val="004C0783"/>
    <w:rsid w:val="004C3D1D"/>
    <w:rsid w:val="004C3D84"/>
    <w:rsid w:val="004C7913"/>
    <w:rsid w:val="004D1D10"/>
    <w:rsid w:val="004D5609"/>
    <w:rsid w:val="004E20D5"/>
    <w:rsid w:val="004E4DD6"/>
    <w:rsid w:val="004F5E36"/>
    <w:rsid w:val="00507B47"/>
    <w:rsid w:val="00507BEF"/>
    <w:rsid w:val="00507CC9"/>
    <w:rsid w:val="005119A5"/>
    <w:rsid w:val="00527225"/>
    <w:rsid w:val="005278B7"/>
    <w:rsid w:val="00532016"/>
    <w:rsid w:val="00532058"/>
    <w:rsid w:val="005346C8"/>
    <w:rsid w:val="00535FE3"/>
    <w:rsid w:val="00540B95"/>
    <w:rsid w:val="00543E7D"/>
    <w:rsid w:val="00547A68"/>
    <w:rsid w:val="005531C9"/>
    <w:rsid w:val="00570C43"/>
    <w:rsid w:val="0057274A"/>
    <w:rsid w:val="005831AD"/>
    <w:rsid w:val="005917BA"/>
    <w:rsid w:val="005944B9"/>
    <w:rsid w:val="005A274C"/>
    <w:rsid w:val="005A6ECC"/>
    <w:rsid w:val="005B2110"/>
    <w:rsid w:val="005B286C"/>
    <w:rsid w:val="005B61E6"/>
    <w:rsid w:val="005B7A73"/>
    <w:rsid w:val="005C6B29"/>
    <w:rsid w:val="005C77E1"/>
    <w:rsid w:val="005D0AB8"/>
    <w:rsid w:val="005D668A"/>
    <w:rsid w:val="005D6A2F"/>
    <w:rsid w:val="005E1A82"/>
    <w:rsid w:val="005E474B"/>
    <w:rsid w:val="005E794C"/>
    <w:rsid w:val="005F0A28"/>
    <w:rsid w:val="005F0E5E"/>
    <w:rsid w:val="00600535"/>
    <w:rsid w:val="00610CD6"/>
    <w:rsid w:val="00614BB9"/>
    <w:rsid w:val="00620DEE"/>
    <w:rsid w:val="00621F92"/>
    <w:rsid w:val="0062280A"/>
    <w:rsid w:val="00625639"/>
    <w:rsid w:val="00631B33"/>
    <w:rsid w:val="00640964"/>
    <w:rsid w:val="0064184D"/>
    <w:rsid w:val="006420E2"/>
    <w:rsid w:val="006422CC"/>
    <w:rsid w:val="0064547A"/>
    <w:rsid w:val="0065061E"/>
    <w:rsid w:val="00654548"/>
    <w:rsid w:val="00654CC9"/>
    <w:rsid w:val="00660E3E"/>
    <w:rsid w:val="00662E74"/>
    <w:rsid w:val="00680228"/>
    <w:rsid w:val="00680C23"/>
    <w:rsid w:val="0069024C"/>
    <w:rsid w:val="00693766"/>
    <w:rsid w:val="00693EE8"/>
    <w:rsid w:val="0069777D"/>
    <w:rsid w:val="006A1035"/>
    <w:rsid w:val="006A3281"/>
    <w:rsid w:val="006A7D88"/>
    <w:rsid w:val="006B4888"/>
    <w:rsid w:val="006B5941"/>
    <w:rsid w:val="006C0A26"/>
    <w:rsid w:val="006C2E45"/>
    <w:rsid w:val="006C359C"/>
    <w:rsid w:val="006C5579"/>
    <w:rsid w:val="006D507A"/>
    <w:rsid w:val="006D6E8B"/>
    <w:rsid w:val="006E4B3D"/>
    <w:rsid w:val="006E737D"/>
    <w:rsid w:val="006F3932"/>
    <w:rsid w:val="00713973"/>
    <w:rsid w:val="00717DFC"/>
    <w:rsid w:val="00720A24"/>
    <w:rsid w:val="00724EBA"/>
    <w:rsid w:val="00732386"/>
    <w:rsid w:val="0073514D"/>
    <w:rsid w:val="00737A2D"/>
    <w:rsid w:val="007447F3"/>
    <w:rsid w:val="007525CF"/>
    <w:rsid w:val="0075499F"/>
    <w:rsid w:val="0076331D"/>
    <w:rsid w:val="00763D29"/>
    <w:rsid w:val="007661C8"/>
    <w:rsid w:val="0077098D"/>
    <w:rsid w:val="00782FF2"/>
    <w:rsid w:val="0078577B"/>
    <w:rsid w:val="007931FA"/>
    <w:rsid w:val="00795BF4"/>
    <w:rsid w:val="00796CFD"/>
    <w:rsid w:val="007A04C3"/>
    <w:rsid w:val="007A4861"/>
    <w:rsid w:val="007A7BBA"/>
    <w:rsid w:val="007B0C50"/>
    <w:rsid w:val="007B48F9"/>
    <w:rsid w:val="007C06DB"/>
    <w:rsid w:val="007C1A43"/>
    <w:rsid w:val="007C33F0"/>
    <w:rsid w:val="007D0951"/>
    <w:rsid w:val="007E7FC8"/>
    <w:rsid w:val="007F2117"/>
    <w:rsid w:val="0080013E"/>
    <w:rsid w:val="008071EE"/>
    <w:rsid w:val="00813288"/>
    <w:rsid w:val="008168FC"/>
    <w:rsid w:val="00824343"/>
    <w:rsid w:val="00824F84"/>
    <w:rsid w:val="00830996"/>
    <w:rsid w:val="008345F1"/>
    <w:rsid w:val="00836298"/>
    <w:rsid w:val="0084252A"/>
    <w:rsid w:val="00865B07"/>
    <w:rsid w:val="008667EA"/>
    <w:rsid w:val="008718DD"/>
    <w:rsid w:val="00873D56"/>
    <w:rsid w:val="0087637F"/>
    <w:rsid w:val="00892AD5"/>
    <w:rsid w:val="008974CF"/>
    <w:rsid w:val="008A1512"/>
    <w:rsid w:val="008B1090"/>
    <w:rsid w:val="008B6B61"/>
    <w:rsid w:val="008C629C"/>
    <w:rsid w:val="008D32B9"/>
    <w:rsid w:val="008D433B"/>
    <w:rsid w:val="008D4A16"/>
    <w:rsid w:val="008E566E"/>
    <w:rsid w:val="008F372D"/>
    <w:rsid w:val="008F63E3"/>
    <w:rsid w:val="0090161A"/>
    <w:rsid w:val="00901EB6"/>
    <w:rsid w:val="009021F6"/>
    <w:rsid w:val="00904C62"/>
    <w:rsid w:val="0090702A"/>
    <w:rsid w:val="00910E3B"/>
    <w:rsid w:val="009172C2"/>
    <w:rsid w:val="00922BA8"/>
    <w:rsid w:val="00924DAC"/>
    <w:rsid w:val="00927058"/>
    <w:rsid w:val="00942750"/>
    <w:rsid w:val="009431CE"/>
    <w:rsid w:val="009450CE"/>
    <w:rsid w:val="009459BB"/>
    <w:rsid w:val="00945CE0"/>
    <w:rsid w:val="00947179"/>
    <w:rsid w:val="0095164B"/>
    <w:rsid w:val="00954090"/>
    <w:rsid w:val="009573E7"/>
    <w:rsid w:val="00963E05"/>
    <w:rsid w:val="00964A45"/>
    <w:rsid w:val="00967843"/>
    <w:rsid w:val="00967D54"/>
    <w:rsid w:val="00971028"/>
    <w:rsid w:val="00975B5C"/>
    <w:rsid w:val="00993B84"/>
    <w:rsid w:val="009963E4"/>
    <w:rsid w:val="00996483"/>
    <w:rsid w:val="00996F5A"/>
    <w:rsid w:val="00997CF6"/>
    <w:rsid w:val="009B041A"/>
    <w:rsid w:val="009C37C3"/>
    <w:rsid w:val="009C7C86"/>
    <w:rsid w:val="009D2FF7"/>
    <w:rsid w:val="009E2D36"/>
    <w:rsid w:val="009E7884"/>
    <w:rsid w:val="009E788A"/>
    <w:rsid w:val="009F0E08"/>
    <w:rsid w:val="009F1339"/>
    <w:rsid w:val="009F777A"/>
    <w:rsid w:val="00A1763D"/>
    <w:rsid w:val="00A17CEC"/>
    <w:rsid w:val="00A24A6D"/>
    <w:rsid w:val="00A27EF0"/>
    <w:rsid w:val="00A31046"/>
    <w:rsid w:val="00A3757E"/>
    <w:rsid w:val="00A42361"/>
    <w:rsid w:val="00A440EA"/>
    <w:rsid w:val="00A50B20"/>
    <w:rsid w:val="00A51390"/>
    <w:rsid w:val="00A56558"/>
    <w:rsid w:val="00A60D13"/>
    <w:rsid w:val="00A630F4"/>
    <w:rsid w:val="00A707E2"/>
    <w:rsid w:val="00A7223D"/>
    <w:rsid w:val="00A72745"/>
    <w:rsid w:val="00A74496"/>
    <w:rsid w:val="00A76EFC"/>
    <w:rsid w:val="00A80E74"/>
    <w:rsid w:val="00A86537"/>
    <w:rsid w:val="00A87D50"/>
    <w:rsid w:val="00A91010"/>
    <w:rsid w:val="00A97F29"/>
    <w:rsid w:val="00AA702E"/>
    <w:rsid w:val="00AA7D26"/>
    <w:rsid w:val="00AB0964"/>
    <w:rsid w:val="00AB5011"/>
    <w:rsid w:val="00AB6DD1"/>
    <w:rsid w:val="00AC2DE9"/>
    <w:rsid w:val="00AC7368"/>
    <w:rsid w:val="00AD0D76"/>
    <w:rsid w:val="00AD16B9"/>
    <w:rsid w:val="00AD2C4D"/>
    <w:rsid w:val="00AD3100"/>
    <w:rsid w:val="00AD4A54"/>
    <w:rsid w:val="00AD62D7"/>
    <w:rsid w:val="00AE17D2"/>
    <w:rsid w:val="00AE17FD"/>
    <w:rsid w:val="00AE377D"/>
    <w:rsid w:val="00AE78D5"/>
    <w:rsid w:val="00AF04E7"/>
    <w:rsid w:val="00AF0EBA"/>
    <w:rsid w:val="00B02C8A"/>
    <w:rsid w:val="00B17FBD"/>
    <w:rsid w:val="00B20006"/>
    <w:rsid w:val="00B20BAC"/>
    <w:rsid w:val="00B23181"/>
    <w:rsid w:val="00B25628"/>
    <w:rsid w:val="00B25F09"/>
    <w:rsid w:val="00B27324"/>
    <w:rsid w:val="00B27B2F"/>
    <w:rsid w:val="00B315A6"/>
    <w:rsid w:val="00B31813"/>
    <w:rsid w:val="00B33365"/>
    <w:rsid w:val="00B36CDE"/>
    <w:rsid w:val="00B44A13"/>
    <w:rsid w:val="00B550D8"/>
    <w:rsid w:val="00B57B36"/>
    <w:rsid w:val="00B57E6F"/>
    <w:rsid w:val="00B609C9"/>
    <w:rsid w:val="00B64CEF"/>
    <w:rsid w:val="00B65747"/>
    <w:rsid w:val="00B733AD"/>
    <w:rsid w:val="00B8686D"/>
    <w:rsid w:val="00B93F69"/>
    <w:rsid w:val="00BB1DDC"/>
    <w:rsid w:val="00BC30C9"/>
    <w:rsid w:val="00BD03D5"/>
    <w:rsid w:val="00BD077D"/>
    <w:rsid w:val="00BD6372"/>
    <w:rsid w:val="00BD6EBD"/>
    <w:rsid w:val="00BE2EBB"/>
    <w:rsid w:val="00BE3E58"/>
    <w:rsid w:val="00C012C2"/>
    <w:rsid w:val="00C01616"/>
    <w:rsid w:val="00C0162B"/>
    <w:rsid w:val="00C039BE"/>
    <w:rsid w:val="00C068ED"/>
    <w:rsid w:val="00C22E0C"/>
    <w:rsid w:val="00C345B1"/>
    <w:rsid w:val="00C40142"/>
    <w:rsid w:val="00C42B73"/>
    <w:rsid w:val="00C50053"/>
    <w:rsid w:val="00C50CBE"/>
    <w:rsid w:val="00C52C3C"/>
    <w:rsid w:val="00C54688"/>
    <w:rsid w:val="00C57182"/>
    <w:rsid w:val="00C57863"/>
    <w:rsid w:val="00C640AF"/>
    <w:rsid w:val="00C655FD"/>
    <w:rsid w:val="00C75407"/>
    <w:rsid w:val="00C81923"/>
    <w:rsid w:val="00C870A8"/>
    <w:rsid w:val="00C90BF2"/>
    <w:rsid w:val="00C94434"/>
    <w:rsid w:val="00C96C4C"/>
    <w:rsid w:val="00C97023"/>
    <w:rsid w:val="00CA0D75"/>
    <w:rsid w:val="00CA1C95"/>
    <w:rsid w:val="00CA5A9C"/>
    <w:rsid w:val="00CC4C20"/>
    <w:rsid w:val="00CD3195"/>
    <w:rsid w:val="00CD3517"/>
    <w:rsid w:val="00CD5FE2"/>
    <w:rsid w:val="00CE382B"/>
    <w:rsid w:val="00CE7C68"/>
    <w:rsid w:val="00D02B4C"/>
    <w:rsid w:val="00D040C4"/>
    <w:rsid w:val="00D20AD1"/>
    <w:rsid w:val="00D2685A"/>
    <w:rsid w:val="00D46B7E"/>
    <w:rsid w:val="00D50161"/>
    <w:rsid w:val="00D57C84"/>
    <w:rsid w:val="00D6057D"/>
    <w:rsid w:val="00D65516"/>
    <w:rsid w:val="00D65F17"/>
    <w:rsid w:val="00D71640"/>
    <w:rsid w:val="00D82FD6"/>
    <w:rsid w:val="00D836C5"/>
    <w:rsid w:val="00D84576"/>
    <w:rsid w:val="00DA06E5"/>
    <w:rsid w:val="00DA1399"/>
    <w:rsid w:val="00DA1DEE"/>
    <w:rsid w:val="00DA24C6"/>
    <w:rsid w:val="00DA4D7B"/>
    <w:rsid w:val="00DB18D7"/>
    <w:rsid w:val="00DB29E9"/>
    <w:rsid w:val="00DB5BDB"/>
    <w:rsid w:val="00DC41B6"/>
    <w:rsid w:val="00DD271C"/>
    <w:rsid w:val="00DD5F79"/>
    <w:rsid w:val="00DE264A"/>
    <w:rsid w:val="00DE3A49"/>
    <w:rsid w:val="00DE5DD9"/>
    <w:rsid w:val="00DE7F3E"/>
    <w:rsid w:val="00DF5072"/>
    <w:rsid w:val="00E02D18"/>
    <w:rsid w:val="00E03AF7"/>
    <w:rsid w:val="00E041E7"/>
    <w:rsid w:val="00E04BE5"/>
    <w:rsid w:val="00E07692"/>
    <w:rsid w:val="00E14A09"/>
    <w:rsid w:val="00E23CA1"/>
    <w:rsid w:val="00E409A8"/>
    <w:rsid w:val="00E45F2F"/>
    <w:rsid w:val="00E50C12"/>
    <w:rsid w:val="00E57FC0"/>
    <w:rsid w:val="00E65810"/>
    <w:rsid w:val="00E65B91"/>
    <w:rsid w:val="00E7209D"/>
    <w:rsid w:val="00E72EAD"/>
    <w:rsid w:val="00E7704D"/>
    <w:rsid w:val="00E77223"/>
    <w:rsid w:val="00E77A56"/>
    <w:rsid w:val="00E84804"/>
    <w:rsid w:val="00E8528B"/>
    <w:rsid w:val="00E85B94"/>
    <w:rsid w:val="00E9149D"/>
    <w:rsid w:val="00E91926"/>
    <w:rsid w:val="00E91A1A"/>
    <w:rsid w:val="00E93E2D"/>
    <w:rsid w:val="00E978D0"/>
    <w:rsid w:val="00EA0BC1"/>
    <w:rsid w:val="00EA4613"/>
    <w:rsid w:val="00EA4AC3"/>
    <w:rsid w:val="00EA7F91"/>
    <w:rsid w:val="00EB1523"/>
    <w:rsid w:val="00EC0E49"/>
    <w:rsid w:val="00EC101F"/>
    <w:rsid w:val="00EC1D9F"/>
    <w:rsid w:val="00ED77E8"/>
    <w:rsid w:val="00EE0131"/>
    <w:rsid w:val="00EE17B0"/>
    <w:rsid w:val="00EE486C"/>
    <w:rsid w:val="00EE6949"/>
    <w:rsid w:val="00EF06D9"/>
    <w:rsid w:val="00F056DD"/>
    <w:rsid w:val="00F11109"/>
    <w:rsid w:val="00F113E2"/>
    <w:rsid w:val="00F27C95"/>
    <w:rsid w:val="00F3049E"/>
    <w:rsid w:val="00F30C64"/>
    <w:rsid w:val="00F32BA2"/>
    <w:rsid w:val="00F32CDB"/>
    <w:rsid w:val="00F44A00"/>
    <w:rsid w:val="00F453D1"/>
    <w:rsid w:val="00F565FE"/>
    <w:rsid w:val="00F63A70"/>
    <w:rsid w:val="00F63D8C"/>
    <w:rsid w:val="00F7534E"/>
    <w:rsid w:val="00F82200"/>
    <w:rsid w:val="00F93EDF"/>
    <w:rsid w:val="00FA1802"/>
    <w:rsid w:val="00FA21D0"/>
    <w:rsid w:val="00FA5F5F"/>
    <w:rsid w:val="00FB1748"/>
    <w:rsid w:val="00FB4C8B"/>
    <w:rsid w:val="00FB71E0"/>
    <w:rsid w:val="00FB730C"/>
    <w:rsid w:val="00FB7F82"/>
    <w:rsid w:val="00FC2695"/>
    <w:rsid w:val="00FC3E03"/>
    <w:rsid w:val="00FC3FC1"/>
    <w:rsid w:val="00FD3FE3"/>
    <w:rsid w:val="00FE65AA"/>
    <w:rsid w:val="00FF384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qFormat/>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Textodelmarcadordeposicin">
    <w:name w:val="Placeholder Text"/>
    <w:basedOn w:val="Fuentedeprrafopredeter"/>
    <w:uiPriority w:val="99"/>
    <w:semiHidden/>
    <w:rsid w:val="00276B87"/>
    <w:rPr>
      <w:color w:val="808080"/>
    </w:rPr>
  </w:style>
  <w:style w:type="character" w:styleId="Mencinsinresolver">
    <w:name w:val="Unresolved Mention"/>
    <w:basedOn w:val="Fuentedeprrafopredeter"/>
    <w:uiPriority w:val="99"/>
    <w:semiHidden/>
    <w:unhideWhenUsed/>
    <w:rsid w:val="00A80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683">
      <w:bodyDiv w:val="1"/>
      <w:marLeft w:val="0"/>
      <w:marRight w:val="0"/>
      <w:marTop w:val="0"/>
      <w:marBottom w:val="0"/>
      <w:divBdr>
        <w:top w:val="none" w:sz="0" w:space="0" w:color="auto"/>
        <w:left w:val="none" w:sz="0" w:space="0" w:color="auto"/>
        <w:bottom w:val="none" w:sz="0" w:space="0" w:color="auto"/>
        <w:right w:val="none" w:sz="0" w:space="0" w:color="auto"/>
      </w:divBdr>
    </w:div>
    <w:div w:id="21371953">
      <w:bodyDiv w:val="1"/>
      <w:marLeft w:val="0"/>
      <w:marRight w:val="0"/>
      <w:marTop w:val="0"/>
      <w:marBottom w:val="0"/>
      <w:divBdr>
        <w:top w:val="none" w:sz="0" w:space="0" w:color="auto"/>
        <w:left w:val="none" w:sz="0" w:space="0" w:color="auto"/>
        <w:bottom w:val="none" w:sz="0" w:space="0" w:color="auto"/>
        <w:right w:val="none" w:sz="0" w:space="0" w:color="auto"/>
      </w:divBdr>
    </w:div>
    <w:div w:id="84424079">
      <w:bodyDiv w:val="1"/>
      <w:marLeft w:val="0"/>
      <w:marRight w:val="0"/>
      <w:marTop w:val="0"/>
      <w:marBottom w:val="0"/>
      <w:divBdr>
        <w:top w:val="none" w:sz="0" w:space="0" w:color="auto"/>
        <w:left w:val="none" w:sz="0" w:space="0" w:color="auto"/>
        <w:bottom w:val="none" w:sz="0" w:space="0" w:color="auto"/>
        <w:right w:val="none" w:sz="0" w:space="0" w:color="auto"/>
      </w:divBdr>
    </w:div>
    <w:div w:id="119694700">
      <w:bodyDiv w:val="1"/>
      <w:marLeft w:val="0"/>
      <w:marRight w:val="0"/>
      <w:marTop w:val="0"/>
      <w:marBottom w:val="0"/>
      <w:divBdr>
        <w:top w:val="none" w:sz="0" w:space="0" w:color="auto"/>
        <w:left w:val="none" w:sz="0" w:space="0" w:color="auto"/>
        <w:bottom w:val="none" w:sz="0" w:space="0" w:color="auto"/>
        <w:right w:val="none" w:sz="0" w:space="0" w:color="auto"/>
      </w:divBdr>
    </w:div>
    <w:div w:id="199322756">
      <w:bodyDiv w:val="1"/>
      <w:marLeft w:val="0"/>
      <w:marRight w:val="0"/>
      <w:marTop w:val="0"/>
      <w:marBottom w:val="0"/>
      <w:divBdr>
        <w:top w:val="none" w:sz="0" w:space="0" w:color="auto"/>
        <w:left w:val="none" w:sz="0" w:space="0" w:color="auto"/>
        <w:bottom w:val="none" w:sz="0" w:space="0" w:color="auto"/>
        <w:right w:val="none" w:sz="0" w:space="0" w:color="auto"/>
      </w:divBdr>
    </w:div>
    <w:div w:id="247932195">
      <w:bodyDiv w:val="1"/>
      <w:marLeft w:val="0"/>
      <w:marRight w:val="0"/>
      <w:marTop w:val="0"/>
      <w:marBottom w:val="0"/>
      <w:divBdr>
        <w:top w:val="none" w:sz="0" w:space="0" w:color="auto"/>
        <w:left w:val="none" w:sz="0" w:space="0" w:color="auto"/>
        <w:bottom w:val="none" w:sz="0" w:space="0" w:color="auto"/>
        <w:right w:val="none" w:sz="0" w:space="0" w:color="auto"/>
      </w:divBdr>
    </w:div>
    <w:div w:id="320160530">
      <w:bodyDiv w:val="1"/>
      <w:marLeft w:val="0"/>
      <w:marRight w:val="0"/>
      <w:marTop w:val="0"/>
      <w:marBottom w:val="0"/>
      <w:divBdr>
        <w:top w:val="none" w:sz="0" w:space="0" w:color="auto"/>
        <w:left w:val="none" w:sz="0" w:space="0" w:color="auto"/>
        <w:bottom w:val="none" w:sz="0" w:space="0" w:color="auto"/>
        <w:right w:val="none" w:sz="0" w:space="0" w:color="auto"/>
      </w:divBdr>
    </w:div>
    <w:div w:id="398404800">
      <w:bodyDiv w:val="1"/>
      <w:marLeft w:val="0"/>
      <w:marRight w:val="0"/>
      <w:marTop w:val="0"/>
      <w:marBottom w:val="0"/>
      <w:divBdr>
        <w:top w:val="none" w:sz="0" w:space="0" w:color="auto"/>
        <w:left w:val="none" w:sz="0" w:space="0" w:color="auto"/>
        <w:bottom w:val="none" w:sz="0" w:space="0" w:color="auto"/>
        <w:right w:val="none" w:sz="0" w:space="0" w:color="auto"/>
      </w:divBdr>
    </w:div>
    <w:div w:id="553779558">
      <w:bodyDiv w:val="1"/>
      <w:marLeft w:val="0"/>
      <w:marRight w:val="0"/>
      <w:marTop w:val="0"/>
      <w:marBottom w:val="0"/>
      <w:divBdr>
        <w:top w:val="none" w:sz="0" w:space="0" w:color="auto"/>
        <w:left w:val="none" w:sz="0" w:space="0" w:color="auto"/>
        <w:bottom w:val="none" w:sz="0" w:space="0" w:color="auto"/>
        <w:right w:val="none" w:sz="0" w:space="0" w:color="auto"/>
      </w:divBdr>
    </w:div>
    <w:div w:id="588974193">
      <w:bodyDiv w:val="1"/>
      <w:marLeft w:val="0"/>
      <w:marRight w:val="0"/>
      <w:marTop w:val="0"/>
      <w:marBottom w:val="0"/>
      <w:divBdr>
        <w:top w:val="none" w:sz="0" w:space="0" w:color="auto"/>
        <w:left w:val="none" w:sz="0" w:space="0" w:color="auto"/>
        <w:bottom w:val="none" w:sz="0" w:space="0" w:color="auto"/>
        <w:right w:val="none" w:sz="0" w:space="0" w:color="auto"/>
      </w:divBdr>
    </w:div>
    <w:div w:id="595984707">
      <w:bodyDiv w:val="1"/>
      <w:marLeft w:val="0"/>
      <w:marRight w:val="0"/>
      <w:marTop w:val="0"/>
      <w:marBottom w:val="0"/>
      <w:divBdr>
        <w:top w:val="none" w:sz="0" w:space="0" w:color="auto"/>
        <w:left w:val="none" w:sz="0" w:space="0" w:color="auto"/>
        <w:bottom w:val="none" w:sz="0" w:space="0" w:color="auto"/>
        <w:right w:val="none" w:sz="0" w:space="0" w:color="auto"/>
      </w:divBdr>
    </w:div>
    <w:div w:id="627200518">
      <w:bodyDiv w:val="1"/>
      <w:marLeft w:val="0"/>
      <w:marRight w:val="0"/>
      <w:marTop w:val="0"/>
      <w:marBottom w:val="0"/>
      <w:divBdr>
        <w:top w:val="none" w:sz="0" w:space="0" w:color="auto"/>
        <w:left w:val="none" w:sz="0" w:space="0" w:color="auto"/>
        <w:bottom w:val="none" w:sz="0" w:space="0" w:color="auto"/>
        <w:right w:val="none" w:sz="0" w:space="0" w:color="auto"/>
      </w:divBdr>
    </w:div>
    <w:div w:id="633219354">
      <w:bodyDiv w:val="1"/>
      <w:marLeft w:val="0"/>
      <w:marRight w:val="0"/>
      <w:marTop w:val="0"/>
      <w:marBottom w:val="0"/>
      <w:divBdr>
        <w:top w:val="none" w:sz="0" w:space="0" w:color="auto"/>
        <w:left w:val="none" w:sz="0" w:space="0" w:color="auto"/>
        <w:bottom w:val="none" w:sz="0" w:space="0" w:color="auto"/>
        <w:right w:val="none" w:sz="0" w:space="0" w:color="auto"/>
      </w:divBdr>
    </w:div>
    <w:div w:id="673260846">
      <w:bodyDiv w:val="1"/>
      <w:marLeft w:val="0"/>
      <w:marRight w:val="0"/>
      <w:marTop w:val="0"/>
      <w:marBottom w:val="0"/>
      <w:divBdr>
        <w:top w:val="none" w:sz="0" w:space="0" w:color="auto"/>
        <w:left w:val="none" w:sz="0" w:space="0" w:color="auto"/>
        <w:bottom w:val="none" w:sz="0" w:space="0" w:color="auto"/>
        <w:right w:val="none" w:sz="0" w:space="0" w:color="auto"/>
      </w:divBdr>
    </w:div>
    <w:div w:id="682822988">
      <w:bodyDiv w:val="1"/>
      <w:marLeft w:val="0"/>
      <w:marRight w:val="0"/>
      <w:marTop w:val="0"/>
      <w:marBottom w:val="0"/>
      <w:divBdr>
        <w:top w:val="none" w:sz="0" w:space="0" w:color="auto"/>
        <w:left w:val="none" w:sz="0" w:space="0" w:color="auto"/>
        <w:bottom w:val="none" w:sz="0" w:space="0" w:color="auto"/>
        <w:right w:val="none" w:sz="0" w:space="0" w:color="auto"/>
      </w:divBdr>
    </w:div>
    <w:div w:id="704602960">
      <w:bodyDiv w:val="1"/>
      <w:marLeft w:val="0"/>
      <w:marRight w:val="0"/>
      <w:marTop w:val="0"/>
      <w:marBottom w:val="0"/>
      <w:divBdr>
        <w:top w:val="none" w:sz="0" w:space="0" w:color="auto"/>
        <w:left w:val="none" w:sz="0" w:space="0" w:color="auto"/>
        <w:bottom w:val="none" w:sz="0" w:space="0" w:color="auto"/>
        <w:right w:val="none" w:sz="0" w:space="0" w:color="auto"/>
      </w:divBdr>
    </w:div>
    <w:div w:id="77136013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5999">
      <w:bodyDiv w:val="1"/>
      <w:marLeft w:val="0"/>
      <w:marRight w:val="0"/>
      <w:marTop w:val="0"/>
      <w:marBottom w:val="0"/>
      <w:divBdr>
        <w:top w:val="none" w:sz="0" w:space="0" w:color="auto"/>
        <w:left w:val="none" w:sz="0" w:space="0" w:color="auto"/>
        <w:bottom w:val="none" w:sz="0" w:space="0" w:color="auto"/>
        <w:right w:val="none" w:sz="0" w:space="0" w:color="auto"/>
      </w:divBdr>
    </w:div>
    <w:div w:id="85511401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9335">
      <w:bodyDiv w:val="1"/>
      <w:marLeft w:val="0"/>
      <w:marRight w:val="0"/>
      <w:marTop w:val="0"/>
      <w:marBottom w:val="0"/>
      <w:divBdr>
        <w:top w:val="none" w:sz="0" w:space="0" w:color="auto"/>
        <w:left w:val="none" w:sz="0" w:space="0" w:color="auto"/>
        <w:bottom w:val="none" w:sz="0" w:space="0" w:color="auto"/>
        <w:right w:val="none" w:sz="0" w:space="0" w:color="auto"/>
      </w:divBdr>
    </w:div>
    <w:div w:id="1015814204">
      <w:bodyDiv w:val="1"/>
      <w:marLeft w:val="0"/>
      <w:marRight w:val="0"/>
      <w:marTop w:val="0"/>
      <w:marBottom w:val="0"/>
      <w:divBdr>
        <w:top w:val="none" w:sz="0" w:space="0" w:color="auto"/>
        <w:left w:val="none" w:sz="0" w:space="0" w:color="auto"/>
        <w:bottom w:val="none" w:sz="0" w:space="0" w:color="auto"/>
        <w:right w:val="none" w:sz="0" w:space="0" w:color="auto"/>
      </w:divBdr>
    </w:div>
    <w:div w:id="1077485063">
      <w:bodyDiv w:val="1"/>
      <w:marLeft w:val="0"/>
      <w:marRight w:val="0"/>
      <w:marTop w:val="0"/>
      <w:marBottom w:val="0"/>
      <w:divBdr>
        <w:top w:val="none" w:sz="0" w:space="0" w:color="auto"/>
        <w:left w:val="none" w:sz="0" w:space="0" w:color="auto"/>
        <w:bottom w:val="none" w:sz="0" w:space="0" w:color="auto"/>
        <w:right w:val="none" w:sz="0" w:space="0" w:color="auto"/>
      </w:divBdr>
    </w:div>
    <w:div w:id="1151631191">
      <w:bodyDiv w:val="1"/>
      <w:marLeft w:val="0"/>
      <w:marRight w:val="0"/>
      <w:marTop w:val="0"/>
      <w:marBottom w:val="0"/>
      <w:divBdr>
        <w:top w:val="none" w:sz="0" w:space="0" w:color="auto"/>
        <w:left w:val="none" w:sz="0" w:space="0" w:color="auto"/>
        <w:bottom w:val="none" w:sz="0" w:space="0" w:color="auto"/>
        <w:right w:val="none" w:sz="0" w:space="0" w:color="auto"/>
      </w:divBdr>
    </w:div>
    <w:div w:id="1177764551">
      <w:bodyDiv w:val="1"/>
      <w:marLeft w:val="0"/>
      <w:marRight w:val="0"/>
      <w:marTop w:val="0"/>
      <w:marBottom w:val="0"/>
      <w:divBdr>
        <w:top w:val="none" w:sz="0" w:space="0" w:color="auto"/>
        <w:left w:val="none" w:sz="0" w:space="0" w:color="auto"/>
        <w:bottom w:val="none" w:sz="0" w:space="0" w:color="auto"/>
        <w:right w:val="none" w:sz="0" w:space="0" w:color="auto"/>
      </w:divBdr>
    </w:div>
    <w:div w:id="1191451487">
      <w:bodyDiv w:val="1"/>
      <w:marLeft w:val="0"/>
      <w:marRight w:val="0"/>
      <w:marTop w:val="0"/>
      <w:marBottom w:val="0"/>
      <w:divBdr>
        <w:top w:val="none" w:sz="0" w:space="0" w:color="auto"/>
        <w:left w:val="none" w:sz="0" w:space="0" w:color="auto"/>
        <w:bottom w:val="none" w:sz="0" w:space="0" w:color="auto"/>
        <w:right w:val="none" w:sz="0" w:space="0" w:color="auto"/>
      </w:divBdr>
    </w:div>
    <w:div w:id="1240209156">
      <w:bodyDiv w:val="1"/>
      <w:marLeft w:val="0"/>
      <w:marRight w:val="0"/>
      <w:marTop w:val="0"/>
      <w:marBottom w:val="0"/>
      <w:divBdr>
        <w:top w:val="none" w:sz="0" w:space="0" w:color="auto"/>
        <w:left w:val="none" w:sz="0" w:space="0" w:color="auto"/>
        <w:bottom w:val="none" w:sz="0" w:space="0" w:color="auto"/>
        <w:right w:val="none" w:sz="0" w:space="0" w:color="auto"/>
      </w:divBdr>
    </w:div>
    <w:div w:id="1241524106">
      <w:bodyDiv w:val="1"/>
      <w:marLeft w:val="0"/>
      <w:marRight w:val="0"/>
      <w:marTop w:val="0"/>
      <w:marBottom w:val="0"/>
      <w:divBdr>
        <w:top w:val="none" w:sz="0" w:space="0" w:color="auto"/>
        <w:left w:val="none" w:sz="0" w:space="0" w:color="auto"/>
        <w:bottom w:val="none" w:sz="0" w:space="0" w:color="auto"/>
        <w:right w:val="none" w:sz="0" w:space="0" w:color="auto"/>
      </w:divBdr>
    </w:div>
    <w:div w:id="139650917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205975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79363">
      <w:bodyDiv w:val="1"/>
      <w:marLeft w:val="0"/>
      <w:marRight w:val="0"/>
      <w:marTop w:val="0"/>
      <w:marBottom w:val="0"/>
      <w:divBdr>
        <w:top w:val="none" w:sz="0" w:space="0" w:color="auto"/>
        <w:left w:val="none" w:sz="0" w:space="0" w:color="auto"/>
        <w:bottom w:val="none" w:sz="0" w:space="0" w:color="auto"/>
        <w:right w:val="none" w:sz="0" w:space="0" w:color="auto"/>
      </w:divBdr>
    </w:div>
    <w:div w:id="1838032477">
      <w:bodyDiv w:val="1"/>
      <w:marLeft w:val="0"/>
      <w:marRight w:val="0"/>
      <w:marTop w:val="0"/>
      <w:marBottom w:val="0"/>
      <w:divBdr>
        <w:top w:val="none" w:sz="0" w:space="0" w:color="auto"/>
        <w:left w:val="none" w:sz="0" w:space="0" w:color="auto"/>
        <w:bottom w:val="none" w:sz="0" w:space="0" w:color="auto"/>
        <w:right w:val="none" w:sz="0" w:space="0" w:color="auto"/>
      </w:divBdr>
    </w:div>
    <w:div w:id="1895194619">
      <w:bodyDiv w:val="1"/>
      <w:marLeft w:val="0"/>
      <w:marRight w:val="0"/>
      <w:marTop w:val="0"/>
      <w:marBottom w:val="0"/>
      <w:divBdr>
        <w:top w:val="none" w:sz="0" w:space="0" w:color="auto"/>
        <w:left w:val="none" w:sz="0" w:space="0" w:color="auto"/>
        <w:bottom w:val="none" w:sz="0" w:space="0" w:color="auto"/>
        <w:right w:val="none" w:sz="0" w:space="0" w:color="auto"/>
      </w:divBdr>
    </w:div>
    <w:div w:id="1995595957">
      <w:bodyDiv w:val="1"/>
      <w:marLeft w:val="0"/>
      <w:marRight w:val="0"/>
      <w:marTop w:val="0"/>
      <w:marBottom w:val="0"/>
      <w:divBdr>
        <w:top w:val="none" w:sz="0" w:space="0" w:color="auto"/>
        <w:left w:val="none" w:sz="0" w:space="0" w:color="auto"/>
        <w:bottom w:val="none" w:sz="0" w:space="0" w:color="auto"/>
        <w:right w:val="none" w:sz="0" w:space="0" w:color="auto"/>
      </w:divBdr>
    </w:div>
    <w:div w:id="205037181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Age08</b:Tag>
    <b:SourceType>Report</b:SourceType>
    <b:Guid>{F9467301-C17A-4BE5-B904-E7EB76E23B66}</b:Guid>
    <b:Author>
      <b:Author>
        <b:Corporate>Agencia Valenciana de la Energía </b:Corporate>
      </b:Author>
    </b:Author>
    <b:Title>Guía práctica de energía solar térmica </b:Title>
    <b:Year>2008</b:Year>
    <b:City>Valencia </b:City>
    <b:RefOrder>2</b:RefOrder>
  </b:Source>
  <b:Source>
    <b:Tag>Pas16</b:Tag>
    <b:SourceType>Report</b:SourceType>
    <b:Guid>{375C0013-1E07-40E5-9325-7093D6C355A3}</b:Guid>
    <b:Title>La creciente demanda mundial de energía frente a los riesgos ambientales </b:Title>
    <b:Year>2016</b:Year>
    <b:City>Buenos Aires</b:City>
    <b:Publisher>Asociación Argentina para el Progreso de las Ciencias </b:Publisher>
    <b:Author>
      <b:Author>
        <b:NameList>
          <b:Person>
            <b:Last>Pasquevich</b:Last>
            <b:First>Daniel</b:First>
            <b:Middle>M</b:Middle>
          </b:Person>
        </b:NameList>
      </b:Author>
    </b:Author>
    <b:RefOrder>1</b:RefOrder>
  </b:Source>
  <b:Source>
    <b:Tag>Sak21</b:Tag>
    <b:SourceType>JournalArticle</b:SourceType>
    <b:Guid>{A466A1D9-2BEC-44CB-A0C6-3CB3B96A84CC}</b:Guid>
    <b:Title>Thermal behavior of a flat plate solar collector with simultaneous use of helically heat collecting tubes and phase change materials</b:Title>
    <b:JournalName>Sustainable Energy Technologies and Assessments</b:JournalName>
    <b:Year>2021</b:Year>
    <b:Author>
      <b:Author>
        <b:NameList>
          <b:Person>
            <b:Last>Sakhaei</b:Last>
            <b:First>Seyed Ali </b:First>
          </b:Person>
          <b:Person>
            <b:Last>Valipour</b:Last>
            <b:First>Mohammad Sadegh</b:First>
          </b:Person>
        </b:NameList>
      </b:Author>
    </b:Author>
    <b:RefOrder>3</b:RefOrder>
  </b:Source>
  <b:Source>
    <b:Tag>Lui21</b:Tag>
    <b:SourceType>Book</b:SourceType>
    <b:Guid>{C5435B24-067F-4858-9FC2-0AEACB4FFB71}</b:Guid>
    <b:Title>Effect of functional modification of porous medium on phase change behavior and heat storage characteristics of form-stable composite phase change materials: A critical review</b:Title>
    <b:Year>2021</b:Year>
    <b:Publisher>Storage, Journal of Energy</b:Publisher>
    <b:Author>
      <b:Author>
        <b:NameList>
          <b:Person>
            <b:Last>Lui</b:Last>
            <b:First>Yilin</b:First>
          </b:Person>
          <b:Person>
            <b:Last>Zheng </b:Last>
            <b:First>Jinlong</b:First>
          </b:Person>
          <b:Person>
            <b:Last>Deng</b:Last>
            <b:First>Yong</b:First>
          </b:Person>
          <b:Person>
            <b:Last>Wu</b:Last>
            <b:First>Fuzhonh</b:First>
          </b:Person>
          <b:Person>
            <b:Last>Wang</b:Last>
            <b:First>Heng</b:First>
          </b:Person>
        </b:NameList>
      </b:Author>
    </b:Author>
    <b:RefOrder>6</b:RefOrder>
  </b:Source>
  <b:Source>
    <b:Tag>Alo18</b:Tag>
    <b:SourceType>JournalArticle</b:SourceType>
    <b:Guid>{8D8D996A-C2F5-4FFA-BD25-7BBC2F6030D2}</b:Guid>
    <b:Title>Mezclas eutécticas como alternativa sostenible a los disolventes convencionales en Química Orgánica.</b:Title>
    <b:JournalName>Real Sociedad Española de Química</b:JournalName>
    <b:Year>2018</b:Year>
    <b:Pages>79-87</b:Pages>
    <b:Author>
      <b:Author>
        <b:NameList>
          <b:Person>
            <b:Last>Alonso </b:Last>
            <b:First>Diego A.</b:First>
          </b:Person>
          <b:Person>
            <b:Last>Baeza</b:Last>
            <b:First>Alejandro</b:First>
          </b:Person>
          <b:Person>
            <b:Last>Chinchilla</b:Last>
            <b:First>Rafael </b:First>
          </b:Person>
          <b:Person>
            <b:Last>Gómez</b:Last>
            <b:First>Cecilia </b:First>
          </b:Person>
          <b:Person>
            <b:Last>Guillena </b:Last>
            <b:First>Gabriela </b:First>
          </b:Person>
          <b:Person>
            <b:Last>Marset </b:Last>
            <b:First>Xavier </b:First>
          </b:Person>
          <b:Person>
            <b:Last>Pastor </b:Last>
            <b:First>Isidro M.</b:First>
          </b:Person>
          <b:Person>
            <b:Last>Ramón </b:Last>
            <b:First>Diego J. </b:First>
          </b:Person>
          <b:Person>
            <b:Last>Ñíguez </b:Last>
            <b:First>Diego Ros </b:First>
          </b:Person>
          <b:Person>
            <b:Last>Saavedra </b:Last>
            <b:First>Beatriz </b:First>
          </b:Person>
        </b:NameList>
      </b:Author>
    </b:Author>
    <b:RefOrder>7</b:RefOrder>
  </b:Source>
  <b:Source>
    <b:Tag>Chw16</b:Tag>
    <b:SourceType>JournalArticle</b:SourceType>
    <b:Guid>{B769715A-774D-4EB4-81BF-E91A5E43CA1A}</b:Guid>
    <b:Title>Active solar space heating</b:Title>
    <b:JournalName>Advances in Solar Heating and Cooling</b:JournalName>
    <b:Year>2016</b:Year>
    <b:Pages>151-202</b:Pages>
    <b:Author>
      <b:Author>
        <b:NameList>
          <b:Person>
            <b:Last>Chwieduk</b:Last>
            <b:First>D.A.</b:First>
          </b:Person>
        </b:NameList>
      </b:Author>
    </b:Author>
    <b:RefOrder>4</b:RefOrder>
  </b:Source>
  <b:Source>
    <b:Tag>Xia20</b:Tag>
    <b:SourceType>JournalArticle</b:SourceType>
    <b:Guid>{F104C044-DB2A-41B9-A85A-D4A5DD9E8DC7}</b:Guid>
    <b:Title>The application of solar-to-thermal conversion phase change material in novel solar water heating system</b:Title>
    <b:JournalName>Solar Energy</b:JournalName>
    <b:Year>2020</b:Year>
    <b:Pages>484 - 490</b:Pages>
    <b:Author>
      <b:Author>
        <b:NameList>
          <b:Person>
            <b:Last>Xiao </b:Last>
            <b:First>Qiangqiang</b:First>
          </b:Person>
          <b:Person>
            <b:Last>Cao</b:Last>
            <b:First>Jiahao</b:First>
          </b:Person>
          <b:Person>
            <b:Last>Zhang</b:Last>
            <b:First>Yixue </b:First>
          </b:Person>
          <b:Person>
            <b:Last>Li Li</b:Last>
          </b:Person>
          <b:Person>
            <b:Last>Xu</b:Last>
            <b:First>Tao</b:First>
          </b:Person>
          <b:Person>
            <b:Last>Yuan </b:Last>
            <b:First>Wenhui</b:First>
          </b:Person>
        </b:NameList>
      </b:Author>
    </b:Author>
    <b:RefOrder>8</b:RefOrder>
  </b:Source>
  <b:Source>
    <b:Tag>Est91</b:Tag>
    <b:SourceType>JournalArticle</b:SourceType>
    <b:Guid>{78EC9865-4494-4B3E-86D2-C04A3C82843D}</b:Guid>
    <b:Title>Análisis sobre el almacenamiento térmico en la edificación </b:Title>
    <b:JournalName>Informes de la construcción </b:JournalName>
    <b:Year>1991</b:Year>
    <b:Author>
      <b:Author>
        <b:NameList>
          <b:Person>
            <b:Last>Esteban Saiz</b:Last>
            <b:First>J. Luis </b:First>
          </b:Person>
        </b:NameList>
      </b:Author>
    </b:Author>
    <b:RefOrder>5</b:RefOrder>
  </b:Source>
  <b:Source>
    <b:Tag>MaG19</b:Tag>
    <b:SourceType>JournalArticle</b:SourceType>
    <b:Guid>{EB672CB3-3144-4B52-8E55-D51BC2A926D9}</b:Guid>
    <b:Title>A novel low-temperature phase change material based on stearic acid and hexanamide eutectic mixture for thermal energy storage</b:Title>
    <b:JournalName>Chemical Physics Letters</b:JournalName>
    <b:Year>2019</b:Year>
    <b:Pages>166 - 171</b:Pages>
    <b:Author>
      <b:Author>
        <b:NameList>
          <b:Person>
            <b:Last>Ma</b:Last>
            <b:First>Guixiang</b:First>
          </b:Person>
          <b:Person>
            <b:Last>Zhang</b:Last>
            <b:First>Yue</b:First>
          </b:Person>
          <b:Person>
            <b:Last>Jing</b:Last>
            <b:First>Yan</b:First>
          </b:Person>
          <b:Person>
            <b:Last>Jia</b:Last>
            <b:First>Yongzhong</b:First>
          </b:Person>
          <b:Person>
            <b:Last>Sun</b:Last>
            <b:First>Jinhe</b:First>
          </b:Person>
        </b:NameList>
      </b:Author>
    </b:Author>
    <b:RefOrder>9</b:RefOrder>
  </b:Source>
  <b:Source>
    <b:Tag>Ans21</b:Tag>
    <b:SourceType>JournalArticle</b:SourceType>
    <b:Guid>{6DD337F0-AA1C-42D8-A9FC-186724640A41}</b:Guid>
    <b:Title>Development and Testing of Binary Organic Eutectic Mixture for Thermal Energy Storage</b:Title>
    <b:JournalName>Lecture Notes in Mechanical Engineering</b:JournalName>
    <b:Year>2021</b:Year>
    <b:Pages>787 - 794</b:Pages>
    <b:Author>
      <b:Author>
        <b:NameList>
          <b:Person>
            <b:Last>Ansu</b:Last>
            <b:First>Alok Kumar</b:First>
          </b:Person>
          <b:Person>
            <b:Last>Sharma</b:Last>
            <b:First>Ravi Kumar</b:First>
          </b:Person>
          <b:Person>
            <b:Last>Singh</b:Last>
            <b:First>Pooja </b:First>
          </b:Person>
        </b:NameList>
      </b:Author>
    </b:Author>
    <b:RefOrder>10</b:RefOrder>
  </b:Source>
  <b:Source>
    <b:Tag>Liz22</b:Tag>
    <b:SourceType>JournalArticle</b:SourceType>
    <b:Guid>{9896EF72-CB42-4C3B-A7F6-C5D37EA2F351}</b:Guid>
    <b:Title>Production of Fatty Esters from Palm Oil By-Products for use Phase Change Materials</b:Title>
    <b:JournalName>Chemical Engineering Transactions</b:JournalName>
    <b:Year>2022</b:Year>
    <b:Author>
      <b:Author>
        <b:NameList>
          <b:Person>
            <b:Last>Lizcano González</b:Last>
            <b:First>Víctor A.</b:First>
          </b:Person>
          <b:Person>
            <b:Last>Viatcheslav V.</b:Last>
            <b:First>Kafarov</b:First>
          </b:Person>
          <b:Person>
            <b:Last>Khamid </b:Last>
            <b:First>Mahkamov</b:First>
          </b:Person>
        </b:NameList>
      </b:Author>
    </b:Author>
    <b:RefOrder>11</b:RefOrder>
  </b:Source>
</b:Sources>
</file>

<file path=customXml/itemProps1.xml><?xml version="1.0" encoding="utf-8"?>
<ds:datastoreItem xmlns:ds="http://schemas.openxmlformats.org/officeDocument/2006/customXml" ds:itemID="{7B45F661-FCB7-4C21-81EF-747423E16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6</Pages>
  <Words>2566</Words>
  <Characters>14115</Characters>
  <Application>Microsoft Office Word</Application>
  <DocSecurity>0</DocSecurity>
  <Lines>117</Lines>
  <Paragraphs>33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VICTOR.LIZCANO@correo.uis.edu.co</cp:lastModifiedBy>
  <cp:revision>316</cp:revision>
  <cp:lastPrinted>2015-05-12T18:31:00Z</cp:lastPrinted>
  <dcterms:created xsi:type="dcterms:W3CDTF">2023-02-08T21:00:00Z</dcterms:created>
  <dcterms:modified xsi:type="dcterms:W3CDTF">2023-03-22T14:25:00Z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