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496E12">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es-ES" w:eastAsia="es-ES"/>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es-ES" w:eastAsia="es-ES"/>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496E12">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496E12">
        <w:trPr>
          <w:trHeight w:val="68"/>
          <w:jc w:val="center"/>
        </w:trPr>
        <w:tc>
          <w:tcPr>
            <w:tcW w:w="8782" w:type="dxa"/>
            <w:gridSpan w:val="2"/>
          </w:tcPr>
          <w:p w14:paraId="1D8DD3C9" w14:textId="086598E2"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Editors:</w:t>
            </w:r>
            <w:r w:rsidRPr="00F93EDF">
              <w:rPr>
                <w:rFonts w:ascii="Tahoma" w:hAnsi="Tahoma" w:cs="Tahoma"/>
                <w:color w:val="000000"/>
                <w:sz w:val="14"/>
                <w:szCs w:val="14"/>
                <w:shd w:val="clear" w:color="auto" w:fill="FFFFFF"/>
              </w:rPr>
              <w:t xml:space="preserve"> </w:t>
            </w:r>
          </w:p>
          <w:p w14:paraId="1B0F1814" w14:textId="1CDEFB22"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557E00">
              <w:rPr>
                <w:rFonts w:ascii="Tahoma" w:hAnsi="Tahoma" w:cs="Tahoma"/>
                <w:sz w:val="14"/>
                <w:szCs w:val="14"/>
              </w:rPr>
              <w:t>XX</w:t>
            </w:r>
            <w:r w:rsidR="00D2582C">
              <w:rPr>
                <w:rFonts w:ascii="Tahoma" w:hAnsi="Tahoma" w:cs="Tahoma"/>
                <w:sz w:val="14"/>
                <w:szCs w:val="14"/>
              </w:rPr>
              <w:t>-</w:t>
            </w:r>
            <w:r w:rsidR="00557E00">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66C5A931" w:rsidR="00E978D0" w:rsidRPr="00B57B36" w:rsidRDefault="00496E12" w:rsidP="00E978D0">
      <w:pPr>
        <w:pStyle w:val="CETTitle"/>
      </w:pPr>
      <w:r w:rsidRPr="00496E12">
        <w:t>Development of PLGA-PEDOT Mixed Polymeric Scaffolds and their Impregnation with Natural Extracts Using Supercritical CO</w:t>
      </w:r>
      <w:r w:rsidRPr="00496E12">
        <w:rPr>
          <w:vertAlign w:val="subscript"/>
        </w:rPr>
        <w:t>2</w:t>
      </w:r>
      <w:r w:rsidRPr="00496E12">
        <w:t xml:space="preserve"> </w:t>
      </w:r>
    </w:p>
    <w:p w14:paraId="346DFB57" w14:textId="7AD0A73C" w:rsidR="00B3574B" w:rsidRPr="00215533" w:rsidRDefault="00B3574B" w:rsidP="00B57E6F">
      <w:pPr>
        <w:pStyle w:val="CETAddress"/>
        <w:rPr>
          <w:sz w:val="24"/>
          <w:lang w:val="es-ES"/>
        </w:rPr>
      </w:pPr>
      <w:r w:rsidRPr="00215533">
        <w:rPr>
          <w:sz w:val="24"/>
          <w:lang w:val="es-ES"/>
        </w:rPr>
        <w:t>Diego Valor*, Ignacio García-Casas, Antonio Montes, Clara Pereyra, Enrique M. De la Ossa</w:t>
      </w:r>
    </w:p>
    <w:p w14:paraId="6CA133EE" w14:textId="77777777" w:rsidR="00B3574B" w:rsidRPr="00215533" w:rsidRDefault="00B3574B" w:rsidP="00B57E6F">
      <w:pPr>
        <w:pStyle w:val="CETAddress"/>
        <w:rPr>
          <w:sz w:val="24"/>
          <w:lang w:val="es-ES"/>
        </w:rPr>
      </w:pPr>
    </w:p>
    <w:p w14:paraId="7D988AD4" w14:textId="4F236DC4" w:rsidR="00B3574B" w:rsidRPr="00B3574B" w:rsidRDefault="00B3574B" w:rsidP="00B3574B">
      <w:pPr>
        <w:pStyle w:val="CETAddress"/>
        <w:jc w:val="both"/>
        <w:rPr>
          <w:lang w:val="es-ES"/>
        </w:rPr>
      </w:pPr>
      <w:r w:rsidRPr="008A00FB">
        <w:t>Department of Chemical Engineering and Food Technology, Faculty of Sciences, International Excellence Agrifood Campus (CeiA3)</w:t>
      </w:r>
      <w:r>
        <w:t xml:space="preserve">. </w:t>
      </w:r>
      <w:r w:rsidRPr="00B3574B">
        <w:rPr>
          <w:lang w:val="es-ES"/>
        </w:rPr>
        <w:t>University of Cadiz, Campus Universitario Río San Pedro, 11510, Puerto Real (Cadiz), Spain.</w:t>
      </w:r>
    </w:p>
    <w:p w14:paraId="29C72A06" w14:textId="5E4BE3EF" w:rsidR="00B3574B" w:rsidRDefault="00B3574B" w:rsidP="00B3574B">
      <w:pPr>
        <w:pStyle w:val="CETAddress"/>
        <w:rPr>
          <w:lang w:val="es-ES"/>
        </w:rPr>
      </w:pPr>
      <w:r w:rsidRPr="003A25AB">
        <w:rPr>
          <w:lang w:val="es-ES"/>
        </w:rPr>
        <w:t>diego.valor</w:t>
      </w:r>
      <w:r w:rsidRPr="003A25AB">
        <w:rPr>
          <w:rFonts w:cs="Arial"/>
          <w:lang w:val="es-ES"/>
        </w:rPr>
        <w:t>@</w:t>
      </w:r>
      <w:r w:rsidRPr="003A25AB">
        <w:rPr>
          <w:lang w:val="es-ES"/>
        </w:rPr>
        <w:t>uca.es</w:t>
      </w:r>
    </w:p>
    <w:p w14:paraId="596735B6" w14:textId="1E1492CE" w:rsidR="00B3574B" w:rsidRDefault="00B3574B" w:rsidP="00B3574B">
      <w:pPr>
        <w:pStyle w:val="CETAddress"/>
        <w:rPr>
          <w:lang w:val="es-ES"/>
        </w:rPr>
      </w:pPr>
    </w:p>
    <w:p w14:paraId="73821441" w14:textId="1E10220B" w:rsidR="00206FF0" w:rsidRPr="00632B10" w:rsidRDefault="000E1533" w:rsidP="00632B10">
      <w:pPr>
        <w:pStyle w:val="CETAddress"/>
        <w:jc w:val="both"/>
        <w:rPr>
          <w:noProof w:val="0"/>
          <w:sz w:val="18"/>
          <w:szCs w:val="18"/>
        </w:rPr>
      </w:pPr>
      <w:r w:rsidRPr="003A25AB">
        <w:rPr>
          <w:noProof w:val="0"/>
          <w:sz w:val="18"/>
          <w:szCs w:val="18"/>
        </w:rPr>
        <w:t xml:space="preserve">Conjugated materials are increasingly becoming a vital component in the production of therapeutic scaffolds through the creation of foams. This is due to the unique properties they possess that are not commonly found in other traditional polymers used in the industry. </w:t>
      </w:r>
      <w:r w:rsidR="00DF217E" w:rsidRPr="003A25AB">
        <w:rPr>
          <w:noProof w:val="0"/>
          <w:sz w:val="18"/>
          <w:szCs w:val="18"/>
        </w:rPr>
        <w:t xml:space="preserve">This </w:t>
      </w:r>
      <w:r w:rsidR="00C61F4E" w:rsidRPr="00C61F4E">
        <w:rPr>
          <w:noProof w:val="0"/>
          <w:sz w:val="18"/>
          <w:szCs w:val="18"/>
        </w:rPr>
        <w:t>preliminary</w:t>
      </w:r>
      <w:r w:rsidR="00C61F4E">
        <w:rPr>
          <w:noProof w:val="0"/>
          <w:sz w:val="18"/>
          <w:szCs w:val="18"/>
        </w:rPr>
        <w:t xml:space="preserve"> </w:t>
      </w:r>
      <w:r w:rsidR="00DF217E" w:rsidRPr="003A25AB">
        <w:rPr>
          <w:noProof w:val="0"/>
          <w:sz w:val="18"/>
          <w:szCs w:val="18"/>
        </w:rPr>
        <w:t>study investigates the formation of conductive and porous scaffolds of PLGA/</w:t>
      </w:r>
      <w:proofErr w:type="gramStart"/>
      <w:r w:rsidR="00DF217E" w:rsidRPr="003A25AB">
        <w:rPr>
          <w:noProof w:val="0"/>
          <w:sz w:val="18"/>
          <w:szCs w:val="18"/>
        </w:rPr>
        <w:t>PEDOT:PSS</w:t>
      </w:r>
      <w:proofErr w:type="gramEnd"/>
      <w:r w:rsidR="00DF217E" w:rsidRPr="003A25AB">
        <w:rPr>
          <w:noProof w:val="0"/>
          <w:sz w:val="18"/>
          <w:szCs w:val="18"/>
        </w:rPr>
        <w:t xml:space="preserve"> and </w:t>
      </w:r>
      <w:r w:rsidR="00424D1D">
        <w:rPr>
          <w:noProof w:val="0"/>
          <w:sz w:val="18"/>
          <w:szCs w:val="18"/>
        </w:rPr>
        <w:t>their</w:t>
      </w:r>
      <w:r w:rsidR="00EF3D8B">
        <w:rPr>
          <w:noProof w:val="0"/>
          <w:sz w:val="18"/>
          <w:szCs w:val="18"/>
        </w:rPr>
        <w:t xml:space="preserve"> </w:t>
      </w:r>
      <w:r w:rsidR="00DF217E" w:rsidRPr="003A25AB">
        <w:rPr>
          <w:noProof w:val="0"/>
          <w:sz w:val="18"/>
          <w:szCs w:val="18"/>
        </w:rPr>
        <w:t>impregnation with an ethanolic extract of mango leaves using supercritical CO</w:t>
      </w:r>
      <w:r w:rsidR="00DF217E" w:rsidRPr="00EF3D8B">
        <w:rPr>
          <w:noProof w:val="0"/>
          <w:sz w:val="18"/>
          <w:szCs w:val="18"/>
          <w:vertAlign w:val="subscript"/>
        </w:rPr>
        <w:t>2</w:t>
      </w:r>
      <w:r w:rsidR="00DF217E" w:rsidRPr="003A25AB">
        <w:rPr>
          <w:noProof w:val="0"/>
          <w:sz w:val="18"/>
          <w:szCs w:val="18"/>
        </w:rPr>
        <w:t>. The effect of various process parameters, such as pressure, temperature, contact time, and polymer ratio, on the forma</w:t>
      </w:r>
      <w:r w:rsidR="00EF3D8B">
        <w:rPr>
          <w:noProof w:val="0"/>
          <w:sz w:val="18"/>
          <w:szCs w:val="18"/>
        </w:rPr>
        <w:t xml:space="preserve">tion of the scaffolds and their </w:t>
      </w:r>
      <w:r w:rsidR="00DF217E" w:rsidRPr="003A25AB">
        <w:rPr>
          <w:noProof w:val="0"/>
          <w:sz w:val="18"/>
          <w:szCs w:val="18"/>
        </w:rPr>
        <w:t xml:space="preserve">properties were studied. The results were </w:t>
      </w:r>
      <w:proofErr w:type="spellStart"/>
      <w:r w:rsidR="00DF217E" w:rsidRPr="003A25AB">
        <w:rPr>
          <w:noProof w:val="0"/>
          <w:sz w:val="18"/>
          <w:szCs w:val="18"/>
        </w:rPr>
        <w:t>analyzed</w:t>
      </w:r>
      <w:proofErr w:type="spellEnd"/>
      <w:r w:rsidR="00DF217E" w:rsidRPr="003A25AB">
        <w:rPr>
          <w:noProof w:val="0"/>
          <w:sz w:val="18"/>
          <w:szCs w:val="18"/>
        </w:rPr>
        <w:t xml:space="preserve"> using scanning electron microscopy, DPPH assay, and the Folin-</w:t>
      </w:r>
      <w:proofErr w:type="spellStart"/>
      <w:r w:rsidR="00DF217E" w:rsidRPr="003A25AB">
        <w:rPr>
          <w:noProof w:val="0"/>
          <w:sz w:val="18"/>
          <w:szCs w:val="18"/>
        </w:rPr>
        <w:t>Ciocalteu</w:t>
      </w:r>
      <w:proofErr w:type="spellEnd"/>
      <w:r w:rsidR="00DF217E" w:rsidRPr="003A25AB">
        <w:rPr>
          <w:noProof w:val="0"/>
          <w:sz w:val="18"/>
          <w:szCs w:val="18"/>
        </w:rPr>
        <w:t xml:space="preserve"> method for polyphenols.</w:t>
      </w:r>
      <w:r w:rsidR="00EF3D8B">
        <w:rPr>
          <w:noProof w:val="0"/>
          <w:sz w:val="18"/>
          <w:szCs w:val="18"/>
        </w:rPr>
        <w:t xml:space="preserve"> </w:t>
      </w:r>
      <w:r w:rsidR="00DF217E" w:rsidRPr="003A25AB">
        <w:rPr>
          <w:noProof w:val="0"/>
          <w:sz w:val="18"/>
          <w:szCs w:val="18"/>
        </w:rPr>
        <w:t>The</w:t>
      </w:r>
      <w:r w:rsidR="00206FF0">
        <w:rPr>
          <w:noProof w:val="0"/>
          <w:sz w:val="18"/>
          <w:szCs w:val="18"/>
        </w:rPr>
        <w:t xml:space="preserve"> </w:t>
      </w:r>
      <w:r w:rsidR="00206FF0" w:rsidRPr="003A25AB">
        <w:rPr>
          <w:noProof w:val="0"/>
          <w:sz w:val="18"/>
          <w:szCs w:val="18"/>
        </w:rPr>
        <w:t>produced</w:t>
      </w:r>
      <w:r w:rsidR="00DF217E" w:rsidRPr="003A25AB">
        <w:rPr>
          <w:noProof w:val="0"/>
          <w:sz w:val="18"/>
          <w:szCs w:val="18"/>
        </w:rPr>
        <w:t xml:space="preserve"> scaffolds showed various pore </w:t>
      </w:r>
      <w:r w:rsidR="00DF217E" w:rsidRPr="0080693D">
        <w:rPr>
          <w:noProof w:val="0"/>
          <w:sz w:val="18"/>
          <w:szCs w:val="18"/>
        </w:rPr>
        <w:t>sizes</w:t>
      </w:r>
      <w:r w:rsidR="00EF3D8B" w:rsidRPr="0080693D">
        <w:rPr>
          <w:noProof w:val="0"/>
          <w:sz w:val="18"/>
          <w:szCs w:val="18"/>
        </w:rPr>
        <w:t xml:space="preserve"> (</w:t>
      </w:r>
      <w:r w:rsidR="0080693D" w:rsidRPr="0080693D">
        <w:rPr>
          <w:noProof w:val="0"/>
          <w:sz w:val="18"/>
          <w:szCs w:val="18"/>
        </w:rPr>
        <w:t xml:space="preserve">10 to 100 </w:t>
      </w:r>
      <w:r w:rsidR="0080693D" w:rsidRPr="0080693D">
        <w:rPr>
          <w:rFonts w:cs="Arial"/>
          <w:noProof w:val="0"/>
          <w:sz w:val="18"/>
          <w:szCs w:val="18"/>
        </w:rPr>
        <w:t>µ</w:t>
      </w:r>
      <w:r w:rsidR="0080693D" w:rsidRPr="0080693D">
        <w:rPr>
          <w:noProof w:val="0"/>
          <w:sz w:val="18"/>
          <w:szCs w:val="18"/>
        </w:rPr>
        <w:t>m</w:t>
      </w:r>
      <w:r w:rsidR="00EF3D8B" w:rsidRPr="0080693D">
        <w:rPr>
          <w:noProof w:val="0"/>
          <w:sz w:val="18"/>
          <w:szCs w:val="18"/>
        </w:rPr>
        <w:t>)</w:t>
      </w:r>
      <w:r w:rsidR="00DF217E" w:rsidRPr="0080693D">
        <w:rPr>
          <w:noProof w:val="0"/>
          <w:sz w:val="18"/>
          <w:szCs w:val="18"/>
        </w:rPr>
        <w:t>,</w:t>
      </w:r>
      <w:r w:rsidR="00DF217E" w:rsidRPr="003A25AB">
        <w:rPr>
          <w:noProof w:val="0"/>
          <w:sz w:val="18"/>
          <w:szCs w:val="18"/>
        </w:rPr>
        <w:t xml:space="preserve"> and high antioxidant </w:t>
      </w:r>
      <w:r w:rsidR="0044139C" w:rsidRPr="003A25AB">
        <w:rPr>
          <w:noProof w:val="0"/>
          <w:sz w:val="18"/>
          <w:szCs w:val="18"/>
        </w:rPr>
        <w:t>capacities</w:t>
      </w:r>
      <w:r w:rsidR="0044139C">
        <w:rPr>
          <w:noProof w:val="0"/>
          <w:sz w:val="18"/>
          <w:szCs w:val="18"/>
        </w:rPr>
        <w:t xml:space="preserve"> </w:t>
      </w:r>
      <w:r w:rsidR="00DF217E" w:rsidRPr="003A25AB">
        <w:rPr>
          <w:noProof w:val="0"/>
          <w:sz w:val="18"/>
          <w:szCs w:val="18"/>
        </w:rPr>
        <w:t xml:space="preserve">and impregnation </w:t>
      </w:r>
      <w:r w:rsidR="00F87B7A">
        <w:rPr>
          <w:noProof w:val="0"/>
          <w:sz w:val="18"/>
          <w:szCs w:val="18"/>
        </w:rPr>
        <w:t xml:space="preserve">of the </w:t>
      </w:r>
      <w:r w:rsidR="0044139C">
        <w:rPr>
          <w:noProof w:val="0"/>
          <w:sz w:val="18"/>
          <w:szCs w:val="18"/>
        </w:rPr>
        <w:t xml:space="preserve">phenolic </w:t>
      </w:r>
      <w:r w:rsidR="00F87B7A">
        <w:rPr>
          <w:noProof w:val="0"/>
          <w:sz w:val="18"/>
          <w:szCs w:val="18"/>
        </w:rPr>
        <w:t>compounds were achieved</w:t>
      </w:r>
      <w:r w:rsidR="00DF217E" w:rsidRPr="003A25AB">
        <w:rPr>
          <w:noProof w:val="0"/>
          <w:sz w:val="18"/>
          <w:szCs w:val="18"/>
        </w:rPr>
        <w:t>. The results suggest that the scaffolds</w:t>
      </w:r>
      <w:r w:rsidR="0080693D">
        <w:rPr>
          <w:noProof w:val="0"/>
          <w:sz w:val="18"/>
          <w:szCs w:val="18"/>
        </w:rPr>
        <w:t xml:space="preserve"> </w:t>
      </w:r>
      <w:r w:rsidR="0080693D" w:rsidRPr="0080693D">
        <w:rPr>
          <w:noProof w:val="0"/>
          <w:sz w:val="18"/>
          <w:szCs w:val="18"/>
        </w:rPr>
        <w:t>and the proposed technique</w:t>
      </w:r>
      <w:r w:rsidR="00DF217E" w:rsidRPr="003A25AB">
        <w:rPr>
          <w:noProof w:val="0"/>
          <w:sz w:val="18"/>
          <w:szCs w:val="18"/>
        </w:rPr>
        <w:t xml:space="preserve"> have potential for various biomedical applications due to their</w:t>
      </w:r>
      <w:r w:rsidR="00C61F4E" w:rsidRPr="00C61F4E">
        <w:rPr>
          <w:noProof w:val="0"/>
          <w:sz w:val="18"/>
          <w:szCs w:val="18"/>
        </w:rPr>
        <w:t xml:space="preserve"> porous structure</w:t>
      </w:r>
      <w:r w:rsidR="00C61F4E">
        <w:rPr>
          <w:noProof w:val="0"/>
          <w:sz w:val="18"/>
          <w:szCs w:val="18"/>
        </w:rPr>
        <w:t xml:space="preserve"> and </w:t>
      </w:r>
      <w:r w:rsidR="00DF217E" w:rsidRPr="003A25AB">
        <w:rPr>
          <w:noProof w:val="0"/>
          <w:sz w:val="18"/>
          <w:szCs w:val="18"/>
        </w:rPr>
        <w:t>antioxida</w:t>
      </w:r>
      <w:r w:rsidR="00C61F4E">
        <w:rPr>
          <w:noProof w:val="0"/>
          <w:sz w:val="18"/>
          <w:szCs w:val="18"/>
        </w:rPr>
        <w:t xml:space="preserve">nt </w:t>
      </w:r>
      <w:r w:rsidRPr="003A25AB">
        <w:rPr>
          <w:noProof w:val="0"/>
          <w:sz w:val="18"/>
          <w:szCs w:val="18"/>
        </w:rPr>
        <w:t>capacities</w:t>
      </w:r>
      <w:r w:rsidR="00C61F4E">
        <w:rPr>
          <w:noProof w:val="0"/>
          <w:sz w:val="18"/>
          <w:szCs w:val="18"/>
        </w:rPr>
        <w:t>.</w:t>
      </w:r>
    </w:p>
    <w:p w14:paraId="476B2F2E" w14:textId="77777777" w:rsidR="00600535" w:rsidRPr="00B57B36" w:rsidRDefault="00600535" w:rsidP="00600535">
      <w:pPr>
        <w:pStyle w:val="CETHeading1"/>
        <w:rPr>
          <w:lang w:val="en-GB"/>
        </w:rPr>
      </w:pPr>
      <w:r w:rsidRPr="00B57B36">
        <w:rPr>
          <w:lang w:val="en-GB"/>
        </w:rPr>
        <w:t>Introduction</w:t>
      </w:r>
    </w:p>
    <w:p w14:paraId="18DC7A51" w14:textId="3460E13F" w:rsidR="0030491C" w:rsidRDefault="0030491C" w:rsidP="0030491C">
      <w:pPr>
        <w:pStyle w:val="CETBodytext"/>
        <w:rPr>
          <w:lang w:val="en-GB"/>
        </w:rPr>
      </w:pPr>
      <w:r w:rsidRPr="0030491C">
        <w:rPr>
          <w:lang w:val="en-GB"/>
        </w:rPr>
        <w:t>The current research interest on composite 3D structures has increased considerably, especially due to the support for cell attachment that they provi</w:t>
      </w:r>
      <w:r w:rsidR="00496E12">
        <w:rPr>
          <w:lang w:val="en-GB"/>
        </w:rPr>
        <w:t xml:space="preserve">de to in vitro culture cells </w:t>
      </w:r>
      <w:r w:rsidR="000221A1">
        <w:rPr>
          <w:rStyle w:val="Refdenotaalpie"/>
          <w:lang w:val="en-GB"/>
        </w:rPr>
        <w:fldChar w:fldCharType="begin" w:fldLock="1"/>
      </w:r>
      <w:r w:rsidR="00B0335A">
        <w:rPr>
          <w:lang w:val="en-GB"/>
        </w:rPr>
        <w:instrText>ADDIN CSL_CITATION {"citationItems":[{"id":"ITEM-1","itemData":{"DOI":"10.1016/S0142-9612(03)00340-5","ISSN":"01429612","PMID":"12922147","abstract":"Polymer scaffolds have many different functions in the field of tissue engineering. They are applied as space filling agents, as delivery vehicles for bioactive molecules, and as three-dimensional structures that organize cells and present stimuli to direct the formation of a desired tissue. Much of the success of scaffolds in these roles hinges on finding an appropriate material to address the critical physical, mass transport, and biological design variables inherent to each application. Hydrogels are an appealing scaffold material because they are structurally similar to the extracellular matrix of many tissues, can often be processed under relatively mild conditions, and may be delivered in a minimally invasive manner. Consequently, hydrogels have been utilized as scaffold materials for drug and growth factor delivery, engineering tissue replacements, and a variety of other applications. © 2003 Elsevier Ltd. All rights reserved.","author":[{"dropping-particle":"","family":"Drury","given":"Jeanie L.","non-dropping-particle":"","parse-names":false,"suffix":""},{"dropping-particle":"","family":"Mooney","given":"David J.","non-dropping-particle":"","parse-names":false,"suffix":""}],"container-title":"Biomaterials","id":"ITEM-1","issue":"24","issued":{"date-parts":[["2003"]]},"page":"4337-4351","title":"Hydrogels for tissue engineering: Scaffold design variables and applications","type":"article-journal","volume":"24"},"uris":["http://www.mendeley.com/documents/?uuid=2cc5b626-121c-4756-9e6d-2ca3040938e3"]}],"mendeley":{"formattedCitation":"(Drury &amp; Mooney, 2003)","plainTextFormattedCitation":"(Drury &amp; Mooney, 2003)","previouslyFormattedCitation":"(Drury &amp; Mooney, 2003)"},"properties":{"noteIndex":0},"schema":"https://github.com/citation-style-language/schema/raw/master/csl-citation.json"}</w:instrText>
      </w:r>
      <w:r w:rsidR="000221A1">
        <w:rPr>
          <w:rStyle w:val="Refdenotaalpie"/>
          <w:lang w:val="en-GB"/>
        </w:rPr>
        <w:fldChar w:fldCharType="separate"/>
      </w:r>
      <w:r w:rsidR="004C6592" w:rsidRPr="004C6592">
        <w:rPr>
          <w:bCs/>
          <w:noProof/>
          <w:lang w:val="en-GB"/>
        </w:rPr>
        <w:t xml:space="preserve">(Drury </w:t>
      </w:r>
      <w:r w:rsidR="00FF4B4F">
        <w:rPr>
          <w:bCs/>
          <w:noProof/>
          <w:lang w:val="en-GB"/>
        </w:rPr>
        <w:t>and</w:t>
      </w:r>
      <w:r w:rsidR="004C6592" w:rsidRPr="004C6592">
        <w:rPr>
          <w:bCs/>
          <w:noProof/>
          <w:lang w:val="en-GB"/>
        </w:rPr>
        <w:t xml:space="preserve"> Mooney, 2003)</w:t>
      </w:r>
      <w:r w:rsidR="000221A1">
        <w:rPr>
          <w:rStyle w:val="Refdenotaalpie"/>
          <w:lang w:val="en-GB"/>
        </w:rPr>
        <w:fldChar w:fldCharType="end"/>
      </w:r>
      <w:r w:rsidRPr="0030491C">
        <w:rPr>
          <w:lang w:val="en-GB"/>
        </w:rPr>
        <w:t>. The flexibility and porosity of these structures are their most important properties for their use in tissue engineering, and polymers or mixtures of these are commonly used materials, owing to</w:t>
      </w:r>
      <w:r w:rsidR="00496E12">
        <w:rPr>
          <w:lang w:val="en-GB"/>
        </w:rPr>
        <w:t xml:space="preserve"> their mechanical properties </w:t>
      </w:r>
      <w:r w:rsidR="000221A1">
        <w:rPr>
          <w:rStyle w:val="Refdenotaalpie"/>
          <w:lang w:val="en-GB"/>
        </w:rPr>
        <w:fldChar w:fldCharType="begin" w:fldLock="1"/>
      </w:r>
      <w:r w:rsidR="00B0335A">
        <w:rPr>
          <w:lang w:val="en-GB"/>
        </w:rPr>
        <w:instrText>ADDIN CSL_CITATION {"citationItems":[{"id":"ITEM-1","itemData":{"DOI":"10.1007/s00586-008-0745-3","ISSN":"09406719","PMID":"19005702","abstract":"Scaffolds represent important components for tissue engineering. However, researchers often encounter an enormous variety of choices when selecting scaffolds for tissue engineering. This paper aims to review the functions of scaffolds and the major scaffolding approaches as important guidelines for selecting scaffolds and discuss the tissue-specific considerations for scaffolding, using intervertebral disc as an example. © 2008 Springer-Verlag.","author":[{"dropping-particle":"","family":"Chan","given":"B. P.","non-dropping-particle":"","parse-names":false,"suffix":""},{"dropping-particle":"","family":"Leong","given":"K. W.","non-dropping-particle":"","parse-names":false,"suffix":""}],"container-title":"European Spine Journal","id":"ITEM-1","issue":"SUPPL. 4","issued":{"date-parts":[["2008"]]},"title":"Scaffolding in tissue engineering: General approaches and tissue-specific considerations","type":"article-journal","volume":"17"},"uris":["http://www.mendeley.com/documents/?uuid=80445dcc-5443-4dd2-a60d-d970de47efd0"]}],"mendeley":{"formattedCitation":"(Chan &amp; Leong, 2008)","plainTextFormattedCitation":"(Chan &amp; Leong, 2008)","previouslyFormattedCitation":"(Chan &amp; Leong, 2008)"},"properties":{"noteIndex":0},"schema":"https://github.com/citation-style-language/schema/raw/master/csl-citation.json"}</w:instrText>
      </w:r>
      <w:r w:rsidR="000221A1">
        <w:rPr>
          <w:rStyle w:val="Refdenotaalpie"/>
          <w:lang w:val="en-GB"/>
        </w:rPr>
        <w:fldChar w:fldCharType="separate"/>
      </w:r>
      <w:r w:rsidR="004C6592" w:rsidRPr="004C6592">
        <w:rPr>
          <w:bCs/>
          <w:noProof/>
          <w:lang w:val="en-GB"/>
        </w:rPr>
        <w:t xml:space="preserve">(Chan </w:t>
      </w:r>
      <w:r w:rsidR="00FF4B4F">
        <w:rPr>
          <w:bCs/>
          <w:noProof/>
          <w:lang w:val="en-GB"/>
        </w:rPr>
        <w:t>and</w:t>
      </w:r>
      <w:r w:rsidR="004C6592" w:rsidRPr="004C6592">
        <w:rPr>
          <w:bCs/>
          <w:noProof/>
          <w:lang w:val="en-GB"/>
        </w:rPr>
        <w:t xml:space="preserve"> Leong, 2008)</w:t>
      </w:r>
      <w:r w:rsidR="000221A1">
        <w:rPr>
          <w:rStyle w:val="Refdenotaalpie"/>
          <w:lang w:val="en-GB"/>
        </w:rPr>
        <w:fldChar w:fldCharType="end"/>
      </w:r>
      <w:r w:rsidRPr="0030491C">
        <w:rPr>
          <w:lang w:val="en-GB"/>
        </w:rPr>
        <w:t>. To mimic the extracellular matrix, materials must have an internal structure with interconnected pores or large void</w:t>
      </w:r>
      <w:r w:rsidR="00496E12">
        <w:rPr>
          <w:lang w:val="en-GB"/>
        </w:rPr>
        <w:t xml:space="preserve">s, called scaffolds </w:t>
      </w:r>
      <w:r w:rsidR="000221A1">
        <w:rPr>
          <w:rStyle w:val="Refdenotaalpie"/>
          <w:lang w:val="en-GB"/>
        </w:rPr>
        <w:fldChar w:fldCharType="begin" w:fldLock="1"/>
      </w:r>
      <w:r w:rsidR="00B0335A">
        <w:rPr>
          <w:lang w:val="en-GB"/>
        </w:rPr>
        <w:instrText>ADDIN CSL_CITATION {"citationItems":[{"id":"ITEM-1","itemData":{"DOI":"10.4161/cam.2.1.5884","ISSN":"19336926","PMID":"19262124","abstract":"Cell colonization is an important in a wide variety of biological processes and applications including vascularization, wound healing, tissue engineering, stem cell differentiation and biosensors. During colonization porous 3D structures are used to support and guide the ingrowth of cells into the matrix. In this review, we summarize our understanding of various factors affecting cell colonization in three-dimensional environment. The structural, biological and degradation properties of the matrix all play key roles during colonization. Further, specific scaffold properties such as porosity, pore size, fiber thickness, topography and scaffold stiffness as well as important cell material interactions such as cell adhesion and mechanotransduction also influence colonization.","author":[{"dropping-particle":"","family":"Lawrence","given":"Benjamin J.","non-dropping-particle":"","parse-names":false,"suffix":""},{"dropping-particle":"V.","family":"Madihally","given":"Sundararajan","non-dropping-particle":"","parse-names":false,"suffix":""}],"container-title":"Cell adhesion &amp; migration","id":"ITEM-1","issue":"1","issued":{"date-parts":[["2008"]]},"page":"9-16","title":"Cell colonization in degradable 3D porous matrices.","type":"article-journal","volume":"2"},"uris":["http://www.mendeley.com/documents/?uuid=f40064cc-b66d-47c5-ba0a-f74b07de4fb9"]}],"mendeley":{"formattedCitation":"(Lawrence &amp; Madihally, 2008)","plainTextFormattedCitation":"(Lawrence &amp; Madihally, 2008)","previouslyFormattedCitation":"(Lawrence &amp; Madihally, 2008)"},"properties":{"noteIndex":0},"schema":"https://github.com/citation-style-language/schema/raw/master/csl-citation.json"}</w:instrText>
      </w:r>
      <w:r w:rsidR="000221A1">
        <w:rPr>
          <w:rStyle w:val="Refdenotaalpie"/>
          <w:lang w:val="en-GB"/>
        </w:rPr>
        <w:fldChar w:fldCharType="separate"/>
      </w:r>
      <w:r w:rsidR="004C6592" w:rsidRPr="004C6592">
        <w:rPr>
          <w:bCs/>
          <w:noProof/>
          <w:lang w:val="en-GB"/>
        </w:rPr>
        <w:t xml:space="preserve">(Lawrence </w:t>
      </w:r>
      <w:r w:rsidR="00FF4B4F">
        <w:rPr>
          <w:bCs/>
          <w:noProof/>
          <w:lang w:val="en-GB"/>
        </w:rPr>
        <w:t>and</w:t>
      </w:r>
      <w:r w:rsidR="004C6592" w:rsidRPr="004C6592">
        <w:rPr>
          <w:bCs/>
          <w:noProof/>
          <w:lang w:val="en-GB"/>
        </w:rPr>
        <w:t xml:space="preserve"> Madihally, 2008)</w:t>
      </w:r>
      <w:r w:rsidR="000221A1">
        <w:rPr>
          <w:rStyle w:val="Refdenotaalpie"/>
          <w:lang w:val="en-GB"/>
        </w:rPr>
        <w:fldChar w:fldCharType="end"/>
      </w:r>
      <w:r w:rsidRPr="0030491C">
        <w:rPr>
          <w:lang w:val="en-GB"/>
        </w:rPr>
        <w:t>.</w:t>
      </w:r>
    </w:p>
    <w:p w14:paraId="300342CC" w14:textId="6B5E344D" w:rsidR="00632B10" w:rsidRDefault="0030491C" w:rsidP="0030491C">
      <w:pPr>
        <w:pStyle w:val="CETBodytext"/>
        <w:rPr>
          <w:lang w:val="en-GB"/>
        </w:rPr>
      </w:pPr>
      <w:r w:rsidRPr="0030491C">
        <w:rPr>
          <w:lang w:val="en-GB"/>
        </w:rPr>
        <w:t>Recent research has shed light on the advantages of utilizing biodegradable and conductive copolymers to facilitate cell pro</w:t>
      </w:r>
      <w:r w:rsidR="00496E12">
        <w:rPr>
          <w:lang w:val="en-GB"/>
        </w:rPr>
        <w:t xml:space="preserve">liferation and tissue repair </w:t>
      </w:r>
      <w:r w:rsidR="000221A1">
        <w:rPr>
          <w:rStyle w:val="Refdenotaalpie"/>
          <w:lang w:val="en-GB"/>
        </w:rPr>
        <w:fldChar w:fldCharType="begin" w:fldLock="1"/>
      </w:r>
      <w:r w:rsidR="00B0335A">
        <w:rPr>
          <w:lang w:val="en-GB"/>
        </w:rPr>
        <w:instrText>ADDIN CSL_CITATION {"citationItems":[{"id":"ITEM-1","itemData":{"DOI":"10.1016/j.biomaterials.2016.02.010","ISSN":"18785905","PMID":"26897537","abstract":"Myelination of Schwann cells (SCs) is critical for the success of peripheral nerve regeneration, and biomaterials that can promote SCs' neurotrophin secretion as scaffolds are beneficial for nerve repair. Here we present a biomaterials-approach, specifically, a highly tunable conductive biodegradable flexible polyurethane by polycondensation of poly(glycerol sebacate) and aniline pentamer, to significantly enhance SCs' myelin gene expression and neurotrophin secretion for peripheral nerve tissue engineering. SCs are cultured on these conductive polymer films, and the biocompatibility of these films and their ability to enhance myelin gene expressions and sustained neurotrophin secretion are successfully demonstrated. The mechanism of SCs' neurotrophin secretion on conductive films is demonstrated by investigating the relationship between intracellular Ca2+ level and SCs' myelination. Furthermore, the neurite growth and elongation of PC12 cells are induced by adding the neurotrophin medium suspension produced from SCs-laden conductive films. These data suggest that these conductive degradable polyurethanes that enhance SCs' myelin gene expressions and sustained neurotrophin secretion perform great potential for nerve regeneration applications.","author":[{"dropping-particle":"","family":"Wu","given":"Yaobin","non-dropping-particle":"","parse-names":false,"suffix":""},{"dropping-particle":"","family":"Wang","given":"Ling","non-dropping-particle":"","parse-names":false,"suffix":""},{"dropping-particle":"","family":"Guo","given":"Baolin","non-dropping-particle":"","parse-names":false,"suffix":""},{"dropping-particle":"","family":"Shao","given":"Yongpin","non-dropping-particle":"","parse-names":false,"suffix":""},{"dropping-particle":"","family":"Ma","given":"Peter X.","non-dropping-particle":"","parse-names":false,"suffix":""}],"container-title":"Biomaterials","id":"ITEM-1","issued":{"date-parts":[["2016"]]},"page":"18-31","publisher":"Elsevier Ltd","title":"Electroactive biodegradable polyurethane significantly enhanced Schwann cells myelin gene expression and neurotrophin secretion for peripheral nerve tissue engineering","type":"article-journal","volume":"87"},"uris":["http://www.mendeley.com/documents/?uuid=ca85fa60-4dcf-4084-ba2c-555d2983fee8"]}],"mendeley":{"formattedCitation":"(Wu et al., 2016)","plainTextFormattedCitation":"(Wu et al., 2016)","previouslyFormattedCitation":"(Wu et al., 2016)"},"properties":{"noteIndex":0},"schema":"https://github.com/citation-style-language/schema/raw/master/csl-citation.json"}</w:instrText>
      </w:r>
      <w:r w:rsidR="000221A1">
        <w:rPr>
          <w:rStyle w:val="Refdenotaalpie"/>
          <w:lang w:val="en-GB"/>
        </w:rPr>
        <w:fldChar w:fldCharType="separate"/>
      </w:r>
      <w:r w:rsidR="004C6592" w:rsidRPr="004C6592">
        <w:rPr>
          <w:bCs/>
          <w:noProof/>
          <w:lang w:val="en-GB"/>
        </w:rPr>
        <w:t>(Wu et al., 2016)</w:t>
      </w:r>
      <w:r w:rsidR="000221A1">
        <w:rPr>
          <w:rStyle w:val="Refdenotaalpie"/>
          <w:lang w:val="en-GB"/>
        </w:rPr>
        <w:fldChar w:fldCharType="end"/>
      </w:r>
      <w:r w:rsidRPr="0030491C">
        <w:rPr>
          <w:lang w:val="en-GB"/>
        </w:rPr>
        <w:t>. The presence of conductivity in organisms plays a crucial role in maintaining biological processes such as nerve signal transmission and tissue healing. Consequently, the potential of using electrical stimulation to enhance these proce</w:t>
      </w:r>
      <w:r w:rsidR="00496E12">
        <w:rPr>
          <w:lang w:val="en-GB"/>
        </w:rPr>
        <w:t xml:space="preserve">sses is gaining recognition </w:t>
      </w:r>
      <w:r w:rsidR="000221A1">
        <w:rPr>
          <w:rStyle w:val="Refdenotaalpie"/>
          <w:lang w:val="en-GB"/>
        </w:rPr>
        <w:fldChar w:fldCharType="begin" w:fldLock="1"/>
      </w:r>
      <w:r w:rsidR="00B0335A">
        <w:rPr>
          <w:lang w:val="en-GB"/>
        </w:rPr>
        <w:instrText>ADDIN CSL_CITATION {"citationItems":[{"id":"ITEM-1","itemData":{"DOI":"10.1002/adhm.202001384","ISSN":"21922659","PMID":"33274846","abstract":"The use of conductive materials to promote the activity of electrically responsive cells is an effective means of accelerating wound healing. This article focuses on recent advancements in conductive materials, with emphasis on overviewing their incorporation with non-conducting polymers to fabricate electroactive wound dressings. The characteristics of these electroactive dressings are deliberated, and the mechanisms on how they accelerate the wound healing process are discussed. Potential directions for the future development of electroactive wound dressings and their potential in monitoring the course of wound healing in vivo concomitantly are also proposed.","author":[{"dropping-particle":"","family":"Korupalli","given":"Chiranjeevi","non-dropping-particle":"","parse-names":false,"suffix":""},{"dropping-particle":"","family":"Li","given":"Hui","non-dropping-particle":"","parse-names":false,"suffix":""},{"dropping-particle":"","family":"Nguyen","given":"Nhien","non-dropping-particle":"","parse-names":false,"suffix":""},{"dropping-particle":"","family":"Mi","given":"Fwu Long","non-dropping-particle":"","parse-names":false,"suffix":""},{"dropping-particle":"","family":"Chang","given":"Yen","non-dropping-particle":"","parse-names":false,"suffix":""},{"dropping-particle":"","family":"Lin","given":"Yu Jung","non-dropping-particle":"","parse-names":false,"suffix":""},{"dropping-particle":"","family":"Sung","given":"Hsing Wen","non-dropping-particle":"","parse-names":false,"suffix":""}],"container-title":"Advanced Healthcare Materials","id":"ITEM-1","issue":"6","issued":{"date-parts":[["2021"]]},"page":"1-13","title":"Conductive Materials for Healing Wounds: Their Incorporation in Electroactive Wound Dressings, Characterization, and Perspectives","type":"article-journal","volume":"10"},"uris":["http://www.mendeley.com/documents/?uuid=e6f6d490-2ef6-482a-8cca-bae774341807"]}],"mendeley":{"formattedCitation":"(Korupalli et al., 2021)","plainTextFormattedCitation":"(Korupalli et al., 2021)","previouslyFormattedCitation":"(Korupalli et al., 2021)"},"properties":{"noteIndex":0},"schema":"https://github.com/citation-style-language/schema/raw/master/csl-citation.json"}</w:instrText>
      </w:r>
      <w:r w:rsidR="000221A1">
        <w:rPr>
          <w:rStyle w:val="Refdenotaalpie"/>
          <w:lang w:val="en-GB"/>
        </w:rPr>
        <w:fldChar w:fldCharType="separate"/>
      </w:r>
      <w:r w:rsidR="004C6592" w:rsidRPr="004C6592">
        <w:rPr>
          <w:bCs/>
          <w:noProof/>
          <w:lang w:val="en-GB"/>
        </w:rPr>
        <w:t>(Korupalli et al., 2021)</w:t>
      </w:r>
      <w:r w:rsidR="000221A1">
        <w:rPr>
          <w:rStyle w:val="Refdenotaalpie"/>
          <w:lang w:val="en-GB"/>
        </w:rPr>
        <w:fldChar w:fldCharType="end"/>
      </w:r>
      <w:r w:rsidRPr="0030491C">
        <w:rPr>
          <w:lang w:val="en-GB"/>
        </w:rPr>
        <w:t>.</w:t>
      </w:r>
      <w:r w:rsidR="009D62AF">
        <w:rPr>
          <w:lang w:val="en-GB"/>
        </w:rPr>
        <w:t xml:space="preserve"> </w:t>
      </w:r>
      <w:r w:rsidRPr="0030491C">
        <w:rPr>
          <w:lang w:val="en-GB"/>
        </w:rPr>
        <w:t xml:space="preserve">Conductive polymers, such as polyaniline, polythiophenes, </w:t>
      </w:r>
      <w:proofErr w:type="spellStart"/>
      <w:r w:rsidRPr="0030491C">
        <w:rPr>
          <w:lang w:val="en-GB"/>
        </w:rPr>
        <w:t>polypyrrole</w:t>
      </w:r>
      <w:proofErr w:type="spellEnd"/>
      <w:r w:rsidRPr="0030491C">
        <w:rPr>
          <w:lang w:val="en-GB"/>
        </w:rPr>
        <w:t xml:space="preserve"> or poly(3,4-ethylenedioxythiophene) (PEDOT), have a positive effect on cell proliferation and adhesion with or without electrical stimulation and demonstrate a hig</w:t>
      </w:r>
      <w:r w:rsidR="00496E12">
        <w:rPr>
          <w:lang w:val="en-GB"/>
        </w:rPr>
        <w:t xml:space="preserve">h degree of biocompatibility </w:t>
      </w:r>
      <w:r w:rsidR="000221A1">
        <w:rPr>
          <w:rStyle w:val="Refdenotaalpie"/>
          <w:lang w:val="en-GB"/>
        </w:rPr>
        <w:fldChar w:fldCharType="begin" w:fldLock="1"/>
      </w:r>
      <w:r w:rsidR="00B0335A">
        <w:rPr>
          <w:lang w:val="en-GB"/>
        </w:rPr>
        <w:instrText>ADDIN CSL_CITATION {"citationItems":[{"id":"ITEM-1","itemData":{"DOI":"10.1007/s40820-021-00751-y","ISBN":"0123456789","ISSN":"2311-6706","abstract":"Conductive biomaterials based on conductive polymers, carbon nanomaterials, or conductive inorganic nanomaterials demonstrate great potential in wound healing and skin tissue engineering, owing to the similar conductivity to human skin, good antioxidant and antibacterial activities, electrically controlled drug delivery, and photothermal effect. However, a review highlights the design and application of conductive biomaterials for wound healing and skin tissue engineering is lacking. In this review, the design and fabrication methods of conductive biomaterials with various structural forms including film, nanofiber, membrane, hydrogel, sponge, foam, and acellular dermal matrix for applications in wound healing and skin tissue engineering and the corresponding mechanism in promoting the healing process were summarized. The approaches that conductive biomaterials realize their great value in healing wounds via three main strategies (electrotherapy, wound dressing, and wound assessment) were reviewed. The application of conductive biomaterials as wound dressing when facing different wounds including acute wound and chronic wound (infected wound and diabetic wound) and for wound monitoring is discussed in detail. The challenges and perspectives in designing and developing multifunctional conductive biomaterials are proposed as well.[Figure not available: see fulltext.].","author":[{"dropping-particle":"","family":"Yu","given":"Rui","non-dropping-particle":"","parse-names":false,"suffix":""},{"dropping-particle":"","family":"Zhang","given":"Hualei","non-dropping-particle":"","parse-names":false,"suffix":""},{"dropping-particle":"","family":"Guo","given":"Baolin","non-dropping-particle":"","parse-names":false,"suffix":""}],"container-title":"Nano-Micro Letters","id":"ITEM-1","issue":"1","issued":{"date-parts":[["2022"]]},"publisher":"Springer Singapore","title":"Conductive Biomaterials as Bioactive Wound Dressing for Wound Healing and Skin Tissue Engineering","type":"book","volume":"14"},"uris":["http://www.mendeley.com/documents/?uuid=09c30115-a9d0-4a13-a9aa-d55b77b0d75a"]}],"mendeley":{"formattedCitation":"(Yu et al., 2022)","plainTextFormattedCitation":"(Yu et al., 2022)","previouslyFormattedCitation":"(Yu et al., 2022)"},"properties":{"noteIndex":0},"schema":"https://github.com/citation-style-language/schema/raw/master/csl-citation.json"}</w:instrText>
      </w:r>
      <w:r w:rsidR="000221A1">
        <w:rPr>
          <w:rStyle w:val="Refdenotaalpie"/>
          <w:lang w:val="en-GB"/>
        </w:rPr>
        <w:fldChar w:fldCharType="separate"/>
      </w:r>
      <w:r w:rsidR="004C6592" w:rsidRPr="004C6592">
        <w:rPr>
          <w:noProof/>
          <w:lang w:val="en-GB"/>
        </w:rPr>
        <w:t>(Yu et al., 2022)</w:t>
      </w:r>
      <w:r w:rsidR="000221A1">
        <w:rPr>
          <w:rStyle w:val="Refdenotaalpie"/>
          <w:lang w:val="en-GB"/>
        </w:rPr>
        <w:fldChar w:fldCharType="end"/>
      </w:r>
      <w:r w:rsidRPr="0030491C">
        <w:rPr>
          <w:lang w:val="en-GB"/>
        </w:rPr>
        <w:t>. PEDOT:PSS, a polymer studied in this work, has been incorporated into scaffolds with different techniques, such as electrochemical polymerization surrounding a pre-synthesized scaffold, vapor-phase polymerization for neural stem cell proliferation and differentiation or freeze-drying embedding PEDOT:PSS in porous materials, achieving improved mechanical properties through the addi</w:t>
      </w:r>
      <w:r w:rsidR="00496E12">
        <w:rPr>
          <w:lang w:val="en-GB"/>
        </w:rPr>
        <w:t xml:space="preserve">tion of different aggregates </w:t>
      </w:r>
      <w:r w:rsidR="000221A1">
        <w:rPr>
          <w:rStyle w:val="Refdenotaalpie"/>
          <w:lang w:val="en-GB"/>
        </w:rPr>
        <w:fldChar w:fldCharType="begin" w:fldLock="1"/>
      </w:r>
      <w:r w:rsidR="00B0335A">
        <w:rPr>
          <w:lang w:val="en-GB"/>
        </w:rPr>
        <w:instrText>ADDIN CSL_CITATION {"citationItems":[{"id":"ITEM-1","itemData":{"DOI":"10.1088/1741-2560/4/2/L02","ISSN":"17412560","PMID":"17409471","abstract":"A number of biomedical devices require extended electrical communication with surrounding tissue. Significant improvements in device performance would be achieved if it were possible to maintain communication with target cells despite the reactive, insulating scar tissue that forms at the device-tissue interface. Here, we report that the conducting polymer poly(3,4- ethylenedioxythiophene) (PEDOT) can be polymerized directly within living neural tissue resulting in an electrically conductive network that is integrated within the tissue. Nano and microscale PEDOT filaments extend out from electrode sites, presumably forming within extracellular spaces. The cloud of PEDOT filaments penetrates out into the tissue far enough that it should be possible to bypass fibrous scar tissue and contact surrounding healthy neurons. These electrically functional, diffuse conducting polymer networks grown directly within tissue signify a new paradigm for creating soft, low impedance implantable electrodes. © 2007 IOP Publishing Ltd.","author":[{"dropping-particle":"","family":"Richardson-Burns","given":"Sarah M.","non-dropping-particle":"","parse-names":false,"suffix":""},{"dropping-particle":"","family":"Hendricks","given":"Jeffrey L.","non-dropping-particle":"","parse-names":false,"suffix":""},{"dropping-particle":"","family":"Martin","given":"David C.","non-dropping-particle":"","parse-names":false,"suffix":""}],"container-title":"Journal of Neural Engineering","id":"ITEM-1","issue":"2","issued":{"date-parts":[["2007"]]},"title":"Electrochemical polymerization of conducting polymers in living neural tissue","type":"article-journal","volume":"4"},"uris":["http://www.mendeley.com/documents/?uuid=0f7823f9-7468-425f-bb8f-6842c1beca4f"]}],"mendeley":{"formattedCitation":"(Richardson-Burns et al., 2007)","plainTextFormattedCitation":"(Richardson-Burns et al., 2007)","previouslyFormattedCitation":"(Richardson-Burns et al., 2007)"},"properties":{"noteIndex":0},"schema":"https://github.com/citation-style-language/schema/raw/master/csl-citation.json"}</w:instrText>
      </w:r>
      <w:r w:rsidR="000221A1">
        <w:rPr>
          <w:rStyle w:val="Refdenotaalpie"/>
          <w:lang w:val="en-GB"/>
        </w:rPr>
        <w:fldChar w:fldCharType="separate"/>
      </w:r>
      <w:r w:rsidR="004C6592" w:rsidRPr="004C6592">
        <w:rPr>
          <w:bCs/>
          <w:noProof/>
          <w:lang w:val="en-GB"/>
        </w:rPr>
        <w:t>(Richardson-Burns et al., 2007)</w:t>
      </w:r>
      <w:r w:rsidR="000221A1">
        <w:rPr>
          <w:rStyle w:val="Refdenotaalpie"/>
          <w:lang w:val="en-GB"/>
        </w:rPr>
        <w:fldChar w:fldCharType="end"/>
      </w:r>
      <w:r w:rsidRPr="0030491C">
        <w:rPr>
          <w:lang w:val="en-GB"/>
        </w:rPr>
        <w:t>.</w:t>
      </w:r>
      <w:r w:rsidR="00632B10">
        <w:rPr>
          <w:lang w:val="en-GB"/>
        </w:rPr>
        <w:t xml:space="preserve"> </w:t>
      </w:r>
    </w:p>
    <w:p w14:paraId="252C55C2" w14:textId="4EEDD0F1" w:rsidR="0030491C" w:rsidRDefault="0030491C" w:rsidP="0030491C">
      <w:pPr>
        <w:pStyle w:val="CETBodytext"/>
        <w:rPr>
          <w:lang w:val="en-GB"/>
        </w:rPr>
      </w:pPr>
      <w:r w:rsidRPr="0030491C">
        <w:rPr>
          <w:lang w:val="en-GB"/>
        </w:rPr>
        <w:t xml:space="preserve">Conductive polymers lack important characteristics for tissue engineering such as strength, flexibility, solubility, or durability. To overcome these limitations, conductive polymers are often combined with non-conductive polymeric compounds, which provide mechanical properties required for tissue repair. Poly(lactic-co-glycolic </w:t>
      </w:r>
      <w:r w:rsidRPr="0030491C">
        <w:rPr>
          <w:lang w:val="en-GB"/>
        </w:rPr>
        <w:lastRenderedPageBreak/>
        <w:t xml:space="preserve">acid) (PLGA), </w:t>
      </w:r>
      <w:r w:rsidR="009D62AF" w:rsidRPr="0030491C">
        <w:rPr>
          <w:lang w:val="en-GB"/>
        </w:rPr>
        <w:t>polylactide (PLA)</w:t>
      </w:r>
      <w:r w:rsidR="009D62AF">
        <w:rPr>
          <w:lang w:val="en-GB"/>
        </w:rPr>
        <w:t>, polyvinylpyrrolidone (PVP)</w:t>
      </w:r>
      <w:r w:rsidRPr="0030491C">
        <w:rPr>
          <w:lang w:val="en-GB"/>
        </w:rPr>
        <w:t>,</w:t>
      </w:r>
      <w:r w:rsidR="009D62AF" w:rsidRPr="009D62AF">
        <w:rPr>
          <w:lang w:val="en-GB"/>
        </w:rPr>
        <w:t xml:space="preserve"> </w:t>
      </w:r>
      <w:r w:rsidR="009D62AF" w:rsidRPr="0030491C">
        <w:rPr>
          <w:lang w:val="en-GB"/>
        </w:rPr>
        <w:t>polyvinyl alcohol (PVA)</w:t>
      </w:r>
      <w:r w:rsidRPr="0030491C">
        <w:rPr>
          <w:lang w:val="en-GB"/>
        </w:rPr>
        <w:t>, polyvinyl acetate (</w:t>
      </w:r>
      <w:proofErr w:type="spellStart"/>
      <w:r w:rsidRPr="0030491C">
        <w:rPr>
          <w:lang w:val="en-GB"/>
        </w:rPr>
        <w:t>PVAc</w:t>
      </w:r>
      <w:proofErr w:type="spellEnd"/>
      <w:r w:rsidRPr="0030491C">
        <w:rPr>
          <w:lang w:val="en-GB"/>
        </w:rPr>
        <w:t xml:space="preserve">) or </w:t>
      </w:r>
      <w:r w:rsidR="009D62AF" w:rsidRPr="0030491C">
        <w:rPr>
          <w:lang w:val="en-GB"/>
        </w:rPr>
        <w:t>polycaprolactone (PCL</w:t>
      </w:r>
      <w:r w:rsidR="009D62AF">
        <w:rPr>
          <w:lang w:val="en-GB"/>
        </w:rPr>
        <w:t xml:space="preserve">) </w:t>
      </w:r>
      <w:r w:rsidRPr="0030491C">
        <w:rPr>
          <w:lang w:val="en-GB"/>
        </w:rPr>
        <w:t xml:space="preserve">are the </w:t>
      </w:r>
      <w:r w:rsidR="00496E12">
        <w:rPr>
          <w:lang w:val="en-GB"/>
        </w:rPr>
        <w:t xml:space="preserve">most commonly used compounds </w:t>
      </w:r>
      <w:r w:rsidR="000221A1">
        <w:rPr>
          <w:rStyle w:val="Refdenotaalpie"/>
          <w:lang w:val="en-GB"/>
        </w:rPr>
        <w:fldChar w:fldCharType="begin" w:fldLock="1"/>
      </w:r>
      <w:r w:rsidR="00B0335A">
        <w:rPr>
          <w:lang w:val="en-GB"/>
        </w:rPr>
        <w:instrText>ADDIN CSL_CITATION {"citationItems":[{"id":"ITEM-1","itemData":{"DOI":"10.3390/ijms222111543","ISSN":"14220067","abstract":"The practice of combining external stimulation therapy alongside stimuli</w:instrText>
      </w:r>
      <w:r w:rsidR="00B0335A">
        <w:rPr>
          <w:rFonts w:ascii="Cambria Math" w:hAnsi="Cambria Math" w:cs="Cambria Math"/>
          <w:lang w:val="en-GB"/>
        </w:rPr>
        <w:instrText>‐</w:instrText>
      </w:r>
      <w:r w:rsidR="00B0335A">
        <w:rPr>
          <w:lang w:val="en-GB"/>
        </w:rPr>
        <w:instrText>responsive bio-scaffolds has shown massive potential for tissue engineering applications. One promising example is the combination of electrical stimulation (ES) and electroactive scaffolds because ES could enhance cell adhesion and proliferation as well as modulating cellular specialization. Even though electroactive scaffolds have the potential to revolutionize the field of tissue engineering due to their ability to distribute ES directly to the target tissues, the development of effective electroactive scaffolds with specific properties remains a major issue in their practical uses. Conductive polymers (CPs) offer ease of modification that allows for tailoring the scaffold’s various properties, making them an attractive option for conductive component in electroactive scaffolds. This review provides an up</w:instrText>
      </w:r>
      <w:r w:rsidR="00B0335A">
        <w:rPr>
          <w:rFonts w:ascii="Cambria Math" w:hAnsi="Cambria Math" w:cs="Cambria Math"/>
          <w:lang w:val="en-GB"/>
        </w:rPr>
        <w:instrText>‐</w:instrText>
      </w:r>
      <w:r w:rsidR="00B0335A">
        <w:rPr>
          <w:lang w:val="en-GB"/>
        </w:rPr>
        <w:instrText>to</w:instrText>
      </w:r>
      <w:r w:rsidR="00B0335A">
        <w:rPr>
          <w:rFonts w:ascii="Cambria Math" w:hAnsi="Cambria Math" w:cs="Cambria Math"/>
          <w:lang w:val="en-GB"/>
        </w:rPr>
        <w:instrText>‐</w:instrText>
      </w:r>
      <w:r w:rsidR="00B0335A">
        <w:rPr>
          <w:lang w:val="en-GB"/>
        </w:rPr>
        <w:instrText>date narrative of the progress of CPs</w:instrText>
      </w:r>
      <w:r w:rsidR="00B0335A">
        <w:rPr>
          <w:rFonts w:ascii="Cambria Math" w:hAnsi="Cambria Math" w:cs="Cambria Math"/>
          <w:lang w:val="en-GB"/>
        </w:rPr>
        <w:instrText>‐</w:instrText>
      </w:r>
      <w:r w:rsidR="00B0335A">
        <w:rPr>
          <w:lang w:val="en-GB"/>
        </w:rPr>
        <w:instrText>based electroactive scaffolds and the challenge of their use in various tissue engineering applications from biomaterials perspectives. The general is-sues with CP</w:instrText>
      </w:r>
      <w:r w:rsidR="00B0335A">
        <w:rPr>
          <w:rFonts w:ascii="Cambria Math" w:hAnsi="Cambria Math" w:cs="Cambria Math"/>
          <w:lang w:val="en-GB"/>
        </w:rPr>
        <w:instrText>‐</w:instrText>
      </w:r>
      <w:r w:rsidR="00B0335A">
        <w:rPr>
          <w:lang w:val="en-GB"/>
        </w:rPr>
        <w:instrText>based scaffolds relevant to its application as electroactive scaffolds were discussed, followed by a more specific discussion in their applications for specific tissues, including bone, nerve, skin, skeletal muscle and cardiac muscle scaffolds. Furthermore, this review also highlighted the importance of the manufacturing process relative to the scaffold’s performance, with particular emphasis on additive manufacturing, and various strategies to overcome the CPs’ limitations in the development of electroactive scaffolds.","author":[{"dropping-particle":"","family":"Marsudi","given":"Maradhana Agung","non-dropping-particle":"","parse-names":false,"suffix":""},{"dropping-particle":"","family":"Ariski","given":"Ridhola Tri","non-dropping-particle":"","parse-names":false,"suffix":""},{"dropping-particle":"","family":"Wibowo","given":"Arie","non-dropping-particle":"","parse-names":false,"suffix":""},{"dropping-particle":"","family":"Cooper","given":"Glen","non-dropping-particle":"","parse-names":false,"suffix":""},{"dropping-particle":"","family":"Barlian","given":"Anggraini","non-dropping-particle":"","parse-names":false,"suffix":""},{"dropping-particle":"","family":"Rachmantyo","given":"Riska","non-dropping-particle":"","parse-names":false,"suffix":""},{"dropping-particle":"","family":"Bartolo","given":"Paulo J.D.S.","non-dropping-particle":"","parse-names":false,"suffix":""}],"container-title":"International Journal of Molecular Sciences","id":"ITEM-1","issue":"21","issued":{"date-parts":[["2021"]]},"title":"Conductive polymeric</w:instrText>
      </w:r>
      <w:r w:rsidR="00B0335A">
        <w:rPr>
          <w:rFonts w:ascii="Cambria Math" w:hAnsi="Cambria Math" w:cs="Cambria Math"/>
          <w:lang w:val="en-GB"/>
        </w:rPr>
        <w:instrText>‐</w:instrText>
      </w:r>
      <w:r w:rsidR="00B0335A">
        <w:rPr>
          <w:lang w:val="en-GB"/>
        </w:rPr>
        <w:instrText>based electroactive scaffolds for tissue engineering applications: Current progress and challenges from biomaterials and manufacturing perspectives","type":"article-journal","volume":"22"},"uris":["http://www.mendeley.com/documents/?uuid=a5b363fa-36cf-4d04-9efe-be369ded19b3"]}],"mendeley":{"formattedCitation":"(Marsudi et al., 2021)","plainTextFormattedCitation":"(Marsudi et al., 2021)","previouslyFormattedCitation":"(Marsudi et al., 2021)"},"properties":{"noteIndex":0},"schema":"https://github.com/citation-style-language/schema/raw/master/csl-citation.json"}</w:instrText>
      </w:r>
      <w:r w:rsidR="000221A1">
        <w:rPr>
          <w:rStyle w:val="Refdenotaalpie"/>
          <w:lang w:val="en-GB"/>
        </w:rPr>
        <w:fldChar w:fldCharType="separate"/>
      </w:r>
      <w:r w:rsidR="004C6592" w:rsidRPr="004C6592">
        <w:rPr>
          <w:bCs/>
          <w:noProof/>
          <w:lang w:val="en-GB"/>
        </w:rPr>
        <w:t>(Marsudi et al., 2021)</w:t>
      </w:r>
      <w:r w:rsidR="000221A1">
        <w:rPr>
          <w:rStyle w:val="Refdenotaalpie"/>
          <w:lang w:val="en-GB"/>
        </w:rPr>
        <w:fldChar w:fldCharType="end"/>
      </w:r>
      <w:r w:rsidRPr="0030491C">
        <w:rPr>
          <w:lang w:val="en-GB"/>
        </w:rPr>
        <w:t>. Among these, PLGA is the most widely used for biomedical objectives, thanks to its mechanical properties, adjustable biodegradability ratio, and facility of processin</w:t>
      </w:r>
      <w:r w:rsidR="00496E12">
        <w:rPr>
          <w:lang w:val="en-GB"/>
        </w:rPr>
        <w:t xml:space="preserve">g in different techniques </w:t>
      </w:r>
      <w:r w:rsidR="000221A1">
        <w:rPr>
          <w:rStyle w:val="Refdenotaalpie"/>
          <w:lang w:val="en-GB"/>
        </w:rPr>
        <w:fldChar w:fldCharType="begin" w:fldLock="1"/>
      </w:r>
      <w:r w:rsidR="00B0335A">
        <w:rPr>
          <w:lang w:val="en-GB"/>
        </w:rPr>
        <w:instrText>ADDIN CSL_CITATION {"citationItems":[{"id":"ITEM-1","itemData":{"DOI":"10.1002/(SICI)1097-4636(199707)36:1&lt;17::AID-JBM3&gt;3.0.CO;2-O","ISSN":"00219304","PMID":"9212385","abstract":"Bone formation was investigated in vitro by culturing stromal osteoblasts in three-dimensional (3-D), biodegradable poly(DL-lactic-co- glycolic acid) foams. Three polymer foam pore sizes, ranging from 150-300, 300-500, and 500-710 μm, and two different cell seeding densities, 6.83 x 105 cells/cm2 and 22.1 x 105 cells/cm2, were examined over a 56-day culture period. The polymer foams supported the proliferation of seeded osteoblasts as well as their differentiated function, as demonstrated by high alkaline phosphatase activity and deposition of a mineralized matrix by the cells. Cell number, alkaline phosphatase activity, and mineral deposition increased significantly over time for all the polymer foams. Osteoblast foam constructs created by seeding 6.83 x 105 cells/cm2 on foams with 300-500 μm pores resulted in a cell density of 4.63 x 105 cells/cm2 after 1 day in culture; they had alkaline phosphatase activities of 4.28 x 10-7 and 2.91 x 10 -6 μmol/cell/min on Days 7 and 28, respectively; and they had a cell density that increased to 18.7 x 105 cells/cm2 by Day 56. For the same constructs, the mineralized matrix reached a maximum penetration depth of 240 μm from the top surface of the foam and a value of 0.083 mm for mineralized tissue volume per unit of cross sectional area. Seeding density was an important parameter for the constructs, but pore size over the range tested did not affect cell proliferation or function. This study suggests the feasibility of using poly(α-hydroxy ester) foams as scaffolding materials for the transplantation of autogenous osteoblasts to regenerate bone tissue.","author":[{"dropping-particle":"","family":"Ishaug","given":"Susan L.","non-dropping-particle":"","parse-names":false,"suffix":""},{"dropping-particle":"","family":"Crane","given":"Genevieve M.","non-dropping-particle":"","parse-names":false,"suffix":""},{"dropping-particle":"","family":"Miller","given":"Michael J.","non-dropping-particle":"","parse-names":false,"suffix":""},{"dropping-particle":"","family":"Yasko","given":"Alan W.","non-dropping-particle":"","parse-names":false,"suffix":""},{"dropping-particle":"","family":"Yaszemski","given":"Michael J.","non-dropping-particle":"","parse-names":false,"suffix":""},{"dropping-particle":"","family":"Mikos","given":"Antonios G.","non-dropping-particle":"","parse-names":false,"suffix":""}],"container-title":"Journal of Biomedical Materials Research","id":"ITEM-1","issue":"1","issued":{"date-parts":[["1997"]]},"page":"17-28","title":"Bone formation by three-dimensional stromal osteoblast culture in biodegradable polymer scaffolds","type":"article-journal","volume":"36"},"uris":["http://www.mendeley.com/documents/?uuid=3ef33701-0e22-4106-9caa-607f9ba4f523"]},{"id":"ITEM-2","itemData":{"DOI":"10.1016/j.biomaterials.2008.02.008","ISSN":"01429612","PMID":"18313747","abstract":"In this study, possibility of the method of immobilization of basic fibroblast growth factor (bFGF) on polylactone-type polymer scaffolds via plasma treatment was investigated. To introduce acid carboxylic functional groups on the surface of the polymer matrix, poly(lactide-co-glycolide) (PLGA) film was treated with carbon dioxide (CO2) plasma and then incubated in a phosphate buffer saline (PBS, pH 7.4) solution of bFGF. The bFGF binding efficiency to the CO2 plasma-treated PLGA (PT-PLGA) films under different treating parameters was investigated and compared. It was found bFGF binding efficiency to PLGA was enhanced by CO2 plasma treatment. The binding efficiency of bFGF to PLGA was variational with CO2 plasma treating time and it reached a maximum after a treating time of 20 min under the power of 20 W. The changes of surface chemistry and surface topography induced by CO2 plasma treatment played main roles in improving binding efficiency. Bound bFGF was released continuously from the films for up to 7 days in vitro. The stability of bFGF immobilized on PLGA film via CO2 plasma treatment was tested further under dynamic conditions by a Parallel Plate Flow Chamber. Mouse 3T3 fibroblasts were cultured on the bFGF bound PLGA with a prior plasma treatment (20 W, 20 min) (PT-PLGA/bFGF) film, which showed that bFGF released from PT-PLGA/bFGF film was bioactive. Adhesion and growth of cells on PLGA scaffolds were greatly improved by immobilization of bFGF on them. Therefore, the method of CO2 plasma treatment combining bFGF anchorage not only was usable in delivering bFGF, but also could be applied extensively for surface modification of scaffolds in tissue engineering. © 2008 Elsevier Ltd. All rights reserved.","author":[{"dropping-particle":"","family":"Shen","given":"Hong","non-dropping-particle":"","parse-names":false,"suffix":""},{"dropping-particle":"","family":"Hu","given":"Xixue","non-dropping-particle":"","parse-names":false,"suffix":""},{"dropping-particle":"","family":"Bei","given":"Jianzhong","non-dropping-particle":"","parse-names":false,"suffix":""},{"dropping-particle":"","family":"Wang","given":"Shenguo","non-dropping-particle":"","parse-names":false,"suffix":""}],"container-title":"Biomaterials","id":"ITEM-2","issue":"15","issued":{"date-parts":[["2008"]]},"page":"2388-2399","title":"The immobilization of basic fibroblast growth factor on plasma-treated poly(lactide-co-glycolide)","type":"article-journal","volume":"29"},"uris":["http://www.mendeley.com/documents/?uuid=2a3fde29-ebd1-4fc8-8497-28086e48af68"]}],"mendeley":{"formattedCitation":"(Ishaug et al., 1997; Shen et al., 2008)","plainTextFormattedCitation":"(Ishaug et al., 1997; Shen et al., 2008)","previouslyFormattedCitation":"(Ishaug et al., 1997; Shen et al., 2008)"},"properties":{"noteIndex":0},"schema":"https://github.com/citation-style-language/schema/raw/master/csl-citation.json"}</w:instrText>
      </w:r>
      <w:r w:rsidR="000221A1">
        <w:rPr>
          <w:rStyle w:val="Refdenotaalpie"/>
          <w:lang w:val="en-GB"/>
        </w:rPr>
        <w:fldChar w:fldCharType="separate"/>
      </w:r>
      <w:r w:rsidR="004C6592" w:rsidRPr="004C6592">
        <w:rPr>
          <w:bCs/>
          <w:noProof/>
          <w:lang w:val="en-GB"/>
        </w:rPr>
        <w:t>(Ishaug et al., 1997; Shen et al., 2008)</w:t>
      </w:r>
      <w:r w:rsidR="000221A1">
        <w:rPr>
          <w:rStyle w:val="Refdenotaalpie"/>
          <w:lang w:val="en-GB"/>
        </w:rPr>
        <w:fldChar w:fldCharType="end"/>
      </w:r>
      <w:r w:rsidRPr="0030491C">
        <w:rPr>
          <w:lang w:val="en-GB"/>
        </w:rPr>
        <w:t>. PLGA has excellent processability, which facilitates the production of scaffolds with various pore sizes, and adequate mechanical properties, biocompatibility, and degradability to promote the regeneration of tissues. However, its degradation can lead to a local acidic microenvironment</w:t>
      </w:r>
      <w:r w:rsidR="00496E12">
        <w:rPr>
          <w:lang w:val="en-GB"/>
        </w:rPr>
        <w:t xml:space="preserve"> </w:t>
      </w:r>
      <w:r w:rsidR="000221A1">
        <w:rPr>
          <w:rStyle w:val="Refdenotaalpie"/>
          <w:lang w:val="en-GB"/>
        </w:rPr>
        <w:fldChar w:fldCharType="begin" w:fldLock="1"/>
      </w:r>
      <w:r w:rsidR="00B0335A">
        <w:rPr>
          <w:lang w:val="en-GB"/>
        </w:rPr>
        <w:instrText>ADDIN CSL_CITATION {"citationItems":[{"id":"ITEM-1","itemData":{"DOI":"10.1098/rsfs.2011.0123","ISSN":"20428901","abstract":"Porous scaffolds fabricated from biocompatible and biodegradable polymers play vital roles in tissue engineering and regenerative medicine. Among various scaffold matrix materials, poly(lactide-co-glycolide) (PLGA) is a very popular and an important biodegradable polyester owing to its tunable degradation rates, good mechanical properties and processibility, etc. This review highlights the progress on PLGA scaffolds. In the latest decade, some facile fabrication approaches at room temperature were put forward; more appropriate pore structures were designed and achieved; the mechanical properties were investigated both for dry and wet scaffolds; a long time biodegradation of the PLGA scaffold was observed and a three-stage model was established; even the effects of pore size and porosity on in vitro biodegradation were revealed; the PLGA scaffolds have also been implanted into animals, and some tissues have been regenerated in vivo after loading cells including stem cells. © 2012 The Royal Society.","author":[{"dropping-particle":"","family":"Pan","given":"Zhen","non-dropping-particle":"","parse-names":false,"suffix":""},{"dropping-particle":"","family":"Ding","given":"Jiandong","non-dropping-particle":"","parse-names":false,"suffix":""}],"container-title":"Interface Focus","id":"ITEM-1","issue":"3","issued":{"date-parts":[["2012"]]},"page":"366-377","title":"Poly(lactide-co-glycolide) porous scaffolds for tissue engineering and regenerative medicine","type":"article-journal","volume":"2"},"uris":["http://www.mendeley.com/documents/?uuid=582437b9-f00c-49c9-bc5c-e43bd2e22e1d"]}],"mendeley":{"formattedCitation":"(Pan &amp; Ding, 2012)","plainTextFormattedCitation":"(Pan &amp; Ding, 2012)","previouslyFormattedCitation":"(Pan &amp; Ding, 2012)"},"properties":{"noteIndex":0},"schema":"https://github.com/citation-style-language/schema/raw/master/csl-citation.json"}</w:instrText>
      </w:r>
      <w:r w:rsidR="000221A1">
        <w:rPr>
          <w:rStyle w:val="Refdenotaalpie"/>
          <w:lang w:val="en-GB"/>
        </w:rPr>
        <w:fldChar w:fldCharType="separate"/>
      </w:r>
      <w:r w:rsidR="004C6592" w:rsidRPr="004C6592">
        <w:rPr>
          <w:bCs/>
          <w:noProof/>
          <w:lang w:val="en-GB"/>
        </w:rPr>
        <w:t xml:space="preserve">(Pan </w:t>
      </w:r>
      <w:r w:rsidR="00FF4B4F">
        <w:rPr>
          <w:bCs/>
          <w:noProof/>
          <w:lang w:val="en-GB"/>
        </w:rPr>
        <w:t>and</w:t>
      </w:r>
      <w:r w:rsidR="004C6592" w:rsidRPr="004C6592">
        <w:rPr>
          <w:bCs/>
          <w:noProof/>
          <w:lang w:val="en-GB"/>
        </w:rPr>
        <w:t xml:space="preserve"> Ding, 2012)</w:t>
      </w:r>
      <w:r w:rsidR="000221A1">
        <w:rPr>
          <w:rStyle w:val="Refdenotaalpie"/>
          <w:lang w:val="en-GB"/>
        </w:rPr>
        <w:fldChar w:fldCharType="end"/>
      </w:r>
      <w:r w:rsidRPr="0030491C">
        <w:rPr>
          <w:lang w:val="en-GB"/>
        </w:rPr>
        <w:t>.</w:t>
      </w:r>
    </w:p>
    <w:p w14:paraId="6994383A" w14:textId="14758EBC" w:rsidR="0030491C" w:rsidRDefault="009E13B0" w:rsidP="0030491C">
      <w:pPr>
        <w:pStyle w:val="CETBodytext"/>
        <w:rPr>
          <w:lang w:val="en-GB"/>
        </w:rPr>
      </w:pPr>
      <w:r w:rsidRPr="009E13B0">
        <w:rPr>
          <w:lang w:val="en-GB"/>
        </w:rPr>
        <w:t xml:space="preserve">Additionally, studies in the literature suggest that bioactive capabilities can be added to porous scaffolds by impregnating them with compounds from natural </w:t>
      </w:r>
      <w:r w:rsidR="00192C2C">
        <w:rPr>
          <w:lang w:val="en-GB"/>
        </w:rPr>
        <w:t xml:space="preserve">compounds </w:t>
      </w:r>
      <w:r w:rsidR="00192C2C">
        <w:rPr>
          <w:lang w:val="en-GB"/>
        </w:rPr>
        <w:fldChar w:fldCharType="begin" w:fldLock="1"/>
      </w:r>
      <w:r w:rsidR="00192C2C">
        <w:rPr>
          <w:lang w:val="en-GB"/>
        </w:rPr>
        <w:instrText>ADDIN CSL_CITATION {"citationItems":[{"id":"ITEM-1","itemData":{"DOI":"10.3390/pr10030482","ISSN":"22279717","abstract":"Polycaprolactone (PCL) and polycaprolactone-hydroxyapatite (PCL-HA) scaffolds were produced by foaming in supercritical carbon dioxide (scCO2) at 20 MPa, as well as in one-step foaming and impregnation process using carvacrol as an antibacterial agent with proven activity against Gram-positive and Gram-negative bacteria. The experimental design was developed to study the influence of temperature (40 °C and 50 °C), HA content (10 and 20 wt.%), and depressurization rate (one and two-step decompression) on the foams’ morphology, porosity, pore size distribution, and carvacrol impregnation yield. The characterization of the foams was carried out using scanning electron microscopy (SEM, SEM-FIB), Gay-Lussac density bottle measurements, and Fourier–trans-form infrared (FTIR) analyses. The obtained results demonstrate that processing PCL and PCL-HA scaffolds by means of scCO2 foaming enables preparing foams with porosity in the range of 65.55– 74.39% and 61.98–67.13%, at 40 °C and 50 °C, respectively. The presence of carvacrol led to a lower porosity. At 40 °C and one-step decompression at a slow rate, the porosity of impregnated scaffolds was higher than at 50 °C and two-step fast decompression. However, a narrower pore size distribution was obtained at the last processing conditions. PCL scaffolds with HA resulted in higher carvacrol impregnation yields than neat PCL foams. The highest carvacrol loading (10.57%) was observed in the scaffold with 10 wt.% HA obtained at 50 °C.","author":[{"dropping-particle":"","family":"Satpayeva","given":"Alina","non-dropping-particle":"","parse-names":false,"suffix":""},{"dropping-particle":"","family":"Rojas","given":"Adrián","non-dropping-particle":"","parse-names":false,"suffix":""},{"dropping-particle":"","family":"Tyrka","given":"Marcin","non-dropping-particle":"","parse-names":false,"suffix":""},{"dropping-particle":"","family":"Ksepko","given":"Ewelina","non-dropping-particle":"","parse-names":false,"suffix":""},{"dropping-particle":"","family":"Galotto","given":"María José","non-dropping-particle":"","parse-names":false,"suffix":""},{"dropping-particle":"","family":"Zizovic","given":"Irena","non-dropping-particle":"","parse-names":false,"suffix":""}],"container-title":"Processes","id":"ITEM-1","issue":"3","issued":{"date-parts":[["2022"]]},"title":"Supercritical Foaming and Impregnation of Polycaprolactone and Polycaprolactone-Hydroxyapatite Composites with Carvacrol","type":"article-journal","volume":"10"},"uris":["http://www.mendeley.com/documents/?uuid=18e36a7e-549c-4adf-b9d2-eb50f99abb6e"]}],"mendeley":{"formattedCitation":"(Satpayeva et al., 2022)","plainTextFormattedCitation":"(Satpayeva et al., 2022)"},"properties":{"noteIndex":0},"schema":"https://github.com/citation-style-language/schema/raw/master/csl-citation.json"}</w:instrText>
      </w:r>
      <w:r w:rsidR="00192C2C">
        <w:rPr>
          <w:lang w:val="en-GB"/>
        </w:rPr>
        <w:fldChar w:fldCharType="separate"/>
      </w:r>
      <w:r w:rsidR="00192C2C" w:rsidRPr="00192C2C">
        <w:rPr>
          <w:noProof/>
          <w:lang w:val="en-GB"/>
        </w:rPr>
        <w:t>(Satpayeva et al., 2022)</w:t>
      </w:r>
      <w:r w:rsidR="00192C2C">
        <w:rPr>
          <w:lang w:val="en-GB"/>
        </w:rPr>
        <w:fldChar w:fldCharType="end"/>
      </w:r>
      <w:r w:rsidRPr="009E13B0">
        <w:rPr>
          <w:lang w:val="en-GB"/>
        </w:rPr>
        <w:t xml:space="preserve">. </w:t>
      </w:r>
      <w:r>
        <w:rPr>
          <w:lang w:val="en-GB"/>
        </w:rPr>
        <w:t>For example, a</w:t>
      </w:r>
      <w:r w:rsidR="0030491C" w:rsidRPr="0030491C">
        <w:rPr>
          <w:lang w:val="en-GB"/>
        </w:rPr>
        <w:t xml:space="preserve"> natural extract from mango leaves with pharmacological properties considered an excellent agent for the treatment of degenerative diseases, such as Alzheimer's or </w:t>
      </w:r>
      <w:r w:rsidR="00496E12">
        <w:rPr>
          <w:lang w:val="en-GB"/>
        </w:rPr>
        <w:t>cancer</w:t>
      </w:r>
      <w:r w:rsidR="0030491C" w:rsidRPr="0030491C">
        <w:rPr>
          <w:lang w:val="en-GB"/>
        </w:rPr>
        <w:t xml:space="preserve"> was used </w:t>
      </w:r>
      <w:r w:rsidR="001F1E92">
        <w:rPr>
          <w:lang w:val="en-GB"/>
        </w:rPr>
        <w:t>in the present work</w:t>
      </w:r>
      <w:r w:rsidR="00496E12">
        <w:rPr>
          <w:lang w:val="en-GB"/>
        </w:rPr>
        <w:t xml:space="preserve"> </w:t>
      </w:r>
      <w:r w:rsidR="000221A1">
        <w:rPr>
          <w:rStyle w:val="Refdenotaalpie"/>
          <w:lang w:val="en-GB"/>
        </w:rPr>
        <w:fldChar w:fldCharType="begin" w:fldLock="1"/>
      </w:r>
      <w:r w:rsidR="00B0335A">
        <w:rPr>
          <w:lang w:val="en-GB"/>
        </w:rPr>
        <w:instrText>ADDIN CSL_CITATION {"citationItems":[{"id":"ITEM-1","itemData":{"DOI":"10.1016/j.ifset.2015.04.006","ISSN":"14668564","abstract":"Pressurized liquid extraction (PLE) and enhanced solvent extraction (ESE) were used for the first time to extract antioxidant compounds from mango leaves. The effects of pressure (4-20 MPa), temperature (40-100 °C) and concentration of ethanol (0-100%) on PLE of phenolic compounds from mango leaves were optimized according to a multilevel factorial design. The global yield, phenolic yield, total phenolic content (TPC), and antioxidant activity (AA) were used as response variables. Pressure and temperature had a positive effect (p &lt; 0.05) on the global and phenolic yields, while ethanol concentration had a positive influence on the TPC (p &lt; 0.01). Ethanol improved the selectivity of PLE process so extracts present the highest TPC (414.9-854.7 mg/g dry extract). AA of PLE and ESE extracts (3.55-5.64 μg DPPH/μg) was superior to that of (+)-α-tocopherol (3.87 μg DPPH/μg). Mangiferin and iriflophenone 3-C-β-d-glucoside were the predominant polyphenols identified by HPLC-ESI-MS. Furthermore, ESE and PLE proved to be more efficient than Soxhlet extraction in terms of the yield and antioxidant activity of extracts; however, ESE had the advantages of minimizing solvent consumption thus reducing undesired concentration steps. Industrial relevance Mango leaves present potent antioxidant phenolic compounds such as mangiferin, flavonols, benzophenones, and gallotannis highly valued in food, cosmetic, and pharmaceutical applications. At industrial scale, the production of extracts from mango by-products is realized using conventional solvent extraction techniques. But, there is an increasing demand for greener and more efficient techniques. In this work, two environmentally friendly methods (PLE and ESE) to obtained mango leaf extracts enriched in potent phenolic compounds were optimized. The addition of high concentrations of CO2 to hydroalcoholic mixtures yielded extracts with TPC similar to those obtained by PLE and AA superior to (+)-α-tocopherol. Moreover, ESE processes reduced the consumption of liquid solvents, diminished undesired evaporation steps, and inhibited native enzymes which degrade phenolic compounds.","author":[{"dropping-particle":"","family":"Fernández-Ponce","given":"Ma Teresa","non-dropping-particle":"","parse-names":false,"suffix":""},{"dropping-particle":"","family":"Casas","given":"Lourdes","non-dropping-particle":"","parse-names":false,"suffix":""},{"dropping-particle":"","family":"Mantell","given":"Casimiro","non-dropping-particle":"","parse-names":false,"suffix":""},{"dropping-particle":"","family":"La Ossa","given":"Enrique Martínez","non-dropping-particle":"De","parse-names":false,"suffix":""}],"container-title":"Innovative Food Science and Emerging Technologies","id":"ITEM-1","issued":{"date-parts":[["2015"]]},"page":"94-106","publisher":"Elsevier Ltd","title":"Use of high pressure techniques to produce Mangifera indica L. leaf extracts enriched in potent antioxidant phenolic compounds","type":"article-journal","volume":"29"},"uris":["http://www.mendeley.com/documents/?uuid=66ffc4db-5e9b-4a8b-9ad3-21205276a561"]}],"mendeley":{"formattedCitation":"(Fernández-Ponce et al., 2015)","plainTextFormattedCitation":"(Fernández-Ponce et al., 2015)","previouslyFormattedCitation":"(Fernández-Ponce et al., 2015)"},"properties":{"noteIndex":0},"schema":"https://github.com/citation-style-language/schema/raw/master/csl-citation.json"}</w:instrText>
      </w:r>
      <w:r w:rsidR="000221A1">
        <w:rPr>
          <w:rStyle w:val="Refdenotaalpie"/>
          <w:lang w:val="en-GB"/>
        </w:rPr>
        <w:fldChar w:fldCharType="separate"/>
      </w:r>
      <w:r w:rsidR="004C6592" w:rsidRPr="004C6592">
        <w:rPr>
          <w:bCs/>
          <w:noProof/>
          <w:lang w:val="en-GB"/>
        </w:rPr>
        <w:t>(Fernández-Ponce et al., 2015)</w:t>
      </w:r>
      <w:r w:rsidR="000221A1">
        <w:rPr>
          <w:rStyle w:val="Refdenotaalpie"/>
          <w:lang w:val="en-GB"/>
        </w:rPr>
        <w:fldChar w:fldCharType="end"/>
      </w:r>
      <w:r w:rsidR="0030491C" w:rsidRPr="0030491C">
        <w:rPr>
          <w:lang w:val="en-GB"/>
        </w:rPr>
        <w:t>. Supercritical carbon dioxide (scCO</w:t>
      </w:r>
      <w:r w:rsidR="0030491C" w:rsidRPr="00496E12">
        <w:rPr>
          <w:vertAlign w:val="subscript"/>
          <w:lang w:val="en-GB"/>
        </w:rPr>
        <w:t>2</w:t>
      </w:r>
      <w:r w:rsidR="0030491C" w:rsidRPr="0030491C">
        <w:rPr>
          <w:lang w:val="en-GB"/>
        </w:rPr>
        <w:t>) foaming is employed for the formation of functional porous scaffolds. CO</w:t>
      </w:r>
      <w:r w:rsidR="0030491C" w:rsidRPr="00496E12">
        <w:rPr>
          <w:vertAlign w:val="subscript"/>
          <w:lang w:val="en-GB"/>
        </w:rPr>
        <w:t>2</w:t>
      </w:r>
      <w:r w:rsidR="0030491C" w:rsidRPr="0030491C">
        <w:rPr>
          <w:lang w:val="en-GB"/>
        </w:rPr>
        <w:t xml:space="preserve"> has a high dissolution in polymers and is a non-toxic, inexpensive, and reusable compound. Therefore, this technique is</w:t>
      </w:r>
      <w:r w:rsidR="00496E12">
        <w:rPr>
          <w:lang w:val="en-GB"/>
        </w:rPr>
        <w:t xml:space="preserve"> considered a green process </w:t>
      </w:r>
      <w:r w:rsidR="000221A1">
        <w:rPr>
          <w:rStyle w:val="Refdenotaalpie"/>
          <w:lang w:val="en-GB"/>
        </w:rPr>
        <w:fldChar w:fldCharType="begin" w:fldLock="1"/>
      </w:r>
      <w:r w:rsidR="00B0335A">
        <w:rPr>
          <w:lang w:val="en-GB"/>
        </w:rPr>
        <w:instrText>ADDIN CSL_CITATION {"citationItems":[{"id":"ITEM-1","itemData":{"DOI":"10.1039/b801895b","ISSN":"14639270","abstract":"In recent years, carbon dioxide (CO2) has proven to be an environmentally friendly foaming agent for the production of polymeric foams. Until now, extrusion is used to scale-up the CO2-based foaming process. Once the production of large foamed blocks is also possible using the CO2-based foaming process, it has the potential to completely replace the currently used foam production process, thus making the world-wide foam production more sustainable. This review focuses on the polymer–CO2-foaming process, by first addressing the principles of the process, followed by an overview of papers on nucleation and cell growth of CO2 in polymers. The last part will focus on application of the process for various purposes, including bulk polymer foaming, the production of bioscaffolds and polymer blends. © 2008 The Royal Society of Chemistry.","author":[{"dropping-particle":"","family":"Jacobs","given":"Leon J.M.","non-dropping-particle":"","parse-names":false,"suffix":""},{"dropping-particle":"","family":"Kemmere","given":"Maartje F.","non-dropping-particle":"","parse-names":false,"suffix":""},{"dropping-particle":"","family":"Keurentjes","given":"Jos T.F.","non-dropping-particle":"","parse-names":false,"suffix":""}],"container-title":"Green Chemistry","id":"ITEM-1","issue":"7","issued":{"date-parts":[["2008"]]},"page":"731-73","title":"Sustainable polymer foaming using high pressure carbon dioxide: A review on fundamentals, processes and applications","type":"article-journal","volume":"10"},"uris":["http://www.mendeley.com/documents/?uuid=65603d7e-c822-4c75-b99a-e3d314917f27"]}],"mendeley":{"formattedCitation":"(Jacobs et al., 2008)","plainTextFormattedCitation":"(Jacobs et al., 2008)","previouslyFormattedCitation":"(Jacobs et al., 2008)"},"properties":{"noteIndex":0},"schema":"https://github.com/citation-style-language/schema/raw/master/csl-citation.json"}</w:instrText>
      </w:r>
      <w:r w:rsidR="000221A1">
        <w:rPr>
          <w:rStyle w:val="Refdenotaalpie"/>
          <w:lang w:val="en-GB"/>
        </w:rPr>
        <w:fldChar w:fldCharType="separate"/>
      </w:r>
      <w:r w:rsidR="004C6592" w:rsidRPr="004C6592">
        <w:rPr>
          <w:bCs/>
          <w:noProof/>
          <w:lang w:val="en-GB"/>
        </w:rPr>
        <w:t>(Jacobs et al., 2008)</w:t>
      </w:r>
      <w:r w:rsidR="000221A1">
        <w:rPr>
          <w:rStyle w:val="Refdenotaalpie"/>
          <w:lang w:val="en-GB"/>
        </w:rPr>
        <w:fldChar w:fldCharType="end"/>
      </w:r>
      <w:r w:rsidR="0030491C" w:rsidRPr="0030491C">
        <w:rPr>
          <w:lang w:val="en-GB"/>
        </w:rPr>
        <w:t>. In the supercritical state, CO</w:t>
      </w:r>
      <w:r w:rsidR="0030491C" w:rsidRPr="00496E12">
        <w:rPr>
          <w:vertAlign w:val="subscript"/>
          <w:lang w:val="en-GB"/>
        </w:rPr>
        <w:t>2</w:t>
      </w:r>
      <w:r w:rsidR="0030491C" w:rsidRPr="0030491C">
        <w:rPr>
          <w:lang w:val="en-GB"/>
        </w:rPr>
        <w:t xml:space="preserve"> has properties of density, diffusivity, and low viscosity that allow it to permeate the polymeric matrix, causing plasticization of the matrix by decreasing its glass transition temperature. After a controlled contact time, depressurization of the system leads to supersaturation, with the subsequent cell nucleation phenomenon during phase separation, resulting in the formation of the </w:t>
      </w:r>
      <w:r w:rsidR="00496E12">
        <w:rPr>
          <w:lang w:val="en-GB"/>
        </w:rPr>
        <w:t xml:space="preserve">porous scaffold structure </w:t>
      </w:r>
      <w:r w:rsidR="000221A1">
        <w:rPr>
          <w:rStyle w:val="Refdenotaalpie"/>
          <w:lang w:val="en-GB"/>
        </w:rPr>
        <w:fldChar w:fldCharType="begin" w:fldLock="1"/>
      </w:r>
      <w:r w:rsidR="00B0335A">
        <w:rPr>
          <w:lang w:val="en-GB"/>
        </w:rPr>
        <w:instrText>ADDIN CSL_CITATION {"citationItems":[{"id":"ITEM-1","itemData":{"DOI":"10.3390/ma15031169","ISSN":"19961944","abstract":"The process of foaming poly(caprolactone)-based composites using supercritical carbon dioxide was analyzed. The impact of the conditions of the solid-foam production process on the process efficiency and properties of porous structures was investigated. The novel application of various types of porogens—hydroxyapatite, nanocellulose, carboxymethylcellulose, and graphene oxide—was tested in order to modify the properties and improve the quality of solid foams, increasing their usefulness in specialized practical applications. The study showed a significant influence of the foaming process conditions on the properties of solid foams. The optimal process parameters were determined to be pressure 18 MPa, temperature 70 °C, and time 1 h in order to obtain structures with appropriate properties for applications in biomedical engineering, and the most promising material for their production was selected: a composite containing 5% hydroxyapatite or 0.2% graphene oxide.","author":[{"dropping-particle":"","family":"Kosowska","given":"Katarzyna","non-dropping-particle":"","parse-names":false,"suffix":""},{"dropping-particle":"","family":"Krzysztoforski","given":"Jan","non-dropping-particle":"","parse-names":false,"suffix":""},{"dropping-particle":"","family":"Henczka","given":"Marek","non-dropping-particle":"","parse-names":false,"suffix":""}],"container-title":"Materials","id":"ITEM-1","issue":"3","issued":{"date-parts":[["2022"]]},"title":"Foaming of PCL-Based Composites Using scCO2: Structure and Physical Properties","type":"article-journal","volume":"15"},"uris":["http://www.mendeley.com/documents/?uuid=ba84ee54-3155-44c8-886a-407ff07bdf7f"]},{"id":"ITEM-2","itemData":{"DOI":"10.3390/polym14040672","ISSN":"20734360","abstract":"Scaffolds are advanced devices employed in tissue engineering, as they are intended to mimic the characteristics of extracellular matrices. In this respect, conjugated materials are gaining relevance in the manufacturing of the foams used for therapeutic scaffolds, since they can provide certain properties that are missing in the other polymers used to form the scaffolds. This work has, therefore, focused on the development of functional scaffolds formed by conjugated-non-conjugated polymers such as polyvinyl acetate and polypyrrole, impregnated with gallic acid as the model drug and produced by means of a supercritical CO2 foaming/impregnation process. The effects from a series of parameters such as pressure, temperature, depressurization rate, and contact time of the scaffold production process have been determined. The impregnated foams have been characterized according to their morphology, including their porosity and expansion factor, their drug loading and delivering capabilities, and their mechanical and electrical properties. The characterization of the experiments was carried out using scanning electron microscopy, liquid displacement, in vitro release, electrochemical impedance spectroscopy, and compression techniques. The results from our tests have revealed a considerable influence of all the input variables studied, as well as relevant interactions between them. Values close to 35% porosity were obtained, with a drug release of up to 10 h with a fast initial release. The best operating conditions were 353 K, 30 MPa, 0.5 MPa/min depressurization rate, and 1 h contact time. By means of the supercritical foaming/impregnation technique, scaffolds with potential in tissue engineering due to their studied properties were obtained.","author":[{"dropping-particle":"","family":"Valor","given":"Diego","non-dropping-particle":"","parse-names":false,"suffix":""},{"dropping-particle":"","family":"Montes","given":"Antonio","non-dropping-particle":"","parse-names":false,"suffix":""},{"dropping-particle":"","family":"Cózar","given":"Antonio","non-dropping-particle":"","parse-names":false,"suffix":""},{"dropping-particle":"","family":"Pereyra","given":"Clara","non-dropping-particle":"","parse-names":false,"suffix":""},{"dropping-particle":"","family":"la Ossa","given":"Enrique Martínez","non-dropping-particle":"de","parse-names":false,"suffix":""}],"container-title":"Polymers","id":"ITEM-2","issue":"4","issued":{"date-parts":[["2022"]]},"title":"Development of Porous Polyvinyl Acetate/Polypyrrole/Gallic Acid Scaffolds Using Supercritical CO2 as Tissue Regenerative Agents","type":"article-journal","volume":"14"},"uris":["http://www.mendeley.com/documents/?uuid=85dce11c-c4f2-4f0b-b2a2-871c5c4b7b6c"]}],"mendeley":{"formattedCitation":"(Kosowska et al., 2022; Valor et al., 2022)","plainTextFormattedCitation":"(Kosowska et al., 2022; Valor et al., 2022)","previouslyFormattedCitation":"(Kosowska et al., 2022; Valor et al., 2022)"},"properties":{"noteIndex":0},"schema":"https://github.com/citation-style-language/schema/raw/master/csl-citation.json"}</w:instrText>
      </w:r>
      <w:r w:rsidR="000221A1">
        <w:rPr>
          <w:rStyle w:val="Refdenotaalpie"/>
          <w:lang w:val="en-GB"/>
        </w:rPr>
        <w:fldChar w:fldCharType="separate"/>
      </w:r>
      <w:r w:rsidR="004C6592" w:rsidRPr="004C6592">
        <w:rPr>
          <w:bCs/>
          <w:noProof/>
          <w:lang w:val="en-GB"/>
        </w:rPr>
        <w:t>(Kosowska et al., 2022; Valor et al., 2022)</w:t>
      </w:r>
      <w:r w:rsidR="000221A1">
        <w:rPr>
          <w:rStyle w:val="Refdenotaalpie"/>
          <w:lang w:val="en-GB"/>
        </w:rPr>
        <w:fldChar w:fldCharType="end"/>
      </w:r>
      <w:r w:rsidR="0030491C" w:rsidRPr="0030491C">
        <w:rPr>
          <w:lang w:val="en-GB"/>
        </w:rPr>
        <w:t>. To carry out foaming and impregnation in a single step, the polymer mixture and the extract are introduced concurrently and maintained in contact with supercritical carbon dioxide (scCO</w:t>
      </w:r>
      <w:r w:rsidR="0030491C" w:rsidRPr="00496E12">
        <w:rPr>
          <w:vertAlign w:val="subscript"/>
          <w:lang w:val="en-GB"/>
        </w:rPr>
        <w:t>2</w:t>
      </w:r>
      <w:r w:rsidR="0030491C" w:rsidRPr="0030491C">
        <w:rPr>
          <w:lang w:val="en-GB"/>
        </w:rPr>
        <w:t xml:space="preserve">) to facilitate its permeation into the polymer and induce a plasticizing effect that facilitates the impregnation process. The objective of this </w:t>
      </w:r>
      <w:r w:rsidR="005440F3">
        <w:rPr>
          <w:lang w:val="en-GB"/>
        </w:rPr>
        <w:t xml:space="preserve">preliminary </w:t>
      </w:r>
      <w:r w:rsidR="0030491C" w:rsidRPr="0030491C">
        <w:rPr>
          <w:lang w:val="en-GB"/>
        </w:rPr>
        <w:t>research is to developed conjugated systems with PEDOT and PLGA with the incorporation of mango leaves extracts, to use in tissue engineering. The authors evaluated the influence of temp</w:t>
      </w:r>
      <w:r w:rsidR="005440F3">
        <w:rPr>
          <w:lang w:val="en-GB"/>
        </w:rPr>
        <w:t>erature, pressure or contact time on the morphology,</w:t>
      </w:r>
      <w:r w:rsidR="0030491C" w:rsidRPr="0030491C">
        <w:rPr>
          <w:lang w:val="en-GB"/>
        </w:rPr>
        <w:t xml:space="preserve"> total impregnat</w:t>
      </w:r>
      <w:r w:rsidR="005440F3">
        <w:rPr>
          <w:lang w:val="en-GB"/>
        </w:rPr>
        <w:t>ed compound and its antioxidant capacities</w:t>
      </w:r>
      <w:r w:rsidR="0030491C" w:rsidRPr="0030491C">
        <w:rPr>
          <w:lang w:val="en-GB"/>
        </w:rPr>
        <w:t>.</w:t>
      </w:r>
    </w:p>
    <w:p w14:paraId="4FD230E6" w14:textId="77777777" w:rsidR="0030491C" w:rsidRDefault="0030491C" w:rsidP="0030491C">
      <w:pPr>
        <w:pStyle w:val="CETHeading1"/>
      </w:pPr>
      <w:r>
        <w:t>Materials and methods</w:t>
      </w:r>
    </w:p>
    <w:p w14:paraId="4DAAC25E" w14:textId="77777777" w:rsidR="0030491C" w:rsidRDefault="0030491C" w:rsidP="0030491C">
      <w:pPr>
        <w:pStyle w:val="CETheadingx"/>
      </w:pPr>
      <w:r>
        <w:t>Materials</w:t>
      </w:r>
    </w:p>
    <w:p w14:paraId="2AEF7E12" w14:textId="54A532E1" w:rsidR="0030491C" w:rsidRPr="00DB21F6" w:rsidRDefault="00DB21F6" w:rsidP="00DB21F6">
      <w:pPr>
        <w:pStyle w:val="CETBodytext"/>
      </w:pPr>
      <w:r w:rsidRPr="00DB21F6">
        <w:t>PLGA (</w:t>
      </w:r>
      <w:proofErr w:type="spellStart"/>
      <w:proofErr w:type="gramStart"/>
      <w:r w:rsidRPr="00DB21F6">
        <w:t>lactide:glycolide</w:t>
      </w:r>
      <w:proofErr w:type="spellEnd"/>
      <w:proofErr w:type="gramEnd"/>
      <w:r w:rsidRPr="00DB21F6">
        <w:t xml:space="preserve"> 75:25) </w:t>
      </w:r>
      <w:r w:rsidR="003A5AAC">
        <w:t xml:space="preserve">(poly(lactic-co-glycolic acid)) with </w:t>
      </w:r>
      <w:r w:rsidRPr="00DB21F6">
        <w:t>Mw 76,000-115,000 and PEDOT:PSS (Poly(2,3-dihydrothieno-1,4-dioxin)-poly(</w:t>
      </w:r>
      <w:proofErr w:type="spellStart"/>
      <w:r w:rsidRPr="00DB21F6">
        <w:t>styrenesulfonate</w:t>
      </w:r>
      <w:proofErr w:type="spellEnd"/>
      <w:r w:rsidRPr="00DB21F6">
        <w:t>)) 3.0-4.0% in H</w:t>
      </w:r>
      <w:r w:rsidRPr="003A5AAC">
        <w:rPr>
          <w:vertAlign w:val="subscript"/>
        </w:rPr>
        <w:t>2</w:t>
      </w:r>
      <w:r w:rsidRPr="00DB21F6">
        <w:t>O were purchased from Sigma-Aldrich (Spain). CO</w:t>
      </w:r>
      <w:r w:rsidRPr="00676197">
        <w:rPr>
          <w:vertAlign w:val="subscript"/>
        </w:rPr>
        <w:t>2</w:t>
      </w:r>
      <w:r w:rsidRPr="00DB21F6">
        <w:t xml:space="preserve"> (99.8% purity) was supplied by Linde (Spain). </w:t>
      </w:r>
      <w:r w:rsidR="00676197" w:rsidRPr="00DB21F6">
        <w:t xml:space="preserve">DPPH </w:t>
      </w:r>
      <w:r w:rsidRPr="00DB21F6">
        <w:t>(</w:t>
      </w:r>
      <w:r w:rsidR="00676197" w:rsidRPr="00DB21F6">
        <w:t>2,2-diphenyl-1-picrylhydrazyl</w:t>
      </w:r>
      <w:r w:rsidRPr="00DB21F6">
        <w:t>)</w:t>
      </w:r>
      <w:r w:rsidR="00676197">
        <w:t xml:space="preserve">, ethanol (99.5%), </w:t>
      </w:r>
      <w:r w:rsidRPr="00DB21F6">
        <w:t>Folin–</w:t>
      </w:r>
      <w:proofErr w:type="spellStart"/>
      <w:r w:rsidRPr="00DB21F6">
        <w:t>Ciocâlteu</w:t>
      </w:r>
      <w:proofErr w:type="spellEnd"/>
      <w:r w:rsidRPr="00DB21F6">
        <w:t xml:space="preserve"> reagent (FCR) </w:t>
      </w:r>
      <w:r w:rsidR="00676197">
        <w:t>and Na</w:t>
      </w:r>
      <w:r w:rsidR="00676197" w:rsidRPr="00676197">
        <w:rPr>
          <w:vertAlign w:val="subscript"/>
        </w:rPr>
        <w:t>2</w:t>
      </w:r>
      <w:r w:rsidR="00676197">
        <w:t>CO</w:t>
      </w:r>
      <w:r w:rsidR="00676197" w:rsidRPr="00676197">
        <w:rPr>
          <w:vertAlign w:val="subscript"/>
        </w:rPr>
        <w:t>3</w:t>
      </w:r>
      <w:r w:rsidR="00676197" w:rsidRPr="00DB21F6">
        <w:t xml:space="preserve"> </w:t>
      </w:r>
      <w:r w:rsidRPr="00DB21F6">
        <w:t>were supplied by Sigma–Aldrich (Madrid, Spain).</w:t>
      </w:r>
    </w:p>
    <w:p w14:paraId="02159391" w14:textId="44D61F3D" w:rsidR="007E17C7" w:rsidRDefault="007E17C7" w:rsidP="0030491C">
      <w:pPr>
        <w:pStyle w:val="CETBodytext"/>
      </w:pPr>
    </w:p>
    <w:p w14:paraId="00DAEB28" w14:textId="2140A680" w:rsidR="0030491C" w:rsidRDefault="00676197" w:rsidP="00676197">
      <w:pPr>
        <w:pStyle w:val="CETheadingx"/>
      </w:pPr>
      <w:r w:rsidRPr="00676197">
        <w:t>Production of ethanolic extract from mango leaves</w:t>
      </w:r>
    </w:p>
    <w:p w14:paraId="67A44ED7" w14:textId="32C441A3" w:rsidR="00676197" w:rsidRDefault="00676197" w:rsidP="00676197">
      <w:pPr>
        <w:pStyle w:val="CETBodytext"/>
      </w:pPr>
      <w:r w:rsidRPr="00676197">
        <w:t>The mango leaf extract was obtained through maceration extraction using a sample of 40 g of dried and crushed mango leaves. Ethanol (99.5%) was used as a solvent for 3 hours at a mild temperature of 45°C with agitation to avoid degradation of the leaf compounds. Ethanol was chosen for its high solubility in the supercritical phase, making it easy to remove from the final product. The resulting ethanolic suspension was filtered using commercial filter paper and then stored in darkness at 4 °C prior to assay. A rotary evaporator was employed at 45°C to achieve the desired total concentration.</w:t>
      </w:r>
    </w:p>
    <w:p w14:paraId="2E16E0AF" w14:textId="77777777" w:rsidR="00676197" w:rsidRPr="00676197" w:rsidRDefault="00676197" w:rsidP="00676197">
      <w:pPr>
        <w:pStyle w:val="CETBodytext"/>
      </w:pPr>
    </w:p>
    <w:p w14:paraId="323F1BA7" w14:textId="7903028F" w:rsidR="00990B03" w:rsidRDefault="00990B03" w:rsidP="00990B03">
      <w:pPr>
        <w:pStyle w:val="CETheadingx"/>
      </w:pPr>
      <w:r w:rsidRPr="00990B03">
        <w:t>Supercritical foaming</w:t>
      </w:r>
      <w:r>
        <w:t>-impregnation</w:t>
      </w:r>
      <w:r w:rsidRPr="00990B03">
        <w:t xml:space="preserve"> </w:t>
      </w:r>
      <w:r>
        <w:t>process</w:t>
      </w:r>
    </w:p>
    <w:p w14:paraId="01F1BF40" w14:textId="60A5A66E" w:rsidR="0030491C" w:rsidRDefault="00990B03" w:rsidP="0030491C">
      <w:pPr>
        <w:pStyle w:val="CETBodytext"/>
      </w:pPr>
      <w:r w:rsidRPr="00990B03">
        <w:t xml:space="preserve">The experiments involving polymer foaming and impregnation were conducted using </w:t>
      </w:r>
      <w:proofErr w:type="gramStart"/>
      <w:r w:rsidRPr="00990B03">
        <w:t>a</w:t>
      </w:r>
      <w:proofErr w:type="gramEnd"/>
      <w:r w:rsidRPr="00990B03">
        <w:t xml:space="preserve"> </w:t>
      </w:r>
      <w:r w:rsidR="00496E12">
        <w:t xml:space="preserve">SSI </w:t>
      </w:r>
      <w:r w:rsidRPr="00744B0F">
        <w:t>pilot plant (</w:t>
      </w:r>
      <w:r w:rsidR="00744B0F" w:rsidRPr="00744B0F">
        <w:t>Thar technologies</w:t>
      </w:r>
      <w:r w:rsidRPr="00744B0F">
        <w:t>), as illustrated in Figure 1. The equipment is equipped with a high-pressure pump and a</w:t>
      </w:r>
      <w:r w:rsidRPr="00990B03">
        <w:t xml:space="preserve"> thermal bath, enabling CO</w:t>
      </w:r>
      <w:r w:rsidRPr="00C62F44">
        <w:rPr>
          <w:vertAlign w:val="subscript"/>
        </w:rPr>
        <w:t>2</w:t>
      </w:r>
      <w:r w:rsidRPr="00990B03">
        <w:t xml:space="preserve"> injection in its liquid state. A temperature-controlled electric heat exchanger, located just before the CO</w:t>
      </w:r>
      <w:r w:rsidRPr="00C62F44">
        <w:rPr>
          <w:vertAlign w:val="subscript"/>
        </w:rPr>
        <w:t>2</w:t>
      </w:r>
      <w:r w:rsidRPr="00990B03">
        <w:t xml:space="preserve"> inlet to the </w:t>
      </w:r>
      <w:r w:rsidR="002F68FB">
        <w:t>25</w:t>
      </w:r>
      <w:r w:rsidR="00496E12">
        <w:t>7</w:t>
      </w:r>
      <w:r w:rsidRPr="00990B03">
        <w:t xml:space="preserve"> mL foaming vessel, helps regulate the temperature. The required pressure of the entire system is controlled through an automatic backpressure regulator valve. Finally, the system includes a micrometric valve, which enables adjustment of the vessel depressurization rate and CO</w:t>
      </w:r>
      <w:r w:rsidRPr="00C62F44">
        <w:rPr>
          <w:vertAlign w:val="subscript"/>
        </w:rPr>
        <w:t>2</w:t>
      </w:r>
      <w:r w:rsidRPr="00990B03">
        <w:t xml:space="preserve"> venting through a cyclonic separator.</w:t>
      </w:r>
    </w:p>
    <w:p w14:paraId="3F1419BB" w14:textId="0566D5AB" w:rsidR="002F68FB" w:rsidRDefault="002F68FB" w:rsidP="0030491C">
      <w:pPr>
        <w:pStyle w:val="CETBodytext"/>
      </w:pPr>
      <w:r>
        <w:t xml:space="preserve">The PLGA and </w:t>
      </w:r>
      <w:proofErr w:type="gramStart"/>
      <w:r>
        <w:t>PEDOT:PSS</w:t>
      </w:r>
      <w:proofErr w:type="gramEnd"/>
      <w:r>
        <w:t xml:space="preserve"> polymer mixture was processed using a mechanical press to produce tablets, which were placed on an aluminum support. 3 mL of the ethanolic extract of mango leaves were introduced into the vessel without being in direct contact with the polymer mixture. Then, supercritical CO</w:t>
      </w:r>
      <w:r w:rsidRPr="00C62F44">
        <w:rPr>
          <w:vertAlign w:val="subscript"/>
        </w:rPr>
        <w:t>2</w:t>
      </w:r>
      <w:r>
        <w:t xml:space="preserve"> was injected into the vessel under the desired conditions for the foaming/impregnation process. The mixture was maintained under supercritical conditions for a determined contact time, causing the polymer to plasticize. The system was then depressurized at a controlled rate using the micrometric valve, resulting in the foaming and impregnation of the compounds present in the extract through the formation of a porous structure inside the tablet.</w:t>
      </w:r>
    </w:p>
    <w:p w14:paraId="3D2A274E" w14:textId="77777777" w:rsidR="00012708" w:rsidRDefault="00012708" w:rsidP="0030491C">
      <w:pPr>
        <w:pStyle w:val="CETBodytext"/>
      </w:pPr>
    </w:p>
    <w:p w14:paraId="32D00BD7" w14:textId="6832DD8F" w:rsidR="0030491C" w:rsidRPr="00012708" w:rsidRDefault="00012708" w:rsidP="0030491C">
      <w:pPr>
        <w:pStyle w:val="CETBodytext"/>
        <w:rPr>
          <w:rStyle w:val="CETCaptionCarattere"/>
          <w:i w:val="0"/>
          <w:lang w:val="en-US"/>
        </w:rPr>
      </w:pPr>
      <w:r w:rsidRPr="00012708">
        <w:rPr>
          <w:rStyle w:val="CETCaptionCarattere"/>
          <w:i w:val="0"/>
          <w:noProof/>
          <w:lang w:val="es-ES" w:eastAsia="es-ES"/>
        </w:rPr>
        <w:lastRenderedPageBreak/>
        <w:drawing>
          <wp:inline distT="0" distB="0" distL="0" distR="0" wp14:anchorId="026AA805" wp14:editId="01E48F8D">
            <wp:extent cx="4900246" cy="2106319"/>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5021219" cy="2158318"/>
                    </a:xfrm>
                    <a:prstGeom prst="rect">
                      <a:avLst/>
                    </a:prstGeom>
                  </pic:spPr>
                </pic:pic>
              </a:graphicData>
            </a:graphic>
          </wp:inline>
        </w:drawing>
      </w:r>
    </w:p>
    <w:p w14:paraId="6F48EA29" w14:textId="2DC9D280" w:rsidR="00C67001" w:rsidRDefault="00C67001" w:rsidP="00C67001">
      <w:pPr>
        <w:pStyle w:val="CETCaption"/>
        <w:rPr>
          <w:rStyle w:val="CETCaptionCarattere"/>
          <w:i/>
        </w:rPr>
      </w:pPr>
      <w:r w:rsidRPr="00744B0F">
        <w:rPr>
          <w:rStyle w:val="CETCaptionCarattere"/>
          <w:i/>
        </w:rPr>
        <w:t xml:space="preserve">Figure 1: Schematic diagram of </w:t>
      </w:r>
      <w:r w:rsidR="00496E12" w:rsidRPr="00744B0F">
        <w:rPr>
          <w:rStyle w:val="CETCaptionCarattere"/>
          <w:i/>
        </w:rPr>
        <w:t>SSI</w:t>
      </w:r>
      <w:r w:rsidRPr="00744B0F">
        <w:rPr>
          <w:rStyle w:val="CETCaptionCarattere"/>
          <w:i/>
        </w:rPr>
        <w:t xml:space="preserve"> pilot plant.</w:t>
      </w:r>
    </w:p>
    <w:p w14:paraId="4FCF2664" w14:textId="774DE5E4" w:rsidR="00C67001" w:rsidRDefault="00C67001" w:rsidP="00C67001">
      <w:pPr>
        <w:pStyle w:val="CETBodytext"/>
      </w:pPr>
      <w:r>
        <w:t xml:space="preserve">A total of seven experiments were conducted to investigate the impact of various parameters such as polymer ratio, temperature, pressure, and contact time on the scaffold formation process and their properties. The conditions used in each experiment are shown in Table 1. </w:t>
      </w:r>
      <w:r w:rsidR="003A5AAC" w:rsidRPr="003A5AAC">
        <w:t xml:space="preserve">The </w:t>
      </w:r>
      <w:r w:rsidR="003A5AAC">
        <w:t>tablet</w:t>
      </w:r>
      <w:r w:rsidR="003A5AAC" w:rsidRPr="003A5AAC">
        <w:t xml:space="preserve"> was always made using 25 mg of PLGA, while the amount of PEDOT was varied in some experiments.</w:t>
      </w:r>
      <w:r w:rsidR="003A5AAC">
        <w:t xml:space="preserve"> </w:t>
      </w:r>
      <w:r>
        <w:t>The depressurization rate was kept constant at 0.5 MPa/min, while the concentration of the extr</w:t>
      </w:r>
      <w:r w:rsidR="0091325C">
        <w:t>act used was always 20 mg</w:t>
      </w:r>
      <w:r w:rsidR="00F1185F">
        <w:t xml:space="preserve"> extract</w:t>
      </w:r>
      <w:r w:rsidR="0091325C">
        <w:t xml:space="preserve">/mL </w:t>
      </w:r>
      <w:r>
        <w:t>ethanol.</w:t>
      </w:r>
    </w:p>
    <w:p w14:paraId="29A67479" w14:textId="1C74A6BB" w:rsidR="00A85BEE" w:rsidRPr="00B57B36" w:rsidRDefault="00C67001" w:rsidP="007933A2">
      <w:pPr>
        <w:pStyle w:val="CETCaption"/>
      </w:pPr>
      <w:r w:rsidRPr="00744B0F">
        <w:rPr>
          <w:rStyle w:val="CETCaptionCarattere"/>
          <w:i/>
        </w:rPr>
        <w:t>Table 1: Conditions used for the foaming/impregnation process</w:t>
      </w:r>
      <w:r w:rsidR="00744B0F" w:rsidRPr="00744B0F">
        <w:rPr>
          <w:rStyle w:val="CETCaptionCarattere"/>
          <w:i/>
        </w:rPr>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1418"/>
        <w:gridCol w:w="850"/>
      </w:tblGrid>
      <w:tr w:rsidR="00A85BEE" w:rsidRPr="00B57B36" w14:paraId="78B875DA" w14:textId="77777777" w:rsidTr="00CF4B75">
        <w:tc>
          <w:tcPr>
            <w:tcW w:w="1134" w:type="dxa"/>
            <w:tcBorders>
              <w:top w:val="single" w:sz="12" w:space="0" w:color="008000"/>
              <w:bottom w:val="single" w:sz="6" w:space="0" w:color="008000"/>
            </w:tcBorders>
            <w:shd w:val="clear" w:color="auto" w:fill="FFFFFF"/>
            <w:vAlign w:val="center"/>
          </w:tcPr>
          <w:p w14:paraId="71CF03C5" w14:textId="23674CE7" w:rsidR="00A85BEE" w:rsidRPr="003A5AAC" w:rsidRDefault="00A85BEE" w:rsidP="00CF4B75">
            <w:pPr>
              <w:pStyle w:val="CETBodytext"/>
              <w:jc w:val="left"/>
              <w:rPr>
                <w:lang w:val="en-GB"/>
              </w:rPr>
            </w:pPr>
            <w:r w:rsidRPr="003A5AAC">
              <w:rPr>
                <w:lang w:val="en-GB"/>
              </w:rPr>
              <w:t xml:space="preserve">Run </w:t>
            </w:r>
          </w:p>
        </w:tc>
        <w:tc>
          <w:tcPr>
            <w:tcW w:w="1134" w:type="dxa"/>
            <w:tcBorders>
              <w:top w:val="single" w:sz="12" w:space="0" w:color="008000"/>
              <w:bottom w:val="single" w:sz="6" w:space="0" w:color="008000"/>
            </w:tcBorders>
            <w:shd w:val="clear" w:color="auto" w:fill="FFFFFF"/>
            <w:vAlign w:val="center"/>
          </w:tcPr>
          <w:p w14:paraId="768DE814" w14:textId="5318664E" w:rsidR="00A85BEE" w:rsidRPr="003A5AAC" w:rsidRDefault="003A5AAC" w:rsidP="00CF4B75">
            <w:pPr>
              <w:pStyle w:val="CETBodytext"/>
              <w:jc w:val="left"/>
              <w:rPr>
                <w:lang w:val="en-GB"/>
              </w:rPr>
            </w:pPr>
            <w:r w:rsidRPr="003A5AAC">
              <w:rPr>
                <w:lang w:val="en-GB"/>
              </w:rPr>
              <w:t>PEDOT</w:t>
            </w:r>
          </w:p>
          <w:p w14:paraId="2DD09727" w14:textId="484E104E" w:rsidR="00A85BEE" w:rsidRPr="003A5AAC" w:rsidRDefault="00A85BEE" w:rsidP="00CF4B75">
            <w:pPr>
              <w:pStyle w:val="CETBodytext"/>
              <w:jc w:val="left"/>
              <w:rPr>
                <w:lang w:val="en-GB"/>
              </w:rPr>
            </w:pPr>
            <w:r w:rsidRPr="003A5AAC">
              <w:rPr>
                <w:sz w:val="14"/>
                <w:lang w:val="en-GB"/>
              </w:rPr>
              <w:t>(</w:t>
            </w:r>
            <w:r w:rsidR="003A5AAC" w:rsidRPr="003A5AAC">
              <w:rPr>
                <w:rFonts w:cs="Arial"/>
                <w:sz w:val="14"/>
                <w:lang w:val="en-GB"/>
              </w:rPr>
              <w:t>µ</w:t>
            </w:r>
            <w:r w:rsidR="003A5AAC" w:rsidRPr="003A5AAC">
              <w:rPr>
                <w:sz w:val="14"/>
                <w:lang w:val="en-GB"/>
              </w:rPr>
              <w:t>L</w:t>
            </w:r>
            <w:r w:rsidRPr="003A5AAC">
              <w:rPr>
                <w:sz w:val="14"/>
                <w:lang w:val="en-GB"/>
              </w:rPr>
              <w:t>)</w:t>
            </w:r>
          </w:p>
        </w:tc>
        <w:tc>
          <w:tcPr>
            <w:tcW w:w="1134" w:type="dxa"/>
            <w:tcBorders>
              <w:top w:val="single" w:sz="12" w:space="0" w:color="008000"/>
              <w:bottom w:val="single" w:sz="6" w:space="0" w:color="008000"/>
            </w:tcBorders>
            <w:shd w:val="clear" w:color="auto" w:fill="FFFFFF"/>
            <w:vAlign w:val="center"/>
          </w:tcPr>
          <w:p w14:paraId="121AF392" w14:textId="77777777" w:rsidR="00A85BEE" w:rsidRDefault="00A85BEE" w:rsidP="00CF4B75">
            <w:pPr>
              <w:pStyle w:val="CETBodytext"/>
              <w:jc w:val="left"/>
              <w:rPr>
                <w:lang w:val="en-GB"/>
              </w:rPr>
            </w:pPr>
            <w:r>
              <w:rPr>
                <w:lang w:val="en-GB"/>
              </w:rPr>
              <w:t>Pressure</w:t>
            </w:r>
          </w:p>
          <w:p w14:paraId="36436CF0" w14:textId="74D0FDC9" w:rsidR="00A85BEE" w:rsidRPr="00B57B36" w:rsidRDefault="00A85BEE" w:rsidP="00CF4B75">
            <w:pPr>
              <w:pStyle w:val="CETBodytext"/>
              <w:jc w:val="left"/>
              <w:rPr>
                <w:lang w:val="en-GB"/>
              </w:rPr>
            </w:pPr>
            <w:r>
              <w:rPr>
                <w:lang w:val="en-GB"/>
              </w:rPr>
              <w:t>(M</w:t>
            </w:r>
            <w:r w:rsidR="00424D1D">
              <w:rPr>
                <w:lang w:val="en-GB"/>
              </w:rPr>
              <w:t>P</w:t>
            </w:r>
            <w:r>
              <w:rPr>
                <w:lang w:val="en-GB"/>
              </w:rPr>
              <w:t>a)</w:t>
            </w:r>
          </w:p>
        </w:tc>
        <w:tc>
          <w:tcPr>
            <w:tcW w:w="1418" w:type="dxa"/>
            <w:tcBorders>
              <w:top w:val="single" w:sz="12" w:space="0" w:color="008000"/>
              <w:bottom w:val="single" w:sz="6" w:space="0" w:color="008000"/>
            </w:tcBorders>
            <w:shd w:val="clear" w:color="auto" w:fill="FFFFFF"/>
            <w:vAlign w:val="center"/>
          </w:tcPr>
          <w:p w14:paraId="73904920" w14:textId="77777777" w:rsidR="00A85BEE" w:rsidRDefault="00A85BEE" w:rsidP="00CF4B75">
            <w:pPr>
              <w:pStyle w:val="CETBodytext"/>
              <w:ind w:right="-1"/>
              <w:jc w:val="left"/>
              <w:rPr>
                <w:rFonts w:cs="Arial"/>
                <w:szCs w:val="18"/>
                <w:lang w:val="en-GB"/>
              </w:rPr>
            </w:pPr>
            <w:r>
              <w:rPr>
                <w:rFonts w:cs="Arial"/>
                <w:szCs w:val="18"/>
                <w:lang w:val="en-GB"/>
              </w:rPr>
              <w:t>Temperature</w:t>
            </w:r>
          </w:p>
          <w:p w14:paraId="53B70EC0" w14:textId="5109802A" w:rsidR="00A85BEE" w:rsidRPr="00B57B36" w:rsidRDefault="00A85BEE" w:rsidP="00CF4B75">
            <w:pPr>
              <w:pStyle w:val="CETBodytext"/>
              <w:ind w:right="-1"/>
              <w:jc w:val="left"/>
              <w:rPr>
                <w:rFonts w:cs="Arial"/>
                <w:szCs w:val="18"/>
                <w:lang w:val="en-GB"/>
              </w:rPr>
            </w:pPr>
            <w:r>
              <w:rPr>
                <w:rFonts w:cs="Arial"/>
                <w:szCs w:val="18"/>
                <w:lang w:val="en-GB"/>
              </w:rPr>
              <w:t>(K)</w:t>
            </w:r>
          </w:p>
        </w:tc>
        <w:tc>
          <w:tcPr>
            <w:tcW w:w="850" w:type="dxa"/>
            <w:tcBorders>
              <w:top w:val="single" w:sz="12" w:space="0" w:color="008000"/>
              <w:bottom w:val="single" w:sz="6" w:space="0" w:color="008000"/>
            </w:tcBorders>
            <w:shd w:val="clear" w:color="auto" w:fill="FFFFFF"/>
            <w:vAlign w:val="center"/>
          </w:tcPr>
          <w:p w14:paraId="5E079121" w14:textId="77777777" w:rsidR="00A85BEE" w:rsidRDefault="00A85BEE" w:rsidP="00CF4B75">
            <w:pPr>
              <w:pStyle w:val="CETBodytext"/>
              <w:ind w:right="-1"/>
              <w:jc w:val="left"/>
              <w:rPr>
                <w:rFonts w:cs="Arial"/>
                <w:szCs w:val="18"/>
                <w:lang w:val="en-GB"/>
              </w:rPr>
            </w:pPr>
            <w:r>
              <w:rPr>
                <w:rFonts w:cs="Arial"/>
                <w:szCs w:val="18"/>
                <w:lang w:val="en-GB"/>
              </w:rPr>
              <w:t>Time</w:t>
            </w:r>
          </w:p>
          <w:p w14:paraId="30BDB43E" w14:textId="7B218C62" w:rsidR="00A85BEE" w:rsidRPr="00B57B36" w:rsidRDefault="00A85BEE" w:rsidP="00CF4B75">
            <w:pPr>
              <w:pStyle w:val="CETBodytext"/>
              <w:ind w:right="-1"/>
              <w:jc w:val="left"/>
              <w:rPr>
                <w:rFonts w:cs="Arial"/>
                <w:szCs w:val="18"/>
                <w:lang w:val="en-GB"/>
              </w:rPr>
            </w:pPr>
            <w:r>
              <w:rPr>
                <w:rFonts w:cs="Arial"/>
                <w:szCs w:val="18"/>
                <w:lang w:val="en-GB"/>
              </w:rPr>
              <w:t>(h)</w:t>
            </w:r>
          </w:p>
        </w:tc>
      </w:tr>
      <w:tr w:rsidR="00A85BEE" w:rsidRPr="00B57B36" w14:paraId="1E933A6B" w14:textId="77777777" w:rsidTr="00A85BEE">
        <w:tc>
          <w:tcPr>
            <w:tcW w:w="1134" w:type="dxa"/>
            <w:shd w:val="clear" w:color="auto" w:fill="FFFFFF"/>
          </w:tcPr>
          <w:p w14:paraId="578E2966" w14:textId="609BE570" w:rsidR="00A85BEE" w:rsidRPr="003A5AAC" w:rsidRDefault="00A85BEE" w:rsidP="0091325C">
            <w:pPr>
              <w:pStyle w:val="CETBodytext"/>
              <w:jc w:val="left"/>
              <w:rPr>
                <w:lang w:val="en-GB"/>
              </w:rPr>
            </w:pPr>
            <w:r w:rsidRPr="003A5AAC">
              <w:rPr>
                <w:lang w:val="en-GB"/>
              </w:rPr>
              <w:t>1</w:t>
            </w:r>
          </w:p>
        </w:tc>
        <w:tc>
          <w:tcPr>
            <w:tcW w:w="1134" w:type="dxa"/>
            <w:shd w:val="clear" w:color="auto" w:fill="FFFFFF"/>
          </w:tcPr>
          <w:p w14:paraId="03D71BFA" w14:textId="67A0AF06" w:rsidR="00A85BEE" w:rsidRPr="003A5AAC" w:rsidRDefault="0091325C" w:rsidP="00DC76BC">
            <w:pPr>
              <w:pStyle w:val="CETBodytext"/>
              <w:jc w:val="left"/>
              <w:rPr>
                <w:lang w:val="en-GB"/>
              </w:rPr>
            </w:pPr>
            <w:r w:rsidRPr="003A5AAC">
              <w:rPr>
                <w:lang w:val="en-GB"/>
              </w:rPr>
              <w:t>100</w:t>
            </w:r>
          </w:p>
        </w:tc>
        <w:tc>
          <w:tcPr>
            <w:tcW w:w="1134" w:type="dxa"/>
            <w:shd w:val="clear" w:color="auto" w:fill="FFFFFF"/>
          </w:tcPr>
          <w:p w14:paraId="6E590B34" w14:textId="5321B480" w:rsidR="00A85BEE" w:rsidRPr="00B57B36" w:rsidRDefault="00DC76BC" w:rsidP="00DC76BC">
            <w:pPr>
              <w:pStyle w:val="CETBodytext"/>
              <w:jc w:val="left"/>
              <w:rPr>
                <w:lang w:val="en-GB"/>
              </w:rPr>
            </w:pPr>
            <w:r>
              <w:rPr>
                <w:lang w:val="en-GB"/>
              </w:rPr>
              <w:t>12</w:t>
            </w:r>
          </w:p>
        </w:tc>
        <w:tc>
          <w:tcPr>
            <w:tcW w:w="1418" w:type="dxa"/>
            <w:shd w:val="clear" w:color="auto" w:fill="FFFFFF"/>
          </w:tcPr>
          <w:p w14:paraId="690FAB5F" w14:textId="1AFD0F31" w:rsidR="00A85BEE" w:rsidRPr="00B57B36" w:rsidRDefault="007B4C1A" w:rsidP="00DC76BC">
            <w:pPr>
              <w:pStyle w:val="CETBodytext"/>
              <w:ind w:right="-1"/>
              <w:jc w:val="left"/>
              <w:rPr>
                <w:rFonts w:cs="Arial"/>
                <w:szCs w:val="18"/>
                <w:lang w:val="en-GB"/>
              </w:rPr>
            </w:pPr>
            <w:r>
              <w:rPr>
                <w:rFonts w:cs="Arial"/>
                <w:szCs w:val="18"/>
                <w:lang w:val="en-GB"/>
              </w:rPr>
              <w:t>318</w:t>
            </w:r>
          </w:p>
        </w:tc>
        <w:tc>
          <w:tcPr>
            <w:tcW w:w="850" w:type="dxa"/>
            <w:shd w:val="clear" w:color="auto" w:fill="FFFFFF"/>
          </w:tcPr>
          <w:p w14:paraId="192E417E" w14:textId="72298223" w:rsidR="00A85BEE" w:rsidRPr="00B57B36" w:rsidRDefault="00DC76BC" w:rsidP="00DC76BC">
            <w:pPr>
              <w:pStyle w:val="CETBodytext"/>
              <w:ind w:right="-1"/>
              <w:jc w:val="left"/>
              <w:rPr>
                <w:rFonts w:cs="Arial"/>
                <w:szCs w:val="18"/>
                <w:lang w:val="en-GB"/>
              </w:rPr>
            </w:pPr>
            <w:r>
              <w:rPr>
                <w:rFonts w:cs="Arial"/>
                <w:szCs w:val="18"/>
                <w:lang w:val="en-GB"/>
              </w:rPr>
              <w:t>0.5</w:t>
            </w:r>
          </w:p>
        </w:tc>
      </w:tr>
      <w:tr w:rsidR="00A85BEE" w:rsidRPr="00B57B36" w14:paraId="441CC155" w14:textId="77777777" w:rsidTr="00A85BEE">
        <w:tc>
          <w:tcPr>
            <w:tcW w:w="1134" w:type="dxa"/>
            <w:shd w:val="clear" w:color="auto" w:fill="FFFFFF"/>
          </w:tcPr>
          <w:p w14:paraId="1134E4D4" w14:textId="57BDF0AC" w:rsidR="00A85BEE" w:rsidRPr="003A5AAC" w:rsidRDefault="00A85BEE" w:rsidP="0091325C">
            <w:pPr>
              <w:pStyle w:val="CETBodytext"/>
              <w:ind w:right="-1"/>
              <w:jc w:val="left"/>
              <w:rPr>
                <w:rFonts w:cs="Arial"/>
                <w:szCs w:val="18"/>
                <w:lang w:val="en-GB"/>
              </w:rPr>
            </w:pPr>
            <w:r w:rsidRPr="003A5AAC">
              <w:rPr>
                <w:rFonts w:cs="Arial"/>
                <w:szCs w:val="18"/>
                <w:lang w:val="en-GB"/>
              </w:rPr>
              <w:t>2</w:t>
            </w:r>
          </w:p>
        </w:tc>
        <w:tc>
          <w:tcPr>
            <w:tcW w:w="1134" w:type="dxa"/>
            <w:shd w:val="clear" w:color="auto" w:fill="FFFFFF"/>
          </w:tcPr>
          <w:p w14:paraId="353B5735" w14:textId="0CBCEC64" w:rsidR="00A85BEE" w:rsidRPr="003A5AAC" w:rsidRDefault="0091325C" w:rsidP="00DC76BC">
            <w:pPr>
              <w:pStyle w:val="CETBodytext"/>
              <w:ind w:right="-1"/>
              <w:jc w:val="left"/>
              <w:rPr>
                <w:rFonts w:cs="Arial"/>
                <w:szCs w:val="18"/>
                <w:lang w:val="en-GB"/>
              </w:rPr>
            </w:pPr>
            <w:r w:rsidRPr="003A5AAC">
              <w:rPr>
                <w:rFonts w:cs="Arial"/>
                <w:szCs w:val="18"/>
                <w:lang w:val="en-GB"/>
              </w:rPr>
              <w:t>50</w:t>
            </w:r>
          </w:p>
        </w:tc>
        <w:tc>
          <w:tcPr>
            <w:tcW w:w="1134" w:type="dxa"/>
            <w:shd w:val="clear" w:color="auto" w:fill="FFFFFF"/>
          </w:tcPr>
          <w:p w14:paraId="408D5CF4" w14:textId="727744A3" w:rsidR="00A85BEE" w:rsidRPr="00B57B36" w:rsidRDefault="007B4C1A" w:rsidP="00DC76BC">
            <w:pPr>
              <w:pStyle w:val="CETBodytext"/>
              <w:ind w:right="-1"/>
              <w:jc w:val="left"/>
              <w:rPr>
                <w:rFonts w:cs="Arial"/>
                <w:szCs w:val="18"/>
                <w:lang w:val="en-GB"/>
              </w:rPr>
            </w:pPr>
            <w:r>
              <w:rPr>
                <w:rFonts w:cs="Arial"/>
                <w:szCs w:val="18"/>
                <w:lang w:val="en-GB"/>
              </w:rPr>
              <w:t>12</w:t>
            </w:r>
          </w:p>
        </w:tc>
        <w:tc>
          <w:tcPr>
            <w:tcW w:w="1418" w:type="dxa"/>
            <w:shd w:val="clear" w:color="auto" w:fill="FFFFFF"/>
          </w:tcPr>
          <w:p w14:paraId="0A33C82C" w14:textId="1FE2D0C9" w:rsidR="00A85BEE" w:rsidRPr="00B57B36" w:rsidRDefault="007B4C1A" w:rsidP="00DC76BC">
            <w:pPr>
              <w:pStyle w:val="CETBodytext"/>
              <w:ind w:right="-1"/>
              <w:jc w:val="left"/>
              <w:rPr>
                <w:rFonts w:cs="Arial"/>
                <w:szCs w:val="18"/>
                <w:lang w:val="en-GB"/>
              </w:rPr>
            </w:pPr>
            <w:r>
              <w:rPr>
                <w:rFonts w:cs="Arial"/>
                <w:szCs w:val="18"/>
                <w:lang w:val="en-GB"/>
              </w:rPr>
              <w:t>318</w:t>
            </w:r>
          </w:p>
        </w:tc>
        <w:tc>
          <w:tcPr>
            <w:tcW w:w="850" w:type="dxa"/>
            <w:shd w:val="clear" w:color="auto" w:fill="FFFFFF"/>
          </w:tcPr>
          <w:p w14:paraId="7F92F70E" w14:textId="56ECCF5A" w:rsidR="00A85BEE" w:rsidRPr="00B57B36" w:rsidRDefault="00DC76BC" w:rsidP="00DC76BC">
            <w:pPr>
              <w:pStyle w:val="CETBodytext"/>
              <w:ind w:right="-1"/>
              <w:jc w:val="left"/>
              <w:rPr>
                <w:rFonts w:cs="Arial"/>
                <w:szCs w:val="18"/>
                <w:lang w:val="en-GB"/>
              </w:rPr>
            </w:pPr>
            <w:r>
              <w:rPr>
                <w:rFonts w:cs="Arial"/>
                <w:szCs w:val="18"/>
                <w:lang w:val="en-GB"/>
              </w:rPr>
              <w:t>0.5</w:t>
            </w:r>
          </w:p>
        </w:tc>
      </w:tr>
      <w:tr w:rsidR="00A85BEE" w:rsidRPr="00B57B36" w14:paraId="3E2405AB" w14:textId="77777777" w:rsidTr="00A85BEE">
        <w:tc>
          <w:tcPr>
            <w:tcW w:w="1134" w:type="dxa"/>
            <w:shd w:val="clear" w:color="auto" w:fill="FFFFFF"/>
          </w:tcPr>
          <w:p w14:paraId="05C97D59" w14:textId="2CC6E169" w:rsidR="00A85BEE" w:rsidRPr="003A5AAC" w:rsidRDefault="00A85BEE" w:rsidP="0091325C">
            <w:pPr>
              <w:pStyle w:val="CETBodytext"/>
              <w:ind w:right="-1"/>
              <w:jc w:val="left"/>
              <w:rPr>
                <w:rFonts w:cs="Arial"/>
                <w:szCs w:val="18"/>
                <w:lang w:val="en-GB"/>
              </w:rPr>
            </w:pPr>
            <w:r w:rsidRPr="003A5AAC">
              <w:rPr>
                <w:rFonts w:cs="Arial"/>
                <w:szCs w:val="18"/>
                <w:lang w:val="en-GB"/>
              </w:rPr>
              <w:t>3</w:t>
            </w:r>
          </w:p>
        </w:tc>
        <w:tc>
          <w:tcPr>
            <w:tcW w:w="1134" w:type="dxa"/>
            <w:shd w:val="clear" w:color="auto" w:fill="FFFFFF"/>
          </w:tcPr>
          <w:p w14:paraId="1DDA7642" w14:textId="20D397D8" w:rsidR="00A85BEE" w:rsidRPr="003A5AAC" w:rsidRDefault="0091325C" w:rsidP="00DC76BC">
            <w:pPr>
              <w:pStyle w:val="CETBodytext"/>
              <w:ind w:right="-1"/>
              <w:jc w:val="left"/>
              <w:rPr>
                <w:rFonts w:cs="Arial"/>
                <w:szCs w:val="18"/>
                <w:lang w:val="en-GB"/>
              </w:rPr>
            </w:pPr>
            <w:r w:rsidRPr="003A5AAC">
              <w:rPr>
                <w:rFonts w:cs="Arial"/>
                <w:szCs w:val="18"/>
                <w:lang w:val="en-GB"/>
              </w:rPr>
              <w:t>50</w:t>
            </w:r>
          </w:p>
        </w:tc>
        <w:tc>
          <w:tcPr>
            <w:tcW w:w="1134" w:type="dxa"/>
            <w:shd w:val="clear" w:color="auto" w:fill="FFFFFF"/>
          </w:tcPr>
          <w:p w14:paraId="60F77AEC" w14:textId="240B3B40" w:rsidR="00A85BEE" w:rsidRPr="00B57B36" w:rsidRDefault="00DC76BC" w:rsidP="00DC76BC">
            <w:pPr>
              <w:pStyle w:val="CETBodytext"/>
              <w:ind w:right="-1"/>
              <w:jc w:val="left"/>
              <w:rPr>
                <w:rFonts w:cs="Arial"/>
                <w:szCs w:val="18"/>
                <w:lang w:val="en-GB"/>
              </w:rPr>
            </w:pPr>
            <w:r>
              <w:rPr>
                <w:rFonts w:cs="Arial"/>
                <w:szCs w:val="18"/>
                <w:lang w:val="en-GB"/>
              </w:rPr>
              <w:t>20</w:t>
            </w:r>
          </w:p>
        </w:tc>
        <w:tc>
          <w:tcPr>
            <w:tcW w:w="1418" w:type="dxa"/>
            <w:shd w:val="clear" w:color="auto" w:fill="FFFFFF"/>
          </w:tcPr>
          <w:p w14:paraId="11338B60" w14:textId="5B706A36" w:rsidR="00A85BEE" w:rsidRPr="00B57B36" w:rsidRDefault="007B4C1A" w:rsidP="00DC76BC">
            <w:pPr>
              <w:pStyle w:val="CETBodytext"/>
              <w:ind w:right="-1"/>
              <w:jc w:val="left"/>
              <w:rPr>
                <w:rFonts w:cs="Arial"/>
                <w:szCs w:val="18"/>
                <w:lang w:val="en-GB"/>
              </w:rPr>
            </w:pPr>
            <w:r>
              <w:rPr>
                <w:rFonts w:cs="Arial"/>
                <w:szCs w:val="18"/>
                <w:lang w:val="en-GB"/>
              </w:rPr>
              <w:t>318</w:t>
            </w:r>
          </w:p>
        </w:tc>
        <w:tc>
          <w:tcPr>
            <w:tcW w:w="850" w:type="dxa"/>
            <w:shd w:val="clear" w:color="auto" w:fill="FFFFFF"/>
          </w:tcPr>
          <w:p w14:paraId="01769AF9" w14:textId="55DB8F61" w:rsidR="00A85BEE" w:rsidRPr="00B57B36" w:rsidRDefault="00DC76BC" w:rsidP="00DC76BC">
            <w:pPr>
              <w:pStyle w:val="CETBodytext"/>
              <w:ind w:right="-1"/>
              <w:jc w:val="left"/>
              <w:rPr>
                <w:rFonts w:cs="Arial"/>
                <w:szCs w:val="18"/>
                <w:lang w:val="en-GB"/>
              </w:rPr>
            </w:pPr>
            <w:r>
              <w:rPr>
                <w:rFonts w:cs="Arial"/>
                <w:szCs w:val="18"/>
                <w:lang w:val="en-GB"/>
              </w:rPr>
              <w:t>0.5</w:t>
            </w:r>
          </w:p>
        </w:tc>
      </w:tr>
      <w:tr w:rsidR="00A85BEE" w:rsidRPr="00B57B36" w14:paraId="5CEC8F34" w14:textId="77777777" w:rsidTr="00A85BEE">
        <w:tc>
          <w:tcPr>
            <w:tcW w:w="1134" w:type="dxa"/>
            <w:shd w:val="clear" w:color="auto" w:fill="FFFFFF"/>
          </w:tcPr>
          <w:p w14:paraId="5962CDFA" w14:textId="64C23456" w:rsidR="00A85BEE" w:rsidRPr="003A5AAC" w:rsidRDefault="00A85BEE" w:rsidP="0091325C">
            <w:pPr>
              <w:pStyle w:val="CETBodytext"/>
              <w:ind w:right="-1"/>
              <w:jc w:val="left"/>
              <w:rPr>
                <w:rFonts w:cs="Arial"/>
                <w:szCs w:val="18"/>
                <w:lang w:val="en-GB"/>
              </w:rPr>
            </w:pPr>
            <w:r w:rsidRPr="003A5AAC">
              <w:rPr>
                <w:rFonts w:cs="Arial"/>
                <w:szCs w:val="18"/>
                <w:lang w:val="en-GB"/>
              </w:rPr>
              <w:t>4</w:t>
            </w:r>
          </w:p>
        </w:tc>
        <w:tc>
          <w:tcPr>
            <w:tcW w:w="1134" w:type="dxa"/>
            <w:shd w:val="clear" w:color="auto" w:fill="FFFFFF"/>
          </w:tcPr>
          <w:p w14:paraId="3E84CAC9" w14:textId="326CBE77" w:rsidR="00A85BEE" w:rsidRPr="003A5AAC" w:rsidRDefault="0091325C" w:rsidP="00DC76BC">
            <w:pPr>
              <w:pStyle w:val="CETBodytext"/>
              <w:ind w:right="-1"/>
              <w:jc w:val="left"/>
              <w:rPr>
                <w:rFonts w:cs="Arial"/>
                <w:szCs w:val="18"/>
                <w:lang w:val="en-GB"/>
              </w:rPr>
            </w:pPr>
            <w:r w:rsidRPr="003A5AAC">
              <w:rPr>
                <w:rFonts w:cs="Arial"/>
                <w:szCs w:val="18"/>
                <w:lang w:val="en-GB"/>
              </w:rPr>
              <w:t>50</w:t>
            </w:r>
          </w:p>
        </w:tc>
        <w:tc>
          <w:tcPr>
            <w:tcW w:w="1134" w:type="dxa"/>
            <w:shd w:val="clear" w:color="auto" w:fill="FFFFFF"/>
          </w:tcPr>
          <w:p w14:paraId="07644821" w14:textId="6089449E" w:rsidR="00A85BEE" w:rsidRPr="00B57B36" w:rsidRDefault="00DC76BC" w:rsidP="00DC76BC">
            <w:pPr>
              <w:pStyle w:val="CETBodytext"/>
              <w:ind w:right="-1"/>
              <w:jc w:val="left"/>
              <w:rPr>
                <w:rFonts w:cs="Arial"/>
                <w:szCs w:val="18"/>
                <w:lang w:val="en-GB"/>
              </w:rPr>
            </w:pPr>
            <w:r>
              <w:rPr>
                <w:rFonts w:cs="Arial"/>
                <w:szCs w:val="18"/>
                <w:lang w:val="en-GB"/>
              </w:rPr>
              <w:t>20</w:t>
            </w:r>
          </w:p>
        </w:tc>
        <w:tc>
          <w:tcPr>
            <w:tcW w:w="1418" w:type="dxa"/>
            <w:shd w:val="clear" w:color="auto" w:fill="FFFFFF"/>
          </w:tcPr>
          <w:p w14:paraId="2D2FDBED" w14:textId="0D9922FE" w:rsidR="00A85BEE" w:rsidRPr="00B57B36" w:rsidRDefault="007B4C1A" w:rsidP="00DC76BC">
            <w:pPr>
              <w:pStyle w:val="CETBodytext"/>
              <w:ind w:right="-1"/>
              <w:jc w:val="left"/>
              <w:rPr>
                <w:rFonts w:cs="Arial"/>
                <w:szCs w:val="18"/>
                <w:lang w:val="en-GB"/>
              </w:rPr>
            </w:pPr>
            <w:r>
              <w:rPr>
                <w:rFonts w:cs="Arial"/>
                <w:szCs w:val="18"/>
                <w:lang w:val="en-GB"/>
              </w:rPr>
              <w:t>333</w:t>
            </w:r>
          </w:p>
        </w:tc>
        <w:tc>
          <w:tcPr>
            <w:tcW w:w="850" w:type="dxa"/>
            <w:shd w:val="clear" w:color="auto" w:fill="FFFFFF"/>
          </w:tcPr>
          <w:p w14:paraId="2014E6F2" w14:textId="6318545A" w:rsidR="00A85BEE" w:rsidRPr="00B57B36" w:rsidRDefault="00DC76BC" w:rsidP="00DC76BC">
            <w:pPr>
              <w:pStyle w:val="CETBodytext"/>
              <w:ind w:right="-1"/>
              <w:jc w:val="left"/>
              <w:rPr>
                <w:rFonts w:cs="Arial"/>
                <w:szCs w:val="18"/>
                <w:lang w:val="en-GB"/>
              </w:rPr>
            </w:pPr>
            <w:r>
              <w:rPr>
                <w:rFonts w:cs="Arial"/>
                <w:szCs w:val="18"/>
                <w:lang w:val="en-GB"/>
              </w:rPr>
              <w:t>0.5</w:t>
            </w:r>
          </w:p>
        </w:tc>
      </w:tr>
      <w:tr w:rsidR="00A85BEE" w:rsidRPr="00B57B36" w14:paraId="5023A35E" w14:textId="77777777" w:rsidTr="00A85BEE">
        <w:tc>
          <w:tcPr>
            <w:tcW w:w="1134" w:type="dxa"/>
            <w:shd w:val="clear" w:color="auto" w:fill="FFFFFF"/>
          </w:tcPr>
          <w:p w14:paraId="63DFA33E" w14:textId="095EB41E" w:rsidR="00A85BEE" w:rsidRPr="003A5AAC" w:rsidRDefault="00A85BEE" w:rsidP="0091325C">
            <w:pPr>
              <w:pStyle w:val="CETBodytext"/>
              <w:ind w:right="-1"/>
              <w:jc w:val="left"/>
              <w:rPr>
                <w:rFonts w:cs="Arial"/>
                <w:szCs w:val="18"/>
                <w:lang w:val="en-GB"/>
              </w:rPr>
            </w:pPr>
            <w:r w:rsidRPr="003A5AAC">
              <w:rPr>
                <w:rFonts w:cs="Arial"/>
                <w:szCs w:val="18"/>
                <w:lang w:val="en-GB"/>
              </w:rPr>
              <w:t>5</w:t>
            </w:r>
          </w:p>
        </w:tc>
        <w:tc>
          <w:tcPr>
            <w:tcW w:w="1134" w:type="dxa"/>
            <w:shd w:val="clear" w:color="auto" w:fill="FFFFFF"/>
          </w:tcPr>
          <w:p w14:paraId="1586778A" w14:textId="24E78470" w:rsidR="00A85BEE" w:rsidRPr="003A5AAC" w:rsidRDefault="0091325C" w:rsidP="00DC76BC">
            <w:pPr>
              <w:pStyle w:val="CETBodytext"/>
              <w:ind w:right="-1"/>
              <w:jc w:val="left"/>
              <w:rPr>
                <w:rFonts w:cs="Arial"/>
                <w:szCs w:val="18"/>
                <w:lang w:val="en-GB"/>
              </w:rPr>
            </w:pPr>
            <w:r w:rsidRPr="003A5AAC">
              <w:rPr>
                <w:rFonts w:cs="Arial"/>
                <w:szCs w:val="18"/>
                <w:lang w:val="en-GB"/>
              </w:rPr>
              <w:t>50</w:t>
            </w:r>
          </w:p>
        </w:tc>
        <w:tc>
          <w:tcPr>
            <w:tcW w:w="1134" w:type="dxa"/>
            <w:shd w:val="clear" w:color="auto" w:fill="FFFFFF"/>
          </w:tcPr>
          <w:p w14:paraId="62A49FD4" w14:textId="42B5A0F4" w:rsidR="00A85BEE" w:rsidRPr="00B57B36" w:rsidRDefault="00DC76BC" w:rsidP="00DC76BC">
            <w:pPr>
              <w:pStyle w:val="CETBodytext"/>
              <w:ind w:right="-1"/>
              <w:jc w:val="left"/>
              <w:rPr>
                <w:rFonts w:cs="Arial"/>
                <w:szCs w:val="18"/>
                <w:lang w:val="en-GB"/>
              </w:rPr>
            </w:pPr>
            <w:r>
              <w:rPr>
                <w:rFonts w:cs="Arial"/>
                <w:szCs w:val="18"/>
                <w:lang w:val="en-GB"/>
              </w:rPr>
              <w:t>20</w:t>
            </w:r>
          </w:p>
        </w:tc>
        <w:tc>
          <w:tcPr>
            <w:tcW w:w="1418" w:type="dxa"/>
            <w:shd w:val="clear" w:color="auto" w:fill="FFFFFF"/>
          </w:tcPr>
          <w:p w14:paraId="609478C8" w14:textId="02A7867E" w:rsidR="00A85BEE" w:rsidRPr="00B57B36" w:rsidRDefault="007B4C1A" w:rsidP="00DC76BC">
            <w:pPr>
              <w:pStyle w:val="CETBodytext"/>
              <w:ind w:right="-1"/>
              <w:jc w:val="left"/>
              <w:rPr>
                <w:rFonts w:cs="Arial"/>
                <w:szCs w:val="18"/>
                <w:lang w:val="en-GB"/>
              </w:rPr>
            </w:pPr>
            <w:r>
              <w:rPr>
                <w:rFonts w:cs="Arial"/>
                <w:szCs w:val="18"/>
                <w:lang w:val="en-GB"/>
              </w:rPr>
              <w:t>318</w:t>
            </w:r>
          </w:p>
        </w:tc>
        <w:tc>
          <w:tcPr>
            <w:tcW w:w="850" w:type="dxa"/>
            <w:shd w:val="clear" w:color="auto" w:fill="FFFFFF"/>
          </w:tcPr>
          <w:p w14:paraId="3AEA78A8" w14:textId="6472B68F" w:rsidR="00A85BEE" w:rsidRPr="00B57B36" w:rsidRDefault="00DC76BC" w:rsidP="00DC76BC">
            <w:pPr>
              <w:pStyle w:val="CETBodytext"/>
              <w:ind w:right="-1"/>
              <w:jc w:val="left"/>
              <w:rPr>
                <w:rFonts w:cs="Arial"/>
                <w:szCs w:val="18"/>
                <w:lang w:val="en-GB"/>
              </w:rPr>
            </w:pPr>
            <w:r>
              <w:rPr>
                <w:rFonts w:cs="Arial"/>
                <w:szCs w:val="18"/>
                <w:lang w:val="en-GB"/>
              </w:rPr>
              <w:t>2</w:t>
            </w:r>
          </w:p>
        </w:tc>
      </w:tr>
      <w:tr w:rsidR="00A85BEE" w:rsidRPr="00B57B36" w14:paraId="14BAD27E" w14:textId="77777777" w:rsidTr="00A85BEE">
        <w:tc>
          <w:tcPr>
            <w:tcW w:w="1134" w:type="dxa"/>
            <w:shd w:val="clear" w:color="auto" w:fill="FFFFFF"/>
          </w:tcPr>
          <w:p w14:paraId="63CED3D2" w14:textId="11309375" w:rsidR="00A85BEE" w:rsidRPr="003A5AAC" w:rsidRDefault="00A85BEE" w:rsidP="0091325C">
            <w:pPr>
              <w:pStyle w:val="CETBodytext"/>
              <w:ind w:right="-1"/>
              <w:jc w:val="left"/>
              <w:rPr>
                <w:rFonts w:cs="Arial"/>
                <w:szCs w:val="18"/>
                <w:lang w:val="en-GB"/>
              </w:rPr>
            </w:pPr>
            <w:r w:rsidRPr="003A5AAC">
              <w:rPr>
                <w:rFonts w:cs="Arial"/>
                <w:szCs w:val="18"/>
                <w:lang w:val="en-GB"/>
              </w:rPr>
              <w:t>6</w:t>
            </w:r>
          </w:p>
        </w:tc>
        <w:tc>
          <w:tcPr>
            <w:tcW w:w="1134" w:type="dxa"/>
            <w:shd w:val="clear" w:color="auto" w:fill="FFFFFF"/>
          </w:tcPr>
          <w:p w14:paraId="10A11587" w14:textId="3965B62B" w:rsidR="00A85BEE" w:rsidRPr="003A5AAC" w:rsidRDefault="0091325C" w:rsidP="00DC76BC">
            <w:pPr>
              <w:pStyle w:val="CETBodytext"/>
              <w:ind w:right="-1"/>
              <w:jc w:val="left"/>
              <w:rPr>
                <w:rFonts w:cs="Arial"/>
                <w:szCs w:val="18"/>
                <w:lang w:val="en-GB"/>
              </w:rPr>
            </w:pPr>
            <w:r w:rsidRPr="003A5AAC">
              <w:rPr>
                <w:rFonts w:cs="Arial"/>
                <w:szCs w:val="18"/>
                <w:lang w:val="en-GB"/>
              </w:rPr>
              <w:t>50</w:t>
            </w:r>
          </w:p>
        </w:tc>
        <w:tc>
          <w:tcPr>
            <w:tcW w:w="1134" w:type="dxa"/>
            <w:shd w:val="clear" w:color="auto" w:fill="FFFFFF"/>
          </w:tcPr>
          <w:p w14:paraId="0EC3A7A6" w14:textId="283071E0" w:rsidR="00A85BEE" w:rsidRPr="00B57B36" w:rsidRDefault="00DC76BC" w:rsidP="00DC76BC">
            <w:pPr>
              <w:pStyle w:val="CETBodytext"/>
              <w:ind w:right="-1"/>
              <w:jc w:val="left"/>
              <w:rPr>
                <w:rFonts w:cs="Arial"/>
                <w:szCs w:val="18"/>
                <w:lang w:val="en-GB"/>
              </w:rPr>
            </w:pPr>
            <w:r>
              <w:rPr>
                <w:rFonts w:cs="Arial"/>
                <w:szCs w:val="18"/>
                <w:lang w:val="en-GB"/>
              </w:rPr>
              <w:t>20</w:t>
            </w:r>
          </w:p>
        </w:tc>
        <w:tc>
          <w:tcPr>
            <w:tcW w:w="1418" w:type="dxa"/>
            <w:shd w:val="clear" w:color="auto" w:fill="FFFFFF"/>
          </w:tcPr>
          <w:p w14:paraId="03034959" w14:textId="6FDF4053" w:rsidR="00A85BEE" w:rsidRPr="00B57B36" w:rsidRDefault="007B4C1A" w:rsidP="00DC76BC">
            <w:pPr>
              <w:pStyle w:val="CETBodytext"/>
              <w:ind w:right="-1"/>
              <w:jc w:val="left"/>
              <w:rPr>
                <w:rFonts w:cs="Arial"/>
                <w:szCs w:val="18"/>
                <w:lang w:val="en-GB"/>
              </w:rPr>
            </w:pPr>
            <w:r>
              <w:rPr>
                <w:rFonts w:cs="Arial"/>
                <w:szCs w:val="18"/>
                <w:lang w:val="en-GB"/>
              </w:rPr>
              <w:t>318</w:t>
            </w:r>
          </w:p>
        </w:tc>
        <w:tc>
          <w:tcPr>
            <w:tcW w:w="850" w:type="dxa"/>
            <w:shd w:val="clear" w:color="auto" w:fill="FFFFFF"/>
          </w:tcPr>
          <w:p w14:paraId="30219E18" w14:textId="69D45744" w:rsidR="00A85BEE" w:rsidRPr="00B57B36" w:rsidRDefault="00DC76BC" w:rsidP="00DC76BC">
            <w:pPr>
              <w:pStyle w:val="CETBodytext"/>
              <w:ind w:right="-1"/>
              <w:jc w:val="left"/>
              <w:rPr>
                <w:rFonts w:cs="Arial"/>
                <w:szCs w:val="18"/>
                <w:lang w:val="en-GB"/>
              </w:rPr>
            </w:pPr>
            <w:r>
              <w:rPr>
                <w:rFonts w:cs="Arial"/>
                <w:szCs w:val="18"/>
                <w:lang w:val="en-GB"/>
              </w:rPr>
              <w:t>6</w:t>
            </w:r>
          </w:p>
        </w:tc>
      </w:tr>
      <w:tr w:rsidR="00A85BEE" w:rsidRPr="00B57B36" w14:paraId="7E177BDC" w14:textId="77777777" w:rsidTr="00A85BEE">
        <w:tc>
          <w:tcPr>
            <w:tcW w:w="1134" w:type="dxa"/>
            <w:shd w:val="clear" w:color="auto" w:fill="FFFFFF"/>
          </w:tcPr>
          <w:p w14:paraId="066F058E" w14:textId="0F959798" w:rsidR="00A85BEE" w:rsidRPr="003A5AAC" w:rsidRDefault="00A85BEE" w:rsidP="0091325C">
            <w:pPr>
              <w:pStyle w:val="CETBodytext"/>
              <w:ind w:right="-1"/>
              <w:jc w:val="left"/>
              <w:rPr>
                <w:rFonts w:cs="Arial"/>
                <w:szCs w:val="18"/>
                <w:lang w:val="en-GB"/>
              </w:rPr>
            </w:pPr>
            <w:r w:rsidRPr="003A5AAC">
              <w:rPr>
                <w:rFonts w:cs="Arial"/>
                <w:szCs w:val="18"/>
                <w:lang w:val="en-GB"/>
              </w:rPr>
              <w:t>7</w:t>
            </w:r>
          </w:p>
        </w:tc>
        <w:tc>
          <w:tcPr>
            <w:tcW w:w="1134" w:type="dxa"/>
            <w:shd w:val="clear" w:color="auto" w:fill="FFFFFF"/>
          </w:tcPr>
          <w:p w14:paraId="6C34BE7F" w14:textId="40F5601C" w:rsidR="00A85BEE" w:rsidRPr="003A5AAC" w:rsidRDefault="0091325C" w:rsidP="00DC76BC">
            <w:pPr>
              <w:pStyle w:val="CETBodytext"/>
              <w:ind w:right="-1"/>
              <w:jc w:val="left"/>
              <w:rPr>
                <w:rFonts w:cs="Arial"/>
                <w:szCs w:val="18"/>
                <w:lang w:val="en-GB"/>
              </w:rPr>
            </w:pPr>
            <w:r w:rsidRPr="003A5AAC">
              <w:rPr>
                <w:rFonts w:cs="Arial"/>
                <w:szCs w:val="18"/>
                <w:lang w:val="en-GB"/>
              </w:rPr>
              <w:t>50</w:t>
            </w:r>
          </w:p>
        </w:tc>
        <w:tc>
          <w:tcPr>
            <w:tcW w:w="1134" w:type="dxa"/>
            <w:shd w:val="clear" w:color="auto" w:fill="FFFFFF"/>
          </w:tcPr>
          <w:p w14:paraId="3E7D0AE5" w14:textId="7E976FAB" w:rsidR="00A85BEE" w:rsidRPr="00B57B36" w:rsidRDefault="00DC76BC" w:rsidP="00DC76BC">
            <w:pPr>
              <w:pStyle w:val="CETBodytext"/>
              <w:ind w:right="-1"/>
              <w:jc w:val="left"/>
              <w:rPr>
                <w:rFonts w:cs="Arial"/>
                <w:szCs w:val="18"/>
                <w:lang w:val="en-GB"/>
              </w:rPr>
            </w:pPr>
            <w:r>
              <w:rPr>
                <w:rFonts w:cs="Arial"/>
                <w:szCs w:val="18"/>
                <w:lang w:val="en-GB"/>
              </w:rPr>
              <w:t>20</w:t>
            </w:r>
          </w:p>
        </w:tc>
        <w:tc>
          <w:tcPr>
            <w:tcW w:w="1418" w:type="dxa"/>
            <w:shd w:val="clear" w:color="auto" w:fill="FFFFFF"/>
          </w:tcPr>
          <w:p w14:paraId="5E17B74D" w14:textId="62B3A4F7" w:rsidR="00A85BEE" w:rsidRPr="00B57B36" w:rsidRDefault="007B4C1A" w:rsidP="00DC76BC">
            <w:pPr>
              <w:pStyle w:val="CETBodytext"/>
              <w:ind w:right="-1"/>
              <w:jc w:val="left"/>
              <w:rPr>
                <w:rFonts w:cs="Arial"/>
                <w:szCs w:val="18"/>
                <w:lang w:val="en-GB"/>
              </w:rPr>
            </w:pPr>
            <w:r>
              <w:rPr>
                <w:rFonts w:cs="Arial"/>
                <w:szCs w:val="18"/>
                <w:lang w:val="en-GB"/>
              </w:rPr>
              <w:t>318</w:t>
            </w:r>
          </w:p>
        </w:tc>
        <w:tc>
          <w:tcPr>
            <w:tcW w:w="850" w:type="dxa"/>
            <w:shd w:val="clear" w:color="auto" w:fill="FFFFFF"/>
          </w:tcPr>
          <w:p w14:paraId="4EDFE315" w14:textId="1FD26C3C" w:rsidR="00A85BEE" w:rsidRPr="00B57B36" w:rsidRDefault="007B4C1A" w:rsidP="00DC76BC">
            <w:pPr>
              <w:pStyle w:val="CETBodytext"/>
              <w:ind w:right="-1"/>
              <w:jc w:val="left"/>
              <w:rPr>
                <w:rFonts w:cs="Arial"/>
                <w:szCs w:val="18"/>
                <w:lang w:val="en-GB"/>
              </w:rPr>
            </w:pPr>
            <w:r>
              <w:rPr>
                <w:rFonts w:cs="Arial"/>
                <w:szCs w:val="18"/>
                <w:lang w:val="en-GB"/>
              </w:rPr>
              <w:t>2</w:t>
            </w:r>
            <w:r w:rsidR="00221357">
              <w:rPr>
                <w:rFonts w:cs="Arial"/>
                <w:szCs w:val="18"/>
                <w:lang w:val="en-GB"/>
              </w:rPr>
              <w:t>4</w:t>
            </w:r>
          </w:p>
        </w:tc>
      </w:tr>
    </w:tbl>
    <w:p w14:paraId="16FD80FF" w14:textId="77777777" w:rsidR="0030491C" w:rsidRPr="00B01B0E" w:rsidRDefault="0030491C" w:rsidP="0030491C">
      <w:pPr>
        <w:pStyle w:val="CETheadingx"/>
      </w:pPr>
      <w:r w:rsidRPr="00B01B0E">
        <w:rPr>
          <w:lang w:val="en-GB"/>
        </w:rPr>
        <w:t>Scanning electron microscopy</w:t>
      </w:r>
    </w:p>
    <w:p w14:paraId="35F1E9AF" w14:textId="7B4A4F10" w:rsidR="00C67001" w:rsidRDefault="00990B03" w:rsidP="0030491C">
      <w:pPr>
        <w:pStyle w:val="CETBodytext"/>
        <w:rPr>
          <w:lang w:val="en-GB"/>
        </w:rPr>
      </w:pPr>
      <w:r w:rsidRPr="00990B03">
        <w:rPr>
          <w:lang w:val="en-GB"/>
        </w:rPr>
        <w:t xml:space="preserve">The morphology and pore size of the foamed scaffolds were </w:t>
      </w:r>
      <w:proofErr w:type="spellStart"/>
      <w:r w:rsidRPr="00990B03">
        <w:rPr>
          <w:lang w:val="en-GB"/>
        </w:rPr>
        <w:t>analyzed</w:t>
      </w:r>
      <w:proofErr w:type="spellEnd"/>
      <w:r w:rsidRPr="00990B03">
        <w:rPr>
          <w:lang w:val="en-GB"/>
        </w:rPr>
        <w:t xml:space="preserve"> using a Scanning Electron Microscope (SEM). A Nova </w:t>
      </w:r>
      <w:proofErr w:type="spellStart"/>
      <w:r w:rsidRPr="00990B03">
        <w:rPr>
          <w:lang w:val="en-GB"/>
        </w:rPr>
        <w:t>NanoSEM</w:t>
      </w:r>
      <w:proofErr w:type="spellEnd"/>
      <w:r w:rsidRPr="00990B03">
        <w:rPr>
          <w:lang w:val="en-GB"/>
        </w:rPr>
        <w:t xml:space="preserve"> 450TM (</w:t>
      </w:r>
      <w:proofErr w:type="spellStart"/>
      <w:r w:rsidRPr="00990B03">
        <w:rPr>
          <w:lang w:val="en-GB"/>
        </w:rPr>
        <w:t>Elecmi</w:t>
      </w:r>
      <w:proofErr w:type="spellEnd"/>
      <w:r w:rsidRPr="00990B03">
        <w:rPr>
          <w:lang w:val="en-GB"/>
        </w:rPr>
        <w:t xml:space="preserve">, Zaragoza, Spain) with an accelerating voltage of </w:t>
      </w:r>
      <w:r>
        <w:rPr>
          <w:lang w:val="en-GB"/>
        </w:rPr>
        <w:t>15</w:t>
      </w:r>
      <w:r w:rsidRPr="00990B03">
        <w:rPr>
          <w:lang w:val="en-GB"/>
        </w:rPr>
        <w:t xml:space="preserve"> kV was used for the analysis. To enhance conductivity and improve image quality in SEM, a 10 nm film of gold was coated on a cross-section of each sample before analysis. The SEM images were processed using Scion image software</w:t>
      </w:r>
      <w:r>
        <w:rPr>
          <w:lang w:val="en-GB"/>
        </w:rPr>
        <w:t>.</w:t>
      </w:r>
    </w:p>
    <w:p w14:paraId="4B39CA51" w14:textId="77FC70C8" w:rsidR="00C67001" w:rsidRDefault="00C67001" w:rsidP="00C67001">
      <w:pPr>
        <w:pStyle w:val="CETheadingx"/>
        <w:rPr>
          <w:lang w:val="en-GB"/>
        </w:rPr>
      </w:pPr>
      <w:r w:rsidRPr="00C67001">
        <w:rPr>
          <w:lang w:val="en-GB"/>
        </w:rPr>
        <w:t xml:space="preserve">Antioxidant activity </w:t>
      </w:r>
      <w:r w:rsidR="00DF217E">
        <w:rPr>
          <w:lang w:val="en-GB"/>
        </w:rPr>
        <w:t>of extract and scaffolds</w:t>
      </w:r>
    </w:p>
    <w:p w14:paraId="6EF5BFD2" w14:textId="25D6655F" w:rsidR="00001291" w:rsidRDefault="00C62F44" w:rsidP="00C67001">
      <w:pPr>
        <w:pStyle w:val="CETBodytext"/>
      </w:pPr>
      <w:r>
        <w:t xml:space="preserve">The </w:t>
      </w:r>
      <w:r w:rsidRPr="00C62F44">
        <w:t>antioxidant activity</w:t>
      </w:r>
      <w:r>
        <w:t xml:space="preserve"> was calculated in order to evaluate the success of the runs carried out, for both mango leaves extract and the impregnated scaffolds. </w:t>
      </w:r>
      <w:r w:rsidRPr="00C62F44">
        <w:t xml:space="preserve">The methodology employed </w:t>
      </w:r>
      <w:r w:rsidRPr="002F14A5">
        <w:t xml:space="preserve">was derived from the one suggested by Brand-Williams and Scherer </w:t>
      </w:r>
      <w:r w:rsidR="000221A1">
        <w:rPr>
          <w:rStyle w:val="Refdenotaalpie"/>
        </w:rPr>
        <w:fldChar w:fldCharType="begin" w:fldLock="1"/>
      </w:r>
      <w:r w:rsidR="00B0335A">
        <w:instrText>ADDIN CSL_CITATION {"citationItems":[{"id":"ITEM-1","itemData":{"DOI":"10.1016/S0023-6438(95)80008-5","ISSN":"00236438","abstract":"The antiradical activities of various antioxidants were determined using the free radical, 2,2-Diphenyl-1-picrylhydrazyl (DPPH*). In its radical form. DPPH* has an absorption band at 515 nm which dissappears upon reduction by an antiradical compound. Twenty compounds were reacted with the DPPH* and shown to follow one of three possible reaction kinetic types. Ascorbic acid, isoascorbic acid and isoeugenol reacted quickly with the DPPH* reaching a steady state immediately. Rosmarinic acid and δ-tocopherol reacted a little slower and reached a steady state within 30 min. The remaining compounds reacted more progressively with the DPPH* reaching a steady state from 1 to 6 h. Caffeic acid, gentisic acid and gallic acid showed the highest antiradical activities with a stoichiometry of 4 to 6 reduced DPPH* molecules per molecule of antioxidant. Vanillin, phenol, γ-resorcylic acid and vanillic acid were found to be poor antiradical compounds. The stoichiometry for the other 13 phenolic compounds varied from one to three reduced DPPH* molecules per molecule of antioxidant. Possible mechanisms are proposed to explain the experimental results. © 1995 Academic Press Limited.","author":[{"dropping-particle":"","family":"Brand-Williams","given":"W.","non-dropping-particle":"","parse-names":false,"suffix":""},{"dropping-particle":"","family":"Cuvelier","given":"M. E.","non-dropping-particle":"","parse-names":false,"suffix":""},{"dropping-particle":"","family":"Berset","given":"C.","non-dropping-particle":"","parse-names":false,"suffix":""}],"container-title":"LWT - Food Science and Technology","id":"ITEM-1","issue":"1","issued":{"date-parts":[["1995"]]},"page":"25-30","title":"Use of a free radical method to evaluate antioxidant activity","type":"article-journal","volume":"28"},"uris":["http://www.mendeley.com/documents/?uuid=58836bfb-bc5b-4d52-acfa-de5ce8f0ef2f"]},{"id":"ITEM-2","itemData":{"DOI":"10.1016/j.foodchem.2008.06.026","ISSN":"03088146","abstract":"The aim of this work was to propose a new antioxidant activity index (AAI) using the DPPH{radical dot} method. Antioxidant activity was expressed as the antioxidant activity index (AAI) calculated as follows: AAI = final DPPH{radical dot} concentration (μg ml-1)/IC50 (μg ml-1). The compounds, BHA, chlorogenic acid, ferulic acid, gallic acid, caffeic acid, quercetin, rutin, protocatechuic acid and trans-cinnamic acid were used, as well as the samples clove essential oil, eugenol and Xanthium strumarium extract. Three concentrations of DPPH{radical dot} were used and no significant difference in the AAI for each compound tested was observed, indicating that the AAI found was appropriate to compare the antioxidant strength of plant extracts, as well as of pure compounds. Gallic acid showed the higher AAI value (AAI = 27) followed by protochatechuic acid (AAI = 20) and quercetin (AAI = 15). Clove essential oil showed very strong antioxidant activity (AAI = 9) while the X. strumarium extract presented strong antioxidant activity (AAI = 1.6).","author":[{"dropping-particle":"","family":"Scherer","given":"Rodrigo","non-dropping-particle":"","parse-names":false,"suffix":""},{"dropping-particle":"","family":"Godoy","given":"Helena Teixeira","non-dropping-particle":"","parse-names":false,"suffix":""}],"container-title":"Food Chemistry","id":"ITEM-2","issue":"3","issued":{"date-parts":[["2009"]]},"page":"654-658","title":"Antioxidant activity index (AAI) by the 2,2-diphenyl-1-picrylhydrazyl method","type":"article-journal","volume":"112"},"uris":["http://www.mendeley.com/documents/?uuid=c7b83857-ce3a-44a3-b464-fd8c623945eb"]}],"mendeley":{"formattedCitation":"(Brand-Williams et al., 1995; Scherer &amp; Godoy, 2009)","plainTextFormattedCitation":"(Brand-Williams et al., 1995; Scherer &amp; Godoy, 2009)","previouslyFormattedCitation":"(Brand-Williams et al., 1995; Scherer &amp; Godoy, 2009)"},"properties":{"noteIndex":0},"schema":"https://github.com/citation-style-language/schema/raw/master/csl-citation.json"}</w:instrText>
      </w:r>
      <w:r w:rsidR="000221A1">
        <w:rPr>
          <w:rStyle w:val="Refdenotaalpie"/>
        </w:rPr>
        <w:fldChar w:fldCharType="separate"/>
      </w:r>
      <w:r w:rsidR="004C6592" w:rsidRPr="004C6592">
        <w:rPr>
          <w:bCs/>
          <w:noProof/>
          <w:lang w:val="en-GB"/>
        </w:rPr>
        <w:t xml:space="preserve">(Brand-Williams et al., 1995; Scherer </w:t>
      </w:r>
      <w:r w:rsidR="00FF4B4F">
        <w:rPr>
          <w:bCs/>
          <w:noProof/>
          <w:lang w:val="en-GB"/>
        </w:rPr>
        <w:t>and</w:t>
      </w:r>
      <w:r w:rsidR="004C6592" w:rsidRPr="004C6592">
        <w:rPr>
          <w:bCs/>
          <w:noProof/>
          <w:lang w:val="en-GB"/>
        </w:rPr>
        <w:t xml:space="preserve"> Godoy, 2009)</w:t>
      </w:r>
      <w:r w:rsidR="000221A1">
        <w:rPr>
          <w:rStyle w:val="Refdenotaalpie"/>
        </w:rPr>
        <w:fldChar w:fldCharType="end"/>
      </w:r>
      <w:r w:rsidRPr="002F14A5">
        <w:t>, but with necessary adaptations</w:t>
      </w:r>
      <w:r w:rsidR="009E5ED2">
        <w:t xml:space="preserve">. </w:t>
      </w:r>
      <w:r w:rsidR="00001291" w:rsidRPr="00001291">
        <w:t xml:space="preserve">The method was adapted to determine the antioxidant capacity of the impregnated </w:t>
      </w:r>
      <w:r w:rsidR="009C0A22">
        <w:t>scaffolds</w:t>
      </w:r>
      <w:r w:rsidR="00001291" w:rsidRPr="00001291">
        <w:t xml:space="preserve">. A specific quantity of processed </w:t>
      </w:r>
      <w:r w:rsidR="009C0A22">
        <w:t>scaffolds</w:t>
      </w:r>
      <w:r w:rsidR="00001291" w:rsidRPr="00001291">
        <w:t xml:space="preserve"> was submerged in 4 mL of a solution containing 6×10</w:t>
      </w:r>
      <w:r w:rsidR="00001291" w:rsidRPr="002F14A5">
        <w:rPr>
          <w:vertAlign w:val="superscript"/>
        </w:rPr>
        <w:t>-5</w:t>
      </w:r>
      <w:r w:rsidR="002F14A5">
        <w:t xml:space="preserve"> mol/L DPPH and left for 2</w:t>
      </w:r>
      <w:r w:rsidR="00001291" w:rsidRPr="00001291">
        <w:t xml:space="preserve"> hours. The absorbance of the DPPH at the beginning and end of the process was measured at 515 nm. The results were expressed as % I</w:t>
      </w:r>
      <w:r w:rsidR="00B22452">
        <w:t>O</w:t>
      </w:r>
      <w:r w:rsidR="00001291" w:rsidRPr="00001291">
        <w:t xml:space="preserve"> per 100 mg of </w:t>
      </w:r>
      <w:r w:rsidR="009C0A22">
        <w:t>impregnated scaffold</w:t>
      </w:r>
      <w:r w:rsidR="00001291" w:rsidRPr="00001291">
        <w:t>, where % I</w:t>
      </w:r>
      <w:r w:rsidR="00934E6B">
        <w:t>O</w:t>
      </w:r>
      <w:r w:rsidR="00001291" w:rsidRPr="00001291">
        <w:t xml:space="preserve"> </w:t>
      </w:r>
      <w:r w:rsidR="00B22452" w:rsidRPr="00001291">
        <w:t>represent</w:t>
      </w:r>
      <w:r w:rsidR="00001291" w:rsidRPr="00001291">
        <w:t xml:space="preserve"> the percentage of DPPH inhibition</w:t>
      </w:r>
      <w:r w:rsidR="0036128B">
        <w:t>, Eq (</w:t>
      </w:r>
      <w:r w:rsidR="00326D63">
        <w:t>1</w:t>
      </w:r>
      <w:r w:rsidR="0036128B">
        <w:t>)</w:t>
      </w:r>
      <w:r w:rsidR="00001291" w:rsidRPr="00001291">
        <w:t xml:space="preserve">. The analyses were carried out in </w:t>
      </w:r>
      <w:r w:rsidR="00326D63">
        <w:t>triplicate</w:t>
      </w:r>
      <w:r w:rsidR="00001291" w:rsidRPr="00001291">
        <w:t>.</w:t>
      </w:r>
    </w:p>
    <w:p w14:paraId="60EA9ED8" w14:textId="77777777" w:rsidR="00155E5D" w:rsidRDefault="00155E5D" w:rsidP="00C67001">
      <w:pPr>
        <w:pStyle w:val="CETBodytext"/>
      </w:pPr>
    </w:p>
    <w:p w14:paraId="576D30AC" w14:textId="63E5416D" w:rsidR="00F21D80" w:rsidRPr="0080693D" w:rsidRDefault="00001291" w:rsidP="00001291">
      <w:pPr>
        <w:pStyle w:val="CETBodytext"/>
        <w:jc w:val="left"/>
        <w:rPr>
          <w:lang w:val="en-GB"/>
        </w:rPr>
      </w:pPr>
      <w:r w:rsidRPr="00FE081A">
        <w:t xml:space="preserve">% </w:t>
      </w:r>
      <w:r w:rsidR="00B22452">
        <w:rPr>
          <w:lang w:val="en-GB"/>
        </w:rPr>
        <w:t>I</w:t>
      </w:r>
      <w:r w:rsidR="00B22452" w:rsidRPr="00472C63">
        <w:rPr>
          <w:lang w:val="en-GB"/>
        </w:rPr>
        <w:t>nhibition</w:t>
      </w:r>
      <w:r w:rsidR="00B22452">
        <w:rPr>
          <w:lang w:val="en-GB"/>
        </w:rPr>
        <w:t xml:space="preserve"> Oxidation</w:t>
      </w:r>
      <w:r w:rsidRPr="00FE081A">
        <w:rPr>
          <w:sz w:val="20"/>
        </w:rPr>
        <w:t xml:space="preserve"> =</w:t>
      </w:r>
      <m:oMath>
        <m:r>
          <w:rPr>
            <w:rFonts w:ascii="Cambria Math" w:hAnsi="Cambria Math" w:cs="Arial"/>
            <w:sz w:val="24"/>
            <w:lang w:val="en-GB"/>
          </w:rPr>
          <m:t xml:space="preserve">  </m:t>
        </m:r>
        <m:f>
          <m:fPr>
            <m:ctrlPr>
              <w:rPr>
                <w:rFonts w:ascii="Cambria Math" w:hAnsi="Cambria Math" w:cs="Arial"/>
                <w:i/>
                <w:sz w:val="24"/>
                <w:lang w:val="en-GB"/>
              </w:rPr>
            </m:ctrlPr>
          </m:fPr>
          <m:num>
            <m:r>
              <m:rPr>
                <m:sty m:val="p"/>
              </m:rPr>
              <w:rPr>
                <w:rFonts w:ascii="Cambria Math" w:hAnsi="Cambria Math" w:cs="Arial"/>
                <w:sz w:val="24"/>
                <w:lang w:val="en-GB"/>
              </w:rPr>
              <m:t>(</m:t>
            </m:r>
            <m:sSub>
              <m:sSubPr>
                <m:ctrlPr>
                  <w:rPr>
                    <w:rFonts w:ascii="Cambria Math" w:hAnsi="Cambria Math" w:cs="Arial"/>
                    <w:sz w:val="24"/>
                    <w:lang w:val="en-GB"/>
                  </w:rPr>
                </m:ctrlPr>
              </m:sSubPr>
              <m:e>
                <m:r>
                  <w:rPr>
                    <w:rFonts w:ascii="Cambria Math" w:hAnsi="Cambria Math" w:cs="Arial"/>
                    <w:sz w:val="24"/>
                    <w:lang w:val="en-GB"/>
                  </w:rPr>
                  <m:t>A</m:t>
                </m:r>
              </m:e>
              <m:sub>
                <m:r>
                  <w:rPr>
                    <w:rFonts w:ascii="Cambria Math" w:hAnsi="Cambria Math" w:cs="Arial"/>
                    <w:sz w:val="24"/>
                    <w:lang w:val="en-GB"/>
                  </w:rPr>
                  <m:t>0</m:t>
                </m:r>
              </m:sub>
            </m:sSub>
            <m:r>
              <m:rPr>
                <m:sty m:val="p"/>
              </m:rPr>
              <w:rPr>
                <w:rFonts w:ascii="Cambria Math" w:hAnsi="Cambria Math" w:cs="Arial"/>
                <w:sz w:val="24"/>
                <w:lang w:val="en-GB"/>
              </w:rPr>
              <m:t xml:space="preserve"> -</m:t>
            </m:r>
            <m:sSub>
              <m:sSubPr>
                <m:ctrlPr>
                  <w:rPr>
                    <w:rFonts w:ascii="Cambria Math" w:hAnsi="Cambria Math" w:cs="Arial"/>
                    <w:sz w:val="24"/>
                    <w:vertAlign w:val="subscript"/>
                    <w:lang w:val="en-GB"/>
                  </w:rPr>
                </m:ctrlPr>
              </m:sSubPr>
              <m:e>
                <m:r>
                  <w:rPr>
                    <w:rFonts w:ascii="Cambria Math" w:hAnsi="Cambria Math" w:cs="Arial"/>
                    <w:sz w:val="24"/>
                    <w:vertAlign w:val="subscript"/>
                    <w:lang w:val="en-GB"/>
                  </w:rPr>
                  <m:t xml:space="preserve"> A</m:t>
                </m:r>
              </m:e>
              <m:sub>
                <m:r>
                  <w:rPr>
                    <w:rFonts w:ascii="Cambria Math" w:hAnsi="Cambria Math" w:cs="Arial"/>
                    <w:sz w:val="24"/>
                    <w:vertAlign w:val="subscript"/>
                    <w:lang w:val="en-GB"/>
                  </w:rPr>
                  <m:t>i</m:t>
                </m:r>
              </m:sub>
            </m:sSub>
            <m:r>
              <m:rPr>
                <m:sty m:val="p"/>
              </m:rPr>
              <w:rPr>
                <w:rFonts w:ascii="Cambria Math" w:hAnsi="Cambria Math" w:cs="Arial"/>
                <w:sz w:val="24"/>
                <w:lang w:val="en-GB"/>
              </w:rPr>
              <m:t>)</m:t>
            </m:r>
            <m:r>
              <w:rPr>
                <w:rFonts w:ascii="Cambria Math" w:hAnsi="Cambria Math" w:cs="Arial"/>
                <w:sz w:val="24"/>
                <w:lang w:val="en-GB"/>
              </w:rPr>
              <m:t xml:space="preserve"> </m:t>
            </m:r>
          </m:num>
          <m:den>
            <m:sSub>
              <m:sSubPr>
                <m:ctrlPr>
                  <w:rPr>
                    <w:rFonts w:ascii="Cambria Math" w:hAnsi="Cambria Math" w:cs="Arial"/>
                    <w:sz w:val="24"/>
                    <w:lang w:val="en-GB"/>
                  </w:rPr>
                </m:ctrlPr>
              </m:sSubPr>
              <m:e>
                <m:r>
                  <w:rPr>
                    <w:rFonts w:ascii="Cambria Math" w:hAnsi="Cambria Math" w:cs="Arial"/>
                    <w:sz w:val="24"/>
                    <w:lang w:val="en-GB"/>
                  </w:rPr>
                  <m:t>A</m:t>
                </m:r>
              </m:e>
              <m:sub>
                <m:r>
                  <w:rPr>
                    <w:rFonts w:ascii="Cambria Math" w:hAnsi="Cambria Math" w:cs="Arial"/>
                    <w:sz w:val="24"/>
                    <w:lang w:val="en-GB"/>
                  </w:rPr>
                  <m:t>0</m:t>
                </m:r>
              </m:sub>
            </m:sSub>
          </m:den>
        </m:f>
      </m:oMath>
      <w:r w:rsidR="00FE081A">
        <w:rPr>
          <w:sz w:val="24"/>
          <w:lang w:val="en-GB"/>
        </w:rPr>
        <w:t xml:space="preserve"> </w:t>
      </w:r>
      <w:r w:rsidR="00FE081A">
        <w:rPr>
          <w:lang w:val="en-GB"/>
        </w:rPr>
        <w:t>*</w:t>
      </w:r>
      <w:r w:rsidR="00FE081A" w:rsidRPr="00FE081A">
        <w:rPr>
          <w:lang w:val="en-GB"/>
        </w:rPr>
        <w:t xml:space="preserve"> 100</w:t>
      </w:r>
      <w:r>
        <w:rPr>
          <w:rFonts w:ascii="Times New Roman" w:hAnsi="Times New Roman"/>
          <w:sz w:val="24"/>
          <w:lang w:val="en-GB"/>
        </w:rPr>
        <w:tab/>
      </w:r>
      <w:r>
        <w:rPr>
          <w:rFonts w:ascii="Times New Roman" w:hAnsi="Times New Roman"/>
          <w:sz w:val="24"/>
          <w:lang w:val="en-GB"/>
        </w:rPr>
        <w:tab/>
      </w:r>
      <w:r>
        <w:rPr>
          <w:rFonts w:ascii="Times New Roman" w:hAnsi="Times New Roman"/>
          <w:sz w:val="24"/>
          <w:lang w:val="en-GB"/>
        </w:rPr>
        <w:tab/>
      </w:r>
      <w:r w:rsidRPr="00001291">
        <w:t>(</w:t>
      </w:r>
      <w:r w:rsidR="00326D63">
        <w:t>1</w:t>
      </w:r>
      <w:r w:rsidRPr="00001291">
        <w:t>)</w:t>
      </w:r>
    </w:p>
    <w:p w14:paraId="0313517C" w14:textId="76E53FC0" w:rsidR="00C67001" w:rsidRPr="00B01B0E" w:rsidRDefault="00C67001" w:rsidP="00C67001">
      <w:pPr>
        <w:pStyle w:val="CETheadingx"/>
      </w:pPr>
      <w:r w:rsidRPr="00C67001">
        <w:rPr>
          <w:lang w:val="en-GB"/>
        </w:rPr>
        <w:t>Total polyphenol content impregnated</w:t>
      </w:r>
    </w:p>
    <w:p w14:paraId="368E0DE7" w14:textId="73DE0D67" w:rsidR="00886AC7" w:rsidRDefault="000E1533" w:rsidP="0030491C">
      <w:pPr>
        <w:pStyle w:val="CETBodytext"/>
        <w:rPr>
          <w:lang w:val="en-GB"/>
        </w:rPr>
      </w:pPr>
      <w:r>
        <w:t xml:space="preserve">The analysis of total phenolic </w:t>
      </w:r>
      <w:r w:rsidRPr="00970074">
        <w:t>content impregnated in the scaffolds was conducted using a modified version of the Folin-</w:t>
      </w:r>
      <w:proofErr w:type="spellStart"/>
      <w:r w:rsidRPr="00970074">
        <w:t>Ciocalteau</w:t>
      </w:r>
      <w:proofErr w:type="spellEnd"/>
      <w:r w:rsidRPr="00970074">
        <w:t xml:space="preserve"> method, as described by Singleton and Rossi </w:t>
      </w:r>
      <w:r w:rsidR="000221A1">
        <w:rPr>
          <w:rStyle w:val="Refdenotaalpie"/>
        </w:rPr>
        <w:fldChar w:fldCharType="begin" w:fldLock="1"/>
      </w:r>
      <w:r w:rsidR="00B0335A">
        <w:instrText>ADDIN CSL_CITATION {"citationItems":[{"id":"ITEM-1","itemData":{"DOI":"doi.org/10.1016/S0076-6879(99)99017-1","ISSN":"03044238","author":[{"dropping-particle":"","family":"Singleton","given":"Vernon L.","non-dropping-particle":"","parse-names":false,"suffix":""},{"dropping-particle":"","family":"Orthofer","given":"Rudolf","non-dropping-particle":"","parse-names":false,"suffix":""},{"dropping-particle":"","family":"Lamuela-Raventós","given":"Rosa M.","non-dropping-particle":"","parse-names":false,"suffix":""}],"container-title":"Academic Press","id":"ITEM-1","issued":{"date-parts":[["1999"]]},"page":"152-178","title":"Analysis of total phenols and other oxidation substrates and antioxidants by means of folin-ciocalteu reagent, Methods in Enzymology","type":"article-journal","volume":"299"},"uris":["http://www.mendeley.com/documents/?uuid=6fb5724f-e36c-41b6-a659-46bb1f27200d"]}],"mendeley":{"formattedCitation":"(Singleton et al., 1999)","plainTextFormattedCitation":"(Singleton et al., 1999)","previouslyFormattedCitation":"(Singleton et al., 1999)"},"properties":{"noteIndex":0},"schema":"https://github.com/citation-style-language/schema/raw/master/csl-citation.json"}</w:instrText>
      </w:r>
      <w:r w:rsidR="000221A1">
        <w:rPr>
          <w:rStyle w:val="Refdenotaalpie"/>
        </w:rPr>
        <w:fldChar w:fldCharType="separate"/>
      </w:r>
      <w:r w:rsidR="004C6592" w:rsidRPr="004C6592">
        <w:rPr>
          <w:noProof/>
        </w:rPr>
        <w:t>(Singleton et al., 1999)</w:t>
      </w:r>
      <w:r w:rsidR="000221A1">
        <w:rPr>
          <w:rStyle w:val="Refdenotaalpie"/>
        </w:rPr>
        <w:fldChar w:fldCharType="end"/>
      </w:r>
      <w:r w:rsidR="00C15F11">
        <w:t xml:space="preserve">, for microplates. </w:t>
      </w:r>
      <w:r w:rsidR="009E092D">
        <w:t xml:space="preserve">The </w:t>
      </w:r>
      <w:r w:rsidR="009E092D">
        <w:lastRenderedPageBreak/>
        <w:t>t</w:t>
      </w:r>
      <w:r w:rsidRPr="00970074">
        <w:t xml:space="preserve">otal release of polyphenols </w:t>
      </w:r>
      <w:r w:rsidR="009E092D">
        <w:t xml:space="preserve">presents in scaffolds </w:t>
      </w:r>
      <w:r w:rsidRPr="00970074">
        <w:t>was achieved via 5-hour stirring</w:t>
      </w:r>
      <w:r w:rsidR="009E092D">
        <w:t xml:space="preserve"> </w:t>
      </w:r>
      <w:r w:rsidR="009E092D" w:rsidRPr="00970074">
        <w:t>in ethanol</w:t>
      </w:r>
      <w:r w:rsidRPr="00970074">
        <w:t xml:space="preserve">, and a 12.5 </w:t>
      </w:r>
      <w:proofErr w:type="spellStart"/>
      <w:r w:rsidRPr="00970074">
        <w:t>μL</w:t>
      </w:r>
      <w:proofErr w:type="spellEnd"/>
      <w:r w:rsidRPr="00970074">
        <w:t xml:space="preserve"> aliquot from this release</w:t>
      </w:r>
      <w:r>
        <w:t xml:space="preserve"> was mixed with 12.5 </w:t>
      </w:r>
      <w:proofErr w:type="spellStart"/>
      <w:r>
        <w:t>μL</w:t>
      </w:r>
      <w:proofErr w:type="spellEnd"/>
      <w:r>
        <w:t xml:space="preserve"> of Folin-</w:t>
      </w:r>
      <w:proofErr w:type="spellStart"/>
      <w:r>
        <w:t>Ciocalteu's</w:t>
      </w:r>
      <w:proofErr w:type="spellEnd"/>
      <w:r>
        <w:t xml:space="preserve"> reagent and 200 </w:t>
      </w:r>
      <w:proofErr w:type="spellStart"/>
      <w:r>
        <w:t>μL</w:t>
      </w:r>
      <w:proofErr w:type="spellEnd"/>
      <w:r>
        <w:t xml:space="preserve"> distilled water, then shaken for 5 minutes. Subsequently, 25 </w:t>
      </w:r>
      <w:proofErr w:type="spellStart"/>
      <w:r>
        <w:t>μL</w:t>
      </w:r>
      <w:proofErr w:type="spellEnd"/>
      <w:r>
        <w:t xml:space="preserve"> of a sodium carbonate solution (20% w/v) was added, and the mixture was stirred for another 5 minutes. After 60 minutes of incubation at room temperature in the absence of light, absorbance was measured at 725 nm by means of a Synergy HTX multi-mode reader (</w:t>
      </w:r>
      <w:proofErr w:type="spellStart"/>
      <w:r>
        <w:t>Aligent</w:t>
      </w:r>
      <w:proofErr w:type="spellEnd"/>
      <w:r>
        <w:t xml:space="preserve">, </w:t>
      </w:r>
      <w:proofErr w:type="spellStart"/>
      <w:r>
        <w:t>Biotek</w:t>
      </w:r>
      <w:proofErr w:type="spellEnd"/>
      <w:r>
        <w:t>, VT, USA</w:t>
      </w:r>
      <w:r w:rsidR="00C15F11">
        <w:t>)</w:t>
      </w:r>
      <w:r>
        <w:t xml:space="preserve">. A calibration curve was established using gallic acid (20–300 </w:t>
      </w:r>
      <w:proofErr w:type="spellStart"/>
      <w:r>
        <w:t>μg</w:t>
      </w:r>
      <w:proofErr w:type="spellEnd"/>
      <w:r>
        <w:t>/mL</w:t>
      </w:r>
      <w:r w:rsidR="0080693D">
        <w:t>)</w:t>
      </w:r>
      <w:r w:rsidR="00C15F11">
        <w:t>.</w:t>
      </w:r>
      <w:r>
        <w:t xml:space="preserve"> The analyses were performed in triplicate to ensure reproducibility.</w:t>
      </w:r>
    </w:p>
    <w:p w14:paraId="7C15A27A" w14:textId="324A3518" w:rsidR="007711D6" w:rsidRPr="00C15F11" w:rsidRDefault="0030491C" w:rsidP="00C15F11">
      <w:pPr>
        <w:pStyle w:val="CETHeading1"/>
        <w:tabs>
          <w:tab w:val="clear" w:pos="360"/>
          <w:tab w:val="right" w:pos="7100"/>
        </w:tabs>
        <w:jc w:val="both"/>
        <w:rPr>
          <w:lang w:val="en-GB"/>
        </w:rPr>
      </w:pPr>
      <w:r w:rsidRPr="00B01B0E">
        <w:rPr>
          <w:lang w:val="en-GB"/>
        </w:rPr>
        <w:t>Results and discussion</w:t>
      </w:r>
    </w:p>
    <w:p w14:paraId="1D9B4E6A" w14:textId="3471FA41" w:rsidR="009E5ED2" w:rsidRDefault="003A728E" w:rsidP="0030491C">
      <w:pPr>
        <w:tabs>
          <w:tab w:val="clear" w:pos="7100"/>
        </w:tabs>
        <w:autoSpaceDE w:val="0"/>
        <w:autoSpaceDN w:val="0"/>
        <w:adjustRightInd w:val="0"/>
      </w:pPr>
      <w:r>
        <w:t>Several successful experiments were carried out in which key variables in both the supercritical foaming process and the impregnation of bioactive compounds present in the extract were modified, including temperature, pressure, contact time, and the ratio of conjugated polymers used.</w:t>
      </w:r>
      <w:r w:rsidR="006B1C55">
        <w:t xml:space="preserve"> </w:t>
      </w:r>
      <w:r w:rsidR="007711D6">
        <w:t>Figure 2 shows scanning electron microscopy images of the experiments where impregnated scaffolds were obtained. Generally, the foaming/impregnation process was able to modify the morphology of the initial material, resulting in p</w:t>
      </w:r>
      <w:r w:rsidR="007711D6" w:rsidRPr="007711D6">
        <w:t>orous structures, moderately ordered, with several pore size distributions depending on the conditions used.</w:t>
      </w:r>
      <w:r w:rsidR="007711D6">
        <w:t xml:space="preserve"> </w:t>
      </w:r>
      <w:r w:rsidR="007711D6" w:rsidRPr="007711D6">
        <w:t>The m</w:t>
      </w:r>
      <w:r w:rsidR="007711D6">
        <w:t>orphology of the original tablet</w:t>
      </w:r>
      <w:r w:rsidR="007711D6" w:rsidRPr="007711D6">
        <w:t xml:space="preserve"> Figure </w:t>
      </w:r>
      <w:r w:rsidR="00424D1D">
        <w:t>2</w:t>
      </w:r>
      <w:r w:rsidR="007711D6" w:rsidRPr="007711D6">
        <w:t xml:space="preserve">(a) can be observed, in which it appears that </w:t>
      </w:r>
      <w:proofErr w:type="gramStart"/>
      <w:r w:rsidR="007711D6" w:rsidRPr="007711D6">
        <w:t>PEDOT:PSS</w:t>
      </w:r>
      <w:proofErr w:type="gramEnd"/>
      <w:r w:rsidR="007711D6" w:rsidRPr="007711D6">
        <w:t xml:space="preserve"> forms a film throughout the system, in which no pores are apparently observed at the magnification used</w:t>
      </w:r>
      <w:r w:rsidR="007711D6">
        <w:t>.</w:t>
      </w:r>
      <w:r w:rsidR="00F87B7A">
        <w:t xml:space="preserve"> </w:t>
      </w:r>
      <w:r w:rsidR="007D6C17">
        <w:t xml:space="preserve">The pore sizes obtained ranged from 12 µm in run 7 to larger pores of up to 80-100 µm, as observed in run 2. </w:t>
      </w:r>
      <w:r w:rsidR="00F1185F" w:rsidRPr="00F1185F">
        <w:t xml:space="preserve">The increased use of PEDOT seems to lead to a smaller pore opening when comparing the results of test 1 with those of test 2. </w:t>
      </w:r>
      <w:r w:rsidR="007D6C17">
        <w:t xml:space="preserve">The ability to modify sample porosity with slight changes in operational parameters makes supercritical foaming an attractive alternative for scaffold formation in tissue engineering. </w:t>
      </w:r>
      <w:r w:rsidR="00F87B7A" w:rsidRPr="00F87B7A">
        <w:t xml:space="preserve">In addition, all samples showed a </w:t>
      </w:r>
      <w:r w:rsidR="00F87B7A">
        <w:t>conductivity in the order of 10</w:t>
      </w:r>
      <w:r w:rsidR="00F87B7A" w:rsidRPr="00F87B7A">
        <w:rPr>
          <w:vertAlign w:val="superscript"/>
        </w:rPr>
        <w:t>-5</w:t>
      </w:r>
      <w:r w:rsidR="00F87B7A" w:rsidRPr="00F87B7A">
        <w:t xml:space="preserve"> </w:t>
      </w:r>
      <w:r w:rsidR="00F87B7A">
        <w:t xml:space="preserve">S/cm </w:t>
      </w:r>
      <w:r w:rsidR="00F87B7A" w:rsidRPr="00F87B7A">
        <w:t>in the 2-point conductivity method, so that a</w:t>
      </w:r>
      <w:r w:rsidR="00306869">
        <w:t>n</w:t>
      </w:r>
      <w:r w:rsidR="00F87B7A" w:rsidRPr="00F87B7A">
        <w:t xml:space="preserve"> </w:t>
      </w:r>
      <w:r w:rsidR="00F87B7A">
        <w:t>acceptable</w:t>
      </w:r>
      <w:r w:rsidR="00F87B7A" w:rsidRPr="00F87B7A">
        <w:t xml:space="preserve"> spreading of the </w:t>
      </w:r>
      <w:proofErr w:type="gramStart"/>
      <w:r w:rsidR="00F87B7A">
        <w:t>PEDOT:PSS</w:t>
      </w:r>
      <w:proofErr w:type="gramEnd"/>
      <w:r w:rsidR="00F87B7A" w:rsidRPr="00F87B7A">
        <w:t xml:space="preserve"> over the whole surface was obtained.</w:t>
      </w:r>
    </w:p>
    <w:p w14:paraId="01916F93" w14:textId="77777777" w:rsidR="006B1C55" w:rsidRDefault="006B1C55" w:rsidP="0030491C">
      <w:pPr>
        <w:tabs>
          <w:tab w:val="clear" w:pos="7100"/>
        </w:tabs>
        <w:autoSpaceDE w:val="0"/>
        <w:autoSpaceDN w:val="0"/>
        <w:adjustRightInd w:val="0"/>
      </w:pPr>
    </w:p>
    <w:tbl>
      <w:tblPr>
        <w:tblStyle w:val="Tablaconcuadrcula"/>
        <w:tblW w:w="10620"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6"/>
        <w:gridCol w:w="3528"/>
        <w:gridCol w:w="3546"/>
      </w:tblGrid>
      <w:tr w:rsidR="003A5AAC" w14:paraId="33F8387E" w14:textId="3E3F8877" w:rsidTr="00256445">
        <w:tc>
          <w:tcPr>
            <w:tcW w:w="3546" w:type="dxa"/>
          </w:tcPr>
          <w:p w14:paraId="48955D20" w14:textId="77777777" w:rsidR="003A5AAC" w:rsidRDefault="003A5AAC" w:rsidP="00256445">
            <w:pPr>
              <w:tabs>
                <w:tab w:val="clear" w:pos="7100"/>
              </w:tabs>
              <w:autoSpaceDE w:val="0"/>
              <w:autoSpaceDN w:val="0"/>
              <w:adjustRightInd w:val="0"/>
              <w:jc w:val="left"/>
            </w:pPr>
            <w:r w:rsidRPr="005440F3">
              <w:rPr>
                <w:noProof/>
                <w:lang w:val="es-ES" w:eastAsia="es-ES"/>
              </w:rPr>
              <w:drawing>
                <wp:inline distT="0" distB="0" distL="0" distR="0" wp14:anchorId="40A3BDF0" wp14:editId="68C0F4F8">
                  <wp:extent cx="2105652" cy="1512277"/>
                  <wp:effectExtent l="0" t="0" r="9525" b="0"/>
                  <wp:docPr id="4" name="Imagen 4" descr="G:\Mi unidad\1 INVESTIGACIÓN UCA FSC DIEGO\TFG y TFMs\2021_2022\TFG Yaiza\SEM 2a tanda tiempo\P 1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i unidad\1 INVESTIGACIÓN UCA FSC DIEGO\TFG y TFMs\2021_2022\TFG Yaiza\SEM 2a tanda tiempo\P 12\1.tif"/>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105652" cy="1512277"/>
                          </a:xfrm>
                          <a:prstGeom prst="rect">
                            <a:avLst/>
                          </a:prstGeom>
                          <a:noFill/>
                          <a:ln>
                            <a:noFill/>
                          </a:ln>
                        </pic:spPr>
                      </pic:pic>
                    </a:graphicData>
                  </a:graphic>
                </wp:inline>
              </w:drawing>
            </w:r>
          </w:p>
          <w:p w14:paraId="63DE8400" w14:textId="77777777" w:rsidR="00256445" w:rsidRDefault="00256445" w:rsidP="00256445">
            <w:pPr>
              <w:pStyle w:val="Prrafodelista"/>
              <w:numPr>
                <w:ilvl w:val="0"/>
                <w:numId w:val="23"/>
              </w:numPr>
              <w:tabs>
                <w:tab w:val="clear" w:pos="7100"/>
              </w:tabs>
              <w:autoSpaceDE w:val="0"/>
              <w:autoSpaceDN w:val="0"/>
              <w:adjustRightInd w:val="0"/>
              <w:jc w:val="center"/>
            </w:pPr>
            <w:r>
              <w:t>Original tablet</w:t>
            </w:r>
          </w:p>
          <w:p w14:paraId="14AC16E7" w14:textId="7F5E6891" w:rsidR="00256445" w:rsidRDefault="00256445" w:rsidP="00256445">
            <w:pPr>
              <w:pStyle w:val="Prrafodelista"/>
              <w:tabs>
                <w:tab w:val="clear" w:pos="7100"/>
              </w:tabs>
              <w:autoSpaceDE w:val="0"/>
              <w:autoSpaceDN w:val="0"/>
              <w:adjustRightInd w:val="0"/>
              <w:jc w:val="center"/>
            </w:pPr>
          </w:p>
        </w:tc>
        <w:tc>
          <w:tcPr>
            <w:tcW w:w="3528" w:type="dxa"/>
          </w:tcPr>
          <w:p w14:paraId="510508C1" w14:textId="77777777" w:rsidR="003A5AAC" w:rsidRDefault="003A5AAC" w:rsidP="00256445">
            <w:pPr>
              <w:tabs>
                <w:tab w:val="clear" w:pos="7100"/>
              </w:tabs>
              <w:autoSpaceDE w:val="0"/>
              <w:autoSpaceDN w:val="0"/>
              <w:adjustRightInd w:val="0"/>
              <w:jc w:val="left"/>
            </w:pPr>
            <w:r w:rsidRPr="003A5AAC">
              <w:rPr>
                <w:noProof/>
                <w:lang w:val="es-ES" w:eastAsia="es-ES"/>
              </w:rPr>
              <w:drawing>
                <wp:inline distT="0" distB="0" distL="0" distR="0" wp14:anchorId="4FAB110B" wp14:editId="4D82BFAF">
                  <wp:extent cx="2103682" cy="1510560"/>
                  <wp:effectExtent l="0" t="0" r="0" b="0"/>
                  <wp:docPr id="2" name="Imagen 2" descr="C:\Users\Diego\Desktop\Paper CET 6 pages PLGAPEDOTEXTRACTO\SEM\T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ego\Desktop\Paper CET 6 pages PLGAPEDOTEXTRACTO\SEM\T1\3.tif"/>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125779" cy="1526427"/>
                          </a:xfrm>
                          <a:prstGeom prst="rect">
                            <a:avLst/>
                          </a:prstGeom>
                          <a:noFill/>
                          <a:ln>
                            <a:noFill/>
                          </a:ln>
                        </pic:spPr>
                      </pic:pic>
                    </a:graphicData>
                  </a:graphic>
                </wp:inline>
              </w:drawing>
            </w:r>
          </w:p>
          <w:p w14:paraId="1A2C620B" w14:textId="77777777" w:rsidR="00256445" w:rsidRDefault="00256445" w:rsidP="00256445">
            <w:pPr>
              <w:pStyle w:val="Prrafodelista"/>
              <w:numPr>
                <w:ilvl w:val="0"/>
                <w:numId w:val="23"/>
              </w:numPr>
              <w:tabs>
                <w:tab w:val="clear" w:pos="7100"/>
              </w:tabs>
              <w:autoSpaceDE w:val="0"/>
              <w:autoSpaceDN w:val="0"/>
              <w:adjustRightInd w:val="0"/>
              <w:jc w:val="center"/>
            </w:pPr>
            <w:r>
              <w:t>Run 1</w:t>
            </w:r>
          </w:p>
          <w:p w14:paraId="28F75803" w14:textId="16A02EB4" w:rsidR="00DB53AB" w:rsidRDefault="00DB53AB" w:rsidP="00DB53AB">
            <w:pPr>
              <w:pStyle w:val="Prrafodelista"/>
              <w:tabs>
                <w:tab w:val="clear" w:pos="7100"/>
              </w:tabs>
              <w:autoSpaceDE w:val="0"/>
              <w:autoSpaceDN w:val="0"/>
              <w:adjustRightInd w:val="0"/>
              <w:jc w:val="center"/>
            </w:pPr>
          </w:p>
        </w:tc>
        <w:tc>
          <w:tcPr>
            <w:tcW w:w="3546" w:type="dxa"/>
          </w:tcPr>
          <w:p w14:paraId="7583CF88" w14:textId="77777777" w:rsidR="003A5AAC" w:rsidRPr="007711D6" w:rsidRDefault="00256445" w:rsidP="003A5AAC">
            <w:pPr>
              <w:tabs>
                <w:tab w:val="clear" w:pos="7100"/>
              </w:tabs>
              <w:autoSpaceDE w:val="0"/>
              <w:autoSpaceDN w:val="0"/>
              <w:adjustRightInd w:val="0"/>
              <w:jc w:val="left"/>
              <w:rPr>
                <w:noProof/>
                <w:lang w:eastAsia="es-ES"/>
              </w:rPr>
            </w:pPr>
            <w:r w:rsidRPr="003A5AAC">
              <w:rPr>
                <w:noProof/>
                <w:lang w:val="es-ES" w:eastAsia="es-ES"/>
              </w:rPr>
              <w:drawing>
                <wp:inline distT="0" distB="0" distL="0" distR="0" wp14:anchorId="6E62414E" wp14:editId="2C008480">
                  <wp:extent cx="2106074" cy="1512277"/>
                  <wp:effectExtent l="0" t="0" r="8890" b="0"/>
                  <wp:docPr id="3" name="Imagen 3" descr="C:\Users\Diego\Desktop\Paper CET 6 pages PLGAPEDOTEXTRACTO\SEM\T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ego\Desktop\Paper CET 6 pages PLGAPEDOTEXTRACTO\SEM\T2\4.tif"/>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138175" cy="1535327"/>
                          </a:xfrm>
                          <a:prstGeom prst="rect">
                            <a:avLst/>
                          </a:prstGeom>
                          <a:noFill/>
                          <a:ln>
                            <a:noFill/>
                          </a:ln>
                        </pic:spPr>
                      </pic:pic>
                    </a:graphicData>
                  </a:graphic>
                </wp:inline>
              </w:drawing>
            </w:r>
          </w:p>
          <w:p w14:paraId="04478663" w14:textId="77777777" w:rsidR="00256445" w:rsidRPr="007711D6" w:rsidRDefault="00256445" w:rsidP="00256445">
            <w:pPr>
              <w:pStyle w:val="Prrafodelista"/>
              <w:numPr>
                <w:ilvl w:val="0"/>
                <w:numId w:val="23"/>
              </w:numPr>
              <w:tabs>
                <w:tab w:val="clear" w:pos="7100"/>
              </w:tabs>
              <w:autoSpaceDE w:val="0"/>
              <w:autoSpaceDN w:val="0"/>
              <w:adjustRightInd w:val="0"/>
              <w:jc w:val="center"/>
              <w:rPr>
                <w:noProof/>
                <w:lang w:eastAsia="es-ES"/>
              </w:rPr>
            </w:pPr>
            <w:r w:rsidRPr="007711D6">
              <w:rPr>
                <w:noProof/>
                <w:lang w:eastAsia="es-ES"/>
              </w:rPr>
              <w:t>Run 2</w:t>
            </w:r>
          </w:p>
          <w:p w14:paraId="266322D6" w14:textId="33BA11BE" w:rsidR="00DB53AB" w:rsidRPr="007711D6" w:rsidRDefault="00DB53AB" w:rsidP="00DB53AB">
            <w:pPr>
              <w:pStyle w:val="Prrafodelista"/>
              <w:tabs>
                <w:tab w:val="clear" w:pos="7100"/>
              </w:tabs>
              <w:autoSpaceDE w:val="0"/>
              <w:autoSpaceDN w:val="0"/>
              <w:adjustRightInd w:val="0"/>
              <w:jc w:val="center"/>
              <w:rPr>
                <w:noProof/>
                <w:lang w:eastAsia="es-ES"/>
              </w:rPr>
            </w:pPr>
          </w:p>
        </w:tc>
      </w:tr>
      <w:tr w:rsidR="003A5AAC" w14:paraId="248E8297" w14:textId="443C2AE8" w:rsidTr="00256445">
        <w:trPr>
          <w:trHeight w:val="1218"/>
        </w:trPr>
        <w:tc>
          <w:tcPr>
            <w:tcW w:w="3546" w:type="dxa"/>
          </w:tcPr>
          <w:p w14:paraId="79151455" w14:textId="77777777" w:rsidR="003A5AAC" w:rsidRDefault="00256445" w:rsidP="00256445">
            <w:pPr>
              <w:tabs>
                <w:tab w:val="clear" w:pos="7100"/>
              </w:tabs>
              <w:autoSpaceDE w:val="0"/>
              <w:autoSpaceDN w:val="0"/>
              <w:adjustRightInd w:val="0"/>
              <w:jc w:val="left"/>
            </w:pPr>
            <w:r w:rsidRPr="003A5AAC">
              <w:rPr>
                <w:noProof/>
                <w:lang w:val="es-ES" w:eastAsia="es-ES"/>
              </w:rPr>
              <w:drawing>
                <wp:inline distT="0" distB="0" distL="0" distR="0" wp14:anchorId="30D74DD6" wp14:editId="67956141">
                  <wp:extent cx="2104986" cy="1511496"/>
                  <wp:effectExtent l="0" t="0" r="0" b="0"/>
                  <wp:docPr id="7" name="Imagen 7" descr="C:\Users\Diego\Desktop\Paper CET 6 pages PLGAPEDOTEXTRACTO\SEM\T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ego\Desktop\Paper CET 6 pages PLGAPEDOTEXTRACTO\SEM\T3\1.tif"/>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116291" cy="1519614"/>
                          </a:xfrm>
                          <a:prstGeom prst="rect">
                            <a:avLst/>
                          </a:prstGeom>
                          <a:noFill/>
                          <a:ln>
                            <a:noFill/>
                          </a:ln>
                        </pic:spPr>
                      </pic:pic>
                    </a:graphicData>
                  </a:graphic>
                </wp:inline>
              </w:drawing>
            </w:r>
          </w:p>
          <w:p w14:paraId="549C059A" w14:textId="3FDE597E" w:rsidR="00256445" w:rsidRDefault="00256445" w:rsidP="00256445">
            <w:pPr>
              <w:pStyle w:val="Prrafodelista"/>
              <w:numPr>
                <w:ilvl w:val="0"/>
                <w:numId w:val="23"/>
              </w:numPr>
              <w:tabs>
                <w:tab w:val="clear" w:pos="7100"/>
              </w:tabs>
              <w:autoSpaceDE w:val="0"/>
              <w:autoSpaceDN w:val="0"/>
              <w:adjustRightInd w:val="0"/>
              <w:jc w:val="center"/>
            </w:pPr>
            <w:r>
              <w:t>Run 3</w:t>
            </w:r>
          </w:p>
        </w:tc>
        <w:tc>
          <w:tcPr>
            <w:tcW w:w="3528" w:type="dxa"/>
          </w:tcPr>
          <w:p w14:paraId="0DF1B4D7" w14:textId="77777777" w:rsidR="003A5AAC" w:rsidRDefault="00256445" w:rsidP="003A5AAC">
            <w:pPr>
              <w:tabs>
                <w:tab w:val="clear" w:pos="7100"/>
              </w:tabs>
              <w:autoSpaceDE w:val="0"/>
              <w:autoSpaceDN w:val="0"/>
              <w:adjustRightInd w:val="0"/>
              <w:jc w:val="left"/>
            </w:pPr>
            <w:r w:rsidRPr="003A5AAC">
              <w:rPr>
                <w:noProof/>
                <w:lang w:val="es-ES" w:eastAsia="es-ES"/>
              </w:rPr>
              <w:drawing>
                <wp:inline distT="0" distB="0" distL="0" distR="0" wp14:anchorId="7228CF49" wp14:editId="0C1B41CB">
                  <wp:extent cx="2103120" cy="1510158"/>
                  <wp:effectExtent l="0" t="0" r="0" b="0"/>
                  <wp:docPr id="8" name="Imagen 8" descr="C:\Users\Diego\Desktop\Paper CET 6 pages PLGAPEDOTEXTRACTO\SEM\T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ego\Desktop\Paper CET 6 pages PLGAPEDOTEXTRACTO\SEM\T4\1.tif"/>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141159" cy="1537472"/>
                          </a:xfrm>
                          <a:prstGeom prst="rect">
                            <a:avLst/>
                          </a:prstGeom>
                          <a:noFill/>
                          <a:ln>
                            <a:noFill/>
                          </a:ln>
                        </pic:spPr>
                      </pic:pic>
                    </a:graphicData>
                  </a:graphic>
                </wp:inline>
              </w:drawing>
            </w:r>
          </w:p>
          <w:p w14:paraId="008FB7E5" w14:textId="0DFD8F59" w:rsidR="00256445" w:rsidRDefault="00256445" w:rsidP="00256445">
            <w:pPr>
              <w:pStyle w:val="Prrafodelista"/>
              <w:numPr>
                <w:ilvl w:val="0"/>
                <w:numId w:val="23"/>
              </w:numPr>
              <w:tabs>
                <w:tab w:val="clear" w:pos="7100"/>
              </w:tabs>
              <w:autoSpaceDE w:val="0"/>
              <w:autoSpaceDN w:val="0"/>
              <w:adjustRightInd w:val="0"/>
              <w:jc w:val="center"/>
            </w:pPr>
            <w:r>
              <w:t>Run 4</w:t>
            </w:r>
          </w:p>
        </w:tc>
        <w:tc>
          <w:tcPr>
            <w:tcW w:w="3546" w:type="dxa"/>
          </w:tcPr>
          <w:p w14:paraId="7E381CC3" w14:textId="77777777" w:rsidR="003A5AAC" w:rsidRPr="007711D6" w:rsidRDefault="00256445" w:rsidP="00256445">
            <w:pPr>
              <w:tabs>
                <w:tab w:val="clear" w:pos="7100"/>
              </w:tabs>
              <w:autoSpaceDE w:val="0"/>
              <w:autoSpaceDN w:val="0"/>
              <w:adjustRightInd w:val="0"/>
              <w:jc w:val="center"/>
              <w:rPr>
                <w:noProof/>
                <w:lang w:eastAsia="es-ES"/>
              </w:rPr>
            </w:pPr>
            <w:r w:rsidRPr="003A5AAC">
              <w:rPr>
                <w:noProof/>
                <w:lang w:val="es-ES" w:eastAsia="es-ES"/>
              </w:rPr>
              <w:drawing>
                <wp:inline distT="0" distB="0" distL="0" distR="0" wp14:anchorId="3B26033C" wp14:editId="0CB7CA9D">
                  <wp:extent cx="2103120" cy="1510155"/>
                  <wp:effectExtent l="0" t="0" r="0" b="0"/>
                  <wp:docPr id="9" name="Imagen 9" descr="C:\Users\Diego\Desktop\Paper CET 6 pages PLGAPEDOTEXTRACTO\SEM\T7\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ego\Desktop\Paper CET 6 pages PLGAPEDOTEXTRACTO\SEM\T7\4.tif"/>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136459" cy="1534094"/>
                          </a:xfrm>
                          <a:prstGeom prst="rect">
                            <a:avLst/>
                          </a:prstGeom>
                          <a:noFill/>
                          <a:ln>
                            <a:noFill/>
                          </a:ln>
                        </pic:spPr>
                      </pic:pic>
                    </a:graphicData>
                  </a:graphic>
                </wp:inline>
              </w:drawing>
            </w:r>
          </w:p>
          <w:p w14:paraId="5346E4D7" w14:textId="4FBD6D3E" w:rsidR="00256445" w:rsidRPr="007711D6" w:rsidRDefault="00256445" w:rsidP="00256445">
            <w:pPr>
              <w:pStyle w:val="Prrafodelista"/>
              <w:numPr>
                <w:ilvl w:val="0"/>
                <w:numId w:val="23"/>
              </w:numPr>
              <w:tabs>
                <w:tab w:val="clear" w:pos="7100"/>
              </w:tabs>
              <w:autoSpaceDE w:val="0"/>
              <w:autoSpaceDN w:val="0"/>
              <w:adjustRightInd w:val="0"/>
              <w:jc w:val="center"/>
              <w:rPr>
                <w:noProof/>
                <w:lang w:eastAsia="es-ES"/>
              </w:rPr>
            </w:pPr>
            <w:r w:rsidRPr="007711D6">
              <w:rPr>
                <w:noProof/>
                <w:lang w:eastAsia="es-ES"/>
              </w:rPr>
              <w:t>Run 7</w:t>
            </w:r>
          </w:p>
        </w:tc>
      </w:tr>
    </w:tbl>
    <w:p w14:paraId="5566FFE4" w14:textId="541C635D" w:rsidR="0008616C" w:rsidRDefault="0008616C" w:rsidP="0008616C">
      <w:pPr>
        <w:pStyle w:val="CETCaption"/>
        <w:rPr>
          <w:rStyle w:val="CETCaptionCarattere"/>
          <w:i/>
        </w:rPr>
      </w:pPr>
      <w:r w:rsidRPr="00744B0F">
        <w:rPr>
          <w:rStyle w:val="CETCaptionCarattere"/>
          <w:i/>
        </w:rPr>
        <w:t xml:space="preserve">Figure </w:t>
      </w:r>
      <w:r>
        <w:rPr>
          <w:rStyle w:val="CETCaptionCarattere"/>
          <w:i/>
        </w:rPr>
        <w:t>2</w:t>
      </w:r>
      <w:r w:rsidRPr="00744B0F">
        <w:rPr>
          <w:rStyle w:val="CETCaptionCarattere"/>
          <w:i/>
        </w:rPr>
        <w:t xml:space="preserve">: </w:t>
      </w:r>
      <w:r>
        <w:rPr>
          <w:rStyle w:val="CETCaptionCarattere"/>
          <w:i/>
        </w:rPr>
        <w:t>SEM images of (a) original PLGA/</w:t>
      </w:r>
      <w:proofErr w:type="gramStart"/>
      <w:r>
        <w:rPr>
          <w:rStyle w:val="CETCaptionCarattere"/>
          <w:i/>
        </w:rPr>
        <w:t>PEDOT:PSS</w:t>
      </w:r>
      <w:proofErr w:type="gramEnd"/>
      <w:r>
        <w:rPr>
          <w:rStyle w:val="CETCaptionCarattere"/>
          <w:i/>
        </w:rPr>
        <w:t xml:space="preserve"> tablet and  formed scaffolds (1</w:t>
      </w:r>
      <w:r w:rsidR="00256445">
        <w:rPr>
          <w:rStyle w:val="CETCaptionCarattere"/>
          <w:i/>
        </w:rPr>
        <w:t>,2,3,4 and 7</w:t>
      </w:r>
      <w:r>
        <w:rPr>
          <w:rStyle w:val="CETCaptionCarattere"/>
          <w:i/>
        </w:rPr>
        <w:t>)</w:t>
      </w:r>
      <w:r w:rsidRPr="00744B0F">
        <w:rPr>
          <w:rStyle w:val="CETCaptionCarattere"/>
          <w:i/>
        </w:rPr>
        <w:t>.</w:t>
      </w:r>
    </w:p>
    <w:p w14:paraId="44665734" w14:textId="5F443E2F" w:rsidR="00FC1023" w:rsidRDefault="00EE041D" w:rsidP="006B1C55">
      <w:pPr>
        <w:pStyle w:val="CETCaption"/>
        <w:rPr>
          <w:i w:val="0"/>
        </w:rPr>
      </w:pPr>
      <w:r w:rsidRPr="006B1C55">
        <w:rPr>
          <w:rStyle w:val="CETCaptionCarattere"/>
        </w:rPr>
        <w:t xml:space="preserve">The </w:t>
      </w:r>
      <w:r w:rsidR="00F41DED" w:rsidRPr="006B1C55">
        <w:rPr>
          <w:rStyle w:val="CETCaptionCarattere"/>
        </w:rPr>
        <w:t xml:space="preserve">obtained </w:t>
      </w:r>
      <w:r w:rsidRPr="006B1C55">
        <w:rPr>
          <w:rStyle w:val="CETCaptionCarattere"/>
        </w:rPr>
        <w:t xml:space="preserve">results with respect to the antioxidant capacity exhibited by the scaffolds when subjected to the DPPH oxidation test as well as the </w:t>
      </w:r>
      <w:proofErr w:type="gramStart"/>
      <w:r w:rsidRPr="006B1C55">
        <w:rPr>
          <w:rStyle w:val="CETCaptionCarattere"/>
        </w:rPr>
        <w:t>amount</w:t>
      </w:r>
      <w:proofErr w:type="gramEnd"/>
      <w:r w:rsidRPr="006B1C55">
        <w:rPr>
          <w:rStyle w:val="CETCaptionCarattere"/>
        </w:rPr>
        <w:t xml:space="preserve"> of polyphenolic compounds impregnated are shown in</w:t>
      </w:r>
      <w:r w:rsidRPr="006B1C55">
        <w:rPr>
          <w:rStyle w:val="CETCaptionCarattere"/>
          <w:i/>
        </w:rPr>
        <w:t xml:space="preserve"> </w:t>
      </w:r>
      <w:r w:rsidRPr="00F41DED">
        <w:rPr>
          <w:rStyle w:val="CETCaptionCarattere"/>
        </w:rPr>
        <w:t>Table 2</w:t>
      </w:r>
      <w:r w:rsidRPr="006B1C55">
        <w:rPr>
          <w:rStyle w:val="CETCaptionCarattere"/>
          <w:i/>
        </w:rPr>
        <w:t>.</w:t>
      </w:r>
      <w:r w:rsidR="006B1C55" w:rsidRPr="006B1C55">
        <w:rPr>
          <w:rStyle w:val="CETCaptionCarattere"/>
          <w:i/>
        </w:rPr>
        <w:t xml:space="preserve"> </w:t>
      </w:r>
      <w:r w:rsidR="00934E6B">
        <w:rPr>
          <w:i w:val="0"/>
        </w:rPr>
        <w:t>I</w:t>
      </w:r>
      <w:r w:rsidR="00B0335A" w:rsidRPr="006B1C55">
        <w:rPr>
          <w:i w:val="0"/>
        </w:rPr>
        <w:t>t can be observed that the increase in pressure has a positive effect when comparing runs 2 and 3 (12 and 20 MPa, respectively)</w:t>
      </w:r>
      <w:r w:rsidR="00934E6B">
        <w:rPr>
          <w:i w:val="0"/>
        </w:rPr>
        <w:t xml:space="preserve"> u</w:t>
      </w:r>
      <w:r w:rsidR="00934E6B" w:rsidRPr="00934E6B">
        <w:rPr>
          <w:i w:val="0"/>
        </w:rPr>
        <w:t>nder isothermal conditions</w:t>
      </w:r>
      <w:r w:rsidR="00B0335A" w:rsidRPr="006B1C55">
        <w:rPr>
          <w:i w:val="0"/>
        </w:rPr>
        <w:t xml:space="preserve">. </w:t>
      </w:r>
      <w:r w:rsidR="003A728E" w:rsidRPr="006B1C55">
        <w:rPr>
          <w:i w:val="0"/>
        </w:rPr>
        <w:t xml:space="preserve">In cases where the impregnation </w:t>
      </w:r>
      <w:r w:rsidR="00B0335A" w:rsidRPr="006B1C55">
        <w:rPr>
          <w:i w:val="0"/>
        </w:rPr>
        <w:t>vessel</w:t>
      </w:r>
      <w:r w:rsidR="003A728E" w:rsidRPr="006B1C55">
        <w:rPr>
          <w:i w:val="0"/>
        </w:rPr>
        <w:t xml:space="preserve"> contains an excessive amount of active compound, the saturation of the CO</w:t>
      </w:r>
      <w:r w:rsidR="003A728E" w:rsidRPr="006B1C55">
        <w:rPr>
          <w:i w:val="0"/>
          <w:vertAlign w:val="subscript"/>
        </w:rPr>
        <w:t>2</w:t>
      </w:r>
      <w:r w:rsidR="003A728E" w:rsidRPr="006B1C55">
        <w:rPr>
          <w:i w:val="0"/>
        </w:rPr>
        <w:t>-phase with the compound can be maintained. As the pressure (or density) of CO</w:t>
      </w:r>
      <w:r w:rsidR="003A728E" w:rsidRPr="006B1C55">
        <w:rPr>
          <w:i w:val="0"/>
          <w:vertAlign w:val="subscript"/>
        </w:rPr>
        <w:t>2</w:t>
      </w:r>
      <w:r w:rsidR="003A728E" w:rsidRPr="006B1C55">
        <w:rPr>
          <w:i w:val="0"/>
        </w:rPr>
        <w:t xml:space="preserve"> increases, the solubility of the active compound in the supercritical CO</w:t>
      </w:r>
      <w:r w:rsidR="003A728E" w:rsidRPr="006B1C55">
        <w:rPr>
          <w:i w:val="0"/>
          <w:vertAlign w:val="subscript"/>
        </w:rPr>
        <w:t>2</w:t>
      </w:r>
      <w:r w:rsidR="003A728E" w:rsidRPr="006B1C55">
        <w:rPr>
          <w:i w:val="0"/>
        </w:rPr>
        <w:t>-phase also increases, resulting in a higher concentration of the active compound in the CO</w:t>
      </w:r>
      <w:r w:rsidR="003A728E" w:rsidRPr="006B1C55">
        <w:rPr>
          <w:i w:val="0"/>
          <w:vertAlign w:val="subscript"/>
        </w:rPr>
        <w:t>2</w:t>
      </w:r>
      <w:r w:rsidR="003A728E" w:rsidRPr="006B1C55">
        <w:rPr>
          <w:i w:val="0"/>
        </w:rPr>
        <w:t xml:space="preserve">-phase. This generates a greater </w:t>
      </w:r>
      <w:r w:rsidR="003A728E" w:rsidRPr="006B1C55">
        <w:rPr>
          <w:i w:val="0"/>
        </w:rPr>
        <w:lastRenderedPageBreak/>
        <w:t>concentration gradient of the active compound between the CO</w:t>
      </w:r>
      <w:r w:rsidR="003A728E" w:rsidRPr="006B1C55">
        <w:rPr>
          <w:i w:val="0"/>
          <w:vertAlign w:val="subscript"/>
        </w:rPr>
        <w:t>2</w:t>
      </w:r>
      <w:r w:rsidR="003A728E" w:rsidRPr="006B1C55">
        <w:rPr>
          <w:i w:val="0"/>
        </w:rPr>
        <w:t>-phase and the polymeric matrix, which promotes the active compound impregnation in the material. Additionally, the swelling phenomenon of the polymer is enhanced with increased CO</w:t>
      </w:r>
      <w:r w:rsidR="003A728E" w:rsidRPr="006B1C55">
        <w:rPr>
          <w:i w:val="0"/>
          <w:vertAlign w:val="subscript"/>
        </w:rPr>
        <w:t>2</w:t>
      </w:r>
      <w:r w:rsidR="003A728E" w:rsidRPr="006B1C55">
        <w:rPr>
          <w:i w:val="0"/>
        </w:rPr>
        <w:t xml:space="preserve"> pressure, which facilitates the diffusion of the active compound inside the polymer. This positive effect of pressure on the active compound loading has been reported in several studies</w:t>
      </w:r>
      <w:r w:rsidR="00B0335A" w:rsidRPr="006B1C55">
        <w:rPr>
          <w:i w:val="0"/>
        </w:rPr>
        <w:t xml:space="preserve"> </w:t>
      </w:r>
      <w:r w:rsidR="00B0335A" w:rsidRPr="006B1C55">
        <w:rPr>
          <w:i w:val="0"/>
        </w:rPr>
        <w:fldChar w:fldCharType="begin" w:fldLock="1"/>
      </w:r>
      <w:r w:rsidR="00FC1023" w:rsidRPr="006B1C55">
        <w:rPr>
          <w:i w:val="0"/>
        </w:rPr>
        <w:instrText>ADDIN CSL_CITATION {"citationItems":[{"id":"ITEM-1","itemData":{"DOI":"10.1016/j.carbpol.2013.10.082","ISSN":"01448617","PMID":"24507353","abstract":"In this work, supercritical solvent impregnation (SSI) has been tested for the incorporation of natural compounds into biocomposite materials for food packaging. Cinnamaldehyde, with proved antimicrobial activity against fungi commonly found in bread products, was successfully impregnated on biocomposite cassava starch based materials using supercritical carbon dioxide as solvent. Different process experimental conditions were tested (pressure, impregnation time and depressurization rate) at a fixed temperature (35 C) in order to study their influence on the amount of impregnated cinnamaldehyde as well as on the morphology of the films. Results showed that all conditions permitted to impregnate antimicrobial active amounts superior to those previously obtained using conventional incorporation methods. Moreover, a significant decrease of the equilibrium water vapor sorption capacity and water vapor permeability of the films was observed after SSI processing which is a clear advantage of the process, considering the envisaged applications. © 2013 Elsevier Ltd.","author":[{"dropping-particle":"","family":"Souza","given":"Ana Cristina","non-dropping-particle":"De","parse-names":false,"suffix":""},{"dropping-particle":"","family":"Dias","given":"Ana M.A.","non-dropping-particle":"","parse-names":false,"suffix":""},{"dropping-particle":"","family":"Sousa","given":"Hermínio C.","non-dropping-particle":"","parse-names":false,"suffix":""},{"dropping-particle":"","family":"Tadini","given":"Carmen C.","non-dropping-particle":"","parse-names":false,"suffix":""}],"container-title":"Carbohydrate Polymers","id":"ITEM-1","issue":"1","issued":{"date-parts":[["2014"]]},"page":"830-837","publisher":"Elsevier Ltd.","title":"Impregnation of cinnamaldehyde into cassava starch biocomposite films using supercritical fluid technology for the development of food active packaging","type":"article-journal","volume":"102"},"uris":["http://www.mendeley.com/documents/?uuid=0a6839dc-209d-4656-bc36-1aa2321925c9"]}],"mendeley":{"formattedCitation":"(De Souza et al., 2014)","plainTextFormattedCitation":"(De Souza et al., 2014)","previouslyFormattedCitation":"(De Souza et al., 2014)"},"properties":{"noteIndex":0},"schema":"https://github.com/citation-style-language/schema/raw/master/csl-citation.json"}</w:instrText>
      </w:r>
      <w:r w:rsidR="00B0335A" w:rsidRPr="006B1C55">
        <w:rPr>
          <w:i w:val="0"/>
        </w:rPr>
        <w:fldChar w:fldCharType="separate"/>
      </w:r>
      <w:r w:rsidR="00B0335A" w:rsidRPr="006B1C55">
        <w:rPr>
          <w:i w:val="0"/>
          <w:noProof/>
        </w:rPr>
        <w:t>(De Souza et al., 2014)</w:t>
      </w:r>
      <w:r w:rsidR="00B0335A" w:rsidRPr="006B1C55">
        <w:rPr>
          <w:i w:val="0"/>
        </w:rPr>
        <w:fldChar w:fldCharType="end"/>
      </w:r>
      <w:r w:rsidR="003A728E" w:rsidRPr="006B1C55">
        <w:rPr>
          <w:i w:val="0"/>
        </w:rPr>
        <w:t>.</w:t>
      </w:r>
    </w:p>
    <w:p w14:paraId="5603E006" w14:textId="77777777" w:rsidR="009E5ED2" w:rsidRPr="00B57B36" w:rsidRDefault="009E5ED2" w:rsidP="009E5ED2">
      <w:pPr>
        <w:pStyle w:val="CETCaption"/>
      </w:pPr>
      <w:r w:rsidRPr="00744B0F">
        <w:rPr>
          <w:rStyle w:val="CETCaptionCarattere"/>
          <w:i/>
        </w:rPr>
        <w:t xml:space="preserve">Table </w:t>
      </w:r>
      <w:r>
        <w:rPr>
          <w:rStyle w:val="CETCaptionCarattere"/>
          <w:i/>
        </w:rPr>
        <w:t>2</w:t>
      </w:r>
      <w:r w:rsidRPr="00744B0F">
        <w:rPr>
          <w:rStyle w:val="CETCaptionCarattere"/>
          <w:i/>
        </w:rPr>
        <w:t xml:space="preserve">: </w:t>
      </w:r>
      <w:r w:rsidRPr="00472C63">
        <w:rPr>
          <w:rStyle w:val="CETCaptionCarattere"/>
          <w:i/>
        </w:rPr>
        <w:t>Percentage of inhibition in the DPPH test</w:t>
      </w:r>
      <w:r>
        <w:rPr>
          <w:rStyle w:val="CETCaptionCarattere"/>
          <w:i/>
        </w:rPr>
        <w:t xml:space="preserve"> (%IO)</w:t>
      </w:r>
      <w:r w:rsidRPr="00472C63">
        <w:rPr>
          <w:rStyle w:val="CETCaptionCarattere"/>
          <w:i/>
        </w:rPr>
        <w:t xml:space="preserve"> and total </w:t>
      </w:r>
      <w:r>
        <w:rPr>
          <w:rStyle w:val="CETCaptionCarattere"/>
          <w:i/>
        </w:rPr>
        <w:t>content</w:t>
      </w:r>
      <w:r w:rsidRPr="00472C63">
        <w:rPr>
          <w:rStyle w:val="CETCaptionCarattere"/>
          <w:i/>
        </w:rPr>
        <w:t xml:space="preserve"> of impregnated polyphenols</w:t>
      </w:r>
      <w:r>
        <w:rPr>
          <w:rStyle w:val="CETCaptionCarattere"/>
          <w:i/>
        </w:rPr>
        <w:t xml:space="preserve"> (TPC)</w:t>
      </w:r>
      <w:r w:rsidRPr="00744B0F">
        <w:rPr>
          <w:rStyle w:val="CETCaptionCarattere"/>
          <w:i/>
        </w:rPr>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262"/>
        <w:gridCol w:w="1432"/>
      </w:tblGrid>
      <w:tr w:rsidR="009E5ED2" w:rsidRPr="00B57B36" w14:paraId="2DEBE3BA" w14:textId="77777777" w:rsidTr="00CF4B75">
        <w:tc>
          <w:tcPr>
            <w:tcW w:w="1134" w:type="dxa"/>
            <w:tcBorders>
              <w:top w:val="single" w:sz="12" w:space="0" w:color="008000"/>
              <w:bottom w:val="single" w:sz="6" w:space="0" w:color="008000"/>
            </w:tcBorders>
            <w:shd w:val="clear" w:color="auto" w:fill="FFFFFF"/>
            <w:vAlign w:val="center"/>
          </w:tcPr>
          <w:p w14:paraId="6DB624A9" w14:textId="1ADEAF58" w:rsidR="009E5ED2" w:rsidRPr="003A5AAC" w:rsidRDefault="009E5ED2" w:rsidP="00CF4B75">
            <w:pPr>
              <w:pStyle w:val="CETBodytext"/>
              <w:jc w:val="left"/>
              <w:rPr>
                <w:lang w:val="en-GB"/>
              </w:rPr>
            </w:pPr>
            <w:r w:rsidRPr="003A5AAC">
              <w:rPr>
                <w:lang w:val="en-GB"/>
              </w:rPr>
              <w:t>Run</w:t>
            </w:r>
          </w:p>
        </w:tc>
        <w:tc>
          <w:tcPr>
            <w:tcW w:w="1262" w:type="dxa"/>
            <w:tcBorders>
              <w:top w:val="single" w:sz="12" w:space="0" w:color="008000"/>
              <w:bottom w:val="single" w:sz="6" w:space="0" w:color="008000"/>
            </w:tcBorders>
            <w:shd w:val="clear" w:color="auto" w:fill="FFFFFF"/>
            <w:vAlign w:val="center"/>
          </w:tcPr>
          <w:p w14:paraId="7FA96977" w14:textId="77777777" w:rsidR="009E5ED2" w:rsidRDefault="009E5ED2" w:rsidP="009F0302">
            <w:pPr>
              <w:pStyle w:val="CETBodytext"/>
              <w:jc w:val="left"/>
              <w:rPr>
                <w:lang w:val="en-GB"/>
              </w:rPr>
            </w:pPr>
            <w:r>
              <w:rPr>
                <w:lang w:val="en-GB"/>
              </w:rPr>
              <w:t>%</w:t>
            </w:r>
            <w:r>
              <w:t xml:space="preserve"> </w:t>
            </w:r>
            <w:r>
              <w:rPr>
                <w:lang w:val="en-GB"/>
              </w:rPr>
              <w:t>I</w:t>
            </w:r>
            <w:r w:rsidRPr="00472C63">
              <w:rPr>
                <w:lang w:val="en-GB"/>
              </w:rPr>
              <w:t>nhibition</w:t>
            </w:r>
          </w:p>
          <w:p w14:paraId="21400706" w14:textId="77777777" w:rsidR="009E5ED2" w:rsidRPr="003A5AAC" w:rsidRDefault="009E5ED2" w:rsidP="009F0302">
            <w:pPr>
              <w:pStyle w:val="CETBodytext"/>
              <w:jc w:val="left"/>
              <w:rPr>
                <w:lang w:val="en-GB"/>
              </w:rPr>
            </w:pPr>
            <w:r>
              <w:rPr>
                <w:lang w:val="en-GB"/>
              </w:rPr>
              <w:t>Oxidation</w:t>
            </w:r>
          </w:p>
        </w:tc>
        <w:tc>
          <w:tcPr>
            <w:tcW w:w="1432" w:type="dxa"/>
            <w:tcBorders>
              <w:top w:val="single" w:sz="12" w:space="0" w:color="008000"/>
              <w:bottom w:val="single" w:sz="6" w:space="0" w:color="008000"/>
            </w:tcBorders>
            <w:shd w:val="clear" w:color="auto" w:fill="FFFFFF"/>
            <w:vAlign w:val="center"/>
          </w:tcPr>
          <w:p w14:paraId="305A3058" w14:textId="77777777" w:rsidR="009E5ED2" w:rsidRDefault="009E5ED2" w:rsidP="009F0302">
            <w:pPr>
              <w:pStyle w:val="CETBodytext"/>
              <w:jc w:val="left"/>
              <w:rPr>
                <w:lang w:val="en-GB"/>
              </w:rPr>
            </w:pPr>
            <w:r>
              <w:rPr>
                <w:lang w:val="en-GB"/>
              </w:rPr>
              <w:t>TPC</w:t>
            </w:r>
          </w:p>
          <w:p w14:paraId="0EFD7E88" w14:textId="1242A2A5" w:rsidR="009E5ED2" w:rsidRPr="00B57B36" w:rsidRDefault="009E5ED2" w:rsidP="009F0302">
            <w:pPr>
              <w:pStyle w:val="CETBodytext"/>
              <w:jc w:val="left"/>
              <w:rPr>
                <w:lang w:val="en-GB"/>
              </w:rPr>
            </w:pPr>
            <w:r>
              <w:rPr>
                <w:lang w:val="en-GB"/>
              </w:rPr>
              <w:t>(</w:t>
            </w:r>
            <w:proofErr w:type="spellStart"/>
            <w:r>
              <w:rPr>
                <w:lang w:val="en-GB"/>
              </w:rPr>
              <w:t>mgGAE</w:t>
            </w:r>
            <w:proofErr w:type="spellEnd"/>
            <w:r>
              <w:rPr>
                <w:lang w:val="en-GB"/>
              </w:rPr>
              <w:t>/</w:t>
            </w:r>
            <w:r w:rsidR="00424D1D">
              <w:rPr>
                <w:lang w:val="en-GB"/>
              </w:rPr>
              <w:t>g</w:t>
            </w:r>
            <w:r>
              <w:rPr>
                <w:lang w:val="en-GB"/>
              </w:rPr>
              <w:t xml:space="preserve"> sample)</w:t>
            </w:r>
          </w:p>
        </w:tc>
      </w:tr>
      <w:tr w:rsidR="009E5ED2" w:rsidRPr="00B57B36" w14:paraId="0E5634C0" w14:textId="77777777" w:rsidTr="009F0302">
        <w:tc>
          <w:tcPr>
            <w:tcW w:w="1134" w:type="dxa"/>
            <w:shd w:val="clear" w:color="auto" w:fill="FFFFFF"/>
          </w:tcPr>
          <w:p w14:paraId="4D8C1283" w14:textId="77777777" w:rsidR="009E5ED2" w:rsidRPr="003A5AAC" w:rsidRDefault="009E5ED2" w:rsidP="009F0302">
            <w:pPr>
              <w:pStyle w:val="CETBodytext"/>
              <w:jc w:val="left"/>
              <w:rPr>
                <w:lang w:val="en-GB"/>
              </w:rPr>
            </w:pPr>
            <w:r w:rsidRPr="003A5AAC">
              <w:rPr>
                <w:lang w:val="en-GB"/>
              </w:rPr>
              <w:t>1</w:t>
            </w:r>
          </w:p>
        </w:tc>
        <w:tc>
          <w:tcPr>
            <w:tcW w:w="1262" w:type="dxa"/>
            <w:shd w:val="clear" w:color="auto" w:fill="FFFFFF"/>
            <w:vAlign w:val="bottom"/>
          </w:tcPr>
          <w:p w14:paraId="11AF116C" w14:textId="0417EB81" w:rsidR="009E5ED2" w:rsidRPr="003A5AAC" w:rsidRDefault="009E5ED2" w:rsidP="009F0302">
            <w:pPr>
              <w:pStyle w:val="CETBodytext"/>
              <w:jc w:val="left"/>
              <w:rPr>
                <w:lang w:val="en-GB"/>
              </w:rPr>
            </w:pPr>
            <w:r w:rsidRPr="00472C63">
              <w:rPr>
                <w:lang w:val="en-GB"/>
              </w:rPr>
              <w:t>41</w:t>
            </w:r>
            <w:r w:rsidR="00424D1D">
              <w:rPr>
                <w:lang w:val="en-GB"/>
              </w:rPr>
              <w:t>.</w:t>
            </w:r>
            <w:r w:rsidRPr="00472C63">
              <w:rPr>
                <w:lang w:val="en-GB"/>
              </w:rPr>
              <w:t>76</w:t>
            </w:r>
          </w:p>
        </w:tc>
        <w:tc>
          <w:tcPr>
            <w:tcW w:w="1432" w:type="dxa"/>
            <w:shd w:val="clear" w:color="auto" w:fill="FFFFFF"/>
            <w:vAlign w:val="bottom"/>
          </w:tcPr>
          <w:p w14:paraId="043C09F2" w14:textId="187C109F" w:rsidR="009E5ED2" w:rsidRPr="00B57B36" w:rsidRDefault="009E5ED2" w:rsidP="009F0302">
            <w:pPr>
              <w:pStyle w:val="CETBodytext"/>
              <w:jc w:val="left"/>
              <w:rPr>
                <w:lang w:val="en-GB"/>
              </w:rPr>
            </w:pPr>
            <w:r w:rsidRPr="00472C63">
              <w:rPr>
                <w:lang w:val="en-GB"/>
              </w:rPr>
              <w:t>209</w:t>
            </w:r>
            <w:r w:rsidR="00424D1D">
              <w:rPr>
                <w:lang w:val="en-GB"/>
              </w:rPr>
              <w:t>.</w:t>
            </w:r>
            <w:r w:rsidRPr="00472C63">
              <w:rPr>
                <w:lang w:val="en-GB"/>
              </w:rPr>
              <w:t>30</w:t>
            </w:r>
          </w:p>
        </w:tc>
      </w:tr>
      <w:tr w:rsidR="009E5ED2" w:rsidRPr="00B57B36" w14:paraId="017208B4" w14:textId="77777777" w:rsidTr="009F0302">
        <w:tc>
          <w:tcPr>
            <w:tcW w:w="1134" w:type="dxa"/>
            <w:shd w:val="clear" w:color="auto" w:fill="FFFFFF"/>
          </w:tcPr>
          <w:p w14:paraId="1C326732" w14:textId="77777777" w:rsidR="009E5ED2" w:rsidRPr="003A5AAC" w:rsidRDefault="009E5ED2" w:rsidP="009F0302">
            <w:pPr>
              <w:pStyle w:val="CETBodytext"/>
              <w:ind w:right="-1"/>
              <w:jc w:val="left"/>
              <w:rPr>
                <w:rFonts w:cs="Arial"/>
                <w:szCs w:val="18"/>
                <w:lang w:val="en-GB"/>
              </w:rPr>
            </w:pPr>
            <w:r w:rsidRPr="003A5AAC">
              <w:rPr>
                <w:rFonts w:cs="Arial"/>
                <w:szCs w:val="18"/>
                <w:lang w:val="en-GB"/>
              </w:rPr>
              <w:t>2</w:t>
            </w:r>
          </w:p>
        </w:tc>
        <w:tc>
          <w:tcPr>
            <w:tcW w:w="1262" w:type="dxa"/>
            <w:shd w:val="clear" w:color="auto" w:fill="FFFFFF"/>
            <w:vAlign w:val="bottom"/>
          </w:tcPr>
          <w:p w14:paraId="54AD9A8A" w14:textId="692DDD8E" w:rsidR="009E5ED2" w:rsidRPr="00472C63" w:rsidRDefault="009E5ED2" w:rsidP="009F0302">
            <w:pPr>
              <w:pStyle w:val="CETBodytext"/>
              <w:jc w:val="left"/>
              <w:rPr>
                <w:lang w:val="en-GB"/>
              </w:rPr>
            </w:pPr>
            <w:r w:rsidRPr="00472C63">
              <w:rPr>
                <w:lang w:val="en-GB"/>
              </w:rPr>
              <w:t>35</w:t>
            </w:r>
            <w:r w:rsidR="00424D1D">
              <w:rPr>
                <w:lang w:val="en-GB"/>
              </w:rPr>
              <w:t>.</w:t>
            </w:r>
            <w:r w:rsidRPr="00472C63">
              <w:rPr>
                <w:lang w:val="en-GB"/>
              </w:rPr>
              <w:t>42</w:t>
            </w:r>
          </w:p>
        </w:tc>
        <w:tc>
          <w:tcPr>
            <w:tcW w:w="1432" w:type="dxa"/>
            <w:shd w:val="clear" w:color="auto" w:fill="FFFFFF"/>
            <w:vAlign w:val="bottom"/>
          </w:tcPr>
          <w:p w14:paraId="230E94E0" w14:textId="24D70E3F" w:rsidR="009E5ED2" w:rsidRPr="00472C63" w:rsidRDefault="009E5ED2" w:rsidP="009F0302">
            <w:pPr>
              <w:pStyle w:val="CETBodytext"/>
              <w:jc w:val="left"/>
              <w:rPr>
                <w:lang w:val="en-GB"/>
              </w:rPr>
            </w:pPr>
            <w:r w:rsidRPr="00472C63">
              <w:rPr>
                <w:lang w:val="en-GB"/>
              </w:rPr>
              <w:t>176</w:t>
            </w:r>
            <w:r w:rsidR="00424D1D">
              <w:rPr>
                <w:lang w:val="en-GB"/>
              </w:rPr>
              <w:t>.</w:t>
            </w:r>
            <w:r w:rsidRPr="00472C63">
              <w:rPr>
                <w:lang w:val="en-GB"/>
              </w:rPr>
              <w:t>05</w:t>
            </w:r>
          </w:p>
        </w:tc>
      </w:tr>
      <w:tr w:rsidR="009E5ED2" w:rsidRPr="00B57B36" w14:paraId="1CB4CC16" w14:textId="77777777" w:rsidTr="009F0302">
        <w:tc>
          <w:tcPr>
            <w:tcW w:w="1134" w:type="dxa"/>
            <w:shd w:val="clear" w:color="auto" w:fill="FFFFFF"/>
          </w:tcPr>
          <w:p w14:paraId="0EC4A521" w14:textId="77777777" w:rsidR="009E5ED2" w:rsidRPr="003A5AAC" w:rsidRDefault="009E5ED2" w:rsidP="009F0302">
            <w:pPr>
              <w:pStyle w:val="CETBodytext"/>
              <w:ind w:right="-1"/>
              <w:jc w:val="left"/>
              <w:rPr>
                <w:rFonts w:cs="Arial"/>
                <w:szCs w:val="18"/>
                <w:lang w:val="en-GB"/>
              </w:rPr>
            </w:pPr>
            <w:r w:rsidRPr="003A5AAC">
              <w:rPr>
                <w:rFonts w:cs="Arial"/>
                <w:szCs w:val="18"/>
                <w:lang w:val="en-GB"/>
              </w:rPr>
              <w:t>3</w:t>
            </w:r>
          </w:p>
        </w:tc>
        <w:tc>
          <w:tcPr>
            <w:tcW w:w="1262" w:type="dxa"/>
            <w:shd w:val="clear" w:color="auto" w:fill="FFFFFF"/>
            <w:vAlign w:val="bottom"/>
          </w:tcPr>
          <w:p w14:paraId="28FF9E42" w14:textId="5D71D3CD" w:rsidR="009E5ED2" w:rsidRPr="00472C63" w:rsidRDefault="009E5ED2" w:rsidP="009F0302">
            <w:pPr>
              <w:pStyle w:val="CETBodytext"/>
              <w:jc w:val="left"/>
              <w:rPr>
                <w:lang w:val="en-GB"/>
              </w:rPr>
            </w:pPr>
            <w:r w:rsidRPr="00472C63">
              <w:rPr>
                <w:lang w:val="en-GB"/>
              </w:rPr>
              <w:t>48</w:t>
            </w:r>
            <w:r w:rsidR="00424D1D">
              <w:rPr>
                <w:lang w:val="en-GB"/>
              </w:rPr>
              <w:t>.</w:t>
            </w:r>
            <w:r w:rsidRPr="00472C63">
              <w:rPr>
                <w:lang w:val="en-GB"/>
              </w:rPr>
              <w:t>11</w:t>
            </w:r>
          </w:p>
        </w:tc>
        <w:tc>
          <w:tcPr>
            <w:tcW w:w="1432" w:type="dxa"/>
            <w:shd w:val="clear" w:color="auto" w:fill="FFFFFF"/>
            <w:vAlign w:val="bottom"/>
          </w:tcPr>
          <w:p w14:paraId="716722F4" w14:textId="6481DBD8" w:rsidR="009E5ED2" w:rsidRPr="00472C63" w:rsidRDefault="009E5ED2" w:rsidP="009F0302">
            <w:pPr>
              <w:pStyle w:val="CETBodytext"/>
              <w:jc w:val="left"/>
              <w:rPr>
                <w:lang w:val="en-GB"/>
              </w:rPr>
            </w:pPr>
            <w:r w:rsidRPr="00472C63">
              <w:rPr>
                <w:lang w:val="en-GB"/>
              </w:rPr>
              <w:t>218</w:t>
            </w:r>
            <w:r w:rsidR="00424D1D">
              <w:rPr>
                <w:lang w:val="en-GB"/>
              </w:rPr>
              <w:t>.</w:t>
            </w:r>
            <w:r w:rsidRPr="00472C63">
              <w:rPr>
                <w:lang w:val="en-GB"/>
              </w:rPr>
              <w:t>48</w:t>
            </w:r>
          </w:p>
        </w:tc>
      </w:tr>
      <w:tr w:rsidR="009E5ED2" w:rsidRPr="00B57B36" w14:paraId="058E1060" w14:textId="77777777" w:rsidTr="009F0302">
        <w:tc>
          <w:tcPr>
            <w:tcW w:w="1134" w:type="dxa"/>
            <w:shd w:val="clear" w:color="auto" w:fill="FFFFFF"/>
          </w:tcPr>
          <w:p w14:paraId="5F063757" w14:textId="77777777" w:rsidR="009E5ED2" w:rsidRPr="003A5AAC" w:rsidRDefault="009E5ED2" w:rsidP="009F0302">
            <w:pPr>
              <w:pStyle w:val="CETBodytext"/>
              <w:ind w:right="-1"/>
              <w:jc w:val="left"/>
              <w:rPr>
                <w:rFonts w:cs="Arial"/>
                <w:szCs w:val="18"/>
                <w:lang w:val="en-GB"/>
              </w:rPr>
            </w:pPr>
            <w:r w:rsidRPr="003A5AAC">
              <w:rPr>
                <w:rFonts w:cs="Arial"/>
                <w:szCs w:val="18"/>
                <w:lang w:val="en-GB"/>
              </w:rPr>
              <w:t>4</w:t>
            </w:r>
          </w:p>
        </w:tc>
        <w:tc>
          <w:tcPr>
            <w:tcW w:w="1262" w:type="dxa"/>
            <w:shd w:val="clear" w:color="auto" w:fill="FFFFFF"/>
            <w:vAlign w:val="bottom"/>
          </w:tcPr>
          <w:p w14:paraId="0C85EC29" w14:textId="46A47963" w:rsidR="009E5ED2" w:rsidRPr="00472C63" w:rsidRDefault="009E5ED2" w:rsidP="009F0302">
            <w:pPr>
              <w:pStyle w:val="CETBodytext"/>
              <w:jc w:val="left"/>
              <w:rPr>
                <w:lang w:val="en-GB"/>
              </w:rPr>
            </w:pPr>
            <w:r>
              <w:rPr>
                <w:lang w:val="en-GB"/>
              </w:rPr>
              <w:t>12</w:t>
            </w:r>
            <w:r w:rsidR="00424D1D">
              <w:rPr>
                <w:lang w:val="en-GB"/>
              </w:rPr>
              <w:t>.</w:t>
            </w:r>
            <w:r>
              <w:rPr>
                <w:lang w:val="en-GB"/>
              </w:rPr>
              <w:t>56</w:t>
            </w:r>
          </w:p>
        </w:tc>
        <w:tc>
          <w:tcPr>
            <w:tcW w:w="1432" w:type="dxa"/>
            <w:shd w:val="clear" w:color="auto" w:fill="FFFFFF"/>
            <w:vAlign w:val="bottom"/>
          </w:tcPr>
          <w:p w14:paraId="08C1956C" w14:textId="630EBE9B" w:rsidR="009E5ED2" w:rsidRPr="00472C63" w:rsidRDefault="009E5ED2" w:rsidP="009F0302">
            <w:pPr>
              <w:pStyle w:val="CETBodytext"/>
              <w:jc w:val="left"/>
              <w:rPr>
                <w:lang w:val="en-GB"/>
              </w:rPr>
            </w:pPr>
            <w:r w:rsidRPr="00472C63">
              <w:rPr>
                <w:lang w:val="en-GB"/>
              </w:rPr>
              <w:t>60</w:t>
            </w:r>
            <w:r w:rsidR="00424D1D">
              <w:rPr>
                <w:lang w:val="en-GB"/>
              </w:rPr>
              <w:t>.</w:t>
            </w:r>
            <w:r w:rsidRPr="00472C63">
              <w:rPr>
                <w:lang w:val="en-GB"/>
              </w:rPr>
              <w:t>23</w:t>
            </w:r>
          </w:p>
        </w:tc>
      </w:tr>
      <w:tr w:rsidR="009E5ED2" w:rsidRPr="00B57B36" w14:paraId="0EB1BDA6" w14:textId="77777777" w:rsidTr="009F0302">
        <w:tc>
          <w:tcPr>
            <w:tcW w:w="1134" w:type="dxa"/>
            <w:shd w:val="clear" w:color="auto" w:fill="FFFFFF"/>
          </w:tcPr>
          <w:p w14:paraId="3616F8EF" w14:textId="77777777" w:rsidR="009E5ED2" w:rsidRPr="003A5AAC" w:rsidRDefault="009E5ED2" w:rsidP="009F0302">
            <w:pPr>
              <w:pStyle w:val="CETBodytext"/>
              <w:ind w:right="-1"/>
              <w:jc w:val="left"/>
              <w:rPr>
                <w:rFonts w:cs="Arial"/>
                <w:szCs w:val="18"/>
                <w:lang w:val="en-GB"/>
              </w:rPr>
            </w:pPr>
            <w:r w:rsidRPr="003A5AAC">
              <w:rPr>
                <w:rFonts w:cs="Arial"/>
                <w:szCs w:val="18"/>
                <w:lang w:val="en-GB"/>
              </w:rPr>
              <w:t>5</w:t>
            </w:r>
          </w:p>
        </w:tc>
        <w:tc>
          <w:tcPr>
            <w:tcW w:w="1262" w:type="dxa"/>
            <w:shd w:val="clear" w:color="auto" w:fill="FFFFFF"/>
            <w:vAlign w:val="bottom"/>
          </w:tcPr>
          <w:p w14:paraId="2A58BC4C" w14:textId="3DF6AA20" w:rsidR="009E5ED2" w:rsidRPr="00472C63" w:rsidRDefault="009E5ED2" w:rsidP="009F0302">
            <w:pPr>
              <w:pStyle w:val="CETBodytext"/>
              <w:jc w:val="left"/>
              <w:rPr>
                <w:lang w:val="en-GB"/>
              </w:rPr>
            </w:pPr>
            <w:r w:rsidRPr="00472C63">
              <w:rPr>
                <w:lang w:val="en-GB"/>
              </w:rPr>
              <w:t>4</w:t>
            </w:r>
            <w:r>
              <w:rPr>
                <w:lang w:val="en-GB"/>
              </w:rPr>
              <w:t>9</w:t>
            </w:r>
            <w:r w:rsidR="00424D1D">
              <w:rPr>
                <w:lang w:val="en-GB"/>
              </w:rPr>
              <w:t>.</w:t>
            </w:r>
            <w:r w:rsidRPr="00472C63">
              <w:rPr>
                <w:lang w:val="en-GB"/>
              </w:rPr>
              <w:t>77</w:t>
            </w:r>
          </w:p>
        </w:tc>
        <w:tc>
          <w:tcPr>
            <w:tcW w:w="1432" w:type="dxa"/>
            <w:shd w:val="clear" w:color="auto" w:fill="FFFFFF"/>
            <w:vAlign w:val="bottom"/>
          </w:tcPr>
          <w:p w14:paraId="293C706D" w14:textId="3DEAAADF" w:rsidR="009E5ED2" w:rsidRPr="00472C63" w:rsidRDefault="009E5ED2" w:rsidP="009F0302">
            <w:pPr>
              <w:pStyle w:val="CETBodytext"/>
              <w:jc w:val="left"/>
              <w:rPr>
                <w:lang w:val="en-GB"/>
              </w:rPr>
            </w:pPr>
            <w:r w:rsidRPr="00472C63">
              <w:rPr>
                <w:lang w:val="en-GB"/>
              </w:rPr>
              <w:t>209</w:t>
            </w:r>
            <w:r w:rsidR="00424D1D">
              <w:rPr>
                <w:lang w:val="en-GB"/>
              </w:rPr>
              <w:t>.</w:t>
            </w:r>
            <w:r>
              <w:rPr>
                <w:lang w:val="en-GB"/>
              </w:rPr>
              <w:t>58</w:t>
            </w:r>
          </w:p>
        </w:tc>
      </w:tr>
      <w:tr w:rsidR="009E5ED2" w:rsidRPr="00B57B36" w14:paraId="29165DB8" w14:textId="77777777" w:rsidTr="009F0302">
        <w:tc>
          <w:tcPr>
            <w:tcW w:w="1134" w:type="dxa"/>
            <w:shd w:val="clear" w:color="auto" w:fill="FFFFFF"/>
          </w:tcPr>
          <w:p w14:paraId="53C537AF" w14:textId="77777777" w:rsidR="009E5ED2" w:rsidRPr="003A5AAC" w:rsidRDefault="009E5ED2" w:rsidP="009F0302">
            <w:pPr>
              <w:pStyle w:val="CETBodytext"/>
              <w:ind w:right="-1"/>
              <w:jc w:val="left"/>
              <w:rPr>
                <w:rFonts w:cs="Arial"/>
                <w:szCs w:val="18"/>
                <w:lang w:val="en-GB"/>
              </w:rPr>
            </w:pPr>
            <w:r w:rsidRPr="003A5AAC">
              <w:rPr>
                <w:rFonts w:cs="Arial"/>
                <w:szCs w:val="18"/>
                <w:lang w:val="en-GB"/>
              </w:rPr>
              <w:t>6</w:t>
            </w:r>
          </w:p>
        </w:tc>
        <w:tc>
          <w:tcPr>
            <w:tcW w:w="1262" w:type="dxa"/>
            <w:shd w:val="clear" w:color="auto" w:fill="FFFFFF"/>
            <w:vAlign w:val="bottom"/>
          </w:tcPr>
          <w:p w14:paraId="4FF61F1F" w14:textId="27A04CFD" w:rsidR="009E5ED2" w:rsidRPr="00472C63" w:rsidRDefault="009E5ED2" w:rsidP="009F0302">
            <w:pPr>
              <w:pStyle w:val="CETBodytext"/>
              <w:jc w:val="left"/>
              <w:rPr>
                <w:lang w:val="en-GB"/>
              </w:rPr>
            </w:pPr>
            <w:r>
              <w:rPr>
                <w:lang w:val="en-GB"/>
              </w:rPr>
              <w:t>58</w:t>
            </w:r>
            <w:r w:rsidR="00424D1D">
              <w:rPr>
                <w:lang w:val="en-GB"/>
              </w:rPr>
              <w:t>.</w:t>
            </w:r>
            <w:r>
              <w:rPr>
                <w:lang w:val="en-GB"/>
              </w:rPr>
              <w:t>56</w:t>
            </w:r>
          </w:p>
        </w:tc>
        <w:tc>
          <w:tcPr>
            <w:tcW w:w="1432" w:type="dxa"/>
            <w:shd w:val="clear" w:color="auto" w:fill="FFFFFF"/>
            <w:vAlign w:val="bottom"/>
          </w:tcPr>
          <w:p w14:paraId="3014CD57" w14:textId="0CDE1EF9" w:rsidR="009E5ED2" w:rsidRPr="00472C63" w:rsidRDefault="009E5ED2" w:rsidP="009F0302">
            <w:pPr>
              <w:pStyle w:val="CETBodytext"/>
              <w:jc w:val="left"/>
              <w:rPr>
                <w:lang w:val="en-GB"/>
              </w:rPr>
            </w:pPr>
            <w:r>
              <w:rPr>
                <w:lang w:val="en-GB"/>
              </w:rPr>
              <w:t>234</w:t>
            </w:r>
            <w:r w:rsidR="00424D1D">
              <w:rPr>
                <w:lang w:val="en-GB"/>
              </w:rPr>
              <w:t>.</w:t>
            </w:r>
            <w:r>
              <w:rPr>
                <w:lang w:val="en-GB"/>
              </w:rPr>
              <w:t>56</w:t>
            </w:r>
          </w:p>
        </w:tc>
      </w:tr>
      <w:tr w:rsidR="009E5ED2" w:rsidRPr="00B57B36" w14:paraId="12B5F30B" w14:textId="77777777" w:rsidTr="009F0302">
        <w:tc>
          <w:tcPr>
            <w:tcW w:w="1134" w:type="dxa"/>
            <w:shd w:val="clear" w:color="auto" w:fill="FFFFFF"/>
          </w:tcPr>
          <w:p w14:paraId="5A1630E3" w14:textId="77777777" w:rsidR="009E5ED2" w:rsidRPr="003A5AAC" w:rsidRDefault="009E5ED2" w:rsidP="009F0302">
            <w:pPr>
              <w:pStyle w:val="CETBodytext"/>
              <w:ind w:right="-1"/>
              <w:jc w:val="left"/>
              <w:rPr>
                <w:rFonts w:cs="Arial"/>
                <w:szCs w:val="18"/>
                <w:lang w:val="en-GB"/>
              </w:rPr>
            </w:pPr>
            <w:r w:rsidRPr="003A5AAC">
              <w:rPr>
                <w:rFonts w:cs="Arial"/>
                <w:szCs w:val="18"/>
                <w:lang w:val="en-GB"/>
              </w:rPr>
              <w:t>7</w:t>
            </w:r>
          </w:p>
        </w:tc>
        <w:tc>
          <w:tcPr>
            <w:tcW w:w="1262" w:type="dxa"/>
            <w:shd w:val="clear" w:color="auto" w:fill="FFFFFF"/>
            <w:vAlign w:val="bottom"/>
          </w:tcPr>
          <w:p w14:paraId="205E5486" w14:textId="2DFA20A2" w:rsidR="009E5ED2" w:rsidRPr="00472C63" w:rsidRDefault="009E5ED2" w:rsidP="009F0302">
            <w:pPr>
              <w:pStyle w:val="CETBodytext"/>
              <w:jc w:val="left"/>
              <w:rPr>
                <w:lang w:val="en-GB"/>
              </w:rPr>
            </w:pPr>
            <w:r>
              <w:rPr>
                <w:lang w:val="en-GB"/>
              </w:rPr>
              <w:t>39</w:t>
            </w:r>
            <w:r w:rsidR="00424D1D">
              <w:rPr>
                <w:lang w:val="en-GB"/>
              </w:rPr>
              <w:t>.</w:t>
            </w:r>
            <w:r>
              <w:rPr>
                <w:lang w:val="en-GB"/>
              </w:rPr>
              <w:t>21</w:t>
            </w:r>
          </w:p>
        </w:tc>
        <w:tc>
          <w:tcPr>
            <w:tcW w:w="1432" w:type="dxa"/>
            <w:shd w:val="clear" w:color="auto" w:fill="FFFFFF"/>
            <w:vAlign w:val="bottom"/>
          </w:tcPr>
          <w:p w14:paraId="5DDD6D46" w14:textId="61FA4041" w:rsidR="009E5ED2" w:rsidRPr="00472C63" w:rsidRDefault="009E5ED2" w:rsidP="009F0302">
            <w:pPr>
              <w:pStyle w:val="CETBodytext"/>
              <w:jc w:val="left"/>
              <w:rPr>
                <w:lang w:val="en-GB"/>
              </w:rPr>
            </w:pPr>
            <w:r>
              <w:rPr>
                <w:lang w:val="en-GB"/>
              </w:rPr>
              <w:t>196</w:t>
            </w:r>
            <w:r w:rsidR="00424D1D">
              <w:rPr>
                <w:lang w:val="en-GB"/>
              </w:rPr>
              <w:t>.</w:t>
            </w:r>
            <w:r>
              <w:rPr>
                <w:lang w:val="en-GB"/>
              </w:rPr>
              <w:t>16</w:t>
            </w:r>
          </w:p>
        </w:tc>
      </w:tr>
    </w:tbl>
    <w:p w14:paraId="65B97201" w14:textId="77777777" w:rsidR="009E5ED2" w:rsidRDefault="009E5ED2" w:rsidP="0030491C">
      <w:pPr>
        <w:tabs>
          <w:tab w:val="clear" w:pos="7100"/>
        </w:tabs>
        <w:autoSpaceDE w:val="0"/>
        <w:autoSpaceDN w:val="0"/>
        <w:adjustRightInd w:val="0"/>
      </w:pPr>
    </w:p>
    <w:p w14:paraId="0C8D876E" w14:textId="6939B3F3" w:rsidR="00FC1023" w:rsidRDefault="00FC1023" w:rsidP="0030491C">
      <w:pPr>
        <w:tabs>
          <w:tab w:val="clear" w:pos="7100"/>
        </w:tabs>
        <w:autoSpaceDE w:val="0"/>
        <w:autoSpaceDN w:val="0"/>
        <w:adjustRightInd w:val="0"/>
      </w:pPr>
      <w:r w:rsidRPr="00FC1023">
        <w:t>Regarding the effect of temperature, the temperature was increased up to 60ºC under isobaric conditions to test its effect. A lower antioxidant activity and impregnation of compounds were clearly obtained.</w:t>
      </w:r>
      <w:r>
        <w:t xml:space="preserve"> Increasing</w:t>
      </w:r>
      <w:r w:rsidRPr="00FC1023">
        <w:t xml:space="preserve"> the temperature under isobaric conditions may potentially hinder the impregnation of the active compound into the polymer matrix. This is because as the temperature increases, the solvent power of CO</w:t>
      </w:r>
      <w:r w:rsidRPr="00FC1023">
        <w:rPr>
          <w:vertAlign w:val="subscript"/>
        </w:rPr>
        <w:t>2</w:t>
      </w:r>
      <w:r w:rsidRPr="00FC1023">
        <w:t xml:space="preserve"> decreases, resulting in a decrease in the amount of active compound dissolved in the supercritical CO</w:t>
      </w:r>
      <w:r w:rsidRPr="00FC1023">
        <w:rPr>
          <w:vertAlign w:val="subscript"/>
        </w:rPr>
        <w:t>2</w:t>
      </w:r>
      <w:r w:rsidRPr="00FC1023">
        <w:t xml:space="preserve"> phase.</w:t>
      </w:r>
      <w:r>
        <w:t xml:space="preserve"> S</w:t>
      </w:r>
      <w:r w:rsidRPr="00FC1023">
        <w:t xml:space="preserve">tudies have reported a decrease in active compound incorporation in various polymeric materials when the temperature or pressure was increased beyond certain limits. For </w:t>
      </w:r>
      <w:r>
        <w:t>example</w:t>
      </w:r>
      <w:r w:rsidRPr="00FC1023">
        <w:t>,</w:t>
      </w:r>
      <w:r>
        <w:t xml:space="preserve"> </w:t>
      </w:r>
      <w:r w:rsidRPr="00FC1023">
        <w:t>an increase in temperature from 40 to 60 °C at 15 MPa caused decreased incorporation of flax oil in β-glucan aerogels</w:t>
      </w:r>
      <w:r>
        <w:t xml:space="preserve"> </w:t>
      </w:r>
      <w:r>
        <w:fldChar w:fldCharType="begin" w:fldLock="1"/>
      </w:r>
      <w:r w:rsidR="006C584C">
        <w:instrText>ADDIN CSL_CITATION {"citationItems":[{"id":"ITEM-1","itemData":{"DOI":"10.1016/j.jfoodeng.2012.03.005","ISSN":"02608774","abstract":"Flax oil has important implications in human health, however, it must be protected in food systems to maintain bioactivity and avoid rancidity. Impregnation of active compounds in polymer networks using supercritical CO 2 (SCCO 2) has shown potential for their protection and delivery. Aerogels were formed with barley β-glucan using SCCO 2 drying. Impregnation of flax oil in barley β-glucan aerogels using SCCO 2 was evaluated when oil was added at different stages of the drying process (before, during and after drying) and under static and dynamic processes at different processing times (2, 6 and 8 h), temperatures (40 and 60°C) and pressures (15 and 30 MPa). Impregnated aerogels were analyzed using Fourier-transform infrared spectrometry and scanning electron microscopy. Addition of oil during the drying process and the use of a dynamic flow regime resulted in the highest loading of aerogels. Oil loading increased with processing time, from 47.79% (lipid as % of total impregnated aerogel mass) after 4 h to 60.96% after 8 h, and with increasing pressure. Aerogel impregnation using SCCO 2 has potential as a delivery vehicle for high-value food grade compounds, including flax oil. © 2012 Elsevier Ltd. All rights reserved.","author":[{"dropping-particle":"","family":"Comin","given":"Lauren M.","non-dropping-particle":"","parse-names":false,"suffix":""},{"dropping-particle":"","family":"Temelli","given":"Feral","non-dropping-particle":"","parse-names":false,"suffix":""},{"dropping-particle":"","family":"Saldaña","given":"Marleny D.A.","non-dropping-particle":"","parse-names":false,"suffix":""}],"container-title":"Journal of Food Engineering","id":"ITEM-1","issue":"4","issued":{"date-parts":[["2012"]]},"page":"625-631","publisher":"Elsevier Ltd","title":"Barley β-glucan aerogels as a carrier for flax oil via supercritical CO 2","type":"article-journal","volume":"111"},"uris":["http://www.mendeley.com/documents/?uuid=1303ab3d-5fef-4e16-96d0-f4c898a744e2"]}],"mendeley":{"formattedCitation":"(Comin et al., 2012)","plainTextFormattedCitation":"(Comin et al., 2012)","previouslyFormattedCitation":"(Comin et al., 2012)"},"properties":{"noteIndex":0},"schema":"https://github.com/citation-style-language/schema/raw/master/csl-citation.json"}</w:instrText>
      </w:r>
      <w:r>
        <w:fldChar w:fldCharType="separate"/>
      </w:r>
      <w:r w:rsidRPr="00FC1023">
        <w:rPr>
          <w:noProof/>
        </w:rPr>
        <w:t>(Comin et al., 2012)</w:t>
      </w:r>
      <w:r>
        <w:fldChar w:fldCharType="end"/>
      </w:r>
      <w:r w:rsidRPr="00FC1023">
        <w:t>.</w:t>
      </w:r>
    </w:p>
    <w:p w14:paraId="171F5B3C" w14:textId="393EEAA1" w:rsidR="00D21E50" w:rsidRPr="006C584C" w:rsidRDefault="00FC1023" w:rsidP="0030491C">
      <w:pPr>
        <w:tabs>
          <w:tab w:val="clear" w:pos="7100"/>
        </w:tabs>
        <w:autoSpaceDE w:val="0"/>
        <w:autoSpaceDN w:val="0"/>
        <w:adjustRightInd w:val="0"/>
      </w:pPr>
      <w:r>
        <w:t xml:space="preserve">Foaming/impregnation experiments were also carried out at different times while keeping pressure and temperature constant. </w:t>
      </w:r>
      <w:r w:rsidR="003D697A">
        <w:t>Both the impregnation of phenolic compounds and the % inhibition in the oxidation of DPPH in the samples increase with contact time, reaching maximum performance at 6 hours (Run 6). The incorporation of active compounds into polymers using scCO</w:t>
      </w:r>
      <w:r w:rsidR="003D697A" w:rsidRPr="003D697A">
        <w:rPr>
          <w:vertAlign w:val="subscript"/>
        </w:rPr>
        <w:t>2</w:t>
      </w:r>
      <w:r w:rsidR="003D697A">
        <w:t xml:space="preserve">-assisted impregnation involves both thermodynamic and kinetic processes. The attainment of equilibrium is dependent on thermodynamic factors such as the concentration gradient of active compounds and the physical-chemical properties of the polymer and fluid phase, including their chemical affinity. On the other hand, the time needed to reach equilibrium is controlled by the kinetics of the impregnation process. </w:t>
      </w:r>
      <w:r w:rsidR="006C584C" w:rsidRPr="006C584C">
        <w:t>It may also be due to degradation of the bioactive compounds over time as indicated in several papers in the literature</w:t>
      </w:r>
      <w:r w:rsidR="006C584C">
        <w:t xml:space="preserve"> </w:t>
      </w:r>
      <w:r w:rsidR="006C584C">
        <w:fldChar w:fldCharType="begin" w:fldLock="1"/>
      </w:r>
      <w:r w:rsidR="00192C2C">
        <w:instrText>ADDIN CSL_CITATION {"citationItems":[{"id":"ITEM-1","itemData":{"DOI":"10.1016/j.ifset.2013.07.009","ISSN":"14668564","abstract":"Oregano (Origanum vulgare) essential oil (EO), besides its flavoring characteristics, is well known for its antioxidant, antimicrobial and anti-inflammatory properties, which make it a good alternative as food preservative from natural origin. Furthermore, it has been reported that oregano EO can be used as a health promoting substance in the prevention of neurodegenerative disorders. However, EO can be easily degraded by light, oxygen and temperature and there is still a lack of an adequate protection system to improve its stability along processing. In the present study, oregano essential oil was impregnated in microspheres of different types of starch using SSI (supercritical solvent impregnation) with supercritical carbon dioxide (sc-CO2). This process is characterized by mild operating conditions and inert processing atmosphere, especially adequate for the formulation of EOs. The quality of the final product and process efficiency was evaluated by the antioxidant activity (AA) of the final product, determined according to the ORAC assay. Different processing conditions were studied, such as pressure (8-15 MPa), temperature (40-50°C), impregnation time (3-24 h) and mass ratio of essential oil/starch (0.4-3). The SSI is a batch process and the influence of mode of depressurization was also analyzed. Industrial relevance The present study demonstrates that supercritical impregnation is an attractive process for the impregnation of natural matrices, such as starch granules, with essential oils (EOs), namely oregano essential oil. The mild operating conditions avoid EO degradation and the high diffusivity of supercritical CO2 in the solid matrix (starch) guarantees a deep impregnation of the EO and high antioxidant activity of the product, also during storage. Further, the process is easy to scale up for the production of potential health-promoting ingredients for the food industry. © 2013 Elsevier Ltd. All rights reserved.","author":[{"dropping-particle":"","family":"Almeida","given":"Ana P.","non-dropping-particle":"","parse-names":false,"suffix":""},{"dropping-particle":"","family":"Rodríguez-Rojo","given":"Soraya","non-dropping-particle":"","parse-names":false,"suffix":""},{"dropping-particle":"","family":"Serra","given":"Ana Teresa","non-dropping-particle":"","parse-names":false,"suffix":""},{"dropping-particle":"","family":"Vila-Real","given":"Helder","non-dropping-particle":"","parse-names":false,"suffix":""},{"dropping-particle":"","family":"Simplicio","given":"Ana Luisa","non-dropping-particle":"","parse-names":false,"suffix":""},{"dropping-particle":"","family":"Delgadilho","given":"Ivone","non-dropping-particle":"","parse-names":false,"suffix":""},{"dropping-particle":"","family":"Beirão Da Costa","given":"Sara","non-dropping-particle":"","parse-names":false,"suffix":""},{"dropping-particle":"","family":"Beirão Da Costa","given":"Luisa","non-dropping-particle":"","parse-names":false,"suffix":""},{"dropping-particle":"","family":"Nogueira","given":"Isabel D.","non-dropping-particle":"","parse-names":false,"suffix":""},{"dropping-particle":"","family":"Duarte","given":"Catarina M.M.","non-dropping-particle":"","parse-names":false,"suffix":""}],"container-title":"Innovative Food Science and Emerging Technologies","id":"ITEM-1","issued":{"date-parts":[["2013"]]},"page":"140-145","publisher":"Elsevier Ltd","title":"Microencapsulation of oregano essential oil in starch-based materials using supercritical fluid technology","type":"article-journal","volume":"20"},"uris":["http://www.mendeley.com/documents/?uuid=ce060d65-ab6e-455e-a7af-e6f67c03406a"]},{"id":"ITEM-2","itemData":{"DOI":"10.1016/j.jnoncrysol.2015.11.011","ISSN":"00223093","abstract":"The use of supercritical fluids as solvents allows innovative processing applications that can overcome the limitations of organic solvents. Their suitable properties make them appropriate for applications in the pharmaceutical and food industries and even more as a tool for the entrapment of substances. The aim of the presented work was to entrap two substances: 2-methyl-1, 4-naphthquinone (vitamin K3) and cholecalciferol (vitamin D3) within alginate aerogels by using supercritical carbon-dioxide. Supercritical impregnation of aerogels is receiving increasing attention as a green technique for entrapping poorly water soluble substances. The entrapment of vitamin D3 is a huge challenge due to its very high sensitivity. Impregnation experiments were carried out at 150 and 200 bar and 40 °C. As the process was shown to be feasible for both vitamins, the adsorption isotherms were measured and fitted with the Langmuir model. The effects of pressure, vitamins' concentrations and the time of impregnation on the loaded aerogels were studied. The time of impregnation was shown to be the critical and more important parameter where the highest loadings were achieved after only 1 h of impregnation. The loaded aerogels were characterised using Fourier transform infrared spectroscopy, X-ray diffraction and scanning electron microscopy. Furthermore, in-vitro dissolution testing for vitamin D3 was performed and the controlled release of the vitamin over a time span of 6 h was achieved.","author":[{"dropping-particle":"","family":"Pantić","given":"Milica","non-dropping-particle":"","parse-names":false,"suffix":""},{"dropping-particle":"","family":"Knez","given":"Željko","non-dropping-particle":"","parse-names":false,"suffix":""},{"dropping-particle":"","family":"Novak","given":"Zoran","non-dropping-particle":"","parse-names":false,"suffix":""}],"container-title":"Journal of Non-Crystalline Solids","id":"ITEM-2","issued":{"date-parts":[["2016"]]},"page":"519-526","title":"Supercritical impregnation as a feasible technique for entrapment of fat-soluble vitamins into alginate aerogels","type":"article-journal","volume":"432"},"uris":["http://www.mendeley.com/documents/?uuid=5c62afef-bffb-4528-9814-e9a0261ae3f0"]}],"mendeley":{"formattedCitation":"(Almeida et al., 2013; Pantić et al., 2016)","plainTextFormattedCitation":"(Almeida et al., 2013; Pantić et al., 2016)","previouslyFormattedCitation":"(Almeida et al., 2013; Pantić et al., 2016)"},"properties":{"noteIndex":0},"schema":"https://github.com/citation-style-language/schema/raw/master/csl-citation.json"}</w:instrText>
      </w:r>
      <w:r w:rsidR="006C584C">
        <w:fldChar w:fldCharType="separate"/>
      </w:r>
      <w:r w:rsidR="006C584C" w:rsidRPr="006C584C">
        <w:rPr>
          <w:noProof/>
        </w:rPr>
        <w:t>(Almeida et al., 2013; Pantić et al., 2016)</w:t>
      </w:r>
      <w:r w:rsidR="006C584C">
        <w:fldChar w:fldCharType="end"/>
      </w:r>
      <w:r w:rsidR="006C584C" w:rsidRPr="006C584C">
        <w:t>.</w:t>
      </w:r>
    </w:p>
    <w:p w14:paraId="14D7E9AC" w14:textId="77777777" w:rsidR="0030491C" w:rsidRPr="00556660" w:rsidRDefault="0030491C" w:rsidP="0030491C">
      <w:pPr>
        <w:pStyle w:val="CETHeading1"/>
        <w:rPr>
          <w:lang w:val="en-GB"/>
        </w:rPr>
      </w:pPr>
      <w:r w:rsidRPr="00B57B36">
        <w:rPr>
          <w:lang w:val="en-GB"/>
        </w:rPr>
        <w:t>Conclusions</w:t>
      </w:r>
    </w:p>
    <w:p w14:paraId="04A25EC6" w14:textId="66CC742F" w:rsidR="00886AC7" w:rsidRPr="006B6568" w:rsidRDefault="0030491C" w:rsidP="0030491C">
      <w:pPr>
        <w:pStyle w:val="CETBodytext"/>
        <w:rPr>
          <w:lang w:val="en-GB"/>
        </w:rPr>
      </w:pPr>
      <w:r w:rsidRPr="004709B3">
        <w:rPr>
          <w:lang w:val="en-GB"/>
        </w:rPr>
        <w:t xml:space="preserve">In this preliminary work the formation of </w:t>
      </w:r>
      <w:r w:rsidR="004709B3" w:rsidRPr="004709B3">
        <w:rPr>
          <w:lang w:val="en-GB"/>
        </w:rPr>
        <w:t>PLGA/</w:t>
      </w:r>
      <w:proofErr w:type="gramStart"/>
      <w:r w:rsidR="004709B3" w:rsidRPr="004709B3">
        <w:rPr>
          <w:lang w:val="en-GB"/>
        </w:rPr>
        <w:t>PEDOT:PSS</w:t>
      </w:r>
      <w:proofErr w:type="gramEnd"/>
      <w:r w:rsidRPr="004709B3">
        <w:rPr>
          <w:lang w:val="en-GB"/>
        </w:rPr>
        <w:t xml:space="preserve"> using the </w:t>
      </w:r>
      <w:r w:rsidR="004709B3" w:rsidRPr="004709B3">
        <w:rPr>
          <w:lang w:val="en-GB"/>
        </w:rPr>
        <w:t>supercritical foaming</w:t>
      </w:r>
      <w:r w:rsidRPr="004709B3">
        <w:rPr>
          <w:lang w:val="en-GB"/>
        </w:rPr>
        <w:t xml:space="preserve"> technique and </w:t>
      </w:r>
      <w:r w:rsidR="004709B3">
        <w:rPr>
          <w:lang w:val="en-GB"/>
        </w:rPr>
        <w:t>its impregnation with a high antioxidant extract of mango leaves was achieved.</w:t>
      </w:r>
      <w:r w:rsidRPr="004709B3">
        <w:rPr>
          <w:lang w:val="en-GB"/>
        </w:rPr>
        <w:t xml:space="preserve"> </w:t>
      </w:r>
      <w:r w:rsidR="004709B3">
        <w:rPr>
          <w:lang w:val="en-GB"/>
        </w:rPr>
        <w:t xml:space="preserve">The influence of pressure, polymeric ratio, temperature and contact time </w:t>
      </w:r>
      <w:r w:rsidRPr="004709B3">
        <w:rPr>
          <w:lang w:val="en-GB"/>
        </w:rPr>
        <w:t xml:space="preserve">on the </w:t>
      </w:r>
      <w:r w:rsidR="004709B3">
        <w:rPr>
          <w:lang w:val="en-GB"/>
        </w:rPr>
        <w:t>final activity of samples</w:t>
      </w:r>
      <w:r w:rsidRPr="004709B3">
        <w:rPr>
          <w:lang w:val="en-GB"/>
        </w:rPr>
        <w:t xml:space="preserve"> was </w:t>
      </w:r>
      <w:r w:rsidR="004709B3">
        <w:rPr>
          <w:lang w:val="en-GB"/>
        </w:rPr>
        <w:t>studied</w:t>
      </w:r>
      <w:r w:rsidRPr="004709B3">
        <w:rPr>
          <w:lang w:val="en-GB"/>
        </w:rPr>
        <w:t xml:space="preserve">, always under supercritical conditions. </w:t>
      </w:r>
      <w:r w:rsidR="003307C6" w:rsidRPr="003307C6">
        <w:rPr>
          <w:lang w:val="en-GB"/>
        </w:rPr>
        <w:t xml:space="preserve">Scaffolds with a porous structure were obtained by modifying their initial morphology, reaching pores ranging from 10 to 100 </w:t>
      </w:r>
      <w:r w:rsidR="003307C6" w:rsidRPr="003307C6">
        <w:rPr>
          <w:rFonts w:cs="Arial"/>
          <w:lang w:val="en-GB"/>
        </w:rPr>
        <w:t>µ</w:t>
      </w:r>
      <w:r w:rsidR="003307C6" w:rsidRPr="003307C6">
        <w:rPr>
          <w:lang w:val="en-GB"/>
        </w:rPr>
        <w:t>m</w:t>
      </w:r>
      <w:r w:rsidRPr="003307C6">
        <w:rPr>
          <w:lang w:val="en-GB"/>
        </w:rPr>
        <w:t>.</w:t>
      </w:r>
      <w:r w:rsidR="003307C6" w:rsidRPr="003307C6">
        <w:rPr>
          <w:lang w:val="en-GB"/>
        </w:rPr>
        <w:t xml:space="preserve"> Successful impregnation of bioactive compounds into the scaffolds with proven antioxidant activity was obtained. The positive effect of pressure and time was observed, while increases in temperature led to lower compound loadings</w:t>
      </w:r>
      <w:r w:rsidR="003307C6" w:rsidRPr="009E13B0">
        <w:rPr>
          <w:lang w:val="en-GB"/>
        </w:rPr>
        <w:t>.</w:t>
      </w:r>
      <w:r w:rsidRPr="009E13B0">
        <w:rPr>
          <w:lang w:val="en-GB"/>
        </w:rPr>
        <w:t xml:space="preserve"> </w:t>
      </w:r>
      <w:r w:rsidR="009E13B0" w:rsidRPr="009E13B0">
        <w:rPr>
          <w:lang w:val="en-GB"/>
        </w:rPr>
        <w:t xml:space="preserve">Therefore, </w:t>
      </w:r>
      <w:r w:rsidR="009E13B0">
        <w:rPr>
          <w:lang w:val="en-GB"/>
        </w:rPr>
        <w:t>s</w:t>
      </w:r>
      <w:r w:rsidR="009E13B0" w:rsidRPr="009E13B0">
        <w:rPr>
          <w:lang w:val="en-GB"/>
        </w:rPr>
        <w:t>upercritical CO</w:t>
      </w:r>
      <w:r w:rsidR="009E13B0" w:rsidRPr="009E13B0">
        <w:rPr>
          <w:vertAlign w:val="subscript"/>
          <w:lang w:val="en-GB"/>
        </w:rPr>
        <w:t>2</w:t>
      </w:r>
      <w:r w:rsidR="009E13B0" w:rsidRPr="009E13B0">
        <w:rPr>
          <w:lang w:val="en-GB"/>
        </w:rPr>
        <w:t xml:space="preserve"> foaming and the properties of the obtained scaffolds have high potential for use in tissue engineering.</w:t>
      </w:r>
    </w:p>
    <w:p w14:paraId="7117CA51" w14:textId="77777777" w:rsidR="0030491C" w:rsidRPr="00B57B36" w:rsidRDefault="0030491C" w:rsidP="0030491C">
      <w:pPr>
        <w:pStyle w:val="CETAcknowledgementstitle"/>
      </w:pPr>
      <w:r w:rsidRPr="00B57B36">
        <w:t>Acknowledgments</w:t>
      </w:r>
    </w:p>
    <w:p w14:paraId="35FBFB11" w14:textId="03947AB7" w:rsidR="00724343" w:rsidRDefault="00DF217E" w:rsidP="00934E6B">
      <w:pPr>
        <w:pStyle w:val="CETReference"/>
        <w:rPr>
          <w:b w:val="0"/>
        </w:rPr>
      </w:pPr>
      <w:r w:rsidRPr="00DF217E">
        <w:rPr>
          <w:b w:val="0"/>
        </w:rPr>
        <w:t>We gratefully acknowledge the Spanish Ministry of Economy, Industry and Competitiveness (Project PID2020-116229RB-I00) for financial support and Central services of Science and Technology of University of Cadiz for mea</w:t>
      </w:r>
      <w:r w:rsidR="00934E6B">
        <w:rPr>
          <w:b w:val="0"/>
        </w:rPr>
        <w:t>surement and developed analyses.</w:t>
      </w:r>
    </w:p>
    <w:p w14:paraId="6B348547" w14:textId="77777777" w:rsidR="001976FA" w:rsidRDefault="001976FA" w:rsidP="00934E6B">
      <w:pPr>
        <w:pStyle w:val="CETReference"/>
        <w:rPr>
          <w:b w:val="0"/>
        </w:rPr>
      </w:pPr>
    </w:p>
    <w:p w14:paraId="214099A2" w14:textId="77777777" w:rsidR="001976FA" w:rsidRDefault="001976FA" w:rsidP="00934E6B">
      <w:pPr>
        <w:pStyle w:val="CETReference"/>
        <w:rPr>
          <w:b w:val="0"/>
        </w:rPr>
      </w:pPr>
    </w:p>
    <w:p w14:paraId="689EF7B2" w14:textId="77777777" w:rsidR="001976FA" w:rsidRPr="00934E6B" w:rsidRDefault="001976FA" w:rsidP="00934E6B">
      <w:pPr>
        <w:pStyle w:val="CETReference"/>
        <w:rPr>
          <w:b w:val="0"/>
        </w:rPr>
      </w:pPr>
    </w:p>
    <w:p w14:paraId="19C4FC68" w14:textId="575BCC83" w:rsidR="004628D2" w:rsidRDefault="0030491C" w:rsidP="0030491C">
      <w:pPr>
        <w:pStyle w:val="CETBodytext"/>
        <w:rPr>
          <w:b/>
        </w:rPr>
      </w:pPr>
      <w:r w:rsidRPr="0030491C">
        <w:rPr>
          <w:b/>
        </w:rPr>
        <w:lastRenderedPageBreak/>
        <w:t>References</w:t>
      </w:r>
    </w:p>
    <w:p w14:paraId="77C1933B" w14:textId="2F7A774A" w:rsidR="0030491C" w:rsidRDefault="0030491C" w:rsidP="0030491C">
      <w:pPr>
        <w:pStyle w:val="CETBodytext"/>
        <w:rPr>
          <w:lang w:val="en-GB"/>
        </w:rPr>
      </w:pPr>
    </w:p>
    <w:p w14:paraId="52762309" w14:textId="1F078E19" w:rsidR="00192C2C" w:rsidRPr="00DB55C7" w:rsidRDefault="00496E12" w:rsidP="00192C2C">
      <w:pPr>
        <w:widowControl w:val="0"/>
        <w:autoSpaceDE w:val="0"/>
        <w:autoSpaceDN w:val="0"/>
        <w:adjustRightInd w:val="0"/>
        <w:spacing w:line="240" w:lineRule="auto"/>
        <w:ind w:left="480" w:hanging="480"/>
        <w:rPr>
          <w:rFonts w:cs="Arial"/>
          <w:noProof/>
          <w:szCs w:val="24"/>
        </w:rPr>
      </w:pPr>
      <w:r w:rsidRPr="00DB55C7">
        <w:fldChar w:fldCharType="begin" w:fldLock="1"/>
      </w:r>
      <w:r w:rsidRPr="00DB55C7">
        <w:instrText xml:space="preserve">ADDIN Mendeley Bibliography CSL_BIBLIOGRAPHY </w:instrText>
      </w:r>
      <w:r w:rsidRPr="00DB55C7">
        <w:fldChar w:fldCharType="separate"/>
      </w:r>
      <w:r w:rsidR="00192C2C" w:rsidRPr="00DB55C7">
        <w:rPr>
          <w:rFonts w:cs="Arial"/>
          <w:noProof/>
          <w:szCs w:val="24"/>
        </w:rPr>
        <w:t>Almeida A. P., Rodríguez-Rojo S., Serra A. T., Vila-Real H., Simplicio A. L., Delgadilho I., Beirão Da Costa S., Beirão Da Costa L., Nogue</w:t>
      </w:r>
      <w:r w:rsidR="003873EB" w:rsidRPr="00DB55C7">
        <w:rPr>
          <w:rFonts w:cs="Arial"/>
          <w:noProof/>
          <w:szCs w:val="24"/>
        </w:rPr>
        <w:t>ira I. D.,  Duarte C. M. M., 2013,</w:t>
      </w:r>
      <w:r w:rsidR="00192C2C" w:rsidRPr="00DB55C7">
        <w:rPr>
          <w:rFonts w:cs="Arial"/>
          <w:noProof/>
          <w:szCs w:val="24"/>
        </w:rPr>
        <w:t xml:space="preserve"> Microencapsulation of oregano essential oil in starch-based materials using supercritical fluid technology</w:t>
      </w:r>
      <w:r w:rsidR="003873EB" w:rsidRPr="00DB55C7">
        <w:rPr>
          <w:rFonts w:cs="Arial"/>
          <w:noProof/>
          <w:szCs w:val="24"/>
        </w:rPr>
        <w:t>,</w:t>
      </w:r>
      <w:r w:rsidR="00192C2C" w:rsidRPr="00DB55C7">
        <w:rPr>
          <w:rFonts w:cs="Arial"/>
          <w:noProof/>
          <w:szCs w:val="24"/>
        </w:rPr>
        <w:t xml:space="preserve"> </w:t>
      </w:r>
      <w:r w:rsidR="00192C2C" w:rsidRPr="00DB55C7">
        <w:rPr>
          <w:rFonts w:cs="Arial"/>
          <w:iCs/>
          <w:noProof/>
          <w:szCs w:val="24"/>
        </w:rPr>
        <w:t>Innovative Food Science and Emerging Technologies</w:t>
      </w:r>
      <w:r w:rsidR="00192C2C" w:rsidRPr="00DB55C7">
        <w:rPr>
          <w:rFonts w:cs="Arial"/>
          <w:noProof/>
          <w:szCs w:val="24"/>
        </w:rPr>
        <w:t xml:space="preserve">, </w:t>
      </w:r>
      <w:r w:rsidR="00192C2C" w:rsidRPr="00DB55C7">
        <w:rPr>
          <w:rFonts w:cs="Arial"/>
          <w:iCs/>
          <w:noProof/>
          <w:szCs w:val="24"/>
        </w:rPr>
        <w:t>20</w:t>
      </w:r>
      <w:r w:rsidR="00192C2C" w:rsidRPr="00DB55C7">
        <w:rPr>
          <w:rFonts w:cs="Arial"/>
          <w:noProof/>
          <w:szCs w:val="24"/>
        </w:rPr>
        <w:t>, 140–</w:t>
      </w:r>
      <w:r w:rsidR="00FB1DFE" w:rsidRPr="00DB55C7">
        <w:rPr>
          <w:rFonts w:cs="Arial"/>
          <w:noProof/>
          <w:szCs w:val="24"/>
        </w:rPr>
        <w:t>145.</w:t>
      </w:r>
    </w:p>
    <w:p w14:paraId="192B0071" w14:textId="545A15EA" w:rsidR="00192C2C" w:rsidRPr="00DB55C7" w:rsidRDefault="00192C2C" w:rsidP="00192C2C">
      <w:pPr>
        <w:widowControl w:val="0"/>
        <w:autoSpaceDE w:val="0"/>
        <w:autoSpaceDN w:val="0"/>
        <w:adjustRightInd w:val="0"/>
        <w:spacing w:line="240" w:lineRule="auto"/>
        <w:ind w:left="480" w:hanging="480"/>
        <w:rPr>
          <w:rFonts w:cs="Arial"/>
          <w:noProof/>
          <w:szCs w:val="24"/>
        </w:rPr>
      </w:pPr>
      <w:r w:rsidRPr="00DB55C7">
        <w:rPr>
          <w:rFonts w:cs="Arial"/>
          <w:noProof/>
          <w:szCs w:val="24"/>
        </w:rPr>
        <w:t xml:space="preserve">Brand-Williams W., </w:t>
      </w:r>
      <w:r w:rsidR="003873EB" w:rsidRPr="00DB55C7">
        <w:rPr>
          <w:rFonts w:cs="Arial"/>
          <w:noProof/>
          <w:szCs w:val="24"/>
        </w:rPr>
        <w:t xml:space="preserve">Cuvelier M. E.,  Berset C., </w:t>
      </w:r>
      <w:r w:rsidRPr="00DB55C7">
        <w:rPr>
          <w:rFonts w:cs="Arial"/>
          <w:noProof/>
          <w:szCs w:val="24"/>
        </w:rPr>
        <w:t>1</w:t>
      </w:r>
      <w:r w:rsidR="003873EB" w:rsidRPr="00DB55C7">
        <w:rPr>
          <w:rFonts w:cs="Arial"/>
          <w:noProof/>
          <w:szCs w:val="24"/>
        </w:rPr>
        <w:t>995,</w:t>
      </w:r>
      <w:r w:rsidRPr="00DB55C7">
        <w:rPr>
          <w:rFonts w:cs="Arial"/>
          <w:noProof/>
          <w:szCs w:val="24"/>
        </w:rPr>
        <w:t xml:space="preserve"> Use of a free radical method to evaluate antioxidant activity</w:t>
      </w:r>
      <w:r w:rsidR="003873EB" w:rsidRPr="00DB55C7">
        <w:rPr>
          <w:rFonts w:cs="Arial"/>
          <w:noProof/>
          <w:szCs w:val="24"/>
        </w:rPr>
        <w:t>,</w:t>
      </w:r>
      <w:r w:rsidRPr="00DB55C7">
        <w:rPr>
          <w:rFonts w:cs="Arial"/>
          <w:noProof/>
          <w:szCs w:val="24"/>
        </w:rPr>
        <w:t xml:space="preserve"> </w:t>
      </w:r>
      <w:r w:rsidRPr="00DB55C7">
        <w:rPr>
          <w:rFonts w:cs="Arial"/>
          <w:iCs/>
          <w:noProof/>
          <w:szCs w:val="24"/>
        </w:rPr>
        <w:t>LWT - Food Science and Technology</w:t>
      </w:r>
      <w:r w:rsidRPr="00DB55C7">
        <w:rPr>
          <w:rFonts w:cs="Arial"/>
          <w:noProof/>
          <w:szCs w:val="24"/>
        </w:rPr>
        <w:t xml:space="preserve">, </w:t>
      </w:r>
      <w:r w:rsidRPr="00DB55C7">
        <w:rPr>
          <w:rFonts w:cs="Arial"/>
          <w:iCs/>
          <w:noProof/>
          <w:szCs w:val="24"/>
        </w:rPr>
        <w:t>28</w:t>
      </w:r>
      <w:r w:rsidRPr="00DB55C7">
        <w:rPr>
          <w:rFonts w:cs="Arial"/>
          <w:noProof/>
          <w:szCs w:val="24"/>
        </w:rPr>
        <w:t>(1), 25–30.</w:t>
      </w:r>
    </w:p>
    <w:p w14:paraId="21BC9F4F" w14:textId="053DE6CD" w:rsidR="00192C2C" w:rsidRPr="00DB55C7" w:rsidRDefault="003873EB" w:rsidP="00192C2C">
      <w:pPr>
        <w:widowControl w:val="0"/>
        <w:autoSpaceDE w:val="0"/>
        <w:autoSpaceDN w:val="0"/>
        <w:adjustRightInd w:val="0"/>
        <w:spacing w:line="240" w:lineRule="auto"/>
        <w:ind w:left="480" w:hanging="480"/>
        <w:rPr>
          <w:rFonts w:cs="Arial"/>
          <w:noProof/>
          <w:szCs w:val="24"/>
        </w:rPr>
      </w:pPr>
      <w:r w:rsidRPr="00DB55C7">
        <w:rPr>
          <w:rFonts w:cs="Arial"/>
          <w:noProof/>
          <w:szCs w:val="24"/>
        </w:rPr>
        <w:t>Chan B. P., Leong K. W., 2008,</w:t>
      </w:r>
      <w:r w:rsidR="00192C2C" w:rsidRPr="00DB55C7">
        <w:rPr>
          <w:rFonts w:cs="Arial"/>
          <w:noProof/>
          <w:szCs w:val="24"/>
        </w:rPr>
        <w:t xml:space="preserve"> Scaffolding in tissue engineering: General approaches and tissue-specific considerations</w:t>
      </w:r>
      <w:r w:rsidRPr="00DB55C7">
        <w:rPr>
          <w:rFonts w:cs="Arial"/>
          <w:noProof/>
          <w:szCs w:val="24"/>
        </w:rPr>
        <w:t>,</w:t>
      </w:r>
      <w:r w:rsidR="00192C2C" w:rsidRPr="00DB55C7">
        <w:rPr>
          <w:rFonts w:cs="Arial"/>
          <w:noProof/>
          <w:szCs w:val="24"/>
        </w:rPr>
        <w:t xml:space="preserve"> </w:t>
      </w:r>
      <w:r w:rsidR="00192C2C" w:rsidRPr="00DB55C7">
        <w:rPr>
          <w:rFonts w:cs="Arial"/>
          <w:iCs/>
          <w:noProof/>
          <w:szCs w:val="24"/>
        </w:rPr>
        <w:t>European Spine Journal</w:t>
      </w:r>
      <w:r w:rsidR="00192C2C" w:rsidRPr="00DB55C7">
        <w:rPr>
          <w:rFonts w:cs="Arial"/>
          <w:noProof/>
          <w:szCs w:val="24"/>
        </w:rPr>
        <w:t xml:space="preserve">, </w:t>
      </w:r>
      <w:r w:rsidR="00192C2C" w:rsidRPr="00DB55C7">
        <w:rPr>
          <w:rFonts w:cs="Arial"/>
          <w:iCs/>
          <w:noProof/>
          <w:szCs w:val="24"/>
        </w:rPr>
        <w:t>17</w:t>
      </w:r>
      <w:r w:rsidRPr="00DB55C7">
        <w:rPr>
          <w:rFonts w:cs="Arial"/>
          <w:noProof/>
          <w:szCs w:val="24"/>
        </w:rPr>
        <w:t>(</w:t>
      </w:r>
      <w:r w:rsidR="00192C2C" w:rsidRPr="00DB55C7">
        <w:rPr>
          <w:rFonts w:cs="Arial"/>
          <w:noProof/>
          <w:szCs w:val="24"/>
        </w:rPr>
        <w:t>4).</w:t>
      </w:r>
    </w:p>
    <w:p w14:paraId="5C384C46" w14:textId="79FEF902" w:rsidR="00192C2C" w:rsidRPr="00DB55C7" w:rsidRDefault="00192C2C" w:rsidP="00192C2C">
      <w:pPr>
        <w:widowControl w:val="0"/>
        <w:autoSpaceDE w:val="0"/>
        <w:autoSpaceDN w:val="0"/>
        <w:adjustRightInd w:val="0"/>
        <w:spacing w:line="240" w:lineRule="auto"/>
        <w:ind w:left="480" w:hanging="480"/>
        <w:rPr>
          <w:rFonts w:cs="Arial"/>
          <w:noProof/>
          <w:szCs w:val="24"/>
        </w:rPr>
      </w:pPr>
      <w:r w:rsidRPr="00DB55C7">
        <w:rPr>
          <w:rFonts w:cs="Arial"/>
          <w:noProof/>
          <w:szCs w:val="24"/>
        </w:rPr>
        <w:t xml:space="preserve">Comin L. M., Temelli F., Saldaña M. </w:t>
      </w:r>
      <w:r w:rsidR="003873EB" w:rsidRPr="00DB55C7">
        <w:rPr>
          <w:rFonts w:cs="Arial"/>
          <w:noProof/>
          <w:szCs w:val="24"/>
        </w:rPr>
        <w:t>D. A., 2012,</w:t>
      </w:r>
      <w:r w:rsidRPr="00DB55C7">
        <w:rPr>
          <w:rFonts w:cs="Arial"/>
          <w:noProof/>
          <w:szCs w:val="24"/>
        </w:rPr>
        <w:t xml:space="preserve"> Barley β-glucan aerogels as a carrier fo</w:t>
      </w:r>
      <w:r w:rsidR="003873EB" w:rsidRPr="00DB55C7">
        <w:rPr>
          <w:rFonts w:cs="Arial"/>
          <w:noProof/>
          <w:szCs w:val="24"/>
        </w:rPr>
        <w:t>r flax oil via supercritical CO</w:t>
      </w:r>
      <w:r w:rsidRPr="00DB55C7">
        <w:rPr>
          <w:rFonts w:cs="Arial"/>
          <w:noProof/>
          <w:szCs w:val="24"/>
          <w:vertAlign w:val="subscript"/>
        </w:rPr>
        <w:t>2</w:t>
      </w:r>
      <w:r w:rsidR="003873EB" w:rsidRPr="00DB55C7">
        <w:rPr>
          <w:rFonts w:cs="Arial"/>
          <w:noProof/>
          <w:szCs w:val="24"/>
        </w:rPr>
        <w:t>,</w:t>
      </w:r>
      <w:r w:rsidRPr="00DB55C7">
        <w:rPr>
          <w:rFonts w:cs="Arial"/>
          <w:noProof/>
          <w:szCs w:val="24"/>
        </w:rPr>
        <w:t xml:space="preserve"> </w:t>
      </w:r>
      <w:r w:rsidRPr="00DB55C7">
        <w:rPr>
          <w:rFonts w:cs="Arial"/>
          <w:iCs/>
          <w:noProof/>
          <w:szCs w:val="24"/>
        </w:rPr>
        <w:t>Journal of Food Engineering</w:t>
      </w:r>
      <w:r w:rsidRPr="00DB55C7">
        <w:rPr>
          <w:rFonts w:cs="Arial"/>
          <w:noProof/>
          <w:szCs w:val="24"/>
        </w:rPr>
        <w:t xml:space="preserve">, </w:t>
      </w:r>
      <w:r w:rsidRPr="00DB55C7">
        <w:rPr>
          <w:rFonts w:cs="Arial"/>
          <w:iCs/>
          <w:noProof/>
          <w:szCs w:val="24"/>
        </w:rPr>
        <w:t>111</w:t>
      </w:r>
      <w:r w:rsidRPr="00DB55C7">
        <w:rPr>
          <w:rFonts w:cs="Arial"/>
          <w:noProof/>
          <w:szCs w:val="24"/>
        </w:rPr>
        <w:t>(4), 625–</w:t>
      </w:r>
      <w:r w:rsidR="00FB1DFE" w:rsidRPr="00DB55C7">
        <w:rPr>
          <w:rFonts w:cs="Arial"/>
          <w:noProof/>
          <w:szCs w:val="24"/>
        </w:rPr>
        <w:t>631.</w:t>
      </w:r>
    </w:p>
    <w:p w14:paraId="76D30A92" w14:textId="2173FEB4" w:rsidR="00192C2C" w:rsidRPr="00DB55C7" w:rsidRDefault="00192C2C" w:rsidP="00192C2C">
      <w:pPr>
        <w:widowControl w:val="0"/>
        <w:autoSpaceDE w:val="0"/>
        <w:autoSpaceDN w:val="0"/>
        <w:adjustRightInd w:val="0"/>
        <w:spacing w:line="240" w:lineRule="auto"/>
        <w:ind w:left="480" w:hanging="480"/>
        <w:rPr>
          <w:rFonts w:cs="Arial"/>
          <w:noProof/>
          <w:szCs w:val="24"/>
        </w:rPr>
      </w:pPr>
      <w:r w:rsidRPr="00DB55C7">
        <w:rPr>
          <w:rFonts w:cs="Arial"/>
          <w:noProof/>
          <w:szCs w:val="24"/>
        </w:rPr>
        <w:t>De Souza A. C., Dias A. M. A., Sousa H. C., Tadini C. C.</w:t>
      </w:r>
      <w:r w:rsidR="003873EB" w:rsidRPr="00DB55C7">
        <w:rPr>
          <w:rFonts w:cs="Arial"/>
          <w:noProof/>
          <w:szCs w:val="24"/>
        </w:rPr>
        <w:t xml:space="preserve">, </w:t>
      </w:r>
      <w:r w:rsidRPr="00DB55C7">
        <w:rPr>
          <w:rFonts w:cs="Arial"/>
          <w:noProof/>
          <w:szCs w:val="24"/>
        </w:rPr>
        <w:t>2014</w:t>
      </w:r>
      <w:r w:rsidR="003873EB" w:rsidRPr="00DB55C7">
        <w:rPr>
          <w:rFonts w:cs="Arial"/>
          <w:noProof/>
          <w:szCs w:val="24"/>
        </w:rPr>
        <w:t>,</w:t>
      </w:r>
      <w:r w:rsidRPr="00DB55C7">
        <w:rPr>
          <w:rFonts w:cs="Arial"/>
          <w:noProof/>
          <w:szCs w:val="24"/>
        </w:rPr>
        <w:t xml:space="preserve"> Impregnation of cinnamaldehyde into cassava starch biocomposite films using supercritical fluid technology for the development of food active packaging</w:t>
      </w:r>
      <w:r w:rsidR="003873EB" w:rsidRPr="00DB55C7">
        <w:rPr>
          <w:rFonts w:cs="Arial"/>
          <w:noProof/>
          <w:szCs w:val="24"/>
        </w:rPr>
        <w:t>,</w:t>
      </w:r>
      <w:r w:rsidRPr="00DB55C7">
        <w:rPr>
          <w:rFonts w:cs="Arial"/>
          <w:noProof/>
          <w:szCs w:val="24"/>
        </w:rPr>
        <w:t xml:space="preserve"> </w:t>
      </w:r>
      <w:r w:rsidRPr="00DB55C7">
        <w:rPr>
          <w:rFonts w:cs="Arial"/>
          <w:iCs/>
          <w:noProof/>
          <w:szCs w:val="24"/>
        </w:rPr>
        <w:t>Carbohydrate Polymers</w:t>
      </w:r>
      <w:r w:rsidR="003873EB" w:rsidRPr="00DB55C7">
        <w:rPr>
          <w:rFonts w:cs="Arial"/>
          <w:noProof/>
          <w:szCs w:val="24"/>
        </w:rPr>
        <w:t>,</w:t>
      </w:r>
      <w:r w:rsidRPr="00DB55C7">
        <w:rPr>
          <w:rFonts w:cs="Arial"/>
          <w:noProof/>
          <w:szCs w:val="24"/>
        </w:rPr>
        <w:t xml:space="preserve"> </w:t>
      </w:r>
      <w:r w:rsidRPr="00DB55C7">
        <w:rPr>
          <w:rFonts w:cs="Arial"/>
          <w:iCs/>
          <w:noProof/>
          <w:szCs w:val="24"/>
        </w:rPr>
        <w:t>102</w:t>
      </w:r>
      <w:r w:rsidRPr="00DB55C7">
        <w:rPr>
          <w:rFonts w:cs="Arial"/>
          <w:noProof/>
          <w:szCs w:val="24"/>
        </w:rPr>
        <w:t>(1), 830–</w:t>
      </w:r>
      <w:r w:rsidR="00FB1DFE" w:rsidRPr="00DB55C7">
        <w:rPr>
          <w:rFonts w:cs="Arial"/>
          <w:noProof/>
          <w:szCs w:val="24"/>
        </w:rPr>
        <w:t>837.</w:t>
      </w:r>
    </w:p>
    <w:p w14:paraId="19496785" w14:textId="7E0503E9" w:rsidR="00192C2C" w:rsidRPr="00DB55C7" w:rsidRDefault="00192C2C" w:rsidP="00192C2C">
      <w:pPr>
        <w:widowControl w:val="0"/>
        <w:autoSpaceDE w:val="0"/>
        <w:autoSpaceDN w:val="0"/>
        <w:adjustRightInd w:val="0"/>
        <w:spacing w:line="240" w:lineRule="auto"/>
        <w:ind w:left="480" w:hanging="480"/>
        <w:rPr>
          <w:rFonts w:cs="Arial"/>
          <w:noProof/>
          <w:szCs w:val="24"/>
        </w:rPr>
      </w:pPr>
      <w:r w:rsidRPr="00DB55C7">
        <w:rPr>
          <w:rFonts w:cs="Arial"/>
          <w:noProof/>
          <w:szCs w:val="24"/>
        </w:rPr>
        <w:t>Drury J. L., Moon</w:t>
      </w:r>
      <w:r w:rsidR="003873EB" w:rsidRPr="00DB55C7">
        <w:rPr>
          <w:rFonts w:cs="Arial"/>
          <w:noProof/>
          <w:szCs w:val="24"/>
        </w:rPr>
        <w:t>ey D. J., 2003,</w:t>
      </w:r>
      <w:r w:rsidRPr="00DB55C7">
        <w:rPr>
          <w:rFonts w:cs="Arial"/>
          <w:noProof/>
          <w:szCs w:val="24"/>
        </w:rPr>
        <w:t xml:space="preserve"> Hydrogels for tissue engineering: Scaffold design variables and applications</w:t>
      </w:r>
      <w:r w:rsidR="003873EB" w:rsidRPr="00DB55C7">
        <w:rPr>
          <w:rFonts w:cs="Arial"/>
          <w:noProof/>
          <w:szCs w:val="24"/>
        </w:rPr>
        <w:t>,</w:t>
      </w:r>
      <w:r w:rsidRPr="00DB55C7">
        <w:rPr>
          <w:rFonts w:cs="Arial"/>
          <w:noProof/>
          <w:szCs w:val="24"/>
        </w:rPr>
        <w:t xml:space="preserve"> </w:t>
      </w:r>
      <w:r w:rsidRPr="00DB55C7">
        <w:rPr>
          <w:rFonts w:cs="Arial"/>
          <w:iCs/>
          <w:noProof/>
          <w:szCs w:val="24"/>
        </w:rPr>
        <w:t>Biomaterials</w:t>
      </w:r>
      <w:r w:rsidRPr="00DB55C7">
        <w:rPr>
          <w:rFonts w:cs="Arial"/>
          <w:noProof/>
          <w:szCs w:val="24"/>
        </w:rPr>
        <w:t xml:space="preserve">, </w:t>
      </w:r>
      <w:r w:rsidRPr="00DB55C7">
        <w:rPr>
          <w:rFonts w:cs="Arial"/>
          <w:iCs/>
          <w:noProof/>
          <w:szCs w:val="24"/>
        </w:rPr>
        <w:t>24</w:t>
      </w:r>
      <w:r w:rsidRPr="00DB55C7">
        <w:rPr>
          <w:rFonts w:cs="Arial"/>
          <w:noProof/>
          <w:szCs w:val="24"/>
        </w:rPr>
        <w:t>(24), 4337–4351.</w:t>
      </w:r>
    </w:p>
    <w:p w14:paraId="3015231F" w14:textId="4B7FB9BA" w:rsidR="00192C2C" w:rsidRPr="00DB55C7" w:rsidRDefault="00192C2C" w:rsidP="00192C2C">
      <w:pPr>
        <w:widowControl w:val="0"/>
        <w:autoSpaceDE w:val="0"/>
        <w:autoSpaceDN w:val="0"/>
        <w:adjustRightInd w:val="0"/>
        <w:spacing w:line="240" w:lineRule="auto"/>
        <w:ind w:left="480" w:hanging="480"/>
        <w:rPr>
          <w:rFonts w:cs="Arial"/>
          <w:noProof/>
          <w:szCs w:val="24"/>
        </w:rPr>
      </w:pPr>
      <w:r w:rsidRPr="00DB55C7">
        <w:rPr>
          <w:rFonts w:cs="Arial"/>
          <w:noProof/>
          <w:szCs w:val="24"/>
        </w:rPr>
        <w:t>Fernández-Ponce M. T., Casas L., Ma</w:t>
      </w:r>
      <w:r w:rsidR="003873EB" w:rsidRPr="00DB55C7">
        <w:rPr>
          <w:rFonts w:cs="Arial"/>
          <w:noProof/>
          <w:szCs w:val="24"/>
        </w:rPr>
        <w:t>ntell C., De La Ossa E. M., 2015,</w:t>
      </w:r>
      <w:r w:rsidRPr="00DB55C7">
        <w:rPr>
          <w:rFonts w:cs="Arial"/>
          <w:noProof/>
          <w:szCs w:val="24"/>
        </w:rPr>
        <w:t xml:space="preserve"> Use of high pressure techniques to produce Mangifera indica L. leaf extracts enriched in potent antioxidant phenolic compounds</w:t>
      </w:r>
      <w:r w:rsidR="003873EB" w:rsidRPr="00DB55C7">
        <w:rPr>
          <w:rFonts w:cs="Arial"/>
          <w:noProof/>
          <w:szCs w:val="24"/>
        </w:rPr>
        <w:t>,</w:t>
      </w:r>
      <w:r w:rsidRPr="00DB55C7">
        <w:rPr>
          <w:rFonts w:cs="Arial"/>
          <w:noProof/>
          <w:szCs w:val="24"/>
        </w:rPr>
        <w:t xml:space="preserve"> </w:t>
      </w:r>
      <w:r w:rsidRPr="00DB55C7">
        <w:rPr>
          <w:rFonts w:cs="Arial"/>
          <w:iCs/>
          <w:noProof/>
          <w:szCs w:val="24"/>
        </w:rPr>
        <w:t>Innovative Food Science and Emerging Technologies</w:t>
      </w:r>
      <w:r w:rsidRPr="00DB55C7">
        <w:rPr>
          <w:rFonts w:cs="Arial"/>
          <w:noProof/>
          <w:szCs w:val="24"/>
        </w:rPr>
        <w:t xml:space="preserve">, </w:t>
      </w:r>
      <w:r w:rsidRPr="00DB55C7">
        <w:rPr>
          <w:rFonts w:cs="Arial"/>
          <w:iCs/>
          <w:noProof/>
          <w:szCs w:val="24"/>
        </w:rPr>
        <w:t>29</w:t>
      </w:r>
      <w:r w:rsidRPr="00DB55C7">
        <w:rPr>
          <w:rFonts w:cs="Arial"/>
          <w:noProof/>
          <w:szCs w:val="24"/>
        </w:rPr>
        <w:t>, 94–106.</w:t>
      </w:r>
    </w:p>
    <w:p w14:paraId="35F132E1" w14:textId="4D9AECEA" w:rsidR="00192C2C" w:rsidRPr="00DB55C7" w:rsidRDefault="00192C2C" w:rsidP="00192C2C">
      <w:pPr>
        <w:widowControl w:val="0"/>
        <w:autoSpaceDE w:val="0"/>
        <w:autoSpaceDN w:val="0"/>
        <w:adjustRightInd w:val="0"/>
        <w:spacing w:line="240" w:lineRule="auto"/>
        <w:ind w:left="480" w:hanging="480"/>
        <w:rPr>
          <w:rFonts w:cs="Arial"/>
          <w:noProof/>
          <w:szCs w:val="24"/>
        </w:rPr>
      </w:pPr>
      <w:r w:rsidRPr="00DB55C7">
        <w:rPr>
          <w:rFonts w:cs="Arial"/>
          <w:noProof/>
          <w:szCs w:val="24"/>
        </w:rPr>
        <w:t>Ishaug S. L., Crane G. M., Miller M. J., Yasko A. W., Ya</w:t>
      </w:r>
      <w:r w:rsidR="003873EB" w:rsidRPr="00DB55C7">
        <w:rPr>
          <w:rFonts w:cs="Arial"/>
          <w:noProof/>
          <w:szCs w:val="24"/>
        </w:rPr>
        <w:t>szemski M. J., Mikos A. G., 1997,</w:t>
      </w:r>
      <w:r w:rsidRPr="00DB55C7">
        <w:rPr>
          <w:rFonts w:cs="Arial"/>
          <w:noProof/>
          <w:szCs w:val="24"/>
        </w:rPr>
        <w:t xml:space="preserve"> Bone formation by three-dimensional stromal osteoblast culture in </w:t>
      </w:r>
      <w:r w:rsidR="003873EB" w:rsidRPr="00DB55C7">
        <w:rPr>
          <w:rFonts w:cs="Arial"/>
          <w:noProof/>
          <w:szCs w:val="24"/>
        </w:rPr>
        <w:t>biodegradable polymer scaffolds,</w:t>
      </w:r>
      <w:r w:rsidRPr="00DB55C7">
        <w:rPr>
          <w:rFonts w:cs="Arial"/>
          <w:noProof/>
          <w:szCs w:val="24"/>
        </w:rPr>
        <w:t xml:space="preserve"> </w:t>
      </w:r>
      <w:r w:rsidRPr="00DB55C7">
        <w:rPr>
          <w:rFonts w:cs="Arial"/>
          <w:iCs/>
          <w:noProof/>
          <w:szCs w:val="24"/>
        </w:rPr>
        <w:t>Journal of Biomedical Materials Research</w:t>
      </w:r>
      <w:r w:rsidRPr="00DB55C7">
        <w:rPr>
          <w:rFonts w:cs="Arial"/>
          <w:noProof/>
          <w:szCs w:val="24"/>
        </w:rPr>
        <w:t xml:space="preserve">, </w:t>
      </w:r>
      <w:r w:rsidRPr="00DB55C7">
        <w:rPr>
          <w:rFonts w:cs="Arial"/>
          <w:iCs/>
          <w:noProof/>
          <w:szCs w:val="24"/>
        </w:rPr>
        <w:t>36</w:t>
      </w:r>
      <w:r w:rsidRPr="00DB55C7">
        <w:rPr>
          <w:rFonts w:cs="Arial"/>
          <w:noProof/>
          <w:szCs w:val="24"/>
        </w:rPr>
        <w:t>(1), 17–28.</w:t>
      </w:r>
    </w:p>
    <w:p w14:paraId="0139BAAF" w14:textId="2A6342DC" w:rsidR="00192C2C" w:rsidRPr="00DB55C7" w:rsidRDefault="00192C2C" w:rsidP="00192C2C">
      <w:pPr>
        <w:widowControl w:val="0"/>
        <w:autoSpaceDE w:val="0"/>
        <w:autoSpaceDN w:val="0"/>
        <w:adjustRightInd w:val="0"/>
        <w:spacing w:line="240" w:lineRule="auto"/>
        <w:ind w:left="480" w:hanging="480"/>
        <w:rPr>
          <w:rFonts w:cs="Arial"/>
          <w:noProof/>
          <w:szCs w:val="24"/>
        </w:rPr>
      </w:pPr>
      <w:r w:rsidRPr="00DB55C7">
        <w:rPr>
          <w:rFonts w:cs="Arial"/>
          <w:noProof/>
          <w:szCs w:val="24"/>
        </w:rPr>
        <w:t>Jacobs L. J. M., Kemmere</w:t>
      </w:r>
      <w:r w:rsidR="004253D8" w:rsidRPr="00DB55C7">
        <w:rPr>
          <w:rFonts w:cs="Arial"/>
          <w:noProof/>
          <w:szCs w:val="24"/>
        </w:rPr>
        <w:t xml:space="preserve"> M. F., Keurentjes J. T. F., 2008, </w:t>
      </w:r>
      <w:r w:rsidRPr="00DB55C7">
        <w:rPr>
          <w:rFonts w:cs="Arial"/>
          <w:noProof/>
          <w:szCs w:val="24"/>
        </w:rPr>
        <w:t>Sustainable polymer foaming using high pressure carbon dioxide: A review on fundamentals, processes and applications</w:t>
      </w:r>
      <w:r w:rsidR="004253D8" w:rsidRPr="00DB55C7">
        <w:rPr>
          <w:rFonts w:cs="Arial"/>
          <w:noProof/>
          <w:szCs w:val="24"/>
        </w:rPr>
        <w:t>,</w:t>
      </w:r>
      <w:r w:rsidRPr="00DB55C7">
        <w:rPr>
          <w:rFonts w:cs="Arial"/>
          <w:noProof/>
          <w:szCs w:val="24"/>
        </w:rPr>
        <w:t xml:space="preserve"> </w:t>
      </w:r>
      <w:r w:rsidRPr="00DB55C7">
        <w:rPr>
          <w:rFonts w:cs="Arial"/>
          <w:iCs/>
          <w:noProof/>
          <w:szCs w:val="24"/>
        </w:rPr>
        <w:t>Green Chemistry</w:t>
      </w:r>
      <w:r w:rsidRPr="00DB55C7">
        <w:rPr>
          <w:rFonts w:cs="Arial"/>
          <w:noProof/>
          <w:szCs w:val="24"/>
        </w:rPr>
        <w:t xml:space="preserve">, </w:t>
      </w:r>
      <w:r w:rsidRPr="00DB55C7">
        <w:rPr>
          <w:rFonts w:cs="Arial"/>
          <w:iCs/>
          <w:noProof/>
          <w:szCs w:val="24"/>
        </w:rPr>
        <w:t>10</w:t>
      </w:r>
      <w:r w:rsidRPr="00DB55C7">
        <w:rPr>
          <w:rFonts w:cs="Arial"/>
          <w:noProof/>
          <w:szCs w:val="24"/>
        </w:rPr>
        <w:t>(7), 731–773.</w:t>
      </w:r>
    </w:p>
    <w:p w14:paraId="1EBB6FFE" w14:textId="35911164" w:rsidR="00192C2C" w:rsidRPr="00DB55C7" w:rsidRDefault="00192C2C" w:rsidP="00192C2C">
      <w:pPr>
        <w:widowControl w:val="0"/>
        <w:autoSpaceDE w:val="0"/>
        <w:autoSpaceDN w:val="0"/>
        <w:adjustRightInd w:val="0"/>
        <w:spacing w:line="240" w:lineRule="auto"/>
        <w:ind w:left="480" w:hanging="480"/>
        <w:rPr>
          <w:rFonts w:cs="Arial"/>
          <w:noProof/>
          <w:szCs w:val="24"/>
        </w:rPr>
      </w:pPr>
      <w:r w:rsidRPr="00DB55C7">
        <w:rPr>
          <w:rFonts w:cs="Arial"/>
          <w:noProof/>
          <w:szCs w:val="24"/>
        </w:rPr>
        <w:t>Korupalli C., Li, H., Nguyen N., Mi F. L., Chang Y., Lin Y. J., Sung H. W.</w:t>
      </w:r>
      <w:r w:rsidR="004253D8" w:rsidRPr="00DB55C7">
        <w:rPr>
          <w:rFonts w:cs="Arial"/>
          <w:noProof/>
          <w:szCs w:val="24"/>
        </w:rPr>
        <w:t xml:space="preserve">, </w:t>
      </w:r>
      <w:r w:rsidRPr="00DB55C7">
        <w:rPr>
          <w:rFonts w:cs="Arial"/>
          <w:noProof/>
          <w:szCs w:val="24"/>
        </w:rPr>
        <w:t>2021</w:t>
      </w:r>
      <w:r w:rsidR="004253D8" w:rsidRPr="00DB55C7">
        <w:rPr>
          <w:rFonts w:cs="Arial"/>
          <w:noProof/>
          <w:szCs w:val="24"/>
        </w:rPr>
        <w:t>,</w:t>
      </w:r>
      <w:r w:rsidRPr="00DB55C7">
        <w:rPr>
          <w:rFonts w:cs="Arial"/>
          <w:noProof/>
          <w:szCs w:val="24"/>
        </w:rPr>
        <w:t xml:space="preserve"> Conductive Materials for Healing Wounds: Their Incorporation in Electroactive Wound Dressings, Characterization, and Perspectives</w:t>
      </w:r>
      <w:r w:rsidR="004253D8" w:rsidRPr="00DB55C7">
        <w:rPr>
          <w:rFonts w:cs="Arial"/>
          <w:noProof/>
          <w:szCs w:val="24"/>
        </w:rPr>
        <w:t>,</w:t>
      </w:r>
      <w:r w:rsidRPr="00DB55C7">
        <w:rPr>
          <w:rFonts w:cs="Arial"/>
          <w:noProof/>
          <w:szCs w:val="24"/>
        </w:rPr>
        <w:t xml:space="preserve"> </w:t>
      </w:r>
      <w:r w:rsidRPr="00DB55C7">
        <w:rPr>
          <w:rFonts w:cs="Arial"/>
          <w:iCs/>
          <w:noProof/>
          <w:szCs w:val="24"/>
        </w:rPr>
        <w:t>Advanced Healthcare Materials</w:t>
      </w:r>
      <w:r w:rsidRPr="00DB55C7">
        <w:rPr>
          <w:rFonts w:cs="Arial"/>
          <w:noProof/>
          <w:szCs w:val="24"/>
        </w:rPr>
        <w:t xml:space="preserve">, </w:t>
      </w:r>
      <w:r w:rsidRPr="00DB55C7">
        <w:rPr>
          <w:rFonts w:cs="Arial"/>
          <w:iCs/>
          <w:noProof/>
          <w:szCs w:val="24"/>
        </w:rPr>
        <w:t>10</w:t>
      </w:r>
      <w:r w:rsidRPr="00DB55C7">
        <w:rPr>
          <w:rFonts w:cs="Arial"/>
          <w:noProof/>
          <w:szCs w:val="24"/>
        </w:rPr>
        <w:t>(6), 1–13.</w:t>
      </w:r>
    </w:p>
    <w:p w14:paraId="17C42165" w14:textId="0F06B883" w:rsidR="00192C2C" w:rsidRPr="00DB55C7" w:rsidRDefault="00192C2C" w:rsidP="00192C2C">
      <w:pPr>
        <w:widowControl w:val="0"/>
        <w:autoSpaceDE w:val="0"/>
        <w:autoSpaceDN w:val="0"/>
        <w:adjustRightInd w:val="0"/>
        <w:spacing w:line="240" w:lineRule="auto"/>
        <w:ind w:left="480" w:hanging="480"/>
        <w:rPr>
          <w:rFonts w:cs="Arial"/>
          <w:noProof/>
          <w:szCs w:val="24"/>
        </w:rPr>
      </w:pPr>
      <w:r w:rsidRPr="00DB55C7">
        <w:rPr>
          <w:rFonts w:cs="Arial"/>
          <w:noProof/>
          <w:szCs w:val="24"/>
        </w:rPr>
        <w:t>Kosowska K., Krzysztof</w:t>
      </w:r>
      <w:r w:rsidR="004253D8" w:rsidRPr="00DB55C7">
        <w:rPr>
          <w:rFonts w:cs="Arial"/>
          <w:noProof/>
          <w:szCs w:val="24"/>
        </w:rPr>
        <w:t>orski J., Henczka M., 2022,</w:t>
      </w:r>
      <w:r w:rsidRPr="00DB55C7">
        <w:rPr>
          <w:rFonts w:cs="Arial"/>
          <w:noProof/>
          <w:szCs w:val="24"/>
        </w:rPr>
        <w:t xml:space="preserve"> Foaming of PCL-Based Composites Using scCO</w:t>
      </w:r>
      <w:r w:rsidRPr="00DB55C7">
        <w:rPr>
          <w:rFonts w:cs="Arial"/>
          <w:noProof/>
          <w:szCs w:val="24"/>
          <w:vertAlign w:val="subscript"/>
        </w:rPr>
        <w:t>2</w:t>
      </w:r>
      <w:r w:rsidRPr="00DB55C7">
        <w:rPr>
          <w:rFonts w:cs="Arial"/>
          <w:noProof/>
          <w:szCs w:val="24"/>
        </w:rPr>
        <w:t>: St</w:t>
      </w:r>
      <w:r w:rsidR="004253D8" w:rsidRPr="00DB55C7">
        <w:rPr>
          <w:rFonts w:cs="Arial"/>
          <w:noProof/>
          <w:szCs w:val="24"/>
        </w:rPr>
        <w:t>ructure and Physical Properties,</w:t>
      </w:r>
      <w:r w:rsidRPr="00DB55C7">
        <w:rPr>
          <w:rFonts w:cs="Arial"/>
          <w:noProof/>
          <w:szCs w:val="24"/>
        </w:rPr>
        <w:t xml:space="preserve"> </w:t>
      </w:r>
      <w:r w:rsidRPr="00DB55C7">
        <w:rPr>
          <w:rFonts w:cs="Arial"/>
          <w:iCs/>
          <w:noProof/>
          <w:szCs w:val="24"/>
        </w:rPr>
        <w:t>Materials</w:t>
      </w:r>
      <w:r w:rsidRPr="00DB55C7">
        <w:rPr>
          <w:rFonts w:cs="Arial"/>
          <w:noProof/>
          <w:szCs w:val="24"/>
        </w:rPr>
        <w:t xml:space="preserve">, </w:t>
      </w:r>
      <w:r w:rsidRPr="00DB55C7">
        <w:rPr>
          <w:rFonts w:cs="Arial"/>
          <w:iCs/>
          <w:noProof/>
          <w:szCs w:val="24"/>
        </w:rPr>
        <w:t>15</w:t>
      </w:r>
      <w:r w:rsidRPr="00DB55C7">
        <w:rPr>
          <w:rFonts w:cs="Arial"/>
          <w:noProof/>
          <w:szCs w:val="24"/>
        </w:rPr>
        <w:t>(3).</w:t>
      </w:r>
    </w:p>
    <w:p w14:paraId="5A41CE8F" w14:textId="03AC0CA9" w:rsidR="00192C2C" w:rsidRPr="00DB55C7" w:rsidRDefault="00192C2C" w:rsidP="00192C2C">
      <w:pPr>
        <w:widowControl w:val="0"/>
        <w:autoSpaceDE w:val="0"/>
        <w:autoSpaceDN w:val="0"/>
        <w:adjustRightInd w:val="0"/>
        <w:spacing w:line="240" w:lineRule="auto"/>
        <w:ind w:left="480" w:hanging="480"/>
        <w:rPr>
          <w:rFonts w:cs="Arial"/>
          <w:noProof/>
          <w:szCs w:val="24"/>
        </w:rPr>
      </w:pPr>
      <w:r w:rsidRPr="00DB55C7">
        <w:rPr>
          <w:rFonts w:cs="Arial"/>
          <w:noProof/>
          <w:szCs w:val="24"/>
        </w:rPr>
        <w:t>Lawre</w:t>
      </w:r>
      <w:r w:rsidR="004253D8" w:rsidRPr="00DB55C7">
        <w:rPr>
          <w:rFonts w:cs="Arial"/>
          <w:noProof/>
          <w:szCs w:val="24"/>
        </w:rPr>
        <w:t>nce B. J., Madihally S. V., 2008,</w:t>
      </w:r>
      <w:r w:rsidRPr="00DB55C7">
        <w:rPr>
          <w:rFonts w:cs="Arial"/>
          <w:noProof/>
          <w:szCs w:val="24"/>
        </w:rPr>
        <w:t xml:space="preserve"> Cell colonization in degradable 3D porous matrices</w:t>
      </w:r>
      <w:r w:rsidR="004253D8" w:rsidRPr="00DB55C7">
        <w:rPr>
          <w:rFonts w:cs="Arial"/>
          <w:noProof/>
          <w:szCs w:val="24"/>
        </w:rPr>
        <w:t>,</w:t>
      </w:r>
      <w:r w:rsidRPr="00DB55C7">
        <w:rPr>
          <w:rFonts w:cs="Arial"/>
          <w:noProof/>
          <w:szCs w:val="24"/>
        </w:rPr>
        <w:t xml:space="preserve"> </w:t>
      </w:r>
      <w:r w:rsidRPr="00DB55C7">
        <w:rPr>
          <w:rFonts w:cs="Arial"/>
          <w:iCs/>
          <w:noProof/>
          <w:szCs w:val="24"/>
        </w:rPr>
        <w:t>Cell Adhesion &amp; Migration</w:t>
      </w:r>
      <w:r w:rsidRPr="00DB55C7">
        <w:rPr>
          <w:rFonts w:cs="Arial"/>
          <w:noProof/>
          <w:szCs w:val="24"/>
        </w:rPr>
        <w:t xml:space="preserve">, </w:t>
      </w:r>
      <w:r w:rsidRPr="00DB55C7">
        <w:rPr>
          <w:rFonts w:cs="Arial"/>
          <w:iCs/>
          <w:noProof/>
          <w:szCs w:val="24"/>
        </w:rPr>
        <w:t>2</w:t>
      </w:r>
      <w:r w:rsidRPr="00DB55C7">
        <w:rPr>
          <w:rFonts w:cs="Arial"/>
          <w:noProof/>
          <w:szCs w:val="24"/>
        </w:rPr>
        <w:t>(1), 9–16.</w:t>
      </w:r>
    </w:p>
    <w:p w14:paraId="299E2240" w14:textId="78EFBEEC" w:rsidR="00192C2C" w:rsidRPr="00DB55C7" w:rsidRDefault="00192C2C" w:rsidP="00192C2C">
      <w:pPr>
        <w:widowControl w:val="0"/>
        <w:autoSpaceDE w:val="0"/>
        <w:autoSpaceDN w:val="0"/>
        <w:adjustRightInd w:val="0"/>
        <w:spacing w:line="240" w:lineRule="auto"/>
        <w:ind w:left="480" w:hanging="480"/>
        <w:rPr>
          <w:rFonts w:cs="Arial"/>
          <w:noProof/>
          <w:szCs w:val="24"/>
        </w:rPr>
      </w:pPr>
      <w:r w:rsidRPr="00DB55C7">
        <w:rPr>
          <w:rFonts w:cs="Arial"/>
          <w:noProof/>
          <w:szCs w:val="24"/>
        </w:rPr>
        <w:t>Marsudi M. A., Ariski R. T., Wibowo A., Cooper G., Barlian A., Rachmant</w:t>
      </w:r>
      <w:r w:rsidR="004253D8" w:rsidRPr="00DB55C7">
        <w:rPr>
          <w:rFonts w:cs="Arial"/>
          <w:noProof/>
          <w:szCs w:val="24"/>
        </w:rPr>
        <w:t>yo R., Bartolo P. J. D. S., 2021,</w:t>
      </w:r>
      <w:r w:rsidRPr="00DB55C7">
        <w:rPr>
          <w:rFonts w:cs="Arial"/>
          <w:noProof/>
          <w:szCs w:val="24"/>
        </w:rPr>
        <w:t xml:space="preserve"> Conductive polymeric</w:t>
      </w:r>
      <w:r w:rsidRPr="00DB55C7">
        <w:rPr>
          <w:rFonts w:ascii="Cambria Math" w:hAnsi="Cambria Math" w:cs="Cambria Math"/>
          <w:noProof/>
          <w:szCs w:val="24"/>
        </w:rPr>
        <w:t>‐</w:t>
      </w:r>
      <w:r w:rsidRPr="00DB55C7">
        <w:rPr>
          <w:rFonts w:cs="Arial"/>
          <w:noProof/>
          <w:szCs w:val="24"/>
        </w:rPr>
        <w:t>based electroactive scaffolds for tissue engineering applications: Current progress and challenges from biomaterials and manufacturing perspectives</w:t>
      </w:r>
      <w:r w:rsidR="004253D8" w:rsidRPr="00DB55C7">
        <w:rPr>
          <w:rFonts w:cs="Arial"/>
          <w:noProof/>
          <w:szCs w:val="24"/>
        </w:rPr>
        <w:t>,</w:t>
      </w:r>
      <w:r w:rsidRPr="00DB55C7">
        <w:rPr>
          <w:rFonts w:cs="Arial"/>
          <w:noProof/>
          <w:szCs w:val="24"/>
        </w:rPr>
        <w:t xml:space="preserve"> </w:t>
      </w:r>
      <w:r w:rsidRPr="00DB55C7">
        <w:rPr>
          <w:rFonts w:cs="Arial"/>
          <w:iCs/>
          <w:noProof/>
          <w:szCs w:val="24"/>
        </w:rPr>
        <w:t>International Journal of Molecular Sciences</w:t>
      </w:r>
      <w:r w:rsidRPr="00DB55C7">
        <w:rPr>
          <w:rFonts w:cs="Arial"/>
          <w:noProof/>
          <w:szCs w:val="24"/>
        </w:rPr>
        <w:t xml:space="preserve">, </w:t>
      </w:r>
      <w:r w:rsidRPr="00DB55C7">
        <w:rPr>
          <w:rFonts w:cs="Arial"/>
          <w:iCs/>
          <w:noProof/>
          <w:szCs w:val="24"/>
        </w:rPr>
        <w:t>22</w:t>
      </w:r>
      <w:r w:rsidRPr="00DB55C7">
        <w:rPr>
          <w:rFonts w:cs="Arial"/>
          <w:noProof/>
          <w:szCs w:val="24"/>
        </w:rPr>
        <w:t>(21).</w:t>
      </w:r>
    </w:p>
    <w:p w14:paraId="3294A866" w14:textId="5CC8EECF" w:rsidR="00192C2C" w:rsidRPr="00DB55C7" w:rsidRDefault="004253D8" w:rsidP="00192C2C">
      <w:pPr>
        <w:widowControl w:val="0"/>
        <w:autoSpaceDE w:val="0"/>
        <w:autoSpaceDN w:val="0"/>
        <w:adjustRightInd w:val="0"/>
        <w:spacing w:line="240" w:lineRule="auto"/>
        <w:ind w:left="480" w:hanging="480"/>
        <w:rPr>
          <w:rFonts w:cs="Arial"/>
          <w:noProof/>
          <w:szCs w:val="24"/>
        </w:rPr>
      </w:pPr>
      <w:r w:rsidRPr="00DB55C7">
        <w:rPr>
          <w:rFonts w:cs="Arial"/>
          <w:noProof/>
          <w:szCs w:val="24"/>
        </w:rPr>
        <w:t>Pan Z., Ding J., 2012,</w:t>
      </w:r>
      <w:r w:rsidR="00192C2C" w:rsidRPr="00DB55C7">
        <w:rPr>
          <w:rFonts w:cs="Arial"/>
          <w:noProof/>
          <w:szCs w:val="24"/>
        </w:rPr>
        <w:t xml:space="preserve"> Poly(lactide-co-glycolide) porous scaffolds for tissue engineering and regenerative medicine</w:t>
      </w:r>
      <w:r w:rsidRPr="00DB55C7">
        <w:rPr>
          <w:rFonts w:cs="Arial"/>
          <w:noProof/>
          <w:szCs w:val="24"/>
        </w:rPr>
        <w:t>,</w:t>
      </w:r>
      <w:r w:rsidR="00192C2C" w:rsidRPr="00DB55C7">
        <w:rPr>
          <w:rFonts w:cs="Arial"/>
          <w:noProof/>
          <w:szCs w:val="24"/>
        </w:rPr>
        <w:t xml:space="preserve"> </w:t>
      </w:r>
      <w:r w:rsidR="00192C2C" w:rsidRPr="00DB55C7">
        <w:rPr>
          <w:rFonts w:cs="Arial"/>
          <w:iCs/>
          <w:noProof/>
          <w:szCs w:val="24"/>
        </w:rPr>
        <w:t>Interface Focus</w:t>
      </w:r>
      <w:r w:rsidR="00192C2C" w:rsidRPr="00DB55C7">
        <w:rPr>
          <w:rFonts w:cs="Arial"/>
          <w:noProof/>
          <w:szCs w:val="24"/>
        </w:rPr>
        <w:t xml:space="preserve">, </w:t>
      </w:r>
      <w:r w:rsidR="00192C2C" w:rsidRPr="00DB55C7">
        <w:rPr>
          <w:rFonts w:cs="Arial"/>
          <w:iCs/>
          <w:noProof/>
          <w:szCs w:val="24"/>
        </w:rPr>
        <w:t>2</w:t>
      </w:r>
      <w:r w:rsidR="00192C2C" w:rsidRPr="00DB55C7">
        <w:rPr>
          <w:rFonts w:cs="Arial"/>
          <w:noProof/>
          <w:szCs w:val="24"/>
        </w:rPr>
        <w:t>(3), 366–377.</w:t>
      </w:r>
    </w:p>
    <w:p w14:paraId="0C0D1EE9" w14:textId="35889E74" w:rsidR="00192C2C" w:rsidRPr="00DB55C7" w:rsidRDefault="00192C2C" w:rsidP="00192C2C">
      <w:pPr>
        <w:widowControl w:val="0"/>
        <w:autoSpaceDE w:val="0"/>
        <w:autoSpaceDN w:val="0"/>
        <w:adjustRightInd w:val="0"/>
        <w:spacing w:line="240" w:lineRule="auto"/>
        <w:ind w:left="480" w:hanging="480"/>
        <w:rPr>
          <w:rFonts w:cs="Arial"/>
          <w:noProof/>
          <w:szCs w:val="24"/>
        </w:rPr>
      </w:pPr>
      <w:r w:rsidRPr="00DB55C7">
        <w:rPr>
          <w:rFonts w:cs="Arial"/>
          <w:noProof/>
          <w:szCs w:val="24"/>
        </w:rPr>
        <w:t>Pantić M., Knez Ž</w:t>
      </w:r>
      <w:r w:rsidR="004253D8" w:rsidRPr="00DB55C7">
        <w:rPr>
          <w:rFonts w:cs="Arial"/>
          <w:noProof/>
          <w:szCs w:val="24"/>
        </w:rPr>
        <w:t>., Novak Z., 2016,</w:t>
      </w:r>
      <w:r w:rsidRPr="00DB55C7">
        <w:rPr>
          <w:rFonts w:cs="Arial"/>
          <w:noProof/>
          <w:szCs w:val="24"/>
        </w:rPr>
        <w:t xml:space="preserve"> Supercritical impregnation as a feasible technique for entrapment of fat-soluble vitamins into alginate aerogels</w:t>
      </w:r>
      <w:r w:rsidR="004253D8" w:rsidRPr="00DB55C7">
        <w:rPr>
          <w:rFonts w:cs="Arial"/>
          <w:noProof/>
          <w:szCs w:val="24"/>
        </w:rPr>
        <w:t>,</w:t>
      </w:r>
      <w:r w:rsidRPr="00DB55C7">
        <w:rPr>
          <w:rFonts w:cs="Arial"/>
          <w:noProof/>
          <w:szCs w:val="24"/>
        </w:rPr>
        <w:t xml:space="preserve"> </w:t>
      </w:r>
      <w:r w:rsidRPr="00DB55C7">
        <w:rPr>
          <w:rFonts w:cs="Arial"/>
          <w:iCs/>
          <w:noProof/>
          <w:szCs w:val="24"/>
        </w:rPr>
        <w:t>Journal of Non-Crystalline Solids</w:t>
      </w:r>
      <w:r w:rsidRPr="00DB55C7">
        <w:rPr>
          <w:rFonts w:cs="Arial"/>
          <w:noProof/>
          <w:szCs w:val="24"/>
        </w:rPr>
        <w:t xml:space="preserve">, </w:t>
      </w:r>
      <w:r w:rsidRPr="00DB55C7">
        <w:rPr>
          <w:rFonts w:cs="Arial"/>
          <w:iCs/>
          <w:noProof/>
          <w:szCs w:val="24"/>
        </w:rPr>
        <w:t>432</w:t>
      </w:r>
      <w:r w:rsidRPr="00DB55C7">
        <w:rPr>
          <w:rFonts w:cs="Arial"/>
          <w:noProof/>
          <w:szCs w:val="24"/>
        </w:rPr>
        <w:t>, 519–</w:t>
      </w:r>
      <w:r w:rsidR="00FB1DFE" w:rsidRPr="00DB55C7">
        <w:rPr>
          <w:rFonts w:cs="Arial"/>
          <w:noProof/>
          <w:szCs w:val="24"/>
        </w:rPr>
        <w:t>526.</w:t>
      </w:r>
    </w:p>
    <w:p w14:paraId="6E67798E" w14:textId="483A03C1" w:rsidR="00192C2C" w:rsidRPr="00DB55C7" w:rsidRDefault="00192C2C" w:rsidP="00192C2C">
      <w:pPr>
        <w:widowControl w:val="0"/>
        <w:autoSpaceDE w:val="0"/>
        <w:autoSpaceDN w:val="0"/>
        <w:adjustRightInd w:val="0"/>
        <w:spacing w:line="240" w:lineRule="auto"/>
        <w:ind w:left="480" w:hanging="480"/>
        <w:rPr>
          <w:rFonts w:cs="Arial"/>
          <w:noProof/>
          <w:szCs w:val="24"/>
        </w:rPr>
      </w:pPr>
      <w:r w:rsidRPr="00DB55C7">
        <w:rPr>
          <w:rFonts w:cs="Arial"/>
          <w:noProof/>
          <w:szCs w:val="24"/>
        </w:rPr>
        <w:t>Richardson-Burns S. M., Hen</w:t>
      </w:r>
      <w:r w:rsidR="004253D8" w:rsidRPr="00DB55C7">
        <w:rPr>
          <w:rFonts w:cs="Arial"/>
          <w:noProof/>
          <w:szCs w:val="24"/>
        </w:rPr>
        <w:t>dricks J. L., Martin D. C., 2007,</w:t>
      </w:r>
      <w:r w:rsidRPr="00DB55C7">
        <w:rPr>
          <w:rFonts w:cs="Arial"/>
          <w:noProof/>
          <w:szCs w:val="24"/>
        </w:rPr>
        <w:t xml:space="preserve"> Electrochemical polymerization of conducting polymers in living neural tissue</w:t>
      </w:r>
      <w:r w:rsidR="004253D8" w:rsidRPr="00DB55C7">
        <w:rPr>
          <w:rFonts w:cs="Arial"/>
          <w:noProof/>
          <w:szCs w:val="24"/>
        </w:rPr>
        <w:t>,</w:t>
      </w:r>
      <w:r w:rsidRPr="00DB55C7">
        <w:rPr>
          <w:rFonts w:cs="Arial"/>
          <w:noProof/>
          <w:szCs w:val="24"/>
        </w:rPr>
        <w:t xml:space="preserve"> </w:t>
      </w:r>
      <w:r w:rsidRPr="00DB55C7">
        <w:rPr>
          <w:rFonts w:cs="Arial"/>
          <w:iCs/>
          <w:noProof/>
          <w:szCs w:val="24"/>
        </w:rPr>
        <w:t>Journal of Neural Engineering</w:t>
      </w:r>
      <w:r w:rsidRPr="00DB55C7">
        <w:rPr>
          <w:rFonts w:cs="Arial"/>
          <w:noProof/>
          <w:szCs w:val="24"/>
        </w:rPr>
        <w:t xml:space="preserve">, </w:t>
      </w:r>
      <w:r w:rsidRPr="00DB55C7">
        <w:rPr>
          <w:rFonts w:cs="Arial"/>
          <w:iCs/>
          <w:noProof/>
          <w:szCs w:val="24"/>
        </w:rPr>
        <w:t>4</w:t>
      </w:r>
      <w:r w:rsidRPr="00DB55C7">
        <w:rPr>
          <w:rFonts w:cs="Arial"/>
          <w:noProof/>
          <w:szCs w:val="24"/>
        </w:rPr>
        <w:t>(2).</w:t>
      </w:r>
    </w:p>
    <w:p w14:paraId="12AF1D2C" w14:textId="1D6A3A79" w:rsidR="00192C2C" w:rsidRPr="00DB55C7" w:rsidRDefault="00192C2C" w:rsidP="00192C2C">
      <w:pPr>
        <w:widowControl w:val="0"/>
        <w:autoSpaceDE w:val="0"/>
        <w:autoSpaceDN w:val="0"/>
        <w:adjustRightInd w:val="0"/>
        <w:spacing w:line="240" w:lineRule="auto"/>
        <w:ind w:left="480" w:hanging="480"/>
        <w:rPr>
          <w:rFonts w:cs="Arial"/>
          <w:noProof/>
          <w:szCs w:val="24"/>
        </w:rPr>
      </w:pPr>
      <w:r w:rsidRPr="00DB55C7">
        <w:rPr>
          <w:rFonts w:cs="Arial"/>
          <w:noProof/>
          <w:szCs w:val="24"/>
        </w:rPr>
        <w:t>Satpayeva A., Rojas A., Tyrka M., Ksepko E.,</w:t>
      </w:r>
      <w:r w:rsidR="004253D8" w:rsidRPr="00DB55C7">
        <w:rPr>
          <w:rFonts w:cs="Arial"/>
          <w:noProof/>
          <w:szCs w:val="24"/>
        </w:rPr>
        <w:t xml:space="preserve"> Galotto M. J., Zizovic I., 2022,</w:t>
      </w:r>
      <w:r w:rsidRPr="00DB55C7">
        <w:rPr>
          <w:rFonts w:cs="Arial"/>
          <w:noProof/>
          <w:szCs w:val="24"/>
        </w:rPr>
        <w:t xml:space="preserve"> Supercritical Foaming and Impregnation of Polycaprolactone and Polycaprolactone-Hydroxyapatite Composites with Carvacrol</w:t>
      </w:r>
      <w:r w:rsidR="004253D8" w:rsidRPr="00DB55C7">
        <w:rPr>
          <w:rFonts w:cs="Arial"/>
          <w:noProof/>
          <w:szCs w:val="24"/>
        </w:rPr>
        <w:t>,</w:t>
      </w:r>
      <w:r w:rsidRPr="00DB55C7">
        <w:rPr>
          <w:rFonts w:cs="Arial"/>
          <w:noProof/>
          <w:szCs w:val="24"/>
        </w:rPr>
        <w:t xml:space="preserve"> </w:t>
      </w:r>
      <w:r w:rsidRPr="00DB55C7">
        <w:rPr>
          <w:rFonts w:cs="Arial"/>
          <w:iCs/>
          <w:noProof/>
          <w:szCs w:val="24"/>
        </w:rPr>
        <w:t>Processes</w:t>
      </w:r>
      <w:r w:rsidRPr="00DB55C7">
        <w:rPr>
          <w:rFonts w:cs="Arial"/>
          <w:noProof/>
          <w:szCs w:val="24"/>
        </w:rPr>
        <w:t xml:space="preserve">, </w:t>
      </w:r>
      <w:r w:rsidRPr="00DB55C7">
        <w:rPr>
          <w:rFonts w:cs="Arial"/>
          <w:iCs/>
          <w:noProof/>
          <w:szCs w:val="24"/>
        </w:rPr>
        <w:t>10</w:t>
      </w:r>
      <w:r w:rsidRPr="00DB55C7">
        <w:rPr>
          <w:rFonts w:cs="Arial"/>
          <w:noProof/>
          <w:szCs w:val="24"/>
        </w:rPr>
        <w:t>(3).</w:t>
      </w:r>
    </w:p>
    <w:p w14:paraId="62FED9B4" w14:textId="09D716D6" w:rsidR="00192C2C" w:rsidRPr="00DB55C7" w:rsidRDefault="004253D8" w:rsidP="00192C2C">
      <w:pPr>
        <w:widowControl w:val="0"/>
        <w:autoSpaceDE w:val="0"/>
        <w:autoSpaceDN w:val="0"/>
        <w:adjustRightInd w:val="0"/>
        <w:spacing w:line="240" w:lineRule="auto"/>
        <w:ind w:left="480" w:hanging="480"/>
        <w:rPr>
          <w:rFonts w:cs="Arial"/>
          <w:noProof/>
          <w:szCs w:val="24"/>
        </w:rPr>
      </w:pPr>
      <w:r w:rsidRPr="00DB55C7">
        <w:rPr>
          <w:rFonts w:cs="Arial"/>
          <w:noProof/>
          <w:szCs w:val="24"/>
        </w:rPr>
        <w:t xml:space="preserve">Scherer R., Godoy H. T., </w:t>
      </w:r>
      <w:r w:rsidR="00192C2C" w:rsidRPr="00DB55C7">
        <w:rPr>
          <w:rFonts w:cs="Arial"/>
          <w:noProof/>
          <w:szCs w:val="24"/>
        </w:rPr>
        <w:t>20</w:t>
      </w:r>
      <w:r w:rsidRPr="00DB55C7">
        <w:rPr>
          <w:rFonts w:cs="Arial"/>
          <w:noProof/>
          <w:szCs w:val="24"/>
        </w:rPr>
        <w:t>09,</w:t>
      </w:r>
      <w:r w:rsidR="00192C2C" w:rsidRPr="00DB55C7">
        <w:rPr>
          <w:rFonts w:cs="Arial"/>
          <w:noProof/>
          <w:szCs w:val="24"/>
        </w:rPr>
        <w:t xml:space="preserve"> Antioxidant activity index (AAI) by the 2,2-diphenyl-1-picrylhydrazyl method</w:t>
      </w:r>
      <w:r w:rsidRPr="00DB55C7">
        <w:rPr>
          <w:rFonts w:cs="Arial"/>
          <w:noProof/>
          <w:szCs w:val="24"/>
        </w:rPr>
        <w:t>,</w:t>
      </w:r>
      <w:r w:rsidR="00192C2C" w:rsidRPr="00DB55C7">
        <w:rPr>
          <w:rFonts w:cs="Arial"/>
          <w:noProof/>
          <w:szCs w:val="24"/>
        </w:rPr>
        <w:t xml:space="preserve"> </w:t>
      </w:r>
      <w:r w:rsidR="00192C2C" w:rsidRPr="00DB55C7">
        <w:rPr>
          <w:rFonts w:cs="Arial"/>
          <w:iCs/>
          <w:noProof/>
          <w:szCs w:val="24"/>
        </w:rPr>
        <w:t>Food Chemistry</w:t>
      </w:r>
      <w:r w:rsidR="00192C2C" w:rsidRPr="00DB55C7">
        <w:rPr>
          <w:rFonts w:cs="Arial"/>
          <w:noProof/>
          <w:szCs w:val="24"/>
        </w:rPr>
        <w:t xml:space="preserve">, </w:t>
      </w:r>
      <w:r w:rsidR="00192C2C" w:rsidRPr="00DB55C7">
        <w:rPr>
          <w:rFonts w:cs="Arial"/>
          <w:iCs/>
          <w:noProof/>
          <w:szCs w:val="24"/>
        </w:rPr>
        <w:t>112</w:t>
      </w:r>
      <w:r w:rsidR="00192C2C" w:rsidRPr="00DB55C7">
        <w:rPr>
          <w:rFonts w:cs="Arial"/>
          <w:noProof/>
          <w:szCs w:val="24"/>
        </w:rPr>
        <w:t>(3), 654–658.</w:t>
      </w:r>
    </w:p>
    <w:p w14:paraId="65F2BB7C" w14:textId="7419D7E8" w:rsidR="00192C2C" w:rsidRPr="00DB55C7" w:rsidRDefault="00192C2C" w:rsidP="00192C2C">
      <w:pPr>
        <w:widowControl w:val="0"/>
        <w:autoSpaceDE w:val="0"/>
        <w:autoSpaceDN w:val="0"/>
        <w:adjustRightInd w:val="0"/>
        <w:spacing w:line="240" w:lineRule="auto"/>
        <w:ind w:left="480" w:hanging="480"/>
        <w:rPr>
          <w:rFonts w:cs="Arial"/>
          <w:noProof/>
          <w:szCs w:val="24"/>
        </w:rPr>
      </w:pPr>
      <w:r w:rsidRPr="00DB55C7">
        <w:rPr>
          <w:rFonts w:cs="Arial"/>
          <w:noProof/>
          <w:szCs w:val="24"/>
        </w:rPr>
        <w:t>Shen H</w:t>
      </w:r>
      <w:r w:rsidR="004253D8" w:rsidRPr="00DB55C7">
        <w:rPr>
          <w:rFonts w:cs="Arial"/>
          <w:noProof/>
          <w:szCs w:val="24"/>
        </w:rPr>
        <w:t>., Hu X., Bei J., Wang S., 2008,</w:t>
      </w:r>
      <w:r w:rsidRPr="00DB55C7">
        <w:rPr>
          <w:rFonts w:cs="Arial"/>
          <w:noProof/>
          <w:szCs w:val="24"/>
        </w:rPr>
        <w:t xml:space="preserve"> The immobilization of basic fibroblast growth factor on plasma-treated poly(lactide-co-glycolide)</w:t>
      </w:r>
      <w:r w:rsidR="004253D8" w:rsidRPr="00DB55C7">
        <w:rPr>
          <w:rFonts w:cs="Arial"/>
          <w:noProof/>
          <w:szCs w:val="24"/>
        </w:rPr>
        <w:t>,</w:t>
      </w:r>
      <w:r w:rsidRPr="00DB55C7">
        <w:rPr>
          <w:rFonts w:cs="Arial"/>
          <w:noProof/>
          <w:szCs w:val="24"/>
        </w:rPr>
        <w:t xml:space="preserve"> </w:t>
      </w:r>
      <w:r w:rsidRPr="00DB55C7">
        <w:rPr>
          <w:rFonts w:cs="Arial"/>
          <w:iCs/>
          <w:noProof/>
          <w:szCs w:val="24"/>
        </w:rPr>
        <w:t>Biomaterials</w:t>
      </w:r>
      <w:r w:rsidRPr="00DB55C7">
        <w:rPr>
          <w:rFonts w:cs="Arial"/>
          <w:noProof/>
          <w:szCs w:val="24"/>
        </w:rPr>
        <w:t xml:space="preserve">, </w:t>
      </w:r>
      <w:r w:rsidRPr="00DB55C7">
        <w:rPr>
          <w:rFonts w:cs="Arial"/>
          <w:iCs/>
          <w:noProof/>
          <w:szCs w:val="24"/>
        </w:rPr>
        <w:t>29</w:t>
      </w:r>
      <w:r w:rsidRPr="00DB55C7">
        <w:rPr>
          <w:rFonts w:cs="Arial"/>
          <w:noProof/>
          <w:szCs w:val="24"/>
        </w:rPr>
        <w:t>(15), 2388–</w:t>
      </w:r>
      <w:r w:rsidR="00FB1DFE" w:rsidRPr="00DB55C7">
        <w:rPr>
          <w:rFonts w:cs="Arial"/>
          <w:noProof/>
          <w:szCs w:val="24"/>
        </w:rPr>
        <w:t>2399.</w:t>
      </w:r>
    </w:p>
    <w:p w14:paraId="2C0F6FDF" w14:textId="069DDF34" w:rsidR="00192C2C" w:rsidRPr="00DB55C7" w:rsidRDefault="00192C2C" w:rsidP="00192C2C">
      <w:pPr>
        <w:widowControl w:val="0"/>
        <w:autoSpaceDE w:val="0"/>
        <w:autoSpaceDN w:val="0"/>
        <w:adjustRightInd w:val="0"/>
        <w:spacing w:line="240" w:lineRule="auto"/>
        <w:ind w:left="480" w:hanging="480"/>
        <w:rPr>
          <w:rFonts w:cs="Arial"/>
          <w:noProof/>
          <w:szCs w:val="24"/>
        </w:rPr>
      </w:pPr>
      <w:r w:rsidRPr="00DB55C7">
        <w:rPr>
          <w:rFonts w:cs="Arial"/>
          <w:noProof/>
          <w:szCs w:val="24"/>
        </w:rPr>
        <w:t>Singleton V. L., Orthofer R., Lamuela-Raventó</w:t>
      </w:r>
      <w:r w:rsidR="00CB3F0E" w:rsidRPr="00DB55C7">
        <w:rPr>
          <w:rFonts w:cs="Arial"/>
          <w:noProof/>
          <w:szCs w:val="24"/>
        </w:rPr>
        <w:t>s R. M., 1999,</w:t>
      </w:r>
      <w:r w:rsidRPr="00DB55C7">
        <w:rPr>
          <w:rFonts w:cs="Arial"/>
          <w:noProof/>
          <w:szCs w:val="24"/>
        </w:rPr>
        <w:t xml:space="preserve"> Analysis of total phenols and other oxidation substrates and antioxidants by means of folin-ciocalteu reagent, Methods in Enzymology</w:t>
      </w:r>
      <w:r w:rsidR="00CB3F0E" w:rsidRPr="00DB55C7">
        <w:rPr>
          <w:rFonts w:cs="Arial"/>
          <w:noProof/>
          <w:szCs w:val="24"/>
        </w:rPr>
        <w:t>,</w:t>
      </w:r>
      <w:r w:rsidRPr="00DB55C7">
        <w:rPr>
          <w:rFonts w:cs="Arial"/>
          <w:noProof/>
          <w:szCs w:val="24"/>
        </w:rPr>
        <w:t xml:space="preserve"> </w:t>
      </w:r>
      <w:r w:rsidRPr="00DB55C7">
        <w:rPr>
          <w:rFonts w:cs="Arial"/>
          <w:iCs/>
          <w:noProof/>
          <w:szCs w:val="24"/>
        </w:rPr>
        <w:t>Academic Press</w:t>
      </w:r>
      <w:r w:rsidRPr="00DB55C7">
        <w:rPr>
          <w:rFonts w:cs="Arial"/>
          <w:noProof/>
          <w:szCs w:val="24"/>
        </w:rPr>
        <w:t xml:space="preserve">, </w:t>
      </w:r>
      <w:r w:rsidRPr="00DB55C7">
        <w:rPr>
          <w:rFonts w:cs="Arial"/>
          <w:iCs/>
          <w:noProof/>
          <w:szCs w:val="24"/>
        </w:rPr>
        <w:t>299</w:t>
      </w:r>
      <w:r w:rsidRPr="00DB55C7">
        <w:rPr>
          <w:rFonts w:cs="Arial"/>
          <w:noProof/>
          <w:szCs w:val="24"/>
        </w:rPr>
        <w:t xml:space="preserve">, 152–178. </w:t>
      </w:r>
    </w:p>
    <w:p w14:paraId="67438019" w14:textId="2C3BA373" w:rsidR="00192C2C" w:rsidRPr="00DB55C7" w:rsidRDefault="00192C2C" w:rsidP="00192C2C">
      <w:pPr>
        <w:widowControl w:val="0"/>
        <w:autoSpaceDE w:val="0"/>
        <w:autoSpaceDN w:val="0"/>
        <w:adjustRightInd w:val="0"/>
        <w:spacing w:line="240" w:lineRule="auto"/>
        <w:ind w:left="480" w:hanging="480"/>
        <w:rPr>
          <w:rFonts w:cs="Arial"/>
          <w:noProof/>
          <w:szCs w:val="24"/>
        </w:rPr>
      </w:pPr>
      <w:r w:rsidRPr="00DB55C7">
        <w:rPr>
          <w:rFonts w:cs="Arial"/>
          <w:noProof/>
          <w:szCs w:val="24"/>
        </w:rPr>
        <w:t>Valor D., Montes A., Cózar A., Pe</w:t>
      </w:r>
      <w:r w:rsidR="00CB3F0E" w:rsidRPr="00DB55C7">
        <w:rPr>
          <w:rFonts w:cs="Arial"/>
          <w:noProof/>
          <w:szCs w:val="24"/>
        </w:rPr>
        <w:t>reyra C., de la Ossa E. M., 2022,</w:t>
      </w:r>
      <w:r w:rsidRPr="00DB55C7">
        <w:rPr>
          <w:rFonts w:cs="Arial"/>
          <w:noProof/>
          <w:szCs w:val="24"/>
        </w:rPr>
        <w:t xml:space="preserve"> Development of Porous Polyvinyl Acetate/Polypyrrole/Gallic Acid Scaffolds Using Supercritical CO</w:t>
      </w:r>
      <w:r w:rsidRPr="00DB55C7">
        <w:rPr>
          <w:rFonts w:cs="Arial"/>
          <w:noProof/>
          <w:szCs w:val="24"/>
          <w:vertAlign w:val="subscript"/>
        </w:rPr>
        <w:t>2</w:t>
      </w:r>
      <w:r w:rsidRPr="00DB55C7">
        <w:rPr>
          <w:rFonts w:cs="Arial"/>
          <w:noProof/>
          <w:szCs w:val="24"/>
        </w:rPr>
        <w:t xml:space="preserve"> as Tissue Regenerative Agents</w:t>
      </w:r>
      <w:r w:rsidR="00CB3F0E" w:rsidRPr="00DB55C7">
        <w:rPr>
          <w:rFonts w:cs="Arial"/>
          <w:noProof/>
          <w:szCs w:val="24"/>
        </w:rPr>
        <w:t>,</w:t>
      </w:r>
      <w:r w:rsidRPr="00DB55C7">
        <w:rPr>
          <w:rFonts w:cs="Arial"/>
          <w:noProof/>
          <w:szCs w:val="24"/>
        </w:rPr>
        <w:t xml:space="preserve"> </w:t>
      </w:r>
      <w:r w:rsidRPr="00DB55C7">
        <w:rPr>
          <w:rFonts w:cs="Arial"/>
          <w:iCs/>
          <w:noProof/>
          <w:szCs w:val="24"/>
        </w:rPr>
        <w:t>Polymers</w:t>
      </w:r>
      <w:r w:rsidRPr="00DB55C7">
        <w:rPr>
          <w:rFonts w:cs="Arial"/>
          <w:noProof/>
          <w:szCs w:val="24"/>
        </w:rPr>
        <w:t xml:space="preserve">, </w:t>
      </w:r>
      <w:r w:rsidRPr="00DB55C7">
        <w:rPr>
          <w:rFonts w:cs="Arial"/>
          <w:iCs/>
          <w:noProof/>
          <w:szCs w:val="24"/>
        </w:rPr>
        <w:t>14</w:t>
      </w:r>
      <w:r w:rsidRPr="00DB55C7">
        <w:rPr>
          <w:rFonts w:cs="Arial"/>
          <w:noProof/>
          <w:szCs w:val="24"/>
        </w:rPr>
        <w:t>(4).</w:t>
      </w:r>
    </w:p>
    <w:p w14:paraId="239620DE" w14:textId="4B18FC99" w:rsidR="00192C2C" w:rsidRPr="00DB55C7" w:rsidRDefault="00192C2C" w:rsidP="00192C2C">
      <w:pPr>
        <w:widowControl w:val="0"/>
        <w:autoSpaceDE w:val="0"/>
        <w:autoSpaceDN w:val="0"/>
        <w:adjustRightInd w:val="0"/>
        <w:spacing w:line="240" w:lineRule="auto"/>
        <w:ind w:left="480" w:hanging="480"/>
        <w:rPr>
          <w:rFonts w:cs="Arial"/>
          <w:noProof/>
          <w:szCs w:val="24"/>
        </w:rPr>
      </w:pPr>
      <w:r w:rsidRPr="00DB55C7">
        <w:rPr>
          <w:rFonts w:cs="Arial"/>
          <w:noProof/>
          <w:szCs w:val="24"/>
        </w:rPr>
        <w:t xml:space="preserve">Wu Y., Wang L., </w:t>
      </w:r>
      <w:r w:rsidR="00CB3F0E" w:rsidRPr="00DB55C7">
        <w:rPr>
          <w:rFonts w:cs="Arial"/>
          <w:noProof/>
          <w:szCs w:val="24"/>
        </w:rPr>
        <w:t xml:space="preserve">Guo B., Shao Y., Ma P. X., </w:t>
      </w:r>
      <w:r w:rsidRPr="00DB55C7">
        <w:rPr>
          <w:rFonts w:cs="Arial"/>
          <w:noProof/>
          <w:szCs w:val="24"/>
        </w:rPr>
        <w:t>2016</w:t>
      </w:r>
      <w:r w:rsidR="00CB3F0E" w:rsidRPr="00DB55C7">
        <w:rPr>
          <w:rFonts w:cs="Arial"/>
          <w:noProof/>
          <w:szCs w:val="24"/>
        </w:rPr>
        <w:t>,</w:t>
      </w:r>
      <w:r w:rsidRPr="00DB55C7">
        <w:rPr>
          <w:rFonts w:cs="Arial"/>
          <w:noProof/>
          <w:szCs w:val="24"/>
        </w:rPr>
        <w:t xml:space="preserve"> Electroactive biodegradable polyurethane significantly enhanced Schwann cells myelin gene expression and neurotrophin secretion for peripheral nerve tissue engineering</w:t>
      </w:r>
      <w:r w:rsidR="00CB3F0E" w:rsidRPr="00DB55C7">
        <w:rPr>
          <w:rFonts w:cs="Arial"/>
          <w:noProof/>
          <w:szCs w:val="24"/>
        </w:rPr>
        <w:t>,</w:t>
      </w:r>
      <w:r w:rsidRPr="00DB55C7">
        <w:rPr>
          <w:rFonts w:cs="Arial"/>
          <w:noProof/>
          <w:szCs w:val="24"/>
        </w:rPr>
        <w:t xml:space="preserve"> </w:t>
      </w:r>
      <w:r w:rsidRPr="00DB55C7">
        <w:rPr>
          <w:rFonts w:cs="Arial"/>
          <w:iCs/>
          <w:noProof/>
          <w:szCs w:val="24"/>
        </w:rPr>
        <w:t>Biomaterials</w:t>
      </w:r>
      <w:r w:rsidRPr="00DB55C7">
        <w:rPr>
          <w:rFonts w:cs="Arial"/>
          <w:noProof/>
          <w:szCs w:val="24"/>
        </w:rPr>
        <w:t xml:space="preserve">, </w:t>
      </w:r>
      <w:r w:rsidRPr="00DB55C7">
        <w:rPr>
          <w:rFonts w:cs="Arial"/>
          <w:iCs/>
          <w:noProof/>
          <w:szCs w:val="24"/>
        </w:rPr>
        <w:t>87</w:t>
      </w:r>
      <w:r w:rsidRPr="00DB55C7">
        <w:rPr>
          <w:rFonts w:cs="Arial"/>
          <w:noProof/>
          <w:szCs w:val="24"/>
        </w:rPr>
        <w:t>, 18–31.</w:t>
      </w:r>
    </w:p>
    <w:p w14:paraId="517799B2" w14:textId="637122EA" w:rsidR="00192C2C" w:rsidRPr="00DB55C7" w:rsidRDefault="00CB3F0E" w:rsidP="00192C2C">
      <w:pPr>
        <w:widowControl w:val="0"/>
        <w:autoSpaceDE w:val="0"/>
        <w:autoSpaceDN w:val="0"/>
        <w:adjustRightInd w:val="0"/>
        <w:spacing w:line="240" w:lineRule="auto"/>
        <w:ind w:left="480" w:hanging="480"/>
        <w:rPr>
          <w:rFonts w:cs="Arial"/>
          <w:noProof/>
        </w:rPr>
      </w:pPr>
      <w:r w:rsidRPr="00DB55C7">
        <w:rPr>
          <w:rFonts w:cs="Arial"/>
          <w:noProof/>
          <w:szCs w:val="24"/>
        </w:rPr>
        <w:t>Yu R., Zhang H., Guo B., 2022,</w:t>
      </w:r>
      <w:r w:rsidR="00192C2C" w:rsidRPr="00DB55C7">
        <w:rPr>
          <w:rFonts w:cs="Arial"/>
          <w:noProof/>
          <w:szCs w:val="24"/>
        </w:rPr>
        <w:t xml:space="preserve"> Conductive Biomaterials as Bioactive Wound Dressing for Wound Healing and Skin Tissue Engineering</w:t>
      </w:r>
      <w:r w:rsidRPr="00DB55C7">
        <w:rPr>
          <w:rFonts w:cs="Arial"/>
          <w:noProof/>
          <w:szCs w:val="24"/>
        </w:rPr>
        <w:t>,</w:t>
      </w:r>
      <w:r w:rsidR="00192C2C" w:rsidRPr="00DB55C7">
        <w:rPr>
          <w:rFonts w:cs="Arial"/>
          <w:noProof/>
          <w:szCs w:val="24"/>
        </w:rPr>
        <w:t xml:space="preserve"> In </w:t>
      </w:r>
      <w:r w:rsidR="00192C2C" w:rsidRPr="00DB55C7">
        <w:rPr>
          <w:rFonts w:cs="Arial"/>
          <w:iCs/>
          <w:noProof/>
          <w:szCs w:val="24"/>
        </w:rPr>
        <w:t>Nano-Micro Letters</w:t>
      </w:r>
      <w:r w:rsidR="00192C2C" w:rsidRPr="00DB55C7">
        <w:rPr>
          <w:rFonts w:cs="Arial"/>
          <w:noProof/>
          <w:szCs w:val="24"/>
        </w:rPr>
        <w:t xml:space="preserve"> (Vol. 14, Issue 1)</w:t>
      </w:r>
      <w:r w:rsidR="00FB1DFE" w:rsidRPr="00DB55C7">
        <w:rPr>
          <w:rFonts w:cs="Arial"/>
          <w:noProof/>
          <w:szCs w:val="24"/>
        </w:rPr>
        <w:t>. Springer Singapore.</w:t>
      </w:r>
    </w:p>
    <w:p w14:paraId="083F2CD9" w14:textId="3F26D842" w:rsidR="00496E12" w:rsidRPr="00DB55C7" w:rsidRDefault="00496E12" w:rsidP="0030491C">
      <w:pPr>
        <w:pStyle w:val="CETBodytext"/>
        <w:rPr>
          <w:lang w:val="en-GB"/>
        </w:rPr>
      </w:pPr>
      <w:r w:rsidRPr="00DB55C7">
        <w:rPr>
          <w:lang w:val="en-GB"/>
        </w:rPr>
        <w:fldChar w:fldCharType="end"/>
      </w:r>
    </w:p>
    <w:sectPr w:rsidR="00496E12" w:rsidRPr="00DB55C7"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1C921" w14:textId="77777777" w:rsidR="00947991" w:rsidRDefault="00947991" w:rsidP="004F5E36">
      <w:r>
        <w:separator/>
      </w:r>
    </w:p>
  </w:endnote>
  <w:endnote w:type="continuationSeparator" w:id="0">
    <w:p w14:paraId="101EC95A" w14:textId="77777777" w:rsidR="00947991" w:rsidRDefault="00947991"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13365" w14:textId="77777777" w:rsidR="00947991" w:rsidRDefault="00947991" w:rsidP="004F5E36">
      <w:r>
        <w:separator/>
      </w:r>
    </w:p>
  </w:footnote>
  <w:footnote w:type="continuationSeparator" w:id="0">
    <w:p w14:paraId="2425F589" w14:textId="77777777" w:rsidR="00947991" w:rsidRDefault="00947991"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3930FB2"/>
    <w:multiLevelType w:val="hybridMultilevel"/>
    <w:tmpl w:val="6486C2CC"/>
    <w:lvl w:ilvl="0" w:tplc="BB1E065C">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883595421">
    <w:abstractNumId w:val="10"/>
  </w:num>
  <w:num w:numId="2" w16cid:durableId="1169251859">
    <w:abstractNumId w:val="8"/>
  </w:num>
  <w:num w:numId="3" w16cid:durableId="1539003160">
    <w:abstractNumId w:val="3"/>
  </w:num>
  <w:num w:numId="4" w16cid:durableId="1153568122">
    <w:abstractNumId w:val="2"/>
  </w:num>
  <w:num w:numId="5" w16cid:durableId="440613894">
    <w:abstractNumId w:val="1"/>
  </w:num>
  <w:num w:numId="6" w16cid:durableId="1771897677">
    <w:abstractNumId w:val="0"/>
  </w:num>
  <w:num w:numId="7" w16cid:durableId="1898590986">
    <w:abstractNumId w:val="9"/>
  </w:num>
  <w:num w:numId="8" w16cid:durableId="81535882">
    <w:abstractNumId w:val="7"/>
  </w:num>
  <w:num w:numId="9" w16cid:durableId="1300457958">
    <w:abstractNumId w:val="6"/>
  </w:num>
  <w:num w:numId="10" w16cid:durableId="324628276">
    <w:abstractNumId w:val="5"/>
  </w:num>
  <w:num w:numId="11" w16cid:durableId="767505022">
    <w:abstractNumId w:val="4"/>
  </w:num>
  <w:num w:numId="12" w16cid:durableId="912616505">
    <w:abstractNumId w:val="17"/>
  </w:num>
  <w:num w:numId="13" w16cid:durableId="1992244629">
    <w:abstractNumId w:val="12"/>
  </w:num>
  <w:num w:numId="14" w16cid:durableId="1178080589">
    <w:abstractNumId w:val="18"/>
  </w:num>
  <w:num w:numId="15" w16cid:durableId="1973512754">
    <w:abstractNumId w:val="20"/>
  </w:num>
  <w:num w:numId="16" w16cid:durableId="450827720">
    <w:abstractNumId w:val="19"/>
  </w:num>
  <w:num w:numId="17" w16cid:durableId="1598249859">
    <w:abstractNumId w:val="11"/>
  </w:num>
  <w:num w:numId="18" w16cid:durableId="1270700213">
    <w:abstractNumId w:val="12"/>
    <w:lvlOverride w:ilvl="0">
      <w:startOverride w:val="1"/>
    </w:lvlOverride>
  </w:num>
  <w:num w:numId="19" w16cid:durableId="171916847">
    <w:abstractNumId w:val="16"/>
  </w:num>
  <w:num w:numId="20" w16cid:durableId="305476719">
    <w:abstractNumId w:val="15"/>
  </w:num>
  <w:num w:numId="21" w16cid:durableId="1065958399">
    <w:abstractNumId w:val="14"/>
  </w:num>
  <w:num w:numId="22" w16cid:durableId="1458839230">
    <w:abstractNumId w:val="13"/>
  </w:num>
  <w:num w:numId="23" w16cid:durableId="8480588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291"/>
    <w:rsid w:val="000027C0"/>
    <w:rsid w:val="000052FB"/>
    <w:rsid w:val="00005A19"/>
    <w:rsid w:val="000117CB"/>
    <w:rsid w:val="00012708"/>
    <w:rsid w:val="000221A1"/>
    <w:rsid w:val="0003148D"/>
    <w:rsid w:val="00031EEC"/>
    <w:rsid w:val="00051566"/>
    <w:rsid w:val="00054288"/>
    <w:rsid w:val="000562A9"/>
    <w:rsid w:val="00062A9A"/>
    <w:rsid w:val="00065058"/>
    <w:rsid w:val="0006578F"/>
    <w:rsid w:val="0008616C"/>
    <w:rsid w:val="00086C39"/>
    <w:rsid w:val="000903EF"/>
    <w:rsid w:val="000A03B2"/>
    <w:rsid w:val="000D0268"/>
    <w:rsid w:val="000D34BE"/>
    <w:rsid w:val="000E102F"/>
    <w:rsid w:val="000E1533"/>
    <w:rsid w:val="000E36F1"/>
    <w:rsid w:val="000E3A73"/>
    <w:rsid w:val="000E414A"/>
    <w:rsid w:val="000F093C"/>
    <w:rsid w:val="000F787B"/>
    <w:rsid w:val="0012091F"/>
    <w:rsid w:val="00126BC2"/>
    <w:rsid w:val="001308B6"/>
    <w:rsid w:val="0013121F"/>
    <w:rsid w:val="00131FE6"/>
    <w:rsid w:val="0013263F"/>
    <w:rsid w:val="001331DF"/>
    <w:rsid w:val="00134DE4"/>
    <w:rsid w:val="0014034D"/>
    <w:rsid w:val="00144D16"/>
    <w:rsid w:val="00150E59"/>
    <w:rsid w:val="00152DE3"/>
    <w:rsid w:val="00155E5D"/>
    <w:rsid w:val="00164CF9"/>
    <w:rsid w:val="001667A6"/>
    <w:rsid w:val="00184AD6"/>
    <w:rsid w:val="00192C2C"/>
    <w:rsid w:val="001976FA"/>
    <w:rsid w:val="001A4AF7"/>
    <w:rsid w:val="001B0349"/>
    <w:rsid w:val="001B1E93"/>
    <w:rsid w:val="001B65C1"/>
    <w:rsid w:val="001C684B"/>
    <w:rsid w:val="001D0CFB"/>
    <w:rsid w:val="001D21AF"/>
    <w:rsid w:val="001D53FC"/>
    <w:rsid w:val="001E1F51"/>
    <w:rsid w:val="001F1E92"/>
    <w:rsid w:val="001F42A5"/>
    <w:rsid w:val="001F7B9D"/>
    <w:rsid w:val="00201C93"/>
    <w:rsid w:val="00206FF0"/>
    <w:rsid w:val="00215533"/>
    <w:rsid w:val="00221357"/>
    <w:rsid w:val="002224B4"/>
    <w:rsid w:val="002447EF"/>
    <w:rsid w:val="00251550"/>
    <w:rsid w:val="00255AFC"/>
    <w:rsid w:val="00256445"/>
    <w:rsid w:val="00263B05"/>
    <w:rsid w:val="0027221A"/>
    <w:rsid w:val="00275B61"/>
    <w:rsid w:val="00280FAF"/>
    <w:rsid w:val="00282656"/>
    <w:rsid w:val="00296B83"/>
    <w:rsid w:val="002A6477"/>
    <w:rsid w:val="002B4015"/>
    <w:rsid w:val="002B78CE"/>
    <w:rsid w:val="002C2FB6"/>
    <w:rsid w:val="002E5FA7"/>
    <w:rsid w:val="002F14A5"/>
    <w:rsid w:val="002F3309"/>
    <w:rsid w:val="002F68FB"/>
    <w:rsid w:val="003008CE"/>
    <w:rsid w:val="003009B7"/>
    <w:rsid w:val="00300E56"/>
    <w:rsid w:val="0030152C"/>
    <w:rsid w:val="0030469C"/>
    <w:rsid w:val="0030491C"/>
    <w:rsid w:val="00306869"/>
    <w:rsid w:val="00321CA6"/>
    <w:rsid w:val="00323763"/>
    <w:rsid w:val="00323C5F"/>
    <w:rsid w:val="00326CC7"/>
    <w:rsid w:val="00326D63"/>
    <w:rsid w:val="003307C6"/>
    <w:rsid w:val="00334C09"/>
    <w:rsid w:val="0035322D"/>
    <w:rsid w:val="0036128B"/>
    <w:rsid w:val="003723D4"/>
    <w:rsid w:val="00381905"/>
    <w:rsid w:val="00381EE8"/>
    <w:rsid w:val="00384CC8"/>
    <w:rsid w:val="003871FD"/>
    <w:rsid w:val="003873EB"/>
    <w:rsid w:val="003A1E30"/>
    <w:rsid w:val="003A25AB"/>
    <w:rsid w:val="003A2829"/>
    <w:rsid w:val="003A5AAC"/>
    <w:rsid w:val="003A728E"/>
    <w:rsid w:val="003A7D1C"/>
    <w:rsid w:val="003B206F"/>
    <w:rsid w:val="003B304B"/>
    <w:rsid w:val="003B3146"/>
    <w:rsid w:val="003D697A"/>
    <w:rsid w:val="003F015E"/>
    <w:rsid w:val="00400414"/>
    <w:rsid w:val="0041446B"/>
    <w:rsid w:val="00424D1D"/>
    <w:rsid w:val="004253D8"/>
    <w:rsid w:val="0044071E"/>
    <w:rsid w:val="0044139C"/>
    <w:rsid w:val="0044329C"/>
    <w:rsid w:val="00446FD5"/>
    <w:rsid w:val="00453E24"/>
    <w:rsid w:val="00457456"/>
    <w:rsid w:val="004577FE"/>
    <w:rsid w:val="00457B9C"/>
    <w:rsid w:val="0046164A"/>
    <w:rsid w:val="004628D2"/>
    <w:rsid w:val="00462DCD"/>
    <w:rsid w:val="00463446"/>
    <w:rsid w:val="004648AD"/>
    <w:rsid w:val="004703A9"/>
    <w:rsid w:val="004709B3"/>
    <w:rsid w:val="00472C63"/>
    <w:rsid w:val="004760DE"/>
    <w:rsid w:val="004763D7"/>
    <w:rsid w:val="00496E12"/>
    <w:rsid w:val="004A004E"/>
    <w:rsid w:val="004A24CF"/>
    <w:rsid w:val="004C3D1D"/>
    <w:rsid w:val="004C3D84"/>
    <w:rsid w:val="004C6592"/>
    <w:rsid w:val="004C7913"/>
    <w:rsid w:val="004C79B2"/>
    <w:rsid w:val="004D7FD8"/>
    <w:rsid w:val="004E4DD6"/>
    <w:rsid w:val="004F15DD"/>
    <w:rsid w:val="004F5E36"/>
    <w:rsid w:val="00503920"/>
    <w:rsid w:val="00507B47"/>
    <w:rsid w:val="00507BEF"/>
    <w:rsid w:val="00507CC9"/>
    <w:rsid w:val="005119A5"/>
    <w:rsid w:val="005278B7"/>
    <w:rsid w:val="00532016"/>
    <w:rsid w:val="005346C8"/>
    <w:rsid w:val="00543E7D"/>
    <w:rsid w:val="005440F3"/>
    <w:rsid w:val="00547A68"/>
    <w:rsid w:val="005531C9"/>
    <w:rsid w:val="00557E00"/>
    <w:rsid w:val="00570C43"/>
    <w:rsid w:val="005B2110"/>
    <w:rsid w:val="005B61E6"/>
    <w:rsid w:val="005C77E1"/>
    <w:rsid w:val="005D668A"/>
    <w:rsid w:val="005D6A2F"/>
    <w:rsid w:val="005E1A82"/>
    <w:rsid w:val="005E794C"/>
    <w:rsid w:val="005F0A28"/>
    <w:rsid w:val="005F0E5E"/>
    <w:rsid w:val="00600535"/>
    <w:rsid w:val="00610CD6"/>
    <w:rsid w:val="00620DEE"/>
    <w:rsid w:val="00621F92"/>
    <w:rsid w:val="0062280A"/>
    <w:rsid w:val="00625639"/>
    <w:rsid w:val="00631B33"/>
    <w:rsid w:val="00632B10"/>
    <w:rsid w:val="0064184D"/>
    <w:rsid w:val="006422CC"/>
    <w:rsid w:val="00660E3E"/>
    <w:rsid w:val="00662E74"/>
    <w:rsid w:val="00676197"/>
    <w:rsid w:val="00680C23"/>
    <w:rsid w:val="00693766"/>
    <w:rsid w:val="006A3281"/>
    <w:rsid w:val="006B1C55"/>
    <w:rsid w:val="006B4888"/>
    <w:rsid w:val="006C2E45"/>
    <w:rsid w:val="006C359C"/>
    <w:rsid w:val="006C5579"/>
    <w:rsid w:val="006C584C"/>
    <w:rsid w:val="006D6E8B"/>
    <w:rsid w:val="006E737D"/>
    <w:rsid w:val="00702600"/>
    <w:rsid w:val="00707DD1"/>
    <w:rsid w:val="00713973"/>
    <w:rsid w:val="00720A24"/>
    <w:rsid w:val="00724343"/>
    <w:rsid w:val="00732386"/>
    <w:rsid w:val="0073514D"/>
    <w:rsid w:val="007447F3"/>
    <w:rsid w:val="00744B0F"/>
    <w:rsid w:val="0075499F"/>
    <w:rsid w:val="007661C8"/>
    <w:rsid w:val="0077098D"/>
    <w:rsid w:val="007711D6"/>
    <w:rsid w:val="007931FA"/>
    <w:rsid w:val="007933A2"/>
    <w:rsid w:val="007A4861"/>
    <w:rsid w:val="007A7BBA"/>
    <w:rsid w:val="007B0C50"/>
    <w:rsid w:val="007B48F9"/>
    <w:rsid w:val="007B4C1A"/>
    <w:rsid w:val="007C1A43"/>
    <w:rsid w:val="007D0951"/>
    <w:rsid w:val="007D4AEC"/>
    <w:rsid w:val="007D6C17"/>
    <w:rsid w:val="007E17C7"/>
    <w:rsid w:val="0080013E"/>
    <w:rsid w:val="0080693D"/>
    <w:rsid w:val="00813288"/>
    <w:rsid w:val="008168FC"/>
    <w:rsid w:val="00820ABE"/>
    <w:rsid w:val="00830996"/>
    <w:rsid w:val="008345F1"/>
    <w:rsid w:val="00865B07"/>
    <w:rsid w:val="008667EA"/>
    <w:rsid w:val="0087637F"/>
    <w:rsid w:val="00886AC7"/>
    <w:rsid w:val="00892AD5"/>
    <w:rsid w:val="008A1512"/>
    <w:rsid w:val="008D0582"/>
    <w:rsid w:val="008D32B9"/>
    <w:rsid w:val="008D433B"/>
    <w:rsid w:val="008D4A16"/>
    <w:rsid w:val="008E566E"/>
    <w:rsid w:val="0090161A"/>
    <w:rsid w:val="00901EB6"/>
    <w:rsid w:val="00904C62"/>
    <w:rsid w:val="0091325C"/>
    <w:rsid w:val="00922BA8"/>
    <w:rsid w:val="00924DAC"/>
    <w:rsid w:val="00927058"/>
    <w:rsid w:val="00934E6B"/>
    <w:rsid w:val="00942750"/>
    <w:rsid w:val="009450CE"/>
    <w:rsid w:val="009459BB"/>
    <w:rsid w:val="00947179"/>
    <w:rsid w:val="00947991"/>
    <w:rsid w:val="0095164B"/>
    <w:rsid w:val="00954090"/>
    <w:rsid w:val="009573E7"/>
    <w:rsid w:val="009608FB"/>
    <w:rsid w:val="00963E05"/>
    <w:rsid w:val="00964A45"/>
    <w:rsid w:val="00967843"/>
    <w:rsid w:val="00967D54"/>
    <w:rsid w:val="00970074"/>
    <w:rsid w:val="00971028"/>
    <w:rsid w:val="00990B03"/>
    <w:rsid w:val="00993B84"/>
    <w:rsid w:val="00996483"/>
    <w:rsid w:val="00996F5A"/>
    <w:rsid w:val="009A23FE"/>
    <w:rsid w:val="009B041A"/>
    <w:rsid w:val="009C0A22"/>
    <w:rsid w:val="009C37C3"/>
    <w:rsid w:val="009C7C86"/>
    <w:rsid w:val="009D2FF7"/>
    <w:rsid w:val="009D62AF"/>
    <w:rsid w:val="009E092D"/>
    <w:rsid w:val="009E13B0"/>
    <w:rsid w:val="009E5ED2"/>
    <w:rsid w:val="009E7884"/>
    <w:rsid w:val="009E788A"/>
    <w:rsid w:val="009F0E08"/>
    <w:rsid w:val="00A1763D"/>
    <w:rsid w:val="00A17CEC"/>
    <w:rsid w:val="00A27EF0"/>
    <w:rsid w:val="00A42361"/>
    <w:rsid w:val="00A50B20"/>
    <w:rsid w:val="00A51390"/>
    <w:rsid w:val="00A60D13"/>
    <w:rsid w:val="00A7223D"/>
    <w:rsid w:val="00A72745"/>
    <w:rsid w:val="00A76EFC"/>
    <w:rsid w:val="00A85BEE"/>
    <w:rsid w:val="00A87D50"/>
    <w:rsid w:val="00A91010"/>
    <w:rsid w:val="00A97F29"/>
    <w:rsid w:val="00AA702E"/>
    <w:rsid w:val="00AA7D26"/>
    <w:rsid w:val="00AB0964"/>
    <w:rsid w:val="00AB5011"/>
    <w:rsid w:val="00AC7368"/>
    <w:rsid w:val="00AD16B9"/>
    <w:rsid w:val="00AE377D"/>
    <w:rsid w:val="00AF0EBA"/>
    <w:rsid w:val="00AF4663"/>
    <w:rsid w:val="00B02C8A"/>
    <w:rsid w:val="00B0335A"/>
    <w:rsid w:val="00B17FBD"/>
    <w:rsid w:val="00B22452"/>
    <w:rsid w:val="00B315A6"/>
    <w:rsid w:val="00B31813"/>
    <w:rsid w:val="00B33365"/>
    <w:rsid w:val="00B3574B"/>
    <w:rsid w:val="00B47106"/>
    <w:rsid w:val="00B57B36"/>
    <w:rsid w:val="00B57E6F"/>
    <w:rsid w:val="00B8686D"/>
    <w:rsid w:val="00B93F69"/>
    <w:rsid w:val="00BB1DDC"/>
    <w:rsid w:val="00BC204F"/>
    <w:rsid w:val="00BC30C9"/>
    <w:rsid w:val="00BD077D"/>
    <w:rsid w:val="00BE3E58"/>
    <w:rsid w:val="00BF20EA"/>
    <w:rsid w:val="00C01616"/>
    <w:rsid w:val="00C0162B"/>
    <w:rsid w:val="00C068ED"/>
    <w:rsid w:val="00C15F11"/>
    <w:rsid w:val="00C22E0C"/>
    <w:rsid w:val="00C345B1"/>
    <w:rsid w:val="00C40142"/>
    <w:rsid w:val="00C445B6"/>
    <w:rsid w:val="00C51780"/>
    <w:rsid w:val="00C52C3C"/>
    <w:rsid w:val="00C57182"/>
    <w:rsid w:val="00C57863"/>
    <w:rsid w:val="00C61F4E"/>
    <w:rsid w:val="00C62F44"/>
    <w:rsid w:val="00C640AF"/>
    <w:rsid w:val="00C655FD"/>
    <w:rsid w:val="00C67001"/>
    <w:rsid w:val="00C75407"/>
    <w:rsid w:val="00C841C6"/>
    <w:rsid w:val="00C870A8"/>
    <w:rsid w:val="00C94434"/>
    <w:rsid w:val="00CA0D75"/>
    <w:rsid w:val="00CA1C95"/>
    <w:rsid w:val="00CA5A9C"/>
    <w:rsid w:val="00CB3F0E"/>
    <w:rsid w:val="00CC4C20"/>
    <w:rsid w:val="00CD3517"/>
    <w:rsid w:val="00CD5FE2"/>
    <w:rsid w:val="00CE7C68"/>
    <w:rsid w:val="00CF4B75"/>
    <w:rsid w:val="00D02B4C"/>
    <w:rsid w:val="00D040C4"/>
    <w:rsid w:val="00D045F4"/>
    <w:rsid w:val="00D20AD1"/>
    <w:rsid w:val="00D21E50"/>
    <w:rsid w:val="00D2582C"/>
    <w:rsid w:val="00D26603"/>
    <w:rsid w:val="00D46B7E"/>
    <w:rsid w:val="00D57C84"/>
    <w:rsid w:val="00D6057D"/>
    <w:rsid w:val="00D71640"/>
    <w:rsid w:val="00D836C5"/>
    <w:rsid w:val="00D84576"/>
    <w:rsid w:val="00DA1399"/>
    <w:rsid w:val="00DA24C6"/>
    <w:rsid w:val="00DA4D7B"/>
    <w:rsid w:val="00DB21F6"/>
    <w:rsid w:val="00DB53AB"/>
    <w:rsid w:val="00DB55C7"/>
    <w:rsid w:val="00DC28EE"/>
    <w:rsid w:val="00DC76BC"/>
    <w:rsid w:val="00DD271C"/>
    <w:rsid w:val="00DD69B5"/>
    <w:rsid w:val="00DE264A"/>
    <w:rsid w:val="00DF217E"/>
    <w:rsid w:val="00DF5072"/>
    <w:rsid w:val="00E02D18"/>
    <w:rsid w:val="00E041E7"/>
    <w:rsid w:val="00E23CA1"/>
    <w:rsid w:val="00E409A8"/>
    <w:rsid w:val="00E50C12"/>
    <w:rsid w:val="00E65B91"/>
    <w:rsid w:val="00E7209D"/>
    <w:rsid w:val="00E72EAD"/>
    <w:rsid w:val="00E77223"/>
    <w:rsid w:val="00E8528B"/>
    <w:rsid w:val="00E85B94"/>
    <w:rsid w:val="00E978D0"/>
    <w:rsid w:val="00EA4613"/>
    <w:rsid w:val="00EA7F91"/>
    <w:rsid w:val="00EB1523"/>
    <w:rsid w:val="00EC0E49"/>
    <w:rsid w:val="00EC101F"/>
    <w:rsid w:val="00EC1D9F"/>
    <w:rsid w:val="00EE0131"/>
    <w:rsid w:val="00EE041D"/>
    <w:rsid w:val="00EE17B0"/>
    <w:rsid w:val="00EF06D9"/>
    <w:rsid w:val="00EF3D8B"/>
    <w:rsid w:val="00F1185F"/>
    <w:rsid w:val="00F21D80"/>
    <w:rsid w:val="00F224E6"/>
    <w:rsid w:val="00F225F7"/>
    <w:rsid w:val="00F3049E"/>
    <w:rsid w:val="00F30C64"/>
    <w:rsid w:val="00F32BA2"/>
    <w:rsid w:val="00F32CDB"/>
    <w:rsid w:val="00F41DED"/>
    <w:rsid w:val="00F565FE"/>
    <w:rsid w:val="00F63A70"/>
    <w:rsid w:val="00F63D8C"/>
    <w:rsid w:val="00F7534E"/>
    <w:rsid w:val="00F87B7A"/>
    <w:rsid w:val="00F93EDF"/>
    <w:rsid w:val="00FA1802"/>
    <w:rsid w:val="00FA21D0"/>
    <w:rsid w:val="00FA5F5F"/>
    <w:rsid w:val="00FB1DFE"/>
    <w:rsid w:val="00FB730C"/>
    <w:rsid w:val="00FC1023"/>
    <w:rsid w:val="00FC2695"/>
    <w:rsid w:val="00FC3E03"/>
    <w:rsid w:val="00FC3FC1"/>
    <w:rsid w:val="00FE081A"/>
    <w:rsid w:val="00FF4B4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ind w:left="720"/>
      <w:contextualSpacing/>
    </w:pPr>
  </w:style>
  <w:style w:type="character" w:customStyle="1" w:styleId="gmail-apple-converted-space">
    <w:name w:val="gmail-apple-converted-space"/>
    <w:basedOn w:val="Fuentedeprrafopredeter"/>
    <w:rsid w:val="00005A19"/>
  </w:style>
  <w:style w:type="character" w:customStyle="1" w:styleId="html-italic">
    <w:name w:val="html-italic"/>
    <w:basedOn w:val="Fuentedeprrafopredeter"/>
    <w:rsid w:val="000E1533"/>
  </w:style>
  <w:style w:type="character" w:styleId="Refdenotaalpie">
    <w:name w:val="footnote reference"/>
    <w:basedOn w:val="Fuentedeprrafopredeter"/>
    <w:uiPriority w:val="99"/>
    <w:semiHidden/>
    <w:unhideWhenUsed/>
    <w:rsid w:val="000221A1"/>
    <w:rPr>
      <w:vertAlign w:val="superscript"/>
    </w:rPr>
  </w:style>
  <w:style w:type="character" w:customStyle="1" w:styleId="ref-lnk">
    <w:name w:val="ref-lnk"/>
    <w:basedOn w:val="Fuentedeprrafopredeter"/>
    <w:rsid w:val="00D21E50"/>
  </w:style>
  <w:style w:type="character" w:customStyle="1" w:styleId="off-screen">
    <w:name w:val="off-screen"/>
    <w:basedOn w:val="Fuentedeprrafopredeter"/>
    <w:rsid w:val="00D21E50"/>
  </w:style>
  <w:style w:type="character" w:customStyle="1" w:styleId="ref-overlay">
    <w:name w:val="ref-overlay"/>
    <w:basedOn w:val="Fuentedeprrafopredeter"/>
    <w:rsid w:val="00FC1023"/>
  </w:style>
  <w:style w:type="character" w:customStyle="1" w:styleId="hlfld-contribauthor">
    <w:name w:val="hlfld-contribauthor"/>
    <w:basedOn w:val="Fuentedeprrafopredeter"/>
    <w:rsid w:val="00FC1023"/>
  </w:style>
  <w:style w:type="character" w:customStyle="1" w:styleId="nlmgiven-names">
    <w:name w:val="nlm_given-names"/>
    <w:basedOn w:val="Fuentedeprrafopredeter"/>
    <w:rsid w:val="00FC1023"/>
  </w:style>
  <w:style w:type="character" w:customStyle="1" w:styleId="nlmyear">
    <w:name w:val="nlm_year"/>
    <w:basedOn w:val="Fuentedeprrafopredeter"/>
    <w:rsid w:val="00FC1023"/>
  </w:style>
  <w:style w:type="character" w:customStyle="1" w:styleId="nlmarticle-title">
    <w:name w:val="nlm_article-title"/>
    <w:basedOn w:val="Fuentedeprrafopredeter"/>
    <w:rsid w:val="00FC1023"/>
  </w:style>
  <w:style w:type="character" w:customStyle="1" w:styleId="nlmfpage">
    <w:name w:val="nlm_fpage"/>
    <w:basedOn w:val="Fuentedeprrafopredeter"/>
    <w:rsid w:val="00FC1023"/>
  </w:style>
  <w:style w:type="character" w:customStyle="1" w:styleId="nlmlpage">
    <w:name w:val="nlm_lpage"/>
    <w:basedOn w:val="Fuentedeprrafopredeter"/>
    <w:rsid w:val="00FC1023"/>
  </w:style>
  <w:style w:type="character" w:customStyle="1" w:styleId="reflink-block">
    <w:name w:val="reflink-block"/>
    <w:basedOn w:val="Fuentedeprrafopredeter"/>
    <w:rsid w:val="00FC1023"/>
  </w:style>
  <w:style w:type="character" w:customStyle="1" w:styleId="xlinks-container">
    <w:name w:val="xlinks-container"/>
    <w:basedOn w:val="Fuentedeprrafopredeter"/>
    <w:rsid w:val="00FC1023"/>
  </w:style>
  <w:style w:type="character" w:customStyle="1" w:styleId="googlescholar-container">
    <w:name w:val="googlescholar-container"/>
    <w:basedOn w:val="Fuentedeprrafopredeter"/>
    <w:rsid w:val="00FC10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164664">
      <w:bodyDiv w:val="1"/>
      <w:marLeft w:val="0"/>
      <w:marRight w:val="0"/>
      <w:marTop w:val="0"/>
      <w:marBottom w:val="0"/>
      <w:divBdr>
        <w:top w:val="none" w:sz="0" w:space="0" w:color="auto"/>
        <w:left w:val="none" w:sz="0" w:space="0" w:color="auto"/>
        <w:bottom w:val="none" w:sz="0" w:space="0" w:color="auto"/>
        <w:right w:val="none" w:sz="0" w:space="0" w:color="auto"/>
      </w:divBdr>
      <w:divsChild>
        <w:div w:id="1534339046">
          <w:marLeft w:val="0"/>
          <w:marRight w:val="0"/>
          <w:marTop w:val="0"/>
          <w:marBottom w:val="0"/>
          <w:divBdr>
            <w:top w:val="none" w:sz="0" w:space="0" w:color="auto"/>
            <w:left w:val="none" w:sz="0" w:space="0" w:color="auto"/>
            <w:bottom w:val="none" w:sz="0" w:space="0" w:color="auto"/>
            <w:right w:val="none" w:sz="0" w:space="0" w:color="auto"/>
          </w:divBdr>
          <w:divsChild>
            <w:div w:id="1947762582">
              <w:marLeft w:val="0"/>
              <w:marRight w:val="0"/>
              <w:marTop w:val="0"/>
              <w:marBottom w:val="0"/>
              <w:divBdr>
                <w:top w:val="none" w:sz="0" w:space="0" w:color="auto"/>
                <w:left w:val="none" w:sz="0" w:space="0" w:color="auto"/>
                <w:bottom w:val="none" w:sz="0" w:space="0" w:color="auto"/>
                <w:right w:val="none" w:sz="0" w:space="0" w:color="auto"/>
              </w:divBdr>
              <w:divsChild>
                <w:div w:id="44735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831398">
      <w:bodyDiv w:val="1"/>
      <w:marLeft w:val="0"/>
      <w:marRight w:val="0"/>
      <w:marTop w:val="0"/>
      <w:marBottom w:val="0"/>
      <w:divBdr>
        <w:top w:val="none" w:sz="0" w:space="0" w:color="auto"/>
        <w:left w:val="none" w:sz="0" w:space="0" w:color="auto"/>
        <w:bottom w:val="none" w:sz="0" w:space="0" w:color="auto"/>
        <w:right w:val="none" w:sz="0" w:space="0" w:color="auto"/>
      </w:divBdr>
      <w:divsChild>
        <w:div w:id="2132626208">
          <w:marLeft w:val="0"/>
          <w:marRight w:val="0"/>
          <w:marTop w:val="0"/>
          <w:marBottom w:val="0"/>
          <w:divBdr>
            <w:top w:val="none" w:sz="0" w:space="0" w:color="auto"/>
            <w:left w:val="none" w:sz="0" w:space="0" w:color="auto"/>
            <w:bottom w:val="none" w:sz="0" w:space="0" w:color="auto"/>
            <w:right w:val="none" w:sz="0" w:space="0" w:color="auto"/>
          </w:divBdr>
          <w:divsChild>
            <w:div w:id="1154951901">
              <w:marLeft w:val="0"/>
              <w:marRight w:val="0"/>
              <w:marTop w:val="0"/>
              <w:marBottom w:val="0"/>
              <w:divBdr>
                <w:top w:val="none" w:sz="0" w:space="0" w:color="auto"/>
                <w:left w:val="none" w:sz="0" w:space="0" w:color="auto"/>
                <w:bottom w:val="none" w:sz="0" w:space="0" w:color="auto"/>
                <w:right w:val="none" w:sz="0" w:space="0" w:color="auto"/>
              </w:divBdr>
              <w:divsChild>
                <w:div w:id="59290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78648">
      <w:bodyDiv w:val="1"/>
      <w:marLeft w:val="0"/>
      <w:marRight w:val="0"/>
      <w:marTop w:val="0"/>
      <w:marBottom w:val="0"/>
      <w:divBdr>
        <w:top w:val="none" w:sz="0" w:space="0" w:color="auto"/>
        <w:left w:val="none" w:sz="0" w:space="0" w:color="auto"/>
        <w:bottom w:val="none" w:sz="0" w:space="0" w:color="auto"/>
        <w:right w:val="none" w:sz="0" w:space="0" w:color="auto"/>
      </w:divBdr>
      <w:divsChild>
        <w:div w:id="1201819525">
          <w:marLeft w:val="0"/>
          <w:marRight w:val="0"/>
          <w:marTop w:val="0"/>
          <w:marBottom w:val="0"/>
          <w:divBdr>
            <w:top w:val="none" w:sz="0" w:space="0" w:color="auto"/>
            <w:left w:val="none" w:sz="0" w:space="0" w:color="auto"/>
            <w:bottom w:val="none" w:sz="0" w:space="0" w:color="auto"/>
            <w:right w:val="none" w:sz="0" w:space="0" w:color="auto"/>
          </w:divBdr>
          <w:divsChild>
            <w:div w:id="177426199">
              <w:marLeft w:val="0"/>
              <w:marRight w:val="0"/>
              <w:marTop w:val="0"/>
              <w:marBottom w:val="0"/>
              <w:divBdr>
                <w:top w:val="none" w:sz="0" w:space="0" w:color="auto"/>
                <w:left w:val="none" w:sz="0" w:space="0" w:color="auto"/>
                <w:bottom w:val="none" w:sz="0" w:space="0" w:color="auto"/>
                <w:right w:val="none" w:sz="0" w:space="0" w:color="auto"/>
              </w:divBdr>
              <w:divsChild>
                <w:div w:id="1600289671">
                  <w:marLeft w:val="0"/>
                  <w:marRight w:val="0"/>
                  <w:marTop w:val="0"/>
                  <w:marBottom w:val="0"/>
                  <w:divBdr>
                    <w:top w:val="none" w:sz="0" w:space="0" w:color="auto"/>
                    <w:left w:val="none" w:sz="0" w:space="0" w:color="auto"/>
                    <w:bottom w:val="none" w:sz="0" w:space="0" w:color="auto"/>
                    <w:right w:val="none" w:sz="0" w:space="0" w:color="auto"/>
                  </w:divBdr>
                  <w:divsChild>
                    <w:div w:id="1896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18962">
      <w:bodyDiv w:val="1"/>
      <w:marLeft w:val="0"/>
      <w:marRight w:val="0"/>
      <w:marTop w:val="0"/>
      <w:marBottom w:val="0"/>
      <w:divBdr>
        <w:top w:val="none" w:sz="0" w:space="0" w:color="auto"/>
        <w:left w:val="none" w:sz="0" w:space="0" w:color="auto"/>
        <w:bottom w:val="none" w:sz="0" w:space="0" w:color="auto"/>
        <w:right w:val="none" w:sz="0" w:space="0" w:color="auto"/>
      </w:divBdr>
      <w:divsChild>
        <w:div w:id="790592790">
          <w:marLeft w:val="0"/>
          <w:marRight w:val="0"/>
          <w:marTop w:val="0"/>
          <w:marBottom w:val="0"/>
          <w:divBdr>
            <w:top w:val="none" w:sz="0" w:space="0" w:color="auto"/>
            <w:left w:val="none" w:sz="0" w:space="0" w:color="auto"/>
            <w:bottom w:val="none" w:sz="0" w:space="0" w:color="auto"/>
            <w:right w:val="none" w:sz="0" w:space="0" w:color="auto"/>
          </w:divBdr>
          <w:divsChild>
            <w:div w:id="2017225376">
              <w:marLeft w:val="0"/>
              <w:marRight w:val="0"/>
              <w:marTop w:val="0"/>
              <w:marBottom w:val="0"/>
              <w:divBdr>
                <w:top w:val="none" w:sz="0" w:space="0" w:color="auto"/>
                <w:left w:val="none" w:sz="0" w:space="0" w:color="auto"/>
                <w:bottom w:val="none" w:sz="0" w:space="0" w:color="auto"/>
                <w:right w:val="none" w:sz="0" w:space="0" w:color="auto"/>
              </w:divBdr>
              <w:divsChild>
                <w:div w:id="44893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FD4DDD-9F31-4A1E-8837-0668ABD7A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11720</Words>
  <Characters>67743</Characters>
  <Application>Microsoft Office Word</Application>
  <DocSecurity>0</DocSecurity>
  <Lines>1231</Lines>
  <Paragraphs>588</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78875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Diego</cp:lastModifiedBy>
  <cp:revision>4</cp:revision>
  <cp:lastPrinted>2015-05-12T18:31:00Z</cp:lastPrinted>
  <dcterms:created xsi:type="dcterms:W3CDTF">2023-04-06T08:52:00Z</dcterms:created>
  <dcterms:modified xsi:type="dcterms:W3CDTF">2023-04-06T08:53:00Z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http://www.zotero.org/styles/antioxidants</vt:lpwstr>
  </property>
  <property fmtid="{D5CDD505-2E9C-101B-9397-08002B2CF9AE}" pid="11" name="Mendeley Recent Style Name 3_1">
    <vt:lpwstr>Antioxidants</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http://www.zotero.org/styles/multidisciplinary-digital-publishing-institute</vt:lpwstr>
  </property>
  <property fmtid="{D5CDD505-2E9C-101B-9397-08002B2CF9AE}" pid="19" name="Mendeley Recent Style Name 7_1">
    <vt:lpwstr>Multidisciplinary Digital Publishing Institute</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http://www.zotero.org/styles/the-journal-of-supercritical-fluids</vt:lpwstr>
  </property>
  <property fmtid="{D5CDD505-2E9C-101B-9397-08002B2CF9AE}" pid="23" name="Mendeley Recent Style Name 9_1">
    <vt:lpwstr>The Journal of Supercritical Fluids</vt:lpwstr>
  </property>
  <property fmtid="{D5CDD505-2E9C-101B-9397-08002B2CF9AE}" pid="24" name="Mendeley Document_1">
    <vt:lpwstr>True</vt:lpwstr>
  </property>
  <property fmtid="{D5CDD505-2E9C-101B-9397-08002B2CF9AE}" pid="25" name="Mendeley Unique User Id_1">
    <vt:lpwstr>cecf2fb3-bae9-37d3-883a-cb6ade6c0715</vt:lpwstr>
  </property>
  <property fmtid="{D5CDD505-2E9C-101B-9397-08002B2CF9AE}" pid="26" name="Mendeley Citation Style_1">
    <vt:lpwstr>http://www.zotero.org/styles/apa</vt:lpwstr>
  </property>
</Properties>
</file>