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2A35C8"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2A35C8" w:rsidRDefault="000A03B2" w:rsidP="00DE264A">
            <w:pPr>
              <w:tabs>
                <w:tab w:val="left" w:pos="-108"/>
              </w:tabs>
              <w:ind w:left="-108"/>
              <w:jc w:val="left"/>
              <w:rPr>
                <w:rFonts w:cs="Arial"/>
                <w:b/>
                <w:bCs/>
                <w:i/>
                <w:iCs/>
                <w:color w:val="000066"/>
                <w:sz w:val="12"/>
                <w:szCs w:val="12"/>
                <w:lang w:eastAsia="it-IT"/>
              </w:rPr>
            </w:pPr>
            <w:r w:rsidRPr="002A35C8">
              <w:rPr>
                <w:rFonts w:ascii="AdvP6960" w:hAnsi="AdvP6960" w:cs="AdvP6960"/>
                <w:noProof/>
                <w:color w:val="241F20"/>
                <w:szCs w:val="18"/>
                <w:lang w:val="es-ES" w:eastAsia="es-E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2A35C8">
              <w:rPr>
                <w:rFonts w:ascii="AdvP6960" w:hAnsi="AdvP6960" w:cs="AdvP6960"/>
                <w:color w:val="241F20"/>
                <w:szCs w:val="18"/>
                <w:lang w:eastAsia="it-IT"/>
              </w:rPr>
              <w:t xml:space="preserve"> </w:t>
            </w:r>
            <w:r w:rsidRPr="002A35C8">
              <w:rPr>
                <w:rFonts w:cs="Arial"/>
                <w:b/>
                <w:bCs/>
                <w:i/>
                <w:iCs/>
                <w:color w:val="000066"/>
                <w:sz w:val="24"/>
                <w:szCs w:val="24"/>
                <w:lang w:eastAsia="it-IT"/>
              </w:rPr>
              <w:t>CHEMICAL ENGINEERING</w:t>
            </w:r>
            <w:r w:rsidRPr="002A35C8">
              <w:rPr>
                <w:rFonts w:cs="Arial"/>
                <w:b/>
                <w:bCs/>
                <w:i/>
                <w:iCs/>
                <w:color w:val="0033FF"/>
                <w:sz w:val="24"/>
                <w:szCs w:val="24"/>
                <w:lang w:eastAsia="it-IT"/>
              </w:rPr>
              <w:t xml:space="preserve"> </w:t>
            </w:r>
            <w:r w:rsidRPr="002A35C8">
              <w:rPr>
                <w:rFonts w:cs="Arial"/>
                <w:b/>
                <w:bCs/>
                <w:i/>
                <w:iCs/>
                <w:color w:val="666666"/>
                <w:sz w:val="24"/>
                <w:szCs w:val="24"/>
                <w:lang w:eastAsia="it-IT"/>
              </w:rPr>
              <w:t>TRANSACTIONS</w:t>
            </w:r>
            <w:r w:rsidRPr="002A35C8">
              <w:rPr>
                <w:color w:val="333333"/>
                <w:sz w:val="24"/>
                <w:szCs w:val="24"/>
                <w:lang w:eastAsia="it-IT"/>
              </w:rPr>
              <w:t xml:space="preserve"> </w:t>
            </w:r>
            <w:r w:rsidRPr="002A35C8">
              <w:rPr>
                <w:rFonts w:cs="Arial"/>
                <w:b/>
                <w:bCs/>
                <w:i/>
                <w:iCs/>
                <w:color w:val="000066"/>
                <w:sz w:val="27"/>
                <w:szCs w:val="27"/>
                <w:lang w:eastAsia="it-IT"/>
              </w:rPr>
              <w:br/>
            </w:r>
          </w:p>
          <w:p w14:paraId="4B780582" w14:textId="530285EB" w:rsidR="000A03B2" w:rsidRPr="002A35C8" w:rsidRDefault="00A76EFC" w:rsidP="001D21AF">
            <w:pPr>
              <w:tabs>
                <w:tab w:val="left" w:pos="-108"/>
              </w:tabs>
              <w:ind w:left="-108"/>
              <w:rPr>
                <w:rFonts w:cs="Arial"/>
                <w:b/>
                <w:bCs/>
                <w:i/>
                <w:iCs/>
                <w:color w:val="000066"/>
                <w:sz w:val="22"/>
                <w:szCs w:val="22"/>
                <w:lang w:eastAsia="it-IT"/>
              </w:rPr>
            </w:pPr>
            <w:r w:rsidRPr="002A35C8">
              <w:rPr>
                <w:rFonts w:cs="Arial"/>
                <w:b/>
                <w:bCs/>
                <w:i/>
                <w:iCs/>
                <w:color w:val="000066"/>
                <w:sz w:val="22"/>
                <w:szCs w:val="22"/>
                <w:lang w:eastAsia="it-IT"/>
              </w:rPr>
              <w:t xml:space="preserve">VOL. </w:t>
            </w:r>
            <w:r w:rsidR="0030152C" w:rsidRPr="002A35C8">
              <w:rPr>
                <w:rFonts w:cs="Arial"/>
                <w:b/>
                <w:bCs/>
                <w:i/>
                <w:iCs/>
                <w:color w:val="000066"/>
                <w:sz w:val="22"/>
                <w:szCs w:val="22"/>
                <w:lang w:eastAsia="it-IT"/>
              </w:rPr>
              <w:t xml:space="preserve">   </w:t>
            </w:r>
            <w:r w:rsidR="007B48F9" w:rsidRPr="002A35C8">
              <w:rPr>
                <w:rFonts w:cs="Arial"/>
                <w:b/>
                <w:bCs/>
                <w:i/>
                <w:iCs/>
                <w:color w:val="000066"/>
                <w:sz w:val="22"/>
                <w:szCs w:val="22"/>
                <w:lang w:eastAsia="it-IT"/>
              </w:rPr>
              <w:t>,</w:t>
            </w:r>
            <w:r w:rsidR="00FA5F5F" w:rsidRPr="002A35C8">
              <w:rPr>
                <w:rFonts w:cs="Arial"/>
                <w:b/>
                <w:bCs/>
                <w:i/>
                <w:iCs/>
                <w:color w:val="000066"/>
                <w:sz w:val="22"/>
                <w:szCs w:val="22"/>
                <w:lang w:eastAsia="it-IT"/>
              </w:rPr>
              <w:t xml:space="preserve"> </w:t>
            </w:r>
            <w:r w:rsidR="0030152C" w:rsidRPr="002A35C8">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2A35C8" w:rsidRDefault="000A03B2" w:rsidP="00CD5FE2">
            <w:pPr>
              <w:spacing w:line="140" w:lineRule="atLeast"/>
              <w:jc w:val="right"/>
              <w:rPr>
                <w:rFonts w:cs="Arial"/>
                <w:sz w:val="14"/>
                <w:szCs w:val="14"/>
              </w:rPr>
            </w:pPr>
            <w:r w:rsidRPr="002A35C8">
              <w:rPr>
                <w:rFonts w:cs="Arial"/>
                <w:sz w:val="14"/>
                <w:szCs w:val="14"/>
              </w:rPr>
              <w:t>A publication of</w:t>
            </w:r>
          </w:p>
          <w:p w14:paraId="599E5441" w14:textId="77777777" w:rsidR="000A03B2" w:rsidRPr="002A35C8" w:rsidRDefault="000A03B2" w:rsidP="00CD5FE2">
            <w:pPr>
              <w:jc w:val="right"/>
            </w:pPr>
            <w:r w:rsidRPr="002A35C8">
              <w:rPr>
                <w:noProof/>
                <w:lang w:val="es-ES" w:eastAsia="es-E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2A35C8" w14:paraId="380FA3CD" w14:textId="77777777" w:rsidTr="00DE264A">
        <w:trPr>
          <w:trHeight w:val="567"/>
          <w:jc w:val="center"/>
        </w:trPr>
        <w:tc>
          <w:tcPr>
            <w:tcW w:w="6946" w:type="dxa"/>
            <w:vMerge/>
            <w:tcBorders>
              <w:right w:val="single" w:sz="4" w:space="0" w:color="auto"/>
            </w:tcBorders>
          </w:tcPr>
          <w:p w14:paraId="39E5E4C1" w14:textId="77777777" w:rsidR="000A03B2" w:rsidRPr="002A35C8"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2A35C8" w:rsidRDefault="000A03B2" w:rsidP="00CD5FE2">
            <w:pPr>
              <w:spacing w:line="140" w:lineRule="atLeast"/>
              <w:jc w:val="right"/>
              <w:rPr>
                <w:rFonts w:cs="Arial"/>
                <w:sz w:val="14"/>
                <w:szCs w:val="14"/>
              </w:rPr>
            </w:pPr>
            <w:r w:rsidRPr="002A35C8">
              <w:rPr>
                <w:rFonts w:cs="Arial"/>
                <w:sz w:val="14"/>
                <w:szCs w:val="14"/>
              </w:rPr>
              <w:t>The Italian Association</w:t>
            </w:r>
          </w:p>
          <w:p w14:paraId="7522B1D2" w14:textId="77777777" w:rsidR="000A03B2" w:rsidRPr="002A35C8" w:rsidRDefault="000A03B2" w:rsidP="00CD5FE2">
            <w:pPr>
              <w:spacing w:line="140" w:lineRule="atLeast"/>
              <w:jc w:val="right"/>
              <w:rPr>
                <w:rFonts w:cs="Arial"/>
                <w:sz w:val="14"/>
                <w:szCs w:val="14"/>
              </w:rPr>
            </w:pPr>
            <w:r w:rsidRPr="002A35C8">
              <w:rPr>
                <w:rFonts w:cs="Arial"/>
                <w:sz w:val="14"/>
                <w:szCs w:val="14"/>
              </w:rPr>
              <w:t>of Chemical Engineering</w:t>
            </w:r>
          </w:p>
          <w:p w14:paraId="4F0CC5DE" w14:textId="47FDB2FC" w:rsidR="000A03B2" w:rsidRPr="002A35C8" w:rsidRDefault="000D0268" w:rsidP="00CD5FE2">
            <w:pPr>
              <w:spacing w:line="140" w:lineRule="atLeast"/>
              <w:jc w:val="right"/>
              <w:rPr>
                <w:rFonts w:cs="Arial"/>
                <w:sz w:val="13"/>
                <w:szCs w:val="13"/>
              </w:rPr>
            </w:pPr>
            <w:r w:rsidRPr="002A35C8">
              <w:rPr>
                <w:rFonts w:cs="Arial"/>
                <w:sz w:val="13"/>
                <w:szCs w:val="13"/>
              </w:rPr>
              <w:t>Online at www.cetjournal.it</w:t>
            </w:r>
          </w:p>
        </w:tc>
      </w:tr>
      <w:tr w:rsidR="000A03B2" w:rsidRPr="002A35C8" w14:paraId="2D1B7169" w14:textId="77777777" w:rsidTr="00DE264A">
        <w:trPr>
          <w:trHeight w:val="68"/>
          <w:jc w:val="center"/>
        </w:trPr>
        <w:tc>
          <w:tcPr>
            <w:tcW w:w="8789" w:type="dxa"/>
            <w:gridSpan w:val="2"/>
          </w:tcPr>
          <w:p w14:paraId="1D8DD3C9" w14:textId="72C518CF" w:rsidR="00AA7D26" w:rsidRPr="002A35C8" w:rsidRDefault="00AA7D26" w:rsidP="00AA7D26">
            <w:pPr>
              <w:ind w:left="-107"/>
              <w:outlineLvl w:val="2"/>
              <w:rPr>
                <w:rFonts w:ascii="Tahoma" w:hAnsi="Tahoma" w:cs="Tahoma"/>
                <w:bCs/>
                <w:color w:val="000000"/>
                <w:sz w:val="14"/>
                <w:szCs w:val="14"/>
                <w:lang w:eastAsia="it-IT"/>
              </w:rPr>
            </w:pPr>
            <w:r w:rsidRPr="002A35C8">
              <w:rPr>
                <w:rFonts w:ascii="Tahoma" w:hAnsi="Tahoma" w:cs="Tahoma"/>
                <w:iCs/>
                <w:color w:val="333333"/>
                <w:sz w:val="14"/>
                <w:szCs w:val="14"/>
                <w:lang w:eastAsia="it-IT"/>
              </w:rPr>
              <w:t>Guest Editor:</w:t>
            </w:r>
            <w:r w:rsidRPr="002A35C8">
              <w:rPr>
                <w:rFonts w:ascii="Tahoma" w:hAnsi="Tahoma" w:cs="Tahoma"/>
                <w:color w:val="000000"/>
                <w:sz w:val="14"/>
                <w:szCs w:val="14"/>
                <w:shd w:val="clear" w:color="auto" w:fill="FFFFFF"/>
              </w:rPr>
              <w:t xml:space="preserve"> </w:t>
            </w:r>
            <w:r w:rsidRPr="002A35C8">
              <w:rPr>
                <w:rFonts w:ascii="Tahoma" w:hAnsi="Tahoma" w:cs="Tahoma"/>
                <w:sz w:val="14"/>
                <w:szCs w:val="14"/>
              </w:rPr>
              <w:t>Sauro Pierucci</w:t>
            </w:r>
          </w:p>
          <w:p w14:paraId="1B0F1814" w14:textId="650290B9" w:rsidR="000A03B2" w:rsidRPr="002A35C8" w:rsidRDefault="00AA7D26" w:rsidP="00AA7D26">
            <w:pPr>
              <w:tabs>
                <w:tab w:val="left" w:pos="-108"/>
              </w:tabs>
              <w:spacing w:line="140" w:lineRule="atLeast"/>
              <w:ind w:left="-107"/>
              <w:jc w:val="left"/>
            </w:pPr>
            <w:r w:rsidRPr="002A35C8">
              <w:rPr>
                <w:rFonts w:ascii="Tahoma" w:hAnsi="Tahoma" w:cs="Tahoma"/>
                <w:iCs/>
                <w:color w:val="333333"/>
                <w:sz w:val="14"/>
                <w:szCs w:val="14"/>
                <w:lang w:eastAsia="it-IT"/>
              </w:rPr>
              <w:t>Copyright © 2023, AIDIC Servizi S.r.l.</w:t>
            </w:r>
            <w:r w:rsidRPr="002A35C8">
              <w:rPr>
                <w:rFonts w:ascii="Tahoma" w:hAnsi="Tahoma" w:cs="Tahoma"/>
                <w:iCs/>
                <w:color w:val="333333"/>
                <w:sz w:val="14"/>
                <w:szCs w:val="14"/>
                <w:lang w:eastAsia="it-IT"/>
              </w:rPr>
              <w:br/>
            </w:r>
            <w:r w:rsidRPr="002A35C8">
              <w:rPr>
                <w:rFonts w:ascii="Tahoma" w:hAnsi="Tahoma" w:cs="Tahoma"/>
                <w:b/>
                <w:iCs/>
                <w:color w:val="000000"/>
                <w:sz w:val="14"/>
                <w:szCs w:val="14"/>
                <w:lang w:eastAsia="it-IT"/>
              </w:rPr>
              <w:t>ISBN</w:t>
            </w:r>
            <w:r w:rsidRPr="002A35C8">
              <w:rPr>
                <w:rFonts w:ascii="Tahoma" w:hAnsi="Tahoma" w:cs="Tahoma"/>
                <w:iCs/>
                <w:color w:val="000000"/>
                <w:sz w:val="14"/>
                <w:szCs w:val="14"/>
                <w:lang w:eastAsia="it-IT"/>
              </w:rPr>
              <w:t xml:space="preserve"> </w:t>
            </w:r>
            <w:r w:rsidRPr="002A35C8">
              <w:rPr>
                <w:rFonts w:ascii="Tahoma" w:hAnsi="Tahoma" w:cs="Tahoma"/>
                <w:sz w:val="14"/>
                <w:szCs w:val="14"/>
              </w:rPr>
              <w:t>978-88-95608-98-3</w:t>
            </w:r>
            <w:r w:rsidRPr="002A35C8">
              <w:rPr>
                <w:rFonts w:ascii="Tahoma" w:hAnsi="Tahoma" w:cs="Tahoma"/>
                <w:iCs/>
                <w:color w:val="333333"/>
                <w:sz w:val="14"/>
                <w:szCs w:val="14"/>
                <w:lang w:eastAsia="it-IT"/>
              </w:rPr>
              <w:t xml:space="preserve">; </w:t>
            </w:r>
            <w:r w:rsidRPr="002A35C8">
              <w:rPr>
                <w:rFonts w:ascii="Tahoma" w:hAnsi="Tahoma" w:cs="Tahoma"/>
                <w:b/>
                <w:iCs/>
                <w:color w:val="333333"/>
                <w:sz w:val="14"/>
                <w:szCs w:val="14"/>
                <w:lang w:eastAsia="it-IT"/>
              </w:rPr>
              <w:t>ISSN</w:t>
            </w:r>
            <w:r w:rsidRPr="002A35C8">
              <w:rPr>
                <w:rFonts w:ascii="Tahoma" w:hAnsi="Tahoma" w:cs="Tahoma"/>
                <w:iCs/>
                <w:color w:val="333333"/>
                <w:sz w:val="14"/>
                <w:szCs w:val="14"/>
                <w:lang w:eastAsia="it-IT"/>
              </w:rPr>
              <w:t xml:space="preserve"> 2283-9216</w:t>
            </w:r>
          </w:p>
        </w:tc>
      </w:tr>
    </w:tbl>
    <w:p w14:paraId="2E667253" w14:textId="2ACC4385" w:rsidR="00E978D0" w:rsidRPr="002A35C8" w:rsidRDefault="000B75E0" w:rsidP="00E978D0">
      <w:pPr>
        <w:pStyle w:val="CETTitle"/>
      </w:pPr>
      <w:r w:rsidRPr="002A35C8">
        <w:t>Bimetallic Ni-Co/Al</w:t>
      </w:r>
      <w:r w:rsidRPr="002A35C8">
        <w:rPr>
          <w:vertAlign w:val="subscript"/>
        </w:rPr>
        <w:t>2</w:t>
      </w:r>
      <w:r w:rsidRPr="002A35C8">
        <w:t>O</w:t>
      </w:r>
      <w:r w:rsidRPr="002A35C8">
        <w:rPr>
          <w:vertAlign w:val="subscript"/>
        </w:rPr>
        <w:t>3</w:t>
      </w:r>
      <w:r w:rsidRPr="002A35C8">
        <w:t xml:space="preserve"> Catalysts Derived from Aluminate Spinels for Dry Reforming of Methane</w:t>
      </w:r>
    </w:p>
    <w:p w14:paraId="0488FED2" w14:textId="3630F709" w:rsidR="00B57E6F" w:rsidRPr="002A35C8" w:rsidRDefault="000B75E0" w:rsidP="000B75E0">
      <w:pPr>
        <w:pStyle w:val="CETAuthors"/>
      </w:pPr>
      <w:r w:rsidRPr="002A35C8">
        <w:t>Andoni Choya*, Julen Ibañez</w:t>
      </w:r>
      <w:r w:rsidR="00B57E6F" w:rsidRPr="002A35C8">
        <w:t>,</w:t>
      </w:r>
      <w:r w:rsidRPr="002A35C8">
        <w:t xml:space="preserve"> Beatriz de Rivas, Jose I. Gutiérrez-Ortiz</w:t>
      </w:r>
      <w:r w:rsidR="005B08D0" w:rsidRPr="002A35C8">
        <w:t xml:space="preserve">,               </w:t>
      </w:r>
      <w:r w:rsidRPr="002A35C8">
        <w:t>Rubén López-Fonseca</w:t>
      </w:r>
    </w:p>
    <w:p w14:paraId="6B2D21B3" w14:textId="53998CAB" w:rsidR="00B57E6F" w:rsidRPr="002A35C8" w:rsidRDefault="000B75E0" w:rsidP="00B57E6F">
      <w:pPr>
        <w:pStyle w:val="CETAddress"/>
      </w:pPr>
      <w:r w:rsidRPr="002A35C8">
        <w:rPr>
          <w:rFonts w:cs="Arial"/>
          <w:i/>
          <w:iCs/>
          <w:szCs w:val="16"/>
        </w:rPr>
        <w:t>Chemical Technologies for Environmental Sustainability Group, Department of Chemical Engineering, Faculty of Science and Technology, University of the Basque Country/EHU, PO Box 644, E-48080 Bilbao, Spain</w:t>
      </w:r>
    </w:p>
    <w:p w14:paraId="73F1267A" w14:textId="34929CA6" w:rsidR="00B57E6F" w:rsidRPr="002A35C8" w:rsidRDefault="000B75E0" w:rsidP="00B57E6F">
      <w:pPr>
        <w:pStyle w:val="CETemail"/>
      </w:pPr>
      <w:r w:rsidRPr="002A35C8">
        <w:t>andoni.choya</w:t>
      </w:r>
      <w:r w:rsidR="00B57E6F" w:rsidRPr="002A35C8">
        <w:t>@</w:t>
      </w:r>
      <w:r w:rsidRPr="002A35C8">
        <w:t>ehu.eus</w:t>
      </w:r>
    </w:p>
    <w:p w14:paraId="7FB2E7FD" w14:textId="3A2D1C2A" w:rsidR="002B6B6B" w:rsidRPr="002A35C8" w:rsidRDefault="0091325C" w:rsidP="00E82F6F">
      <w:pPr>
        <w:pStyle w:val="CETBodytext"/>
        <w:rPr>
          <w:lang w:val="en-GB"/>
        </w:rPr>
      </w:pPr>
      <w:bookmarkStart w:id="0" w:name="_Hlk495475023"/>
      <w:r w:rsidRPr="002A35C8">
        <w:rPr>
          <w:lang w:val="en-GB"/>
        </w:rPr>
        <w:t>Five Ni-Co/Al</w:t>
      </w:r>
      <w:r w:rsidRPr="002A35C8">
        <w:rPr>
          <w:vertAlign w:val="subscript"/>
          <w:lang w:val="en-GB"/>
        </w:rPr>
        <w:t>2</w:t>
      </w:r>
      <w:r w:rsidRPr="002A35C8">
        <w:rPr>
          <w:lang w:val="en-GB"/>
        </w:rPr>
        <w:t>O</w:t>
      </w:r>
      <w:r w:rsidRPr="002A35C8">
        <w:rPr>
          <w:vertAlign w:val="subscript"/>
          <w:lang w:val="en-GB"/>
        </w:rPr>
        <w:t>3</w:t>
      </w:r>
      <w:r w:rsidRPr="002A35C8">
        <w:rPr>
          <w:lang w:val="en-GB"/>
        </w:rPr>
        <w:t xml:space="preserve"> catalysts for dry reforming of methane were obtained by high-temperature reduction of mixed Ni-Co spinel aluminates (Ni</w:t>
      </w:r>
      <w:r w:rsidRPr="002A35C8">
        <w:rPr>
          <w:vertAlign w:val="subscript"/>
          <w:lang w:val="en-GB"/>
        </w:rPr>
        <w:t>x</w:t>
      </w:r>
      <w:r w:rsidRPr="002A35C8">
        <w:rPr>
          <w:lang w:val="en-GB"/>
        </w:rPr>
        <w:t>Co</w:t>
      </w:r>
      <w:r w:rsidRPr="002A35C8">
        <w:rPr>
          <w:vertAlign w:val="subscript"/>
          <w:lang w:val="en-GB"/>
        </w:rPr>
        <w:t>1-x</w:t>
      </w:r>
      <w:r w:rsidRPr="002A35C8">
        <w:rPr>
          <w:lang w:val="en-GB"/>
        </w:rPr>
        <w:t>Al</w:t>
      </w:r>
      <w:r w:rsidRPr="002A35C8">
        <w:rPr>
          <w:vertAlign w:val="subscript"/>
          <w:lang w:val="en-GB"/>
        </w:rPr>
        <w:t>2</w:t>
      </w:r>
      <w:r w:rsidRPr="002A35C8">
        <w:rPr>
          <w:lang w:val="en-GB"/>
        </w:rPr>
        <w:t>O</w:t>
      </w:r>
      <w:r w:rsidRPr="002A35C8">
        <w:rPr>
          <w:vertAlign w:val="subscript"/>
          <w:lang w:val="en-GB"/>
        </w:rPr>
        <w:t>4</w:t>
      </w:r>
      <w:r w:rsidRPr="002A35C8">
        <w:rPr>
          <w:lang w:val="en-GB"/>
        </w:rPr>
        <w:t>) synthesised by a precipitation route. The aim of the study was to determine the effect of the incorporation of cobalt to the nickel aluminate spinel</w:t>
      </w:r>
      <w:r w:rsidR="000925E7" w:rsidRPr="002A35C8">
        <w:rPr>
          <w:lang w:val="en-GB"/>
        </w:rPr>
        <w:t xml:space="preserve"> to the activity and</w:t>
      </w:r>
      <w:r w:rsidRPr="002A35C8">
        <w:rPr>
          <w:lang w:val="en-GB"/>
        </w:rPr>
        <w:t xml:space="preserve"> selectivity of the resulting catalysts.</w:t>
      </w:r>
      <w:r w:rsidR="000925E7" w:rsidRPr="002A35C8">
        <w:rPr>
          <w:lang w:val="en-GB"/>
        </w:rPr>
        <w:t xml:space="preserve"> The results indicated that the addition of cobalt was generally detrimental for the textural and structural properties of the mixed catalysts with respect to the monometallic nickel counterpart, thus producing catalysts with lower metallic dispersion. However, the presence of cobalt in the reduced catalysts resulted in an enhanced selectivity towards H</w:t>
      </w:r>
      <w:r w:rsidR="000925E7" w:rsidRPr="002A35C8">
        <w:rPr>
          <w:vertAlign w:val="subscript"/>
          <w:lang w:val="en-GB"/>
        </w:rPr>
        <w:t>2</w:t>
      </w:r>
      <w:r w:rsidR="000925E7" w:rsidRPr="002A35C8">
        <w:rPr>
          <w:lang w:val="en-GB"/>
        </w:rPr>
        <w:t xml:space="preserve"> generation. In addition to that, the lower Ni content of the mixed catalysts resulted in an improvement in stability. As a result, the Ni</w:t>
      </w:r>
      <w:r w:rsidR="000925E7" w:rsidRPr="002A35C8">
        <w:rPr>
          <w:vertAlign w:val="subscript"/>
          <w:lang w:val="en-GB"/>
        </w:rPr>
        <w:t>0.5</w:t>
      </w:r>
      <w:r w:rsidR="000925E7" w:rsidRPr="002A35C8">
        <w:rPr>
          <w:lang w:val="en-GB"/>
        </w:rPr>
        <w:t>Co</w:t>
      </w:r>
      <w:r w:rsidR="000925E7" w:rsidRPr="002A35C8">
        <w:rPr>
          <w:vertAlign w:val="subscript"/>
          <w:lang w:val="en-GB"/>
        </w:rPr>
        <w:t>0.5</w:t>
      </w:r>
      <w:r w:rsidR="000925E7" w:rsidRPr="002A35C8">
        <w:rPr>
          <w:lang w:val="en-GB"/>
        </w:rPr>
        <w:t>Al</w:t>
      </w:r>
      <w:r w:rsidR="000925E7" w:rsidRPr="002A35C8">
        <w:rPr>
          <w:vertAlign w:val="subscript"/>
          <w:lang w:val="en-GB"/>
        </w:rPr>
        <w:t>2</w:t>
      </w:r>
      <w:r w:rsidR="000925E7" w:rsidRPr="002A35C8">
        <w:rPr>
          <w:lang w:val="en-GB"/>
        </w:rPr>
        <w:t>O</w:t>
      </w:r>
      <w:r w:rsidR="000925E7" w:rsidRPr="002A35C8">
        <w:rPr>
          <w:vertAlign w:val="subscript"/>
          <w:lang w:val="en-GB"/>
        </w:rPr>
        <w:t>4</w:t>
      </w:r>
      <w:r w:rsidR="000925E7" w:rsidRPr="002A35C8">
        <w:rPr>
          <w:lang w:val="en-GB"/>
        </w:rPr>
        <w:t xml:space="preserve"> mixed spinel was able to produce a Ni-Co/Al</w:t>
      </w:r>
      <w:r w:rsidR="000925E7" w:rsidRPr="002A35C8">
        <w:rPr>
          <w:vertAlign w:val="subscript"/>
          <w:lang w:val="en-GB"/>
        </w:rPr>
        <w:t>2</w:t>
      </w:r>
      <w:r w:rsidR="000925E7" w:rsidRPr="002A35C8">
        <w:rPr>
          <w:lang w:val="en-GB"/>
        </w:rPr>
        <w:t>O</w:t>
      </w:r>
      <w:r w:rsidR="000925E7" w:rsidRPr="002A35C8">
        <w:rPr>
          <w:vertAlign w:val="subscript"/>
          <w:lang w:val="en-GB"/>
        </w:rPr>
        <w:t>3</w:t>
      </w:r>
      <w:r w:rsidR="000925E7" w:rsidRPr="002A35C8">
        <w:rPr>
          <w:lang w:val="en-GB"/>
        </w:rPr>
        <w:t xml:space="preserve"> catalyst that exhibited higher reactant conversions, H</w:t>
      </w:r>
      <w:r w:rsidR="000925E7" w:rsidRPr="002A35C8">
        <w:rPr>
          <w:vertAlign w:val="subscript"/>
          <w:lang w:val="en-GB"/>
        </w:rPr>
        <w:t>2</w:t>
      </w:r>
      <w:r w:rsidR="000925E7" w:rsidRPr="002A35C8">
        <w:rPr>
          <w:lang w:val="en-GB"/>
        </w:rPr>
        <w:t>/CO molar ratio of the product stream and higher stability than the Ni/Al</w:t>
      </w:r>
      <w:r w:rsidR="000925E7" w:rsidRPr="002A35C8">
        <w:rPr>
          <w:vertAlign w:val="subscript"/>
          <w:lang w:val="en-GB"/>
        </w:rPr>
        <w:t>2</w:t>
      </w:r>
      <w:r w:rsidR="000925E7" w:rsidRPr="002A35C8">
        <w:rPr>
          <w:lang w:val="en-GB"/>
        </w:rPr>
        <w:t>O</w:t>
      </w:r>
      <w:r w:rsidR="000925E7" w:rsidRPr="002A35C8">
        <w:rPr>
          <w:vertAlign w:val="subscript"/>
          <w:lang w:val="en-GB"/>
        </w:rPr>
        <w:t>3</w:t>
      </w:r>
      <w:r w:rsidR="000925E7" w:rsidRPr="002A35C8">
        <w:rPr>
          <w:lang w:val="en-GB"/>
        </w:rPr>
        <w:t xml:space="preserve"> monometallic catalyst.</w:t>
      </w:r>
    </w:p>
    <w:bookmarkEnd w:id="0"/>
    <w:p w14:paraId="476B2F2E" w14:textId="77777777" w:rsidR="00600535" w:rsidRPr="002A35C8" w:rsidRDefault="00600535" w:rsidP="00600535">
      <w:pPr>
        <w:pStyle w:val="CETHeading1"/>
        <w:rPr>
          <w:lang w:val="en-GB"/>
        </w:rPr>
      </w:pPr>
      <w:r w:rsidRPr="002A35C8">
        <w:rPr>
          <w:lang w:val="en-GB"/>
        </w:rPr>
        <w:t>Introduction</w:t>
      </w:r>
    </w:p>
    <w:p w14:paraId="45DE26A0" w14:textId="4683C094" w:rsidR="00AC5207" w:rsidRPr="002A35C8" w:rsidRDefault="000038CC" w:rsidP="00600535">
      <w:pPr>
        <w:pStyle w:val="CETBodytext"/>
        <w:rPr>
          <w:lang w:val="en-GB"/>
        </w:rPr>
      </w:pPr>
      <w:r w:rsidRPr="002A35C8">
        <w:rPr>
          <w:lang w:val="en-GB"/>
        </w:rPr>
        <w:t>T</w:t>
      </w:r>
      <w:r w:rsidR="00AB0F97" w:rsidRPr="002A35C8">
        <w:rPr>
          <w:lang w:val="en-GB"/>
        </w:rPr>
        <w:t>he dry</w:t>
      </w:r>
      <w:r w:rsidR="00F650C7" w:rsidRPr="002A35C8">
        <w:rPr>
          <w:lang w:val="en-GB"/>
        </w:rPr>
        <w:t xml:space="preserve"> </w:t>
      </w:r>
      <w:r w:rsidR="00AB0F97" w:rsidRPr="002A35C8">
        <w:rPr>
          <w:lang w:val="en-GB"/>
        </w:rPr>
        <w:t>r</w:t>
      </w:r>
      <w:r w:rsidR="00F650C7" w:rsidRPr="002A35C8">
        <w:rPr>
          <w:lang w:val="en-GB"/>
        </w:rPr>
        <w:t>eforming of methane (DRM)</w:t>
      </w:r>
      <w:r w:rsidRPr="002A35C8">
        <w:rPr>
          <w:lang w:val="en-GB"/>
        </w:rPr>
        <w:t xml:space="preserve"> reaction is process of a hig</w:t>
      </w:r>
      <w:r w:rsidR="002A35C8" w:rsidRPr="002A35C8">
        <w:rPr>
          <w:lang w:val="en-GB"/>
        </w:rPr>
        <w:t>h environmental interest, since it</w:t>
      </w:r>
      <w:r w:rsidRPr="002A35C8">
        <w:rPr>
          <w:lang w:val="en-GB"/>
        </w:rPr>
        <w:t xml:space="preserve"> </w:t>
      </w:r>
      <w:r w:rsidR="002A35C8" w:rsidRPr="002A35C8">
        <w:rPr>
          <w:lang w:val="en-GB"/>
        </w:rPr>
        <w:t>converts</w:t>
      </w:r>
      <w:r w:rsidR="00AB0F97" w:rsidRPr="002A35C8">
        <w:rPr>
          <w:lang w:val="en-GB"/>
        </w:rPr>
        <w:t xml:space="preserve"> CO</w:t>
      </w:r>
      <w:r w:rsidR="00AB0F97" w:rsidRPr="002A35C8">
        <w:rPr>
          <w:vertAlign w:val="subscript"/>
          <w:lang w:val="en-GB"/>
        </w:rPr>
        <w:t>2</w:t>
      </w:r>
      <w:r w:rsidR="00AB0F97" w:rsidRPr="002A35C8">
        <w:rPr>
          <w:lang w:val="en-GB"/>
        </w:rPr>
        <w:t xml:space="preserve"> and CH</w:t>
      </w:r>
      <w:r w:rsidR="00AB0F97" w:rsidRPr="002A35C8">
        <w:rPr>
          <w:vertAlign w:val="subscript"/>
          <w:lang w:val="en-GB"/>
        </w:rPr>
        <w:t>4</w:t>
      </w:r>
      <w:r w:rsidR="00AB0F97" w:rsidRPr="002A35C8">
        <w:rPr>
          <w:lang w:val="en-GB"/>
        </w:rPr>
        <w:t xml:space="preserve"> </w:t>
      </w:r>
      <w:r w:rsidR="00F650C7" w:rsidRPr="002A35C8">
        <w:rPr>
          <w:lang w:val="en-GB"/>
        </w:rPr>
        <w:t>into syngas</w:t>
      </w:r>
      <w:r w:rsidR="00AB0F97" w:rsidRPr="002A35C8">
        <w:rPr>
          <w:lang w:val="en-GB"/>
        </w:rPr>
        <w:t xml:space="preserve"> </w:t>
      </w:r>
      <w:r w:rsidR="00F650C7" w:rsidRPr="002A35C8">
        <w:rPr>
          <w:lang w:val="en-GB"/>
        </w:rPr>
        <w:t>(</w:t>
      </w:r>
      <w:r w:rsidR="00AB0F97" w:rsidRPr="002A35C8">
        <w:rPr>
          <w:lang w:val="en-GB"/>
        </w:rPr>
        <w:t>H</w:t>
      </w:r>
      <w:r w:rsidR="00AB0F97" w:rsidRPr="002A35C8">
        <w:rPr>
          <w:vertAlign w:val="subscript"/>
          <w:lang w:val="en-GB"/>
        </w:rPr>
        <w:t>2</w:t>
      </w:r>
      <w:r w:rsidR="00AB0F97" w:rsidRPr="002A35C8">
        <w:rPr>
          <w:lang w:val="en-GB"/>
        </w:rPr>
        <w:t xml:space="preserve"> + CO) with a H</w:t>
      </w:r>
      <w:r w:rsidR="00AB0F97" w:rsidRPr="002A35C8">
        <w:rPr>
          <w:vertAlign w:val="subscript"/>
          <w:lang w:val="en-GB"/>
        </w:rPr>
        <w:t>2</w:t>
      </w:r>
      <w:r w:rsidR="00AB0F97" w:rsidRPr="002A35C8">
        <w:rPr>
          <w:lang w:val="en-GB"/>
        </w:rPr>
        <w:t>/CO ratio of</w:t>
      </w:r>
      <w:r w:rsidR="00F650C7" w:rsidRPr="002A35C8">
        <w:rPr>
          <w:lang w:val="en-GB"/>
        </w:rPr>
        <w:t xml:space="preserve"> around 1</w:t>
      </w:r>
      <w:r w:rsidRPr="002A35C8">
        <w:rPr>
          <w:lang w:val="en-GB"/>
        </w:rPr>
        <w:t xml:space="preserve"> </w:t>
      </w:r>
      <w:r w:rsidR="006C244A" w:rsidRPr="002A35C8">
        <w:rPr>
          <w:lang w:val="en-GB"/>
        </w:rPr>
        <w:t>(Lavoie, 2014)</w:t>
      </w:r>
      <w:r w:rsidRPr="002A35C8">
        <w:rPr>
          <w:lang w:val="en-GB"/>
        </w:rPr>
        <w:t xml:space="preserve">. </w:t>
      </w:r>
      <w:r w:rsidR="00F650C7" w:rsidRPr="002A35C8">
        <w:rPr>
          <w:lang w:val="en-GB"/>
        </w:rPr>
        <w:t xml:space="preserve">Thus, DRM </w:t>
      </w:r>
      <w:r w:rsidR="00AB0F97" w:rsidRPr="002A35C8">
        <w:rPr>
          <w:lang w:val="en-GB"/>
        </w:rPr>
        <w:t xml:space="preserve">utilizes </w:t>
      </w:r>
      <w:r w:rsidR="00F650C7" w:rsidRPr="002A35C8">
        <w:rPr>
          <w:lang w:val="en-GB"/>
        </w:rPr>
        <w:t>greenhouse gases</w:t>
      </w:r>
      <w:r w:rsidR="00AB0F97" w:rsidRPr="002A35C8">
        <w:rPr>
          <w:lang w:val="en-GB"/>
        </w:rPr>
        <w:t xml:space="preserve">, </w:t>
      </w:r>
      <w:r w:rsidR="00F650C7" w:rsidRPr="002A35C8">
        <w:rPr>
          <w:lang w:val="en-GB"/>
        </w:rPr>
        <w:t>to produce</w:t>
      </w:r>
      <w:r w:rsidR="00AB0F97" w:rsidRPr="002A35C8">
        <w:rPr>
          <w:lang w:val="en-GB"/>
        </w:rPr>
        <w:t xml:space="preserve"> an industrially important synthesis gas, which </w:t>
      </w:r>
      <w:r w:rsidR="00F650C7" w:rsidRPr="002A35C8">
        <w:rPr>
          <w:lang w:val="en-GB"/>
        </w:rPr>
        <w:t>can be used</w:t>
      </w:r>
      <w:r w:rsidR="00AB0F97" w:rsidRPr="002A35C8">
        <w:rPr>
          <w:lang w:val="en-GB"/>
        </w:rPr>
        <w:t xml:space="preserve"> for the manufacture of useful value-added products</w:t>
      </w:r>
      <w:r w:rsidR="003F3BD9" w:rsidRPr="002A35C8">
        <w:rPr>
          <w:lang w:val="en-GB"/>
        </w:rPr>
        <w:t>(</w:t>
      </w:r>
      <w:r w:rsidR="003F3BD9" w:rsidRPr="002A35C8">
        <w:t>Sternberg et al., 2017)</w:t>
      </w:r>
      <w:r w:rsidRPr="002A35C8">
        <w:rPr>
          <w:lang w:val="en-GB"/>
        </w:rPr>
        <w:t xml:space="preserve">. </w:t>
      </w:r>
    </w:p>
    <w:p w14:paraId="42C64BD8" w14:textId="539AC893" w:rsidR="00257E2A" w:rsidRPr="002A35C8" w:rsidRDefault="00F650C7" w:rsidP="00600535">
      <w:pPr>
        <w:pStyle w:val="CETBodytext"/>
        <w:rPr>
          <w:lang w:val="en-GB"/>
        </w:rPr>
      </w:pPr>
      <w:r w:rsidRPr="002A35C8">
        <w:rPr>
          <w:lang w:val="en-GB"/>
        </w:rPr>
        <w:t xml:space="preserve">For this process, </w:t>
      </w:r>
      <w:r w:rsidR="00AB0F97" w:rsidRPr="002A35C8">
        <w:rPr>
          <w:lang w:val="en-GB"/>
        </w:rPr>
        <w:t xml:space="preserve">Ni-based catalysts are the most attractive and promising candidates instead of noble </w:t>
      </w:r>
      <w:r w:rsidRPr="002A35C8">
        <w:rPr>
          <w:lang w:val="en-GB"/>
        </w:rPr>
        <w:t>metals</w:t>
      </w:r>
      <w:r w:rsidR="00A16910" w:rsidRPr="002A35C8">
        <w:rPr>
          <w:lang w:val="en-GB"/>
        </w:rPr>
        <w:t xml:space="preserve"> (Aramouni et al., 2018)</w:t>
      </w:r>
      <w:r w:rsidR="000038CC" w:rsidRPr="002A35C8">
        <w:rPr>
          <w:lang w:val="en-GB"/>
        </w:rPr>
        <w:t>, since</w:t>
      </w:r>
      <w:r w:rsidR="00AB0F97" w:rsidRPr="002A35C8">
        <w:rPr>
          <w:lang w:val="en-GB"/>
        </w:rPr>
        <w:t xml:space="preserve"> </w:t>
      </w:r>
      <w:r w:rsidR="000038CC" w:rsidRPr="002A35C8">
        <w:rPr>
          <w:lang w:val="en-GB"/>
        </w:rPr>
        <w:t xml:space="preserve">the nickel-support interaction </w:t>
      </w:r>
      <w:r w:rsidR="00AB0F97" w:rsidRPr="002A35C8">
        <w:rPr>
          <w:lang w:val="en-GB"/>
        </w:rPr>
        <w:t>created d</w:t>
      </w:r>
      <w:r w:rsidR="0003506F" w:rsidRPr="002A35C8">
        <w:rPr>
          <w:lang w:val="en-GB"/>
        </w:rPr>
        <w:t>uring the catalyst preparation allows it to overcome the main deactivation issues of these types of catalysts, which are coke</w:t>
      </w:r>
      <w:r w:rsidR="00833CD4" w:rsidRPr="002A35C8">
        <w:rPr>
          <w:lang w:val="en-GB"/>
        </w:rPr>
        <w:t xml:space="preserve"> formation and sintering.</w:t>
      </w:r>
      <w:r w:rsidR="00AB0F97" w:rsidRPr="002A35C8">
        <w:rPr>
          <w:lang w:val="en-GB"/>
        </w:rPr>
        <w:t xml:space="preserve"> The source of coke during the</w:t>
      </w:r>
      <w:r w:rsidR="0003506F" w:rsidRPr="002A35C8">
        <w:rPr>
          <w:lang w:val="en-GB"/>
        </w:rPr>
        <w:t xml:space="preserve"> DRM reaction can be</w:t>
      </w:r>
      <w:r w:rsidR="00AB0F97" w:rsidRPr="002A35C8">
        <w:rPr>
          <w:lang w:val="en-GB"/>
        </w:rPr>
        <w:t xml:space="preserve"> attributed to two reactions, namely methane cracking</w:t>
      </w:r>
      <w:r w:rsidR="0003506F" w:rsidRPr="002A35C8">
        <w:rPr>
          <w:lang w:val="en-GB"/>
        </w:rPr>
        <w:t xml:space="preserve"> </w:t>
      </w:r>
      <w:r w:rsidR="00AB0F97" w:rsidRPr="002A35C8">
        <w:rPr>
          <w:lang w:val="en-GB"/>
        </w:rPr>
        <w:t>and Boudouar</w:t>
      </w:r>
      <w:r w:rsidR="0003506F" w:rsidRPr="002A35C8">
        <w:rPr>
          <w:lang w:val="en-GB"/>
        </w:rPr>
        <w:t>d reaction</w:t>
      </w:r>
      <w:r w:rsidR="00A16910" w:rsidRPr="002A35C8">
        <w:rPr>
          <w:lang w:val="en-GB"/>
        </w:rPr>
        <w:t xml:space="preserve"> (Arora and Prasad, 2016)</w:t>
      </w:r>
      <w:r w:rsidR="00AB0F97" w:rsidRPr="002A35C8">
        <w:rPr>
          <w:lang w:val="en-GB"/>
        </w:rPr>
        <w:t>. Simultaneously,</w:t>
      </w:r>
      <w:r w:rsidR="0003506F" w:rsidRPr="002A35C8">
        <w:rPr>
          <w:lang w:val="en-GB"/>
        </w:rPr>
        <w:t xml:space="preserve"> the high temperatures (in the 6</w:t>
      </w:r>
      <w:r w:rsidR="00AB0F97" w:rsidRPr="002A35C8">
        <w:rPr>
          <w:lang w:val="en-GB"/>
        </w:rPr>
        <w:t>50-900 ºC range) required for the reaction generally causes an uncontrollable growth of the metallic particles</w:t>
      </w:r>
      <w:r w:rsidR="00B2775D" w:rsidRPr="002A35C8">
        <w:rPr>
          <w:lang w:val="en-GB"/>
        </w:rPr>
        <w:t xml:space="preserve"> (Kawi et al., 2015)</w:t>
      </w:r>
      <w:r w:rsidR="00AB0F97" w:rsidRPr="002A35C8">
        <w:rPr>
          <w:lang w:val="en-GB"/>
        </w:rPr>
        <w:t>.</w:t>
      </w:r>
      <w:r w:rsidR="002B765F" w:rsidRPr="002A35C8">
        <w:rPr>
          <w:lang w:val="en-GB"/>
        </w:rPr>
        <w:t xml:space="preserve"> </w:t>
      </w:r>
      <w:r w:rsidR="000038CC" w:rsidRPr="002A35C8">
        <w:rPr>
          <w:lang w:val="en-GB"/>
        </w:rPr>
        <w:t>An innovative approach for Ni catalyst synthesis is to introduce the transition metal into the structure of a crystalline precursor oxide</w:t>
      </w:r>
      <w:r w:rsidR="002B765F" w:rsidRPr="002A35C8">
        <w:rPr>
          <w:lang w:val="en-GB"/>
        </w:rPr>
        <w:t xml:space="preserve"> such as the nickel aluminate spinel NiAl</w:t>
      </w:r>
      <w:r w:rsidR="002B765F" w:rsidRPr="002A35C8">
        <w:rPr>
          <w:vertAlign w:val="subscript"/>
          <w:lang w:val="en-GB"/>
        </w:rPr>
        <w:t>2</w:t>
      </w:r>
      <w:r w:rsidR="002B765F" w:rsidRPr="002A35C8">
        <w:rPr>
          <w:lang w:val="en-GB"/>
        </w:rPr>
        <w:t>O</w:t>
      </w:r>
      <w:r w:rsidR="002B765F" w:rsidRPr="002A35C8">
        <w:rPr>
          <w:vertAlign w:val="subscript"/>
          <w:lang w:val="en-GB"/>
        </w:rPr>
        <w:t>4</w:t>
      </w:r>
      <w:r w:rsidR="002B765F" w:rsidRPr="002A35C8">
        <w:rPr>
          <w:lang w:val="en-GB"/>
        </w:rPr>
        <w:t xml:space="preserve"> </w:t>
      </w:r>
      <w:r w:rsidR="00B2775D" w:rsidRPr="002A35C8">
        <w:rPr>
          <w:lang w:val="en-GB"/>
        </w:rPr>
        <w:t>(López-Fonseca et al., 2012)</w:t>
      </w:r>
      <w:r w:rsidR="00DD3754" w:rsidRPr="002A35C8">
        <w:rPr>
          <w:lang w:val="en-GB"/>
        </w:rPr>
        <w:t>.</w:t>
      </w:r>
      <w:r w:rsidR="00AC5207" w:rsidRPr="002A35C8">
        <w:rPr>
          <w:lang w:val="en-GB"/>
        </w:rPr>
        <w:t xml:space="preserve"> </w:t>
      </w:r>
      <w:r w:rsidR="00DD3754" w:rsidRPr="002A35C8">
        <w:t>However,</w:t>
      </w:r>
      <w:r w:rsidR="00257E2A" w:rsidRPr="002A35C8">
        <w:t xml:space="preserve"> due to the stoichiometric requirements to completely form the NiAl</w:t>
      </w:r>
      <w:r w:rsidR="00257E2A" w:rsidRPr="002A35C8">
        <w:rPr>
          <w:vertAlign w:val="subscript"/>
        </w:rPr>
        <w:t>2</w:t>
      </w:r>
      <w:r w:rsidR="00257E2A" w:rsidRPr="002A35C8">
        <w:t>O</w:t>
      </w:r>
      <w:r w:rsidR="00257E2A" w:rsidRPr="002A35C8">
        <w:rPr>
          <w:vertAlign w:val="subscript"/>
        </w:rPr>
        <w:t>4</w:t>
      </w:r>
      <w:r w:rsidR="00257E2A" w:rsidRPr="002A35C8">
        <w:t xml:space="preserve"> spinel,</w:t>
      </w:r>
      <w:r w:rsidR="00DD3754" w:rsidRPr="002A35C8">
        <w:t xml:space="preserve"> these catalysts normally present high Ni loadings</w:t>
      </w:r>
      <w:r w:rsidR="00257E2A" w:rsidRPr="002A35C8">
        <w:t xml:space="preserve"> (&gt;30%wt.Ni)</w:t>
      </w:r>
      <w:r w:rsidR="00DD3754" w:rsidRPr="002A35C8">
        <w:t>, which make them prone to coking, especially at lower temperatures</w:t>
      </w:r>
      <w:r w:rsidR="00B2775D" w:rsidRPr="002A35C8">
        <w:t xml:space="preserve"> (Liu et al., 2011)</w:t>
      </w:r>
      <w:r w:rsidR="00DD3754" w:rsidRPr="002A35C8">
        <w:t>. The use of sub-stoichiometric Ni/Al spinel precursors has been found to produce catalysts that are more resistant to coking, although they tend to produce a syngas with a low H</w:t>
      </w:r>
      <w:r w:rsidR="00DD3754" w:rsidRPr="002A35C8">
        <w:rPr>
          <w:vertAlign w:val="subscript"/>
        </w:rPr>
        <w:t>2</w:t>
      </w:r>
      <w:r w:rsidR="00DD3754" w:rsidRPr="002A35C8">
        <w:t>/CO molar ratio</w:t>
      </w:r>
      <w:r w:rsidR="00257E2A" w:rsidRPr="002A35C8">
        <w:t>, since highly dispersed nickel is also active for the reverse water gas shift (RWGS) reaction, which consumes H</w:t>
      </w:r>
      <w:r w:rsidR="00257E2A" w:rsidRPr="002A35C8">
        <w:rPr>
          <w:vertAlign w:val="subscript"/>
        </w:rPr>
        <w:t>2</w:t>
      </w:r>
      <w:r w:rsidR="00257E2A" w:rsidRPr="002A35C8">
        <w:t xml:space="preserve"> and produces CO</w:t>
      </w:r>
      <w:r w:rsidR="00B2775D" w:rsidRPr="002A35C8">
        <w:t xml:space="preserve"> (Gil-Calvo et al., 2017)</w:t>
      </w:r>
      <w:r w:rsidR="00DD3754" w:rsidRPr="002A35C8">
        <w:t xml:space="preserve">. </w:t>
      </w:r>
    </w:p>
    <w:p w14:paraId="055516F6" w14:textId="64DA604B" w:rsidR="000038CC" w:rsidRPr="002A35C8" w:rsidRDefault="00257E2A" w:rsidP="00600535">
      <w:pPr>
        <w:pStyle w:val="CETBodytext"/>
      </w:pPr>
      <w:r w:rsidRPr="002A35C8">
        <w:t>In order to improve the H</w:t>
      </w:r>
      <w:r w:rsidRPr="002A35C8">
        <w:rPr>
          <w:vertAlign w:val="subscript"/>
        </w:rPr>
        <w:t>2</w:t>
      </w:r>
      <w:r w:rsidRPr="002A35C8">
        <w:t xml:space="preserve"> selectivity of the process, a possible alternative would be the incorporation of a s</w:t>
      </w:r>
      <w:r w:rsidR="002A35C8" w:rsidRPr="002A35C8">
        <w:t>econdary metal that can inhibit</w:t>
      </w:r>
      <w:r w:rsidRPr="002A35C8">
        <w:t xml:space="preserve"> the overall activity towards the RWGS reaction and activate other H</w:t>
      </w:r>
      <w:r w:rsidRPr="002A35C8">
        <w:rPr>
          <w:vertAlign w:val="subscript"/>
        </w:rPr>
        <w:t>2</w:t>
      </w:r>
      <w:r w:rsidRPr="002A35C8">
        <w:t xml:space="preserve"> producing reactions, such as methane cracking. Following this approach</w:t>
      </w:r>
      <w:r w:rsidR="00DD3754" w:rsidRPr="002A35C8">
        <w:t>, in this work, the addition of cobalt to t</w:t>
      </w:r>
      <w:r w:rsidRPr="002A35C8">
        <w:t>he nickel spinel precursor is explored. The aim of the study is to obtain Ni-Co-Al mixed spinels that, after a proper activation</w:t>
      </w:r>
      <w:r w:rsidR="002A35C8" w:rsidRPr="002A35C8">
        <w:t>,</w:t>
      </w:r>
      <w:r w:rsidRPr="002A35C8">
        <w:t xml:space="preserve"> can result in </w:t>
      </w:r>
      <w:r w:rsidR="00DD3754" w:rsidRPr="002A35C8">
        <w:t>active and stable catalyst</w:t>
      </w:r>
      <w:r w:rsidRPr="002A35C8">
        <w:t>s</w:t>
      </w:r>
      <w:r w:rsidR="00DD3754" w:rsidRPr="002A35C8">
        <w:t xml:space="preserve"> that can also p</w:t>
      </w:r>
      <w:r w:rsidR="002A35C8" w:rsidRPr="002A35C8">
        <w:t xml:space="preserve">roduce </w:t>
      </w:r>
      <w:r w:rsidR="00DD3754" w:rsidRPr="002A35C8">
        <w:t>H</w:t>
      </w:r>
      <w:r w:rsidR="00DD3754" w:rsidRPr="002A35C8">
        <w:rPr>
          <w:vertAlign w:val="subscript"/>
        </w:rPr>
        <w:t>2</w:t>
      </w:r>
      <w:r w:rsidR="00DD3754" w:rsidRPr="002A35C8">
        <w:t>-</w:t>
      </w:r>
      <w:r w:rsidR="002A35C8" w:rsidRPr="002A35C8">
        <w:t>enriched</w:t>
      </w:r>
      <w:r w:rsidR="00DD3754" w:rsidRPr="002A35C8">
        <w:t xml:space="preserve"> syngas with respect to the monometallic</w:t>
      </w:r>
      <w:r w:rsidRPr="002A35C8">
        <w:t xml:space="preserve"> nickel</w:t>
      </w:r>
      <w:r w:rsidR="00DD3754" w:rsidRPr="002A35C8">
        <w:t xml:space="preserve"> counterpart. </w:t>
      </w:r>
    </w:p>
    <w:p w14:paraId="5741900F" w14:textId="3745BEB7" w:rsidR="00453E24" w:rsidRPr="002A35C8" w:rsidRDefault="0078772C" w:rsidP="00453E24">
      <w:pPr>
        <w:pStyle w:val="CETHeading1"/>
      </w:pPr>
      <w:r w:rsidRPr="002A35C8">
        <w:lastRenderedPageBreak/>
        <w:t>Experimental methodology</w:t>
      </w:r>
    </w:p>
    <w:p w14:paraId="64E6D8C2" w14:textId="1F1B1764" w:rsidR="00CE180E" w:rsidRPr="002A35C8" w:rsidRDefault="00CE180E" w:rsidP="00453E24">
      <w:pPr>
        <w:pStyle w:val="CETBodytext"/>
      </w:pPr>
      <w:r w:rsidRPr="002A35C8">
        <w:t>To achieve the objective of this work, the following experimental methodology was followed:</w:t>
      </w:r>
    </w:p>
    <w:p w14:paraId="03BC8A74" w14:textId="1A62F963" w:rsidR="00CE180E" w:rsidRPr="002A35C8" w:rsidRDefault="00CE180E" w:rsidP="00CE180E">
      <w:pPr>
        <w:pStyle w:val="CETheadingx"/>
      </w:pPr>
      <w:r w:rsidRPr="002A35C8">
        <w:t>Synthesis methodology</w:t>
      </w:r>
    </w:p>
    <w:p w14:paraId="29512605" w14:textId="27E8A939" w:rsidR="00CE180E" w:rsidRPr="002A35C8" w:rsidRDefault="0036318D" w:rsidP="00453E24">
      <w:pPr>
        <w:pStyle w:val="CETBodytext"/>
      </w:pPr>
      <w:r w:rsidRPr="002A35C8">
        <w:t>The monometallic and bimetallic spinel precursors were synthesized by the</w:t>
      </w:r>
      <w:r w:rsidR="004E3EE0" w:rsidRPr="002A35C8">
        <w:t xml:space="preserve"> precipitation route, starting from nickel, cobalt and alumina nitrates and using sodium carbonate as the precipitating agent. </w:t>
      </w:r>
      <w:r w:rsidR="00643570" w:rsidRPr="002A35C8">
        <w:t>Firstly, a solution of adjusted concentrations of the metallic nitrates was prepared and heated up to 80 ºC, after which a solution of Na</w:t>
      </w:r>
      <w:r w:rsidR="00643570" w:rsidRPr="002A35C8">
        <w:rPr>
          <w:vertAlign w:val="subscript"/>
        </w:rPr>
        <w:t>2</w:t>
      </w:r>
      <w:r w:rsidR="00643570" w:rsidRPr="002A35C8">
        <w:t>CO</w:t>
      </w:r>
      <w:r w:rsidR="00643570" w:rsidRPr="002A35C8">
        <w:rPr>
          <w:vertAlign w:val="subscript"/>
        </w:rPr>
        <w:t>3</w:t>
      </w:r>
      <w:r w:rsidR="00643570" w:rsidRPr="002A35C8">
        <w:t xml:space="preserve"> 1.2 M was added until pH reached 9. After an ageing period of 30 min, the precipitated solids were filtered and washed with 4 L of deionized water. The filtered solids were then dried at 110 ºC overnight and the subjected to calcination at 850 ºC for 4 hours under static air. The catalytic precursors were identified by their x value, where x represented the Ni/(Ni + Co) molar ratio, thus the general formula of the spinel precursors were Ni</w:t>
      </w:r>
      <w:r w:rsidR="00643570" w:rsidRPr="002A35C8">
        <w:rPr>
          <w:vertAlign w:val="subscript"/>
        </w:rPr>
        <w:t>x</w:t>
      </w:r>
      <w:r w:rsidR="00643570" w:rsidRPr="002A35C8">
        <w:t>Co</w:t>
      </w:r>
      <w:r w:rsidR="00643570" w:rsidRPr="002A35C8">
        <w:rPr>
          <w:vertAlign w:val="subscript"/>
        </w:rPr>
        <w:t>1-x</w:t>
      </w:r>
      <w:r w:rsidR="00643570" w:rsidRPr="002A35C8">
        <w:t>Al</w:t>
      </w:r>
      <w:r w:rsidR="00643570" w:rsidRPr="002A35C8">
        <w:rPr>
          <w:vertAlign w:val="subscript"/>
        </w:rPr>
        <w:t>2</w:t>
      </w:r>
      <w:r w:rsidR="00643570" w:rsidRPr="002A35C8">
        <w:t>O</w:t>
      </w:r>
      <w:r w:rsidR="00643570" w:rsidRPr="002A35C8">
        <w:rPr>
          <w:vertAlign w:val="subscript"/>
        </w:rPr>
        <w:t>4</w:t>
      </w:r>
      <w:r w:rsidR="00643570" w:rsidRPr="002A35C8">
        <w:t>. The chosen x values were 0, 0.25, 0.5, 0.75 and 1.</w:t>
      </w:r>
      <w:r w:rsidR="00DE34A4" w:rsidRPr="002A35C8">
        <w:t xml:space="preserve"> All catalytic precursors were subjected to a reduction process with 5%H</w:t>
      </w:r>
      <w:r w:rsidR="00DE34A4" w:rsidRPr="002A35C8">
        <w:rPr>
          <w:vertAlign w:val="subscript"/>
        </w:rPr>
        <w:t>2</w:t>
      </w:r>
      <w:r w:rsidR="00DE34A4" w:rsidRPr="002A35C8">
        <w:t>/N</w:t>
      </w:r>
      <w:r w:rsidR="00DE34A4" w:rsidRPr="002A35C8">
        <w:rPr>
          <w:vertAlign w:val="subscript"/>
        </w:rPr>
        <w:t>2</w:t>
      </w:r>
      <w:r w:rsidR="00DE34A4" w:rsidRPr="002A35C8">
        <w:t xml:space="preserve"> at 850 ºC for 2 hours prior to the reaction experiments.</w:t>
      </w:r>
    </w:p>
    <w:p w14:paraId="18BAFA6F" w14:textId="43EFD113" w:rsidR="00453E24" w:rsidRPr="002A35C8" w:rsidRDefault="00DE34A4" w:rsidP="00453E24">
      <w:pPr>
        <w:pStyle w:val="CETheadingx"/>
      </w:pPr>
      <w:r w:rsidRPr="002A35C8">
        <w:t>Characterisation techniques</w:t>
      </w:r>
    </w:p>
    <w:p w14:paraId="7F5C7BF8" w14:textId="007B57E7" w:rsidR="00DE34A4" w:rsidRPr="002A35C8" w:rsidRDefault="00DE34A4" w:rsidP="003531DC">
      <w:pPr>
        <w:pStyle w:val="CETBodytext"/>
        <w:rPr>
          <w:lang w:val="en-GB"/>
        </w:rPr>
      </w:pPr>
      <w:r w:rsidRPr="002A35C8">
        <w:rPr>
          <w:lang w:val="en-GB"/>
        </w:rPr>
        <w:t>The N</w:t>
      </w:r>
      <w:r w:rsidRPr="002A35C8">
        <w:rPr>
          <w:vertAlign w:val="subscript"/>
          <w:lang w:val="en-GB"/>
        </w:rPr>
        <w:t>2</w:t>
      </w:r>
      <w:r w:rsidRPr="002A35C8">
        <w:rPr>
          <w:lang w:val="en-GB"/>
        </w:rPr>
        <w:t xml:space="preserve"> adsorption/desorption isotherms of the synthesised precursors and reduced catalysts were obtained with a Micromeritics Tristar II apparatus at 77 K. Prior to the analysis, each sample was subjected to degassing at 300 ºC for 10 h in a Micromeritics SmartPrep degasser. The specific surface area of the samples was calculated from the adsorption isotherm using the BET method.</w:t>
      </w:r>
      <w:r w:rsidR="00D26FCD" w:rsidRPr="002A35C8">
        <w:rPr>
          <w:lang w:val="en-GB"/>
        </w:rPr>
        <w:t xml:space="preserve"> </w:t>
      </w:r>
      <w:r w:rsidRPr="002A35C8">
        <w:rPr>
          <w:lang w:val="en-GB"/>
        </w:rPr>
        <w:t>X-ray diffraction experiments were carried out on an X’PERT-PRO X-ray diffractometer equipped with a Cu Kα (λ = 1.5406 Å) X-ray source that was operated at 40 kV and 40 mA and a Ni filter. The diffractograms were taken between the 2θ positions of 5 and 80° with a step size of 0.026°.</w:t>
      </w:r>
      <w:r w:rsidR="00D26FCD" w:rsidRPr="002A35C8">
        <w:rPr>
          <w:lang w:val="en-GB"/>
        </w:rPr>
        <w:t xml:space="preserve"> </w:t>
      </w:r>
      <w:r w:rsidRPr="002A35C8">
        <w:rPr>
          <w:lang w:val="en-GB"/>
        </w:rPr>
        <w:t xml:space="preserve">The reducibility of the catalytic precursors was investigated on a Micromeritics Autochem 2920 apparatus by temperature-programmed reduction with hydrogen. </w:t>
      </w:r>
      <w:r w:rsidR="003531DC" w:rsidRPr="002A35C8">
        <w:rPr>
          <w:lang w:val="en-GB"/>
        </w:rPr>
        <w:t>Prior to the experiments, the samples were pre-treated with a 5%O</w:t>
      </w:r>
      <w:r w:rsidR="003531DC" w:rsidRPr="002A35C8">
        <w:rPr>
          <w:vertAlign w:val="subscript"/>
          <w:lang w:val="en-GB"/>
        </w:rPr>
        <w:t>2</w:t>
      </w:r>
      <w:r w:rsidR="003531DC" w:rsidRPr="002A35C8">
        <w:rPr>
          <w:lang w:val="en-GB"/>
        </w:rPr>
        <w:t>/He stream at 300 ºC for 1 hour to completely oxidize them. Then, t</w:t>
      </w:r>
      <w:r w:rsidRPr="002A35C8">
        <w:rPr>
          <w:lang w:val="en-GB"/>
        </w:rPr>
        <w:t>he experiments were carried out using a 5% H</w:t>
      </w:r>
      <w:r w:rsidRPr="002A35C8">
        <w:rPr>
          <w:vertAlign w:val="subscript"/>
          <w:lang w:val="en-GB"/>
        </w:rPr>
        <w:t>2</w:t>
      </w:r>
      <w:r w:rsidRPr="002A35C8">
        <w:rPr>
          <w:lang w:val="en-GB"/>
        </w:rPr>
        <w:t xml:space="preserve">/Ar mixture as the reducing agent from </w:t>
      </w:r>
      <w:r w:rsidR="003531DC" w:rsidRPr="002A35C8">
        <w:rPr>
          <w:lang w:val="en-GB"/>
        </w:rPr>
        <w:t>ambient temperature to 900 °C, after which a 30 min isotherm at 900 ºC followed. The water generated during the process was removed from the stream before the TCD to avoid interference by passing it through a cold trap which was maintained at -90 ºC with an isopropanol sludge cooled down with liquid nitrogen.</w:t>
      </w:r>
    </w:p>
    <w:p w14:paraId="05575E24" w14:textId="6D90B250" w:rsidR="00DE34A4" w:rsidRPr="002A35C8" w:rsidRDefault="003531DC" w:rsidP="00453E24">
      <w:pPr>
        <w:pStyle w:val="CETheadingx"/>
      </w:pPr>
      <w:r w:rsidRPr="002A35C8">
        <w:t>Reaction conditions</w:t>
      </w:r>
    </w:p>
    <w:p w14:paraId="4FF4F197" w14:textId="341B2EB8" w:rsidR="001F1B75" w:rsidRPr="002A35C8" w:rsidRDefault="001F1B75" w:rsidP="001F1B75">
      <w:pPr>
        <w:pStyle w:val="CETBodytext"/>
        <w:rPr>
          <w:lang w:val="en-GB"/>
        </w:rPr>
      </w:pPr>
      <w:r w:rsidRPr="002A35C8">
        <w:rPr>
          <w:lang w:val="en-GB"/>
        </w:rPr>
        <w:t>The activity of the reduced catalysts was assessed in a PID Eng&amp;Tech Microactivity Reference bench-scale fixed bed tubular reactor. In each experiment, 0.1 g of catalyst (0.25− 0.3 mm particles) were diluted with 0.9 g of quartz (0.5−0.8 mm particles) and placed inside a quartz glass tube with a type-K thermocouple placed inside to control the temperature of the catalytic bed. The activity experiments were performed at constant temperature of 650 ºC for 12 hours by feeding a gaseous mixture of 10%CH</w:t>
      </w:r>
      <w:r w:rsidRPr="002A35C8">
        <w:rPr>
          <w:vertAlign w:val="subscript"/>
          <w:lang w:val="en-GB"/>
        </w:rPr>
        <w:t>4</w:t>
      </w:r>
      <w:r w:rsidRPr="002A35C8">
        <w:rPr>
          <w:lang w:val="en-GB"/>
        </w:rPr>
        <w:t>/10%CO</w:t>
      </w:r>
      <w:r w:rsidRPr="002A35C8">
        <w:rPr>
          <w:vertAlign w:val="subscript"/>
          <w:lang w:val="en-GB"/>
        </w:rPr>
        <w:t>2</w:t>
      </w:r>
      <w:r w:rsidRPr="002A35C8">
        <w:rPr>
          <w:lang w:val="en-GB"/>
        </w:rPr>
        <w:t>/80%N</w:t>
      </w:r>
      <w:r w:rsidRPr="002A35C8">
        <w:rPr>
          <w:vertAlign w:val="subscript"/>
          <w:lang w:val="en-GB"/>
        </w:rPr>
        <w:t>2</w:t>
      </w:r>
      <w:r w:rsidRPr="002A35C8">
        <w:rPr>
          <w:lang w:val="en-GB"/>
        </w:rPr>
        <w:t xml:space="preserve"> at 1.2 L min</w:t>
      </w:r>
      <w:r w:rsidRPr="002A35C8">
        <w:rPr>
          <w:vertAlign w:val="superscript"/>
          <w:lang w:val="en-GB"/>
        </w:rPr>
        <w:t>−1</w:t>
      </w:r>
      <w:r w:rsidRPr="002A35C8">
        <w:rPr>
          <w:lang w:val="en-GB"/>
        </w:rPr>
        <w:t>. Under these conditions, the GHSV was around 90,000 h</w:t>
      </w:r>
      <w:r w:rsidRPr="002A35C8">
        <w:rPr>
          <w:vertAlign w:val="superscript"/>
          <w:lang w:val="en-GB"/>
        </w:rPr>
        <w:t>−1</w:t>
      </w:r>
      <w:r w:rsidRPr="002A35C8">
        <w:rPr>
          <w:lang w:val="en-GB"/>
        </w:rPr>
        <w:t>. The composition of the outlet stream from the reactor was monitored by a microGC equipped with two separation columns, each coupled to a TCD.</w:t>
      </w:r>
    </w:p>
    <w:p w14:paraId="04963A06" w14:textId="75C0A5BA" w:rsidR="00600535" w:rsidRPr="002A35C8" w:rsidRDefault="0078772C" w:rsidP="00314631">
      <w:pPr>
        <w:pStyle w:val="CETHeading1"/>
        <w:tabs>
          <w:tab w:val="clear" w:pos="360"/>
          <w:tab w:val="right" w:pos="7100"/>
        </w:tabs>
        <w:jc w:val="both"/>
      </w:pPr>
      <w:r w:rsidRPr="002A35C8">
        <w:t>Results and Discussion</w:t>
      </w:r>
    </w:p>
    <w:p w14:paraId="3B67DDEA" w14:textId="2728017E" w:rsidR="00DF15D7" w:rsidRPr="002A35C8" w:rsidRDefault="00DF15D7" w:rsidP="00600535">
      <w:pPr>
        <w:pStyle w:val="CETBodytext"/>
        <w:rPr>
          <w:lang w:val="en-GB"/>
        </w:rPr>
      </w:pPr>
      <w:r w:rsidRPr="002A35C8">
        <w:rPr>
          <w:lang w:val="en-GB"/>
        </w:rPr>
        <w:t>Below, the main results from the characterisation and catalytic testing of the samples are discussed.</w:t>
      </w:r>
    </w:p>
    <w:p w14:paraId="3190F750" w14:textId="037E8B3E" w:rsidR="00DF15D7" w:rsidRPr="002A35C8" w:rsidRDefault="00DF15D7" w:rsidP="00DF15D7">
      <w:pPr>
        <w:pStyle w:val="CETheadingx"/>
      </w:pPr>
      <w:r w:rsidRPr="002A35C8">
        <w:t>Characterisation of</w:t>
      </w:r>
      <w:r w:rsidR="004F71E9" w:rsidRPr="002A35C8">
        <w:t xml:space="preserve"> the</w:t>
      </w:r>
      <w:r w:rsidRPr="002A35C8">
        <w:t xml:space="preserve"> calcined </w:t>
      </w:r>
      <w:r w:rsidR="004F71E9" w:rsidRPr="002A35C8">
        <w:t>precursors</w:t>
      </w:r>
    </w:p>
    <w:p w14:paraId="00734792" w14:textId="36231A44" w:rsidR="00DF15D7" w:rsidRPr="002A35C8" w:rsidRDefault="00DF15D7" w:rsidP="00600535">
      <w:pPr>
        <w:pStyle w:val="CETBodytext"/>
        <w:rPr>
          <w:lang w:val="en-GB"/>
        </w:rPr>
      </w:pPr>
      <w:r w:rsidRPr="002A35C8">
        <w:rPr>
          <w:lang w:val="en-GB"/>
        </w:rPr>
        <w:t>The calcined spin</w:t>
      </w:r>
      <w:r w:rsidR="002A35C8">
        <w:rPr>
          <w:lang w:val="en-GB"/>
        </w:rPr>
        <w:t>el precursors were examined</w:t>
      </w:r>
      <w:r w:rsidRPr="002A35C8">
        <w:rPr>
          <w:lang w:val="en-GB"/>
        </w:rPr>
        <w:t xml:space="preserve"> by N</w:t>
      </w:r>
      <w:r w:rsidRPr="002A35C8">
        <w:rPr>
          <w:vertAlign w:val="subscript"/>
          <w:lang w:val="en-GB"/>
        </w:rPr>
        <w:t>2</w:t>
      </w:r>
      <w:r w:rsidRPr="002A35C8">
        <w:rPr>
          <w:lang w:val="en-GB"/>
        </w:rPr>
        <w:t xml:space="preserve"> physisorption, XRD and H</w:t>
      </w:r>
      <w:r w:rsidRPr="002A35C8">
        <w:rPr>
          <w:vertAlign w:val="subscript"/>
          <w:lang w:val="en-GB"/>
        </w:rPr>
        <w:t>2</w:t>
      </w:r>
      <w:r w:rsidRPr="002A35C8">
        <w:rPr>
          <w:lang w:val="en-GB"/>
        </w:rPr>
        <w:t>-TPR.</w:t>
      </w:r>
      <w:r w:rsidR="00872BB8" w:rsidRPr="002A35C8">
        <w:rPr>
          <w:lang w:val="en-GB"/>
        </w:rPr>
        <w:t xml:space="preserve"> The textural characterisation by N</w:t>
      </w:r>
      <w:r w:rsidR="00872BB8" w:rsidRPr="002A35C8">
        <w:rPr>
          <w:vertAlign w:val="subscript"/>
          <w:lang w:val="en-GB"/>
        </w:rPr>
        <w:t>2</w:t>
      </w:r>
      <w:r w:rsidR="00872BB8" w:rsidRPr="002A35C8">
        <w:rPr>
          <w:lang w:val="en-GB"/>
        </w:rPr>
        <w:t xml:space="preserve"> physisorption evidenced that all calcined precursors were mesoporous materials (type IV isotherms) with relatively narrow pore size distributions (type H2 hysteresis cycle). The specific surface area of the precursors (Table 1) varied between 27 m</w:t>
      </w:r>
      <w:r w:rsidR="00872BB8" w:rsidRPr="002A35C8">
        <w:rPr>
          <w:vertAlign w:val="superscript"/>
          <w:lang w:val="en-GB"/>
        </w:rPr>
        <w:t>2</w:t>
      </w:r>
      <w:r w:rsidR="00872BB8" w:rsidRPr="002A35C8">
        <w:rPr>
          <w:lang w:val="en-GB"/>
        </w:rPr>
        <w:t xml:space="preserve"> g</w:t>
      </w:r>
      <w:r w:rsidR="00872BB8" w:rsidRPr="002A35C8">
        <w:rPr>
          <w:vertAlign w:val="superscript"/>
          <w:lang w:val="en-GB"/>
        </w:rPr>
        <w:t>-1</w:t>
      </w:r>
      <w:r w:rsidR="002A35C8">
        <w:rPr>
          <w:lang w:val="en-GB"/>
        </w:rPr>
        <w:t xml:space="preserve"> for the </w:t>
      </w:r>
      <w:r w:rsidR="00872BB8" w:rsidRPr="002A35C8">
        <w:rPr>
          <w:lang w:val="en-GB"/>
        </w:rPr>
        <w:t>CoAl</w:t>
      </w:r>
      <w:r w:rsidR="00872BB8" w:rsidRPr="002A35C8">
        <w:rPr>
          <w:vertAlign w:val="subscript"/>
          <w:lang w:val="en-GB"/>
        </w:rPr>
        <w:t>2</w:t>
      </w:r>
      <w:r w:rsidR="00872BB8" w:rsidRPr="002A35C8">
        <w:rPr>
          <w:lang w:val="en-GB"/>
        </w:rPr>
        <w:t>O</w:t>
      </w:r>
      <w:r w:rsidR="00872BB8" w:rsidRPr="002A35C8">
        <w:rPr>
          <w:vertAlign w:val="subscript"/>
          <w:lang w:val="en-GB"/>
        </w:rPr>
        <w:t>4</w:t>
      </w:r>
      <w:r w:rsidR="00872BB8" w:rsidRPr="002A35C8">
        <w:rPr>
          <w:lang w:val="en-GB"/>
        </w:rPr>
        <w:t xml:space="preserve"> precursor</w:t>
      </w:r>
      <w:r w:rsidR="002A35C8">
        <w:rPr>
          <w:lang w:val="en-GB"/>
        </w:rPr>
        <w:t xml:space="preserve"> (x = 0)</w:t>
      </w:r>
      <w:r w:rsidR="00872BB8" w:rsidRPr="002A35C8">
        <w:rPr>
          <w:lang w:val="en-GB"/>
        </w:rPr>
        <w:t xml:space="preserve"> and 82 m</w:t>
      </w:r>
      <w:r w:rsidR="00872BB8" w:rsidRPr="002A35C8">
        <w:rPr>
          <w:vertAlign w:val="superscript"/>
          <w:lang w:val="en-GB"/>
        </w:rPr>
        <w:t>2</w:t>
      </w:r>
      <w:r w:rsidR="00872BB8" w:rsidRPr="002A35C8">
        <w:rPr>
          <w:lang w:val="en-GB"/>
        </w:rPr>
        <w:t xml:space="preserve"> g</w:t>
      </w:r>
      <w:r w:rsidR="00872BB8" w:rsidRPr="002A35C8">
        <w:rPr>
          <w:vertAlign w:val="superscript"/>
          <w:lang w:val="en-GB"/>
        </w:rPr>
        <w:t>-1</w:t>
      </w:r>
      <w:r w:rsidR="002A35C8">
        <w:rPr>
          <w:lang w:val="en-GB"/>
        </w:rPr>
        <w:t xml:space="preserve"> for the </w:t>
      </w:r>
      <w:r w:rsidR="00872BB8" w:rsidRPr="002A35C8">
        <w:rPr>
          <w:lang w:val="en-GB"/>
        </w:rPr>
        <w:t>NiAl</w:t>
      </w:r>
      <w:r w:rsidR="00872BB8" w:rsidRPr="002A35C8">
        <w:rPr>
          <w:vertAlign w:val="subscript"/>
          <w:lang w:val="en-GB"/>
        </w:rPr>
        <w:t>2</w:t>
      </w:r>
      <w:r w:rsidR="00872BB8" w:rsidRPr="002A35C8">
        <w:rPr>
          <w:lang w:val="en-GB"/>
        </w:rPr>
        <w:t>O</w:t>
      </w:r>
      <w:r w:rsidR="00872BB8" w:rsidRPr="002A35C8">
        <w:rPr>
          <w:vertAlign w:val="subscript"/>
          <w:lang w:val="en-GB"/>
        </w:rPr>
        <w:t>4</w:t>
      </w:r>
      <w:r w:rsidR="002A35C8">
        <w:rPr>
          <w:lang w:val="en-GB"/>
        </w:rPr>
        <w:t xml:space="preserve"> spinel (x = 1). Thus, it was evident</w:t>
      </w:r>
      <w:r w:rsidR="00872BB8" w:rsidRPr="002A35C8">
        <w:rPr>
          <w:lang w:val="en-GB"/>
        </w:rPr>
        <w:t xml:space="preserve"> that the incorporation of cobalt to the nickel aluminate spinel did not have a positive effect over the textural properties of the resulting spinel.</w:t>
      </w:r>
    </w:p>
    <w:p w14:paraId="1CB04C16" w14:textId="0DFEAC3C" w:rsidR="00872BB8" w:rsidRPr="002A35C8" w:rsidRDefault="00872BB8" w:rsidP="00872BB8">
      <w:pPr>
        <w:pStyle w:val="CETTabletitle"/>
      </w:pPr>
      <w:r w:rsidRPr="002A35C8">
        <w:t>Table 1: Physico-chemical properties of the calcined precursors</w:t>
      </w:r>
    </w:p>
    <w:tbl>
      <w:tblPr>
        <w:tblW w:w="4747"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303"/>
        <w:gridCol w:w="2084"/>
        <w:gridCol w:w="2347"/>
        <w:gridCol w:w="2608"/>
      </w:tblGrid>
      <w:tr w:rsidR="002A35C8" w:rsidRPr="002A35C8" w14:paraId="58BDDF30" w14:textId="77777777" w:rsidTr="002A35C8">
        <w:tc>
          <w:tcPr>
            <w:tcW w:w="781" w:type="pct"/>
            <w:tcBorders>
              <w:top w:val="single" w:sz="12" w:space="0" w:color="008000"/>
              <w:bottom w:val="single" w:sz="6" w:space="0" w:color="008000"/>
            </w:tcBorders>
            <w:shd w:val="clear" w:color="auto" w:fill="FFFFFF"/>
          </w:tcPr>
          <w:p w14:paraId="3263B41F" w14:textId="53DB53B2" w:rsidR="005E008D" w:rsidRPr="002A35C8" w:rsidRDefault="005E008D" w:rsidP="00703D57">
            <w:pPr>
              <w:pStyle w:val="CETBodytext"/>
              <w:rPr>
                <w:lang w:val="en-GB"/>
              </w:rPr>
            </w:pPr>
            <w:r w:rsidRPr="002A35C8">
              <w:rPr>
                <w:lang w:val="en-GB"/>
              </w:rPr>
              <w:t xml:space="preserve">Sample </w:t>
            </w:r>
          </w:p>
        </w:tc>
        <w:tc>
          <w:tcPr>
            <w:tcW w:w="1249" w:type="pct"/>
            <w:tcBorders>
              <w:top w:val="single" w:sz="12" w:space="0" w:color="008000"/>
              <w:bottom w:val="single" w:sz="6" w:space="0" w:color="008000"/>
            </w:tcBorders>
            <w:shd w:val="clear" w:color="auto" w:fill="FFFFFF"/>
          </w:tcPr>
          <w:p w14:paraId="2F1F9948" w14:textId="77777777" w:rsidR="002A35C8" w:rsidRDefault="005E008D" w:rsidP="00E50027">
            <w:pPr>
              <w:pStyle w:val="CETBodytext"/>
              <w:jc w:val="left"/>
              <w:rPr>
                <w:lang w:val="en-GB"/>
              </w:rPr>
            </w:pPr>
            <w:r w:rsidRPr="002A35C8">
              <w:rPr>
                <w:lang w:val="en-GB"/>
              </w:rPr>
              <w:t xml:space="preserve">Specific surface area, </w:t>
            </w:r>
          </w:p>
          <w:p w14:paraId="3601D1B8" w14:textId="7BB3786B" w:rsidR="005E008D" w:rsidRPr="002A35C8" w:rsidRDefault="005E008D" w:rsidP="00E50027">
            <w:pPr>
              <w:pStyle w:val="CETBodytext"/>
              <w:jc w:val="left"/>
              <w:rPr>
                <w:lang w:val="en-GB"/>
              </w:rPr>
            </w:pPr>
            <w:r w:rsidRPr="002A35C8">
              <w:rPr>
                <w:lang w:val="en-GB"/>
              </w:rPr>
              <w:t>m</w:t>
            </w:r>
            <w:r w:rsidRPr="002A35C8">
              <w:rPr>
                <w:vertAlign w:val="superscript"/>
                <w:lang w:val="en-GB"/>
              </w:rPr>
              <w:t>2</w:t>
            </w:r>
            <w:r w:rsidRPr="002A35C8">
              <w:rPr>
                <w:lang w:val="en-GB"/>
              </w:rPr>
              <w:t xml:space="preserve"> g</w:t>
            </w:r>
            <w:r w:rsidRPr="002A35C8">
              <w:rPr>
                <w:vertAlign w:val="superscript"/>
                <w:lang w:val="en-GB"/>
              </w:rPr>
              <w:t>-1</w:t>
            </w:r>
          </w:p>
        </w:tc>
        <w:tc>
          <w:tcPr>
            <w:tcW w:w="1407" w:type="pct"/>
            <w:tcBorders>
              <w:top w:val="single" w:sz="12" w:space="0" w:color="008000"/>
              <w:bottom w:val="single" w:sz="6" w:space="0" w:color="008000"/>
            </w:tcBorders>
            <w:shd w:val="clear" w:color="auto" w:fill="FFFFFF"/>
          </w:tcPr>
          <w:p w14:paraId="7ED74C1E" w14:textId="5E3E6EA5" w:rsidR="005E008D" w:rsidRPr="002A35C8" w:rsidRDefault="005E008D" w:rsidP="00E50027">
            <w:pPr>
              <w:pStyle w:val="CETBodytext"/>
              <w:jc w:val="left"/>
              <w:rPr>
                <w:lang w:val="en-GB"/>
              </w:rPr>
            </w:pPr>
            <w:r w:rsidRPr="002A35C8">
              <w:rPr>
                <w:lang w:val="en-GB"/>
              </w:rPr>
              <w:t>Spinel phase crystallite size, nm</w:t>
            </w:r>
          </w:p>
        </w:tc>
        <w:tc>
          <w:tcPr>
            <w:tcW w:w="1563" w:type="pct"/>
            <w:tcBorders>
              <w:top w:val="single" w:sz="12" w:space="0" w:color="008000"/>
              <w:bottom w:val="single" w:sz="6" w:space="0" w:color="008000"/>
            </w:tcBorders>
            <w:shd w:val="clear" w:color="auto" w:fill="FFFFFF"/>
          </w:tcPr>
          <w:p w14:paraId="249017A8" w14:textId="2B38FB20" w:rsidR="005E008D" w:rsidRPr="002A35C8" w:rsidRDefault="002A35C8" w:rsidP="005E008D">
            <w:pPr>
              <w:pStyle w:val="CETBodytext"/>
              <w:ind w:right="-1"/>
              <w:jc w:val="left"/>
              <w:rPr>
                <w:rFonts w:cs="Arial"/>
                <w:szCs w:val="18"/>
                <w:lang w:val="en-GB"/>
              </w:rPr>
            </w:pPr>
            <w:r>
              <w:rPr>
                <w:rFonts w:cs="Arial"/>
                <w:szCs w:val="18"/>
                <w:lang w:val="en-GB"/>
              </w:rPr>
              <w:t>Relative abundance of spinelic phases</w:t>
            </w:r>
            <w:r w:rsidR="005E008D" w:rsidRPr="002A35C8">
              <w:rPr>
                <w:rFonts w:cs="Arial"/>
                <w:szCs w:val="18"/>
                <w:lang w:val="en-GB"/>
              </w:rPr>
              <w:t>, %</w:t>
            </w:r>
          </w:p>
        </w:tc>
      </w:tr>
      <w:tr w:rsidR="002A35C8" w:rsidRPr="002A35C8" w14:paraId="7FF221FF" w14:textId="77777777" w:rsidTr="002A35C8">
        <w:tc>
          <w:tcPr>
            <w:tcW w:w="781" w:type="pct"/>
            <w:shd w:val="clear" w:color="auto" w:fill="FFFFFF"/>
          </w:tcPr>
          <w:p w14:paraId="072813AD" w14:textId="126ECEE9" w:rsidR="005E008D" w:rsidRPr="002A35C8" w:rsidRDefault="005E008D" w:rsidP="00703D57">
            <w:pPr>
              <w:pStyle w:val="CETBodytext"/>
              <w:rPr>
                <w:lang w:val="en-GB"/>
              </w:rPr>
            </w:pPr>
            <w:r w:rsidRPr="002A35C8">
              <w:rPr>
                <w:lang w:val="en-GB"/>
              </w:rPr>
              <w:t>x = 0</w:t>
            </w:r>
          </w:p>
        </w:tc>
        <w:tc>
          <w:tcPr>
            <w:tcW w:w="1249" w:type="pct"/>
            <w:shd w:val="clear" w:color="auto" w:fill="FFFFFF"/>
          </w:tcPr>
          <w:p w14:paraId="27878228" w14:textId="1E202E17" w:rsidR="005E008D" w:rsidRPr="002A35C8" w:rsidRDefault="005E008D" w:rsidP="00703D57">
            <w:pPr>
              <w:pStyle w:val="CETBodytext"/>
              <w:rPr>
                <w:lang w:val="en-GB"/>
              </w:rPr>
            </w:pPr>
            <w:r w:rsidRPr="002A35C8">
              <w:rPr>
                <w:lang w:val="en-GB"/>
              </w:rPr>
              <w:t>27</w:t>
            </w:r>
          </w:p>
        </w:tc>
        <w:tc>
          <w:tcPr>
            <w:tcW w:w="1407" w:type="pct"/>
            <w:shd w:val="clear" w:color="auto" w:fill="FFFFFF"/>
          </w:tcPr>
          <w:p w14:paraId="1498F5C0" w14:textId="758060D8" w:rsidR="005E008D" w:rsidRPr="002A35C8" w:rsidRDefault="005E008D" w:rsidP="00703D57">
            <w:pPr>
              <w:pStyle w:val="CETBodytext"/>
              <w:rPr>
                <w:lang w:val="en-GB"/>
              </w:rPr>
            </w:pPr>
            <w:r w:rsidRPr="002A35C8">
              <w:rPr>
                <w:lang w:val="en-GB"/>
              </w:rPr>
              <w:t>45</w:t>
            </w:r>
          </w:p>
        </w:tc>
        <w:tc>
          <w:tcPr>
            <w:tcW w:w="1563" w:type="pct"/>
            <w:shd w:val="clear" w:color="auto" w:fill="FFFFFF"/>
          </w:tcPr>
          <w:p w14:paraId="4B188996" w14:textId="79DB5D6C" w:rsidR="005E008D" w:rsidRPr="002A35C8" w:rsidRDefault="004F71E9" w:rsidP="00703D57">
            <w:pPr>
              <w:pStyle w:val="CETBodytext"/>
              <w:ind w:right="-1"/>
              <w:rPr>
                <w:rFonts w:cs="Arial"/>
                <w:szCs w:val="18"/>
                <w:lang w:val="en-GB"/>
              </w:rPr>
            </w:pPr>
            <w:r w:rsidRPr="002A35C8">
              <w:rPr>
                <w:rFonts w:cs="Arial"/>
                <w:szCs w:val="18"/>
                <w:lang w:val="en-GB"/>
              </w:rPr>
              <w:t>81</w:t>
            </w:r>
          </w:p>
        </w:tc>
      </w:tr>
      <w:tr w:rsidR="002A35C8" w:rsidRPr="002A35C8" w14:paraId="5CBF6ED3" w14:textId="77777777" w:rsidTr="002A35C8">
        <w:tc>
          <w:tcPr>
            <w:tcW w:w="781" w:type="pct"/>
            <w:shd w:val="clear" w:color="auto" w:fill="FFFFFF"/>
          </w:tcPr>
          <w:p w14:paraId="070F284E" w14:textId="00419746" w:rsidR="005E008D" w:rsidRPr="002A35C8" w:rsidRDefault="005E008D" w:rsidP="00703D57">
            <w:pPr>
              <w:pStyle w:val="CETBodytext"/>
              <w:ind w:right="-1"/>
              <w:rPr>
                <w:rFonts w:cs="Arial"/>
                <w:szCs w:val="18"/>
                <w:lang w:val="en-GB"/>
              </w:rPr>
            </w:pPr>
            <w:r w:rsidRPr="002A35C8">
              <w:rPr>
                <w:rFonts w:cs="Arial"/>
                <w:szCs w:val="18"/>
                <w:lang w:val="en-GB"/>
              </w:rPr>
              <w:t>x = 0.25</w:t>
            </w:r>
          </w:p>
        </w:tc>
        <w:tc>
          <w:tcPr>
            <w:tcW w:w="1249" w:type="pct"/>
            <w:shd w:val="clear" w:color="auto" w:fill="FFFFFF"/>
          </w:tcPr>
          <w:p w14:paraId="6B89E4C4" w14:textId="10A58D59" w:rsidR="005E008D" w:rsidRPr="002A35C8" w:rsidRDefault="005E008D" w:rsidP="00703D57">
            <w:pPr>
              <w:pStyle w:val="CETBodytext"/>
              <w:ind w:right="-1"/>
              <w:rPr>
                <w:rFonts w:cs="Arial"/>
                <w:szCs w:val="18"/>
                <w:lang w:val="en-GB"/>
              </w:rPr>
            </w:pPr>
            <w:r w:rsidRPr="002A35C8">
              <w:rPr>
                <w:rFonts w:cs="Arial"/>
                <w:szCs w:val="18"/>
                <w:lang w:val="en-GB"/>
              </w:rPr>
              <w:t>41</w:t>
            </w:r>
          </w:p>
        </w:tc>
        <w:tc>
          <w:tcPr>
            <w:tcW w:w="1407" w:type="pct"/>
            <w:shd w:val="clear" w:color="auto" w:fill="FFFFFF"/>
          </w:tcPr>
          <w:p w14:paraId="241A2865" w14:textId="5F8BDADE" w:rsidR="005E008D" w:rsidRPr="002A35C8" w:rsidRDefault="005E008D" w:rsidP="00703D57">
            <w:pPr>
              <w:pStyle w:val="CETBodytext"/>
              <w:ind w:right="-1"/>
              <w:rPr>
                <w:rFonts w:cs="Arial"/>
                <w:szCs w:val="18"/>
                <w:lang w:val="en-GB"/>
              </w:rPr>
            </w:pPr>
            <w:r w:rsidRPr="002A35C8">
              <w:rPr>
                <w:rFonts w:cs="Arial"/>
                <w:szCs w:val="18"/>
                <w:lang w:val="en-GB"/>
              </w:rPr>
              <w:t>38</w:t>
            </w:r>
          </w:p>
        </w:tc>
        <w:tc>
          <w:tcPr>
            <w:tcW w:w="1563" w:type="pct"/>
            <w:shd w:val="clear" w:color="auto" w:fill="FFFFFF"/>
          </w:tcPr>
          <w:p w14:paraId="1A8C6177" w14:textId="4D37D6C7" w:rsidR="005E008D" w:rsidRPr="002A35C8" w:rsidRDefault="004F71E9" w:rsidP="00703D57">
            <w:pPr>
              <w:pStyle w:val="CETBodytext"/>
              <w:ind w:right="-1"/>
              <w:rPr>
                <w:rFonts w:cs="Arial"/>
                <w:szCs w:val="18"/>
                <w:lang w:val="en-GB"/>
              </w:rPr>
            </w:pPr>
            <w:r w:rsidRPr="002A35C8">
              <w:rPr>
                <w:rFonts w:cs="Arial"/>
                <w:szCs w:val="18"/>
                <w:lang w:val="en-GB"/>
              </w:rPr>
              <w:t>80</w:t>
            </w:r>
          </w:p>
        </w:tc>
      </w:tr>
      <w:tr w:rsidR="002A35C8" w:rsidRPr="002A35C8" w14:paraId="3C74FA36" w14:textId="77777777" w:rsidTr="002A35C8">
        <w:tc>
          <w:tcPr>
            <w:tcW w:w="781" w:type="pct"/>
            <w:shd w:val="clear" w:color="auto" w:fill="FFFFFF"/>
          </w:tcPr>
          <w:p w14:paraId="645ABD0C" w14:textId="46D2B545" w:rsidR="005E008D" w:rsidRPr="002A35C8" w:rsidRDefault="005E008D" w:rsidP="00703D57">
            <w:pPr>
              <w:pStyle w:val="CETBodytext"/>
              <w:ind w:right="-1"/>
              <w:rPr>
                <w:rFonts w:cs="Arial"/>
                <w:szCs w:val="18"/>
                <w:lang w:val="en-GB"/>
              </w:rPr>
            </w:pPr>
            <w:r w:rsidRPr="002A35C8">
              <w:rPr>
                <w:rFonts w:cs="Arial"/>
                <w:szCs w:val="18"/>
                <w:lang w:val="en-GB"/>
              </w:rPr>
              <w:t>x = 0.50</w:t>
            </w:r>
          </w:p>
        </w:tc>
        <w:tc>
          <w:tcPr>
            <w:tcW w:w="1249" w:type="pct"/>
            <w:shd w:val="clear" w:color="auto" w:fill="FFFFFF"/>
          </w:tcPr>
          <w:p w14:paraId="08136DA0" w14:textId="5C90C38D" w:rsidR="005E008D" w:rsidRPr="002A35C8" w:rsidRDefault="005E008D" w:rsidP="00703D57">
            <w:pPr>
              <w:pStyle w:val="CETBodytext"/>
              <w:ind w:right="-1"/>
              <w:rPr>
                <w:rFonts w:cs="Arial"/>
                <w:szCs w:val="18"/>
                <w:lang w:val="en-GB"/>
              </w:rPr>
            </w:pPr>
            <w:r w:rsidRPr="002A35C8">
              <w:rPr>
                <w:rFonts w:cs="Arial"/>
                <w:szCs w:val="18"/>
                <w:lang w:val="en-GB"/>
              </w:rPr>
              <w:t>52</w:t>
            </w:r>
          </w:p>
        </w:tc>
        <w:tc>
          <w:tcPr>
            <w:tcW w:w="1407" w:type="pct"/>
            <w:shd w:val="clear" w:color="auto" w:fill="FFFFFF"/>
          </w:tcPr>
          <w:p w14:paraId="6C614BB2" w14:textId="403F641F" w:rsidR="005E008D" w:rsidRPr="002A35C8" w:rsidRDefault="005E008D" w:rsidP="00703D57">
            <w:pPr>
              <w:pStyle w:val="CETBodytext"/>
              <w:ind w:right="-1"/>
              <w:rPr>
                <w:rFonts w:cs="Arial"/>
                <w:szCs w:val="18"/>
                <w:lang w:val="en-GB"/>
              </w:rPr>
            </w:pPr>
            <w:r w:rsidRPr="002A35C8">
              <w:rPr>
                <w:rFonts w:cs="Arial"/>
                <w:szCs w:val="18"/>
                <w:lang w:val="en-GB"/>
              </w:rPr>
              <w:t>20</w:t>
            </w:r>
          </w:p>
        </w:tc>
        <w:tc>
          <w:tcPr>
            <w:tcW w:w="1563" w:type="pct"/>
            <w:shd w:val="clear" w:color="auto" w:fill="FFFFFF"/>
          </w:tcPr>
          <w:p w14:paraId="6BA1CAD2" w14:textId="5259F2BF" w:rsidR="005E008D" w:rsidRPr="002A35C8" w:rsidRDefault="004F71E9" w:rsidP="00703D57">
            <w:pPr>
              <w:pStyle w:val="CETBodytext"/>
              <w:ind w:right="-1"/>
              <w:rPr>
                <w:rFonts w:cs="Arial"/>
                <w:szCs w:val="18"/>
                <w:lang w:val="en-GB"/>
              </w:rPr>
            </w:pPr>
            <w:r w:rsidRPr="002A35C8">
              <w:rPr>
                <w:rFonts w:cs="Arial"/>
                <w:szCs w:val="18"/>
                <w:lang w:val="en-GB"/>
              </w:rPr>
              <w:t>79</w:t>
            </w:r>
          </w:p>
        </w:tc>
      </w:tr>
      <w:tr w:rsidR="002A35C8" w:rsidRPr="002A35C8" w14:paraId="50CA22E2" w14:textId="77777777" w:rsidTr="002A35C8">
        <w:tc>
          <w:tcPr>
            <w:tcW w:w="781" w:type="pct"/>
            <w:shd w:val="clear" w:color="auto" w:fill="FFFFFF"/>
          </w:tcPr>
          <w:p w14:paraId="7534E8F1" w14:textId="27D8C8FE" w:rsidR="005E008D" w:rsidRPr="002A35C8" w:rsidRDefault="005E008D" w:rsidP="00703D57">
            <w:pPr>
              <w:pStyle w:val="CETBodytext"/>
              <w:ind w:right="-1"/>
              <w:rPr>
                <w:rFonts w:cs="Arial"/>
                <w:szCs w:val="18"/>
                <w:lang w:val="en-GB"/>
              </w:rPr>
            </w:pPr>
            <w:r w:rsidRPr="002A35C8">
              <w:rPr>
                <w:rFonts w:cs="Arial"/>
                <w:szCs w:val="18"/>
                <w:lang w:val="en-GB"/>
              </w:rPr>
              <w:t>x = 0.75</w:t>
            </w:r>
          </w:p>
        </w:tc>
        <w:tc>
          <w:tcPr>
            <w:tcW w:w="1249" w:type="pct"/>
            <w:shd w:val="clear" w:color="auto" w:fill="FFFFFF"/>
          </w:tcPr>
          <w:p w14:paraId="09D95738" w14:textId="3B634822" w:rsidR="005E008D" w:rsidRPr="002A35C8" w:rsidRDefault="005E008D" w:rsidP="00703D57">
            <w:pPr>
              <w:pStyle w:val="CETBodytext"/>
              <w:ind w:right="-1"/>
              <w:rPr>
                <w:rFonts w:cs="Arial"/>
                <w:szCs w:val="18"/>
                <w:lang w:val="en-GB"/>
              </w:rPr>
            </w:pPr>
            <w:r w:rsidRPr="002A35C8">
              <w:rPr>
                <w:rFonts w:cs="Arial"/>
                <w:szCs w:val="18"/>
                <w:lang w:val="en-GB"/>
              </w:rPr>
              <w:t>62</w:t>
            </w:r>
          </w:p>
        </w:tc>
        <w:tc>
          <w:tcPr>
            <w:tcW w:w="1407" w:type="pct"/>
            <w:shd w:val="clear" w:color="auto" w:fill="FFFFFF"/>
          </w:tcPr>
          <w:p w14:paraId="71F3C7F2" w14:textId="6557ED2C" w:rsidR="005E008D" w:rsidRPr="002A35C8" w:rsidRDefault="005E008D" w:rsidP="00703D57">
            <w:pPr>
              <w:pStyle w:val="CETBodytext"/>
              <w:ind w:right="-1"/>
              <w:rPr>
                <w:rFonts w:cs="Arial"/>
                <w:szCs w:val="18"/>
                <w:lang w:val="en-GB"/>
              </w:rPr>
            </w:pPr>
            <w:r w:rsidRPr="002A35C8">
              <w:rPr>
                <w:rFonts w:cs="Arial"/>
                <w:szCs w:val="18"/>
                <w:lang w:val="en-GB"/>
              </w:rPr>
              <w:t>13</w:t>
            </w:r>
          </w:p>
        </w:tc>
        <w:tc>
          <w:tcPr>
            <w:tcW w:w="1563" w:type="pct"/>
            <w:shd w:val="clear" w:color="auto" w:fill="FFFFFF"/>
          </w:tcPr>
          <w:p w14:paraId="304A8F7E" w14:textId="42B85376" w:rsidR="005E008D" w:rsidRPr="002A35C8" w:rsidRDefault="004F71E9" w:rsidP="00703D57">
            <w:pPr>
              <w:pStyle w:val="CETBodytext"/>
              <w:ind w:right="-1"/>
              <w:rPr>
                <w:rFonts w:cs="Arial"/>
                <w:szCs w:val="18"/>
                <w:lang w:val="en-GB"/>
              </w:rPr>
            </w:pPr>
            <w:r w:rsidRPr="002A35C8">
              <w:rPr>
                <w:rFonts w:cs="Arial"/>
                <w:szCs w:val="18"/>
                <w:lang w:val="en-GB"/>
              </w:rPr>
              <w:t>75</w:t>
            </w:r>
          </w:p>
        </w:tc>
      </w:tr>
      <w:tr w:rsidR="002A35C8" w:rsidRPr="002A35C8" w14:paraId="5C5038FF" w14:textId="77777777" w:rsidTr="002A35C8">
        <w:tc>
          <w:tcPr>
            <w:tcW w:w="781" w:type="pct"/>
            <w:shd w:val="clear" w:color="auto" w:fill="FFFFFF"/>
          </w:tcPr>
          <w:p w14:paraId="3C89F867" w14:textId="0E0B2DA6" w:rsidR="005E008D" w:rsidRPr="002A35C8" w:rsidRDefault="005E008D" w:rsidP="00703D57">
            <w:pPr>
              <w:pStyle w:val="CETBodytext"/>
              <w:ind w:right="-1"/>
              <w:rPr>
                <w:rFonts w:cs="Arial"/>
                <w:szCs w:val="18"/>
                <w:lang w:val="en-GB"/>
              </w:rPr>
            </w:pPr>
            <w:r w:rsidRPr="002A35C8">
              <w:rPr>
                <w:rFonts w:cs="Arial"/>
                <w:szCs w:val="18"/>
                <w:lang w:val="en-GB"/>
              </w:rPr>
              <w:t>x = 1</w:t>
            </w:r>
          </w:p>
        </w:tc>
        <w:tc>
          <w:tcPr>
            <w:tcW w:w="1249" w:type="pct"/>
            <w:shd w:val="clear" w:color="auto" w:fill="FFFFFF"/>
          </w:tcPr>
          <w:p w14:paraId="140B6250" w14:textId="6B7435D6" w:rsidR="005E008D" w:rsidRPr="002A35C8" w:rsidRDefault="005E008D" w:rsidP="00703D57">
            <w:pPr>
              <w:pStyle w:val="CETBodytext"/>
              <w:ind w:right="-1"/>
              <w:rPr>
                <w:rFonts w:cs="Arial"/>
                <w:szCs w:val="18"/>
                <w:lang w:val="en-GB"/>
              </w:rPr>
            </w:pPr>
            <w:r w:rsidRPr="002A35C8">
              <w:rPr>
                <w:rFonts w:cs="Arial"/>
                <w:szCs w:val="18"/>
                <w:lang w:val="en-GB"/>
              </w:rPr>
              <w:t>82</w:t>
            </w:r>
          </w:p>
        </w:tc>
        <w:tc>
          <w:tcPr>
            <w:tcW w:w="1407" w:type="pct"/>
            <w:shd w:val="clear" w:color="auto" w:fill="FFFFFF"/>
          </w:tcPr>
          <w:p w14:paraId="13C747D8" w14:textId="7932ADF6" w:rsidR="005E008D" w:rsidRPr="002A35C8" w:rsidRDefault="005E008D" w:rsidP="00703D57">
            <w:pPr>
              <w:pStyle w:val="CETBodytext"/>
              <w:ind w:right="-1"/>
              <w:rPr>
                <w:rFonts w:cs="Arial"/>
                <w:szCs w:val="18"/>
                <w:lang w:val="en-GB"/>
              </w:rPr>
            </w:pPr>
            <w:r w:rsidRPr="002A35C8">
              <w:rPr>
                <w:rFonts w:cs="Arial"/>
                <w:szCs w:val="18"/>
                <w:lang w:val="en-GB"/>
              </w:rPr>
              <w:t>9</w:t>
            </w:r>
          </w:p>
        </w:tc>
        <w:tc>
          <w:tcPr>
            <w:tcW w:w="1563" w:type="pct"/>
            <w:shd w:val="clear" w:color="auto" w:fill="FFFFFF"/>
          </w:tcPr>
          <w:p w14:paraId="5F1BE675" w14:textId="0B8E06A2" w:rsidR="005E008D" w:rsidRPr="002A35C8" w:rsidRDefault="004F71E9" w:rsidP="00703D57">
            <w:pPr>
              <w:pStyle w:val="CETBodytext"/>
              <w:ind w:right="-1"/>
              <w:rPr>
                <w:rFonts w:cs="Arial"/>
                <w:szCs w:val="18"/>
                <w:lang w:val="en-GB"/>
              </w:rPr>
            </w:pPr>
            <w:r w:rsidRPr="002A35C8">
              <w:rPr>
                <w:rFonts w:cs="Arial"/>
                <w:szCs w:val="18"/>
                <w:lang w:val="en-GB"/>
              </w:rPr>
              <w:t>72</w:t>
            </w:r>
          </w:p>
        </w:tc>
      </w:tr>
    </w:tbl>
    <w:p w14:paraId="06687C74" w14:textId="0CB53A8C" w:rsidR="00DF15D7" w:rsidRPr="002A35C8" w:rsidRDefault="00BC49C7" w:rsidP="002A35C8">
      <w:pPr>
        <w:pStyle w:val="CETBodytext"/>
        <w:spacing w:after="240"/>
        <w:rPr>
          <w:lang w:val="en-GB"/>
        </w:rPr>
      </w:pPr>
      <w:r w:rsidRPr="002A35C8">
        <w:rPr>
          <w:lang w:val="en-GB"/>
        </w:rPr>
        <w:lastRenderedPageBreak/>
        <w:t>The structural characterisation by XRD revealed the presence of a spinel cubic phase in</w:t>
      </w:r>
      <w:r w:rsidR="003E1041" w:rsidRPr="002A35C8">
        <w:rPr>
          <w:lang w:val="en-GB"/>
        </w:rPr>
        <w:t xml:space="preserve"> all</w:t>
      </w:r>
      <w:r w:rsidRPr="002A35C8">
        <w:rPr>
          <w:lang w:val="en-GB"/>
        </w:rPr>
        <w:t xml:space="preserve"> the calcined precursors with diffraction signals at 2θ</w:t>
      </w:r>
      <w:r w:rsidR="003E1041" w:rsidRPr="002A35C8">
        <w:rPr>
          <w:lang w:val="en-GB"/>
        </w:rPr>
        <w:t xml:space="preserve"> = 19.1, 31.4, 37.0, 45.0, 55.8, 59.6 and 65.5º</w:t>
      </w:r>
      <w:r w:rsidR="003E6E1B" w:rsidRPr="002A35C8">
        <w:rPr>
          <w:lang w:val="en-GB"/>
        </w:rPr>
        <w:t>, which could be attributed to the presence of CoAl</w:t>
      </w:r>
      <w:r w:rsidR="003E6E1B" w:rsidRPr="002A35C8">
        <w:rPr>
          <w:vertAlign w:val="subscript"/>
          <w:lang w:val="en-GB"/>
        </w:rPr>
        <w:t>2</w:t>
      </w:r>
      <w:r w:rsidR="003E6E1B" w:rsidRPr="002A35C8">
        <w:rPr>
          <w:lang w:val="en-GB"/>
        </w:rPr>
        <w:t>O</w:t>
      </w:r>
      <w:r w:rsidR="003E6E1B" w:rsidRPr="002A35C8">
        <w:rPr>
          <w:vertAlign w:val="subscript"/>
          <w:lang w:val="en-GB"/>
        </w:rPr>
        <w:t>4</w:t>
      </w:r>
      <w:r w:rsidR="003E6E1B" w:rsidRPr="002A35C8">
        <w:rPr>
          <w:lang w:val="en-GB"/>
        </w:rPr>
        <w:t xml:space="preserve"> (ICD</w:t>
      </w:r>
      <w:r w:rsidR="00634F53" w:rsidRPr="002A35C8">
        <w:rPr>
          <w:lang w:val="en-GB"/>
        </w:rPr>
        <w:t xml:space="preserve">D </w:t>
      </w:r>
      <w:r w:rsidR="00634F53" w:rsidRPr="002A35C8">
        <w:rPr>
          <w:lang w:val="es-ES"/>
        </w:rPr>
        <w:t>044-0160</w:t>
      </w:r>
      <w:r w:rsidR="003E6E1B" w:rsidRPr="002A35C8">
        <w:rPr>
          <w:lang w:val="en-GB"/>
        </w:rPr>
        <w:t>) and/or NiAl</w:t>
      </w:r>
      <w:r w:rsidR="003E6E1B" w:rsidRPr="002A35C8">
        <w:rPr>
          <w:vertAlign w:val="subscript"/>
          <w:lang w:val="en-GB"/>
        </w:rPr>
        <w:t>2</w:t>
      </w:r>
      <w:r w:rsidR="003E6E1B" w:rsidRPr="002A35C8">
        <w:rPr>
          <w:lang w:val="en-GB"/>
        </w:rPr>
        <w:t>O</w:t>
      </w:r>
      <w:r w:rsidR="003E6E1B" w:rsidRPr="002A35C8">
        <w:rPr>
          <w:vertAlign w:val="subscript"/>
          <w:lang w:val="en-GB"/>
        </w:rPr>
        <w:t>4</w:t>
      </w:r>
      <w:r w:rsidR="003E6E1B" w:rsidRPr="002A35C8">
        <w:rPr>
          <w:lang w:val="en-GB"/>
        </w:rPr>
        <w:t xml:space="preserve"> (ICD</w:t>
      </w:r>
      <w:r w:rsidR="00634F53" w:rsidRPr="002A35C8">
        <w:rPr>
          <w:lang w:val="en-GB"/>
        </w:rPr>
        <w:t xml:space="preserve">D </w:t>
      </w:r>
      <w:r w:rsidR="00634F53" w:rsidRPr="002A35C8">
        <w:rPr>
          <w:lang w:val="es-ES"/>
        </w:rPr>
        <w:t>010-0339</w:t>
      </w:r>
      <w:r w:rsidR="003E6E1B" w:rsidRPr="002A35C8">
        <w:rPr>
          <w:lang w:val="en-GB"/>
        </w:rPr>
        <w:t>)</w:t>
      </w:r>
      <w:r w:rsidR="003E1041" w:rsidRPr="002A35C8">
        <w:rPr>
          <w:lang w:val="en-GB"/>
        </w:rPr>
        <w:t>. Also, for the samples with x higher than 0.25, additional signals at 2θ = 43.3 and 62.9º appeared, which were associated with the presence of segregated NiO</w:t>
      </w:r>
      <w:r w:rsidR="00634F53" w:rsidRPr="002A35C8">
        <w:rPr>
          <w:lang w:val="en-GB"/>
        </w:rPr>
        <w:t xml:space="preserve"> (ICDD </w:t>
      </w:r>
      <w:r w:rsidR="00634F53" w:rsidRPr="002A35C8">
        <w:rPr>
          <w:lang w:val="es-ES"/>
        </w:rPr>
        <w:t>047-1049)</w:t>
      </w:r>
      <w:r w:rsidR="003E1041" w:rsidRPr="002A35C8">
        <w:rPr>
          <w:lang w:val="en-GB"/>
        </w:rPr>
        <w:t>. In addition to that</w:t>
      </w:r>
      <w:r w:rsidRPr="002A35C8">
        <w:rPr>
          <w:lang w:val="en-GB"/>
        </w:rPr>
        <w:t>, a close-up view of the most intense signal</w:t>
      </w:r>
      <w:r w:rsidR="003E1041" w:rsidRPr="002A35C8">
        <w:rPr>
          <w:lang w:val="en-GB"/>
        </w:rPr>
        <w:t xml:space="preserve"> of the spinel phase</w:t>
      </w:r>
      <w:r w:rsidRPr="002A35C8">
        <w:rPr>
          <w:lang w:val="en-GB"/>
        </w:rPr>
        <w:t xml:space="preserve"> at 2θ</w:t>
      </w:r>
      <w:r w:rsidR="003E1041" w:rsidRPr="002A35C8">
        <w:rPr>
          <w:lang w:val="en-GB"/>
        </w:rPr>
        <w:t> </w:t>
      </w:r>
      <w:r w:rsidRPr="002A35C8">
        <w:rPr>
          <w:lang w:val="en-GB"/>
        </w:rPr>
        <w:t>=</w:t>
      </w:r>
      <w:r w:rsidR="003E1041" w:rsidRPr="002A35C8">
        <w:rPr>
          <w:lang w:val="en-GB"/>
        </w:rPr>
        <w:t> 37.0º (Figure 1)</w:t>
      </w:r>
      <w:r w:rsidRPr="002A35C8">
        <w:rPr>
          <w:lang w:val="en-GB"/>
        </w:rPr>
        <w:t xml:space="preserve"> </w:t>
      </w:r>
      <w:r w:rsidR="003E1041" w:rsidRPr="002A35C8">
        <w:rPr>
          <w:lang w:val="en-GB"/>
        </w:rPr>
        <w:t>evidenced a shift towards higher positions with the increase of the x value, which indicated a shrinkage of t</w:t>
      </w:r>
      <w:r w:rsidR="002A35C8">
        <w:rPr>
          <w:lang w:val="en-GB"/>
        </w:rPr>
        <w:t xml:space="preserve">he cell parameter of the spinel. </w:t>
      </w:r>
      <w:r w:rsidR="003E1041" w:rsidRPr="002A35C8">
        <w:rPr>
          <w:lang w:val="en-GB"/>
        </w:rPr>
        <w:t>This would be in agreement with the smaller cell parameter of NiAl</w:t>
      </w:r>
      <w:r w:rsidR="003E1041" w:rsidRPr="002A35C8">
        <w:rPr>
          <w:vertAlign w:val="subscript"/>
          <w:lang w:val="en-GB"/>
        </w:rPr>
        <w:t>2</w:t>
      </w:r>
      <w:r w:rsidR="003E1041" w:rsidRPr="002A35C8">
        <w:rPr>
          <w:lang w:val="en-GB"/>
        </w:rPr>
        <w:t>O</w:t>
      </w:r>
      <w:r w:rsidR="003E1041" w:rsidRPr="002A35C8">
        <w:rPr>
          <w:vertAlign w:val="subscript"/>
          <w:lang w:val="en-GB"/>
        </w:rPr>
        <w:t>4</w:t>
      </w:r>
      <w:r w:rsidR="003E1041" w:rsidRPr="002A35C8">
        <w:rPr>
          <w:lang w:val="en-GB"/>
        </w:rPr>
        <w:t xml:space="preserve"> (8.048 </w:t>
      </w:r>
      <w:r w:rsidR="003E1041" w:rsidRPr="002A35C8">
        <w:rPr>
          <w:rFonts w:cs="Arial"/>
          <w:lang w:val="en-GB"/>
        </w:rPr>
        <w:t>Å) with respect to CoAl</w:t>
      </w:r>
      <w:r w:rsidR="003E1041" w:rsidRPr="002A35C8">
        <w:rPr>
          <w:rFonts w:cs="Arial"/>
          <w:vertAlign w:val="subscript"/>
          <w:lang w:val="en-GB"/>
        </w:rPr>
        <w:t>2</w:t>
      </w:r>
      <w:r w:rsidR="003E1041" w:rsidRPr="002A35C8">
        <w:rPr>
          <w:rFonts w:cs="Arial"/>
          <w:lang w:val="en-GB"/>
        </w:rPr>
        <w:t>O</w:t>
      </w:r>
      <w:r w:rsidR="003E1041" w:rsidRPr="002A35C8">
        <w:rPr>
          <w:rFonts w:cs="Arial"/>
          <w:vertAlign w:val="subscript"/>
          <w:lang w:val="en-GB"/>
        </w:rPr>
        <w:t>4</w:t>
      </w:r>
      <w:r w:rsidR="003E1041" w:rsidRPr="002A35C8">
        <w:rPr>
          <w:rFonts w:cs="Arial"/>
          <w:lang w:val="en-GB"/>
        </w:rPr>
        <w:t xml:space="preserve"> (8.104 Å).</w:t>
      </w:r>
      <w:r w:rsidR="002A35C8">
        <w:rPr>
          <w:rFonts w:cs="Arial"/>
          <w:lang w:val="en-GB"/>
        </w:rPr>
        <w:t xml:space="preserve"> </w:t>
      </w:r>
      <w:r w:rsidR="002A35C8" w:rsidRPr="002A35C8">
        <w:rPr>
          <w:lang w:val="en-GB"/>
        </w:rPr>
        <w:t>The crystallite size of the spinel phase, estimated by the Scherrer equation from the most intense signal, varied from 45 nm for the CoAl</w:t>
      </w:r>
      <w:r w:rsidR="002A35C8" w:rsidRPr="002A35C8">
        <w:rPr>
          <w:vertAlign w:val="subscript"/>
          <w:lang w:val="en-GB"/>
        </w:rPr>
        <w:t>2</w:t>
      </w:r>
      <w:r w:rsidR="002A35C8" w:rsidRPr="002A35C8">
        <w:rPr>
          <w:lang w:val="en-GB"/>
        </w:rPr>
        <w:t>O</w:t>
      </w:r>
      <w:r w:rsidR="002A35C8" w:rsidRPr="002A35C8">
        <w:rPr>
          <w:vertAlign w:val="subscript"/>
          <w:lang w:val="en-GB"/>
        </w:rPr>
        <w:t>4</w:t>
      </w:r>
      <w:r w:rsidR="002A35C8" w:rsidRPr="002A35C8">
        <w:rPr>
          <w:lang w:val="en-GB"/>
        </w:rPr>
        <w:t xml:space="preserve"> precursor to 9 nm for the NiAl</w:t>
      </w:r>
      <w:r w:rsidR="002A35C8" w:rsidRPr="002A35C8">
        <w:rPr>
          <w:vertAlign w:val="subscript"/>
          <w:lang w:val="en-GB"/>
        </w:rPr>
        <w:t>2</w:t>
      </w:r>
      <w:r w:rsidR="002A35C8" w:rsidRPr="002A35C8">
        <w:rPr>
          <w:lang w:val="en-GB"/>
        </w:rPr>
        <w:t>O</w:t>
      </w:r>
      <w:r w:rsidR="002A35C8" w:rsidRPr="002A35C8">
        <w:rPr>
          <w:vertAlign w:val="subscript"/>
          <w:lang w:val="en-GB"/>
        </w:rPr>
        <w:t>4</w:t>
      </w:r>
      <w:r w:rsidR="002A35C8" w:rsidRPr="002A35C8">
        <w:rPr>
          <w:lang w:val="en-GB"/>
        </w:rPr>
        <w:t xml:space="preserve"> counterpart, in line with</w:t>
      </w:r>
      <w:r w:rsidR="002A35C8">
        <w:rPr>
          <w:lang w:val="en-GB"/>
        </w:rPr>
        <w:t xml:space="preserve"> the</w:t>
      </w:r>
      <w:r w:rsidR="002A35C8" w:rsidRPr="002A35C8">
        <w:rPr>
          <w:lang w:val="en-GB"/>
        </w:rPr>
        <w:t xml:space="preserve"> previous values for the specific surface area.</w:t>
      </w:r>
    </w:p>
    <w:p w14:paraId="1E941BBE" w14:textId="094F8906" w:rsidR="00DF15D7" w:rsidRPr="002A35C8" w:rsidRDefault="002A00CF" w:rsidP="00600535">
      <w:pPr>
        <w:pStyle w:val="CETBodytext"/>
        <w:rPr>
          <w:lang w:val="en-GB"/>
        </w:rPr>
      </w:pPr>
      <w:r w:rsidRPr="002A35C8">
        <w:rPr>
          <w:noProof/>
          <w:lang w:val="es-ES" w:eastAsia="es-ES"/>
        </w:rPr>
        <w:drawing>
          <wp:inline distT="0" distB="0" distL="0" distR="0" wp14:anchorId="4B485A59" wp14:editId="0C191357">
            <wp:extent cx="2807597" cy="2340000"/>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lcinadas Close up.jpg"/>
                    <pic:cNvPicPr/>
                  </pic:nvPicPr>
                  <pic:blipFill>
                    <a:blip r:embed="rId10">
                      <a:extLst>
                        <a:ext uri="{28A0092B-C50C-407E-A947-70E740481C1C}">
                          <a14:useLocalDpi xmlns:a14="http://schemas.microsoft.com/office/drawing/2010/main" val="0"/>
                        </a:ext>
                      </a:extLst>
                    </a:blip>
                    <a:stretch>
                      <a:fillRect/>
                    </a:stretch>
                  </pic:blipFill>
                  <pic:spPr>
                    <a:xfrm>
                      <a:off x="0" y="0"/>
                      <a:ext cx="2807597" cy="2340000"/>
                    </a:xfrm>
                    <a:prstGeom prst="rect">
                      <a:avLst/>
                    </a:prstGeom>
                  </pic:spPr>
                </pic:pic>
              </a:graphicData>
            </a:graphic>
          </wp:inline>
        </w:drawing>
      </w:r>
    </w:p>
    <w:p w14:paraId="1E3FAA05" w14:textId="6297B389" w:rsidR="002A00CF" w:rsidRPr="002A35C8" w:rsidRDefault="002A00CF" w:rsidP="002A00CF">
      <w:pPr>
        <w:pStyle w:val="CETCaption"/>
        <w:spacing w:before="0"/>
      </w:pPr>
      <w:r w:rsidRPr="002A35C8">
        <w:rPr>
          <w:rStyle w:val="CETCaptionCarattere"/>
          <w:i/>
        </w:rPr>
        <w:t>Figure 1: Close-up view of the XRD profiles of the calcined precursors in the 34-39º range.</w:t>
      </w:r>
    </w:p>
    <w:p w14:paraId="51CF4835" w14:textId="53C822E1" w:rsidR="00EA0AA7" w:rsidRPr="002A35C8" w:rsidRDefault="007203EB" w:rsidP="00B01D65">
      <w:pPr>
        <w:pStyle w:val="CETBodytext"/>
        <w:spacing w:after="240"/>
        <w:rPr>
          <w:lang w:val="en-GB"/>
        </w:rPr>
      </w:pPr>
      <w:r w:rsidRPr="002A35C8">
        <w:rPr>
          <w:lang w:val="en-GB"/>
        </w:rPr>
        <w:t>The H</w:t>
      </w:r>
      <w:r w:rsidRPr="002A35C8">
        <w:rPr>
          <w:vertAlign w:val="subscript"/>
          <w:lang w:val="en-GB"/>
        </w:rPr>
        <w:t>2</w:t>
      </w:r>
      <w:r w:rsidRPr="002A35C8">
        <w:rPr>
          <w:lang w:val="en-GB"/>
        </w:rPr>
        <w:t xml:space="preserve">-TPR profiles of the </w:t>
      </w:r>
      <w:r w:rsidR="002A35C8">
        <w:rPr>
          <w:lang w:val="en-GB"/>
        </w:rPr>
        <w:t>calcined precursors are included</w:t>
      </w:r>
      <w:r w:rsidRPr="002A35C8">
        <w:rPr>
          <w:lang w:val="en-GB"/>
        </w:rPr>
        <w:t xml:space="preserve"> in Figure 2. All reduction traces were characterised by a two-step process</w:t>
      </w:r>
      <w:r w:rsidR="005E008D" w:rsidRPr="002A35C8">
        <w:rPr>
          <w:lang w:val="en-GB"/>
        </w:rPr>
        <w:t xml:space="preserve"> in which the first step, located between 350 and 650 ºC corresponded to the reduction of segregated metallic oxides, namely NiO and small amounts of Co</w:t>
      </w:r>
      <w:r w:rsidR="005E008D" w:rsidRPr="002A35C8">
        <w:rPr>
          <w:vertAlign w:val="subscript"/>
          <w:lang w:val="en-GB"/>
        </w:rPr>
        <w:t>3</w:t>
      </w:r>
      <w:r w:rsidR="005E008D" w:rsidRPr="002A35C8">
        <w:rPr>
          <w:lang w:val="en-GB"/>
        </w:rPr>
        <w:t>O</w:t>
      </w:r>
      <w:r w:rsidR="005E008D" w:rsidRPr="002A35C8">
        <w:rPr>
          <w:vertAlign w:val="subscript"/>
          <w:lang w:val="en-GB"/>
        </w:rPr>
        <w:t>4</w:t>
      </w:r>
      <w:r w:rsidR="0071175C" w:rsidRPr="002A35C8">
        <w:rPr>
          <w:lang w:val="en-GB"/>
        </w:rPr>
        <w:t xml:space="preserve"> (Lim et al., 2015)</w:t>
      </w:r>
      <w:r w:rsidR="005E008D" w:rsidRPr="002A35C8">
        <w:rPr>
          <w:lang w:val="en-GB"/>
        </w:rPr>
        <w:t>, while the second step, centred around 850 ºC, was attributed to the reduction of the aluminate spinels</w:t>
      </w:r>
      <w:r w:rsidR="0071175C" w:rsidRPr="002A35C8">
        <w:rPr>
          <w:lang w:val="en-GB"/>
        </w:rPr>
        <w:t xml:space="preserve"> (Garbarino et al., 2015)</w:t>
      </w:r>
      <w:r w:rsidR="005E008D" w:rsidRPr="002A35C8">
        <w:rPr>
          <w:lang w:val="en-GB"/>
        </w:rPr>
        <w:t>. The integration and quantification of the reduction traces allowed for the calculation of the H</w:t>
      </w:r>
      <w:r w:rsidR="005E008D" w:rsidRPr="002A35C8">
        <w:rPr>
          <w:vertAlign w:val="subscript"/>
          <w:lang w:val="en-GB"/>
        </w:rPr>
        <w:t>2</w:t>
      </w:r>
      <w:r w:rsidR="005E008D" w:rsidRPr="002A35C8">
        <w:rPr>
          <w:lang w:val="en-GB"/>
        </w:rPr>
        <w:t xml:space="preserve"> uptake for each step that se</w:t>
      </w:r>
      <w:r w:rsidR="002A35C8">
        <w:rPr>
          <w:lang w:val="en-GB"/>
        </w:rPr>
        <w:t xml:space="preserve">rved to estimate the relative abundance </w:t>
      </w:r>
      <w:r w:rsidR="005E008D" w:rsidRPr="002A35C8">
        <w:rPr>
          <w:lang w:val="en-GB"/>
        </w:rPr>
        <w:t xml:space="preserve">of spinel phase present in </w:t>
      </w:r>
      <w:r w:rsidR="002A35C8">
        <w:rPr>
          <w:lang w:val="en-GB"/>
        </w:rPr>
        <w:t xml:space="preserve">each precursor, as presented in </w:t>
      </w:r>
      <w:r w:rsidR="005E008D" w:rsidRPr="002A35C8">
        <w:rPr>
          <w:lang w:val="en-GB"/>
        </w:rPr>
        <w:t>Table 1.</w:t>
      </w:r>
      <w:r w:rsidR="004F71E9" w:rsidRPr="002A35C8">
        <w:rPr>
          <w:lang w:val="en-GB"/>
        </w:rPr>
        <w:t xml:space="preserve"> The results pointed out that the calcined</w:t>
      </w:r>
      <w:r w:rsidR="002A35C8">
        <w:rPr>
          <w:lang w:val="en-GB"/>
        </w:rPr>
        <w:t xml:space="preserve"> oxide</w:t>
      </w:r>
      <w:r w:rsidR="004F71E9" w:rsidRPr="002A35C8">
        <w:rPr>
          <w:lang w:val="en-GB"/>
        </w:rPr>
        <w:t xml:space="preserve"> precursors contained </w:t>
      </w:r>
      <w:r w:rsidR="002A35C8">
        <w:rPr>
          <w:lang w:val="en-GB"/>
        </w:rPr>
        <w:t>between 72 and 81% of aluminate phases</w:t>
      </w:r>
      <w:r w:rsidR="004F71E9" w:rsidRPr="002A35C8">
        <w:rPr>
          <w:lang w:val="en-GB"/>
        </w:rPr>
        <w:t>, with the percentage being higher for the lower values of the parameter x, thus suggesting that CoAl</w:t>
      </w:r>
      <w:r w:rsidR="004F71E9" w:rsidRPr="002A35C8">
        <w:rPr>
          <w:vertAlign w:val="subscript"/>
          <w:lang w:val="en-GB"/>
        </w:rPr>
        <w:t>2</w:t>
      </w:r>
      <w:r w:rsidR="004F71E9" w:rsidRPr="002A35C8">
        <w:rPr>
          <w:lang w:val="en-GB"/>
        </w:rPr>
        <w:t>O</w:t>
      </w:r>
      <w:r w:rsidR="004F71E9" w:rsidRPr="002A35C8">
        <w:rPr>
          <w:vertAlign w:val="subscript"/>
          <w:lang w:val="en-GB"/>
        </w:rPr>
        <w:t>4</w:t>
      </w:r>
      <w:r w:rsidR="004F71E9" w:rsidRPr="002A35C8">
        <w:rPr>
          <w:lang w:val="en-GB"/>
        </w:rPr>
        <w:t xml:space="preserve"> forms slightly more efficiently than NiAl</w:t>
      </w:r>
      <w:r w:rsidR="004F71E9" w:rsidRPr="002A35C8">
        <w:rPr>
          <w:vertAlign w:val="subscript"/>
          <w:lang w:val="en-GB"/>
        </w:rPr>
        <w:t>2</w:t>
      </w:r>
      <w:r w:rsidR="004F71E9" w:rsidRPr="002A35C8">
        <w:rPr>
          <w:lang w:val="en-GB"/>
        </w:rPr>
        <w:t>O</w:t>
      </w:r>
      <w:r w:rsidR="004F71E9" w:rsidRPr="002A35C8">
        <w:rPr>
          <w:vertAlign w:val="subscript"/>
          <w:lang w:val="en-GB"/>
        </w:rPr>
        <w:t>4</w:t>
      </w:r>
      <w:r w:rsidR="004F71E9" w:rsidRPr="002A35C8">
        <w:rPr>
          <w:lang w:val="en-GB"/>
        </w:rPr>
        <w:t>.</w:t>
      </w:r>
    </w:p>
    <w:p w14:paraId="76823E0D" w14:textId="1532704E" w:rsidR="007203EB" w:rsidRPr="002A35C8" w:rsidRDefault="00195BB9" w:rsidP="00600535">
      <w:pPr>
        <w:pStyle w:val="CETBodytext"/>
        <w:rPr>
          <w:lang w:val="en-GB"/>
        </w:rPr>
      </w:pPr>
      <w:r>
        <w:rPr>
          <w:noProof/>
          <w:lang w:val="es-ES" w:eastAsia="es-ES"/>
        </w:rPr>
        <w:drawing>
          <wp:inline distT="0" distB="0" distL="0" distR="0" wp14:anchorId="4B0B11CA" wp14:editId="671A0C60">
            <wp:extent cx="3023570" cy="252000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2-TPR.jpg"/>
                    <pic:cNvPicPr/>
                  </pic:nvPicPr>
                  <pic:blipFill>
                    <a:blip r:embed="rId11">
                      <a:extLst>
                        <a:ext uri="{28A0092B-C50C-407E-A947-70E740481C1C}">
                          <a14:useLocalDpi xmlns:a14="http://schemas.microsoft.com/office/drawing/2010/main" val="0"/>
                        </a:ext>
                      </a:extLst>
                    </a:blip>
                    <a:stretch>
                      <a:fillRect/>
                    </a:stretch>
                  </pic:blipFill>
                  <pic:spPr>
                    <a:xfrm>
                      <a:off x="0" y="0"/>
                      <a:ext cx="3023570" cy="2520000"/>
                    </a:xfrm>
                    <a:prstGeom prst="rect">
                      <a:avLst/>
                    </a:prstGeom>
                  </pic:spPr>
                </pic:pic>
              </a:graphicData>
            </a:graphic>
          </wp:inline>
        </w:drawing>
      </w:r>
    </w:p>
    <w:p w14:paraId="5BE77281" w14:textId="543A89D0" w:rsidR="00DF15D7" w:rsidRPr="002A35C8" w:rsidRDefault="007203EB" w:rsidP="007203EB">
      <w:pPr>
        <w:pStyle w:val="CETCaption"/>
      </w:pPr>
      <w:r w:rsidRPr="002A35C8">
        <w:t>Figure 2: H</w:t>
      </w:r>
      <w:r w:rsidRPr="002A35C8">
        <w:rPr>
          <w:vertAlign w:val="subscript"/>
        </w:rPr>
        <w:t>2</w:t>
      </w:r>
      <w:r w:rsidRPr="002A35C8">
        <w:t>-TPR profiles of the calcined spinel precursors.</w:t>
      </w:r>
    </w:p>
    <w:p w14:paraId="1AFB9C8A" w14:textId="77777777" w:rsidR="00B01D65" w:rsidRPr="002A35C8" w:rsidRDefault="00B01D65" w:rsidP="00B01D65">
      <w:pPr>
        <w:pStyle w:val="CETheadingx"/>
      </w:pPr>
      <w:r w:rsidRPr="002A35C8">
        <w:lastRenderedPageBreak/>
        <w:t>Characterisation of the reduced catalysts</w:t>
      </w:r>
    </w:p>
    <w:p w14:paraId="1F02081C" w14:textId="34AA5927" w:rsidR="00B42C85" w:rsidRPr="002A35C8" w:rsidRDefault="00805799" w:rsidP="00600535">
      <w:pPr>
        <w:pStyle w:val="CETBodytext"/>
        <w:rPr>
          <w:lang w:val="en-GB"/>
        </w:rPr>
      </w:pPr>
      <w:r w:rsidRPr="002A35C8">
        <w:rPr>
          <w:lang w:val="en-GB"/>
        </w:rPr>
        <w:t>The textural characterisation of the reduced Ni-Co catalysts evidenced that the reduction process did not significantly affect the pore structure of the samples since all presented the same aforementioned type IV isotherms with H2 hysteresis cycles. However, the reduction process entailed a loss of specific surface area of around 30%with respect to the calcined precursors, as shown in the results presented in Table 2. Thus, the reduced catalysts exhibited specific surface areas between 20 m</w:t>
      </w:r>
      <w:r w:rsidRPr="002A35C8">
        <w:rPr>
          <w:vertAlign w:val="superscript"/>
          <w:lang w:val="en-GB"/>
        </w:rPr>
        <w:t>2</w:t>
      </w:r>
      <w:r w:rsidRPr="002A35C8">
        <w:rPr>
          <w:lang w:val="en-GB"/>
        </w:rPr>
        <w:t xml:space="preserve"> g</w:t>
      </w:r>
      <w:r w:rsidRPr="002A35C8">
        <w:rPr>
          <w:vertAlign w:val="superscript"/>
          <w:lang w:val="en-GB"/>
        </w:rPr>
        <w:t>-1</w:t>
      </w:r>
      <w:r w:rsidRPr="002A35C8">
        <w:rPr>
          <w:lang w:val="en-GB"/>
        </w:rPr>
        <w:t xml:space="preserve"> (x = 0) and 57 m</w:t>
      </w:r>
      <w:r w:rsidRPr="002A35C8">
        <w:rPr>
          <w:vertAlign w:val="superscript"/>
          <w:lang w:val="en-GB"/>
        </w:rPr>
        <w:t>2</w:t>
      </w:r>
      <w:r w:rsidRPr="002A35C8">
        <w:rPr>
          <w:lang w:val="en-GB"/>
        </w:rPr>
        <w:t xml:space="preserve"> g</w:t>
      </w:r>
      <w:r w:rsidRPr="002A35C8">
        <w:rPr>
          <w:vertAlign w:val="superscript"/>
          <w:lang w:val="en-GB"/>
        </w:rPr>
        <w:t>-1</w:t>
      </w:r>
      <w:r w:rsidRPr="002A35C8">
        <w:rPr>
          <w:lang w:val="en-GB"/>
        </w:rPr>
        <w:t xml:space="preserve"> (x = 1).</w:t>
      </w:r>
    </w:p>
    <w:p w14:paraId="62B58119" w14:textId="1140A497" w:rsidR="00B42C85" w:rsidRPr="002A35C8" w:rsidRDefault="00B42C85" w:rsidP="00B42C85">
      <w:pPr>
        <w:pStyle w:val="CETTabletitle"/>
      </w:pPr>
      <w:r w:rsidRPr="002A35C8">
        <w:t>Table 2: Physico-chemical properties of the reduced catalysts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475"/>
        <w:gridCol w:w="2971"/>
        <w:gridCol w:w="3341"/>
      </w:tblGrid>
      <w:tr w:rsidR="00B42C85" w:rsidRPr="002A35C8" w14:paraId="37D688DD" w14:textId="77777777" w:rsidTr="002A35C8">
        <w:tc>
          <w:tcPr>
            <w:tcW w:w="1408" w:type="pct"/>
            <w:tcBorders>
              <w:top w:val="single" w:sz="12" w:space="0" w:color="008000"/>
              <w:bottom w:val="single" w:sz="6" w:space="0" w:color="008000"/>
            </w:tcBorders>
            <w:shd w:val="clear" w:color="auto" w:fill="FFFFFF"/>
          </w:tcPr>
          <w:p w14:paraId="68267F5C" w14:textId="77777777" w:rsidR="00B42C85" w:rsidRPr="002A35C8" w:rsidRDefault="00B42C85" w:rsidP="00703D57">
            <w:pPr>
              <w:pStyle w:val="CETBodytext"/>
              <w:rPr>
                <w:lang w:val="en-GB"/>
              </w:rPr>
            </w:pPr>
            <w:r w:rsidRPr="002A35C8">
              <w:rPr>
                <w:lang w:val="en-GB"/>
              </w:rPr>
              <w:t xml:space="preserve">Sample </w:t>
            </w:r>
          </w:p>
        </w:tc>
        <w:tc>
          <w:tcPr>
            <w:tcW w:w="1690" w:type="pct"/>
            <w:tcBorders>
              <w:top w:val="single" w:sz="12" w:space="0" w:color="008000"/>
              <w:bottom w:val="single" w:sz="6" w:space="0" w:color="008000"/>
            </w:tcBorders>
            <w:shd w:val="clear" w:color="auto" w:fill="FFFFFF"/>
          </w:tcPr>
          <w:p w14:paraId="4CFE30DC" w14:textId="77777777" w:rsidR="002A35C8" w:rsidRDefault="00B42C85" w:rsidP="00703D57">
            <w:pPr>
              <w:pStyle w:val="CETBodytext"/>
              <w:jc w:val="left"/>
              <w:rPr>
                <w:lang w:val="en-GB"/>
              </w:rPr>
            </w:pPr>
            <w:r w:rsidRPr="002A35C8">
              <w:rPr>
                <w:lang w:val="en-GB"/>
              </w:rPr>
              <w:t xml:space="preserve">Specific surface area, </w:t>
            </w:r>
          </w:p>
          <w:p w14:paraId="27F0E01D" w14:textId="3FEEF372" w:rsidR="00B42C85" w:rsidRPr="002A35C8" w:rsidRDefault="00B42C85" w:rsidP="00703D57">
            <w:pPr>
              <w:pStyle w:val="CETBodytext"/>
              <w:jc w:val="left"/>
              <w:rPr>
                <w:lang w:val="en-GB"/>
              </w:rPr>
            </w:pPr>
            <w:r w:rsidRPr="002A35C8">
              <w:rPr>
                <w:lang w:val="en-GB"/>
              </w:rPr>
              <w:t>m</w:t>
            </w:r>
            <w:r w:rsidRPr="002A35C8">
              <w:rPr>
                <w:vertAlign w:val="superscript"/>
                <w:lang w:val="en-GB"/>
              </w:rPr>
              <w:t>2</w:t>
            </w:r>
            <w:r w:rsidRPr="002A35C8">
              <w:rPr>
                <w:lang w:val="en-GB"/>
              </w:rPr>
              <w:t xml:space="preserve"> g</w:t>
            </w:r>
            <w:r w:rsidRPr="002A35C8">
              <w:rPr>
                <w:vertAlign w:val="superscript"/>
                <w:lang w:val="en-GB"/>
              </w:rPr>
              <w:t>-1</w:t>
            </w:r>
          </w:p>
        </w:tc>
        <w:tc>
          <w:tcPr>
            <w:tcW w:w="1901" w:type="pct"/>
            <w:tcBorders>
              <w:top w:val="single" w:sz="12" w:space="0" w:color="008000"/>
              <w:bottom w:val="single" w:sz="6" w:space="0" w:color="008000"/>
            </w:tcBorders>
            <w:shd w:val="clear" w:color="auto" w:fill="FFFFFF"/>
          </w:tcPr>
          <w:p w14:paraId="332C5AC8" w14:textId="77777777" w:rsidR="002A35C8" w:rsidRDefault="00EB4565" w:rsidP="00703D57">
            <w:pPr>
              <w:pStyle w:val="CETBodytext"/>
              <w:jc w:val="left"/>
              <w:rPr>
                <w:lang w:val="en-GB"/>
              </w:rPr>
            </w:pPr>
            <w:r w:rsidRPr="002A35C8">
              <w:rPr>
                <w:lang w:val="en-GB"/>
              </w:rPr>
              <w:t>Metal</w:t>
            </w:r>
            <w:r w:rsidR="00B42C85" w:rsidRPr="002A35C8">
              <w:rPr>
                <w:lang w:val="en-GB"/>
              </w:rPr>
              <w:t xml:space="preserve"> crystallite size, </w:t>
            </w:r>
          </w:p>
          <w:p w14:paraId="5ED27D65" w14:textId="4EA53699" w:rsidR="00B42C85" w:rsidRPr="002A35C8" w:rsidRDefault="00B42C85" w:rsidP="00703D57">
            <w:pPr>
              <w:pStyle w:val="CETBodytext"/>
              <w:jc w:val="left"/>
              <w:rPr>
                <w:lang w:val="en-GB"/>
              </w:rPr>
            </w:pPr>
            <w:r w:rsidRPr="002A35C8">
              <w:rPr>
                <w:lang w:val="en-GB"/>
              </w:rPr>
              <w:t>nm</w:t>
            </w:r>
          </w:p>
        </w:tc>
      </w:tr>
      <w:tr w:rsidR="00B42C85" w:rsidRPr="002A35C8" w14:paraId="13426CA2" w14:textId="77777777" w:rsidTr="002A35C8">
        <w:tc>
          <w:tcPr>
            <w:tcW w:w="1408" w:type="pct"/>
            <w:shd w:val="clear" w:color="auto" w:fill="FFFFFF"/>
          </w:tcPr>
          <w:p w14:paraId="3C4D5EB3" w14:textId="77777777" w:rsidR="00B42C85" w:rsidRPr="002A35C8" w:rsidRDefault="00B42C85" w:rsidP="00703D57">
            <w:pPr>
              <w:pStyle w:val="CETBodytext"/>
              <w:rPr>
                <w:lang w:val="en-GB"/>
              </w:rPr>
            </w:pPr>
            <w:r w:rsidRPr="002A35C8">
              <w:rPr>
                <w:lang w:val="en-GB"/>
              </w:rPr>
              <w:t>x = 0</w:t>
            </w:r>
          </w:p>
        </w:tc>
        <w:tc>
          <w:tcPr>
            <w:tcW w:w="1690" w:type="pct"/>
            <w:shd w:val="clear" w:color="auto" w:fill="FFFFFF"/>
          </w:tcPr>
          <w:p w14:paraId="7F36DFC0" w14:textId="62BEAA12" w:rsidR="00B42C85" w:rsidRPr="002A35C8" w:rsidRDefault="00D669A4" w:rsidP="00703D57">
            <w:pPr>
              <w:pStyle w:val="CETBodytext"/>
              <w:rPr>
                <w:lang w:val="en-GB"/>
              </w:rPr>
            </w:pPr>
            <w:r w:rsidRPr="002A35C8">
              <w:rPr>
                <w:lang w:val="en-GB"/>
              </w:rPr>
              <w:t>20</w:t>
            </w:r>
          </w:p>
        </w:tc>
        <w:tc>
          <w:tcPr>
            <w:tcW w:w="1901" w:type="pct"/>
            <w:shd w:val="clear" w:color="auto" w:fill="FFFFFF"/>
          </w:tcPr>
          <w:p w14:paraId="7732CA13" w14:textId="21D0F358" w:rsidR="00B42C85" w:rsidRPr="002A35C8" w:rsidRDefault="00EB4565" w:rsidP="00703D57">
            <w:pPr>
              <w:pStyle w:val="CETBodytext"/>
              <w:rPr>
                <w:lang w:val="en-GB"/>
              </w:rPr>
            </w:pPr>
            <w:r w:rsidRPr="002A35C8">
              <w:rPr>
                <w:lang w:val="en-GB"/>
              </w:rPr>
              <w:t>23</w:t>
            </w:r>
          </w:p>
        </w:tc>
      </w:tr>
      <w:tr w:rsidR="00B42C85" w:rsidRPr="002A35C8" w14:paraId="62C685A2" w14:textId="77777777" w:rsidTr="002A35C8">
        <w:tc>
          <w:tcPr>
            <w:tcW w:w="1408" w:type="pct"/>
            <w:shd w:val="clear" w:color="auto" w:fill="FFFFFF"/>
          </w:tcPr>
          <w:p w14:paraId="764E2F22" w14:textId="77777777" w:rsidR="00B42C85" w:rsidRPr="002A35C8" w:rsidRDefault="00B42C85" w:rsidP="00703D57">
            <w:pPr>
              <w:pStyle w:val="CETBodytext"/>
              <w:ind w:right="-1"/>
              <w:rPr>
                <w:rFonts w:cs="Arial"/>
                <w:szCs w:val="18"/>
                <w:lang w:val="en-GB"/>
              </w:rPr>
            </w:pPr>
            <w:r w:rsidRPr="002A35C8">
              <w:rPr>
                <w:rFonts w:cs="Arial"/>
                <w:szCs w:val="18"/>
                <w:lang w:val="en-GB"/>
              </w:rPr>
              <w:t>x = 0.25</w:t>
            </w:r>
          </w:p>
        </w:tc>
        <w:tc>
          <w:tcPr>
            <w:tcW w:w="1690" w:type="pct"/>
            <w:shd w:val="clear" w:color="auto" w:fill="FFFFFF"/>
          </w:tcPr>
          <w:p w14:paraId="3073129B" w14:textId="61739D40" w:rsidR="00B42C85" w:rsidRPr="002A35C8" w:rsidRDefault="00D669A4" w:rsidP="00703D57">
            <w:pPr>
              <w:pStyle w:val="CETBodytext"/>
              <w:ind w:right="-1"/>
              <w:rPr>
                <w:rFonts w:cs="Arial"/>
                <w:szCs w:val="18"/>
                <w:lang w:val="en-GB"/>
              </w:rPr>
            </w:pPr>
            <w:r w:rsidRPr="002A35C8">
              <w:rPr>
                <w:rFonts w:cs="Arial"/>
                <w:szCs w:val="18"/>
                <w:lang w:val="en-GB"/>
              </w:rPr>
              <w:t>29</w:t>
            </w:r>
          </w:p>
        </w:tc>
        <w:tc>
          <w:tcPr>
            <w:tcW w:w="1901" w:type="pct"/>
            <w:shd w:val="clear" w:color="auto" w:fill="FFFFFF"/>
          </w:tcPr>
          <w:p w14:paraId="499D8379" w14:textId="6A3CB71B" w:rsidR="00B42C85" w:rsidRPr="002A35C8" w:rsidRDefault="00EB4565" w:rsidP="00703D57">
            <w:pPr>
              <w:pStyle w:val="CETBodytext"/>
              <w:ind w:right="-1"/>
              <w:rPr>
                <w:rFonts w:cs="Arial"/>
                <w:szCs w:val="18"/>
                <w:lang w:val="en-GB"/>
              </w:rPr>
            </w:pPr>
            <w:r w:rsidRPr="002A35C8">
              <w:rPr>
                <w:rFonts w:cs="Arial"/>
                <w:szCs w:val="18"/>
                <w:lang w:val="en-GB"/>
              </w:rPr>
              <w:t>22</w:t>
            </w:r>
          </w:p>
        </w:tc>
      </w:tr>
      <w:tr w:rsidR="00B42C85" w:rsidRPr="002A35C8" w14:paraId="3D25D1CA" w14:textId="77777777" w:rsidTr="002A35C8">
        <w:tc>
          <w:tcPr>
            <w:tcW w:w="1408" w:type="pct"/>
            <w:shd w:val="clear" w:color="auto" w:fill="FFFFFF"/>
          </w:tcPr>
          <w:p w14:paraId="75017A28" w14:textId="77777777" w:rsidR="00B42C85" w:rsidRPr="002A35C8" w:rsidRDefault="00B42C85" w:rsidP="00703D57">
            <w:pPr>
              <w:pStyle w:val="CETBodytext"/>
              <w:ind w:right="-1"/>
              <w:rPr>
                <w:rFonts w:cs="Arial"/>
                <w:szCs w:val="18"/>
                <w:lang w:val="en-GB"/>
              </w:rPr>
            </w:pPr>
            <w:r w:rsidRPr="002A35C8">
              <w:rPr>
                <w:rFonts w:cs="Arial"/>
                <w:szCs w:val="18"/>
                <w:lang w:val="en-GB"/>
              </w:rPr>
              <w:t>x = 0.50</w:t>
            </w:r>
          </w:p>
        </w:tc>
        <w:tc>
          <w:tcPr>
            <w:tcW w:w="1690" w:type="pct"/>
            <w:shd w:val="clear" w:color="auto" w:fill="FFFFFF"/>
          </w:tcPr>
          <w:p w14:paraId="54B8365C" w14:textId="4C782A51" w:rsidR="00B42C85" w:rsidRPr="002A35C8" w:rsidRDefault="00D669A4" w:rsidP="00703D57">
            <w:pPr>
              <w:pStyle w:val="CETBodytext"/>
              <w:ind w:right="-1"/>
              <w:rPr>
                <w:rFonts w:cs="Arial"/>
                <w:szCs w:val="18"/>
                <w:lang w:val="en-GB"/>
              </w:rPr>
            </w:pPr>
            <w:r w:rsidRPr="002A35C8">
              <w:rPr>
                <w:rFonts w:cs="Arial"/>
                <w:szCs w:val="18"/>
                <w:lang w:val="en-GB"/>
              </w:rPr>
              <w:t>36</w:t>
            </w:r>
          </w:p>
        </w:tc>
        <w:tc>
          <w:tcPr>
            <w:tcW w:w="1901" w:type="pct"/>
            <w:shd w:val="clear" w:color="auto" w:fill="FFFFFF"/>
          </w:tcPr>
          <w:p w14:paraId="3A0A3B91" w14:textId="69E1E0F5" w:rsidR="00B42C85" w:rsidRPr="002A35C8" w:rsidRDefault="00D26FCD" w:rsidP="00703D57">
            <w:pPr>
              <w:pStyle w:val="CETBodytext"/>
              <w:ind w:right="-1"/>
              <w:rPr>
                <w:rFonts w:cs="Arial"/>
                <w:szCs w:val="18"/>
                <w:lang w:val="en-GB"/>
              </w:rPr>
            </w:pPr>
            <w:r w:rsidRPr="002A35C8">
              <w:rPr>
                <w:rFonts w:cs="Arial"/>
                <w:szCs w:val="18"/>
                <w:lang w:val="en-GB"/>
              </w:rPr>
              <w:t>17</w:t>
            </w:r>
          </w:p>
        </w:tc>
      </w:tr>
      <w:tr w:rsidR="00B42C85" w:rsidRPr="002A35C8" w14:paraId="490A48A3" w14:textId="77777777" w:rsidTr="002A35C8">
        <w:trPr>
          <w:trHeight w:val="60"/>
        </w:trPr>
        <w:tc>
          <w:tcPr>
            <w:tcW w:w="1408" w:type="pct"/>
            <w:shd w:val="clear" w:color="auto" w:fill="FFFFFF"/>
          </w:tcPr>
          <w:p w14:paraId="6EEE0A7F" w14:textId="77777777" w:rsidR="00B42C85" w:rsidRPr="002A35C8" w:rsidRDefault="00B42C85" w:rsidP="00703D57">
            <w:pPr>
              <w:pStyle w:val="CETBodytext"/>
              <w:ind w:right="-1"/>
              <w:rPr>
                <w:rFonts w:cs="Arial"/>
                <w:szCs w:val="18"/>
                <w:lang w:val="en-GB"/>
              </w:rPr>
            </w:pPr>
            <w:r w:rsidRPr="002A35C8">
              <w:rPr>
                <w:rFonts w:cs="Arial"/>
                <w:szCs w:val="18"/>
                <w:lang w:val="en-GB"/>
              </w:rPr>
              <w:t>x = 0.75</w:t>
            </w:r>
          </w:p>
        </w:tc>
        <w:tc>
          <w:tcPr>
            <w:tcW w:w="1690" w:type="pct"/>
            <w:shd w:val="clear" w:color="auto" w:fill="FFFFFF"/>
          </w:tcPr>
          <w:p w14:paraId="3D159B5B" w14:textId="3E3C7A96" w:rsidR="00B42C85" w:rsidRPr="002A35C8" w:rsidRDefault="00D669A4" w:rsidP="00703D57">
            <w:pPr>
              <w:pStyle w:val="CETBodytext"/>
              <w:ind w:right="-1"/>
              <w:rPr>
                <w:rFonts w:cs="Arial"/>
                <w:szCs w:val="18"/>
                <w:lang w:val="en-GB"/>
              </w:rPr>
            </w:pPr>
            <w:r w:rsidRPr="002A35C8">
              <w:rPr>
                <w:rFonts w:cs="Arial"/>
                <w:szCs w:val="18"/>
                <w:lang w:val="en-GB"/>
              </w:rPr>
              <w:t>43</w:t>
            </w:r>
          </w:p>
        </w:tc>
        <w:tc>
          <w:tcPr>
            <w:tcW w:w="1901" w:type="pct"/>
            <w:shd w:val="clear" w:color="auto" w:fill="FFFFFF"/>
          </w:tcPr>
          <w:p w14:paraId="00F5B739" w14:textId="7BEBA44A" w:rsidR="00B42C85" w:rsidRPr="002A35C8" w:rsidRDefault="00EB4565" w:rsidP="00703D57">
            <w:pPr>
              <w:pStyle w:val="CETBodytext"/>
              <w:ind w:right="-1"/>
              <w:rPr>
                <w:rFonts w:cs="Arial"/>
                <w:szCs w:val="18"/>
                <w:lang w:val="en-GB"/>
              </w:rPr>
            </w:pPr>
            <w:r w:rsidRPr="002A35C8">
              <w:rPr>
                <w:rFonts w:cs="Arial"/>
                <w:szCs w:val="18"/>
                <w:lang w:val="en-GB"/>
              </w:rPr>
              <w:t>15</w:t>
            </w:r>
          </w:p>
        </w:tc>
      </w:tr>
      <w:tr w:rsidR="00B42C85" w:rsidRPr="002A35C8" w14:paraId="2781D8B1" w14:textId="77777777" w:rsidTr="002A35C8">
        <w:tc>
          <w:tcPr>
            <w:tcW w:w="1408" w:type="pct"/>
            <w:shd w:val="clear" w:color="auto" w:fill="FFFFFF"/>
          </w:tcPr>
          <w:p w14:paraId="2A917ABF" w14:textId="77777777" w:rsidR="00B42C85" w:rsidRPr="002A35C8" w:rsidRDefault="00B42C85" w:rsidP="00703D57">
            <w:pPr>
              <w:pStyle w:val="CETBodytext"/>
              <w:ind w:right="-1"/>
              <w:rPr>
                <w:rFonts w:cs="Arial"/>
                <w:szCs w:val="18"/>
                <w:lang w:val="en-GB"/>
              </w:rPr>
            </w:pPr>
            <w:r w:rsidRPr="002A35C8">
              <w:rPr>
                <w:rFonts w:cs="Arial"/>
                <w:szCs w:val="18"/>
                <w:lang w:val="en-GB"/>
              </w:rPr>
              <w:t>x = 1</w:t>
            </w:r>
          </w:p>
        </w:tc>
        <w:tc>
          <w:tcPr>
            <w:tcW w:w="1690" w:type="pct"/>
            <w:shd w:val="clear" w:color="auto" w:fill="FFFFFF"/>
          </w:tcPr>
          <w:p w14:paraId="2A1EA996" w14:textId="3CB036AD" w:rsidR="00B42C85" w:rsidRPr="002A35C8" w:rsidRDefault="00D669A4" w:rsidP="00703D57">
            <w:pPr>
              <w:pStyle w:val="CETBodytext"/>
              <w:ind w:right="-1"/>
              <w:rPr>
                <w:rFonts w:cs="Arial"/>
                <w:szCs w:val="18"/>
                <w:lang w:val="en-GB"/>
              </w:rPr>
            </w:pPr>
            <w:r w:rsidRPr="002A35C8">
              <w:rPr>
                <w:rFonts w:cs="Arial"/>
                <w:szCs w:val="18"/>
                <w:lang w:val="en-GB"/>
              </w:rPr>
              <w:t>57</w:t>
            </w:r>
          </w:p>
        </w:tc>
        <w:tc>
          <w:tcPr>
            <w:tcW w:w="1901" w:type="pct"/>
            <w:shd w:val="clear" w:color="auto" w:fill="FFFFFF"/>
          </w:tcPr>
          <w:p w14:paraId="755C9BCE" w14:textId="25C28335" w:rsidR="00B42C85" w:rsidRPr="002A35C8" w:rsidRDefault="00EB4565" w:rsidP="00703D57">
            <w:pPr>
              <w:pStyle w:val="CETBodytext"/>
              <w:ind w:right="-1"/>
              <w:rPr>
                <w:rFonts w:cs="Arial"/>
                <w:szCs w:val="18"/>
                <w:lang w:val="en-GB"/>
              </w:rPr>
            </w:pPr>
            <w:r w:rsidRPr="002A35C8">
              <w:rPr>
                <w:rFonts w:cs="Arial"/>
                <w:szCs w:val="18"/>
                <w:lang w:val="en-GB"/>
              </w:rPr>
              <w:t>13</w:t>
            </w:r>
          </w:p>
        </w:tc>
      </w:tr>
    </w:tbl>
    <w:p w14:paraId="51024876" w14:textId="69BA7C2D" w:rsidR="007203EB" w:rsidRPr="002A35C8" w:rsidRDefault="003E6E1B" w:rsidP="00D26FCD">
      <w:pPr>
        <w:pStyle w:val="CETBodytext"/>
        <w:spacing w:before="240" w:after="240"/>
        <w:rPr>
          <w:lang w:val="en-GB"/>
        </w:rPr>
      </w:pPr>
      <w:r w:rsidRPr="002A35C8">
        <w:rPr>
          <w:lang w:val="en-GB"/>
        </w:rPr>
        <w:t>The XRD patterns of the reduced catalysts (Figure 3)</w:t>
      </w:r>
      <w:r w:rsidR="004F7D8C" w:rsidRPr="002A35C8">
        <w:rPr>
          <w:lang w:val="en-GB"/>
        </w:rPr>
        <w:t xml:space="preserve"> presented signals of</w:t>
      </w:r>
      <w:r w:rsidR="004D1CEF" w:rsidRPr="002A35C8">
        <w:rPr>
          <w:lang w:val="en-GB"/>
        </w:rPr>
        <w:t xml:space="preserve"> </w:t>
      </w:r>
      <w:r w:rsidR="004F7D8C" w:rsidRPr="002A35C8">
        <w:rPr>
          <w:lang w:val="en-GB"/>
        </w:rPr>
        <w:t>cubic phase</w:t>
      </w:r>
      <w:r w:rsidR="004D1CEF" w:rsidRPr="002A35C8">
        <w:rPr>
          <w:lang w:val="en-GB"/>
        </w:rPr>
        <w:t xml:space="preserve"> metallic crystallites at 2θ</w:t>
      </w:r>
      <w:r w:rsidR="00DB4BC4" w:rsidRPr="002A35C8">
        <w:rPr>
          <w:lang w:val="en-GB"/>
        </w:rPr>
        <w:t xml:space="preserve"> = 44.4, 51.8 and 76.1º, which could be attributed the metallic Ni (ICDD </w:t>
      </w:r>
      <w:r w:rsidR="00DB4BC4" w:rsidRPr="002A35C8">
        <w:rPr>
          <w:lang w:val="es-ES"/>
        </w:rPr>
        <w:t>004-0850</w:t>
      </w:r>
      <w:r w:rsidR="00DB4BC4" w:rsidRPr="002A35C8">
        <w:rPr>
          <w:lang w:val="en-GB"/>
        </w:rPr>
        <w:t xml:space="preserve">) and Co (ICDD </w:t>
      </w:r>
      <w:r w:rsidR="00DB4BC4" w:rsidRPr="002A35C8">
        <w:rPr>
          <w:lang w:val="es-ES"/>
        </w:rPr>
        <w:t>015-0806</w:t>
      </w:r>
      <w:r w:rsidR="00DB4BC4" w:rsidRPr="002A35C8">
        <w:rPr>
          <w:lang w:val="en-GB"/>
        </w:rPr>
        <w:t>) crystallites formed in the reduction of the spinel precursors</w:t>
      </w:r>
      <w:r w:rsidR="00604FC5" w:rsidRPr="002A35C8">
        <w:rPr>
          <w:lang w:val="en-GB"/>
        </w:rPr>
        <w:t xml:space="preserve">. </w:t>
      </w:r>
      <w:r w:rsidR="00EB4565" w:rsidRPr="002A35C8">
        <w:rPr>
          <w:lang w:val="en-GB"/>
        </w:rPr>
        <w:t>In addition</w:t>
      </w:r>
      <w:r w:rsidR="00604FC5" w:rsidRPr="002A35C8">
        <w:rPr>
          <w:lang w:val="en-GB"/>
        </w:rPr>
        <w:t xml:space="preserve">, signals located at 2θ = 37.7, 45.9 and 66.9º pointed to the presence of </w:t>
      </w:r>
      <w:r w:rsidR="00604FC5" w:rsidRPr="002A35C8">
        <w:rPr>
          <w:rFonts w:cs="Arial"/>
          <w:lang w:val="en-GB"/>
        </w:rPr>
        <w:sym w:font="Symbol" w:char="F067"/>
      </w:r>
      <w:r w:rsidR="00604FC5" w:rsidRPr="002A35C8">
        <w:rPr>
          <w:rFonts w:cs="Arial"/>
          <w:lang w:val="en-GB"/>
        </w:rPr>
        <w:t>-Al</w:t>
      </w:r>
      <w:r w:rsidR="00604FC5" w:rsidRPr="002A35C8">
        <w:rPr>
          <w:rFonts w:cs="Arial"/>
          <w:vertAlign w:val="subscript"/>
          <w:lang w:val="en-GB"/>
        </w:rPr>
        <w:t>2</w:t>
      </w:r>
      <w:r w:rsidR="00604FC5" w:rsidRPr="002A35C8">
        <w:rPr>
          <w:rFonts w:cs="Arial"/>
          <w:lang w:val="en-GB"/>
        </w:rPr>
        <w:t>O</w:t>
      </w:r>
      <w:r w:rsidR="00604FC5" w:rsidRPr="002A35C8">
        <w:rPr>
          <w:rFonts w:cs="Arial"/>
          <w:vertAlign w:val="subscript"/>
          <w:lang w:val="en-GB"/>
        </w:rPr>
        <w:t>3</w:t>
      </w:r>
      <w:r w:rsidR="00604FC5" w:rsidRPr="002A35C8">
        <w:rPr>
          <w:rFonts w:cs="Arial"/>
          <w:lang w:val="en-GB"/>
        </w:rPr>
        <w:t xml:space="preserve"> (ICDD 01-074-2206) also formed during the reduction of the spinel precursors.</w:t>
      </w:r>
    </w:p>
    <w:p w14:paraId="5FDF28EC" w14:textId="4EFB90BC" w:rsidR="003E6E1B" w:rsidRPr="002A35C8" w:rsidRDefault="003E6E1B" w:rsidP="00600535">
      <w:pPr>
        <w:pStyle w:val="CETBodytext"/>
        <w:rPr>
          <w:lang w:val="en-GB"/>
        </w:rPr>
      </w:pPr>
      <w:r w:rsidRPr="002A35C8">
        <w:rPr>
          <w:noProof/>
          <w:lang w:val="es-ES" w:eastAsia="es-ES"/>
        </w:rPr>
        <w:drawing>
          <wp:inline distT="0" distB="0" distL="0" distR="0" wp14:anchorId="23EC55D7" wp14:editId="6D522CAA">
            <wp:extent cx="3023573" cy="252000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ducidas.jpg"/>
                    <pic:cNvPicPr/>
                  </pic:nvPicPr>
                  <pic:blipFill>
                    <a:blip r:embed="rId12">
                      <a:extLst>
                        <a:ext uri="{28A0092B-C50C-407E-A947-70E740481C1C}">
                          <a14:useLocalDpi xmlns:a14="http://schemas.microsoft.com/office/drawing/2010/main" val="0"/>
                        </a:ext>
                      </a:extLst>
                    </a:blip>
                    <a:stretch>
                      <a:fillRect/>
                    </a:stretch>
                  </pic:blipFill>
                  <pic:spPr>
                    <a:xfrm>
                      <a:off x="0" y="0"/>
                      <a:ext cx="3023573" cy="2520000"/>
                    </a:xfrm>
                    <a:prstGeom prst="rect">
                      <a:avLst/>
                    </a:prstGeom>
                  </pic:spPr>
                </pic:pic>
              </a:graphicData>
            </a:graphic>
          </wp:inline>
        </w:drawing>
      </w:r>
    </w:p>
    <w:p w14:paraId="62EC945A" w14:textId="669444BC" w:rsidR="004613A5" w:rsidRPr="002A35C8" w:rsidRDefault="004613A5" w:rsidP="004613A5">
      <w:pPr>
        <w:pStyle w:val="CETCaption"/>
      </w:pPr>
      <w:r w:rsidRPr="002A35C8">
        <w:t>Figure 3: XRD profiles of the reduced Ni-Co catalysts.</w:t>
      </w:r>
    </w:p>
    <w:p w14:paraId="061013BA" w14:textId="7A046D00" w:rsidR="003E6E1B" w:rsidRPr="002A35C8" w:rsidRDefault="00EB4565" w:rsidP="00600535">
      <w:pPr>
        <w:pStyle w:val="CETBodytext"/>
        <w:rPr>
          <w:lang w:val="en-GB"/>
        </w:rPr>
      </w:pPr>
      <w:r w:rsidRPr="002A35C8">
        <w:rPr>
          <w:lang w:val="en-GB"/>
        </w:rPr>
        <w:t>The average crystallite size of the metallic Ni and Co, shown in Table 2, varied between 23 nm (x = 0) and 13 nm (x = 1)</w:t>
      </w:r>
      <w:r w:rsidR="00F77E98" w:rsidRPr="002A35C8">
        <w:rPr>
          <w:lang w:val="en-GB"/>
        </w:rPr>
        <w:t>. It mu</w:t>
      </w:r>
      <w:r w:rsidR="00AB3134">
        <w:rPr>
          <w:lang w:val="en-GB"/>
        </w:rPr>
        <w:t>st be noticed</w:t>
      </w:r>
      <w:r w:rsidR="00F77E98" w:rsidRPr="002A35C8">
        <w:rPr>
          <w:lang w:val="en-GB"/>
        </w:rPr>
        <w:t xml:space="preserve"> that it was not possible to </w:t>
      </w:r>
      <w:r w:rsidR="001A54E4" w:rsidRPr="002A35C8">
        <w:rPr>
          <w:lang w:val="en-GB"/>
        </w:rPr>
        <w:t>determine the individual sizes of the Ni and Co crystallites due to their respective diffraction signals being too similar. Thus, the aforementioned values could be taken as an average of the crystallite size of both metallic species. In any case, the results indicated that metallic dispersion improved with the nickel content of the catalysts.</w:t>
      </w:r>
    </w:p>
    <w:p w14:paraId="0BA04016" w14:textId="0B23A69C" w:rsidR="001A54E4" w:rsidRPr="002A35C8" w:rsidRDefault="001A54E4" w:rsidP="001A54E4">
      <w:pPr>
        <w:pStyle w:val="CETheadingx"/>
      </w:pPr>
      <w:r w:rsidRPr="002A35C8">
        <w:t>Catalytic activity of the reduced catalysts</w:t>
      </w:r>
    </w:p>
    <w:p w14:paraId="7D3C6605" w14:textId="7C2D85D7" w:rsidR="00B669C7" w:rsidRPr="002A35C8" w:rsidRDefault="00B669C7" w:rsidP="00B669C7">
      <w:pPr>
        <w:pStyle w:val="CETBodytext"/>
        <w:spacing w:after="240"/>
        <w:rPr>
          <w:lang w:val="en-GB"/>
        </w:rPr>
      </w:pPr>
      <w:r w:rsidRPr="002A35C8">
        <w:rPr>
          <w:lang w:val="en-GB"/>
        </w:rPr>
        <w:t>The efficiency of the reduced Ni-Co/Al</w:t>
      </w:r>
      <w:r w:rsidRPr="002A35C8">
        <w:rPr>
          <w:vertAlign w:val="subscript"/>
          <w:lang w:val="en-GB"/>
        </w:rPr>
        <w:t>2</w:t>
      </w:r>
      <w:r w:rsidRPr="002A35C8">
        <w:rPr>
          <w:lang w:val="en-GB"/>
        </w:rPr>
        <w:t>O</w:t>
      </w:r>
      <w:r w:rsidRPr="002A35C8">
        <w:rPr>
          <w:vertAlign w:val="subscript"/>
          <w:lang w:val="en-GB"/>
        </w:rPr>
        <w:t>3</w:t>
      </w:r>
      <w:r w:rsidRPr="002A35C8">
        <w:rPr>
          <w:lang w:val="en-GB"/>
        </w:rPr>
        <w:t xml:space="preserve"> catalysts for the dry reforming of methane reaction was evalu</w:t>
      </w:r>
      <w:r w:rsidR="00AB3134">
        <w:rPr>
          <w:lang w:val="en-GB"/>
        </w:rPr>
        <w:t>ated at constant temperature (</w:t>
      </w:r>
      <w:r w:rsidRPr="002A35C8">
        <w:rPr>
          <w:lang w:val="en-GB"/>
        </w:rPr>
        <w:t>650 ºC</w:t>
      </w:r>
      <w:r w:rsidR="00AB3134">
        <w:rPr>
          <w:lang w:val="en-GB"/>
        </w:rPr>
        <w:t>)</w:t>
      </w:r>
      <w:r w:rsidRPr="002A35C8">
        <w:rPr>
          <w:lang w:val="en-GB"/>
        </w:rPr>
        <w:t xml:space="preserve"> for 12 hours at 90,000 h</w:t>
      </w:r>
      <w:r w:rsidRPr="002A35C8">
        <w:rPr>
          <w:vertAlign w:val="superscript"/>
          <w:lang w:val="en-GB"/>
        </w:rPr>
        <w:t>-1</w:t>
      </w:r>
      <w:r w:rsidRPr="002A35C8">
        <w:rPr>
          <w:lang w:val="en-GB"/>
        </w:rPr>
        <w:t xml:space="preserve">. The behaviour of the catalysts </w:t>
      </w:r>
      <w:r w:rsidR="00AB3134">
        <w:rPr>
          <w:lang w:val="en-GB"/>
        </w:rPr>
        <w:t xml:space="preserve">along this reaction interval </w:t>
      </w:r>
      <w:r w:rsidRPr="002A35C8">
        <w:rPr>
          <w:lang w:val="en-GB"/>
        </w:rPr>
        <w:t>was evaluated by analysing the evolution of the CH</w:t>
      </w:r>
      <w:r w:rsidRPr="002A35C8">
        <w:rPr>
          <w:vertAlign w:val="subscript"/>
          <w:lang w:val="en-GB"/>
        </w:rPr>
        <w:t>4</w:t>
      </w:r>
      <w:r w:rsidRPr="002A35C8">
        <w:rPr>
          <w:lang w:val="en-GB"/>
        </w:rPr>
        <w:t xml:space="preserve"> conversion with time on stream, as presented in Figure 4. Among the studied samples, those with x = 0.50 and x = 1 achieved the highest</w:t>
      </w:r>
      <w:r w:rsidR="00AB3134">
        <w:rPr>
          <w:lang w:val="en-GB"/>
        </w:rPr>
        <w:t xml:space="preserve"> initial</w:t>
      </w:r>
      <w:r w:rsidRPr="002A35C8">
        <w:rPr>
          <w:lang w:val="en-GB"/>
        </w:rPr>
        <w:t xml:space="preserve"> conversion values (80 and 71%, respectively). However, the catalyst with x = 1 (NiAl</w:t>
      </w:r>
      <w:r w:rsidRPr="002A35C8">
        <w:rPr>
          <w:vertAlign w:val="subscript"/>
          <w:lang w:val="en-GB"/>
        </w:rPr>
        <w:t>2</w:t>
      </w:r>
      <w:r w:rsidRPr="002A35C8">
        <w:rPr>
          <w:lang w:val="en-GB"/>
        </w:rPr>
        <w:t>O</w:t>
      </w:r>
      <w:r w:rsidRPr="002A35C8">
        <w:rPr>
          <w:vertAlign w:val="subscript"/>
          <w:lang w:val="en-GB"/>
        </w:rPr>
        <w:t>4</w:t>
      </w:r>
      <w:r w:rsidR="009B72C0" w:rsidRPr="002A35C8">
        <w:rPr>
          <w:lang w:val="en-GB"/>
        </w:rPr>
        <w:t xml:space="preserve">) suffered a notable deactivation after only 6 hours of reaction time and its conversion levels started decreasing, reaching 63% by the end of the experiment, while the rest of the catalysts were able to maintain a stable conversion throughout the duration of </w:t>
      </w:r>
      <w:r w:rsidR="009B72C0" w:rsidRPr="002A35C8">
        <w:rPr>
          <w:lang w:val="en-GB"/>
        </w:rPr>
        <w:lastRenderedPageBreak/>
        <w:t>the reaction t</w:t>
      </w:r>
      <w:r w:rsidR="00AB3134">
        <w:rPr>
          <w:lang w:val="en-GB"/>
        </w:rPr>
        <w:t>est. Hence, the results pointed out</w:t>
      </w:r>
      <w:r w:rsidR="009B72C0" w:rsidRPr="002A35C8">
        <w:rPr>
          <w:lang w:val="en-GB"/>
        </w:rPr>
        <w:t xml:space="preserve"> that the addition of cobalt increased the stability of the </w:t>
      </w:r>
      <w:r w:rsidR="00E34BFA" w:rsidRPr="002A35C8">
        <w:rPr>
          <w:lang w:val="en-GB"/>
        </w:rPr>
        <w:t>nickel catalysts.</w:t>
      </w:r>
    </w:p>
    <w:p w14:paraId="7F68E602" w14:textId="3F825641" w:rsidR="00B669C7" w:rsidRPr="002A35C8" w:rsidRDefault="009B72C0" w:rsidP="00600535">
      <w:pPr>
        <w:pStyle w:val="CETBodytext"/>
        <w:rPr>
          <w:lang w:val="en-GB"/>
        </w:rPr>
      </w:pPr>
      <w:r w:rsidRPr="002A35C8">
        <w:rPr>
          <w:noProof/>
          <w:lang w:val="es-ES" w:eastAsia="es-ES"/>
        </w:rPr>
        <w:drawing>
          <wp:inline distT="0" distB="0" distL="0" distR="0" wp14:anchorId="0633DF59" wp14:editId="304DB347">
            <wp:extent cx="3023573" cy="252000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version CH4.jpg"/>
                    <pic:cNvPicPr/>
                  </pic:nvPicPr>
                  <pic:blipFill>
                    <a:blip r:embed="rId13">
                      <a:extLst>
                        <a:ext uri="{28A0092B-C50C-407E-A947-70E740481C1C}">
                          <a14:useLocalDpi xmlns:a14="http://schemas.microsoft.com/office/drawing/2010/main" val="0"/>
                        </a:ext>
                      </a:extLst>
                    </a:blip>
                    <a:stretch>
                      <a:fillRect/>
                    </a:stretch>
                  </pic:blipFill>
                  <pic:spPr>
                    <a:xfrm>
                      <a:off x="0" y="0"/>
                      <a:ext cx="3023573" cy="2520000"/>
                    </a:xfrm>
                    <a:prstGeom prst="rect">
                      <a:avLst/>
                    </a:prstGeom>
                  </pic:spPr>
                </pic:pic>
              </a:graphicData>
            </a:graphic>
          </wp:inline>
        </w:drawing>
      </w:r>
    </w:p>
    <w:p w14:paraId="0648C79D" w14:textId="15D16565" w:rsidR="00B669C7" w:rsidRPr="002A35C8" w:rsidRDefault="00B669C7" w:rsidP="00B669C7">
      <w:pPr>
        <w:pStyle w:val="CETCaption"/>
      </w:pPr>
      <w:r w:rsidRPr="002A35C8">
        <w:t>Figure 4: Evolution of the CH</w:t>
      </w:r>
      <w:r w:rsidRPr="002A35C8">
        <w:rPr>
          <w:vertAlign w:val="subscript"/>
        </w:rPr>
        <w:t>4</w:t>
      </w:r>
      <w:r w:rsidRPr="002A35C8">
        <w:t xml:space="preserve"> conversion of the reduced catalysts with time on stream.</w:t>
      </w:r>
    </w:p>
    <w:p w14:paraId="6CA7538B" w14:textId="797490F3" w:rsidR="00D26FCD" w:rsidRPr="002A35C8" w:rsidRDefault="00E34BFA" w:rsidP="002F0852">
      <w:pPr>
        <w:pStyle w:val="CETBodytext"/>
        <w:spacing w:after="240"/>
        <w:rPr>
          <w:lang w:val="en-GB"/>
        </w:rPr>
      </w:pPr>
      <w:r w:rsidRPr="002A35C8">
        <w:rPr>
          <w:lang w:val="en-GB"/>
        </w:rPr>
        <w:t>Moreover, the analysis of the relationship between the cobalt content of the Ni-Co catalysts and the H</w:t>
      </w:r>
      <w:r w:rsidRPr="002A35C8">
        <w:rPr>
          <w:vertAlign w:val="subscript"/>
          <w:lang w:val="en-GB"/>
        </w:rPr>
        <w:t>2</w:t>
      </w:r>
      <w:r w:rsidRPr="002A35C8">
        <w:rPr>
          <w:lang w:val="en-GB"/>
        </w:rPr>
        <w:t>/CO molar ratio of the product stream</w:t>
      </w:r>
      <w:r w:rsidR="00D26FCD" w:rsidRPr="002A35C8">
        <w:rPr>
          <w:lang w:val="en-GB"/>
        </w:rPr>
        <w:t xml:space="preserve"> after</w:t>
      </w:r>
      <w:r w:rsidR="00AB3134">
        <w:rPr>
          <w:lang w:val="en-GB"/>
        </w:rPr>
        <w:t xml:space="preserve"> </w:t>
      </w:r>
      <w:r w:rsidR="00D26FCD" w:rsidRPr="002A35C8">
        <w:rPr>
          <w:lang w:val="en-GB"/>
        </w:rPr>
        <w:t>12 hours</w:t>
      </w:r>
      <w:r w:rsidRPr="002A35C8">
        <w:rPr>
          <w:lang w:val="en-GB"/>
        </w:rPr>
        <w:t xml:space="preserve"> (Figure 5) evidenced that the presence of cobalt promoted the generation of H</w:t>
      </w:r>
      <w:r w:rsidRPr="002A35C8">
        <w:rPr>
          <w:vertAlign w:val="subscript"/>
          <w:lang w:val="en-GB"/>
        </w:rPr>
        <w:t>2</w:t>
      </w:r>
      <w:r w:rsidRPr="002A35C8">
        <w:rPr>
          <w:lang w:val="en-GB"/>
        </w:rPr>
        <w:t xml:space="preserve"> in the dry reforming reaction. Thus, the H</w:t>
      </w:r>
      <w:r w:rsidRPr="002A35C8">
        <w:rPr>
          <w:vertAlign w:val="subscript"/>
          <w:lang w:val="en-GB"/>
        </w:rPr>
        <w:t>2</w:t>
      </w:r>
      <w:r w:rsidRPr="002A35C8">
        <w:rPr>
          <w:lang w:val="en-GB"/>
        </w:rPr>
        <w:t>/CO molar ratio increased from 0.85 for the NiAl</w:t>
      </w:r>
      <w:r w:rsidRPr="002A35C8">
        <w:rPr>
          <w:vertAlign w:val="subscript"/>
          <w:lang w:val="en-GB"/>
        </w:rPr>
        <w:t>2</w:t>
      </w:r>
      <w:r w:rsidRPr="002A35C8">
        <w:rPr>
          <w:lang w:val="en-GB"/>
        </w:rPr>
        <w:t>O</w:t>
      </w:r>
      <w:r w:rsidRPr="002A35C8">
        <w:rPr>
          <w:vertAlign w:val="subscript"/>
          <w:lang w:val="en-GB"/>
        </w:rPr>
        <w:t>4</w:t>
      </w:r>
      <w:r w:rsidRPr="002A35C8">
        <w:rPr>
          <w:lang w:val="en-GB"/>
        </w:rPr>
        <w:t>-derived catalyst up to 1.32 for the CoAl</w:t>
      </w:r>
      <w:r w:rsidRPr="002A35C8">
        <w:rPr>
          <w:vertAlign w:val="subscript"/>
          <w:lang w:val="en-GB"/>
        </w:rPr>
        <w:t>2</w:t>
      </w:r>
      <w:r w:rsidRPr="002A35C8">
        <w:rPr>
          <w:lang w:val="en-GB"/>
        </w:rPr>
        <w:t>O</w:t>
      </w:r>
      <w:r w:rsidRPr="002A35C8">
        <w:rPr>
          <w:vertAlign w:val="subscript"/>
          <w:lang w:val="en-GB"/>
        </w:rPr>
        <w:t>4</w:t>
      </w:r>
      <w:r w:rsidRPr="002A35C8">
        <w:rPr>
          <w:lang w:val="en-GB"/>
        </w:rPr>
        <w:t xml:space="preserve"> counterpart despite the latter achieving significantly lower reactant conversions than the former. </w:t>
      </w:r>
    </w:p>
    <w:p w14:paraId="5AF7E741" w14:textId="18932650" w:rsidR="00E34BFA" w:rsidRPr="002A35C8" w:rsidRDefault="00E34BFA" w:rsidP="00600535">
      <w:pPr>
        <w:pStyle w:val="CETBodytext"/>
        <w:rPr>
          <w:lang w:val="en-GB"/>
        </w:rPr>
      </w:pPr>
      <w:r w:rsidRPr="002A35C8">
        <w:rPr>
          <w:noProof/>
          <w:lang w:val="es-ES" w:eastAsia="es-ES"/>
        </w:rPr>
        <w:drawing>
          <wp:inline distT="0" distB="0" distL="0" distR="0" wp14:anchorId="60319B9C" wp14:editId="6BBC6695">
            <wp:extent cx="3023573" cy="2520000"/>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rametros.jpg"/>
                    <pic:cNvPicPr/>
                  </pic:nvPicPr>
                  <pic:blipFill>
                    <a:blip r:embed="rId14">
                      <a:extLst>
                        <a:ext uri="{28A0092B-C50C-407E-A947-70E740481C1C}">
                          <a14:useLocalDpi xmlns:a14="http://schemas.microsoft.com/office/drawing/2010/main" val="0"/>
                        </a:ext>
                      </a:extLst>
                    </a:blip>
                    <a:stretch>
                      <a:fillRect/>
                    </a:stretch>
                  </pic:blipFill>
                  <pic:spPr>
                    <a:xfrm>
                      <a:off x="0" y="0"/>
                      <a:ext cx="3023573" cy="2520000"/>
                    </a:xfrm>
                    <a:prstGeom prst="rect">
                      <a:avLst/>
                    </a:prstGeom>
                  </pic:spPr>
                </pic:pic>
              </a:graphicData>
            </a:graphic>
          </wp:inline>
        </w:drawing>
      </w:r>
    </w:p>
    <w:p w14:paraId="209459A0" w14:textId="1F36E578" w:rsidR="00D26FCD" w:rsidRPr="002A35C8" w:rsidRDefault="00D26FCD" w:rsidP="00D26FCD">
      <w:pPr>
        <w:pStyle w:val="CETCaption"/>
      </w:pPr>
      <w:r w:rsidRPr="002A35C8">
        <w:t>Figure 5: Relationship between the reaction parameters after 12 hours and x value of the reduced catalysts.</w:t>
      </w:r>
    </w:p>
    <w:p w14:paraId="119E88C2" w14:textId="1D9DAF6E" w:rsidR="00D26FCD" w:rsidRPr="002A35C8" w:rsidRDefault="00D26FCD" w:rsidP="004A3384">
      <w:pPr>
        <w:pStyle w:val="CETBodytext"/>
        <w:spacing w:after="240"/>
        <w:rPr>
          <w:lang w:val="en-GB"/>
        </w:rPr>
      </w:pPr>
      <w:r w:rsidRPr="002A35C8">
        <w:rPr>
          <w:lang w:val="en-GB"/>
        </w:rPr>
        <w:t xml:space="preserve">This behaviour was probably </w:t>
      </w:r>
      <w:r w:rsidR="00AB3134">
        <w:rPr>
          <w:lang w:val="en-GB"/>
        </w:rPr>
        <w:t>owing to the fact that cobalt was</w:t>
      </w:r>
      <w:r w:rsidRPr="002A35C8">
        <w:rPr>
          <w:lang w:val="en-GB"/>
        </w:rPr>
        <w:t xml:space="preserve"> significantly less active than nickel for the reverse water gas shift reaction that consumes H</w:t>
      </w:r>
      <w:r w:rsidRPr="002A35C8">
        <w:rPr>
          <w:vertAlign w:val="subscript"/>
          <w:lang w:val="en-GB"/>
        </w:rPr>
        <w:t>2</w:t>
      </w:r>
      <w:r w:rsidR="003631CB" w:rsidRPr="002A35C8">
        <w:rPr>
          <w:lang w:val="en-GB"/>
        </w:rPr>
        <w:t xml:space="preserve"> (Ranjbar et al., 2018)</w:t>
      </w:r>
      <w:r w:rsidRPr="002A35C8">
        <w:rPr>
          <w:lang w:val="en-GB"/>
        </w:rPr>
        <w:t>, while at the same time being more active for the methane cracking reaction that generates it</w:t>
      </w:r>
      <w:r w:rsidR="003631CB" w:rsidRPr="002A35C8">
        <w:rPr>
          <w:lang w:val="en-GB"/>
        </w:rPr>
        <w:t xml:space="preserve"> (Horlyck et al., 2018)</w:t>
      </w:r>
      <w:r w:rsidRPr="002A35C8">
        <w:rPr>
          <w:lang w:val="en-GB"/>
        </w:rPr>
        <w:t>. Thus, despite being less active for the dry reforming reaction, the addition of a certain amount of cobalt to the nickel catalyst enhances the generation of H</w:t>
      </w:r>
      <w:r w:rsidRPr="002A35C8">
        <w:rPr>
          <w:vertAlign w:val="subscript"/>
          <w:lang w:val="en-GB"/>
        </w:rPr>
        <w:t>2</w:t>
      </w:r>
      <w:r w:rsidRPr="002A35C8">
        <w:rPr>
          <w:lang w:val="en-GB"/>
        </w:rPr>
        <w:t xml:space="preserve">. From the correlation described in Figure 5, it is clear that a Ni/Co molar ratio of 1 (x = 0.50) is the optimal formulation for the Ni-Co bimetallic catalyst due to combining a good metallic dispersion (small crystallite size with moderate specific surface areas), with an equilibrated Ni and Co loading. This </w:t>
      </w:r>
      <w:r w:rsidR="00AB3134">
        <w:rPr>
          <w:lang w:val="en-GB"/>
        </w:rPr>
        <w:t>led to a marked activity</w:t>
      </w:r>
      <w:r w:rsidRPr="002A35C8">
        <w:rPr>
          <w:lang w:val="en-GB"/>
        </w:rPr>
        <w:t xml:space="preserve"> for </w:t>
      </w:r>
      <w:r w:rsidRPr="002A35C8">
        <w:rPr>
          <w:lang w:val="en-GB"/>
        </w:rPr>
        <w:lastRenderedPageBreak/>
        <w:t>the dry reforming reaction</w:t>
      </w:r>
      <w:r w:rsidR="004A3384" w:rsidRPr="002A35C8">
        <w:rPr>
          <w:lang w:val="en-GB"/>
        </w:rPr>
        <w:t xml:space="preserve"> with</w:t>
      </w:r>
      <w:r w:rsidR="00AB3134">
        <w:rPr>
          <w:lang w:val="en-GB"/>
        </w:rPr>
        <w:t xml:space="preserve"> a</w:t>
      </w:r>
      <w:r w:rsidR="004A3384" w:rsidRPr="002A35C8">
        <w:rPr>
          <w:lang w:val="en-GB"/>
        </w:rPr>
        <w:t xml:space="preserve"> limited </w:t>
      </w:r>
      <w:r w:rsidR="00AB3134">
        <w:rPr>
          <w:lang w:val="en-GB"/>
        </w:rPr>
        <w:t>selectivity</w:t>
      </w:r>
      <w:r w:rsidR="004A3384" w:rsidRPr="002A35C8">
        <w:rPr>
          <w:lang w:val="en-GB"/>
        </w:rPr>
        <w:t xml:space="preserve"> for the reactions that</w:t>
      </w:r>
      <w:r w:rsidR="00AB3134">
        <w:rPr>
          <w:lang w:val="en-GB"/>
        </w:rPr>
        <w:t xml:space="preserve"> inherently</w:t>
      </w:r>
      <w:r w:rsidR="004A3384" w:rsidRPr="002A35C8">
        <w:rPr>
          <w:lang w:val="en-GB"/>
        </w:rPr>
        <w:t xml:space="preserve"> lower the H</w:t>
      </w:r>
      <w:r w:rsidR="004A3384" w:rsidRPr="002A35C8">
        <w:rPr>
          <w:vertAlign w:val="subscript"/>
          <w:lang w:val="en-GB"/>
        </w:rPr>
        <w:t>2</w:t>
      </w:r>
      <w:r w:rsidR="004A3384" w:rsidRPr="002A35C8">
        <w:rPr>
          <w:lang w:val="en-GB"/>
        </w:rPr>
        <w:t>/CO molar ratio</w:t>
      </w:r>
      <w:r w:rsidRPr="002A35C8">
        <w:rPr>
          <w:lang w:val="en-GB"/>
        </w:rPr>
        <w:t>, thus achi</w:t>
      </w:r>
      <w:r w:rsidR="004A3384" w:rsidRPr="002A35C8">
        <w:rPr>
          <w:lang w:val="en-GB"/>
        </w:rPr>
        <w:t>eving high reactant conversions</w:t>
      </w:r>
      <w:r w:rsidRPr="002A35C8">
        <w:rPr>
          <w:lang w:val="en-GB"/>
        </w:rPr>
        <w:t xml:space="preserve"> and a notable H</w:t>
      </w:r>
      <w:r w:rsidRPr="002A35C8">
        <w:rPr>
          <w:vertAlign w:val="subscript"/>
          <w:lang w:val="en-GB"/>
        </w:rPr>
        <w:t>2</w:t>
      </w:r>
      <w:r w:rsidRPr="002A35C8">
        <w:rPr>
          <w:lang w:val="en-GB"/>
        </w:rPr>
        <w:t xml:space="preserve"> generation at the same time.</w:t>
      </w:r>
    </w:p>
    <w:p w14:paraId="68D26B83" w14:textId="77777777" w:rsidR="00600535" w:rsidRPr="002A35C8" w:rsidRDefault="00600535" w:rsidP="00600535">
      <w:pPr>
        <w:pStyle w:val="CETHeading1"/>
        <w:rPr>
          <w:lang w:val="en-GB"/>
        </w:rPr>
      </w:pPr>
      <w:r w:rsidRPr="002A35C8">
        <w:rPr>
          <w:lang w:val="en-GB"/>
        </w:rPr>
        <w:t>Conclusions</w:t>
      </w:r>
    </w:p>
    <w:p w14:paraId="4713B10A" w14:textId="0326332F" w:rsidR="004A3384" w:rsidRPr="002A35C8" w:rsidRDefault="00C33D21" w:rsidP="00600535">
      <w:pPr>
        <w:pStyle w:val="CETBodytext"/>
        <w:rPr>
          <w:lang w:val="en-GB"/>
        </w:rPr>
      </w:pPr>
      <w:r w:rsidRPr="002A35C8">
        <w:rPr>
          <w:lang w:val="en-GB"/>
        </w:rPr>
        <w:t>Various bimetallic Ni-Co/Al</w:t>
      </w:r>
      <w:r w:rsidRPr="002A35C8">
        <w:rPr>
          <w:vertAlign w:val="subscript"/>
          <w:lang w:val="en-GB"/>
        </w:rPr>
        <w:t>2</w:t>
      </w:r>
      <w:r w:rsidRPr="002A35C8">
        <w:rPr>
          <w:lang w:val="en-GB"/>
        </w:rPr>
        <w:t>O</w:t>
      </w:r>
      <w:r w:rsidRPr="002A35C8">
        <w:rPr>
          <w:vertAlign w:val="subscript"/>
          <w:lang w:val="en-GB"/>
        </w:rPr>
        <w:t>3</w:t>
      </w:r>
      <w:r w:rsidRPr="002A35C8">
        <w:rPr>
          <w:lang w:val="en-GB"/>
        </w:rPr>
        <w:t xml:space="preserve"> catalysts derived from spinel-like aluminates were synthesised for the dry reforming of methane reaction, with the aim of evaluating the effect of incorporating cobalt in different proportions to nickel. The characterisation of th</w:t>
      </w:r>
      <w:r w:rsidR="00A51193" w:rsidRPr="002A35C8">
        <w:rPr>
          <w:lang w:val="en-GB"/>
        </w:rPr>
        <w:t>e aluminate precursors pointed out</w:t>
      </w:r>
      <w:r w:rsidRPr="002A35C8">
        <w:rPr>
          <w:lang w:val="en-GB"/>
        </w:rPr>
        <w:t xml:space="preserve"> that the addition of cobalt </w:t>
      </w:r>
      <w:r w:rsidR="00A51193" w:rsidRPr="002A35C8">
        <w:rPr>
          <w:lang w:val="en-GB"/>
        </w:rPr>
        <w:t>decreased the specific surface area of the resulting catalysts (from 57 to 20 m</w:t>
      </w:r>
      <w:r w:rsidR="00A51193" w:rsidRPr="002A35C8">
        <w:rPr>
          <w:vertAlign w:val="superscript"/>
          <w:lang w:val="en-GB"/>
        </w:rPr>
        <w:t>2</w:t>
      </w:r>
      <w:r w:rsidR="00A51193" w:rsidRPr="002A35C8">
        <w:rPr>
          <w:lang w:val="en-GB"/>
        </w:rPr>
        <w:t xml:space="preserve"> g</w:t>
      </w:r>
      <w:r w:rsidR="00A51193" w:rsidRPr="002A35C8">
        <w:rPr>
          <w:vertAlign w:val="superscript"/>
          <w:lang w:val="en-GB"/>
        </w:rPr>
        <w:t>-1</w:t>
      </w:r>
      <w:r w:rsidR="00A51193" w:rsidRPr="002A35C8">
        <w:rPr>
          <w:lang w:val="en-GB"/>
        </w:rPr>
        <w:t xml:space="preserve">) and increased the average crystallite size (from 13 to 23 nm), thus it </w:t>
      </w:r>
      <w:r w:rsidRPr="002A35C8">
        <w:rPr>
          <w:lang w:val="en-GB"/>
        </w:rPr>
        <w:t>was detrimental for the textural and structural properties of the resulting precursors and catalysts</w:t>
      </w:r>
      <w:r w:rsidR="00A51193" w:rsidRPr="002A35C8">
        <w:rPr>
          <w:lang w:val="en-GB"/>
        </w:rPr>
        <w:t>. In line with this, the catalytic activity results evidenced that the presence of cobalt in the bimetallic catalysts decreases their overall activity, with methane conversions being as low as 25% for the monometallic cobalt catalyst while the Ni counterpart achieved 70%. However, the results also pointed out that the presence of cobalt greatly enhanced the generation of H</w:t>
      </w:r>
      <w:r w:rsidR="00A51193" w:rsidRPr="002A35C8">
        <w:rPr>
          <w:vertAlign w:val="subscript"/>
          <w:lang w:val="en-GB"/>
        </w:rPr>
        <w:t>2</w:t>
      </w:r>
      <w:r w:rsidR="00A51193" w:rsidRPr="002A35C8">
        <w:rPr>
          <w:lang w:val="en-GB"/>
        </w:rPr>
        <w:t>. Thus, an optimal formulation of Ni</w:t>
      </w:r>
      <w:r w:rsidR="00A51193" w:rsidRPr="002A35C8">
        <w:rPr>
          <w:vertAlign w:val="subscript"/>
          <w:lang w:val="en-GB"/>
        </w:rPr>
        <w:t>0.5</w:t>
      </w:r>
      <w:r w:rsidR="00A51193" w:rsidRPr="002A35C8">
        <w:rPr>
          <w:lang w:val="en-GB"/>
        </w:rPr>
        <w:t>Co</w:t>
      </w:r>
      <w:r w:rsidR="00A51193" w:rsidRPr="002A35C8">
        <w:rPr>
          <w:vertAlign w:val="subscript"/>
          <w:lang w:val="en-GB"/>
        </w:rPr>
        <w:t>0.5</w:t>
      </w:r>
      <w:r w:rsidR="00A51193" w:rsidRPr="002A35C8">
        <w:rPr>
          <w:lang w:val="en-GB"/>
        </w:rPr>
        <w:t>Al</w:t>
      </w:r>
      <w:r w:rsidR="00A51193" w:rsidRPr="002A35C8">
        <w:rPr>
          <w:vertAlign w:val="subscript"/>
          <w:lang w:val="en-GB"/>
        </w:rPr>
        <w:t>2</w:t>
      </w:r>
      <w:r w:rsidR="00A51193" w:rsidRPr="002A35C8">
        <w:rPr>
          <w:lang w:val="en-GB"/>
        </w:rPr>
        <w:t>O</w:t>
      </w:r>
      <w:r w:rsidR="00A51193" w:rsidRPr="002A35C8">
        <w:rPr>
          <w:vertAlign w:val="subscript"/>
          <w:lang w:val="en-GB"/>
        </w:rPr>
        <w:t>4</w:t>
      </w:r>
      <w:r w:rsidR="00A51193" w:rsidRPr="002A35C8">
        <w:rPr>
          <w:lang w:val="en-GB"/>
        </w:rPr>
        <w:t xml:space="preserve"> was identified that presented a higher activity</w:t>
      </w:r>
      <w:r w:rsidR="00842D87">
        <w:rPr>
          <w:lang w:val="en-GB"/>
        </w:rPr>
        <w:t xml:space="preserve"> (28% more CH</w:t>
      </w:r>
      <w:r w:rsidR="00842D87">
        <w:rPr>
          <w:vertAlign w:val="subscript"/>
          <w:lang w:val="en-GB"/>
        </w:rPr>
        <w:t>4</w:t>
      </w:r>
      <w:r w:rsidR="00842D87">
        <w:rPr>
          <w:lang w:val="en-GB"/>
        </w:rPr>
        <w:t xml:space="preserve"> conversion</w:t>
      </w:r>
      <w:r w:rsidR="000721CE">
        <w:rPr>
          <w:lang w:val="en-GB"/>
        </w:rPr>
        <w:t>)</w:t>
      </w:r>
      <w:r w:rsidR="00842D87">
        <w:rPr>
          <w:lang w:val="en-GB"/>
        </w:rPr>
        <w:t xml:space="preserve"> </w:t>
      </w:r>
      <w:r w:rsidR="000721CE">
        <w:rPr>
          <w:lang w:val="en-GB"/>
        </w:rPr>
        <w:t>and a 50% more H</w:t>
      </w:r>
      <w:r w:rsidR="000721CE" w:rsidRPr="000721CE">
        <w:rPr>
          <w:vertAlign w:val="subscript"/>
          <w:lang w:val="en-GB"/>
        </w:rPr>
        <w:t>2</w:t>
      </w:r>
      <w:r w:rsidR="000721CE">
        <w:rPr>
          <w:lang w:val="en-GB"/>
        </w:rPr>
        <w:t xml:space="preserve"> yield</w:t>
      </w:r>
      <w:r w:rsidR="00A51193" w:rsidRPr="002A35C8">
        <w:rPr>
          <w:lang w:val="en-GB"/>
        </w:rPr>
        <w:t xml:space="preserve"> with respect to the </w:t>
      </w:r>
      <w:r w:rsidR="000721CE">
        <w:rPr>
          <w:lang w:val="en-GB"/>
        </w:rPr>
        <w:t>Ni monometallic one</w:t>
      </w:r>
      <w:bookmarkStart w:id="1" w:name="_GoBack"/>
      <w:bookmarkEnd w:id="1"/>
      <w:r w:rsidR="00A51193" w:rsidRPr="002A35C8">
        <w:rPr>
          <w:lang w:val="en-GB"/>
        </w:rPr>
        <w:t>.</w:t>
      </w:r>
    </w:p>
    <w:p w14:paraId="459D05E6" w14:textId="77777777" w:rsidR="00600535" w:rsidRPr="002A35C8" w:rsidRDefault="00600535" w:rsidP="00600535">
      <w:pPr>
        <w:pStyle w:val="CETAcknowledgementstitle"/>
      </w:pPr>
      <w:r w:rsidRPr="002A35C8">
        <w:t>Acknowledgments</w:t>
      </w:r>
    </w:p>
    <w:p w14:paraId="33F8138F" w14:textId="2BD7ABB4" w:rsidR="00600535" w:rsidRPr="002A35C8" w:rsidRDefault="00C86B5C" w:rsidP="00600535">
      <w:pPr>
        <w:pStyle w:val="CETBodytext"/>
      </w:pPr>
      <w:r w:rsidRPr="002A35C8">
        <w:t xml:space="preserve">This research was funded by the Spanish Ministry of Science and Innovation (PID2019-107105RB-I00 AEI/FEDER, UE), Basque Government (IT1509-22) and the University of The Basque Country UPV/EHU (DOCREC21/23). The authors wish to thank the technical and human support provided by SGIker (UPV/EHU). </w:t>
      </w:r>
    </w:p>
    <w:p w14:paraId="4F1327F8" w14:textId="2EF9180F" w:rsidR="00600535" w:rsidRPr="002A35C8" w:rsidRDefault="00600535" w:rsidP="00600535">
      <w:pPr>
        <w:pStyle w:val="CETReference"/>
      </w:pPr>
      <w:r w:rsidRPr="002A35C8">
        <w:t>References</w:t>
      </w:r>
    </w:p>
    <w:p w14:paraId="256EE0E1" w14:textId="77777777" w:rsidR="00AC5207" w:rsidRPr="002A35C8" w:rsidRDefault="00AC5207" w:rsidP="00AC5207">
      <w:pPr>
        <w:tabs>
          <w:tab w:val="clear" w:pos="7100"/>
        </w:tabs>
        <w:ind w:left="284" w:hanging="284"/>
      </w:pPr>
      <w:r w:rsidRPr="002A35C8">
        <w:t>Aramouni N.A.K., Touma J.G., Tarboush B.A., Zeaiter J., Ahmad M.N., 2018, Catalyst Design for Dry Reforming of Methane: Analysis Review, Renewable and Sustainable Energy Reviews 82, 2570-2585.</w:t>
      </w:r>
    </w:p>
    <w:p w14:paraId="29B5E9B6" w14:textId="77777777" w:rsidR="00AC5207" w:rsidRPr="002A35C8" w:rsidRDefault="00AC5207" w:rsidP="00AC5207">
      <w:pPr>
        <w:tabs>
          <w:tab w:val="clear" w:pos="7100"/>
        </w:tabs>
        <w:ind w:left="284" w:hanging="284"/>
      </w:pPr>
      <w:r w:rsidRPr="002A35C8">
        <w:t>Arora S., Prasad R., 2016, An Overview on Dry Reforming of Methane: Strategies to Reduce Carbonaceous Deactivation of Catalysts, RSC Advances 6, 108668-108688.</w:t>
      </w:r>
    </w:p>
    <w:p w14:paraId="4F940F8F" w14:textId="478D3ECB" w:rsidR="00AC5207" w:rsidRPr="002A35C8" w:rsidRDefault="00AC5207" w:rsidP="00AC5207">
      <w:pPr>
        <w:tabs>
          <w:tab w:val="clear" w:pos="7100"/>
        </w:tabs>
        <w:ind w:left="284" w:hanging="284"/>
      </w:pPr>
      <w:r w:rsidRPr="002A35C8">
        <w:t xml:space="preserve">Garbarino G., Chitsazan S., Phung T.K., Riani P., </w:t>
      </w:r>
      <w:r w:rsidR="00AB3134">
        <w:t>Busca G., 2015, Preparation of Supported Catalysts: A Study of the Effect of Small Amounts of S</w:t>
      </w:r>
      <w:r w:rsidRPr="002A35C8">
        <w:t>ilica on Ni/Al</w:t>
      </w:r>
      <w:r w:rsidRPr="002A35C8">
        <w:rPr>
          <w:vertAlign w:val="subscript"/>
        </w:rPr>
        <w:t>2</w:t>
      </w:r>
      <w:r w:rsidRPr="002A35C8">
        <w:t>O</w:t>
      </w:r>
      <w:r w:rsidRPr="002A35C8">
        <w:rPr>
          <w:vertAlign w:val="subscript"/>
        </w:rPr>
        <w:t>3</w:t>
      </w:r>
      <w:r w:rsidR="00AB3134">
        <w:t xml:space="preserve"> C</w:t>
      </w:r>
      <w:r w:rsidRPr="002A35C8">
        <w:t>atalysts, Applied Catalysis A: General, 505, 86–97.</w:t>
      </w:r>
    </w:p>
    <w:p w14:paraId="7E25AE32" w14:textId="77777777" w:rsidR="00AC5207" w:rsidRPr="002A35C8" w:rsidRDefault="00AC5207" w:rsidP="00AC5207">
      <w:pPr>
        <w:tabs>
          <w:tab w:val="clear" w:pos="7100"/>
        </w:tabs>
        <w:ind w:left="284" w:hanging="284"/>
      </w:pPr>
      <w:r w:rsidRPr="002A35C8">
        <w:t>Gil-Calvo M., Jiménez-González C., de Rivas B., Gutiérrez-Ortiz J.I., López-Fonseca R., 2017, Effect of Ni/Al Molar Ratio on the Performance of Substoichiometric NiAl</w:t>
      </w:r>
      <w:r w:rsidRPr="002A35C8">
        <w:rPr>
          <w:vertAlign w:val="subscript"/>
        </w:rPr>
        <w:t>2</w:t>
      </w:r>
      <w:r w:rsidRPr="002A35C8">
        <w:t>O</w:t>
      </w:r>
      <w:r w:rsidRPr="002A35C8">
        <w:rPr>
          <w:vertAlign w:val="subscript"/>
        </w:rPr>
        <w:t>4</w:t>
      </w:r>
      <w:r w:rsidRPr="002A35C8">
        <w:t xml:space="preserve"> Spinel- Based Catalysts for Partial Oxidation of Methane, Applied Catalysis B: Environmental, 209, 128-138.</w:t>
      </w:r>
    </w:p>
    <w:p w14:paraId="0698BEC9" w14:textId="1EF49706" w:rsidR="00AC5207" w:rsidRPr="002A35C8" w:rsidRDefault="00AC5207" w:rsidP="00AC5207">
      <w:pPr>
        <w:tabs>
          <w:tab w:val="clear" w:pos="7100"/>
        </w:tabs>
        <w:ind w:left="284" w:hanging="284"/>
      </w:pPr>
      <w:r w:rsidRPr="002A35C8">
        <w:t>Horlyck J., Lawrey C., Lovell E.C., Amal R., Scott</w:t>
      </w:r>
      <w:r w:rsidRPr="002A35C8">
        <w:rPr>
          <w:rFonts w:cs="Arial"/>
        </w:rPr>
        <w:t xml:space="preserve"> J., 2018, </w:t>
      </w:r>
      <w:r w:rsidR="00222757">
        <w:t>Elucidating the Impact of Ni and Co Loading on the Selectivity of Bimetallic NiCo Catalysts for Dry Reforming of M</w:t>
      </w:r>
      <w:r w:rsidRPr="002A35C8">
        <w:t>ethane, Chemical Engineering Journal, 352, 572-580.</w:t>
      </w:r>
    </w:p>
    <w:p w14:paraId="0946CF3A" w14:textId="77777777" w:rsidR="00AC5207" w:rsidRPr="002A35C8" w:rsidRDefault="00AC5207" w:rsidP="00AC5207">
      <w:pPr>
        <w:tabs>
          <w:tab w:val="clear" w:pos="7100"/>
        </w:tabs>
        <w:ind w:left="284" w:hanging="284"/>
      </w:pPr>
      <w:r w:rsidRPr="002A35C8">
        <w:t>Kawi S., Kathiraser Y., Ni J., Oemar U., Li Z., Saw E.T., 2015, Progress in Synthesis of Highly Active and Stable Nickel-Based Catalysts for Carbon Dioxide Reforming of Methane, ChemCatChem 8, 3556-3575.</w:t>
      </w:r>
    </w:p>
    <w:p w14:paraId="7C889166" w14:textId="77777777" w:rsidR="00AC5207" w:rsidRPr="002A35C8" w:rsidRDefault="00AC5207" w:rsidP="00AC5207">
      <w:pPr>
        <w:tabs>
          <w:tab w:val="clear" w:pos="7100"/>
        </w:tabs>
        <w:ind w:left="284" w:hanging="284"/>
      </w:pPr>
      <w:r w:rsidRPr="002A35C8">
        <w:t>Lavoie J-M., 2014, Review on Dry Reforming of Methane, a Potentially more Environmentally-Friendly Approach to the Increasing Natural Gas Exploitation, Frontiers in Chemistry, 2, Article 81.</w:t>
      </w:r>
    </w:p>
    <w:p w14:paraId="1E3EF223" w14:textId="0051A2B4" w:rsidR="00AC5207" w:rsidRPr="002A35C8" w:rsidRDefault="00AC5207" w:rsidP="00AC5207">
      <w:pPr>
        <w:tabs>
          <w:tab w:val="clear" w:pos="7100"/>
        </w:tabs>
        <w:ind w:left="284" w:hanging="284"/>
      </w:pPr>
      <w:r w:rsidRPr="002A35C8">
        <w:t>Lim T.H, Cho S.J., Yang H.S., Engelhard M.H., K</w:t>
      </w:r>
      <w:r w:rsidR="00222757">
        <w:t>im D.H., 2015, Effect of Co/Ni Ratios in Cobalt Nickel Mixed Oxide Catalysts on Methane C</w:t>
      </w:r>
      <w:r w:rsidRPr="002A35C8">
        <w:t>ombustion, Applied Catalysis A: General, 505, 62-69.</w:t>
      </w:r>
    </w:p>
    <w:p w14:paraId="6FDBFAC2" w14:textId="77777777" w:rsidR="00AC5207" w:rsidRPr="002A35C8" w:rsidRDefault="00AC5207" w:rsidP="00AC5207">
      <w:pPr>
        <w:tabs>
          <w:tab w:val="clear" w:pos="7100"/>
        </w:tabs>
        <w:ind w:left="284" w:hanging="284"/>
      </w:pPr>
      <w:r w:rsidRPr="002A35C8">
        <w:t>Liu C-J., Ye J., Jiang J., Pan Y., 2011, Progresses in the Preparation of Coke Resistant Ni-based Catalyst for Steam and CO</w:t>
      </w:r>
      <w:r w:rsidRPr="002A35C8">
        <w:rPr>
          <w:vertAlign w:val="subscript"/>
        </w:rPr>
        <w:t>2</w:t>
      </w:r>
      <w:r w:rsidRPr="002A35C8">
        <w:t xml:space="preserve"> Reforming of Methane, ChemCatChem, 3, 529-541.</w:t>
      </w:r>
    </w:p>
    <w:p w14:paraId="652FE0B5" w14:textId="77777777" w:rsidR="00AC5207" w:rsidRPr="002A35C8" w:rsidRDefault="00AC5207" w:rsidP="00AC5207">
      <w:pPr>
        <w:tabs>
          <w:tab w:val="clear" w:pos="7100"/>
        </w:tabs>
        <w:ind w:left="284" w:hanging="284"/>
      </w:pPr>
      <w:r w:rsidRPr="002A35C8">
        <w:t>López-Fonseca R., Jiménez-González C., de Rivas B., Gutiérrez-Ortiz J.I., 2012, Partial Oxidation of Methane to Syngas on Bulk NiAl</w:t>
      </w:r>
      <w:r w:rsidRPr="002A35C8">
        <w:rPr>
          <w:vertAlign w:val="subscript"/>
        </w:rPr>
        <w:t>2</w:t>
      </w:r>
      <w:r w:rsidRPr="002A35C8">
        <w:t>O</w:t>
      </w:r>
      <w:r w:rsidRPr="002A35C8">
        <w:rPr>
          <w:vertAlign w:val="subscript"/>
        </w:rPr>
        <w:t>4</w:t>
      </w:r>
      <w:r w:rsidRPr="002A35C8">
        <w:t xml:space="preserve"> Catalyst. Comparison with Alumina Supported Nickel, Platinum and Rhodium Catalysts, Applied Catalysis A: General, 437-438, 53-62.</w:t>
      </w:r>
    </w:p>
    <w:p w14:paraId="53876307" w14:textId="2CE170B6" w:rsidR="00AC5207" w:rsidRPr="002A35C8" w:rsidRDefault="00AC5207" w:rsidP="00AC5207">
      <w:pPr>
        <w:tabs>
          <w:tab w:val="clear" w:pos="7100"/>
        </w:tabs>
        <w:ind w:left="284" w:hanging="284"/>
      </w:pPr>
      <w:r w:rsidRPr="002A35C8">
        <w:t>Ranjbar A., Irankhah A., Aghamir</w:t>
      </w:r>
      <w:r w:rsidR="00222757">
        <w:t>i S.F., 2018, Reverse Water Gas Shift R</w:t>
      </w:r>
      <w:r w:rsidRPr="002A35C8">
        <w:t>eaction and CO</w:t>
      </w:r>
      <w:r w:rsidRPr="002A35C8">
        <w:rPr>
          <w:vertAlign w:val="subscript"/>
        </w:rPr>
        <w:t>2</w:t>
      </w:r>
      <w:r w:rsidR="00222757">
        <w:t xml:space="preserve"> Mitigation: Nanocrystalline MgO as a Support for Nickel Based C</w:t>
      </w:r>
      <w:r w:rsidRPr="002A35C8">
        <w:t>atalysts, Journal of Environmental Chemical Engineering, 6, 4945-4952.</w:t>
      </w:r>
    </w:p>
    <w:p w14:paraId="251CD051" w14:textId="46A9129E" w:rsidR="00480482" w:rsidRPr="00B57B36" w:rsidRDefault="00AC5207" w:rsidP="00AC5207">
      <w:pPr>
        <w:tabs>
          <w:tab w:val="clear" w:pos="7100"/>
        </w:tabs>
        <w:ind w:left="284" w:hanging="284"/>
      </w:pPr>
      <w:r w:rsidRPr="002A35C8">
        <w:t>Sternberg A., Jens C.M., Bardow A., 2017, Life Cycle Assessment of CO</w:t>
      </w:r>
      <w:r w:rsidRPr="002A35C8">
        <w:rPr>
          <w:vertAlign w:val="subscript"/>
        </w:rPr>
        <w:t>2</w:t>
      </w:r>
      <w:r w:rsidRPr="002A35C8">
        <w:t>-based C1-Chemicals, Green Chemistry 19, 2244-2259.</w:t>
      </w:r>
    </w:p>
    <w:sectPr w:rsidR="00480482" w:rsidRPr="00B57B36"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07991D" w14:textId="77777777" w:rsidR="006D5B85" w:rsidRDefault="006D5B85" w:rsidP="004F5E36">
      <w:r>
        <w:separator/>
      </w:r>
    </w:p>
  </w:endnote>
  <w:endnote w:type="continuationSeparator" w:id="0">
    <w:p w14:paraId="7245F280" w14:textId="77777777" w:rsidR="006D5B85" w:rsidRDefault="006D5B8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CD602F" w14:textId="77777777" w:rsidR="006D5B85" w:rsidRDefault="006D5B85" w:rsidP="004F5E36">
      <w:r>
        <w:separator/>
      </w:r>
    </w:p>
  </w:footnote>
  <w:footnote w:type="continuationSeparator" w:id="0">
    <w:p w14:paraId="15A9F373" w14:textId="77777777" w:rsidR="006D5B85" w:rsidRDefault="006D5B85"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8CC"/>
    <w:rsid w:val="000052FB"/>
    <w:rsid w:val="00010C92"/>
    <w:rsid w:val="000117CB"/>
    <w:rsid w:val="0003148D"/>
    <w:rsid w:val="00031EEC"/>
    <w:rsid w:val="0003506F"/>
    <w:rsid w:val="00040349"/>
    <w:rsid w:val="00051566"/>
    <w:rsid w:val="000562A9"/>
    <w:rsid w:val="00062A9A"/>
    <w:rsid w:val="00065058"/>
    <w:rsid w:val="000721CE"/>
    <w:rsid w:val="00086C39"/>
    <w:rsid w:val="000925E7"/>
    <w:rsid w:val="000A03B2"/>
    <w:rsid w:val="000A3FFB"/>
    <w:rsid w:val="000B75E0"/>
    <w:rsid w:val="000D0268"/>
    <w:rsid w:val="000D34BE"/>
    <w:rsid w:val="000E102F"/>
    <w:rsid w:val="000E36F1"/>
    <w:rsid w:val="000E3A73"/>
    <w:rsid w:val="000E414A"/>
    <w:rsid w:val="000F093C"/>
    <w:rsid w:val="000F787B"/>
    <w:rsid w:val="0012091F"/>
    <w:rsid w:val="00126BC2"/>
    <w:rsid w:val="001308B6"/>
    <w:rsid w:val="0013121F"/>
    <w:rsid w:val="00131FE6"/>
    <w:rsid w:val="0013263F"/>
    <w:rsid w:val="001331DF"/>
    <w:rsid w:val="00134DE4"/>
    <w:rsid w:val="0014034D"/>
    <w:rsid w:val="00144D16"/>
    <w:rsid w:val="00150E59"/>
    <w:rsid w:val="00152DE3"/>
    <w:rsid w:val="00164CF9"/>
    <w:rsid w:val="001667A6"/>
    <w:rsid w:val="00176731"/>
    <w:rsid w:val="00184AD6"/>
    <w:rsid w:val="00195BB9"/>
    <w:rsid w:val="001A4AF7"/>
    <w:rsid w:val="001A54E4"/>
    <w:rsid w:val="001B0349"/>
    <w:rsid w:val="001B1E93"/>
    <w:rsid w:val="001B65C1"/>
    <w:rsid w:val="001C684B"/>
    <w:rsid w:val="001D0CFB"/>
    <w:rsid w:val="001D21AF"/>
    <w:rsid w:val="001D53FC"/>
    <w:rsid w:val="001F1B75"/>
    <w:rsid w:val="001F42A5"/>
    <w:rsid w:val="001F7B9D"/>
    <w:rsid w:val="00201C93"/>
    <w:rsid w:val="002224B4"/>
    <w:rsid w:val="00222757"/>
    <w:rsid w:val="002447EF"/>
    <w:rsid w:val="00251550"/>
    <w:rsid w:val="00257122"/>
    <w:rsid w:val="00257E2A"/>
    <w:rsid w:val="00263B05"/>
    <w:rsid w:val="0027221A"/>
    <w:rsid w:val="00275935"/>
    <w:rsid w:val="00275B61"/>
    <w:rsid w:val="00280FAF"/>
    <w:rsid w:val="00282656"/>
    <w:rsid w:val="00296B83"/>
    <w:rsid w:val="002A00CF"/>
    <w:rsid w:val="002A35C8"/>
    <w:rsid w:val="002B4015"/>
    <w:rsid w:val="002B6B6B"/>
    <w:rsid w:val="002B765F"/>
    <w:rsid w:val="002B78CE"/>
    <w:rsid w:val="002C2FB6"/>
    <w:rsid w:val="002E5FA7"/>
    <w:rsid w:val="002F0852"/>
    <w:rsid w:val="002F3309"/>
    <w:rsid w:val="002F6E17"/>
    <w:rsid w:val="003008CE"/>
    <w:rsid w:val="003009B7"/>
    <w:rsid w:val="00300E56"/>
    <w:rsid w:val="0030152C"/>
    <w:rsid w:val="0030469C"/>
    <w:rsid w:val="00321CA6"/>
    <w:rsid w:val="00323763"/>
    <w:rsid w:val="00323C5F"/>
    <w:rsid w:val="003324BE"/>
    <w:rsid w:val="00334C09"/>
    <w:rsid w:val="003531DC"/>
    <w:rsid w:val="0036318D"/>
    <w:rsid w:val="003631CB"/>
    <w:rsid w:val="00365D1F"/>
    <w:rsid w:val="003723D4"/>
    <w:rsid w:val="00381905"/>
    <w:rsid w:val="00384CC8"/>
    <w:rsid w:val="003871FD"/>
    <w:rsid w:val="003A1E30"/>
    <w:rsid w:val="003A2829"/>
    <w:rsid w:val="003A7D1C"/>
    <w:rsid w:val="003B304B"/>
    <w:rsid w:val="003B3146"/>
    <w:rsid w:val="003E1041"/>
    <w:rsid w:val="003E6E1B"/>
    <w:rsid w:val="003F015E"/>
    <w:rsid w:val="003F3BD9"/>
    <w:rsid w:val="00400414"/>
    <w:rsid w:val="0041446B"/>
    <w:rsid w:val="0042366B"/>
    <w:rsid w:val="0044071E"/>
    <w:rsid w:val="0044329C"/>
    <w:rsid w:val="00453E24"/>
    <w:rsid w:val="00457456"/>
    <w:rsid w:val="004577FE"/>
    <w:rsid w:val="00457B9C"/>
    <w:rsid w:val="004613A5"/>
    <w:rsid w:val="0046164A"/>
    <w:rsid w:val="004628D2"/>
    <w:rsid w:val="00462DCD"/>
    <w:rsid w:val="004648AD"/>
    <w:rsid w:val="004703A9"/>
    <w:rsid w:val="004728D6"/>
    <w:rsid w:val="004760DE"/>
    <w:rsid w:val="004763D7"/>
    <w:rsid w:val="00480482"/>
    <w:rsid w:val="004A004E"/>
    <w:rsid w:val="004A24CF"/>
    <w:rsid w:val="004A3384"/>
    <w:rsid w:val="004C3D1D"/>
    <w:rsid w:val="004C3D84"/>
    <w:rsid w:val="004C7913"/>
    <w:rsid w:val="004D1CEF"/>
    <w:rsid w:val="004E3EE0"/>
    <w:rsid w:val="004E4DD6"/>
    <w:rsid w:val="004F5E36"/>
    <w:rsid w:val="004F71E9"/>
    <w:rsid w:val="004F7D8C"/>
    <w:rsid w:val="00507B47"/>
    <w:rsid w:val="00507BEF"/>
    <w:rsid w:val="00507CC9"/>
    <w:rsid w:val="005119A5"/>
    <w:rsid w:val="0052225F"/>
    <w:rsid w:val="005278B7"/>
    <w:rsid w:val="00532016"/>
    <w:rsid w:val="005346C8"/>
    <w:rsid w:val="00543E7D"/>
    <w:rsid w:val="00547A68"/>
    <w:rsid w:val="005531C9"/>
    <w:rsid w:val="00570C43"/>
    <w:rsid w:val="005B08D0"/>
    <w:rsid w:val="005B2110"/>
    <w:rsid w:val="005B61E6"/>
    <w:rsid w:val="005C77E1"/>
    <w:rsid w:val="005D668A"/>
    <w:rsid w:val="005D6A2F"/>
    <w:rsid w:val="005E008D"/>
    <w:rsid w:val="005E1A82"/>
    <w:rsid w:val="005E794C"/>
    <w:rsid w:val="005F0A28"/>
    <w:rsid w:val="005F0E5E"/>
    <w:rsid w:val="00600535"/>
    <w:rsid w:val="00604FC5"/>
    <w:rsid w:val="00610CD6"/>
    <w:rsid w:val="00620DEE"/>
    <w:rsid w:val="00621F92"/>
    <w:rsid w:val="0062280A"/>
    <w:rsid w:val="00625639"/>
    <w:rsid w:val="00631B33"/>
    <w:rsid w:val="00634F53"/>
    <w:rsid w:val="0064184D"/>
    <w:rsid w:val="006422CC"/>
    <w:rsid w:val="00643570"/>
    <w:rsid w:val="00655F53"/>
    <w:rsid w:val="00660E3E"/>
    <w:rsid w:val="00662E74"/>
    <w:rsid w:val="00680C23"/>
    <w:rsid w:val="00693766"/>
    <w:rsid w:val="006A3281"/>
    <w:rsid w:val="006B4888"/>
    <w:rsid w:val="006C244A"/>
    <w:rsid w:val="006C2E45"/>
    <w:rsid w:val="006C359C"/>
    <w:rsid w:val="006C5579"/>
    <w:rsid w:val="006D3B92"/>
    <w:rsid w:val="006D5B85"/>
    <w:rsid w:val="006D6E8B"/>
    <w:rsid w:val="006E737D"/>
    <w:rsid w:val="0071175C"/>
    <w:rsid w:val="00713973"/>
    <w:rsid w:val="007203EB"/>
    <w:rsid w:val="00720A24"/>
    <w:rsid w:val="00732386"/>
    <w:rsid w:val="0073514D"/>
    <w:rsid w:val="007447F3"/>
    <w:rsid w:val="00752785"/>
    <w:rsid w:val="0075499F"/>
    <w:rsid w:val="007661C8"/>
    <w:rsid w:val="0077098D"/>
    <w:rsid w:val="0078772C"/>
    <w:rsid w:val="007931FA"/>
    <w:rsid w:val="007A4861"/>
    <w:rsid w:val="007A7BBA"/>
    <w:rsid w:val="007B0C50"/>
    <w:rsid w:val="007B48F9"/>
    <w:rsid w:val="007C1A43"/>
    <w:rsid w:val="007D0951"/>
    <w:rsid w:val="0080013E"/>
    <w:rsid w:val="00805799"/>
    <w:rsid w:val="00813288"/>
    <w:rsid w:val="008168FC"/>
    <w:rsid w:val="00830996"/>
    <w:rsid w:val="00833CD4"/>
    <w:rsid w:val="008345F1"/>
    <w:rsid w:val="00842D87"/>
    <w:rsid w:val="00865B07"/>
    <w:rsid w:val="008667EA"/>
    <w:rsid w:val="00872BB8"/>
    <w:rsid w:val="0087637F"/>
    <w:rsid w:val="00877E3B"/>
    <w:rsid w:val="00892AD5"/>
    <w:rsid w:val="008A1512"/>
    <w:rsid w:val="008D32B9"/>
    <w:rsid w:val="008D433B"/>
    <w:rsid w:val="008D4A16"/>
    <w:rsid w:val="008E566E"/>
    <w:rsid w:val="0090161A"/>
    <w:rsid w:val="00901EB6"/>
    <w:rsid w:val="00904C62"/>
    <w:rsid w:val="0091325C"/>
    <w:rsid w:val="00922BA8"/>
    <w:rsid w:val="00924DAC"/>
    <w:rsid w:val="00927058"/>
    <w:rsid w:val="00942750"/>
    <w:rsid w:val="009450CE"/>
    <w:rsid w:val="009459BB"/>
    <w:rsid w:val="00947179"/>
    <w:rsid w:val="0095164B"/>
    <w:rsid w:val="00954090"/>
    <w:rsid w:val="009573E7"/>
    <w:rsid w:val="00963E05"/>
    <w:rsid w:val="00964A45"/>
    <w:rsid w:val="00967843"/>
    <w:rsid w:val="00967D54"/>
    <w:rsid w:val="00971028"/>
    <w:rsid w:val="00993B84"/>
    <w:rsid w:val="00996483"/>
    <w:rsid w:val="00996F5A"/>
    <w:rsid w:val="009B041A"/>
    <w:rsid w:val="009B72C0"/>
    <w:rsid w:val="009C37C3"/>
    <w:rsid w:val="009C7C86"/>
    <w:rsid w:val="009D2FF7"/>
    <w:rsid w:val="009E7884"/>
    <w:rsid w:val="009E788A"/>
    <w:rsid w:val="009F0E08"/>
    <w:rsid w:val="009F1339"/>
    <w:rsid w:val="00A11879"/>
    <w:rsid w:val="00A16910"/>
    <w:rsid w:val="00A1763D"/>
    <w:rsid w:val="00A17CEC"/>
    <w:rsid w:val="00A27EF0"/>
    <w:rsid w:val="00A42361"/>
    <w:rsid w:val="00A50B20"/>
    <w:rsid w:val="00A51193"/>
    <w:rsid w:val="00A51390"/>
    <w:rsid w:val="00A60D13"/>
    <w:rsid w:val="00A7223D"/>
    <w:rsid w:val="00A72745"/>
    <w:rsid w:val="00A76EFC"/>
    <w:rsid w:val="00A87D50"/>
    <w:rsid w:val="00A91010"/>
    <w:rsid w:val="00A97F29"/>
    <w:rsid w:val="00AA702E"/>
    <w:rsid w:val="00AA7D26"/>
    <w:rsid w:val="00AB0964"/>
    <w:rsid w:val="00AB0F97"/>
    <w:rsid w:val="00AB3134"/>
    <w:rsid w:val="00AB5011"/>
    <w:rsid w:val="00AC5207"/>
    <w:rsid w:val="00AC7368"/>
    <w:rsid w:val="00AD16B9"/>
    <w:rsid w:val="00AE377D"/>
    <w:rsid w:val="00AF0EBA"/>
    <w:rsid w:val="00B01D65"/>
    <w:rsid w:val="00B02C8A"/>
    <w:rsid w:val="00B17FBD"/>
    <w:rsid w:val="00B2775D"/>
    <w:rsid w:val="00B315A6"/>
    <w:rsid w:val="00B31813"/>
    <w:rsid w:val="00B33365"/>
    <w:rsid w:val="00B42C85"/>
    <w:rsid w:val="00B42FBF"/>
    <w:rsid w:val="00B57B36"/>
    <w:rsid w:val="00B57E6F"/>
    <w:rsid w:val="00B669C7"/>
    <w:rsid w:val="00B8686D"/>
    <w:rsid w:val="00B875D2"/>
    <w:rsid w:val="00B93F69"/>
    <w:rsid w:val="00BB1DDC"/>
    <w:rsid w:val="00BC30C9"/>
    <w:rsid w:val="00BC49C7"/>
    <w:rsid w:val="00BD077D"/>
    <w:rsid w:val="00BE3E58"/>
    <w:rsid w:val="00C01616"/>
    <w:rsid w:val="00C0162B"/>
    <w:rsid w:val="00C05CFE"/>
    <w:rsid w:val="00C068ED"/>
    <w:rsid w:val="00C22E0C"/>
    <w:rsid w:val="00C33D21"/>
    <w:rsid w:val="00C345B1"/>
    <w:rsid w:val="00C40142"/>
    <w:rsid w:val="00C42B73"/>
    <w:rsid w:val="00C52C3C"/>
    <w:rsid w:val="00C57182"/>
    <w:rsid w:val="00C57863"/>
    <w:rsid w:val="00C640AF"/>
    <w:rsid w:val="00C655FD"/>
    <w:rsid w:val="00C75407"/>
    <w:rsid w:val="00C86B5C"/>
    <w:rsid w:val="00C870A8"/>
    <w:rsid w:val="00C94434"/>
    <w:rsid w:val="00CA0D75"/>
    <w:rsid w:val="00CA1C95"/>
    <w:rsid w:val="00CA5A9C"/>
    <w:rsid w:val="00CC4C20"/>
    <w:rsid w:val="00CD3517"/>
    <w:rsid w:val="00CD5FE2"/>
    <w:rsid w:val="00CE180E"/>
    <w:rsid w:val="00CE7C68"/>
    <w:rsid w:val="00D02B4C"/>
    <w:rsid w:val="00D040C4"/>
    <w:rsid w:val="00D20AD1"/>
    <w:rsid w:val="00D26FCD"/>
    <w:rsid w:val="00D46B7E"/>
    <w:rsid w:val="00D548AB"/>
    <w:rsid w:val="00D57C84"/>
    <w:rsid w:val="00D6057D"/>
    <w:rsid w:val="00D669A4"/>
    <w:rsid w:val="00D71640"/>
    <w:rsid w:val="00D836C5"/>
    <w:rsid w:val="00D84576"/>
    <w:rsid w:val="00DA1399"/>
    <w:rsid w:val="00DA24C6"/>
    <w:rsid w:val="00DA4D7B"/>
    <w:rsid w:val="00DB4BC4"/>
    <w:rsid w:val="00DD271C"/>
    <w:rsid w:val="00DD3754"/>
    <w:rsid w:val="00DE264A"/>
    <w:rsid w:val="00DE34A4"/>
    <w:rsid w:val="00DF15D7"/>
    <w:rsid w:val="00DF5072"/>
    <w:rsid w:val="00E02D18"/>
    <w:rsid w:val="00E041E7"/>
    <w:rsid w:val="00E23CA1"/>
    <w:rsid w:val="00E34BFA"/>
    <w:rsid w:val="00E409A8"/>
    <w:rsid w:val="00E50027"/>
    <w:rsid w:val="00E50C12"/>
    <w:rsid w:val="00E65B91"/>
    <w:rsid w:val="00E7209D"/>
    <w:rsid w:val="00E72EAD"/>
    <w:rsid w:val="00E77223"/>
    <w:rsid w:val="00E81AA4"/>
    <w:rsid w:val="00E82F6F"/>
    <w:rsid w:val="00E8528B"/>
    <w:rsid w:val="00E85B94"/>
    <w:rsid w:val="00E978D0"/>
    <w:rsid w:val="00EA0AA7"/>
    <w:rsid w:val="00EA4613"/>
    <w:rsid w:val="00EA7F91"/>
    <w:rsid w:val="00EB1523"/>
    <w:rsid w:val="00EB4565"/>
    <w:rsid w:val="00EC0E49"/>
    <w:rsid w:val="00EC101F"/>
    <w:rsid w:val="00EC1D9F"/>
    <w:rsid w:val="00EE0131"/>
    <w:rsid w:val="00EE17B0"/>
    <w:rsid w:val="00EF06D9"/>
    <w:rsid w:val="00F3049E"/>
    <w:rsid w:val="00F30C64"/>
    <w:rsid w:val="00F32BA2"/>
    <w:rsid w:val="00F32CDB"/>
    <w:rsid w:val="00F565FE"/>
    <w:rsid w:val="00F63A70"/>
    <w:rsid w:val="00F63D8C"/>
    <w:rsid w:val="00F650C7"/>
    <w:rsid w:val="00F70D35"/>
    <w:rsid w:val="00F7534E"/>
    <w:rsid w:val="00F77E98"/>
    <w:rsid w:val="00F93EDF"/>
    <w:rsid w:val="00FA1802"/>
    <w:rsid w:val="00FA21D0"/>
    <w:rsid w:val="00FA5F5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8C25E-F3B3-4F6B-99E1-B457A13CD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751</TotalTime>
  <Pages>6</Pages>
  <Words>2925</Words>
  <Characters>16091</Characters>
  <Application>Microsoft Office Word</Application>
  <DocSecurity>0</DocSecurity>
  <Lines>134</Lines>
  <Paragraphs>37</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Andoni CHOYA</cp:lastModifiedBy>
  <cp:revision>68</cp:revision>
  <cp:lastPrinted>2015-05-12T18:31:00Z</cp:lastPrinted>
  <dcterms:created xsi:type="dcterms:W3CDTF">2022-09-21T08:52:00Z</dcterms:created>
  <dcterms:modified xsi:type="dcterms:W3CDTF">2023-04-16T17:14:00Z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