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F69D3" w:rsidRPr="00524DBD" w14:paraId="2F6816A3" w14:textId="77777777" w:rsidTr="004A69A5">
        <w:trPr>
          <w:trHeight w:val="852"/>
          <w:jc w:val="center"/>
        </w:trPr>
        <w:tc>
          <w:tcPr>
            <w:tcW w:w="6940" w:type="dxa"/>
            <w:vMerge w:val="restart"/>
            <w:tcBorders>
              <w:right w:val="single" w:sz="4" w:space="0" w:color="auto"/>
            </w:tcBorders>
          </w:tcPr>
          <w:p w14:paraId="0CA69B18" w14:textId="77777777" w:rsidR="000F69D3" w:rsidRPr="00524DBD" w:rsidRDefault="000F69D3" w:rsidP="004A69A5">
            <w:pPr>
              <w:tabs>
                <w:tab w:val="left" w:pos="-108"/>
              </w:tabs>
              <w:ind w:left="-108"/>
              <w:rPr>
                <w:rFonts w:cs="Arial"/>
                <w:b/>
                <w:bCs/>
                <w:i/>
                <w:iCs/>
                <w:color w:val="000066"/>
                <w:sz w:val="12"/>
                <w:szCs w:val="12"/>
                <w:lang w:val="en-GB" w:eastAsia="it-IT"/>
              </w:rPr>
            </w:pPr>
            <w:r w:rsidRPr="00524DBD">
              <w:rPr>
                <w:rFonts w:ascii="AdvP6960" w:hAnsi="AdvP6960" w:cs="AdvP6960"/>
                <w:noProof/>
                <w:color w:val="241F20"/>
                <w:szCs w:val="18"/>
                <w:lang w:val="ru-RU" w:eastAsia="ru-RU"/>
              </w:rPr>
              <w:drawing>
                <wp:inline distT="0" distB="0" distL="0" distR="0" wp14:anchorId="00446665" wp14:editId="5B18E54A">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524DBD">
              <w:rPr>
                <w:rFonts w:ascii="AdvP6960" w:hAnsi="AdvP6960" w:cs="AdvP6960"/>
                <w:color w:val="241F20"/>
                <w:szCs w:val="18"/>
                <w:lang w:val="en-GB" w:eastAsia="it-IT"/>
              </w:rPr>
              <w:t xml:space="preserve"> </w:t>
            </w:r>
            <w:r w:rsidRPr="00524DBD">
              <w:rPr>
                <w:rFonts w:cs="Arial"/>
                <w:b/>
                <w:bCs/>
                <w:i/>
                <w:iCs/>
                <w:color w:val="000066"/>
                <w:lang w:val="en-GB" w:eastAsia="it-IT"/>
              </w:rPr>
              <w:t>CHEMICAL ENGINEERING</w:t>
            </w:r>
            <w:r w:rsidRPr="00524DBD">
              <w:rPr>
                <w:rFonts w:cs="Arial"/>
                <w:b/>
                <w:bCs/>
                <w:i/>
                <w:iCs/>
                <w:color w:val="0033FF"/>
                <w:lang w:val="en-GB" w:eastAsia="it-IT"/>
              </w:rPr>
              <w:t xml:space="preserve"> </w:t>
            </w:r>
            <w:r w:rsidRPr="00524DBD">
              <w:rPr>
                <w:rFonts w:cs="Arial"/>
                <w:b/>
                <w:bCs/>
                <w:i/>
                <w:iCs/>
                <w:color w:val="666666"/>
                <w:lang w:val="en-GB" w:eastAsia="it-IT"/>
              </w:rPr>
              <w:t>TRANSACTIONS</w:t>
            </w:r>
            <w:r w:rsidRPr="00524DBD">
              <w:rPr>
                <w:color w:val="333333"/>
                <w:lang w:val="en-GB" w:eastAsia="it-IT"/>
              </w:rPr>
              <w:t xml:space="preserve"> </w:t>
            </w:r>
            <w:r w:rsidRPr="00524DBD">
              <w:rPr>
                <w:rFonts w:cs="Arial"/>
                <w:b/>
                <w:bCs/>
                <w:i/>
                <w:iCs/>
                <w:color w:val="000066"/>
                <w:sz w:val="27"/>
                <w:szCs w:val="27"/>
                <w:lang w:val="en-GB" w:eastAsia="it-IT"/>
              </w:rPr>
              <w:br/>
            </w:r>
          </w:p>
          <w:p w14:paraId="6E989C64" w14:textId="77777777" w:rsidR="000F69D3" w:rsidRPr="00524DBD" w:rsidRDefault="000F69D3" w:rsidP="004A69A5">
            <w:pPr>
              <w:tabs>
                <w:tab w:val="left" w:pos="-108"/>
              </w:tabs>
              <w:ind w:left="-108"/>
              <w:rPr>
                <w:rFonts w:cs="Arial"/>
                <w:b/>
                <w:bCs/>
                <w:i/>
                <w:iCs/>
                <w:color w:val="000066"/>
                <w:sz w:val="22"/>
                <w:szCs w:val="22"/>
                <w:lang w:val="en-GB" w:eastAsia="it-IT"/>
              </w:rPr>
            </w:pPr>
            <w:r w:rsidRPr="00524DBD">
              <w:rPr>
                <w:rFonts w:cs="Arial"/>
                <w:b/>
                <w:bCs/>
                <w:i/>
                <w:iCs/>
                <w:color w:val="000066"/>
                <w:sz w:val="22"/>
                <w:szCs w:val="22"/>
                <w:lang w:val="en-GB" w:eastAsia="it-IT"/>
              </w:rPr>
              <w:t>VOL.    , 2023</w:t>
            </w:r>
          </w:p>
        </w:tc>
        <w:tc>
          <w:tcPr>
            <w:tcW w:w="1842" w:type="dxa"/>
            <w:tcBorders>
              <w:left w:val="single" w:sz="4" w:space="0" w:color="auto"/>
              <w:bottom w:val="nil"/>
              <w:right w:val="single" w:sz="4" w:space="0" w:color="auto"/>
            </w:tcBorders>
          </w:tcPr>
          <w:p w14:paraId="6FB49CC4" w14:textId="77777777" w:rsidR="000F69D3" w:rsidRPr="00524DBD" w:rsidRDefault="000F69D3" w:rsidP="004A69A5">
            <w:pPr>
              <w:spacing w:line="140" w:lineRule="atLeast"/>
              <w:jc w:val="right"/>
              <w:rPr>
                <w:rFonts w:cs="Arial"/>
                <w:sz w:val="14"/>
                <w:szCs w:val="14"/>
                <w:lang w:val="en-GB"/>
              </w:rPr>
            </w:pPr>
            <w:r w:rsidRPr="00524DBD">
              <w:rPr>
                <w:rFonts w:cs="Arial"/>
                <w:sz w:val="14"/>
                <w:szCs w:val="14"/>
                <w:lang w:val="en-GB"/>
              </w:rPr>
              <w:t>A publication of</w:t>
            </w:r>
          </w:p>
          <w:p w14:paraId="7EEEEF87" w14:textId="77777777" w:rsidR="000F69D3" w:rsidRPr="00524DBD" w:rsidRDefault="000F69D3" w:rsidP="004A69A5">
            <w:pPr>
              <w:jc w:val="right"/>
              <w:rPr>
                <w:lang w:val="en-GB"/>
              </w:rPr>
            </w:pPr>
            <w:r w:rsidRPr="00524DBD">
              <w:rPr>
                <w:noProof/>
                <w:lang w:val="ru-RU" w:eastAsia="ru-RU"/>
              </w:rPr>
              <w:drawing>
                <wp:inline distT="0" distB="0" distL="0" distR="0" wp14:anchorId="6521355A" wp14:editId="4608B46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F69D3" w:rsidRPr="00524DBD" w14:paraId="0C5A6618" w14:textId="77777777" w:rsidTr="004A69A5">
        <w:trPr>
          <w:trHeight w:val="567"/>
          <w:jc w:val="center"/>
        </w:trPr>
        <w:tc>
          <w:tcPr>
            <w:tcW w:w="6940" w:type="dxa"/>
            <w:vMerge/>
            <w:tcBorders>
              <w:right w:val="single" w:sz="4" w:space="0" w:color="auto"/>
            </w:tcBorders>
          </w:tcPr>
          <w:p w14:paraId="47394A26" w14:textId="77777777" w:rsidR="000F69D3" w:rsidRPr="00524DBD" w:rsidRDefault="000F69D3" w:rsidP="004A69A5">
            <w:pPr>
              <w:tabs>
                <w:tab w:val="left" w:pos="-108"/>
              </w:tabs>
              <w:rPr>
                <w:lang w:val="en-GB"/>
              </w:rPr>
            </w:pPr>
          </w:p>
        </w:tc>
        <w:tc>
          <w:tcPr>
            <w:tcW w:w="1842" w:type="dxa"/>
            <w:tcBorders>
              <w:left w:val="single" w:sz="4" w:space="0" w:color="auto"/>
              <w:bottom w:val="nil"/>
              <w:right w:val="single" w:sz="4" w:space="0" w:color="auto"/>
            </w:tcBorders>
          </w:tcPr>
          <w:p w14:paraId="7BDE72F6" w14:textId="77777777" w:rsidR="000F69D3" w:rsidRPr="00524DBD" w:rsidRDefault="000F69D3" w:rsidP="004A69A5">
            <w:pPr>
              <w:spacing w:line="140" w:lineRule="atLeast"/>
              <w:jc w:val="right"/>
              <w:rPr>
                <w:rFonts w:cs="Arial"/>
                <w:sz w:val="14"/>
                <w:szCs w:val="14"/>
                <w:lang w:val="en-GB"/>
              </w:rPr>
            </w:pPr>
            <w:r w:rsidRPr="00524DBD">
              <w:rPr>
                <w:rFonts w:cs="Arial"/>
                <w:sz w:val="14"/>
                <w:szCs w:val="14"/>
                <w:lang w:val="en-GB"/>
              </w:rPr>
              <w:t>The Italian Association</w:t>
            </w:r>
          </w:p>
          <w:p w14:paraId="1FED3B6F" w14:textId="77777777" w:rsidR="000F69D3" w:rsidRPr="00524DBD" w:rsidRDefault="000F69D3" w:rsidP="004A69A5">
            <w:pPr>
              <w:spacing w:line="140" w:lineRule="atLeast"/>
              <w:jc w:val="right"/>
              <w:rPr>
                <w:rFonts w:cs="Arial"/>
                <w:sz w:val="14"/>
                <w:szCs w:val="14"/>
                <w:lang w:val="en-GB"/>
              </w:rPr>
            </w:pPr>
            <w:r w:rsidRPr="00524DBD">
              <w:rPr>
                <w:rFonts w:cs="Arial"/>
                <w:sz w:val="14"/>
                <w:szCs w:val="14"/>
                <w:lang w:val="en-GB"/>
              </w:rPr>
              <w:t>of Chemical Engineering</w:t>
            </w:r>
          </w:p>
          <w:p w14:paraId="6B0DD2BC" w14:textId="77777777" w:rsidR="000F69D3" w:rsidRPr="00524DBD" w:rsidRDefault="000F69D3" w:rsidP="004A69A5">
            <w:pPr>
              <w:spacing w:line="140" w:lineRule="atLeast"/>
              <w:jc w:val="right"/>
              <w:rPr>
                <w:rFonts w:cs="Arial"/>
                <w:sz w:val="13"/>
                <w:szCs w:val="13"/>
                <w:lang w:val="en-GB"/>
              </w:rPr>
            </w:pPr>
            <w:r w:rsidRPr="00524DBD">
              <w:rPr>
                <w:rFonts w:cs="Arial"/>
                <w:sz w:val="13"/>
                <w:szCs w:val="13"/>
                <w:lang w:val="en-GB"/>
              </w:rPr>
              <w:t>Online at www.cetjournal.it</w:t>
            </w:r>
          </w:p>
        </w:tc>
      </w:tr>
      <w:tr w:rsidR="000F69D3" w:rsidRPr="00524DBD" w14:paraId="19BCEFB3" w14:textId="77777777" w:rsidTr="004A69A5">
        <w:trPr>
          <w:trHeight w:val="68"/>
          <w:jc w:val="center"/>
        </w:trPr>
        <w:tc>
          <w:tcPr>
            <w:tcW w:w="8782" w:type="dxa"/>
            <w:gridSpan w:val="2"/>
          </w:tcPr>
          <w:p w14:paraId="030B5A80" w14:textId="77777777" w:rsidR="000F69D3" w:rsidRPr="00524DBD" w:rsidRDefault="000F69D3" w:rsidP="004A69A5">
            <w:pPr>
              <w:ind w:left="-107"/>
              <w:outlineLvl w:val="2"/>
              <w:rPr>
                <w:rFonts w:ascii="Tahoma" w:hAnsi="Tahoma" w:cs="Tahoma"/>
                <w:bCs/>
                <w:color w:val="000000"/>
                <w:sz w:val="14"/>
                <w:szCs w:val="14"/>
                <w:lang w:val="en-GB" w:eastAsia="it-IT"/>
              </w:rPr>
            </w:pPr>
            <w:r w:rsidRPr="00524DBD">
              <w:rPr>
                <w:rFonts w:ascii="Tahoma" w:hAnsi="Tahoma" w:cs="Tahoma"/>
                <w:iCs/>
                <w:color w:val="333333"/>
                <w:sz w:val="14"/>
                <w:szCs w:val="14"/>
                <w:lang w:val="en-GB" w:eastAsia="it-IT"/>
              </w:rPr>
              <w:t>Guest Editor:</w:t>
            </w:r>
            <w:r w:rsidRPr="00524DBD">
              <w:rPr>
                <w:rFonts w:ascii="Tahoma" w:hAnsi="Tahoma" w:cs="Tahoma"/>
                <w:color w:val="000000"/>
                <w:sz w:val="14"/>
                <w:szCs w:val="14"/>
                <w:shd w:val="clear" w:color="auto" w:fill="FFFFFF"/>
                <w:lang w:val="en-GB"/>
              </w:rPr>
              <w:t xml:space="preserve"> </w:t>
            </w:r>
            <w:r w:rsidRPr="00524DBD">
              <w:rPr>
                <w:rFonts w:ascii="Tahoma" w:hAnsi="Tahoma" w:cs="Tahoma"/>
                <w:sz w:val="14"/>
                <w:szCs w:val="14"/>
                <w:lang w:val="en-GB"/>
              </w:rPr>
              <w:t>Sauro Pierucci</w:t>
            </w:r>
          </w:p>
          <w:p w14:paraId="659B8151" w14:textId="77777777" w:rsidR="000F69D3" w:rsidRPr="00524DBD" w:rsidRDefault="000F69D3" w:rsidP="004A69A5">
            <w:pPr>
              <w:tabs>
                <w:tab w:val="left" w:pos="-108"/>
              </w:tabs>
              <w:spacing w:line="140" w:lineRule="atLeast"/>
              <w:ind w:left="-107"/>
              <w:rPr>
                <w:lang w:val="en-GB"/>
              </w:rPr>
            </w:pPr>
            <w:r w:rsidRPr="00524DBD">
              <w:rPr>
                <w:rFonts w:ascii="Tahoma" w:hAnsi="Tahoma" w:cs="Tahoma"/>
                <w:iCs/>
                <w:color w:val="333333"/>
                <w:sz w:val="14"/>
                <w:szCs w:val="14"/>
                <w:lang w:val="en-GB" w:eastAsia="it-IT"/>
              </w:rPr>
              <w:t>Copyright © 2023, AIDIC Servizi S.r.l.</w:t>
            </w:r>
            <w:r w:rsidRPr="00524DBD">
              <w:rPr>
                <w:rFonts w:ascii="Tahoma" w:hAnsi="Tahoma" w:cs="Tahoma"/>
                <w:iCs/>
                <w:color w:val="333333"/>
                <w:sz w:val="14"/>
                <w:szCs w:val="14"/>
                <w:lang w:val="en-GB" w:eastAsia="it-IT"/>
              </w:rPr>
              <w:br/>
            </w:r>
            <w:r w:rsidRPr="00524DBD">
              <w:rPr>
                <w:rFonts w:ascii="Tahoma" w:hAnsi="Tahoma" w:cs="Tahoma"/>
                <w:b/>
                <w:iCs/>
                <w:color w:val="000000"/>
                <w:sz w:val="14"/>
                <w:szCs w:val="14"/>
                <w:lang w:val="en-GB" w:eastAsia="it-IT"/>
              </w:rPr>
              <w:t>ISBN</w:t>
            </w:r>
            <w:r w:rsidRPr="00524DBD">
              <w:rPr>
                <w:rFonts w:ascii="Tahoma" w:hAnsi="Tahoma" w:cs="Tahoma"/>
                <w:iCs/>
                <w:color w:val="000000"/>
                <w:sz w:val="14"/>
                <w:szCs w:val="14"/>
                <w:lang w:val="en-GB" w:eastAsia="it-IT"/>
              </w:rPr>
              <w:t xml:space="preserve"> </w:t>
            </w:r>
            <w:r w:rsidRPr="00524DBD">
              <w:rPr>
                <w:rFonts w:ascii="Tahoma" w:hAnsi="Tahoma" w:cs="Tahoma"/>
                <w:sz w:val="14"/>
                <w:szCs w:val="14"/>
                <w:lang w:val="en-GB"/>
              </w:rPr>
              <w:t>978-88-95608-98-3</w:t>
            </w:r>
            <w:r w:rsidRPr="00524DBD">
              <w:rPr>
                <w:rFonts w:ascii="Tahoma" w:hAnsi="Tahoma" w:cs="Tahoma"/>
                <w:iCs/>
                <w:color w:val="333333"/>
                <w:sz w:val="14"/>
                <w:szCs w:val="14"/>
                <w:lang w:val="en-GB" w:eastAsia="it-IT"/>
              </w:rPr>
              <w:t xml:space="preserve">; </w:t>
            </w:r>
            <w:r w:rsidRPr="00524DBD">
              <w:rPr>
                <w:rFonts w:ascii="Tahoma" w:hAnsi="Tahoma" w:cs="Tahoma"/>
                <w:b/>
                <w:iCs/>
                <w:color w:val="333333"/>
                <w:sz w:val="14"/>
                <w:szCs w:val="14"/>
                <w:lang w:val="en-GB" w:eastAsia="it-IT"/>
              </w:rPr>
              <w:t>ISSN</w:t>
            </w:r>
            <w:r w:rsidRPr="00524DBD">
              <w:rPr>
                <w:rFonts w:ascii="Tahoma" w:hAnsi="Tahoma" w:cs="Tahoma"/>
                <w:iCs/>
                <w:color w:val="333333"/>
                <w:sz w:val="14"/>
                <w:szCs w:val="14"/>
                <w:lang w:val="en-GB" w:eastAsia="it-IT"/>
              </w:rPr>
              <w:t xml:space="preserve"> 2283-9216</w:t>
            </w:r>
          </w:p>
        </w:tc>
      </w:tr>
    </w:tbl>
    <w:p w14:paraId="2E667253" w14:textId="68918C15" w:rsidR="00E978D0" w:rsidRPr="00524DBD" w:rsidRDefault="00CD354B" w:rsidP="00A11DCD">
      <w:pPr>
        <w:pStyle w:val="CETTitle"/>
      </w:pPr>
      <w:r w:rsidRPr="00524DBD">
        <w:t xml:space="preserve">Investigating </w:t>
      </w:r>
      <w:r w:rsidR="00C9134F">
        <w:t>t</w:t>
      </w:r>
      <w:r w:rsidRPr="00524DBD">
        <w:t xml:space="preserve">he Ability </w:t>
      </w:r>
      <w:r w:rsidR="00C9134F">
        <w:t>o</w:t>
      </w:r>
      <w:r w:rsidRPr="00524DBD">
        <w:t xml:space="preserve">f Experimental Agro-Ecological Systems </w:t>
      </w:r>
      <w:r w:rsidR="003A7DEF">
        <w:t>t</w:t>
      </w:r>
      <w:r w:rsidRPr="00524DBD">
        <w:t>o Restore Fertility</w:t>
      </w:r>
    </w:p>
    <w:p w14:paraId="0488FED2" w14:textId="5DE367AE" w:rsidR="00B57E6F" w:rsidRPr="00524DBD" w:rsidRDefault="00E0113A" w:rsidP="00B57E6F">
      <w:pPr>
        <w:pStyle w:val="CETAuthors"/>
      </w:pPr>
      <w:r w:rsidRPr="00524DBD">
        <w:t>Marzhan Anuarbekovna Sadenova</w:t>
      </w:r>
      <w:r w:rsidR="00A11DCD" w:rsidRPr="00524DBD">
        <w:t>*</w:t>
      </w:r>
      <w:r w:rsidR="00B57E6F" w:rsidRPr="00524DBD">
        <w:t xml:space="preserve">, </w:t>
      </w:r>
      <w:r w:rsidRPr="00524DBD">
        <w:t>Nail Alikuly Beisekenov</w:t>
      </w:r>
      <w:r w:rsidR="00B57E6F" w:rsidRPr="00524DBD">
        <w:t xml:space="preserve">, </w:t>
      </w:r>
      <w:r w:rsidRPr="00524DBD">
        <w:t>Yerbolat Tleubekovich Ualiyev</w:t>
      </w:r>
      <w:r w:rsidR="00EB448E" w:rsidRPr="00524DBD">
        <w:t>, Natalya Anatolyevna Kulenova</w:t>
      </w:r>
    </w:p>
    <w:p w14:paraId="37387F61" w14:textId="596F0B34" w:rsidR="00E0113A" w:rsidRPr="00524DBD" w:rsidRDefault="00E0113A" w:rsidP="003F2888">
      <w:pPr>
        <w:pStyle w:val="CETAddress"/>
      </w:pPr>
      <w:r w:rsidRPr="00524DBD">
        <w:t>Priority Department Centre «Veritas» D. Serikbayev East Kazakhstan technical university, 19 Serikbayev str. 070000, Ust-Kamenogorsk, Kazakhstan</w:t>
      </w:r>
    </w:p>
    <w:p w14:paraId="73F1267A" w14:textId="109F9CD7" w:rsidR="00B57E6F" w:rsidRPr="00524DBD" w:rsidRDefault="00A11DCD" w:rsidP="00B57E6F">
      <w:pPr>
        <w:pStyle w:val="CETemail"/>
      </w:pPr>
      <w:r w:rsidRPr="00524DBD">
        <w:t>MSadenova</w:t>
      </w:r>
      <w:r w:rsidR="00B57E6F" w:rsidRPr="00524DBD">
        <w:t>@</w:t>
      </w:r>
      <w:r w:rsidRPr="00524DBD">
        <w:t>edu.ektu</w:t>
      </w:r>
      <w:r w:rsidR="00B57E6F" w:rsidRPr="00524DBD">
        <w:t>.</w:t>
      </w:r>
      <w:r w:rsidR="003F2888" w:rsidRPr="00524DBD">
        <w:t>kz</w:t>
      </w:r>
    </w:p>
    <w:p w14:paraId="32A115F8" w14:textId="219A2F2C" w:rsidR="007133CF" w:rsidRPr="00524DBD" w:rsidRDefault="00464D3B" w:rsidP="00A11DCD">
      <w:pPr>
        <w:pStyle w:val="CETBodytext"/>
        <w:rPr>
          <w:lang w:val="en-GB"/>
        </w:rPr>
      </w:pPr>
      <w:r w:rsidRPr="00524DBD">
        <w:rPr>
          <w:lang w:val="en-GB"/>
        </w:rPr>
        <w:t>Under conditions of changing climate, unsustainable use of agricultural land and increasing anthropogenic pressure on the environment, the natural bioproductivity of the soil is being lost. The integration of geographic information systems (GIS) and remote sensing has been shown to promote precision farming technology and sustainable land use practices. In this study, based on the Revised Universal Soil Loss Equation (RUSLE) method, a digital elevation model of an experimental site in eastern Kazakhstan was developed. It was found that one of the main causes of erosion is critically low content of humus in the soil in the range of 0.82-1.66</w:t>
      </w:r>
      <w:r w:rsidR="005A5866" w:rsidRPr="00524DBD">
        <w:rPr>
          <w:lang w:val="en-GB"/>
        </w:rPr>
        <w:t xml:space="preserve"> </w:t>
      </w:r>
      <w:r w:rsidRPr="00524DBD">
        <w:rPr>
          <w:lang w:val="en-GB"/>
        </w:rPr>
        <w:t xml:space="preserve">%, so the use of spatial modelling methods can help determine the best management practices to reduce and prevent soil erosion and improve its quality by increasing the content of humus in the soil. </w:t>
      </w:r>
      <w:r w:rsidR="00B77FA7" w:rsidRPr="00B77FA7">
        <w:rPr>
          <w:lang w:val="en-GB"/>
        </w:rPr>
        <w:t>Calculations of actual soil losses after gully formation, which amount to about 185 ha of land, have been made; a predictive model of the relief of the study area and increase of humus content to 3.5-5% with the proposed fertility restoration measures has been developed to prevent further soil erosion, preserve and restore fertility.</w:t>
      </w:r>
    </w:p>
    <w:p w14:paraId="476B2F2E" w14:textId="311889CE" w:rsidR="00600535" w:rsidRPr="00524DBD" w:rsidRDefault="000B1CF8" w:rsidP="00464D3B">
      <w:pPr>
        <w:pStyle w:val="CETBodytext"/>
        <w:spacing w:before="240" w:after="120"/>
        <w:rPr>
          <w:lang w:val="en-GB"/>
        </w:rPr>
      </w:pPr>
      <w:r w:rsidRPr="00524DBD">
        <w:rPr>
          <w:b/>
          <w:sz w:val="20"/>
          <w:lang w:val="en-GB"/>
        </w:rPr>
        <w:t xml:space="preserve">1. </w:t>
      </w:r>
      <w:r w:rsidR="00392CAD" w:rsidRPr="00524DBD">
        <w:rPr>
          <w:b/>
          <w:color w:val="000000" w:themeColor="text1"/>
          <w:sz w:val="20"/>
          <w:lang w:val="en-GB"/>
        </w:rPr>
        <w:t>I</w:t>
      </w:r>
      <w:r w:rsidR="00392CAD" w:rsidRPr="00524DBD">
        <w:rPr>
          <w:b/>
          <w:sz w:val="20"/>
          <w:lang w:val="en-GB"/>
        </w:rPr>
        <w:t>ntroduction</w:t>
      </w:r>
    </w:p>
    <w:p w14:paraId="1CFF8EA5" w14:textId="78840EEC" w:rsidR="00464D3B" w:rsidRPr="00524DBD" w:rsidRDefault="00464D3B" w:rsidP="008D357A">
      <w:pPr>
        <w:pStyle w:val="CETBodytext"/>
        <w:rPr>
          <w:lang w:val="en-GB"/>
        </w:rPr>
      </w:pPr>
      <w:r w:rsidRPr="00524DBD">
        <w:rPr>
          <w:lang w:val="en-GB"/>
        </w:rPr>
        <w:t>The problem of soil degradation as a result of agricultural production intensification has taken on a global scale. It is known that more than a third (about 2</w:t>
      </w:r>
      <m:oMath>
        <m:r>
          <w:rPr>
            <w:rFonts w:ascii="Cambria Math" w:hAnsi="Cambria Math"/>
            <w:lang w:val="en-GB"/>
          </w:rPr>
          <m:t>×</m:t>
        </m:r>
      </m:oMath>
      <w:r w:rsidR="005A5866" w:rsidRPr="00524DBD">
        <w:rPr>
          <w:lang w:val="en-GB"/>
        </w:rPr>
        <w:t>10</w:t>
      </w:r>
      <w:r w:rsidR="005A5866" w:rsidRPr="00524DBD">
        <w:rPr>
          <w:vertAlign w:val="superscript"/>
          <w:lang w:val="en-GB"/>
        </w:rPr>
        <w:t>6</w:t>
      </w:r>
      <w:r w:rsidRPr="00524DBD">
        <w:rPr>
          <w:lang w:val="en-GB"/>
        </w:rPr>
        <w:t xml:space="preserve"> ha) of the world's agricultural soils are degraded, having lost their former fertility and eroded (Pimentel et al., 2013). Since the end of the last century, a new term has emerged: conservation agriculture, regenerative farming, a system sharpened to preserve soil fertility in a sustainable manner. Under conditions of changing climate, irrational use and increased anthropogenic load on arid lands active degradation processes take place. Irreversible changes of ecosystems, loss of natural bioproductivity of soil, loss of species diversity of vegetation are observed. Regular monitoring by experts helps to timely identify problematic desertification hotspots, and then to develop and implement measures for preservation and restoration of arid zones. The development of GIS has made it possible to combine spatial positioning with different information, visualising it with maps and 3D scenes. Maps are used as geographical containers to incorporate data layers and analytics. GIS reveals a deeper understanding of data, patterns, relationships and provides a more intuitive representation of data (Lytos et al., 2020).</w:t>
      </w:r>
    </w:p>
    <w:p w14:paraId="42AB3EEA" w14:textId="77777777" w:rsidR="00464D3B" w:rsidRPr="00524DBD" w:rsidRDefault="00464D3B" w:rsidP="00464D3B">
      <w:pPr>
        <w:pStyle w:val="CETBodytext"/>
        <w:rPr>
          <w:lang w:val="en-GB"/>
        </w:rPr>
      </w:pPr>
      <w:r w:rsidRPr="00524DBD">
        <w:rPr>
          <w:lang w:val="en-GB"/>
        </w:rPr>
        <w:t xml:space="preserve">Climate change affects several aspects of agricultural production systems, such as changes in flowering phenology, water availability, soil fertility and erosion, increased pathogen distribution and host susceptibility (Rosenzweig et al., 1995). The use of a GIS system constitutes a special category of software that organises, analyses, processes and visualises field data in the form of digital maps. Radoglou et al. (2020) developed a unique modelling approach for rapid assessment of large-scale water erosion on a regional scale, using the example of the Loess Plateau in China. They created a mathematical model linking sediment output and selected variables based on remotely sensed (RS) data through an overlay in a GIS. In the final step, they trained the mathematical model by calculating predictor relationships using multiple regression analysis (MRA). Michalopoulou et al. (2022) analysed and studied the relationships between the Digital Elevation Model (DEM) and the topographic coefficient (LS), which is one of the most important parameters of the RUSLE model, to estimate the annual soil erosion rates. It is shown that the construction of a digital elevation model (DEM) is </w:t>
      </w:r>
      <w:r w:rsidRPr="00524DBD">
        <w:rPr>
          <w:lang w:val="en-GB"/>
        </w:rPr>
        <w:lastRenderedPageBreak/>
        <w:t xml:space="preserve">necessary to assess soil susceptibility to erosion. It has been established by the above authors that the evaluation of primary topographic data and different approaches to the calculation of LS coefficient are of particular importance, especially in areas with a diverse landscape. </w:t>
      </w:r>
    </w:p>
    <w:p w14:paraId="2EB59A65" w14:textId="3E997C50" w:rsidR="00700361" w:rsidRPr="00524DBD" w:rsidRDefault="00464D3B" w:rsidP="00464D3B">
      <w:pPr>
        <w:pStyle w:val="CETBodytext"/>
        <w:rPr>
          <w:lang w:val="en-GB"/>
        </w:rPr>
      </w:pPr>
      <w:r w:rsidRPr="00524DBD">
        <w:rPr>
          <w:lang w:val="en-GB"/>
        </w:rPr>
        <w:t>This paper presents the results of a study to calculate soil loss of an experimental polygon, develop measures to restore soil fertility and prevent future erosion based on a combination of Earth remote sensing (ERS) technology and mathematical modelling techniques.</w:t>
      </w:r>
      <w:r w:rsidR="00101903" w:rsidRPr="00524DBD">
        <w:rPr>
          <w:lang w:val="en-GB"/>
        </w:rPr>
        <w:t xml:space="preserve"> </w:t>
      </w:r>
    </w:p>
    <w:p w14:paraId="73EAF3F7" w14:textId="52BE70EB" w:rsidR="005505AF" w:rsidRPr="00524DBD" w:rsidRDefault="005505AF" w:rsidP="00791AC2">
      <w:pPr>
        <w:pStyle w:val="CETHeading1"/>
        <w:numPr>
          <w:ilvl w:val="0"/>
          <w:numId w:val="0"/>
        </w:numPr>
        <w:rPr>
          <w:lang w:val="en-GB"/>
        </w:rPr>
      </w:pPr>
      <w:r w:rsidRPr="00524DBD">
        <w:rPr>
          <w:lang w:val="en-GB"/>
        </w:rPr>
        <w:t xml:space="preserve">2. </w:t>
      </w:r>
      <w:r w:rsidR="00552D11" w:rsidRPr="00524DBD">
        <w:rPr>
          <w:lang w:val="en-GB"/>
        </w:rPr>
        <w:t>Object and methodology of research</w:t>
      </w:r>
    </w:p>
    <w:p w14:paraId="7D1ABC18" w14:textId="1E847177" w:rsidR="00BE1F0A" w:rsidRPr="00524DBD" w:rsidRDefault="00464D3B" w:rsidP="00BE1F0A">
      <w:pPr>
        <w:pStyle w:val="CETBodytext"/>
        <w:rPr>
          <w:lang w:val="en-GB"/>
        </w:rPr>
      </w:pPr>
      <w:r w:rsidRPr="00524DBD">
        <w:rPr>
          <w:lang w:val="en-GB"/>
        </w:rPr>
        <w:t xml:space="preserve">The experimental site is located in eastern Kazakhstan at 50°20'06.3 "N and 81°37'48.7 "E and covers an area </w:t>
      </w:r>
      <w:r w:rsidRPr="00CD354B">
        <w:rPr>
          <w:lang w:val="en-GB"/>
        </w:rPr>
        <w:t>of 240 km</w:t>
      </w:r>
      <w:r w:rsidRPr="00CD354B">
        <w:rPr>
          <w:vertAlign w:val="superscript"/>
          <w:lang w:val="en-GB"/>
        </w:rPr>
        <w:t>2</w:t>
      </w:r>
      <w:r w:rsidRPr="00CD354B">
        <w:rPr>
          <w:lang w:val="en-GB"/>
        </w:rPr>
        <w:t>. The</w:t>
      </w:r>
      <w:r w:rsidRPr="00524DBD">
        <w:rPr>
          <w:lang w:val="en-GB"/>
        </w:rPr>
        <w:t xml:space="preserve"> study area is characterised by steep topography due to the proximity of the Irtysh River and the presence of the Shulba reservoir. Approximately 300 mm of precipitation falls each year in the area. The wettest months are from May to September. Due to high precipitation and steep slopes, large amounts of soil are subject to erosion and transported to low-lying valleys and various water bodies. The study area is shown in Figure 1</w:t>
      </w:r>
      <w:r w:rsidR="00BE1F0A" w:rsidRPr="00524DBD">
        <w:rPr>
          <w:lang w:val="en-GB"/>
        </w:rPr>
        <w:t xml:space="preserve">. </w:t>
      </w:r>
    </w:p>
    <w:p w14:paraId="45210B49" w14:textId="77777777" w:rsidR="00BE1F0A" w:rsidRPr="00524DBD" w:rsidRDefault="00BE1F0A" w:rsidP="00665AD3">
      <w:pPr>
        <w:pStyle w:val="CETBodytext"/>
        <w:spacing w:before="240" w:after="240"/>
        <w:jc w:val="left"/>
        <w:rPr>
          <w:lang w:val="en-GB"/>
        </w:rPr>
      </w:pPr>
      <w:r w:rsidRPr="00524DBD">
        <w:rPr>
          <w:noProof/>
          <w:lang w:val="ru-RU" w:eastAsia="ru-RU"/>
        </w:rPr>
        <w:drawing>
          <wp:inline distT="0" distB="0" distL="0" distR="0" wp14:anchorId="5986FA37" wp14:editId="6F4F18E3">
            <wp:extent cx="5599852" cy="326419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89" b="1"/>
                    <a:stretch/>
                  </pic:blipFill>
                  <pic:spPr bwMode="auto">
                    <a:xfrm>
                      <a:off x="0" y="0"/>
                      <a:ext cx="5767520" cy="3361930"/>
                    </a:xfrm>
                    <a:prstGeom prst="rect">
                      <a:avLst/>
                    </a:prstGeom>
                    <a:ln>
                      <a:noFill/>
                    </a:ln>
                    <a:extLst>
                      <a:ext uri="{53640926-AAD7-44D8-BBD7-CCE9431645EC}">
                        <a14:shadowObscured xmlns:a14="http://schemas.microsoft.com/office/drawing/2010/main"/>
                      </a:ext>
                    </a:extLst>
                  </pic:spPr>
                </pic:pic>
              </a:graphicData>
            </a:graphic>
          </wp:inline>
        </w:drawing>
      </w:r>
    </w:p>
    <w:p w14:paraId="1FBABA3A" w14:textId="17024A23" w:rsidR="00BE1F0A" w:rsidRPr="00524DBD" w:rsidRDefault="00BE1F0A" w:rsidP="00BE1F0A">
      <w:pPr>
        <w:pStyle w:val="CETBodytext"/>
        <w:spacing w:before="240" w:after="240"/>
        <w:rPr>
          <w:i/>
          <w:color w:val="000000" w:themeColor="text1"/>
          <w:lang w:val="en-GB"/>
        </w:rPr>
      </w:pPr>
      <w:r w:rsidRPr="00524DBD">
        <w:rPr>
          <w:rStyle w:val="CETCaptionCarattere"/>
          <w:color w:val="000000" w:themeColor="text1"/>
        </w:rPr>
        <w:t xml:space="preserve">Figure 1: </w:t>
      </w:r>
      <w:r w:rsidR="00464D3B" w:rsidRPr="00524DBD">
        <w:rPr>
          <w:rStyle w:val="CETCaptionCarattere"/>
          <w:color w:val="000000" w:themeColor="text1"/>
        </w:rPr>
        <w:t>Experimental Range (image taken by Sentinel-2 L2A: 18.08.2022)</w:t>
      </w:r>
    </w:p>
    <w:p w14:paraId="00887D04" w14:textId="68C1778E" w:rsidR="000C2745" w:rsidRPr="00524DBD" w:rsidRDefault="00464D3B" w:rsidP="005505AF">
      <w:pPr>
        <w:pStyle w:val="CETBodytext"/>
        <w:rPr>
          <w:lang w:val="en-GB"/>
        </w:rPr>
      </w:pPr>
      <w:r w:rsidRPr="00524DBD">
        <w:rPr>
          <w:lang w:val="en-GB"/>
        </w:rPr>
        <w:t>The SAGA GIS software was used to process the space images of the experimental polygon acquired from the spaceborne radiometer (ASTER) V3</w:t>
      </w:r>
      <w:r w:rsidR="003A7DEF">
        <w:rPr>
          <w:lang w:val="en-GB"/>
        </w:rPr>
        <w:t xml:space="preserve"> (</w:t>
      </w:r>
      <w:r w:rsidR="003A7DEF" w:rsidRPr="003A7DEF">
        <w:t>Conrad</w:t>
      </w:r>
      <w:r w:rsidR="003A7DEF">
        <w:t xml:space="preserve"> et al., 2015</w:t>
      </w:r>
      <w:r w:rsidR="003A7DEF">
        <w:rPr>
          <w:lang w:val="en-GB"/>
        </w:rPr>
        <w:t>)</w:t>
      </w:r>
      <w:r w:rsidRPr="00524DBD">
        <w:rPr>
          <w:lang w:val="en-GB"/>
        </w:rPr>
        <w:t xml:space="preserve">. </w:t>
      </w:r>
      <w:r w:rsidR="003A7DEF" w:rsidRPr="003A7DEF">
        <w:rPr>
          <w:lang w:val="en-GB"/>
        </w:rPr>
        <w:t>The calculation of the S-factor in this study is based on the RUSLE model, RUSLE is an empirically based modelling approach that predicts the long-term average annual rate of soil erosion on slopes using five factors.</w:t>
      </w:r>
      <w:r w:rsidR="003A7DEF">
        <w:rPr>
          <w:lang w:val="en-GB"/>
        </w:rPr>
        <w:t xml:space="preserve"> </w:t>
      </w:r>
      <w:r w:rsidR="003A7DEF" w:rsidRPr="003A7DEF">
        <w:rPr>
          <w:lang w:val="en-GB"/>
        </w:rPr>
        <w:t>It estimates soil loss under similar topography and meteorological conditions as described by Thapa (2020)</w:t>
      </w:r>
      <w:r w:rsidR="003A7DEF">
        <w:rPr>
          <w:lang w:val="en-GB"/>
        </w:rPr>
        <w:t xml:space="preserve"> </w:t>
      </w:r>
      <w:r w:rsidRPr="00524DBD">
        <w:rPr>
          <w:lang w:val="en-GB"/>
        </w:rPr>
        <w:t>presented in Eq (1):</w:t>
      </w:r>
    </w:p>
    <w:tbl>
      <w:tblPr>
        <w:tblW w:w="5000" w:type="pct"/>
        <w:tblLook w:val="04A0" w:firstRow="1" w:lastRow="0" w:firstColumn="1" w:lastColumn="0" w:noHBand="0" w:noVBand="1"/>
      </w:tblPr>
      <w:tblGrid>
        <w:gridCol w:w="7986"/>
        <w:gridCol w:w="801"/>
      </w:tblGrid>
      <w:tr w:rsidR="000C2745" w:rsidRPr="00524DBD" w14:paraId="33AA5FCF" w14:textId="77777777" w:rsidTr="00565087">
        <w:tc>
          <w:tcPr>
            <w:tcW w:w="7986" w:type="dxa"/>
            <w:shd w:val="clear" w:color="auto" w:fill="auto"/>
            <w:vAlign w:val="center"/>
          </w:tcPr>
          <w:p w14:paraId="26BD2A15" w14:textId="688D91C2" w:rsidR="000C2745" w:rsidRPr="00524DBD" w:rsidRDefault="000A0F6A" w:rsidP="00565087">
            <w:pPr>
              <w:pStyle w:val="CETBodytext"/>
              <w:spacing w:before="120" w:after="120"/>
              <w:jc w:val="left"/>
              <w:rPr>
                <w:i/>
                <w:lang w:val="en-GB"/>
              </w:rPr>
            </w:pPr>
            <m:oMathPara>
              <m:oMathParaPr>
                <m:jc m:val="left"/>
              </m:oMathParaPr>
              <m:oMath>
                <m:d>
                  <m:dPr>
                    <m:begChr m:val="{"/>
                    <m:endChr m:val=""/>
                    <m:ctrlPr>
                      <w:rPr>
                        <w:rFonts w:ascii="Cambria Math" w:hAnsi="Cambria Math"/>
                        <w:i/>
                        <w:lang w:val="en-GB"/>
                      </w:rPr>
                    </m:ctrlPr>
                  </m:dPr>
                  <m:e>
                    <m:eqArr>
                      <m:eqArrPr>
                        <m:ctrlPr>
                          <w:rPr>
                            <w:rFonts w:ascii="Cambria Math" w:hAnsi="Cambria Math"/>
                            <w:i/>
                            <w:lang w:val="en-GB"/>
                          </w:rPr>
                        </m:ctrlPr>
                      </m:eqArrPr>
                      <m:e>
                        <m:r>
                          <w:rPr>
                            <w:rFonts w:ascii="Cambria Math" w:hAnsi="Cambria Math"/>
                            <w:lang w:val="en-GB"/>
                          </w:rPr>
                          <m:t xml:space="preserve"> </m:t>
                        </m:r>
                        <m:r>
                          <w:rPr>
                            <w:rFonts w:ascii="Cambria Math" w:hAnsi="Cambria Math"/>
                            <w:lang w:val="en-GB"/>
                          </w:rPr>
                          <m:t>S</m:t>
                        </m:r>
                        <m:r>
                          <w:rPr>
                            <w:rFonts w:ascii="Cambria Math" w:hAnsi="Cambria Math"/>
                            <w:lang w:val="en-GB"/>
                          </w:rPr>
                          <m:t>=10.8*</m:t>
                        </m:r>
                        <m:r>
                          <w:rPr>
                            <w:rFonts w:ascii="Cambria Math" w:hAnsi="Cambria Math"/>
                            <w:lang w:val="en-GB"/>
                          </w:rPr>
                          <m:t>sin</m:t>
                        </m:r>
                        <m:r>
                          <m:rPr>
                            <m:sty m:val="p"/>
                          </m:rPr>
                          <w:rPr>
                            <w:rFonts w:ascii="Cambria Math" w:hAnsi="Cambria Math"/>
                            <w:lang w:val="en-GB"/>
                          </w:rPr>
                          <m:t>θ</m:t>
                        </m:r>
                        <m:r>
                          <m:rPr>
                            <m:sty m:val="p"/>
                          </m:rPr>
                          <w:rPr>
                            <w:rFonts w:ascii="Cambria Math"/>
                            <w:lang w:val="en-GB"/>
                          </w:rPr>
                          <m:t>+</m:t>
                        </m:r>
                        <m:r>
                          <w:rPr>
                            <w:rFonts w:ascii="Cambria Math"/>
                            <w:lang w:val="en-GB"/>
                          </w:rPr>
                          <m:t xml:space="preserve">0.03, </m:t>
                        </m:r>
                        <m:r>
                          <m:rPr>
                            <m:sty m:val="p"/>
                          </m:rPr>
                          <w:rPr>
                            <w:rFonts w:ascii="Cambria Math" w:hAnsi="Cambria Math"/>
                            <w:lang w:val="en-GB"/>
                          </w:rPr>
                          <m:t>s</m:t>
                        </m:r>
                        <m:r>
                          <w:rPr>
                            <w:rFonts w:ascii="Cambria Math" w:hAnsi="Cambria Math"/>
                            <w:lang w:val="en-GB"/>
                          </w:rPr>
                          <m:t>teepness</m:t>
                        </m:r>
                        <m:r>
                          <w:rPr>
                            <w:rFonts w:ascii="Cambria Math"/>
                            <w:lang w:val="en-GB"/>
                          </w:rPr>
                          <m:t>&lt;9%</m:t>
                        </m:r>
                      </m:e>
                      <m:e>
                        <m:r>
                          <w:rPr>
                            <w:rFonts w:ascii="Cambria Math" w:hAnsi="Cambria Math"/>
                            <w:lang w:val="en-GB"/>
                          </w:rPr>
                          <m:t>S</m:t>
                        </m:r>
                        <m:r>
                          <w:rPr>
                            <w:rFonts w:ascii="Cambria Math" w:hAnsi="Cambria Math"/>
                            <w:lang w:val="en-GB"/>
                          </w:rPr>
                          <m:t>=16.8*</m:t>
                        </m:r>
                        <m:r>
                          <w:rPr>
                            <w:rFonts w:ascii="Cambria Math" w:hAnsi="Cambria Math"/>
                            <w:lang w:val="en-GB"/>
                          </w:rPr>
                          <m:t>sin</m:t>
                        </m:r>
                        <m:r>
                          <m:rPr>
                            <m:sty m:val="p"/>
                          </m:rPr>
                          <w:rPr>
                            <w:rFonts w:ascii="Cambria Math" w:hAnsi="Cambria Math"/>
                            <w:lang w:val="en-GB"/>
                          </w:rPr>
                          <m:t>θ-0.50,s</m:t>
                        </m:r>
                        <m:r>
                          <w:rPr>
                            <w:rFonts w:ascii="Cambria Math" w:hAnsi="Cambria Math"/>
                            <w:lang w:val="en-GB"/>
                          </w:rPr>
                          <m:t>teepness</m:t>
                        </m:r>
                        <m:r>
                          <m:rPr>
                            <m:sty m:val="p"/>
                          </m:rPr>
                          <w:rPr>
                            <w:rFonts w:ascii="Cambria Math" w:hAnsi="Cambria Math"/>
                            <w:lang w:val="en-GB"/>
                          </w:rPr>
                          <m:t>≥9%</m:t>
                        </m:r>
                      </m:e>
                    </m:eqArr>
                  </m:e>
                </m:d>
              </m:oMath>
            </m:oMathPara>
          </w:p>
        </w:tc>
        <w:tc>
          <w:tcPr>
            <w:tcW w:w="801" w:type="dxa"/>
            <w:shd w:val="clear" w:color="auto" w:fill="auto"/>
            <w:vAlign w:val="center"/>
          </w:tcPr>
          <w:p w14:paraId="42042273" w14:textId="044A07BC" w:rsidR="000C2745" w:rsidRPr="00524DBD" w:rsidRDefault="000C2745" w:rsidP="00565087">
            <w:pPr>
              <w:spacing w:before="120" w:after="120"/>
              <w:jc w:val="right"/>
              <w:rPr>
                <w:rFonts w:ascii="Arial" w:hAnsi="Arial" w:cs="Arial"/>
                <w:sz w:val="18"/>
                <w:szCs w:val="18"/>
                <w:lang w:val="en-GB"/>
              </w:rPr>
            </w:pPr>
            <w:r w:rsidRPr="00524DBD">
              <w:rPr>
                <w:rFonts w:ascii="Arial" w:hAnsi="Arial" w:cs="Arial"/>
                <w:sz w:val="18"/>
                <w:szCs w:val="18"/>
                <w:lang w:val="en-GB"/>
              </w:rPr>
              <w:t>(1)</w:t>
            </w:r>
          </w:p>
        </w:tc>
      </w:tr>
    </w:tbl>
    <w:p w14:paraId="041599DC" w14:textId="77777777" w:rsidR="00464D3B" w:rsidRPr="00524DBD" w:rsidRDefault="00464D3B" w:rsidP="00464D3B">
      <w:pPr>
        <w:pStyle w:val="CETBodytext"/>
        <w:rPr>
          <w:lang w:val="en-GB"/>
        </w:rPr>
      </w:pPr>
      <w:r w:rsidRPr="00524DBD">
        <w:rPr>
          <w:lang w:val="en-GB"/>
        </w:rPr>
        <w:t>where θ is the slope angle, expressed in radians.</w:t>
      </w:r>
    </w:p>
    <w:p w14:paraId="6A12582E" w14:textId="0D5BD91F" w:rsidR="000C2745" w:rsidRPr="00524DBD" w:rsidRDefault="00464D3B" w:rsidP="00464D3B">
      <w:pPr>
        <w:pStyle w:val="CETBodytext"/>
        <w:rPr>
          <w:lang w:val="en-GB"/>
        </w:rPr>
      </w:pPr>
      <w:r w:rsidRPr="00524DBD">
        <w:rPr>
          <w:lang w:val="en-GB"/>
        </w:rPr>
        <w:t>The approach of Desmet and Govers (1996) presented in Eq (2-6) was used to calculate the LS coefficient</w:t>
      </w:r>
      <w:r w:rsidR="00B14AF6" w:rsidRPr="00524DBD">
        <w:rPr>
          <w:lang w:val="en-GB"/>
        </w:rPr>
        <w:t>:</w:t>
      </w:r>
    </w:p>
    <w:tbl>
      <w:tblPr>
        <w:tblW w:w="5000" w:type="pct"/>
        <w:tblLook w:val="04A0" w:firstRow="1" w:lastRow="0" w:firstColumn="1" w:lastColumn="0" w:noHBand="0" w:noVBand="1"/>
      </w:tblPr>
      <w:tblGrid>
        <w:gridCol w:w="7986"/>
        <w:gridCol w:w="801"/>
      </w:tblGrid>
      <w:tr w:rsidR="003D0BA9" w:rsidRPr="00524DBD" w14:paraId="06CF7D55" w14:textId="77777777" w:rsidTr="00565087">
        <w:tc>
          <w:tcPr>
            <w:tcW w:w="7986" w:type="dxa"/>
            <w:shd w:val="clear" w:color="auto" w:fill="auto"/>
            <w:vAlign w:val="center"/>
          </w:tcPr>
          <w:p w14:paraId="3AE31375" w14:textId="27542A1B" w:rsidR="003D0BA9" w:rsidRPr="00524DBD" w:rsidRDefault="000A0F6A" w:rsidP="00565087">
            <w:pPr>
              <w:pStyle w:val="CETBodytext"/>
              <w:spacing w:before="120" w:after="120"/>
              <w:jc w:val="lef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i</m:t>
                    </m:r>
                    <m:r>
                      <w:rPr>
                        <w:rFonts w:ascii="Cambria Math" w:hAnsi="Cambria Math"/>
                        <w:lang w:val="en-GB"/>
                      </w:rPr>
                      <m:t>,</m:t>
                    </m:r>
                    <m:r>
                      <w:rPr>
                        <w:rFonts w:ascii="Cambria Math" w:hAnsi="Cambria Math"/>
                        <w:lang w:val="en-GB"/>
                      </w:rPr>
                      <m:t>j</m:t>
                    </m:r>
                  </m:sub>
                </m:sSub>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i</m:t>
                            </m:r>
                            <m:r>
                              <w:rPr>
                                <w:rFonts w:ascii="Cambria Math" w:hAnsi="Cambria Math"/>
                                <w:lang w:val="en-GB"/>
                              </w:rPr>
                              <m:t>,</m:t>
                            </m:r>
                            <m:r>
                              <w:rPr>
                                <w:rFonts w:ascii="Cambria Math" w:hAnsi="Cambria Math"/>
                                <w:lang w:val="en-GB"/>
                              </w:rPr>
                              <m:t>j</m:t>
                            </m:r>
                            <m:r>
                              <w:rPr>
                                <w:rFonts w:ascii="Cambria Math" w:hAnsi="Cambria Math"/>
                                <w:lang w:val="en-GB"/>
                              </w:rPr>
                              <m:t>-</m:t>
                            </m:r>
                            <m:r>
                              <w:rPr>
                                <w:rFonts w:ascii="Cambria Math" w:hAnsi="Cambria Math"/>
                                <w:lang w:val="en-GB"/>
                              </w:rPr>
                              <m:t>in</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r>
                          <w:rPr>
                            <w:rFonts w:ascii="Cambria Math" w:hAnsi="Cambria Math"/>
                            <w:lang w:val="en-GB"/>
                          </w:rPr>
                          <m:t>)</m:t>
                        </m:r>
                      </m:e>
                      <m:sup>
                        <m:r>
                          <w:rPr>
                            <w:rFonts w:ascii="Cambria Math" w:hAnsi="Cambria Math"/>
                            <w:lang w:val="en-GB"/>
                          </w:rPr>
                          <m:t>m</m:t>
                        </m:r>
                        <m:r>
                          <w:rPr>
                            <w:rFonts w:ascii="Cambria Math" w:hAnsi="Cambria Math"/>
                            <w:lang w:val="en-GB"/>
                          </w:rPr>
                          <m:t>+1</m:t>
                        </m:r>
                      </m:sup>
                    </m:s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i</m:t>
                        </m:r>
                        <m:r>
                          <w:rPr>
                            <w:rFonts w:ascii="Cambria Math" w:hAnsi="Cambria Math"/>
                            <w:lang w:val="en-GB"/>
                          </w:rPr>
                          <m:t>,</m:t>
                        </m:r>
                        <m:r>
                          <w:rPr>
                            <w:rFonts w:ascii="Cambria Math" w:hAnsi="Cambria Math"/>
                            <w:lang w:val="en-GB"/>
                          </w:rPr>
                          <m:t>j</m:t>
                        </m:r>
                        <m:r>
                          <w:rPr>
                            <w:rFonts w:ascii="Cambria Math" w:hAnsi="Cambria Math"/>
                            <w:lang w:val="en-GB"/>
                          </w:rPr>
                          <m:t>-</m:t>
                        </m:r>
                        <m:r>
                          <w:rPr>
                            <w:rFonts w:ascii="Cambria Math" w:hAnsi="Cambria Math"/>
                            <w:lang w:val="en-GB"/>
                          </w:rPr>
                          <m:t>in</m:t>
                        </m:r>
                      </m:sub>
                      <m:sup>
                        <m:r>
                          <w:rPr>
                            <w:rFonts w:ascii="Cambria Math" w:hAnsi="Cambria Math"/>
                            <w:lang w:val="en-GB"/>
                          </w:rPr>
                          <m:t>m</m:t>
                        </m:r>
                        <m:r>
                          <w:rPr>
                            <w:rFonts w:ascii="Cambria Math" w:hAnsi="Cambria Math"/>
                            <w:lang w:val="en-GB"/>
                          </w:rPr>
                          <m:t>+1</m:t>
                        </m:r>
                      </m:sup>
                    </m:sSubSup>
                  </m:num>
                  <m:den>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m</m:t>
                        </m:r>
                        <m:r>
                          <w:rPr>
                            <w:rFonts w:ascii="Cambria Math" w:hAnsi="Cambria Math"/>
                            <w:lang w:val="en-GB"/>
                          </w:rPr>
                          <m:t>+2</m:t>
                        </m:r>
                      </m:sup>
                    </m:s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i</m:t>
                        </m:r>
                        <m:r>
                          <w:rPr>
                            <w:rFonts w:ascii="Cambria Math" w:hAnsi="Cambria Math"/>
                            <w:lang w:val="en-GB"/>
                          </w:rPr>
                          <m:t>,</m:t>
                        </m:r>
                        <m:r>
                          <w:rPr>
                            <w:rFonts w:ascii="Cambria Math" w:hAnsi="Cambria Math"/>
                            <w:lang w:val="en-GB"/>
                          </w:rPr>
                          <m:t>j</m:t>
                        </m:r>
                      </m:sub>
                      <m:sup>
                        <m:r>
                          <w:rPr>
                            <w:rFonts w:ascii="Cambria Math" w:hAnsi="Cambria Math"/>
                            <w:lang w:val="en-GB"/>
                          </w:rPr>
                          <m:t>m</m:t>
                        </m:r>
                      </m:sup>
                    </m:sSubSup>
                    <m:r>
                      <w:rPr>
                        <w:rFonts w:ascii="Cambria Math" w:hAnsi="Cambria Math"/>
                        <w:lang w:val="en-GB"/>
                      </w:rPr>
                      <m:t>*</m:t>
                    </m:r>
                    <m:sSup>
                      <m:sSupPr>
                        <m:ctrlPr>
                          <w:rPr>
                            <w:rFonts w:ascii="Cambria Math" w:hAnsi="Cambria Math"/>
                            <w:i/>
                            <w:lang w:val="en-GB"/>
                          </w:rPr>
                        </m:ctrlPr>
                      </m:sSupPr>
                      <m:e>
                        <m:r>
                          <w:rPr>
                            <w:rFonts w:ascii="Cambria Math" w:hAnsi="Cambria Math"/>
                            <w:lang w:val="en-GB"/>
                          </w:rPr>
                          <m:t>(22.13)</m:t>
                        </m:r>
                      </m:e>
                      <m:sup>
                        <m:r>
                          <w:rPr>
                            <w:rFonts w:ascii="Cambria Math" w:hAnsi="Cambria Math"/>
                            <w:lang w:val="en-GB"/>
                          </w:rPr>
                          <m:t>m</m:t>
                        </m:r>
                      </m:sup>
                    </m:sSup>
                  </m:den>
                </m:f>
              </m:oMath>
            </m:oMathPara>
          </w:p>
        </w:tc>
        <w:tc>
          <w:tcPr>
            <w:tcW w:w="801" w:type="dxa"/>
            <w:shd w:val="clear" w:color="auto" w:fill="auto"/>
            <w:vAlign w:val="center"/>
          </w:tcPr>
          <w:p w14:paraId="346E4EBD" w14:textId="086450C5" w:rsidR="003D0BA9" w:rsidRPr="00524DBD" w:rsidRDefault="003D0BA9" w:rsidP="00565087">
            <w:pPr>
              <w:spacing w:before="120" w:after="120"/>
              <w:jc w:val="right"/>
              <w:rPr>
                <w:rFonts w:ascii="Arial" w:hAnsi="Arial" w:cs="Arial"/>
                <w:sz w:val="18"/>
                <w:szCs w:val="18"/>
                <w:lang w:val="en-GB"/>
              </w:rPr>
            </w:pPr>
            <w:r w:rsidRPr="00524DBD">
              <w:rPr>
                <w:rFonts w:ascii="Arial" w:hAnsi="Arial" w:cs="Arial"/>
                <w:sz w:val="18"/>
                <w:szCs w:val="18"/>
                <w:lang w:val="en-GB"/>
              </w:rPr>
              <w:t>(2)</w:t>
            </w:r>
          </w:p>
        </w:tc>
      </w:tr>
      <w:tr w:rsidR="003B697D" w:rsidRPr="00524DBD" w14:paraId="5C92A46F" w14:textId="77777777" w:rsidTr="00565087">
        <w:tc>
          <w:tcPr>
            <w:tcW w:w="7986" w:type="dxa"/>
            <w:shd w:val="clear" w:color="auto" w:fill="auto"/>
            <w:vAlign w:val="center"/>
          </w:tcPr>
          <w:p w14:paraId="48955526" w14:textId="732682D5" w:rsidR="003B697D" w:rsidRPr="00524DBD" w:rsidRDefault="000A0F6A" w:rsidP="003B697D">
            <w:pPr>
              <w:pStyle w:val="CETBodytext"/>
              <w:spacing w:before="120" w:after="120"/>
              <w:jc w:val="lef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r>
                      <w:rPr>
                        <w:rFonts w:ascii="Cambria Math" w:hAnsi="Cambria Math"/>
                        <w:lang w:val="en-GB"/>
                      </w:rPr>
                      <m:t>,</m:t>
                    </m:r>
                    <m:r>
                      <w:rPr>
                        <w:rFonts w:ascii="Cambria Math" w:hAnsi="Cambria Math"/>
                        <w:lang w:val="en-GB"/>
                      </w:rPr>
                      <m:t>j</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sinα</m:t>
                    </m:r>
                  </m:e>
                  <m:sub>
                    <m:r>
                      <w:rPr>
                        <w:rFonts w:ascii="Cambria Math" w:hAnsi="Cambria Math"/>
                        <w:lang w:val="en-GB"/>
                      </w:rPr>
                      <m:t>i</m:t>
                    </m:r>
                    <m:r>
                      <w:rPr>
                        <w:rFonts w:ascii="Cambria Math" w:hAnsi="Cambria Math"/>
                        <w:lang w:val="en-GB"/>
                      </w:rPr>
                      <m:t>,</m:t>
                    </m:r>
                    <m:r>
                      <w:rPr>
                        <w:rFonts w:ascii="Cambria Math" w:hAnsi="Cambria Math"/>
                        <w:lang w:val="en-GB"/>
                      </w:rPr>
                      <m:t>j</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cosα</m:t>
                    </m:r>
                  </m:e>
                  <m:sub>
                    <m:r>
                      <w:rPr>
                        <w:rFonts w:ascii="Cambria Math" w:hAnsi="Cambria Math"/>
                        <w:lang w:val="en-GB"/>
                      </w:rPr>
                      <m:t>i</m:t>
                    </m:r>
                    <m:r>
                      <w:rPr>
                        <w:rFonts w:ascii="Cambria Math" w:hAnsi="Cambria Math"/>
                        <w:lang w:val="en-GB"/>
                      </w:rPr>
                      <m:t>,</m:t>
                    </m:r>
                    <m:r>
                      <w:rPr>
                        <w:rFonts w:ascii="Cambria Math" w:hAnsi="Cambria Math"/>
                        <w:lang w:val="en-GB"/>
                      </w:rPr>
                      <m:t>j</m:t>
                    </m:r>
                  </m:sub>
                </m:sSub>
              </m:oMath>
            </m:oMathPara>
          </w:p>
        </w:tc>
        <w:tc>
          <w:tcPr>
            <w:tcW w:w="801" w:type="dxa"/>
            <w:shd w:val="clear" w:color="auto" w:fill="auto"/>
            <w:vAlign w:val="center"/>
          </w:tcPr>
          <w:p w14:paraId="23F08107" w14:textId="78E8E9C1" w:rsidR="003B697D" w:rsidRPr="00524DBD" w:rsidRDefault="003B697D" w:rsidP="003B697D">
            <w:pPr>
              <w:spacing w:before="120" w:after="120"/>
              <w:jc w:val="right"/>
              <w:rPr>
                <w:rFonts w:ascii="Arial" w:hAnsi="Arial" w:cs="Arial"/>
                <w:sz w:val="18"/>
                <w:szCs w:val="18"/>
                <w:lang w:val="en-GB"/>
              </w:rPr>
            </w:pPr>
            <w:r w:rsidRPr="00524DBD">
              <w:rPr>
                <w:rFonts w:ascii="Arial" w:hAnsi="Arial" w:cs="Arial"/>
                <w:sz w:val="18"/>
                <w:szCs w:val="18"/>
                <w:lang w:val="en-GB"/>
              </w:rPr>
              <w:t>(3)</w:t>
            </w:r>
          </w:p>
        </w:tc>
      </w:tr>
      <w:tr w:rsidR="003B697D" w:rsidRPr="00524DBD" w14:paraId="421D2A1C" w14:textId="77777777" w:rsidTr="00565087">
        <w:tc>
          <w:tcPr>
            <w:tcW w:w="7986" w:type="dxa"/>
            <w:shd w:val="clear" w:color="auto" w:fill="auto"/>
            <w:vAlign w:val="center"/>
          </w:tcPr>
          <w:p w14:paraId="6107E318" w14:textId="77777777" w:rsidR="003B697D" w:rsidRPr="00524DBD" w:rsidRDefault="003B697D" w:rsidP="003B697D">
            <w:pPr>
              <w:pStyle w:val="CETBodytext"/>
              <w:spacing w:before="120" w:after="120"/>
              <w:jc w:val="left"/>
              <w:rPr>
                <w:lang w:val="en-GB"/>
              </w:rPr>
            </w:pPr>
            <m:oMathPara>
              <m:oMathParaPr>
                <m:jc m:val="left"/>
              </m:oMathParaPr>
              <m:oMath>
                <m:r>
                  <w:rPr>
                    <w:rFonts w:ascii="Cambria Math" w:hAnsi="Cambria Math"/>
                    <w:lang w:val="en-GB"/>
                  </w:rPr>
                  <m:t>m=</m:t>
                </m:r>
                <m:f>
                  <m:fPr>
                    <m:ctrlPr>
                      <w:rPr>
                        <w:rFonts w:ascii="Cambria Math" w:hAnsi="Cambria Math"/>
                        <w:i/>
                        <w:lang w:val="en-GB"/>
                      </w:rPr>
                    </m:ctrlPr>
                  </m:fPr>
                  <m:num>
                    <m:r>
                      <w:rPr>
                        <w:rFonts w:ascii="Cambria Math" w:hAnsi="Cambria Math"/>
                        <w:lang w:val="en-GB"/>
                      </w:rPr>
                      <m:t>β</m:t>
                    </m:r>
                  </m:num>
                  <m:den>
                    <m:r>
                      <w:rPr>
                        <w:rFonts w:ascii="Cambria Math" w:hAnsi="Cambria Math"/>
                        <w:lang w:val="en-GB"/>
                      </w:rPr>
                      <m:t>β+1</m:t>
                    </m:r>
                  </m:den>
                </m:f>
              </m:oMath>
            </m:oMathPara>
          </w:p>
        </w:tc>
        <w:tc>
          <w:tcPr>
            <w:tcW w:w="801" w:type="dxa"/>
            <w:shd w:val="clear" w:color="auto" w:fill="auto"/>
            <w:vAlign w:val="center"/>
          </w:tcPr>
          <w:p w14:paraId="069FF8EC" w14:textId="6B680BCB" w:rsidR="003B697D" w:rsidRPr="00524DBD" w:rsidRDefault="003B697D" w:rsidP="003B697D">
            <w:pPr>
              <w:spacing w:before="120" w:after="120"/>
              <w:jc w:val="right"/>
              <w:rPr>
                <w:rFonts w:ascii="Arial" w:hAnsi="Arial" w:cs="Arial"/>
                <w:sz w:val="18"/>
                <w:szCs w:val="18"/>
                <w:lang w:val="en-GB"/>
              </w:rPr>
            </w:pPr>
            <w:r w:rsidRPr="00524DBD">
              <w:rPr>
                <w:rFonts w:ascii="Arial" w:hAnsi="Arial" w:cs="Arial"/>
                <w:sz w:val="18"/>
                <w:szCs w:val="18"/>
                <w:lang w:val="en-GB"/>
              </w:rPr>
              <w:t>(4)</w:t>
            </w:r>
          </w:p>
        </w:tc>
      </w:tr>
      <w:tr w:rsidR="003B697D" w:rsidRPr="00524DBD" w14:paraId="1006FC2B" w14:textId="77777777" w:rsidTr="00565087">
        <w:tc>
          <w:tcPr>
            <w:tcW w:w="7986" w:type="dxa"/>
            <w:shd w:val="clear" w:color="auto" w:fill="auto"/>
            <w:vAlign w:val="center"/>
          </w:tcPr>
          <w:p w14:paraId="73E54CBC" w14:textId="38532260" w:rsidR="003B697D" w:rsidRPr="00524DBD" w:rsidRDefault="003B697D" w:rsidP="003B697D">
            <w:pPr>
              <w:pStyle w:val="CETBodytext"/>
              <w:spacing w:before="120" w:after="120"/>
              <w:jc w:val="left"/>
              <w:rPr>
                <w:lang w:val="en-GB"/>
              </w:rPr>
            </w:pPr>
            <m:oMathPara>
              <m:oMathParaPr>
                <m:jc m:val="left"/>
              </m:oMathParaPr>
              <m:oMath>
                <m:r>
                  <w:rPr>
                    <w:rFonts w:ascii="Cambria Math" w:hAnsi="Cambria Math"/>
                    <w:lang w:val="en-GB"/>
                  </w:rPr>
                  <m:t>β=</m:t>
                </m:r>
                <m:f>
                  <m:fPr>
                    <m:ctrlPr>
                      <w:rPr>
                        <w:rFonts w:ascii="Cambria Math" w:hAnsi="Cambria Math"/>
                        <w:i/>
                        <w:lang w:val="en-GB"/>
                      </w:rPr>
                    </m:ctrlPr>
                  </m:fPr>
                  <m:num>
                    <m:r>
                      <w:rPr>
                        <w:rFonts w:ascii="Cambria Math" w:hAnsi="Cambria Math"/>
                        <w:lang w:val="en-GB"/>
                      </w:rPr>
                      <m:t>(</m:t>
                    </m:r>
                    <m:f>
                      <m:fPr>
                        <m:ctrlPr>
                          <w:rPr>
                            <w:rFonts w:ascii="Cambria Math" w:hAnsi="Cambria Math"/>
                            <w:i/>
                            <w:lang w:val="en-GB"/>
                          </w:rPr>
                        </m:ctrlPr>
                      </m:fPr>
                      <m:num>
                        <m:r>
                          <w:rPr>
                            <w:rFonts w:ascii="Cambria Math" w:hAnsi="Cambria Math"/>
                            <w:lang w:val="en-GB"/>
                          </w:rPr>
                          <m:t>sin</m:t>
                        </m:r>
                        <m:r>
                          <m:rPr>
                            <m:sty m:val="p"/>
                          </m:rPr>
                          <w:rPr>
                            <w:rFonts w:ascii="Cambria Math" w:hAnsi="Cambria Math"/>
                            <w:lang w:val="en-GB"/>
                          </w:rPr>
                          <m:t>θ</m:t>
                        </m:r>
                      </m:num>
                      <m:den>
                        <m:r>
                          <w:rPr>
                            <w:rFonts w:ascii="Cambria Math" w:hAnsi="Cambria Math"/>
                            <w:lang w:val="en-GB"/>
                          </w:rPr>
                          <m:t>0.0896</m:t>
                        </m:r>
                      </m:den>
                    </m:f>
                    <m:r>
                      <w:rPr>
                        <w:rFonts w:ascii="Cambria Math" w:hAnsi="Cambria Math"/>
                        <w:lang w:val="en-GB"/>
                      </w:rPr>
                      <m:t>)</m:t>
                    </m:r>
                  </m:num>
                  <m:den>
                    <m:d>
                      <m:dPr>
                        <m:begChr m:val="["/>
                        <m:endChr m:val="]"/>
                        <m:ctrlPr>
                          <w:rPr>
                            <w:rFonts w:ascii="Cambria Math" w:hAnsi="Cambria Math"/>
                            <w:i/>
                            <w:lang w:val="en-GB"/>
                          </w:rPr>
                        </m:ctrlPr>
                      </m:dPr>
                      <m:e>
                        <m:r>
                          <w:rPr>
                            <w:rFonts w:ascii="Cambria Math" w:hAnsi="Cambria Math"/>
                            <w:lang w:val="en-GB"/>
                          </w:rPr>
                          <m:t>0.56+3*</m:t>
                        </m:r>
                        <m:sSup>
                          <m:sSupPr>
                            <m:ctrlPr>
                              <w:rPr>
                                <w:rFonts w:ascii="Cambria Math" w:hAnsi="Cambria Math"/>
                                <w:i/>
                                <w:lang w:val="en-GB"/>
                              </w:rPr>
                            </m:ctrlPr>
                          </m:sSupPr>
                          <m:e>
                            <m:r>
                              <w:rPr>
                                <w:rFonts w:ascii="Cambria Math" w:hAnsi="Cambria Math"/>
                                <w:lang w:val="en-GB"/>
                              </w:rPr>
                              <m:t>sin</m:t>
                            </m:r>
                            <m:r>
                              <m:rPr>
                                <m:sty m:val="p"/>
                              </m:rPr>
                              <w:rPr>
                                <w:rFonts w:ascii="Cambria Math" w:hAnsi="Cambria Math"/>
                                <w:lang w:val="en-GB"/>
                              </w:rPr>
                              <m:t>θ</m:t>
                            </m:r>
                          </m:e>
                          <m:sup>
                            <m:r>
                              <w:rPr>
                                <w:rFonts w:ascii="Cambria Math" w:hAnsi="Cambria Math"/>
                                <w:lang w:val="en-GB"/>
                              </w:rPr>
                              <m:t>0.8</m:t>
                            </m:r>
                          </m:sup>
                        </m:sSup>
                      </m:e>
                    </m:d>
                  </m:den>
                </m:f>
              </m:oMath>
            </m:oMathPara>
          </w:p>
        </w:tc>
        <w:tc>
          <w:tcPr>
            <w:tcW w:w="801" w:type="dxa"/>
            <w:shd w:val="clear" w:color="auto" w:fill="auto"/>
            <w:vAlign w:val="center"/>
          </w:tcPr>
          <w:p w14:paraId="3EBDBCF6" w14:textId="45EADB20" w:rsidR="003B697D" w:rsidRPr="00524DBD" w:rsidRDefault="003B697D" w:rsidP="003B697D">
            <w:pPr>
              <w:spacing w:before="120" w:after="120"/>
              <w:jc w:val="right"/>
              <w:rPr>
                <w:rFonts w:ascii="Arial" w:hAnsi="Arial" w:cs="Arial"/>
                <w:sz w:val="18"/>
                <w:szCs w:val="18"/>
                <w:lang w:val="en-GB"/>
              </w:rPr>
            </w:pPr>
            <w:r w:rsidRPr="00524DBD">
              <w:rPr>
                <w:rFonts w:ascii="Arial" w:hAnsi="Arial" w:cs="Arial"/>
                <w:sz w:val="18"/>
                <w:szCs w:val="18"/>
                <w:lang w:val="en-GB"/>
              </w:rPr>
              <w:t>(5)</w:t>
            </w:r>
          </w:p>
        </w:tc>
      </w:tr>
    </w:tbl>
    <w:p w14:paraId="6B7C47B7" w14:textId="77777777" w:rsidR="000C2745" w:rsidRPr="00524DBD" w:rsidRDefault="000C2745" w:rsidP="000C2745">
      <w:pPr>
        <w:pStyle w:val="CETBodytext"/>
        <w:rPr>
          <w:lang w:val="en-GB"/>
        </w:rPr>
      </w:pPr>
    </w:p>
    <w:p w14:paraId="004912E9" w14:textId="3B1370F8" w:rsidR="000C2745" w:rsidRDefault="00464D3B" w:rsidP="000C2745">
      <w:pPr>
        <w:pStyle w:val="CETBodytext"/>
        <w:rPr>
          <w:lang w:val="en-GB"/>
        </w:rPr>
      </w:pPr>
      <w:r w:rsidRPr="00524DBD">
        <w:rPr>
          <w:lang w:val="en-GB"/>
        </w:rPr>
        <w:t xml:space="preserve">where Ai,j-in </w:t>
      </w:r>
      <w:r w:rsidR="00C6049C" w:rsidRPr="00524DBD">
        <w:rPr>
          <w:lang w:val="en-GB"/>
        </w:rPr>
        <w:t>-</w:t>
      </w:r>
      <w:r w:rsidRPr="00524DBD">
        <w:rPr>
          <w:lang w:val="en-GB"/>
        </w:rPr>
        <w:t xml:space="preserve"> input area to grid cell with coordinates </w:t>
      </w:r>
      <w:r w:rsidRPr="00CD354B">
        <w:rPr>
          <w:lang w:val="en-GB"/>
        </w:rPr>
        <w:t>(i, j) (m</w:t>
      </w:r>
      <w:r w:rsidRPr="00CD354B">
        <w:rPr>
          <w:vertAlign w:val="superscript"/>
          <w:lang w:val="en-GB"/>
        </w:rPr>
        <w:t>2</w:t>
      </w:r>
      <w:r w:rsidRPr="00CD354B">
        <w:rPr>
          <w:lang w:val="en-GB"/>
        </w:rPr>
        <w:t>);</w:t>
      </w:r>
      <w:r w:rsidRPr="00524DBD">
        <w:rPr>
          <w:lang w:val="en-GB"/>
        </w:rPr>
        <w:t xml:space="preserve"> D </w:t>
      </w:r>
      <w:r w:rsidR="00C6049C" w:rsidRPr="00524DBD">
        <w:rPr>
          <w:lang w:val="en-GB"/>
        </w:rPr>
        <w:t>-</w:t>
      </w:r>
      <w:r w:rsidRPr="00524DBD">
        <w:rPr>
          <w:lang w:val="en-GB"/>
        </w:rPr>
        <w:t xml:space="preserve"> grid cell size (m); αi,j </w:t>
      </w:r>
      <w:r w:rsidR="00C6049C" w:rsidRPr="00524DBD">
        <w:rPr>
          <w:lang w:val="en-GB"/>
        </w:rPr>
        <w:t>-</w:t>
      </w:r>
      <w:r w:rsidRPr="00524DBD">
        <w:rPr>
          <w:lang w:val="en-GB"/>
        </w:rPr>
        <w:t xml:space="preserve"> aspect direction for grid cell with coordinates (i, j)</w:t>
      </w:r>
      <w:r w:rsidR="000C2745" w:rsidRPr="00524DBD">
        <w:rPr>
          <w:lang w:val="en-GB"/>
        </w:rPr>
        <w:t>.</w:t>
      </w:r>
    </w:p>
    <w:p w14:paraId="73E1A518" w14:textId="325AF23D" w:rsidR="00C9134F" w:rsidRDefault="00C9134F" w:rsidP="000C2745">
      <w:pPr>
        <w:pStyle w:val="CETBodytext"/>
        <w:rPr>
          <w:lang w:val="en-GB"/>
        </w:rPr>
      </w:pPr>
      <w:r w:rsidRPr="00C9134F">
        <w:rPr>
          <w:lang w:val="en-GB"/>
        </w:rPr>
        <w:t>to calculate the maximum absolute error, the mean value of products that can be approximated by the product of the means presented in Eq (6) is used (based on Li et al. (2016)):</w:t>
      </w:r>
    </w:p>
    <w:tbl>
      <w:tblPr>
        <w:tblW w:w="5000" w:type="pct"/>
        <w:tblLook w:val="04A0" w:firstRow="1" w:lastRow="0" w:firstColumn="1" w:lastColumn="0" w:noHBand="0" w:noVBand="1"/>
      </w:tblPr>
      <w:tblGrid>
        <w:gridCol w:w="7986"/>
        <w:gridCol w:w="801"/>
      </w:tblGrid>
      <w:tr w:rsidR="00C9134F" w:rsidRPr="00524DBD" w14:paraId="67053D26" w14:textId="77777777" w:rsidTr="001158D9">
        <w:tc>
          <w:tcPr>
            <w:tcW w:w="7986" w:type="dxa"/>
            <w:shd w:val="clear" w:color="auto" w:fill="auto"/>
            <w:vAlign w:val="center"/>
          </w:tcPr>
          <w:p w14:paraId="6FADF23E" w14:textId="77777777" w:rsidR="00C9134F" w:rsidRPr="00524DBD" w:rsidRDefault="000A0F6A" w:rsidP="001158D9">
            <w:pPr>
              <w:pStyle w:val="CETBodytext"/>
              <w:spacing w:before="120" w:after="120"/>
              <w:rPr>
                <w:lang w:val="en-GB"/>
              </w:rPr>
            </w:pPr>
            <m:oMathPara>
              <m:oMathParaPr>
                <m:jc m:val="left"/>
              </m:oMathParaPr>
              <m:oMath>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sSub>
                          <m:sSubPr>
                            <m:ctrlPr>
                              <w:rPr>
                                <w:rFonts w:ascii="Cambria Math" w:hAnsi="Cambria Math"/>
                                <w:i/>
                                <w:lang w:val="en-GB"/>
                              </w:rPr>
                            </m:ctrlPr>
                          </m:sSubPr>
                          <m:e>
                            <m:r>
                              <w:rPr>
                                <w:rFonts w:ascii="Cambria Math" w:hAnsi="Cambria Math"/>
                                <w:lang w:val="en-GB"/>
                              </w:rPr>
                              <m:t>Rm</m:t>
                            </m:r>
                          </m:e>
                          <m:sub>
                            <m:r>
                              <w:rPr>
                                <w:rFonts w:ascii="Cambria Math" w:hAnsi="Cambria Math"/>
                                <w:lang w:val="en-GB"/>
                              </w:rPr>
                              <m:t>i</m:t>
                            </m:r>
                          </m:sub>
                        </m:sSub>
                        <m:sSub>
                          <m:sSubPr>
                            <m:ctrlPr>
                              <w:rPr>
                                <w:rFonts w:ascii="Cambria Math" w:hAnsi="Cambria Math"/>
                                <w:i/>
                                <w:lang w:val="en-GB"/>
                              </w:rPr>
                            </m:ctrlPr>
                          </m:sSubPr>
                          <m:e>
                            <m:r>
                              <w:rPr>
                                <w:rFonts w:ascii="Cambria Math" w:hAnsi="Cambria Math"/>
                                <w:lang w:val="en-GB"/>
                              </w:rPr>
                              <m:t>Km</m:t>
                            </m:r>
                          </m:e>
                          <m:sub>
                            <m:r>
                              <w:rPr>
                                <w:rFonts w:ascii="Cambria Math" w:hAnsi="Cambria Math"/>
                                <w:lang w:val="en-GB"/>
                              </w:rPr>
                              <m:t>i</m:t>
                            </m:r>
                          </m:sub>
                        </m:sSub>
                        <m:sSub>
                          <m:sSubPr>
                            <m:ctrlPr>
                              <w:rPr>
                                <w:rFonts w:ascii="Cambria Math" w:hAnsi="Cambria Math"/>
                                <w:i/>
                                <w:lang w:val="en-GB"/>
                              </w:rPr>
                            </m:ctrlPr>
                          </m:sSubPr>
                          <m:e>
                            <m:r>
                              <w:rPr>
                                <w:rFonts w:ascii="Cambria Math" w:hAnsi="Cambria Math"/>
                                <w:lang w:val="en-GB"/>
                              </w:rPr>
                              <m:t>LS</m:t>
                            </m:r>
                          </m:e>
                          <m:sub>
                            <m:r>
                              <w:rPr>
                                <w:rFonts w:ascii="Cambria Math" w:hAnsi="Cambria Math"/>
                                <w:lang w:val="en-GB"/>
                              </w:rPr>
                              <m:t>i</m:t>
                            </m:r>
                          </m:sub>
                        </m:sSub>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m:t>
                            </m:r>
                          </m:sub>
                        </m:sSub>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m:t>
                            </m:r>
                          </m:sub>
                        </m:sSub>
                      </m:e>
                    </m:nary>
                  </m:num>
                  <m:den>
                    <m:r>
                      <w:rPr>
                        <w:rFonts w:ascii="Cambria Math" w:hAnsi="Cambria Math"/>
                        <w:lang w:val="en-GB"/>
                      </w:rPr>
                      <m:t>n</m:t>
                    </m:r>
                  </m:den>
                </m:f>
                <m:r>
                  <w:rPr>
                    <w:rFonts w:ascii="Cambria Math" w:hAnsi="Cambria Math"/>
                    <w:lang w:val="en-GB"/>
                  </w:rPr>
                  <m:t>≈</m:t>
                </m:r>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sSub>
                          <m:sSubPr>
                            <m:ctrlPr>
                              <w:rPr>
                                <w:rFonts w:ascii="Cambria Math" w:hAnsi="Cambria Math"/>
                                <w:i/>
                                <w:lang w:val="en-GB"/>
                              </w:rPr>
                            </m:ctrlPr>
                          </m:sSubPr>
                          <m:e>
                            <m:r>
                              <w:rPr>
                                <w:rFonts w:ascii="Cambria Math" w:hAnsi="Cambria Math"/>
                                <w:lang w:val="en-GB"/>
                              </w:rPr>
                              <m:t>Rm</m:t>
                            </m:r>
                          </m:e>
                          <m:sub>
                            <m:r>
                              <w:rPr>
                                <w:rFonts w:ascii="Cambria Math" w:hAnsi="Cambria Math"/>
                                <w:lang w:val="en-GB"/>
                              </w:rPr>
                              <m:t>i</m:t>
                            </m:r>
                          </m:sub>
                        </m:sSub>
                      </m:e>
                    </m:nary>
                  </m:num>
                  <m:den>
                    <m:r>
                      <w:rPr>
                        <w:rFonts w:ascii="Cambria Math" w:hAnsi="Cambria Math"/>
                        <w:lang w:val="en-GB"/>
                      </w:rPr>
                      <m:t>n</m:t>
                    </m:r>
                  </m:den>
                </m:f>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sSub>
                          <m:sSubPr>
                            <m:ctrlPr>
                              <w:rPr>
                                <w:rFonts w:ascii="Cambria Math" w:hAnsi="Cambria Math"/>
                                <w:i/>
                                <w:lang w:val="en-GB"/>
                              </w:rPr>
                            </m:ctrlPr>
                          </m:sSubPr>
                          <m:e>
                            <m:r>
                              <w:rPr>
                                <w:rFonts w:ascii="Cambria Math" w:hAnsi="Cambria Math"/>
                                <w:lang w:val="en-GB"/>
                              </w:rPr>
                              <m:t>Km</m:t>
                            </m:r>
                          </m:e>
                          <m:sub>
                            <m:r>
                              <w:rPr>
                                <w:rFonts w:ascii="Cambria Math" w:hAnsi="Cambria Math"/>
                                <w:lang w:val="en-GB"/>
                              </w:rPr>
                              <m:t>i</m:t>
                            </m:r>
                          </m:sub>
                        </m:sSub>
                      </m:e>
                    </m:nary>
                  </m:num>
                  <m:den>
                    <m:r>
                      <w:rPr>
                        <w:rFonts w:ascii="Cambria Math" w:hAnsi="Cambria Math"/>
                        <w:lang w:val="en-GB"/>
                      </w:rPr>
                      <m:t>n</m:t>
                    </m:r>
                  </m:den>
                </m:f>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sSub>
                          <m:sSubPr>
                            <m:ctrlPr>
                              <w:rPr>
                                <w:rFonts w:ascii="Cambria Math" w:hAnsi="Cambria Math"/>
                                <w:i/>
                                <w:lang w:val="en-GB"/>
                              </w:rPr>
                            </m:ctrlPr>
                          </m:sSubPr>
                          <m:e>
                            <m:r>
                              <w:rPr>
                                <w:rFonts w:ascii="Cambria Math" w:hAnsi="Cambria Math"/>
                                <w:lang w:val="en-GB"/>
                              </w:rPr>
                              <m:t>LS</m:t>
                            </m:r>
                          </m:e>
                          <m:sub>
                            <m:r>
                              <w:rPr>
                                <w:rFonts w:ascii="Cambria Math" w:hAnsi="Cambria Math"/>
                                <w:lang w:val="en-GB"/>
                              </w:rPr>
                              <m:t>i</m:t>
                            </m:r>
                          </m:sub>
                        </m:sSub>
                      </m:e>
                    </m:nary>
                  </m:num>
                  <m:den>
                    <m:r>
                      <w:rPr>
                        <w:rFonts w:ascii="Cambria Math" w:hAnsi="Cambria Math"/>
                        <w:lang w:val="en-GB"/>
                      </w:rPr>
                      <m:t>n</m:t>
                    </m:r>
                  </m:den>
                </m:f>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m:t>
                            </m:r>
                          </m:sub>
                        </m:sSub>
                      </m:e>
                    </m:nary>
                  </m:num>
                  <m:den>
                    <m:r>
                      <w:rPr>
                        <w:rFonts w:ascii="Cambria Math" w:hAnsi="Cambria Math"/>
                        <w:lang w:val="en-GB"/>
                      </w:rPr>
                      <m:t>n</m:t>
                    </m:r>
                  </m:den>
                </m:f>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m:t>
                            </m:r>
                          </m:sub>
                        </m:sSub>
                      </m:e>
                    </m:nary>
                  </m:num>
                  <m:den>
                    <m:r>
                      <w:rPr>
                        <w:rFonts w:ascii="Cambria Math" w:hAnsi="Cambria Math"/>
                        <w:lang w:val="en-GB"/>
                      </w:rPr>
                      <m:t>n</m:t>
                    </m:r>
                  </m:den>
                </m:f>
              </m:oMath>
            </m:oMathPara>
          </w:p>
        </w:tc>
        <w:tc>
          <w:tcPr>
            <w:tcW w:w="801" w:type="dxa"/>
            <w:shd w:val="clear" w:color="auto" w:fill="auto"/>
            <w:vAlign w:val="center"/>
          </w:tcPr>
          <w:p w14:paraId="7F331DA5" w14:textId="77777777" w:rsidR="00C9134F" w:rsidRPr="00524DBD" w:rsidRDefault="00C9134F" w:rsidP="001158D9">
            <w:pPr>
              <w:spacing w:before="120" w:after="120"/>
              <w:jc w:val="right"/>
              <w:rPr>
                <w:rFonts w:ascii="Arial" w:hAnsi="Arial" w:cs="Arial"/>
                <w:sz w:val="18"/>
                <w:szCs w:val="18"/>
                <w:lang w:val="en-GB"/>
              </w:rPr>
            </w:pPr>
            <w:r w:rsidRPr="00524DBD">
              <w:rPr>
                <w:rFonts w:ascii="Arial" w:hAnsi="Arial" w:cs="Arial"/>
                <w:sz w:val="18"/>
                <w:szCs w:val="18"/>
                <w:lang w:val="en-GB"/>
              </w:rPr>
              <w:t>(6)</w:t>
            </w:r>
          </w:p>
        </w:tc>
      </w:tr>
    </w:tbl>
    <w:p w14:paraId="3F3FD55B" w14:textId="258BC103" w:rsidR="005505AF" w:rsidRPr="00524DBD" w:rsidRDefault="005505AF" w:rsidP="00392CAD">
      <w:pPr>
        <w:pStyle w:val="CETBodytext"/>
        <w:spacing w:before="240" w:after="120"/>
        <w:rPr>
          <w:b/>
          <w:bCs/>
          <w:sz w:val="20"/>
          <w:lang w:val="en-GB"/>
        </w:rPr>
      </w:pPr>
      <w:r w:rsidRPr="00524DBD">
        <w:rPr>
          <w:b/>
          <w:bCs/>
          <w:sz w:val="20"/>
          <w:lang w:val="en-GB"/>
        </w:rPr>
        <w:t xml:space="preserve">3. </w:t>
      </w:r>
      <w:r w:rsidR="00464D3B" w:rsidRPr="00524DBD">
        <w:rPr>
          <w:b/>
          <w:bCs/>
          <w:sz w:val="20"/>
          <w:lang w:val="en-GB"/>
        </w:rPr>
        <w:t>Results and discussion</w:t>
      </w:r>
    </w:p>
    <w:p w14:paraId="1245A7AC" w14:textId="74B2BF9D" w:rsidR="000B1CF8" w:rsidRPr="00524DBD" w:rsidRDefault="00464D3B" w:rsidP="0077653A">
      <w:pPr>
        <w:pStyle w:val="CETBodytext"/>
        <w:rPr>
          <w:lang w:val="en-GB"/>
        </w:rPr>
      </w:pPr>
      <w:r w:rsidRPr="00524DBD">
        <w:rPr>
          <w:lang w:val="en-GB"/>
        </w:rPr>
        <w:t>Predicting soil erosion is an important step in erosion prevention because it makes it possible to identify areas at high erosion risk and to implement appropriate management strategies. By predicting soil erosion, it is possible to take proactive measures to prevent erosion rather than waiting until damage has already occurred. In order to prevent soil erosion, it was decided to develop a predictive elevation model based on DEM and remote sensing data. In the first phase of the study, DEM, namely the digital elevation map of the Advanced Spaceborne Thermal Emission and Reflection Radiometer (ASTER) V3, released in 2019, with a horizontal resolution of 30 m, was used to calculate LS coefficients for the rugged terrain of the pilot area</w:t>
      </w:r>
      <w:r w:rsidR="00C9134F">
        <w:rPr>
          <w:lang w:val="en-GB"/>
        </w:rPr>
        <w:t xml:space="preserve"> (Chen and</w:t>
      </w:r>
      <w:r w:rsidR="00C9134F" w:rsidRPr="00C9134F">
        <w:t xml:space="preserve"> </w:t>
      </w:r>
      <w:r w:rsidR="00C9134F" w:rsidRPr="00524DBD">
        <w:t>Nguyen</w:t>
      </w:r>
      <w:r w:rsidR="00C9134F">
        <w:rPr>
          <w:lang w:val="en-GB"/>
        </w:rPr>
        <w:t>, 2022)</w:t>
      </w:r>
      <w:r w:rsidRPr="00524DBD">
        <w:rPr>
          <w:lang w:val="en-GB"/>
        </w:rPr>
        <w:t>. The NASA Advanced Spaceborne Thermal Emission and Reflection Radiometer (ASTER) Version 3 global digital elevation model is available for download from The Land Processes Distributed Active Archive Center (LP DAAC) and includes land surfaces between 83° north latitude and 83° south latitude. Figure 2 shows a digital elevation map of the study area</w:t>
      </w:r>
      <w:r w:rsidR="00B14AF6" w:rsidRPr="00524DBD">
        <w:rPr>
          <w:lang w:val="en-GB"/>
        </w:rPr>
        <w:t>.</w:t>
      </w:r>
    </w:p>
    <w:p w14:paraId="78564ADA" w14:textId="2352CF87" w:rsidR="00B14AF6" w:rsidRPr="00524DBD" w:rsidRDefault="00B14AF6" w:rsidP="00B14AF6">
      <w:pPr>
        <w:pStyle w:val="CETBodytext"/>
        <w:spacing w:before="240" w:after="240"/>
        <w:jc w:val="left"/>
        <w:rPr>
          <w:lang w:val="en-GB"/>
        </w:rPr>
      </w:pPr>
      <w:r w:rsidRPr="00524DBD">
        <w:rPr>
          <w:noProof/>
          <w:lang w:val="ru-RU" w:eastAsia="ru-RU"/>
        </w:rPr>
        <w:drawing>
          <wp:inline distT="0" distB="0" distL="0" distR="0" wp14:anchorId="2632ADED" wp14:editId="0DC28977">
            <wp:extent cx="3438144" cy="26462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2654" cy="2757423"/>
                    </a:xfrm>
                    <a:prstGeom prst="rect">
                      <a:avLst/>
                    </a:prstGeom>
                  </pic:spPr>
                </pic:pic>
              </a:graphicData>
            </a:graphic>
          </wp:inline>
        </w:drawing>
      </w:r>
    </w:p>
    <w:p w14:paraId="21827E44" w14:textId="4FD88696" w:rsidR="00B14AF6" w:rsidRPr="00524DBD" w:rsidRDefault="00B14AF6" w:rsidP="00B14AF6">
      <w:pPr>
        <w:pStyle w:val="CETBodytext"/>
        <w:spacing w:before="240" w:after="240"/>
        <w:rPr>
          <w:i/>
          <w:color w:val="000000" w:themeColor="text1"/>
          <w:lang w:val="en-GB"/>
        </w:rPr>
      </w:pPr>
      <w:r w:rsidRPr="00524DBD">
        <w:rPr>
          <w:rStyle w:val="CETCaptionCarattere"/>
          <w:color w:val="000000" w:themeColor="text1"/>
        </w:rPr>
        <w:t xml:space="preserve">Figure 2: </w:t>
      </w:r>
      <w:r w:rsidR="00464D3B" w:rsidRPr="00524DBD">
        <w:rPr>
          <w:rStyle w:val="CETCaptionCarattere"/>
          <w:color w:val="000000" w:themeColor="text1"/>
        </w:rPr>
        <w:t>Digital elevation model of the study area: ASTER V3 (30 m)</w:t>
      </w:r>
    </w:p>
    <w:p w14:paraId="3B646E05" w14:textId="0EFEC9E5" w:rsidR="00777FD3" w:rsidRPr="00524DBD" w:rsidRDefault="00464D3B" w:rsidP="0077653A">
      <w:pPr>
        <w:pStyle w:val="CETBodytext"/>
        <w:rPr>
          <w:lang w:val="en-GB"/>
        </w:rPr>
      </w:pPr>
      <w:r w:rsidRPr="00524DBD">
        <w:rPr>
          <w:lang w:val="en-GB"/>
        </w:rPr>
        <w:t xml:space="preserve">In hilly terrain, the slope angle has a major effect on the rate of soil erosion. Shear stresses on soil particles increase as the overland flow velocity increases as the slope steepens. As the slope lengthens, overland flow and velocity increase, causing the erosive forces acting on the soil surface to increase. As topography determines the rate of surface runoff, it has a significant effect on soil erosion. Moving from slope to catchment, the LS coefficient is no longer based on a single slope profile with a uniform gradient and must be modified. In (Hrabalíková and Janeček, 2017) a hill was divided into several segments, which were assumed to be homogeneous in terms of slope gradient and soil properties. Panagos et al. (2021) proposed an LS equation for modelling complex topography. </w:t>
      </w:r>
      <w:r w:rsidR="00367F8C" w:rsidRPr="00524DBD">
        <w:rPr>
          <w:lang w:val="en-GB"/>
        </w:rPr>
        <w:t>An improved algorithm based on the work of Kabzhanova et al. (2022) was developed to calculate the LS coefficient, taking into account the FCOVER layer properties of Sentinel-2 L2A satellite images based on the Desmet and Govers equation and LS coefficient field modules presented in SAGA (System for Automated Geoscientific Analyses) GIS, which integrates a multiple flow algorithm. Data from Sentinel-2 L2A and other satellites with description of their characteristics are promptly received and processed 2-3 times a day at the East Kazakhstan Technical University (EKTU) named after D. Serikbayev, located in Ust-Kamenogorsk (Beisekenov et al., 2021).</w:t>
      </w:r>
      <w:r w:rsidRPr="00524DBD">
        <w:rPr>
          <w:lang w:val="en-GB"/>
        </w:rPr>
        <w:t xml:space="preserve"> The result of the LS coefficient calculation is presented in Figure 3a. Also a depression (valley) depth map has been plotted in Figure 3b.</w:t>
      </w:r>
    </w:p>
    <w:p w14:paraId="21639881" w14:textId="2FE7C3AB" w:rsidR="008B5569" w:rsidRPr="00524DBD" w:rsidRDefault="008453E8" w:rsidP="00C80F31">
      <w:pPr>
        <w:pStyle w:val="CETBodytext"/>
        <w:spacing w:before="240" w:after="240"/>
        <w:jc w:val="left"/>
        <w:rPr>
          <w:lang w:val="en-GB"/>
        </w:rPr>
      </w:pPr>
      <w:r w:rsidRPr="00524DBD">
        <w:rPr>
          <w:noProof/>
          <w:lang w:val="ru-RU" w:eastAsia="ru-RU"/>
        </w:rPr>
        <w:drawing>
          <wp:inline distT="0" distB="0" distL="0" distR="0" wp14:anchorId="6B3B7F28" wp14:editId="3D31F18A">
            <wp:extent cx="5394960" cy="2438716"/>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3464" cy="2451601"/>
                    </a:xfrm>
                    <a:prstGeom prst="rect">
                      <a:avLst/>
                    </a:prstGeom>
                    <a:noFill/>
                    <a:ln>
                      <a:noFill/>
                    </a:ln>
                  </pic:spPr>
                </pic:pic>
              </a:graphicData>
            </a:graphic>
          </wp:inline>
        </w:drawing>
      </w:r>
    </w:p>
    <w:p w14:paraId="57F540CA" w14:textId="1605E9FC" w:rsidR="008453E8" w:rsidRPr="00524DBD" w:rsidRDefault="005B65FD" w:rsidP="007338A2">
      <w:pPr>
        <w:pStyle w:val="CETBodytext"/>
        <w:spacing w:before="240" w:after="240"/>
        <w:rPr>
          <w:rStyle w:val="CETCaptionCarattere"/>
          <w:color w:val="000000" w:themeColor="text1"/>
        </w:rPr>
      </w:pPr>
      <w:r w:rsidRPr="00524DBD">
        <w:rPr>
          <w:rStyle w:val="CETCaptionCarattere"/>
          <w:color w:val="000000" w:themeColor="text1"/>
        </w:rPr>
        <w:t xml:space="preserve">Figure </w:t>
      </w:r>
      <w:r w:rsidR="00292E82" w:rsidRPr="00524DBD">
        <w:rPr>
          <w:rStyle w:val="CETCaptionCarattere"/>
          <w:color w:val="000000" w:themeColor="text1"/>
        </w:rPr>
        <w:t>3</w:t>
      </w:r>
      <w:r w:rsidRPr="00524DBD">
        <w:rPr>
          <w:rStyle w:val="CETCaptionCarattere"/>
          <w:color w:val="000000" w:themeColor="text1"/>
        </w:rPr>
        <w:t xml:space="preserve">: </w:t>
      </w:r>
      <w:r w:rsidR="00464D3B" w:rsidRPr="00524DBD">
        <w:rPr>
          <w:rStyle w:val="CETCaptionCarattere"/>
          <w:color w:val="000000" w:themeColor="text1"/>
        </w:rPr>
        <w:t>Maps based on the developed algorithm and DEM derived from ASTER V3 (30 m): a) LS factor; b) Valley Depth</w:t>
      </w:r>
      <w:r w:rsidR="00AA5E9E" w:rsidRPr="00524DBD">
        <w:rPr>
          <w:rStyle w:val="CETCaptionCarattere"/>
          <w:color w:val="000000" w:themeColor="text1"/>
        </w:rPr>
        <w:t>;</w:t>
      </w:r>
    </w:p>
    <w:p w14:paraId="2E0045A5" w14:textId="4B709279" w:rsidR="007338A2" w:rsidRPr="00524DBD" w:rsidRDefault="00464D3B" w:rsidP="0077653A">
      <w:pPr>
        <w:pStyle w:val="CETBodytext"/>
        <w:rPr>
          <w:lang w:val="en-GB"/>
        </w:rPr>
      </w:pPr>
      <w:r w:rsidRPr="00524DBD">
        <w:rPr>
          <w:lang w:val="en-GB"/>
        </w:rPr>
        <w:t>Based on Map 3a, a histogram of the LS factor of the study polygon was plotted in Figure 4a. It is shown that the DEM ASTER histogram has a fairly high peak between 0 and 1. The presence of red-burgundy colour in the histograms indicates the susceptibility of the soil to erosion</w:t>
      </w:r>
      <w:r w:rsidR="008453E8" w:rsidRPr="00524DBD">
        <w:rPr>
          <w:lang w:val="en-GB"/>
        </w:rPr>
        <w:t>.</w:t>
      </w:r>
    </w:p>
    <w:p w14:paraId="01E88876" w14:textId="5BAE2AE8" w:rsidR="00E968E9" w:rsidRPr="00524DBD" w:rsidRDefault="00464D3B" w:rsidP="00C80F31">
      <w:pPr>
        <w:pStyle w:val="CETBodytext"/>
        <w:spacing w:before="240" w:after="240"/>
        <w:jc w:val="left"/>
        <w:rPr>
          <w:i/>
          <w:color w:val="000000" w:themeColor="text1"/>
          <w:lang w:val="en-GB"/>
        </w:rPr>
      </w:pPr>
      <w:r w:rsidRPr="00524DBD">
        <w:rPr>
          <w:noProof/>
          <w:lang w:val="ru-RU" w:eastAsia="ru-RU"/>
        </w:rPr>
        <w:drawing>
          <wp:inline distT="0" distB="0" distL="0" distR="0" wp14:anchorId="43B0EFA1" wp14:editId="7C49C823">
            <wp:extent cx="3127248" cy="327880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2290" cy="3336518"/>
                    </a:xfrm>
                    <a:prstGeom prst="rect">
                      <a:avLst/>
                    </a:prstGeom>
                    <a:noFill/>
                    <a:ln>
                      <a:noFill/>
                    </a:ln>
                  </pic:spPr>
                </pic:pic>
              </a:graphicData>
            </a:graphic>
          </wp:inline>
        </w:drawing>
      </w:r>
    </w:p>
    <w:p w14:paraId="1A3F0A1F" w14:textId="61CAB793" w:rsidR="00D541DA" w:rsidRPr="00524DBD" w:rsidRDefault="00D541DA" w:rsidP="00D541DA">
      <w:pPr>
        <w:pStyle w:val="CETBodytext"/>
        <w:spacing w:before="240" w:after="240"/>
        <w:rPr>
          <w:rStyle w:val="CETCaptionCarattere"/>
          <w:color w:val="000000" w:themeColor="text1"/>
        </w:rPr>
      </w:pPr>
      <w:r w:rsidRPr="00524DBD">
        <w:rPr>
          <w:rStyle w:val="CETCaptionCarattere"/>
          <w:color w:val="000000" w:themeColor="text1"/>
        </w:rPr>
        <w:t xml:space="preserve">Figure </w:t>
      </w:r>
      <w:r w:rsidR="008453E8" w:rsidRPr="00524DBD">
        <w:rPr>
          <w:rStyle w:val="CETCaptionCarattere"/>
          <w:color w:val="000000" w:themeColor="text1"/>
        </w:rPr>
        <w:t>4</w:t>
      </w:r>
      <w:r w:rsidRPr="00524DBD">
        <w:rPr>
          <w:rStyle w:val="CETCaptionCarattere"/>
          <w:color w:val="000000" w:themeColor="text1"/>
        </w:rPr>
        <w:t xml:space="preserve">: </w:t>
      </w:r>
      <w:r w:rsidR="00464D3B" w:rsidRPr="00524DBD">
        <w:rPr>
          <w:rStyle w:val="CETCaptionCarattere"/>
          <w:color w:val="000000" w:themeColor="text1"/>
        </w:rPr>
        <w:t>LS factor distributions: a) histogram; b) cumulative curve</w:t>
      </w:r>
    </w:p>
    <w:p w14:paraId="5C64A961" w14:textId="3D51841B" w:rsidR="00464D3B" w:rsidRPr="00524DBD" w:rsidRDefault="00464D3B" w:rsidP="00464D3B">
      <w:pPr>
        <w:pStyle w:val="CETBodytext"/>
        <w:rPr>
          <w:lang w:val="en-GB"/>
        </w:rPr>
      </w:pPr>
      <w:r w:rsidRPr="00524DBD">
        <w:rPr>
          <w:lang w:val="en-GB"/>
        </w:rPr>
        <w:t>Looking at the distribution of the cumulative density of the LS factor (Figure 4b), it can be seen that the curve at LS has one peak, with a smooth concentration of points, with a calculated value of potential soil erosion up to 10 t</w:t>
      </w:r>
      <w:r w:rsidR="00445422" w:rsidRPr="00524DBD">
        <w:rPr>
          <w:lang w:val="en-GB"/>
        </w:rPr>
        <w:t xml:space="preserve"> </w:t>
      </w:r>
      <w:r w:rsidRPr="00524DBD">
        <w:rPr>
          <w:lang w:val="en-GB"/>
        </w:rPr>
        <w:t>ha</w:t>
      </w:r>
      <w:r w:rsidR="00445422" w:rsidRPr="00524DBD">
        <w:rPr>
          <w:vertAlign w:val="superscript"/>
          <w:lang w:val="en-GB"/>
        </w:rPr>
        <w:t>-1</w:t>
      </w:r>
      <w:r w:rsidRPr="00524DBD">
        <w:rPr>
          <w:lang w:val="en-GB"/>
        </w:rPr>
        <w:t xml:space="preserve">, and actual soil loss subsequently due to gully formation, which is about 185 ha of land, suggesting average risk of soil exposure to future erosion. The LS factor quantifies the effect of topography on soil erosion and also has the greatest impact on the loss of fertile soil. </w:t>
      </w:r>
    </w:p>
    <w:p w14:paraId="1CC2D617" w14:textId="77777777" w:rsidR="00464D3B" w:rsidRPr="00524DBD" w:rsidRDefault="00464D3B" w:rsidP="00464D3B">
      <w:pPr>
        <w:pStyle w:val="CETBodytext"/>
        <w:rPr>
          <w:lang w:val="en-GB"/>
        </w:rPr>
      </w:pPr>
      <w:r w:rsidRPr="00524DBD">
        <w:rPr>
          <w:lang w:val="en-GB"/>
        </w:rPr>
        <w:t>This study has generated the following recommendations:</w:t>
      </w:r>
    </w:p>
    <w:p w14:paraId="799C00C0" w14:textId="77777777" w:rsidR="00464D3B" w:rsidRPr="00524DBD" w:rsidRDefault="00464D3B" w:rsidP="00464D3B">
      <w:pPr>
        <w:pStyle w:val="CETBodytext"/>
        <w:rPr>
          <w:lang w:val="en-GB"/>
        </w:rPr>
      </w:pPr>
      <w:r w:rsidRPr="00524DBD">
        <w:rPr>
          <w:lang w:val="en-GB"/>
        </w:rPr>
        <w:t>- Using RUSLE models, researchers can compare soil erosion analyses over different historical periods;</w:t>
      </w:r>
    </w:p>
    <w:p w14:paraId="70D5C221" w14:textId="77777777" w:rsidR="00464D3B" w:rsidRPr="00524DBD" w:rsidRDefault="00464D3B" w:rsidP="00464D3B">
      <w:pPr>
        <w:pStyle w:val="CETBodytext"/>
        <w:rPr>
          <w:lang w:val="en-GB"/>
        </w:rPr>
      </w:pPr>
      <w:r w:rsidRPr="00524DBD">
        <w:rPr>
          <w:lang w:val="en-GB"/>
        </w:rPr>
        <w:t>- to determine the average rate of soil erosion in certain polygons, it is recommended to use the average of the products of five erosion factors (precipitation erosion factor Rm, soil erodibility factor Km, topographic factor LS, cover management factor C and support practice factor P);</w:t>
      </w:r>
    </w:p>
    <w:p w14:paraId="2051272C" w14:textId="64588AD7" w:rsidR="00C9134F" w:rsidRDefault="00C9134F" w:rsidP="00464D3B">
      <w:pPr>
        <w:pStyle w:val="CETBodytext"/>
        <w:rPr>
          <w:lang w:val="en-GB"/>
        </w:rPr>
      </w:pPr>
      <w:r w:rsidRPr="00C9134F">
        <w:rPr>
          <w:lang w:val="en-GB"/>
        </w:rPr>
        <w:t>- to calculate the maximum absolute error (10.6% to 28.4%, depending on DEM and catchment), it is recommended to use the mean value of the products, which can be approximated by the product of the means given in Eq (6)</w:t>
      </w:r>
      <w:r>
        <w:rPr>
          <w:lang w:val="en-GB"/>
        </w:rPr>
        <w:t>.</w:t>
      </w:r>
    </w:p>
    <w:p w14:paraId="4D1822B2" w14:textId="095F1910" w:rsidR="00464D3B" w:rsidRPr="00524DBD" w:rsidRDefault="00464D3B" w:rsidP="00464D3B">
      <w:pPr>
        <w:pStyle w:val="CETBodytext"/>
        <w:rPr>
          <w:lang w:val="en-GB"/>
        </w:rPr>
      </w:pPr>
      <w:r w:rsidRPr="00524DBD">
        <w:rPr>
          <w:lang w:val="en-GB"/>
        </w:rPr>
        <w:t xml:space="preserve">- as an approximation, it is possible to analyse specific erosion factors separately and compare them across areas and countries to determine their proportional impact on overall soil loss in different parts of the world. </w:t>
      </w:r>
    </w:p>
    <w:p w14:paraId="450130F9" w14:textId="31F7EC0B" w:rsidR="00565087" w:rsidRPr="00524DBD" w:rsidRDefault="00464D3B" w:rsidP="00464D3B">
      <w:pPr>
        <w:pStyle w:val="CETBodytext"/>
        <w:rPr>
          <w:lang w:val="en-GB"/>
        </w:rPr>
      </w:pPr>
      <w:r w:rsidRPr="00524DBD">
        <w:rPr>
          <w:lang w:val="en-GB"/>
        </w:rPr>
        <w:t>In order to develop measures to restore soil fertility and prevent future erosion, a model has been developed based on the overlay of ERS material on the DEM, which provides additional options for interpreting the DEM and predicting soil erosion over the next decades (Figure 5)</w:t>
      </w:r>
      <w:r w:rsidR="00565087" w:rsidRPr="00524DBD">
        <w:rPr>
          <w:lang w:val="en-GB"/>
        </w:rPr>
        <w:t>.</w:t>
      </w:r>
    </w:p>
    <w:p w14:paraId="0790E391" w14:textId="77777777" w:rsidR="00565087" w:rsidRPr="00524DBD" w:rsidRDefault="00565087" w:rsidP="00565087">
      <w:pPr>
        <w:pStyle w:val="CETBodytext"/>
        <w:spacing w:before="240" w:after="240"/>
        <w:jc w:val="left"/>
        <w:rPr>
          <w:lang w:val="en-GB"/>
        </w:rPr>
      </w:pPr>
      <w:r w:rsidRPr="00524DBD">
        <w:rPr>
          <w:noProof/>
          <w:lang w:val="ru-RU" w:eastAsia="ru-RU"/>
        </w:rPr>
        <w:drawing>
          <wp:inline distT="0" distB="0" distL="0" distR="0" wp14:anchorId="5647F19A" wp14:editId="210C76BE">
            <wp:extent cx="5584877" cy="3990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3615" cy="4039219"/>
                    </a:xfrm>
                    <a:prstGeom prst="rect">
                      <a:avLst/>
                    </a:prstGeom>
                    <a:noFill/>
                    <a:ln>
                      <a:noFill/>
                    </a:ln>
                  </pic:spPr>
                </pic:pic>
              </a:graphicData>
            </a:graphic>
          </wp:inline>
        </w:drawing>
      </w:r>
    </w:p>
    <w:p w14:paraId="5C76D7F6" w14:textId="09140D8E" w:rsidR="00565087" w:rsidRPr="00524DBD" w:rsidRDefault="00565087" w:rsidP="00565087">
      <w:pPr>
        <w:pStyle w:val="CETBodytext"/>
        <w:spacing w:before="240" w:after="240"/>
        <w:rPr>
          <w:rStyle w:val="CETCaptionCarattere"/>
          <w:color w:val="000000" w:themeColor="text1"/>
        </w:rPr>
      </w:pPr>
      <w:r w:rsidRPr="00524DBD">
        <w:rPr>
          <w:rStyle w:val="CETCaptionCarattere"/>
          <w:color w:val="000000" w:themeColor="text1"/>
        </w:rPr>
        <w:t xml:space="preserve">Figure 5: </w:t>
      </w:r>
      <w:r w:rsidR="00464D3B" w:rsidRPr="00524DBD">
        <w:rPr>
          <w:rStyle w:val="CETCaptionCarattere"/>
          <w:color w:val="000000" w:themeColor="text1"/>
        </w:rPr>
        <w:t>3D model of predicted elevation map (DEM) of the study area with Sentinel-2 L2A image overlay (18.08.2022</w:t>
      </w:r>
      <w:r w:rsidRPr="00524DBD">
        <w:rPr>
          <w:rStyle w:val="CETCaptionCarattere"/>
          <w:color w:val="000000" w:themeColor="text1"/>
        </w:rPr>
        <w:t>)</w:t>
      </w:r>
    </w:p>
    <w:p w14:paraId="5BB5E57F" w14:textId="77777777" w:rsidR="00464D3B" w:rsidRPr="00524DBD" w:rsidRDefault="00464D3B" w:rsidP="00464D3B">
      <w:pPr>
        <w:pStyle w:val="CETBodytext"/>
        <w:rPr>
          <w:lang w:val="en-GB"/>
        </w:rPr>
      </w:pPr>
      <w:r w:rsidRPr="00524DBD">
        <w:rPr>
          <w:lang w:val="en-GB"/>
        </w:rPr>
        <w:t xml:space="preserve">This 3D model shows the formed gullies. It is shown that these gullies correlate well with the linear elements of the Valley Depth option maps presented in Figure 3b above. </w:t>
      </w:r>
    </w:p>
    <w:p w14:paraId="4AAA1DB4" w14:textId="6C3216CC" w:rsidR="005A5E99" w:rsidRPr="00524DBD" w:rsidRDefault="00464D3B" w:rsidP="00464D3B">
      <w:pPr>
        <w:pStyle w:val="CETBodytext"/>
        <w:rPr>
          <w:lang w:val="en-GB"/>
        </w:rPr>
      </w:pPr>
      <w:r w:rsidRPr="00524DBD">
        <w:rPr>
          <w:lang w:val="en-GB"/>
        </w:rPr>
        <w:t>It is known that one of the most important components of healthy soil is humus. According to the agrochemical analysis for 2022, the humus content in the experimental plot varies between 0.82-1.66%, which is a critically high deviation from the norm. Following the example of the authors (Schoonover et al., 2015), measures are proposed to control gully erosion by increasing the organic matter content of the soil. The required predicted increase of organic matter is 3.5-5% for chestnut type soils. The recommended method of covering the soil with a layer of organic material is mulching. Given the topography of the study area, terraced sideratum sowing should be applied to prevent erosion on steep slopes. Another recommended technique is contour farming, which involves planting crops or vegetation along the contours of the slope rather than up and down the slope. This helps to slow the flow of water, reducing its erosive force and preventing further expansion and growth of gullies</w:t>
      </w:r>
      <w:r w:rsidR="005A5E99" w:rsidRPr="00524DBD">
        <w:rPr>
          <w:lang w:val="en-GB"/>
        </w:rPr>
        <w:t>.</w:t>
      </w:r>
    </w:p>
    <w:p w14:paraId="63DA268F" w14:textId="77777777" w:rsidR="00552D11" w:rsidRPr="00524DBD" w:rsidRDefault="00552D11" w:rsidP="00552D11">
      <w:pPr>
        <w:keepNext/>
        <w:numPr>
          <w:ilvl w:val="1"/>
          <w:numId w:val="25"/>
        </w:numPr>
        <w:tabs>
          <w:tab w:val="right" w:pos="7100"/>
        </w:tabs>
        <w:suppressAutoHyphens/>
        <w:spacing w:before="240" w:after="120" w:line="264" w:lineRule="auto"/>
        <w:jc w:val="both"/>
        <w:rPr>
          <w:rFonts w:ascii="Arial" w:hAnsi="Arial" w:cs="Arial"/>
          <w:b/>
          <w:sz w:val="20"/>
          <w:szCs w:val="20"/>
          <w:lang w:val="en-GB"/>
        </w:rPr>
      </w:pPr>
      <w:r w:rsidRPr="00524DBD">
        <w:rPr>
          <w:rFonts w:ascii="Arial" w:hAnsi="Arial" w:cs="Arial"/>
          <w:b/>
          <w:sz w:val="20"/>
          <w:szCs w:val="20"/>
          <w:lang w:val="en-GB"/>
        </w:rPr>
        <w:t>Conclusion</w:t>
      </w:r>
    </w:p>
    <w:p w14:paraId="61931605" w14:textId="61D09F4F" w:rsidR="002642F2" w:rsidRPr="00524DBD" w:rsidRDefault="00464D3B">
      <w:pPr>
        <w:pStyle w:val="CETBodytext"/>
        <w:rPr>
          <w:rFonts w:cs="Arial"/>
          <w:lang w:val="en-GB"/>
        </w:rPr>
      </w:pPr>
      <w:r w:rsidRPr="00524DBD">
        <w:rPr>
          <w:rFonts w:cs="Arial"/>
          <w:lang w:val="en-GB"/>
        </w:rPr>
        <w:t>Based on the analysis of relationships between DEM and topographic coefficient LS of the RUSLE model, the current state of soil erosion of the experimental polygon was assessed in this paper. It was found that one of the main causes of erosion is critically low content of humus in the soil in the range of 0.82-1.66%, also calculations of actual soil losses after gully formation, which is about 185 h</w:t>
      </w:r>
      <w:r w:rsidR="001E3052" w:rsidRPr="00524DBD">
        <w:rPr>
          <w:rFonts w:cs="Arial"/>
          <w:lang w:val="en-GB"/>
        </w:rPr>
        <w:t>a</w:t>
      </w:r>
      <w:r w:rsidRPr="00524DBD">
        <w:rPr>
          <w:rFonts w:cs="Arial"/>
          <w:lang w:val="en-GB"/>
        </w:rPr>
        <w:t xml:space="preserve"> of land were performed. In order to prevent further soil erosion, conservation and restoration of fertility a predictive model of the study site relief and increase of humus content up to 3.5-5% has been developed. Soil erosion prediction is shown to be an important step in soil erosion prevention by identifying areas at high erosion risk and implementing appropriate management strategies. Thus, by combining GIS, remote sensing technology and mathematical modelling, a new approach to obtain valuable information for monitoring and analysing soil erosion in agricultural landscapes has been developed. The results of this study demonstrate the effectiveness of spatial modelling techniques in identifying soil erosion and adopting necessary measures to improve soil quality and fertility. Further research is needed to explore the potential of these techniques to improve soil health and productivity in agricultural landscapes</w:t>
      </w:r>
      <w:r w:rsidR="00253DB7" w:rsidRPr="00524DBD">
        <w:rPr>
          <w:rFonts w:cs="Arial"/>
          <w:lang w:val="en-GB"/>
        </w:rPr>
        <w:t>.</w:t>
      </w:r>
    </w:p>
    <w:p w14:paraId="5DC63DCD" w14:textId="77777777" w:rsidR="00552D11" w:rsidRPr="00524DBD" w:rsidRDefault="00552D11" w:rsidP="00552D11">
      <w:pPr>
        <w:spacing w:before="200" w:after="120" w:line="264" w:lineRule="auto"/>
        <w:rPr>
          <w:rFonts w:ascii="Arial" w:hAnsi="Arial" w:cs="Arial"/>
          <w:b/>
          <w:sz w:val="18"/>
          <w:szCs w:val="20"/>
          <w:lang w:val="en-GB"/>
        </w:rPr>
      </w:pPr>
      <w:r w:rsidRPr="00524DBD">
        <w:rPr>
          <w:rFonts w:ascii="Arial" w:hAnsi="Arial" w:cs="Arial"/>
          <w:b/>
          <w:sz w:val="18"/>
          <w:szCs w:val="20"/>
          <w:lang w:val="en-GB"/>
        </w:rPr>
        <w:t>Acknowledgements</w:t>
      </w:r>
    </w:p>
    <w:p w14:paraId="193DC248" w14:textId="2F5F6129" w:rsidR="00552D11" w:rsidRPr="004E7F13" w:rsidRDefault="00552D11" w:rsidP="00552D11">
      <w:pPr>
        <w:tabs>
          <w:tab w:val="right" w:pos="7100"/>
        </w:tabs>
        <w:spacing w:line="264" w:lineRule="auto"/>
        <w:jc w:val="both"/>
        <w:rPr>
          <w:rFonts w:ascii="Arial" w:hAnsi="Arial" w:cs="Arial"/>
          <w:sz w:val="18"/>
          <w:szCs w:val="20"/>
          <w:lang w:val="en-US"/>
        </w:rPr>
      </w:pPr>
      <w:r w:rsidRPr="00524DBD">
        <w:rPr>
          <w:rFonts w:ascii="Arial" w:hAnsi="Arial" w:cs="Arial"/>
          <w:sz w:val="18"/>
          <w:szCs w:val="20"/>
          <w:lang w:val="en-GB"/>
        </w:rPr>
        <w:t>This research has been supported by the Project BR10865102 "Development of technologies for remote sensing of the earth (RSE) to improve agricultural management", funded by the Ministry of Agriculture of the Republic of Kazakhstan</w:t>
      </w:r>
      <w:r w:rsidR="004E7F13">
        <w:rPr>
          <w:rFonts w:ascii="Arial" w:hAnsi="Arial" w:cs="Arial"/>
          <w:sz w:val="18"/>
          <w:szCs w:val="20"/>
          <w:lang w:val="en-US"/>
        </w:rPr>
        <w:t>.</w:t>
      </w:r>
      <w:bookmarkStart w:id="0" w:name="_GoBack"/>
      <w:bookmarkEnd w:id="0"/>
    </w:p>
    <w:p w14:paraId="4B9CC288" w14:textId="165ABA3C" w:rsidR="00B752A6" w:rsidRPr="00524DBD" w:rsidRDefault="00552D11" w:rsidP="00B752A6">
      <w:pPr>
        <w:spacing w:before="200" w:after="120" w:line="264" w:lineRule="auto"/>
        <w:rPr>
          <w:rFonts w:ascii="Arial" w:hAnsi="Arial"/>
          <w:b/>
          <w:sz w:val="18"/>
          <w:szCs w:val="20"/>
          <w:lang w:val="en-GB"/>
        </w:rPr>
      </w:pPr>
      <w:r w:rsidRPr="00524DBD">
        <w:rPr>
          <w:rFonts w:ascii="Arial" w:hAnsi="Arial" w:cs="Arial"/>
          <w:b/>
          <w:sz w:val="18"/>
          <w:szCs w:val="18"/>
          <w:lang w:val="en-GB"/>
        </w:rPr>
        <w:t>References</w:t>
      </w:r>
    </w:p>
    <w:p w14:paraId="67828246" w14:textId="77777777" w:rsidR="003A7DEF" w:rsidRPr="00524DBD" w:rsidRDefault="003A7DEF" w:rsidP="000F69D3">
      <w:pPr>
        <w:pStyle w:val="CETReferencetext"/>
      </w:pPr>
      <w:r w:rsidRPr="00524DBD">
        <w:t>Beisekenov N.A., Sadenova M.A., Varba</w:t>
      </w:r>
      <w:r>
        <w:t>nov</w:t>
      </w:r>
      <w:r w:rsidRPr="00524DBD">
        <w:t xml:space="preserve"> P.S</w:t>
      </w:r>
      <w:r w:rsidRPr="005F2F64">
        <w:t>.,</w:t>
      </w:r>
      <w:r w:rsidRPr="00CD354B">
        <w:rPr>
          <w:lang w:val="en-US"/>
        </w:rPr>
        <w:t xml:space="preserve"> </w:t>
      </w:r>
      <w:r w:rsidRPr="00524DBD">
        <w:t>2021. Mathematical Optimization as A Tool for the Development of</w:t>
      </w:r>
      <w:r w:rsidRPr="00CD354B">
        <w:rPr>
          <w:lang w:val="en-US"/>
        </w:rPr>
        <w:t xml:space="preserve"> </w:t>
      </w:r>
      <w:r>
        <w:t>"</w:t>
      </w:r>
      <w:r w:rsidRPr="00524DBD">
        <w:t>Sm</w:t>
      </w:r>
      <w:r>
        <w:t xml:space="preserve">art" Agriculture in Kazakhstan. </w:t>
      </w:r>
      <w:r w:rsidRPr="00524DBD">
        <w:t>Che</w:t>
      </w:r>
      <w:r>
        <w:t xml:space="preserve">mical Engineering Transactions, </w:t>
      </w:r>
      <w:r w:rsidRPr="00524DBD">
        <w:t>88, 1219-1224.</w:t>
      </w:r>
    </w:p>
    <w:p w14:paraId="14CCB550" w14:textId="77777777" w:rsidR="003A7DEF" w:rsidRPr="00524DBD" w:rsidRDefault="003A7DEF" w:rsidP="000F69D3">
      <w:pPr>
        <w:pStyle w:val="CETReferencetext"/>
      </w:pPr>
      <w:r w:rsidRPr="00524DBD">
        <w:t>Chen W., Nguyen K.A., 2022. The New Island-Wide LS Factors of Taiwan, with Comparison with EU Na</w:t>
      </w:r>
      <w:r>
        <w:t xml:space="preserve">tions. Sustainability, </w:t>
      </w:r>
      <w:r w:rsidRPr="00524DBD">
        <w:t>14(5), 3059.</w:t>
      </w:r>
    </w:p>
    <w:p w14:paraId="0C547789" w14:textId="77777777" w:rsidR="003A7DEF" w:rsidRPr="00524DBD" w:rsidRDefault="003A7DEF" w:rsidP="000F69D3">
      <w:pPr>
        <w:pStyle w:val="CETReferencetext"/>
      </w:pPr>
      <w:r w:rsidRPr="003A7DEF">
        <w:t>Conrad O., Bechtel B., Bock M., Dietrich H., Fischer</w:t>
      </w:r>
      <w:r>
        <w:t xml:space="preserve"> </w:t>
      </w:r>
      <w:r w:rsidRPr="003A7DEF">
        <w:t>E., Gerlitz L., Wehberg J., Wichmann V.</w:t>
      </w:r>
      <w:r>
        <w:t>,</w:t>
      </w:r>
      <w:r w:rsidRPr="003A7DEF">
        <w:t xml:space="preserve"> Böhner J., 2015</w:t>
      </w:r>
      <w:r>
        <w:t>,</w:t>
      </w:r>
      <w:r w:rsidRPr="003A7DEF">
        <w:t xml:space="preserve"> System for automated geoscientific analyses (SAGA) v. 2.1. 4. Geoscientific Model Development, 8(7), pp.1991-2007.</w:t>
      </w:r>
    </w:p>
    <w:p w14:paraId="1F7A8276" w14:textId="77777777" w:rsidR="003A7DEF" w:rsidRPr="00524DBD" w:rsidRDefault="003A7DEF" w:rsidP="00716640">
      <w:pPr>
        <w:pStyle w:val="CETReferencetext"/>
      </w:pPr>
      <w:r>
        <w:t>Desmet P. J.J., Govers G.</w:t>
      </w:r>
      <w:r w:rsidRPr="005F2F64">
        <w:t>,</w:t>
      </w:r>
      <w:r w:rsidRPr="00C9134F">
        <w:rPr>
          <w:lang w:val="en-US"/>
        </w:rPr>
        <w:t xml:space="preserve"> </w:t>
      </w:r>
      <w:r w:rsidRPr="00524DBD">
        <w:t>1996. A GIS procedure for automatically calculating the USLE LS factor on topograph</w:t>
      </w:r>
      <w:r>
        <w:t xml:space="preserve">ically complex landscape units. </w:t>
      </w:r>
      <w:r w:rsidRPr="00524DBD">
        <w:t xml:space="preserve">Journal </w:t>
      </w:r>
      <w:r>
        <w:t xml:space="preserve">of soil and water conservation, </w:t>
      </w:r>
      <w:r w:rsidRPr="00524DBD">
        <w:t>51(5), 427-433.</w:t>
      </w:r>
    </w:p>
    <w:p w14:paraId="39EBAB7B" w14:textId="77777777" w:rsidR="003A7DEF" w:rsidRPr="00524DBD" w:rsidRDefault="003A7DEF" w:rsidP="00716640">
      <w:pPr>
        <w:pStyle w:val="CETReferencetext"/>
      </w:pPr>
      <w:bookmarkStart w:id="1" w:name="_Hlk130049692"/>
      <w:r w:rsidRPr="00524DBD">
        <w:t>Hrabalíková M., Janeček</w:t>
      </w:r>
      <w:bookmarkEnd w:id="1"/>
      <w:r w:rsidRPr="00524DBD">
        <w:t xml:space="preserve"> M., 2017. Comparison of different approaches to LS factor calculations based on a measured soil</w:t>
      </w:r>
      <w:r>
        <w:t xml:space="preserve"> loss under simulated rainfall. Soil and Water Research, </w:t>
      </w:r>
      <w:r w:rsidRPr="00524DBD">
        <w:t>12(2), 69-77.</w:t>
      </w:r>
    </w:p>
    <w:p w14:paraId="211E5385" w14:textId="77777777" w:rsidR="003A7DEF" w:rsidRPr="00524DBD" w:rsidRDefault="003A7DEF" w:rsidP="00716640">
      <w:pPr>
        <w:pStyle w:val="CETReferencetext"/>
      </w:pPr>
      <w:r w:rsidRPr="00524DBD">
        <w:t>Kabzhanova G.R., Sadenova M.A., Beisekenov N.A., Bissembayev A.T., 2022. Efficiency of Using Earth Remote Sensing Data for The Rat</w:t>
      </w:r>
      <w:r>
        <w:t xml:space="preserve">ional Use of Agricultural Land. </w:t>
      </w:r>
      <w:r w:rsidRPr="00524DBD">
        <w:t>Che</w:t>
      </w:r>
      <w:r>
        <w:t xml:space="preserve">mical Engineering Transactions, </w:t>
      </w:r>
      <w:r w:rsidRPr="00524DBD">
        <w:t>94, 1237-1242.</w:t>
      </w:r>
    </w:p>
    <w:p w14:paraId="2376D3E2" w14:textId="77777777" w:rsidR="003A7DEF" w:rsidRPr="00524DBD" w:rsidRDefault="003A7DEF" w:rsidP="000F69D3">
      <w:pPr>
        <w:pStyle w:val="CETReferencetext"/>
      </w:pPr>
      <w:r w:rsidRPr="00524DBD">
        <w:t>Li J.Y., Yang K.J., Chen W., 2016. Approximation equation of</w:t>
      </w:r>
      <w:r>
        <w:t xml:space="preserve"> erosion calculation in GIS. In </w:t>
      </w:r>
      <w:r w:rsidRPr="00524DBD">
        <w:t>Proceedings of the 37th Asian Conference on Remote Sens</w:t>
      </w:r>
      <w:r>
        <w:t xml:space="preserve">ing, ACRS, Colombo, Sri Lanka. </w:t>
      </w:r>
      <w:r w:rsidRPr="00524DBD">
        <w:t>p. 17-21.</w:t>
      </w:r>
    </w:p>
    <w:p w14:paraId="20AB5248" w14:textId="77777777" w:rsidR="003A7DEF" w:rsidRPr="00524DBD" w:rsidRDefault="003A7DEF" w:rsidP="000F69D3">
      <w:pPr>
        <w:pStyle w:val="CETReferencetext"/>
      </w:pPr>
      <w:r w:rsidRPr="00524DBD">
        <w:t>Lytos A., Lagkas T., Sarigiannidis P., Zervakis M. Livanos G., 2020. Towards smart farming: Systems, frameworks and exploitation of multi</w:t>
      </w:r>
      <w:r>
        <w:t xml:space="preserve">ple sources. Computer Networks, </w:t>
      </w:r>
      <w:r w:rsidRPr="00524DBD">
        <w:t>172, p.107147.</w:t>
      </w:r>
    </w:p>
    <w:p w14:paraId="67804B14" w14:textId="77777777" w:rsidR="003A7DEF" w:rsidRPr="00524DBD" w:rsidRDefault="003A7DEF" w:rsidP="000F69D3">
      <w:pPr>
        <w:pStyle w:val="CETReferencetext"/>
      </w:pPr>
      <w:r w:rsidRPr="00524DBD">
        <w:t>Michalopoulou M., Depountis N., Nikolakopoulos K., Boumpoulis V., 2022. The Significance of Digital Elevation Models in the Calculation</w:t>
      </w:r>
      <w:r>
        <w:t xml:space="preserve"> of LS Factor and Soil Erosion. Land, </w:t>
      </w:r>
      <w:r w:rsidRPr="00524DBD">
        <w:t>11(9), 1592.</w:t>
      </w:r>
    </w:p>
    <w:p w14:paraId="3FCD1D93" w14:textId="77777777" w:rsidR="003A7DEF" w:rsidRPr="00524DBD" w:rsidRDefault="003A7DEF" w:rsidP="00B752A6">
      <w:pPr>
        <w:pStyle w:val="CETReferencetext"/>
      </w:pPr>
      <w:r w:rsidRPr="00524DBD">
        <w:t>Panagos P., Ballabio C., Himics M., Scarpa S., Matthews F., Bogonos M., Borrelli P., 2021. Projections of soil loss by w</w:t>
      </w:r>
      <w:r>
        <w:t xml:space="preserve">ater erosion in Europe by 2050. Environmental Science &amp; Policy, </w:t>
      </w:r>
      <w:r w:rsidRPr="00524DBD">
        <w:t>124, 380-392.</w:t>
      </w:r>
    </w:p>
    <w:p w14:paraId="3AF46C0A" w14:textId="77777777" w:rsidR="003A7DEF" w:rsidRPr="00524DBD" w:rsidRDefault="003A7DEF" w:rsidP="000F69D3">
      <w:pPr>
        <w:pStyle w:val="CETReferencetext"/>
      </w:pPr>
      <w:r w:rsidRPr="00524DBD">
        <w:t>Pimentel D., Burgess M., 2013. Soil ero</w:t>
      </w:r>
      <w:r>
        <w:t xml:space="preserve">sion threatens food production. Agriculture, </w:t>
      </w:r>
      <w:r w:rsidRPr="00524DBD">
        <w:t>3(3), pp.443-463.</w:t>
      </w:r>
    </w:p>
    <w:p w14:paraId="4DE19B17" w14:textId="77777777" w:rsidR="003A7DEF" w:rsidRPr="00524DBD" w:rsidRDefault="003A7DEF" w:rsidP="00716640">
      <w:pPr>
        <w:pStyle w:val="CETReferencetext"/>
      </w:pPr>
      <w:r w:rsidRPr="00524DBD">
        <w:t>Radoglou-Grammatikis P., Sarigiannidis P., Lagkas T., Moscholios I., 2020. A compilation of UAV applications for precision agriculture. Computer Networks, 172, p.107148</w:t>
      </w:r>
    </w:p>
    <w:p w14:paraId="6307AAED" w14:textId="77777777" w:rsidR="003A7DEF" w:rsidRPr="00524DBD" w:rsidRDefault="003A7DEF" w:rsidP="000F69D3">
      <w:pPr>
        <w:pStyle w:val="CETReferencetext"/>
      </w:pPr>
      <w:r w:rsidRPr="00524DBD">
        <w:t xml:space="preserve">Rosenzweig C. Hillel D., 1995. Potential impacts of climate change </w:t>
      </w:r>
      <w:r>
        <w:t xml:space="preserve">on agriculture and food supply. Consequences, 1(2), </w:t>
      </w:r>
      <w:r w:rsidRPr="00524DBD">
        <w:t>p.23-32.</w:t>
      </w:r>
    </w:p>
    <w:p w14:paraId="383543AE" w14:textId="77777777" w:rsidR="003A7DEF" w:rsidRPr="00524DBD" w:rsidRDefault="003A7DEF" w:rsidP="000F69D3">
      <w:pPr>
        <w:pStyle w:val="CETReferencetext"/>
      </w:pPr>
      <w:r w:rsidRPr="00524DBD">
        <w:t>Schoonover J.E., Crim J.F., 2015. An introduction to soil concepts and the role of</w:t>
      </w:r>
      <w:r>
        <w:t xml:space="preserve"> soils in watershed management. </w:t>
      </w:r>
      <w:r w:rsidRPr="00524DBD">
        <w:t>Journal of Contempor</w:t>
      </w:r>
      <w:r>
        <w:t xml:space="preserve">ary Water Research &amp; Education, </w:t>
      </w:r>
      <w:r w:rsidRPr="00524DBD">
        <w:t>154(1), 21-47.</w:t>
      </w:r>
    </w:p>
    <w:p w14:paraId="6E722E2B" w14:textId="77777777" w:rsidR="003A7DEF" w:rsidRDefault="003A7DEF" w:rsidP="000F69D3">
      <w:pPr>
        <w:pStyle w:val="CETReferencetext"/>
      </w:pPr>
      <w:r w:rsidRPr="00524DBD">
        <w:t>Thapa P., 2020. Spatial estimation of soil erosion using RUSLE modeling: a case study of Dolakha district, Nepal. Environmental Systems Research, 9, 1-10.</w:t>
      </w:r>
    </w:p>
    <w:sectPr w:rsidR="003A7DEF"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DFBFE0" w14:textId="77777777" w:rsidR="000A0F6A" w:rsidRDefault="000A0F6A" w:rsidP="004F5E36">
      <w:r>
        <w:rPr>
          <w:lang w:val="ru"/>
        </w:rPr>
        <w:separator/>
      </w:r>
    </w:p>
  </w:endnote>
  <w:endnote w:type="continuationSeparator" w:id="0">
    <w:p w14:paraId="58D3DF80" w14:textId="77777777" w:rsidR="000A0F6A" w:rsidRDefault="000A0F6A" w:rsidP="004F5E36">
      <w:r>
        <w:rPr>
          <w:lang w:val="ru"/>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FA02BC" w14:textId="77777777" w:rsidR="000A0F6A" w:rsidRDefault="000A0F6A" w:rsidP="004F5E36">
      <w:r>
        <w:rPr>
          <w:lang w:val="ru"/>
        </w:rPr>
        <w:separator/>
      </w:r>
    </w:p>
  </w:footnote>
  <w:footnote w:type="continuationSeparator" w:id="0">
    <w:p w14:paraId="6E4DC4D5" w14:textId="77777777" w:rsidR="000A0F6A" w:rsidRDefault="000A0F6A" w:rsidP="004F5E36">
      <w:r>
        <w:rPr>
          <w:lang w:val="ru"/>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D193CAD"/>
    <w:multiLevelType w:val="hybridMultilevel"/>
    <w:tmpl w:val="453ED272"/>
    <w:lvl w:ilvl="0" w:tplc="A2E850B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52189F"/>
    <w:multiLevelType w:val="hybridMultilevel"/>
    <w:tmpl w:val="9F7847F4"/>
    <w:lvl w:ilvl="0" w:tplc="B0BEEA8E">
      <w:start w:val="1"/>
      <w:numFmt w:val="decimal"/>
      <w:lvlText w:val="%1."/>
      <w:lvlJc w:val="left"/>
      <w:pPr>
        <w:ind w:left="719" w:hanging="435"/>
      </w:pPr>
      <w:rPr>
        <w:rFonts w:hint="default"/>
        <w:lang w:val="ru-RU"/>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FD75500"/>
    <w:multiLevelType w:val="multilevel"/>
    <w:tmpl w:val="45E4C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7026EE"/>
    <w:multiLevelType w:val="multilevel"/>
    <w:tmpl w:val="88C0A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4"/>
  </w:num>
  <w:num w:numId="14">
    <w:abstractNumId w:val="20"/>
  </w:num>
  <w:num w:numId="15">
    <w:abstractNumId w:val="22"/>
  </w:num>
  <w:num w:numId="16">
    <w:abstractNumId w:val="21"/>
  </w:num>
  <w:num w:numId="17">
    <w:abstractNumId w:val="13"/>
  </w:num>
  <w:num w:numId="18">
    <w:abstractNumId w:val="14"/>
    <w:lvlOverride w:ilvl="0">
      <w:startOverride w:val="1"/>
    </w:lvlOverride>
  </w:num>
  <w:num w:numId="19">
    <w:abstractNumId w:val="18"/>
  </w:num>
  <w:num w:numId="20">
    <w:abstractNumId w:val="17"/>
  </w:num>
  <w:num w:numId="21">
    <w:abstractNumId w:val="16"/>
  </w:num>
  <w:num w:numId="22">
    <w:abstractNumId w:val="15"/>
  </w:num>
  <w:num w:numId="23">
    <w:abstractNumId w:val="11"/>
  </w:num>
  <w:num w:numId="24">
    <w:abstractNumId w:val="10"/>
  </w:num>
  <w:num w:numId="25">
    <w:abstractNumId w:val="12"/>
    <w:lvlOverride w:ilvl="0">
      <w:startOverride w:val="1"/>
    </w:lvlOverride>
    <w:lvlOverride w:ilvl="1">
      <w:startOverride w:val="4"/>
    </w:lvlOverride>
  </w:num>
  <w:num w:numId="26">
    <w:abstractNumId w:val="24"/>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119"/>
    <w:rsid w:val="000052FB"/>
    <w:rsid w:val="00006EF9"/>
    <w:rsid w:val="000117CB"/>
    <w:rsid w:val="00015134"/>
    <w:rsid w:val="00026AE0"/>
    <w:rsid w:val="0003148D"/>
    <w:rsid w:val="00031EEC"/>
    <w:rsid w:val="000372D0"/>
    <w:rsid w:val="000423FC"/>
    <w:rsid w:val="00047F22"/>
    <w:rsid w:val="00051566"/>
    <w:rsid w:val="00053A4C"/>
    <w:rsid w:val="000562A9"/>
    <w:rsid w:val="00062A9A"/>
    <w:rsid w:val="00065058"/>
    <w:rsid w:val="000844D8"/>
    <w:rsid w:val="00085C0C"/>
    <w:rsid w:val="00086C39"/>
    <w:rsid w:val="000A03B2"/>
    <w:rsid w:val="000A0F6A"/>
    <w:rsid w:val="000B1CF8"/>
    <w:rsid w:val="000C23C7"/>
    <w:rsid w:val="000C2745"/>
    <w:rsid w:val="000D0268"/>
    <w:rsid w:val="000D34BE"/>
    <w:rsid w:val="000D47AC"/>
    <w:rsid w:val="000D70F4"/>
    <w:rsid w:val="000E102F"/>
    <w:rsid w:val="000E36F1"/>
    <w:rsid w:val="000E3A73"/>
    <w:rsid w:val="000E414A"/>
    <w:rsid w:val="000F00C4"/>
    <w:rsid w:val="000F093C"/>
    <w:rsid w:val="000F69D3"/>
    <w:rsid w:val="000F7831"/>
    <w:rsid w:val="000F787B"/>
    <w:rsid w:val="00100E4F"/>
    <w:rsid w:val="001014FC"/>
    <w:rsid w:val="00101903"/>
    <w:rsid w:val="0012062E"/>
    <w:rsid w:val="0012091F"/>
    <w:rsid w:val="00126BC2"/>
    <w:rsid w:val="001308B6"/>
    <w:rsid w:val="0013121F"/>
    <w:rsid w:val="00131FE6"/>
    <w:rsid w:val="0013263F"/>
    <w:rsid w:val="001331DF"/>
    <w:rsid w:val="00134DE4"/>
    <w:rsid w:val="0014034D"/>
    <w:rsid w:val="00144D16"/>
    <w:rsid w:val="00150E59"/>
    <w:rsid w:val="00152DE3"/>
    <w:rsid w:val="001621AE"/>
    <w:rsid w:val="00164CF9"/>
    <w:rsid w:val="001667A6"/>
    <w:rsid w:val="0018223D"/>
    <w:rsid w:val="001823A2"/>
    <w:rsid w:val="00184AD6"/>
    <w:rsid w:val="001856D2"/>
    <w:rsid w:val="00187E02"/>
    <w:rsid w:val="001966A5"/>
    <w:rsid w:val="001A301A"/>
    <w:rsid w:val="001A4AF7"/>
    <w:rsid w:val="001B0349"/>
    <w:rsid w:val="001B1E93"/>
    <w:rsid w:val="001B65C1"/>
    <w:rsid w:val="001C23CC"/>
    <w:rsid w:val="001C59AF"/>
    <w:rsid w:val="001C684B"/>
    <w:rsid w:val="001D0949"/>
    <w:rsid w:val="001D0CFB"/>
    <w:rsid w:val="001D21AF"/>
    <w:rsid w:val="001D2558"/>
    <w:rsid w:val="001D53FC"/>
    <w:rsid w:val="001E3052"/>
    <w:rsid w:val="001E47B6"/>
    <w:rsid w:val="001F315A"/>
    <w:rsid w:val="001F42A5"/>
    <w:rsid w:val="001F5B11"/>
    <w:rsid w:val="001F6786"/>
    <w:rsid w:val="001F7B9D"/>
    <w:rsid w:val="00200F9F"/>
    <w:rsid w:val="00201897"/>
    <w:rsid w:val="00201C93"/>
    <w:rsid w:val="002168DE"/>
    <w:rsid w:val="002172C1"/>
    <w:rsid w:val="002224B4"/>
    <w:rsid w:val="002447EF"/>
    <w:rsid w:val="00247965"/>
    <w:rsid w:val="00251550"/>
    <w:rsid w:val="00253DB7"/>
    <w:rsid w:val="00261ED3"/>
    <w:rsid w:val="00263B05"/>
    <w:rsid w:val="002642F2"/>
    <w:rsid w:val="0027221A"/>
    <w:rsid w:val="00275B61"/>
    <w:rsid w:val="00280FAF"/>
    <w:rsid w:val="00282656"/>
    <w:rsid w:val="00292E82"/>
    <w:rsid w:val="00296B83"/>
    <w:rsid w:val="002B4015"/>
    <w:rsid w:val="002B78CE"/>
    <w:rsid w:val="002C2FB6"/>
    <w:rsid w:val="002C6627"/>
    <w:rsid w:val="002D0D34"/>
    <w:rsid w:val="002D37D2"/>
    <w:rsid w:val="002D76E1"/>
    <w:rsid w:val="002E3E5D"/>
    <w:rsid w:val="002E5FA7"/>
    <w:rsid w:val="002F17E7"/>
    <w:rsid w:val="002F3309"/>
    <w:rsid w:val="003008CE"/>
    <w:rsid w:val="003009B7"/>
    <w:rsid w:val="00300E56"/>
    <w:rsid w:val="0030152C"/>
    <w:rsid w:val="0030469C"/>
    <w:rsid w:val="00304B58"/>
    <w:rsid w:val="003169D5"/>
    <w:rsid w:val="00321CA6"/>
    <w:rsid w:val="00323763"/>
    <w:rsid w:val="00323C5F"/>
    <w:rsid w:val="00324876"/>
    <w:rsid w:val="00334C09"/>
    <w:rsid w:val="003464F2"/>
    <w:rsid w:val="00361470"/>
    <w:rsid w:val="00367F8C"/>
    <w:rsid w:val="003723D4"/>
    <w:rsid w:val="00381905"/>
    <w:rsid w:val="00384CC8"/>
    <w:rsid w:val="003871FD"/>
    <w:rsid w:val="00392CAD"/>
    <w:rsid w:val="003A1E30"/>
    <w:rsid w:val="003A2829"/>
    <w:rsid w:val="003A7D1C"/>
    <w:rsid w:val="003A7DEF"/>
    <w:rsid w:val="003B304B"/>
    <w:rsid w:val="003B3146"/>
    <w:rsid w:val="003B5D8C"/>
    <w:rsid w:val="003B697D"/>
    <w:rsid w:val="003D0BA9"/>
    <w:rsid w:val="003D5FEF"/>
    <w:rsid w:val="003F015E"/>
    <w:rsid w:val="003F2888"/>
    <w:rsid w:val="00400414"/>
    <w:rsid w:val="0041446B"/>
    <w:rsid w:val="0042687B"/>
    <w:rsid w:val="0044071E"/>
    <w:rsid w:val="0044329C"/>
    <w:rsid w:val="00445422"/>
    <w:rsid w:val="00453E24"/>
    <w:rsid w:val="00456118"/>
    <w:rsid w:val="00457456"/>
    <w:rsid w:val="004577FE"/>
    <w:rsid w:val="00457B9C"/>
    <w:rsid w:val="0046164A"/>
    <w:rsid w:val="004628D2"/>
    <w:rsid w:val="00462DCD"/>
    <w:rsid w:val="004648AD"/>
    <w:rsid w:val="00464D3B"/>
    <w:rsid w:val="004703A9"/>
    <w:rsid w:val="004758C2"/>
    <w:rsid w:val="004760DE"/>
    <w:rsid w:val="004763D7"/>
    <w:rsid w:val="004A004E"/>
    <w:rsid w:val="004A24CF"/>
    <w:rsid w:val="004A69A5"/>
    <w:rsid w:val="004C3D1D"/>
    <w:rsid w:val="004C3D84"/>
    <w:rsid w:val="004C7913"/>
    <w:rsid w:val="004D3219"/>
    <w:rsid w:val="004E4DD6"/>
    <w:rsid w:val="004E7F13"/>
    <w:rsid w:val="004F5E36"/>
    <w:rsid w:val="00504DD7"/>
    <w:rsid w:val="00507B47"/>
    <w:rsid w:val="00507BEF"/>
    <w:rsid w:val="00507CC9"/>
    <w:rsid w:val="00511056"/>
    <w:rsid w:val="005119A5"/>
    <w:rsid w:val="0051431B"/>
    <w:rsid w:val="00524DBD"/>
    <w:rsid w:val="005278B7"/>
    <w:rsid w:val="00532016"/>
    <w:rsid w:val="005346C8"/>
    <w:rsid w:val="00536B46"/>
    <w:rsid w:val="00537C63"/>
    <w:rsid w:val="00543E7D"/>
    <w:rsid w:val="005443E9"/>
    <w:rsid w:val="00547A68"/>
    <w:rsid w:val="005505AF"/>
    <w:rsid w:val="00552D11"/>
    <w:rsid w:val="005531C9"/>
    <w:rsid w:val="00561631"/>
    <w:rsid w:val="00565087"/>
    <w:rsid w:val="00570C43"/>
    <w:rsid w:val="00580A87"/>
    <w:rsid w:val="0058176C"/>
    <w:rsid w:val="0058454E"/>
    <w:rsid w:val="00586E1F"/>
    <w:rsid w:val="00592991"/>
    <w:rsid w:val="005A5866"/>
    <w:rsid w:val="005A5E99"/>
    <w:rsid w:val="005A6948"/>
    <w:rsid w:val="005B2110"/>
    <w:rsid w:val="005B61E6"/>
    <w:rsid w:val="005B65FD"/>
    <w:rsid w:val="005B7314"/>
    <w:rsid w:val="005C77E1"/>
    <w:rsid w:val="005C7FB3"/>
    <w:rsid w:val="005D668A"/>
    <w:rsid w:val="005D6A2F"/>
    <w:rsid w:val="005D724C"/>
    <w:rsid w:val="005E1A82"/>
    <w:rsid w:val="005E794C"/>
    <w:rsid w:val="005F0A28"/>
    <w:rsid w:val="005F0E5E"/>
    <w:rsid w:val="005F2F64"/>
    <w:rsid w:val="00600535"/>
    <w:rsid w:val="00610CD6"/>
    <w:rsid w:val="00620DEE"/>
    <w:rsid w:val="00621F92"/>
    <w:rsid w:val="0062280A"/>
    <w:rsid w:val="00625639"/>
    <w:rsid w:val="00631B33"/>
    <w:rsid w:val="00635E2D"/>
    <w:rsid w:val="0064184D"/>
    <w:rsid w:val="006422CC"/>
    <w:rsid w:val="006545F2"/>
    <w:rsid w:val="006557AC"/>
    <w:rsid w:val="0065758B"/>
    <w:rsid w:val="00660E3E"/>
    <w:rsid w:val="00662E74"/>
    <w:rsid w:val="00665AD3"/>
    <w:rsid w:val="00674520"/>
    <w:rsid w:val="00680C23"/>
    <w:rsid w:val="00693766"/>
    <w:rsid w:val="0069632B"/>
    <w:rsid w:val="006A3281"/>
    <w:rsid w:val="006B4888"/>
    <w:rsid w:val="006C2E45"/>
    <w:rsid w:val="006C359C"/>
    <w:rsid w:val="006C5579"/>
    <w:rsid w:val="006D6E8B"/>
    <w:rsid w:val="006D7FCA"/>
    <w:rsid w:val="006E737D"/>
    <w:rsid w:val="007002D0"/>
    <w:rsid w:val="00700361"/>
    <w:rsid w:val="007133CF"/>
    <w:rsid w:val="00713973"/>
    <w:rsid w:val="00716640"/>
    <w:rsid w:val="00720A24"/>
    <w:rsid w:val="00732386"/>
    <w:rsid w:val="007338A2"/>
    <w:rsid w:val="0073514D"/>
    <w:rsid w:val="007447F3"/>
    <w:rsid w:val="00746C30"/>
    <w:rsid w:val="00751765"/>
    <w:rsid w:val="0075499F"/>
    <w:rsid w:val="007661C8"/>
    <w:rsid w:val="0077098D"/>
    <w:rsid w:val="007720AC"/>
    <w:rsid w:val="0077653A"/>
    <w:rsid w:val="00777FD3"/>
    <w:rsid w:val="00786E10"/>
    <w:rsid w:val="00791AC2"/>
    <w:rsid w:val="00792879"/>
    <w:rsid w:val="007931FA"/>
    <w:rsid w:val="007A4861"/>
    <w:rsid w:val="007A7BBA"/>
    <w:rsid w:val="007B0C50"/>
    <w:rsid w:val="007B48F9"/>
    <w:rsid w:val="007C1A43"/>
    <w:rsid w:val="007C36F0"/>
    <w:rsid w:val="007D0951"/>
    <w:rsid w:val="007F5D11"/>
    <w:rsid w:val="0080013E"/>
    <w:rsid w:val="008038F4"/>
    <w:rsid w:val="00813288"/>
    <w:rsid w:val="008168FC"/>
    <w:rsid w:val="00822F4F"/>
    <w:rsid w:val="00830996"/>
    <w:rsid w:val="008345F1"/>
    <w:rsid w:val="008453E8"/>
    <w:rsid w:val="008560AB"/>
    <w:rsid w:val="00857BBA"/>
    <w:rsid w:val="008620AD"/>
    <w:rsid w:val="00865B07"/>
    <w:rsid w:val="008667EA"/>
    <w:rsid w:val="0087637F"/>
    <w:rsid w:val="00886E98"/>
    <w:rsid w:val="00887898"/>
    <w:rsid w:val="00892AD5"/>
    <w:rsid w:val="008A1512"/>
    <w:rsid w:val="008B5569"/>
    <w:rsid w:val="008C30B4"/>
    <w:rsid w:val="008D32B9"/>
    <w:rsid w:val="008D357A"/>
    <w:rsid w:val="008D433B"/>
    <w:rsid w:val="008D4A16"/>
    <w:rsid w:val="008E2A11"/>
    <w:rsid w:val="008E566E"/>
    <w:rsid w:val="008E6D96"/>
    <w:rsid w:val="008F3C7B"/>
    <w:rsid w:val="008F5D6B"/>
    <w:rsid w:val="0090161A"/>
    <w:rsid w:val="00901EB6"/>
    <w:rsid w:val="00904C62"/>
    <w:rsid w:val="00922BA8"/>
    <w:rsid w:val="00924DAC"/>
    <w:rsid w:val="00927058"/>
    <w:rsid w:val="00942750"/>
    <w:rsid w:val="009450CE"/>
    <w:rsid w:val="009459BB"/>
    <w:rsid w:val="00945B4E"/>
    <w:rsid w:val="00947179"/>
    <w:rsid w:val="0095164B"/>
    <w:rsid w:val="00954090"/>
    <w:rsid w:val="009573E7"/>
    <w:rsid w:val="00963E05"/>
    <w:rsid w:val="00964A45"/>
    <w:rsid w:val="00967843"/>
    <w:rsid w:val="00967D54"/>
    <w:rsid w:val="00971028"/>
    <w:rsid w:val="00971B34"/>
    <w:rsid w:val="009778E9"/>
    <w:rsid w:val="00985557"/>
    <w:rsid w:val="0098706D"/>
    <w:rsid w:val="00991D6D"/>
    <w:rsid w:val="00993B84"/>
    <w:rsid w:val="009943C8"/>
    <w:rsid w:val="00996483"/>
    <w:rsid w:val="00996F5A"/>
    <w:rsid w:val="009A55CC"/>
    <w:rsid w:val="009B041A"/>
    <w:rsid w:val="009C37C3"/>
    <w:rsid w:val="009C7C86"/>
    <w:rsid w:val="009D2FF7"/>
    <w:rsid w:val="009E7884"/>
    <w:rsid w:val="009E788A"/>
    <w:rsid w:val="009F0E08"/>
    <w:rsid w:val="009F1339"/>
    <w:rsid w:val="00A07C6B"/>
    <w:rsid w:val="00A11DCD"/>
    <w:rsid w:val="00A1763D"/>
    <w:rsid w:val="00A17CEC"/>
    <w:rsid w:val="00A22122"/>
    <w:rsid w:val="00A27EF0"/>
    <w:rsid w:val="00A42361"/>
    <w:rsid w:val="00A469AC"/>
    <w:rsid w:val="00A50B20"/>
    <w:rsid w:val="00A51390"/>
    <w:rsid w:val="00A60D13"/>
    <w:rsid w:val="00A7223D"/>
    <w:rsid w:val="00A72745"/>
    <w:rsid w:val="00A76EFC"/>
    <w:rsid w:val="00A849E2"/>
    <w:rsid w:val="00A87D50"/>
    <w:rsid w:val="00A91010"/>
    <w:rsid w:val="00A91F8C"/>
    <w:rsid w:val="00A9491C"/>
    <w:rsid w:val="00A97F29"/>
    <w:rsid w:val="00AA5E9E"/>
    <w:rsid w:val="00AA702E"/>
    <w:rsid w:val="00AA7D26"/>
    <w:rsid w:val="00AB0964"/>
    <w:rsid w:val="00AB5011"/>
    <w:rsid w:val="00AC7368"/>
    <w:rsid w:val="00AD16B9"/>
    <w:rsid w:val="00AE377D"/>
    <w:rsid w:val="00AF0EBA"/>
    <w:rsid w:val="00B02C8A"/>
    <w:rsid w:val="00B06938"/>
    <w:rsid w:val="00B1127D"/>
    <w:rsid w:val="00B14AF6"/>
    <w:rsid w:val="00B17FBD"/>
    <w:rsid w:val="00B315A6"/>
    <w:rsid w:val="00B31813"/>
    <w:rsid w:val="00B33365"/>
    <w:rsid w:val="00B41FEA"/>
    <w:rsid w:val="00B550AA"/>
    <w:rsid w:val="00B57B36"/>
    <w:rsid w:val="00B57E6F"/>
    <w:rsid w:val="00B6320A"/>
    <w:rsid w:val="00B65D99"/>
    <w:rsid w:val="00B67096"/>
    <w:rsid w:val="00B752A6"/>
    <w:rsid w:val="00B77FA7"/>
    <w:rsid w:val="00B8686D"/>
    <w:rsid w:val="00B90CE6"/>
    <w:rsid w:val="00B93F69"/>
    <w:rsid w:val="00BA7418"/>
    <w:rsid w:val="00BB1DDC"/>
    <w:rsid w:val="00BB606C"/>
    <w:rsid w:val="00BC30C9"/>
    <w:rsid w:val="00BD077D"/>
    <w:rsid w:val="00BD58FD"/>
    <w:rsid w:val="00BE12C9"/>
    <w:rsid w:val="00BE1F0A"/>
    <w:rsid w:val="00BE3E58"/>
    <w:rsid w:val="00BE62D4"/>
    <w:rsid w:val="00C01616"/>
    <w:rsid w:val="00C0162B"/>
    <w:rsid w:val="00C027B9"/>
    <w:rsid w:val="00C068ED"/>
    <w:rsid w:val="00C1755D"/>
    <w:rsid w:val="00C22E0C"/>
    <w:rsid w:val="00C345B1"/>
    <w:rsid w:val="00C40142"/>
    <w:rsid w:val="00C42B73"/>
    <w:rsid w:val="00C52C3C"/>
    <w:rsid w:val="00C57182"/>
    <w:rsid w:val="00C57863"/>
    <w:rsid w:val="00C6049C"/>
    <w:rsid w:val="00C6336B"/>
    <w:rsid w:val="00C640AF"/>
    <w:rsid w:val="00C655FD"/>
    <w:rsid w:val="00C75407"/>
    <w:rsid w:val="00C801CB"/>
    <w:rsid w:val="00C80F31"/>
    <w:rsid w:val="00C86BBD"/>
    <w:rsid w:val="00C870A8"/>
    <w:rsid w:val="00C9134F"/>
    <w:rsid w:val="00C93E3F"/>
    <w:rsid w:val="00C94434"/>
    <w:rsid w:val="00CA0D75"/>
    <w:rsid w:val="00CA1C95"/>
    <w:rsid w:val="00CA44E0"/>
    <w:rsid w:val="00CA5473"/>
    <w:rsid w:val="00CA5A9C"/>
    <w:rsid w:val="00CB3534"/>
    <w:rsid w:val="00CC4C20"/>
    <w:rsid w:val="00CC61D8"/>
    <w:rsid w:val="00CD19BB"/>
    <w:rsid w:val="00CD3517"/>
    <w:rsid w:val="00CD354B"/>
    <w:rsid w:val="00CD5FE2"/>
    <w:rsid w:val="00CE0158"/>
    <w:rsid w:val="00CE1D61"/>
    <w:rsid w:val="00CE7C68"/>
    <w:rsid w:val="00CF496C"/>
    <w:rsid w:val="00D02B4C"/>
    <w:rsid w:val="00D040C4"/>
    <w:rsid w:val="00D07912"/>
    <w:rsid w:val="00D10860"/>
    <w:rsid w:val="00D20594"/>
    <w:rsid w:val="00D20AD1"/>
    <w:rsid w:val="00D252CA"/>
    <w:rsid w:val="00D2609A"/>
    <w:rsid w:val="00D40E37"/>
    <w:rsid w:val="00D440DF"/>
    <w:rsid w:val="00D46B7E"/>
    <w:rsid w:val="00D541DA"/>
    <w:rsid w:val="00D57C84"/>
    <w:rsid w:val="00D6057D"/>
    <w:rsid w:val="00D63F62"/>
    <w:rsid w:val="00D66058"/>
    <w:rsid w:val="00D71640"/>
    <w:rsid w:val="00D836C5"/>
    <w:rsid w:val="00D84576"/>
    <w:rsid w:val="00DA1399"/>
    <w:rsid w:val="00DA24C6"/>
    <w:rsid w:val="00DA4D7B"/>
    <w:rsid w:val="00DB14CC"/>
    <w:rsid w:val="00DD157D"/>
    <w:rsid w:val="00DD271C"/>
    <w:rsid w:val="00DE264A"/>
    <w:rsid w:val="00DE2651"/>
    <w:rsid w:val="00DF07F9"/>
    <w:rsid w:val="00DF5072"/>
    <w:rsid w:val="00E0113A"/>
    <w:rsid w:val="00E02D18"/>
    <w:rsid w:val="00E041E7"/>
    <w:rsid w:val="00E23CA1"/>
    <w:rsid w:val="00E409A8"/>
    <w:rsid w:val="00E50C12"/>
    <w:rsid w:val="00E62A15"/>
    <w:rsid w:val="00E65B91"/>
    <w:rsid w:val="00E7209D"/>
    <w:rsid w:val="00E72EAD"/>
    <w:rsid w:val="00E77223"/>
    <w:rsid w:val="00E82E8B"/>
    <w:rsid w:val="00E833C4"/>
    <w:rsid w:val="00E8528B"/>
    <w:rsid w:val="00E85B94"/>
    <w:rsid w:val="00E968E9"/>
    <w:rsid w:val="00E978D0"/>
    <w:rsid w:val="00EA4613"/>
    <w:rsid w:val="00EA7F91"/>
    <w:rsid w:val="00EB1523"/>
    <w:rsid w:val="00EB448E"/>
    <w:rsid w:val="00EC0E49"/>
    <w:rsid w:val="00EC101F"/>
    <w:rsid w:val="00EC1D9F"/>
    <w:rsid w:val="00ED0274"/>
    <w:rsid w:val="00EE0131"/>
    <w:rsid w:val="00EE17B0"/>
    <w:rsid w:val="00EE2CAB"/>
    <w:rsid w:val="00EF06D9"/>
    <w:rsid w:val="00F03875"/>
    <w:rsid w:val="00F03C4E"/>
    <w:rsid w:val="00F0774D"/>
    <w:rsid w:val="00F10B46"/>
    <w:rsid w:val="00F14B41"/>
    <w:rsid w:val="00F3049E"/>
    <w:rsid w:val="00F30C64"/>
    <w:rsid w:val="00F32BA2"/>
    <w:rsid w:val="00F32CDB"/>
    <w:rsid w:val="00F565FE"/>
    <w:rsid w:val="00F6016C"/>
    <w:rsid w:val="00F63A70"/>
    <w:rsid w:val="00F63D8C"/>
    <w:rsid w:val="00F7534E"/>
    <w:rsid w:val="00F806F7"/>
    <w:rsid w:val="00F93EDF"/>
    <w:rsid w:val="00F97A15"/>
    <w:rsid w:val="00FA141E"/>
    <w:rsid w:val="00FA1802"/>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6609466F-317C-4A4E-B0CE-00EC34605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CET Top_page"/>
    <w:qFormat/>
    <w:rsid w:val="00DF07F9"/>
    <w:pPr>
      <w:spacing w:after="0" w:line="240" w:lineRule="auto"/>
    </w:pPr>
    <w:rPr>
      <w:rFonts w:ascii="Times New Roman" w:eastAsia="Times New Roman" w:hAnsi="Times New Roman" w:cs="Times New Roman"/>
      <w:sz w:val="24"/>
      <w:szCs w:val="24"/>
    </w:rPr>
  </w:style>
  <w:style w:type="paragraph" w:styleId="10">
    <w:name w:val="heading 1"/>
    <w:basedOn w:val="CETHeading1"/>
    <w:next w:val="a1"/>
    <w:link w:val="11"/>
    <w:uiPriority w:val="9"/>
    <w:rsid w:val="004F5E36"/>
    <w:pPr>
      <w:tabs>
        <w:tab w:val="clear" w:pos="360"/>
        <w:tab w:val="right" w:pos="7100"/>
      </w:tabs>
      <w:jc w:val="both"/>
      <w:outlineLvl w:val="0"/>
    </w:pPr>
    <w:rPr>
      <w:lang w:val="en-GB"/>
    </w:rPr>
  </w:style>
  <w:style w:type="paragraph" w:styleId="21">
    <w:name w:val="heading 2"/>
    <w:basedOn w:val="a1"/>
    <w:next w:val="a1"/>
    <w:link w:val="22"/>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1"/>
    <w:next w:val="a1"/>
    <w:link w:val="90"/>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1">
    <w:name w:val="Table Simple 1"/>
    <w:basedOn w:val="a3"/>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a5">
    <w:name w:val="annotation reference"/>
    <w:basedOn w:val="a2"/>
    <w:uiPriority w:val="99"/>
    <w:semiHidden/>
    <w:unhideWhenUsed/>
    <w:rsid w:val="004577FE"/>
    <w:rPr>
      <w:sz w:val="16"/>
      <w:szCs w:val="16"/>
    </w:rPr>
  </w:style>
  <w:style w:type="paragraph" w:styleId="a6">
    <w:name w:val="Balloon Text"/>
    <w:basedOn w:val="a1"/>
    <w:link w:val="a7"/>
    <w:uiPriority w:val="99"/>
    <w:semiHidden/>
    <w:unhideWhenUsed/>
    <w:rsid w:val="000D34BE"/>
    <w:rPr>
      <w:rFonts w:ascii="Tahoma" w:hAnsi="Tahoma" w:cs="Tahoma"/>
      <w:sz w:val="16"/>
      <w:szCs w:val="16"/>
    </w:rPr>
  </w:style>
  <w:style w:type="character" w:customStyle="1" w:styleId="a7">
    <w:name w:val="Текст выноски Знак"/>
    <w:basedOn w:val="a2"/>
    <w:link w:val="a6"/>
    <w:uiPriority w:val="99"/>
    <w:semiHidden/>
    <w:rsid w:val="000D34BE"/>
    <w:rPr>
      <w:rFonts w:ascii="Tahoma" w:hAnsi="Tahoma" w:cs="Tahoma"/>
      <w:sz w:val="16"/>
      <w:szCs w:val="16"/>
    </w:rPr>
  </w:style>
  <w:style w:type="paragraph" w:styleId="a8">
    <w:name w:val="Bibliography"/>
    <w:basedOn w:val="CETReferencetext"/>
    <w:uiPriority w:val="37"/>
    <w:unhideWhenUsed/>
    <w:rsid w:val="00631B33"/>
    <w:pPr>
      <w:spacing w:line="240" w:lineRule="auto"/>
      <w:ind w:left="720" w:hanging="720"/>
    </w:pPr>
  </w:style>
  <w:style w:type="paragraph" w:styleId="23">
    <w:name w:val="Body Text 2"/>
    <w:basedOn w:val="a1"/>
    <w:link w:val="24"/>
    <w:uiPriority w:val="99"/>
    <w:semiHidden/>
    <w:unhideWhenUsed/>
    <w:rsid w:val="0003148D"/>
    <w:pPr>
      <w:spacing w:after="120" w:line="480" w:lineRule="auto"/>
    </w:pPr>
  </w:style>
  <w:style w:type="character" w:customStyle="1" w:styleId="24">
    <w:name w:val="Основной текст 2 Знак"/>
    <w:basedOn w:val="a2"/>
    <w:link w:val="23"/>
    <w:uiPriority w:val="99"/>
    <w:semiHidden/>
    <w:rsid w:val="0003148D"/>
  </w:style>
  <w:style w:type="paragraph" w:styleId="33">
    <w:name w:val="Body Text 3"/>
    <w:basedOn w:val="a1"/>
    <w:link w:val="34"/>
    <w:uiPriority w:val="99"/>
    <w:semiHidden/>
    <w:unhideWhenUsed/>
    <w:rsid w:val="0003148D"/>
    <w:pPr>
      <w:spacing w:after="120"/>
    </w:pPr>
    <w:rPr>
      <w:sz w:val="16"/>
      <w:szCs w:val="16"/>
    </w:rPr>
  </w:style>
  <w:style w:type="character" w:customStyle="1" w:styleId="34">
    <w:name w:val="Основной текст 3 Знак"/>
    <w:basedOn w:val="a2"/>
    <w:link w:val="33"/>
    <w:uiPriority w:val="99"/>
    <w:semiHidden/>
    <w:rsid w:val="0003148D"/>
    <w:rPr>
      <w:sz w:val="16"/>
      <w:szCs w:val="16"/>
    </w:rPr>
  </w:style>
  <w:style w:type="paragraph" w:styleId="a9">
    <w:name w:val="Body Text"/>
    <w:basedOn w:val="a1"/>
    <w:link w:val="aa"/>
    <w:uiPriority w:val="99"/>
    <w:semiHidden/>
    <w:unhideWhenUsed/>
    <w:rsid w:val="0003148D"/>
    <w:pPr>
      <w:spacing w:after="120"/>
    </w:pPr>
  </w:style>
  <w:style w:type="character" w:customStyle="1" w:styleId="aa">
    <w:name w:val="Основной текст Знак"/>
    <w:basedOn w:val="a2"/>
    <w:link w:val="a9"/>
    <w:uiPriority w:val="99"/>
    <w:semiHidden/>
    <w:rsid w:val="0003148D"/>
  </w:style>
  <w:style w:type="paragraph" w:styleId="ab">
    <w:name w:val="Date"/>
    <w:basedOn w:val="a1"/>
    <w:next w:val="a1"/>
    <w:link w:val="ac"/>
    <w:uiPriority w:val="99"/>
    <w:semiHidden/>
    <w:unhideWhenUsed/>
    <w:rsid w:val="0003148D"/>
  </w:style>
  <w:style w:type="character" w:customStyle="1" w:styleId="ac">
    <w:name w:val="Дата Знак"/>
    <w:basedOn w:val="a2"/>
    <w:link w:val="ab"/>
    <w:uiPriority w:val="99"/>
    <w:semiHidden/>
    <w:rsid w:val="0003148D"/>
  </w:style>
  <w:style w:type="paragraph" w:styleId="ad">
    <w:name w:val="caption"/>
    <w:basedOn w:val="a1"/>
    <w:next w:val="a1"/>
    <w:uiPriority w:val="35"/>
    <w:semiHidden/>
    <w:unhideWhenUsed/>
    <w:qFormat/>
    <w:rsid w:val="0003148D"/>
    <w:rPr>
      <w:b/>
      <w:bCs/>
      <w:color w:val="4F81BD" w:themeColor="accent1"/>
      <w:szCs w:val="18"/>
    </w:rPr>
  </w:style>
  <w:style w:type="paragraph" w:styleId="ae">
    <w:name w:val="List"/>
    <w:basedOn w:val="a1"/>
    <w:uiPriority w:val="99"/>
    <w:semiHidden/>
    <w:unhideWhenUsed/>
    <w:rsid w:val="0003148D"/>
    <w:pPr>
      <w:ind w:left="283" w:hanging="283"/>
      <w:contextualSpacing/>
    </w:pPr>
  </w:style>
  <w:style w:type="paragraph" w:styleId="25">
    <w:name w:val="List 2"/>
    <w:basedOn w:val="a1"/>
    <w:uiPriority w:val="99"/>
    <w:semiHidden/>
    <w:unhideWhenUsed/>
    <w:rsid w:val="0003148D"/>
    <w:pPr>
      <w:ind w:left="566" w:hanging="283"/>
      <w:contextualSpacing/>
    </w:pPr>
  </w:style>
  <w:style w:type="paragraph" w:styleId="35">
    <w:name w:val="List 3"/>
    <w:basedOn w:val="a1"/>
    <w:uiPriority w:val="99"/>
    <w:semiHidden/>
    <w:unhideWhenUsed/>
    <w:rsid w:val="0003148D"/>
    <w:pPr>
      <w:ind w:left="849" w:hanging="283"/>
      <w:contextualSpacing/>
    </w:pPr>
  </w:style>
  <w:style w:type="paragraph" w:styleId="43">
    <w:name w:val="List 4"/>
    <w:basedOn w:val="a1"/>
    <w:uiPriority w:val="99"/>
    <w:semiHidden/>
    <w:unhideWhenUsed/>
    <w:rsid w:val="0003148D"/>
    <w:pPr>
      <w:ind w:left="1132" w:hanging="283"/>
      <w:contextualSpacing/>
    </w:pPr>
  </w:style>
  <w:style w:type="paragraph" w:styleId="53">
    <w:name w:val="List 5"/>
    <w:basedOn w:val="a1"/>
    <w:uiPriority w:val="99"/>
    <w:semiHidden/>
    <w:unhideWhenUsed/>
    <w:rsid w:val="0003148D"/>
    <w:pPr>
      <w:ind w:left="1415" w:hanging="283"/>
      <w:contextualSpacing/>
    </w:pPr>
  </w:style>
  <w:style w:type="paragraph" w:styleId="af">
    <w:name w:val="List Continue"/>
    <w:basedOn w:val="a1"/>
    <w:uiPriority w:val="99"/>
    <w:semiHidden/>
    <w:unhideWhenUsed/>
    <w:rsid w:val="0003148D"/>
    <w:pPr>
      <w:spacing w:after="120"/>
      <w:ind w:left="283"/>
      <w:contextualSpacing/>
    </w:pPr>
  </w:style>
  <w:style w:type="paragraph" w:styleId="26">
    <w:name w:val="List Continue 2"/>
    <w:basedOn w:val="a1"/>
    <w:uiPriority w:val="99"/>
    <w:semiHidden/>
    <w:unhideWhenUsed/>
    <w:rsid w:val="0003148D"/>
    <w:pPr>
      <w:spacing w:after="120"/>
      <w:ind w:left="566"/>
      <w:contextualSpacing/>
    </w:pPr>
  </w:style>
  <w:style w:type="paragraph" w:styleId="36">
    <w:name w:val="List Continue 3"/>
    <w:basedOn w:val="a1"/>
    <w:uiPriority w:val="99"/>
    <w:semiHidden/>
    <w:unhideWhenUsed/>
    <w:rsid w:val="0003148D"/>
    <w:pPr>
      <w:spacing w:after="120"/>
      <w:ind w:left="849"/>
      <w:contextualSpacing/>
    </w:pPr>
  </w:style>
  <w:style w:type="paragraph" w:styleId="44">
    <w:name w:val="List Continue 4"/>
    <w:basedOn w:val="a1"/>
    <w:uiPriority w:val="99"/>
    <w:semiHidden/>
    <w:unhideWhenUsed/>
    <w:rsid w:val="0003148D"/>
    <w:pPr>
      <w:spacing w:after="120"/>
      <w:ind w:left="1132"/>
      <w:contextualSpacing/>
    </w:pPr>
  </w:style>
  <w:style w:type="paragraph" w:styleId="54">
    <w:name w:val="List Continue 5"/>
    <w:basedOn w:val="a1"/>
    <w:uiPriority w:val="99"/>
    <w:semiHidden/>
    <w:unhideWhenUsed/>
    <w:rsid w:val="0003148D"/>
    <w:pPr>
      <w:spacing w:after="120"/>
      <w:ind w:left="1415"/>
      <w:contextualSpacing/>
    </w:pPr>
  </w:style>
  <w:style w:type="paragraph" w:styleId="af0">
    <w:name w:val="Signature"/>
    <w:basedOn w:val="a1"/>
    <w:link w:val="af1"/>
    <w:uiPriority w:val="99"/>
    <w:semiHidden/>
    <w:unhideWhenUsed/>
    <w:rsid w:val="0003148D"/>
    <w:pPr>
      <w:ind w:left="4252"/>
    </w:pPr>
  </w:style>
  <w:style w:type="character" w:customStyle="1" w:styleId="af1">
    <w:name w:val="Подпись Знак"/>
    <w:basedOn w:val="a2"/>
    <w:link w:val="af0"/>
    <w:uiPriority w:val="99"/>
    <w:semiHidden/>
    <w:rsid w:val="0003148D"/>
  </w:style>
  <w:style w:type="paragraph" w:styleId="af2">
    <w:name w:val="E-mail Signature"/>
    <w:basedOn w:val="a1"/>
    <w:link w:val="af3"/>
    <w:uiPriority w:val="99"/>
    <w:semiHidden/>
    <w:unhideWhenUsed/>
    <w:rsid w:val="0003148D"/>
  </w:style>
  <w:style w:type="character" w:customStyle="1" w:styleId="af3">
    <w:name w:val="Электронная подпись Знак"/>
    <w:basedOn w:val="a2"/>
    <w:link w:val="af2"/>
    <w:uiPriority w:val="99"/>
    <w:semiHidden/>
    <w:rsid w:val="0003148D"/>
  </w:style>
  <w:style w:type="paragraph" w:styleId="af4">
    <w:name w:val="Salutation"/>
    <w:basedOn w:val="a1"/>
    <w:next w:val="a1"/>
    <w:link w:val="af5"/>
    <w:uiPriority w:val="99"/>
    <w:semiHidden/>
    <w:unhideWhenUsed/>
    <w:rsid w:val="0003148D"/>
  </w:style>
  <w:style w:type="character" w:customStyle="1" w:styleId="af5">
    <w:name w:val="Приветствие Знак"/>
    <w:basedOn w:val="a2"/>
    <w:link w:val="af4"/>
    <w:uiPriority w:val="99"/>
    <w:semiHidden/>
    <w:rsid w:val="0003148D"/>
  </w:style>
  <w:style w:type="paragraph" w:styleId="af6">
    <w:name w:val="Closing"/>
    <w:basedOn w:val="a1"/>
    <w:link w:val="af7"/>
    <w:uiPriority w:val="99"/>
    <w:semiHidden/>
    <w:unhideWhenUsed/>
    <w:rsid w:val="0003148D"/>
    <w:pPr>
      <w:ind w:left="4252"/>
    </w:pPr>
  </w:style>
  <w:style w:type="character" w:customStyle="1" w:styleId="af7">
    <w:name w:val="Прощание Знак"/>
    <w:basedOn w:val="a2"/>
    <w:link w:val="af6"/>
    <w:uiPriority w:val="99"/>
    <w:semiHidden/>
    <w:rsid w:val="0003148D"/>
  </w:style>
  <w:style w:type="paragraph" w:styleId="12">
    <w:name w:val="index 1"/>
    <w:basedOn w:val="a1"/>
    <w:next w:val="a1"/>
    <w:autoRedefine/>
    <w:uiPriority w:val="99"/>
    <w:semiHidden/>
    <w:unhideWhenUsed/>
    <w:rsid w:val="0003148D"/>
    <w:pPr>
      <w:ind w:left="220" w:hanging="220"/>
    </w:pPr>
  </w:style>
  <w:style w:type="paragraph" w:styleId="27">
    <w:name w:val="index 2"/>
    <w:basedOn w:val="a1"/>
    <w:next w:val="a1"/>
    <w:autoRedefine/>
    <w:uiPriority w:val="99"/>
    <w:semiHidden/>
    <w:unhideWhenUsed/>
    <w:rsid w:val="0003148D"/>
    <w:pPr>
      <w:ind w:left="440" w:hanging="220"/>
    </w:pPr>
  </w:style>
  <w:style w:type="paragraph" w:styleId="37">
    <w:name w:val="index 3"/>
    <w:basedOn w:val="a1"/>
    <w:next w:val="a1"/>
    <w:autoRedefine/>
    <w:uiPriority w:val="99"/>
    <w:semiHidden/>
    <w:unhideWhenUsed/>
    <w:rsid w:val="0003148D"/>
    <w:pPr>
      <w:ind w:left="660" w:hanging="220"/>
    </w:pPr>
  </w:style>
  <w:style w:type="paragraph" w:styleId="45">
    <w:name w:val="index 4"/>
    <w:basedOn w:val="a1"/>
    <w:next w:val="a1"/>
    <w:autoRedefine/>
    <w:uiPriority w:val="99"/>
    <w:semiHidden/>
    <w:unhideWhenUsed/>
    <w:rsid w:val="0003148D"/>
    <w:pPr>
      <w:ind w:left="880" w:hanging="220"/>
    </w:pPr>
  </w:style>
  <w:style w:type="paragraph" w:styleId="55">
    <w:name w:val="index 5"/>
    <w:basedOn w:val="a1"/>
    <w:next w:val="a1"/>
    <w:autoRedefine/>
    <w:uiPriority w:val="99"/>
    <w:semiHidden/>
    <w:unhideWhenUsed/>
    <w:rsid w:val="0003148D"/>
    <w:pPr>
      <w:ind w:left="1100" w:hanging="220"/>
    </w:pPr>
  </w:style>
  <w:style w:type="paragraph" w:styleId="61">
    <w:name w:val="index 6"/>
    <w:basedOn w:val="a1"/>
    <w:next w:val="a1"/>
    <w:autoRedefine/>
    <w:uiPriority w:val="99"/>
    <w:semiHidden/>
    <w:unhideWhenUsed/>
    <w:rsid w:val="0003148D"/>
    <w:pPr>
      <w:ind w:left="1320" w:hanging="220"/>
    </w:pPr>
  </w:style>
  <w:style w:type="paragraph" w:styleId="71">
    <w:name w:val="index 7"/>
    <w:basedOn w:val="a1"/>
    <w:next w:val="a1"/>
    <w:autoRedefine/>
    <w:uiPriority w:val="99"/>
    <w:semiHidden/>
    <w:unhideWhenUsed/>
    <w:rsid w:val="0003148D"/>
    <w:pPr>
      <w:ind w:left="1540" w:hanging="220"/>
    </w:pPr>
  </w:style>
  <w:style w:type="paragraph" w:styleId="81">
    <w:name w:val="index 8"/>
    <w:basedOn w:val="a1"/>
    <w:next w:val="a1"/>
    <w:autoRedefine/>
    <w:uiPriority w:val="99"/>
    <w:semiHidden/>
    <w:unhideWhenUsed/>
    <w:rsid w:val="0003148D"/>
    <w:pPr>
      <w:ind w:left="1760" w:hanging="220"/>
    </w:pPr>
  </w:style>
  <w:style w:type="paragraph" w:styleId="91">
    <w:name w:val="index 9"/>
    <w:basedOn w:val="a1"/>
    <w:next w:val="a1"/>
    <w:autoRedefine/>
    <w:uiPriority w:val="99"/>
    <w:semiHidden/>
    <w:unhideWhenUsed/>
    <w:rsid w:val="0003148D"/>
    <w:pPr>
      <w:ind w:left="1980" w:hanging="220"/>
    </w:pPr>
  </w:style>
  <w:style w:type="paragraph" w:styleId="af8">
    <w:name w:val="table of figures"/>
    <w:basedOn w:val="a1"/>
    <w:next w:val="a1"/>
    <w:uiPriority w:val="99"/>
    <w:semiHidden/>
    <w:unhideWhenUsed/>
    <w:rsid w:val="0003148D"/>
  </w:style>
  <w:style w:type="paragraph" w:styleId="af9">
    <w:name w:val="table of authorities"/>
    <w:basedOn w:val="a1"/>
    <w:next w:val="a1"/>
    <w:uiPriority w:val="99"/>
    <w:semiHidden/>
    <w:unhideWhenUsed/>
    <w:rsid w:val="0003148D"/>
    <w:pPr>
      <w:ind w:left="220" w:hanging="220"/>
    </w:pPr>
  </w:style>
  <w:style w:type="paragraph" w:styleId="afa">
    <w:name w:val="envelope address"/>
    <w:basedOn w:val="a1"/>
    <w:uiPriority w:val="99"/>
    <w:semiHidden/>
    <w:unhideWhenUsed/>
    <w:rsid w:val="0003148D"/>
    <w:pPr>
      <w:framePr w:w="7920" w:h="1980" w:hRule="exact" w:hSpace="180" w:wrap="auto" w:hAnchor="page" w:xAlign="center" w:yAlign="bottom"/>
      <w:ind w:left="2880"/>
    </w:pPr>
    <w:rPr>
      <w:rFonts w:asciiTheme="majorHAnsi" w:eastAsiaTheme="majorEastAsia" w:hAnsiTheme="majorHAnsi" w:cstheme="majorBidi"/>
    </w:rPr>
  </w:style>
  <w:style w:type="paragraph" w:styleId="HTML">
    <w:name w:val="HTML Address"/>
    <w:basedOn w:val="a1"/>
    <w:link w:val="HTML0"/>
    <w:uiPriority w:val="99"/>
    <w:semiHidden/>
    <w:unhideWhenUsed/>
    <w:rsid w:val="0003148D"/>
    <w:rPr>
      <w:i/>
      <w:iCs/>
    </w:rPr>
  </w:style>
  <w:style w:type="character" w:customStyle="1" w:styleId="HTML0">
    <w:name w:val="Адрес HTML Знак"/>
    <w:basedOn w:val="a2"/>
    <w:link w:val="HTML"/>
    <w:uiPriority w:val="99"/>
    <w:semiHidden/>
    <w:rsid w:val="0003148D"/>
    <w:rPr>
      <w:i/>
      <w:iCs/>
    </w:rPr>
  </w:style>
  <w:style w:type="paragraph" w:styleId="28">
    <w:name w:val="envelope return"/>
    <w:basedOn w:val="a1"/>
    <w:uiPriority w:val="99"/>
    <w:semiHidden/>
    <w:unhideWhenUsed/>
    <w:rsid w:val="0003148D"/>
    <w:rPr>
      <w:rFonts w:asciiTheme="majorHAnsi" w:eastAsiaTheme="majorEastAsia" w:hAnsiTheme="majorHAnsi" w:cstheme="majorBidi"/>
    </w:rPr>
  </w:style>
  <w:style w:type="paragraph" w:styleId="afb">
    <w:name w:val="Message Header"/>
    <w:basedOn w:val="a1"/>
    <w:link w:val="afc"/>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c">
    <w:name w:val="Шапка Знак"/>
    <w:basedOn w:val="a2"/>
    <w:link w:val="afb"/>
    <w:uiPriority w:val="99"/>
    <w:semiHidden/>
    <w:rsid w:val="0003148D"/>
    <w:rPr>
      <w:rFonts w:asciiTheme="majorHAnsi" w:eastAsiaTheme="majorEastAsia" w:hAnsiTheme="majorHAnsi" w:cstheme="majorBidi"/>
      <w:sz w:val="24"/>
      <w:szCs w:val="24"/>
      <w:shd w:val="pct20" w:color="auto" w:fill="auto"/>
    </w:rPr>
  </w:style>
  <w:style w:type="paragraph" w:styleId="afd">
    <w:name w:val="Note Heading"/>
    <w:basedOn w:val="a1"/>
    <w:next w:val="a1"/>
    <w:link w:val="afe"/>
    <w:uiPriority w:val="99"/>
    <w:semiHidden/>
    <w:unhideWhenUsed/>
    <w:rsid w:val="0003148D"/>
  </w:style>
  <w:style w:type="character" w:customStyle="1" w:styleId="afe">
    <w:name w:val="Заголовок записки Знак"/>
    <w:basedOn w:val="a2"/>
    <w:link w:val="afd"/>
    <w:uiPriority w:val="99"/>
    <w:semiHidden/>
    <w:rsid w:val="0003148D"/>
  </w:style>
  <w:style w:type="paragraph" w:styleId="aff">
    <w:name w:val="Document Map"/>
    <w:basedOn w:val="a1"/>
    <w:link w:val="aff0"/>
    <w:uiPriority w:val="99"/>
    <w:semiHidden/>
    <w:unhideWhenUsed/>
    <w:rsid w:val="0003148D"/>
    <w:rPr>
      <w:rFonts w:ascii="Tahoma" w:hAnsi="Tahoma" w:cs="Tahoma"/>
      <w:sz w:val="16"/>
      <w:szCs w:val="16"/>
    </w:rPr>
  </w:style>
  <w:style w:type="character" w:customStyle="1" w:styleId="aff0">
    <w:name w:val="Схема документа Знак"/>
    <w:basedOn w:val="a2"/>
    <w:link w:val="aff"/>
    <w:uiPriority w:val="99"/>
    <w:semiHidden/>
    <w:rsid w:val="0003148D"/>
    <w:rPr>
      <w:rFonts w:ascii="Tahoma" w:hAnsi="Tahoma" w:cs="Tahoma"/>
      <w:sz w:val="16"/>
      <w:szCs w:val="16"/>
    </w:rPr>
  </w:style>
  <w:style w:type="paragraph" w:styleId="aff1">
    <w:name w:val="Normal (Web)"/>
    <w:basedOn w:val="a1"/>
    <w:uiPriority w:val="99"/>
    <w:semiHidden/>
    <w:unhideWhenUsed/>
    <w:rsid w:val="0003148D"/>
  </w:style>
  <w:style w:type="paragraph" w:styleId="a">
    <w:name w:val="List Number"/>
    <w:basedOn w:val="a1"/>
    <w:uiPriority w:val="99"/>
    <w:semiHidden/>
    <w:unhideWhenUsed/>
    <w:rsid w:val="0003148D"/>
    <w:pPr>
      <w:numPr>
        <w:numId w:val="2"/>
      </w:numPr>
      <w:contextualSpacing/>
    </w:pPr>
  </w:style>
  <w:style w:type="paragraph" w:styleId="2">
    <w:name w:val="List Number 2"/>
    <w:basedOn w:val="a1"/>
    <w:uiPriority w:val="99"/>
    <w:semiHidden/>
    <w:unhideWhenUsed/>
    <w:rsid w:val="0003148D"/>
    <w:pPr>
      <w:numPr>
        <w:numId w:val="3"/>
      </w:numPr>
      <w:contextualSpacing/>
    </w:pPr>
  </w:style>
  <w:style w:type="paragraph" w:styleId="3">
    <w:name w:val="List Number 3"/>
    <w:basedOn w:val="a1"/>
    <w:uiPriority w:val="99"/>
    <w:semiHidden/>
    <w:unhideWhenUsed/>
    <w:rsid w:val="0003148D"/>
    <w:pPr>
      <w:numPr>
        <w:numId w:val="4"/>
      </w:numPr>
      <w:contextualSpacing/>
    </w:pPr>
  </w:style>
  <w:style w:type="paragraph" w:styleId="4">
    <w:name w:val="List Number 4"/>
    <w:basedOn w:val="a1"/>
    <w:uiPriority w:val="99"/>
    <w:semiHidden/>
    <w:unhideWhenUsed/>
    <w:rsid w:val="0003148D"/>
    <w:pPr>
      <w:numPr>
        <w:numId w:val="5"/>
      </w:numPr>
      <w:contextualSpacing/>
    </w:pPr>
  </w:style>
  <w:style w:type="paragraph" w:styleId="5">
    <w:name w:val="List Number 5"/>
    <w:basedOn w:val="a1"/>
    <w:uiPriority w:val="99"/>
    <w:semiHidden/>
    <w:unhideWhenUsed/>
    <w:rsid w:val="0003148D"/>
    <w:pPr>
      <w:numPr>
        <w:numId w:val="6"/>
      </w:numPr>
      <w:contextualSpacing/>
    </w:pPr>
  </w:style>
  <w:style w:type="paragraph" w:styleId="HTML1">
    <w:name w:val="HTML Preformatted"/>
    <w:basedOn w:val="a1"/>
    <w:link w:val="HTML2"/>
    <w:uiPriority w:val="99"/>
    <w:semiHidden/>
    <w:unhideWhenUsed/>
    <w:rsid w:val="0003148D"/>
    <w:rPr>
      <w:rFonts w:ascii="Consolas" w:hAnsi="Consolas" w:cs="Consolas"/>
    </w:rPr>
  </w:style>
  <w:style w:type="character" w:customStyle="1" w:styleId="HTML2">
    <w:name w:val="Стандартный HTML Знак"/>
    <w:basedOn w:val="a2"/>
    <w:link w:val="HTML1"/>
    <w:uiPriority w:val="99"/>
    <w:semiHidden/>
    <w:rsid w:val="0003148D"/>
    <w:rPr>
      <w:rFonts w:ascii="Consolas" w:hAnsi="Consolas" w:cs="Consolas"/>
      <w:sz w:val="20"/>
      <w:szCs w:val="20"/>
    </w:rPr>
  </w:style>
  <w:style w:type="paragraph" w:styleId="aff2">
    <w:name w:val="Body Text First Indent"/>
    <w:basedOn w:val="a9"/>
    <w:link w:val="aff3"/>
    <w:uiPriority w:val="99"/>
    <w:semiHidden/>
    <w:unhideWhenUsed/>
    <w:rsid w:val="0003148D"/>
    <w:pPr>
      <w:spacing w:after="200"/>
      <w:ind w:firstLine="360"/>
    </w:pPr>
  </w:style>
  <w:style w:type="character" w:customStyle="1" w:styleId="aff3">
    <w:name w:val="Красная строка Знак"/>
    <w:basedOn w:val="aa"/>
    <w:link w:val="aff2"/>
    <w:uiPriority w:val="99"/>
    <w:semiHidden/>
    <w:rsid w:val="0003148D"/>
  </w:style>
  <w:style w:type="paragraph" w:styleId="aff4">
    <w:name w:val="Body Text Indent"/>
    <w:basedOn w:val="a1"/>
    <w:link w:val="aff5"/>
    <w:uiPriority w:val="99"/>
    <w:semiHidden/>
    <w:unhideWhenUsed/>
    <w:rsid w:val="0003148D"/>
    <w:pPr>
      <w:spacing w:after="120"/>
      <w:ind w:left="283"/>
    </w:pPr>
  </w:style>
  <w:style w:type="character" w:customStyle="1" w:styleId="aff5">
    <w:name w:val="Основной текст с отступом Знак"/>
    <w:basedOn w:val="a2"/>
    <w:link w:val="aff4"/>
    <w:uiPriority w:val="99"/>
    <w:semiHidden/>
    <w:rsid w:val="0003148D"/>
  </w:style>
  <w:style w:type="paragraph" w:styleId="29">
    <w:name w:val="Body Text First Indent 2"/>
    <w:basedOn w:val="aff4"/>
    <w:link w:val="2a"/>
    <w:uiPriority w:val="99"/>
    <w:semiHidden/>
    <w:unhideWhenUsed/>
    <w:rsid w:val="0003148D"/>
    <w:pPr>
      <w:spacing w:after="200"/>
      <w:ind w:left="360" w:firstLine="360"/>
    </w:pPr>
  </w:style>
  <w:style w:type="character" w:customStyle="1" w:styleId="2a">
    <w:name w:val="Красная строка 2 Знак"/>
    <w:basedOn w:val="aff5"/>
    <w:link w:val="29"/>
    <w:uiPriority w:val="99"/>
    <w:semiHidden/>
    <w:rsid w:val="0003148D"/>
  </w:style>
  <w:style w:type="paragraph" w:styleId="a0">
    <w:name w:val="List Bullet"/>
    <w:basedOn w:val="a1"/>
    <w:uiPriority w:val="99"/>
    <w:semiHidden/>
    <w:unhideWhenUsed/>
    <w:rsid w:val="0003148D"/>
    <w:pPr>
      <w:numPr>
        <w:numId w:val="7"/>
      </w:numPr>
      <w:contextualSpacing/>
    </w:pPr>
  </w:style>
  <w:style w:type="paragraph" w:styleId="20">
    <w:name w:val="List Bullet 2"/>
    <w:basedOn w:val="a1"/>
    <w:uiPriority w:val="99"/>
    <w:semiHidden/>
    <w:unhideWhenUsed/>
    <w:rsid w:val="0003148D"/>
    <w:pPr>
      <w:numPr>
        <w:numId w:val="8"/>
      </w:numPr>
      <w:contextualSpacing/>
    </w:pPr>
  </w:style>
  <w:style w:type="paragraph" w:styleId="30">
    <w:name w:val="List Bullet 3"/>
    <w:basedOn w:val="a1"/>
    <w:uiPriority w:val="99"/>
    <w:semiHidden/>
    <w:unhideWhenUsed/>
    <w:rsid w:val="0003148D"/>
    <w:pPr>
      <w:numPr>
        <w:numId w:val="9"/>
      </w:numPr>
      <w:contextualSpacing/>
    </w:pPr>
  </w:style>
  <w:style w:type="paragraph" w:styleId="40">
    <w:name w:val="List Bullet 4"/>
    <w:basedOn w:val="a1"/>
    <w:uiPriority w:val="99"/>
    <w:semiHidden/>
    <w:unhideWhenUsed/>
    <w:rsid w:val="0003148D"/>
    <w:pPr>
      <w:numPr>
        <w:numId w:val="10"/>
      </w:numPr>
      <w:contextualSpacing/>
    </w:pPr>
  </w:style>
  <w:style w:type="paragraph" w:styleId="50">
    <w:name w:val="List Bullet 5"/>
    <w:basedOn w:val="a1"/>
    <w:uiPriority w:val="99"/>
    <w:semiHidden/>
    <w:unhideWhenUsed/>
    <w:rsid w:val="0003148D"/>
    <w:pPr>
      <w:numPr>
        <w:numId w:val="11"/>
      </w:numPr>
      <w:contextualSpacing/>
    </w:pPr>
  </w:style>
  <w:style w:type="paragraph" w:styleId="2b">
    <w:name w:val="Body Text Indent 2"/>
    <w:basedOn w:val="a1"/>
    <w:link w:val="2c"/>
    <w:uiPriority w:val="99"/>
    <w:semiHidden/>
    <w:unhideWhenUsed/>
    <w:rsid w:val="0003148D"/>
    <w:pPr>
      <w:spacing w:after="120" w:line="480" w:lineRule="auto"/>
      <w:ind w:left="283"/>
    </w:pPr>
  </w:style>
  <w:style w:type="character" w:customStyle="1" w:styleId="2c">
    <w:name w:val="Основной текст с отступом 2 Знак"/>
    <w:basedOn w:val="a2"/>
    <w:link w:val="2b"/>
    <w:uiPriority w:val="99"/>
    <w:semiHidden/>
    <w:rsid w:val="0003148D"/>
  </w:style>
  <w:style w:type="paragraph" w:styleId="38">
    <w:name w:val="Body Text Indent 3"/>
    <w:basedOn w:val="a1"/>
    <w:link w:val="39"/>
    <w:uiPriority w:val="99"/>
    <w:semiHidden/>
    <w:unhideWhenUsed/>
    <w:rsid w:val="0003148D"/>
    <w:pPr>
      <w:spacing w:after="120"/>
      <w:ind w:left="283"/>
    </w:pPr>
    <w:rPr>
      <w:sz w:val="16"/>
      <w:szCs w:val="16"/>
    </w:rPr>
  </w:style>
  <w:style w:type="character" w:customStyle="1" w:styleId="39">
    <w:name w:val="Основной текст с отступом 3 Знак"/>
    <w:basedOn w:val="a2"/>
    <w:link w:val="38"/>
    <w:uiPriority w:val="99"/>
    <w:semiHidden/>
    <w:rsid w:val="0003148D"/>
    <w:rPr>
      <w:sz w:val="16"/>
      <w:szCs w:val="16"/>
    </w:rPr>
  </w:style>
  <w:style w:type="paragraph" w:styleId="aff6">
    <w:name w:val="Normal Indent"/>
    <w:basedOn w:val="a1"/>
    <w:uiPriority w:val="99"/>
    <w:semiHidden/>
    <w:unhideWhenUsed/>
    <w:rsid w:val="0003148D"/>
    <w:pPr>
      <w:ind w:left="720"/>
    </w:pPr>
  </w:style>
  <w:style w:type="paragraph" w:styleId="aff7">
    <w:name w:val="annotation text"/>
    <w:basedOn w:val="a1"/>
    <w:link w:val="aff8"/>
    <w:uiPriority w:val="99"/>
    <w:unhideWhenUsed/>
    <w:rsid w:val="0003148D"/>
  </w:style>
  <w:style w:type="character" w:customStyle="1" w:styleId="aff8">
    <w:name w:val="Текст примечания Знак"/>
    <w:basedOn w:val="a2"/>
    <w:link w:val="aff7"/>
    <w:uiPriority w:val="99"/>
    <w:rsid w:val="0003148D"/>
    <w:rPr>
      <w:sz w:val="20"/>
      <w:szCs w:val="20"/>
    </w:rPr>
  </w:style>
  <w:style w:type="paragraph" w:styleId="aff9">
    <w:name w:val="annotation subject"/>
    <w:basedOn w:val="aff7"/>
    <w:next w:val="aff7"/>
    <w:link w:val="affa"/>
    <w:uiPriority w:val="99"/>
    <w:semiHidden/>
    <w:unhideWhenUsed/>
    <w:rsid w:val="0003148D"/>
    <w:rPr>
      <w:b/>
      <w:bCs/>
    </w:rPr>
  </w:style>
  <w:style w:type="character" w:customStyle="1" w:styleId="affa">
    <w:name w:val="Тема примечания Знак"/>
    <w:basedOn w:val="aff8"/>
    <w:link w:val="aff9"/>
    <w:uiPriority w:val="99"/>
    <w:semiHidden/>
    <w:rsid w:val="0003148D"/>
    <w:rPr>
      <w:b/>
      <w:bCs/>
      <w:sz w:val="20"/>
      <w:szCs w:val="20"/>
    </w:rPr>
  </w:style>
  <w:style w:type="paragraph" w:styleId="13">
    <w:name w:val="toc 1"/>
    <w:basedOn w:val="a1"/>
    <w:next w:val="a1"/>
    <w:autoRedefine/>
    <w:uiPriority w:val="39"/>
    <w:semiHidden/>
    <w:unhideWhenUsed/>
    <w:rsid w:val="0003148D"/>
    <w:pPr>
      <w:spacing w:after="100"/>
    </w:pPr>
  </w:style>
  <w:style w:type="paragraph" w:styleId="2d">
    <w:name w:val="toc 2"/>
    <w:basedOn w:val="a1"/>
    <w:next w:val="a1"/>
    <w:autoRedefine/>
    <w:uiPriority w:val="39"/>
    <w:semiHidden/>
    <w:unhideWhenUsed/>
    <w:rsid w:val="0003148D"/>
    <w:pPr>
      <w:spacing w:after="100"/>
      <w:ind w:left="220"/>
    </w:pPr>
  </w:style>
  <w:style w:type="paragraph" w:styleId="3a">
    <w:name w:val="toc 3"/>
    <w:basedOn w:val="a1"/>
    <w:next w:val="a1"/>
    <w:autoRedefine/>
    <w:uiPriority w:val="39"/>
    <w:semiHidden/>
    <w:unhideWhenUsed/>
    <w:rsid w:val="0003148D"/>
    <w:pPr>
      <w:spacing w:after="100"/>
      <w:ind w:left="440"/>
    </w:pPr>
  </w:style>
  <w:style w:type="paragraph" w:styleId="46">
    <w:name w:val="toc 4"/>
    <w:basedOn w:val="a1"/>
    <w:next w:val="a1"/>
    <w:autoRedefine/>
    <w:uiPriority w:val="39"/>
    <w:semiHidden/>
    <w:unhideWhenUsed/>
    <w:rsid w:val="0003148D"/>
    <w:pPr>
      <w:spacing w:after="100"/>
      <w:ind w:left="660"/>
    </w:pPr>
  </w:style>
  <w:style w:type="paragraph" w:styleId="56">
    <w:name w:val="toc 5"/>
    <w:basedOn w:val="a1"/>
    <w:next w:val="a1"/>
    <w:autoRedefine/>
    <w:uiPriority w:val="39"/>
    <w:semiHidden/>
    <w:unhideWhenUsed/>
    <w:rsid w:val="0003148D"/>
    <w:pPr>
      <w:spacing w:after="100"/>
      <w:ind w:left="880"/>
    </w:pPr>
  </w:style>
  <w:style w:type="paragraph" w:styleId="62">
    <w:name w:val="toc 6"/>
    <w:basedOn w:val="a1"/>
    <w:next w:val="a1"/>
    <w:autoRedefine/>
    <w:uiPriority w:val="39"/>
    <w:semiHidden/>
    <w:unhideWhenUsed/>
    <w:rsid w:val="0003148D"/>
    <w:pPr>
      <w:spacing w:after="100"/>
      <w:ind w:left="1100"/>
    </w:pPr>
  </w:style>
  <w:style w:type="paragraph" w:styleId="72">
    <w:name w:val="toc 7"/>
    <w:basedOn w:val="a1"/>
    <w:next w:val="a1"/>
    <w:autoRedefine/>
    <w:uiPriority w:val="39"/>
    <w:semiHidden/>
    <w:unhideWhenUsed/>
    <w:rsid w:val="0003148D"/>
    <w:pPr>
      <w:spacing w:after="100"/>
      <w:ind w:left="1320"/>
    </w:pPr>
  </w:style>
  <w:style w:type="paragraph" w:styleId="82">
    <w:name w:val="toc 8"/>
    <w:basedOn w:val="a1"/>
    <w:next w:val="a1"/>
    <w:autoRedefine/>
    <w:uiPriority w:val="39"/>
    <w:semiHidden/>
    <w:unhideWhenUsed/>
    <w:rsid w:val="0003148D"/>
    <w:pPr>
      <w:spacing w:after="100"/>
      <w:ind w:left="1540"/>
    </w:pPr>
  </w:style>
  <w:style w:type="paragraph" w:styleId="92">
    <w:name w:val="toc 9"/>
    <w:basedOn w:val="a1"/>
    <w:next w:val="a1"/>
    <w:autoRedefine/>
    <w:uiPriority w:val="39"/>
    <w:semiHidden/>
    <w:unhideWhenUsed/>
    <w:rsid w:val="0003148D"/>
    <w:pPr>
      <w:spacing w:after="100"/>
      <w:ind w:left="1760"/>
    </w:pPr>
  </w:style>
  <w:style w:type="paragraph" w:styleId="affb">
    <w:name w:val="Block Text"/>
    <w:basedOn w:val="a1"/>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affc">
    <w:name w:val="macro"/>
    <w:link w:val="affd"/>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affd">
    <w:name w:val="Текст макроса Знак"/>
    <w:basedOn w:val="a2"/>
    <w:link w:val="affc"/>
    <w:uiPriority w:val="99"/>
    <w:semiHidden/>
    <w:rsid w:val="0003148D"/>
    <w:rPr>
      <w:rFonts w:ascii="Consolas" w:hAnsi="Consolas" w:cs="Consolas"/>
      <w:sz w:val="20"/>
      <w:szCs w:val="20"/>
    </w:rPr>
  </w:style>
  <w:style w:type="paragraph" w:styleId="affe">
    <w:name w:val="Plain Text"/>
    <w:basedOn w:val="a1"/>
    <w:link w:val="afff"/>
    <w:uiPriority w:val="99"/>
    <w:semiHidden/>
    <w:unhideWhenUsed/>
    <w:rsid w:val="0003148D"/>
    <w:rPr>
      <w:rFonts w:ascii="Consolas" w:hAnsi="Consolas" w:cs="Consolas"/>
      <w:sz w:val="21"/>
      <w:szCs w:val="21"/>
    </w:rPr>
  </w:style>
  <w:style w:type="character" w:customStyle="1" w:styleId="afff">
    <w:name w:val="Текст Знак"/>
    <w:basedOn w:val="a2"/>
    <w:link w:val="affe"/>
    <w:uiPriority w:val="99"/>
    <w:semiHidden/>
    <w:rsid w:val="0003148D"/>
    <w:rPr>
      <w:rFonts w:ascii="Consolas" w:hAnsi="Consolas" w:cs="Consolas"/>
      <w:sz w:val="21"/>
      <w:szCs w:val="21"/>
    </w:rPr>
  </w:style>
  <w:style w:type="paragraph" w:styleId="afff0">
    <w:name w:val="footnote text"/>
    <w:basedOn w:val="a1"/>
    <w:link w:val="afff1"/>
    <w:uiPriority w:val="99"/>
    <w:semiHidden/>
    <w:unhideWhenUsed/>
    <w:rsid w:val="0003148D"/>
  </w:style>
  <w:style w:type="character" w:customStyle="1" w:styleId="afff1">
    <w:name w:val="Текст сноски Знак"/>
    <w:basedOn w:val="a2"/>
    <w:link w:val="afff0"/>
    <w:uiPriority w:val="99"/>
    <w:semiHidden/>
    <w:rsid w:val="0003148D"/>
    <w:rPr>
      <w:sz w:val="20"/>
      <w:szCs w:val="20"/>
    </w:rPr>
  </w:style>
  <w:style w:type="paragraph" w:styleId="afff2">
    <w:name w:val="endnote text"/>
    <w:basedOn w:val="a1"/>
    <w:link w:val="afff3"/>
    <w:uiPriority w:val="99"/>
    <w:semiHidden/>
    <w:unhideWhenUsed/>
    <w:rsid w:val="0003148D"/>
  </w:style>
  <w:style w:type="character" w:customStyle="1" w:styleId="afff3">
    <w:name w:val="Текст концевой сноски Знак"/>
    <w:basedOn w:val="a2"/>
    <w:link w:val="afff2"/>
    <w:uiPriority w:val="99"/>
    <w:semiHidden/>
    <w:rsid w:val="0003148D"/>
    <w:rPr>
      <w:sz w:val="20"/>
      <w:szCs w:val="20"/>
    </w:rPr>
  </w:style>
  <w:style w:type="character" w:customStyle="1" w:styleId="11">
    <w:name w:val="Заголовок 1 Знак"/>
    <w:basedOn w:val="a2"/>
    <w:link w:val="10"/>
    <w:uiPriority w:val="9"/>
    <w:rsid w:val="004F5E36"/>
    <w:rPr>
      <w:rFonts w:ascii="Arial" w:eastAsia="Times New Roman" w:hAnsi="Arial" w:cs="Times New Roman"/>
      <w:b/>
      <w:sz w:val="20"/>
      <w:szCs w:val="20"/>
      <w:lang w:val="en-GB"/>
    </w:rPr>
  </w:style>
  <w:style w:type="character" w:customStyle="1" w:styleId="22">
    <w:name w:val="Заголовок 2 Знак"/>
    <w:basedOn w:val="a2"/>
    <w:link w:val="21"/>
    <w:uiPriority w:val="9"/>
    <w:semiHidden/>
    <w:rsid w:val="0003148D"/>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semiHidden/>
    <w:rsid w:val="0003148D"/>
    <w:rPr>
      <w:rFonts w:asciiTheme="majorHAnsi" w:eastAsiaTheme="majorEastAsia" w:hAnsiTheme="majorHAnsi" w:cstheme="majorBidi"/>
      <w:b/>
      <w:bCs/>
      <w:color w:val="4F81BD" w:themeColor="accent1"/>
    </w:rPr>
  </w:style>
  <w:style w:type="character" w:customStyle="1" w:styleId="42">
    <w:name w:val="Заголовок 4 Знак"/>
    <w:basedOn w:val="a2"/>
    <w:link w:val="41"/>
    <w:uiPriority w:val="9"/>
    <w:semiHidden/>
    <w:rsid w:val="0003148D"/>
    <w:rPr>
      <w:rFonts w:asciiTheme="majorHAnsi" w:eastAsiaTheme="majorEastAsia" w:hAnsiTheme="majorHAnsi" w:cstheme="majorBidi"/>
      <w:b/>
      <w:bCs/>
      <w:i/>
      <w:iCs/>
      <w:color w:val="4F81BD" w:themeColor="accent1"/>
    </w:rPr>
  </w:style>
  <w:style w:type="character" w:customStyle="1" w:styleId="52">
    <w:name w:val="Заголовок 5 Знак"/>
    <w:basedOn w:val="a2"/>
    <w:link w:val="51"/>
    <w:uiPriority w:val="9"/>
    <w:semiHidden/>
    <w:rsid w:val="0003148D"/>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03148D"/>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03148D"/>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semiHidden/>
    <w:rsid w:val="0003148D"/>
    <w:rPr>
      <w:rFonts w:asciiTheme="majorHAnsi" w:eastAsiaTheme="majorEastAsia" w:hAnsiTheme="majorHAnsi" w:cstheme="majorBidi"/>
      <w:i/>
      <w:iCs/>
      <w:color w:val="404040" w:themeColor="text1" w:themeTint="BF"/>
      <w:sz w:val="20"/>
      <w:szCs w:val="20"/>
    </w:rPr>
  </w:style>
  <w:style w:type="paragraph" w:styleId="afff4">
    <w:name w:val="index heading"/>
    <w:basedOn w:val="a1"/>
    <w:next w:val="12"/>
    <w:uiPriority w:val="99"/>
    <w:semiHidden/>
    <w:unhideWhenUsed/>
    <w:rsid w:val="0003148D"/>
    <w:rPr>
      <w:rFonts w:asciiTheme="majorHAnsi" w:eastAsiaTheme="majorEastAsia" w:hAnsiTheme="majorHAnsi" w:cstheme="majorBidi"/>
      <w:b/>
      <w:bCs/>
    </w:rPr>
  </w:style>
  <w:style w:type="paragraph" w:styleId="afff5">
    <w:name w:val="toa heading"/>
    <w:basedOn w:val="a1"/>
    <w:next w:val="a1"/>
    <w:uiPriority w:val="99"/>
    <w:semiHidden/>
    <w:unhideWhenUsed/>
    <w:rsid w:val="0003148D"/>
    <w:pPr>
      <w:spacing w:before="120"/>
    </w:pPr>
    <w:rPr>
      <w:rFonts w:asciiTheme="majorHAnsi" w:eastAsiaTheme="majorEastAsia" w:hAnsiTheme="majorHAnsi" w:cstheme="majorBidi"/>
      <w:b/>
      <w:bCs/>
    </w:rPr>
  </w:style>
  <w:style w:type="paragraph" w:styleId="afff6">
    <w:name w:val="TOC Heading"/>
    <w:basedOn w:val="10"/>
    <w:next w:val="a1"/>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2"/>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afff7">
    <w:name w:val="header"/>
    <w:basedOn w:val="a1"/>
    <w:link w:val="afff8"/>
    <w:uiPriority w:val="99"/>
    <w:unhideWhenUsed/>
    <w:rsid w:val="005278B7"/>
    <w:pPr>
      <w:tabs>
        <w:tab w:val="center" w:pos="4819"/>
        <w:tab w:val="right" w:pos="9638"/>
      </w:tabs>
    </w:pPr>
  </w:style>
  <w:style w:type="character" w:customStyle="1" w:styleId="afff8">
    <w:name w:val="Верхний колонтитул Знак"/>
    <w:basedOn w:val="a2"/>
    <w:link w:val="afff7"/>
    <w:uiPriority w:val="99"/>
    <w:rsid w:val="005278B7"/>
    <w:rPr>
      <w:rFonts w:ascii="Arial" w:eastAsia="Times New Roman" w:hAnsi="Arial" w:cs="Times New Roman"/>
      <w:sz w:val="18"/>
      <w:szCs w:val="20"/>
      <w:lang w:val="en-GB"/>
    </w:rPr>
  </w:style>
  <w:style w:type="paragraph" w:styleId="afff9">
    <w:name w:val="footer"/>
    <w:basedOn w:val="a1"/>
    <w:link w:val="afffa"/>
    <w:uiPriority w:val="99"/>
    <w:unhideWhenUsed/>
    <w:rsid w:val="005278B7"/>
    <w:pPr>
      <w:tabs>
        <w:tab w:val="center" w:pos="4819"/>
        <w:tab w:val="right" w:pos="9638"/>
      </w:tabs>
    </w:pPr>
  </w:style>
  <w:style w:type="character" w:customStyle="1" w:styleId="afffa">
    <w:name w:val="Нижний колонтитул Знак"/>
    <w:basedOn w:val="a2"/>
    <w:link w:val="afff9"/>
    <w:uiPriority w:val="99"/>
    <w:rsid w:val="005278B7"/>
    <w:rPr>
      <w:rFonts w:ascii="Arial" w:eastAsia="Times New Roman" w:hAnsi="Arial" w:cs="Times New Roman"/>
      <w:sz w:val="18"/>
      <w:szCs w:val="20"/>
      <w:lang w:val="en-GB"/>
    </w:rPr>
  </w:style>
  <w:style w:type="table" w:styleId="afffb">
    <w:name w:val="Table Grid"/>
    <w:basedOn w:val="a3"/>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Hyperlink"/>
    <w:basedOn w:val="a2"/>
    <w:uiPriority w:val="99"/>
    <w:unhideWhenUsed/>
    <w:rsid w:val="00904C62"/>
    <w:rPr>
      <w:color w:val="0000FF" w:themeColor="hyperlink"/>
      <w:u w:val="single"/>
    </w:rPr>
  </w:style>
  <w:style w:type="character" w:customStyle="1" w:styleId="eudoraheader">
    <w:name w:val="eudoraheader"/>
    <w:basedOn w:val="a2"/>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afffd">
    <w:name w:val="List Paragraph"/>
    <w:basedOn w:val="a1"/>
    <w:link w:val="afffe"/>
    <w:uiPriority w:val="34"/>
    <w:qFormat/>
    <w:rsid w:val="00280FAF"/>
    <w:pPr>
      <w:ind w:left="720"/>
      <w:contextualSpacing/>
    </w:pPr>
  </w:style>
  <w:style w:type="character" w:styleId="affff">
    <w:name w:val="Placeholder Text"/>
    <w:basedOn w:val="a2"/>
    <w:uiPriority w:val="99"/>
    <w:semiHidden/>
    <w:rsid w:val="0058454E"/>
    <w:rPr>
      <w:color w:val="808080"/>
    </w:rPr>
  </w:style>
  <w:style w:type="character" w:customStyle="1" w:styleId="afffe">
    <w:name w:val="Абзац списка Знак"/>
    <w:link w:val="afffd"/>
    <w:uiPriority w:val="34"/>
    <w:rsid w:val="008D357A"/>
    <w:rPr>
      <w:rFonts w:ascii="Arial" w:eastAsia="Times New Roman" w:hAnsi="Arial" w:cs="Times New Roman"/>
      <w:sz w:val="18"/>
      <w:szCs w:val="20"/>
      <w:lang w:val="en-GB"/>
    </w:rPr>
  </w:style>
  <w:style w:type="paragraph" w:customStyle="1" w:styleId="html-xx">
    <w:name w:val="html-xx"/>
    <w:basedOn w:val="a1"/>
    <w:rsid w:val="003D0BA9"/>
    <w:pPr>
      <w:spacing w:before="100" w:beforeAutospacing="1" w:after="100" w:afterAutospacing="1"/>
    </w:pPr>
    <w:rPr>
      <w:lang w:val="ru-RU" w:eastAsia="ru-RU"/>
    </w:rPr>
  </w:style>
  <w:style w:type="character" w:customStyle="1" w:styleId="html-italic">
    <w:name w:val="html-italic"/>
    <w:basedOn w:val="a2"/>
    <w:rsid w:val="003D0B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5665">
      <w:bodyDiv w:val="1"/>
      <w:marLeft w:val="0"/>
      <w:marRight w:val="0"/>
      <w:marTop w:val="0"/>
      <w:marBottom w:val="0"/>
      <w:divBdr>
        <w:top w:val="none" w:sz="0" w:space="0" w:color="auto"/>
        <w:left w:val="none" w:sz="0" w:space="0" w:color="auto"/>
        <w:bottom w:val="none" w:sz="0" w:space="0" w:color="auto"/>
        <w:right w:val="none" w:sz="0" w:space="0" w:color="auto"/>
      </w:divBdr>
    </w:div>
    <w:div w:id="114567389">
      <w:bodyDiv w:val="1"/>
      <w:marLeft w:val="0"/>
      <w:marRight w:val="0"/>
      <w:marTop w:val="0"/>
      <w:marBottom w:val="0"/>
      <w:divBdr>
        <w:top w:val="none" w:sz="0" w:space="0" w:color="auto"/>
        <w:left w:val="none" w:sz="0" w:space="0" w:color="auto"/>
        <w:bottom w:val="none" w:sz="0" w:space="0" w:color="auto"/>
        <w:right w:val="none" w:sz="0" w:space="0" w:color="auto"/>
      </w:divBdr>
    </w:div>
    <w:div w:id="559295279">
      <w:bodyDiv w:val="1"/>
      <w:marLeft w:val="0"/>
      <w:marRight w:val="0"/>
      <w:marTop w:val="0"/>
      <w:marBottom w:val="0"/>
      <w:divBdr>
        <w:top w:val="none" w:sz="0" w:space="0" w:color="auto"/>
        <w:left w:val="none" w:sz="0" w:space="0" w:color="auto"/>
        <w:bottom w:val="none" w:sz="0" w:space="0" w:color="auto"/>
        <w:right w:val="none" w:sz="0" w:space="0" w:color="auto"/>
      </w:divBdr>
    </w:div>
    <w:div w:id="675618767">
      <w:bodyDiv w:val="1"/>
      <w:marLeft w:val="0"/>
      <w:marRight w:val="0"/>
      <w:marTop w:val="0"/>
      <w:marBottom w:val="0"/>
      <w:divBdr>
        <w:top w:val="none" w:sz="0" w:space="0" w:color="auto"/>
        <w:left w:val="none" w:sz="0" w:space="0" w:color="auto"/>
        <w:bottom w:val="none" w:sz="0" w:space="0" w:color="auto"/>
        <w:right w:val="none" w:sz="0" w:space="0" w:color="auto"/>
      </w:divBdr>
    </w:div>
    <w:div w:id="76168593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614338">
      <w:bodyDiv w:val="1"/>
      <w:marLeft w:val="0"/>
      <w:marRight w:val="0"/>
      <w:marTop w:val="0"/>
      <w:marBottom w:val="0"/>
      <w:divBdr>
        <w:top w:val="none" w:sz="0" w:space="0" w:color="auto"/>
        <w:left w:val="none" w:sz="0" w:space="0" w:color="auto"/>
        <w:bottom w:val="none" w:sz="0" w:space="0" w:color="auto"/>
        <w:right w:val="none" w:sz="0" w:space="0" w:color="auto"/>
      </w:divBdr>
    </w:div>
    <w:div w:id="923493569">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07636">
      <w:bodyDiv w:val="1"/>
      <w:marLeft w:val="0"/>
      <w:marRight w:val="0"/>
      <w:marTop w:val="0"/>
      <w:marBottom w:val="0"/>
      <w:divBdr>
        <w:top w:val="none" w:sz="0" w:space="0" w:color="auto"/>
        <w:left w:val="none" w:sz="0" w:space="0" w:color="auto"/>
        <w:bottom w:val="none" w:sz="0" w:space="0" w:color="auto"/>
        <w:right w:val="none" w:sz="0" w:space="0" w:color="auto"/>
      </w:divBdr>
    </w:div>
    <w:div w:id="1300183162">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32691844">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867047">
      <w:bodyDiv w:val="1"/>
      <w:marLeft w:val="0"/>
      <w:marRight w:val="0"/>
      <w:marTop w:val="0"/>
      <w:marBottom w:val="0"/>
      <w:divBdr>
        <w:top w:val="none" w:sz="0" w:space="0" w:color="auto"/>
        <w:left w:val="none" w:sz="0" w:space="0" w:color="auto"/>
        <w:bottom w:val="none" w:sz="0" w:space="0" w:color="auto"/>
        <w:right w:val="none" w:sz="0" w:space="0" w:color="auto"/>
      </w:divBdr>
    </w:div>
    <w:div w:id="212018025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E41D6-B827-42AA-9A1B-E80360371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2619</Words>
  <Characters>14930</Characters>
  <Application>Microsoft Office Word</Application>
  <DocSecurity>0</DocSecurity>
  <Lines>124</Lines>
  <Paragraphs>35</Paragraphs>
  <ScaleCrop>false</ScaleCrop>
  <HeadingPairs>
    <vt:vector size="6" baseType="variant">
      <vt:variant>
        <vt:lpstr>Название</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17514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asus</cp:lastModifiedBy>
  <cp:revision>2</cp:revision>
  <cp:lastPrinted>2015-05-12T18:31:00Z</cp:lastPrinted>
  <dcterms:created xsi:type="dcterms:W3CDTF">2023-04-06T10:49:00Z</dcterms:created>
  <dcterms:modified xsi:type="dcterms:W3CDTF">2023-04-06T10:49:00Z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