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8782" w:type="dxa"/>
        <w:jc w:val="center"/>
        <w:tblLayout w:type="fixed"/>
        <w:tblLook w:val="01E0" w:firstRow="1" w:lastRow="1" w:firstColumn="1" w:lastColumn="1" w:noHBand="0" w:noVBand="0"/>
      </w:tblPr>
      <w:tblGrid>
        <w:gridCol w:w="6941"/>
        <w:gridCol w:w="1841"/>
      </w:tblGrid>
      <w:tr w:rsidR="00692EE6" w14:paraId="0E8C5D3D" w14:textId="77777777">
        <w:trPr>
          <w:trHeight w:val="852"/>
          <w:jc w:val="center"/>
        </w:trPr>
        <w:tc>
          <w:tcPr>
            <w:tcW w:w="6940" w:type="dxa"/>
            <w:vMerge w:val="restart"/>
            <w:tcBorders>
              <w:right w:val="single" w:sz="4" w:space="0" w:color="000000"/>
            </w:tcBorders>
          </w:tcPr>
          <w:p w14:paraId="7444663F" w14:textId="77777777" w:rsidR="00692EE6" w:rsidRDefault="00000000">
            <w:pPr>
              <w:widowControl w:val="0"/>
              <w:tabs>
                <w:tab w:val="left" w:pos="-108"/>
              </w:tabs>
              <w:ind w:left="-108"/>
              <w:jc w:val="left"/>
              <w:rPr>
                <w:rFonts w:cs="Arial"/>
                <w:b/>
                <w:bCs/>
                <w:i/>
                <w:iCs/>
                <w:color w:val="000066"/>
                <w:sz w:val="12"/>
                <w:szCs w:val="12"/>
                <w:lang w:eastAsia="it-IT"/>
              </w:rPr>
            </w:pPr>
            <w:r>
              <w:rPr>
                <w:noProof/>
              </w:rPr>
              <w:drawing>
                <wp:inline distT="0" distB="0" distL="0" distR="0" wp14:anchorId="1CB762B9" wp14:editId="42530EC6">
                  <wp:extent cx="640080" cy="373380"/>
                  <wp:effectExtent l="0" t="0" r="0" b="0"/>
                  <wp:docPr id="1"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5" descr="cetlogo"/>
                          <pic:cNvPicPr>
                            <a:picLocks noChangeAspect="1" noChangeArrowheads="1"/>
                          </pic:cNvPicPr>
                        </pic:nvPicPr>
                        <pic:blipFill>
                          <a:blip r:embed="rId6"/>
                          <a:stretch>
                            <a:fillRect/>
                          </a:stretch>
                        </pic:blipFill>
                        <pic:spPr bwMode="auto">
                          <a:xfrm>
                            <a:off x="0" y="0"/>
                            <a:ext cx="640080" cy="373380"/>
                          </a:xfrm>
                          <a:prstGeom prst="rect">
                            <a:avLst/>
                          </a:prstGeom>
                        </pic:spPr>
                      </pic:pic>
                    </a:graphicData>
                  </a:graphic>
                </wp:inline>
              </w:drawing>
            </w:r>
            <w:r>
              <w:rPr>
                <w:rFonts w:ascii="AdvP6960" w:hAnsi="AdvP6960" w:cs="AdvP6960"/>
                <w:color w:val="241F20"/>
                <w:szCs w:val="18"/>
                <w:lang w:eastAsia="it-IT"/>
              </w:rPr>
              <w:t xml:space="preserve"> </w:t>
            </w:r>
            <w:r>
              <w:rPr>
                <w:rFonts w:cs="Arial"/>
                <w:b/>
                <w:bCs/>
                <w:i/>
                <w:iCs/>
                <w:color w:val="000066"/>
                <w:sz w:val="24"/>
                <w:szCs w:val="24"/>
                <w:lang w:eastAsia="it-IT"/>
              </w:rPr>
              <w:t>CHEMICAL ENGINEERING</w:t>
            </w:r>
            <w:r>
              <w:rPr>
                <w:rFonts w:cs="Arial"/>
                <w:b/>
                <w:bCs/>
                <w:i/>
                <w:iCs/>
                <w:color w:val="0033FF"/>
                <w:sz w:val="24"/>
                <w:szCs w:val="24"/>
                <w:lang w:eastAsia="it-IT"/>
              </w:rPr>
              <w:t xml:space="preserve"> </w:t>
            </w:r>
            <w:r>
              <w:rPr>
                <w:rFonts w:cs="Arial"/>
                <w:b/>
                <w:bCs/>
                <w:i/>
                <w:iCs/>
                <w:color w:val="666666"/>
                <w:sz w:val="24"/>
                <w:szCs w:val="24"/>
                <w:lang w:eastAsia="it-IT"/>
              </w:rPr>
              <w:t>TRANSACTIONS</w:t>
            </w:r>
            <w:r>
              <w:rPr>
                <w:color w:val="333333"/>
                <w:sz w:val="24"/>
                <w:szCs w:val="24"/>
                <w:lang w:eastAsia="it-IT"/>
              </w:rPr>
              <w:t xml:space="preserve"> </w:t>
            </w:r>
            <w:r>
              <w:rPr>
                <w:rFonts w:cs="Arial"/>
                <w:b/>
                <w:bCs/>
                <w:i/>
                <w:iCs/>
                <w:color w:val="000066"/>
                <w:sz w:val="27"/>
                <w:szCs w:val="27"/>
                <w:lang w:eastAsia="it-IT"/>
              </w:rPr>
              <w:br/>
            </w:r>
          </w:p>
          <w:p w14:paraId="7F1374E5" w14:textId="77777777" w:rsidR="00692EE6" w:rsidRDefault="00000000">
            <w:pPr>
              <w:widowControl w:val="0"/>
              <w:tabs>
                <w:tab w:val="left" w:pos="-108"/>
              </w:tabs>
              <w:ind w:left="-108"/>
              <w:rPr>
                <w:rFonts w:cs="Arial"/>
                <w:b/>
                <w:bCs/>
                <w:i/>
                <w:iCs/>
                <w:color w:val="000066"/>
                <w:sz w:val="22"/>
                <w:szCs w:val="22"/>
                <w:lang w:eastAsia="it-IT"/>
              </w:rPr>
            </w:pPr>
            <w:r>
              <w:rPr>
                <w:rFonts w:cs="Arial"/>
                <w:b/>
                <w:bCs/>
                <w:i/>
                <w:iCs/>
                <w:color w:val="000066"/>
                <w:sz w:val="22"/>
                <w:szCs w:val="22"/>
                <w:lang w:eastAsia="it-IT"/>
              </w:rPr>
              <w:t xml:space="preserve">VOL.  </w:t>
            </w:r>
            <w:proofErr w:type="gramStart"/>
            <w:r>
              <w:rPr>
                <w:rFonts w:cs="Arial"/>
                <w:b/>
                <w:bCs/>
                <w:i/>
                <w:iCs/>
                <w:color w:val="000066"/>
                <w:sz w:val="22"/>
                <w:szCs w:val="22"/>
                <w:lang w:eastAsia="it-IT"/>
              </w:rPr>
              <w:t xml:space="preserve">  ,</w:t>
            </w:r>
            <w:proofErr w:type="gramEnd"/>
            <w:r>
              <w:rPr>
                <w:rFonts w:cs="Arial"/>
                <w:b/>
                <w:bCs/>
                <w:i/>
                <w:iCs/>
                <w:color w:val="000066"/>
                <w:sz w:val="22"/>
                <w:szCs w:val="22"/>
                <w:lang w:eastAsia="it-IT"/>
              </w:rPr>
              <w:t xml:space="preserve"> 2023</w:t>
            </w:r>
          </w:p>
        </w:tc>
        <w:tc>
          <w:tcPr>
            <w:tcW w:w="1841" w:type="dxa"/>
            <w:tcBorders>
              <w:left w:val="single" w:sz="4" w:space="0" w:color="000000"/>
              <w:right w:val="single" w:sz="4" w:space="0" w:color="000000"/>
            </w:tcBorders>
          </w:tcPr>
          <w:p w14:paraId="287878B1" w14:textId="77777777" w:rsidR="00692EE6" w:rsidRDefault="00000000">
            <w:pPr>
              <w:widowControl w:val="0"/>
              <w:spacing w:line="140" w:lineRule="atLeast"/>
              <w:jc w:val="right"/>
              <w:rPr>
                <w:rFonts w:cs="Arial"/>
                <w:sz w:val="14"/>
                <w:szCs w:val="14"/>
              </w:rPr>
            </w:pPr>
            <w:r>
              <w:rPr>
                <w:rFonts w:cs="Arial"/>
                <w:sz w:val="14"/>
                <w:szCs w:val="14"/>
              </w:rPr>
              <w:t>A publication of</w:t>
            </w:r>
          </w:p>
          <w:p w14:paraId="30BAEFC0" w14:textId="77777777" w:rsidR="00692EE6" w:rsidRDefault="00000000">
            <w:pPr>
              <w:widowControl w:val="0"/>
              <w:jc w:val="right"/>
            </w:pPr>
            <w:r>
              <w:rPr>
                <w:noProof/>
              </w:rPr>
              <w:drawing>
                <wp:inline distT="0" distB="0" distL="0" distR="0" wp14:anchorId="076AAB48" wp14:editId="2239AB78">
                  <wp:extent cx="670560" cy="358140"/>
                  <wp:effectExtent l="0" t="0" r="0" b="0"/>
                  <wp:docPr id="2"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6" descr="aidiclogo_grande"/>
                          <pic:cNvPicPr>
                            <a:picLocks noChangeAspect="1" noChangeArrowheads="1"/>
                          </pic:cNvPicPr>
                        </pic:nvPicPr>
                        <pic:blipFill>
                          <a:blip r:embed="rId7"/>
                          <a:stretch>
                            <a:fillRect/>
                          </a:stretch>
                        </pic:blipFill>
                        <pic:spPr bwMode="auto">
                          <a:xfrm>
                            <a:off x="0" y="0"/>
                            <a:ext cx="670560" cy="358140"/>
                          </a:xfrm>
                          <a:prstGeom prst="rect">
                            <a:avLst/>
                          </a:prstGeom>
                        </pic:spPr>
                      </pic:pic>
                    </a:graphicData>
                  </a:graphic>
                </wp:inline>
              </w:drawing>
            </w:r>
          </w:p>
        </w:tc>
      </w:tr>
      <w:tr w:rsidR="00692EE6" w14:paraId="19527277" w14:textId="77777777">
        <w:trPr>
          <w:trHeight w:val="567"/>
          <w:jc w:val="center"/>
        </w:trPr>
        <w:tc>
          <w:tcPr>
            <w:tcW w:w="6940" w:type="dxa"/>
            <w:vMerge/>
            <w:tcBorders>
              <w:right w:val="single" w:sz="4" w:space="0" w:color="000000"/>
            </w:tcBorders>
          </w:tcPr>
          <w:p w14:paraId="39E1A163" w14:textId="77777777" w:rsidR="00692EE6" w:rsidRDefault="00692EE6">
            <w:pPr>
              <w:widowControl w:val="0"/>
              <w:tabs>
                <w:tab w:val="left" w:pos="-108"/>
              </w:tabs>
            </w:pPr>
          </w:p>
        </w:tc>
        <w:tc>
          <w:tcPr>
            <w:tcW w:w="1841" w:type="dxa"/>
            <w:tcBorders>
              <w:left w:val="single" w:sz="4" w:space="0" w:color="000000"/>
              <w:right w:val="single" w:sz="4" w:space="0" w:color="000000"/>
            </w:tcBorders>
          </w:tcPr>
          <w:p w14:paraId="1FF91D99" w14:textId="77777777" w:rsidR="00692EE6" w:rsidRDefault="00000000">
            <w:pPr>
              <w:widowControl w:val="0"/>
              <w:spacing w:line="140" w:lineRule="atLeast"/>
              <w:jc w:val="right"/>
              <w:rPr>
                <w:rFonts w:cs="Arial"/>
                <w:sz w:val="14"/>
                <w:szCs w:val="14"/>
              </w:rPr>
            </w:pPr>
            <w:r>
              <w:rPr>
                <w:rFonts w:cs="Arial"/>
                <w:sz w:val="14"/>
                <w:szCs w:val="14"/>
              </w:rPr>
              <w:t>The Italian Association</w:t>
            </w:r>
          </w:p>
          <w:p w14:paraId="32F126C3" w14:textId="77777777" w:rsidR="00692EE6" w:rsidRDefault="00000000">
            <w:pPr>
              <w:widowControl w:val="0"/>
              <w:spacing w:line="140" w:lineRule="atLeast"/>
              <w:jc w:val="right"/>
              <w:rPr>
                <w:rFonts w:cs="Arial"/>
                <w:sz w:val="14"/>
                <w:szCs w:val="14"/>
              </w:rPr>
            </w:pPr>
            <w:r>
              <w:rPr>
                <w:rFonts w:cs="Arial"/>
                <w:sz w:val="14"/>
                <w:szCs w:val="14"/>
              </w:rPr>
              <w:t>of Chemical Engineering</w:t>
            </w:r>
          </w:p>
          <w:p w14:paraId="6868D8CF" w14:textId="77777777" w:rsidR="00692EE6" w:rsidRDefault="00000000">
            <w:pPr>
              <w:widowControl w:val="0"/>
              <w:spacing w:line="140" w:lineRule="atLeast"/>
              <w:jc w:val="right"/>
              <w:rPr>
                <w:rFonts w:cs="Arial"/>
                <w:sz w:val="13"/>
                <w:szCs w:val="13"/>
              </w:rPr>
            </w:pPr>
            <w:r>
              <w:rPr>
                <w:rFonts w:cs="Arial"/>
                <w:sz w:val="13"/>
                <w:szCs w:val="13"/>
              </w:rPr>
              <w:t>Online at www.cetjournal.it</w:t>
            </w:r>
          </w:p>
        </w:tc>
      </w:tr>
      <w:tr w:rsidR="00692EE6" w14:paraId="15216903" w14:textId="77777777">
        <w:trPr>
          <w:trHeight w:val="68"/>
          <w:jc w:val="center"/>
        </w:trPr>
        <w:tc>
          <w:tcPr>
            <w:tcW w:w="8781" w:type="dxa"/>
            <w:gridSpan w:val="2"/>
            <w:tcBorders>
              <w:bottom w:val="single" w:sz="4" w:space="0" w:color="000000"/>
            </w:tcBorders>
          </w:tcPr>
          <w:p w14:paraId="0AFDFCFA" w14:textId="77777777" w:rsidR="00692EE6" w:rsidRDefault="00000000">
            <w:pPr>
              <w:widowControl w:val="0"/>
              <w:ind w:left="-107"/>
              <w:outlineLvl w:val="2"/>
              <w:rPr>
                <w:rFonts w:ascii="Tahoma" w:hAnsi="Tahoma" w:cs="Tahoma"/>
                <w:bCs/>
                <w:color w:val="000000"/>
                <w:sz w:val="14"/>
                <w:szCs w:val="14"/>
                <w:lang w:eastAsia="it-IT"/>
              </w:rPr>
            </w:pPr>
            <w:r>
              <w:rPr>
                <w:rFonts w:ascii="Tahoma" w:hAnsi="Tahoma" w:cs="Tahoma"/>
                <w:iCs/>
                <w:color w:val="333333"/>
                <w:sz w:val="14"/>
                <w:szCs w:val="14"/>
                <w:lang w:eastAsia="it-IT"/>
              </w:rPr>
              <w:t>Guest Editors:</w:t>
            </w:r>
            <w:r>
              <w:rPr>
                <w:rFonts w:ascii="Tahoma" w:hAnsi="Tahoma" w:cs="Tahoma"/>
                <w:color w:val="000000"/>
                <w:sz w:val="14"/>
                <w:szCs w:val="14"/>
                <w:shd w:val="clear" w:color="auto" w:fill="FFFFFF"/>
              </w:rPr>
              <w:t xml:space="preserve"> </w:t>
            </w:r>
            <w:proofErr w:type="spellStart"/>
            <w:r>
              <w:rPr>
                <w:rFonts w:ascii="Tahoma" w:hAnsi="Tahoma" w:cs="Tahoma"/>
                <w:sz w:val="14"/>
                <w:szCs w:val="14"/>
              </w:rPr>
              <w:t>Sauro</w:t>
            </w:r>
            <w:proofErr w:type="spellEnd"/>
            <w:r>
              <w:rPr>
                <w:rFonts w:ascii="Tahoma" w:hAnsi="Tahoma" w:cs="Tahoma"/>
                <w:sz w:val="14"/>
                <w:szCs w:val="14"/>
              </w:rPr>
              <w:t xml:space="preserve"> </w:t>
            </w:r>
            <w:proofErr w:type="spellStart"/>
            <w:r>
              <w:rPr>
                <w:rFonts w:ascii="Tahoma" w:hAnsi="Tahoma" w:cs="Tahoma"/>
                <w:sz w:val="14"/>
                <w:szCs w:val="14"/>
              </w:rPr>
              <w:t>Pierucci</w:t>
            </w:r>
            <w:proofErr w:type="spellEnd"/>
            <w:r>
              <w:rPr>
                <w:rFonts w:ascii="Tahoma" w:hAnsi="Tahoma" w:cs="Tahoma"/>
                <w:sz w:val="14"/>
                <w:szCs w:val="14"/>
              </w:rPr>
              <w:t xml:space="preserve">, </w:t>
            </w:r>
            <w:proofErr w:type="spellStart"/>
            <w:r>
              <w:rPr>
                <w:rFonts w:ascii="Tahoma" w:hAnsi="Tahoma" w:cs="Tahoma"/>
                <w:sz w:val="14"/>
                <w:szCs w:val="14"/>
                <w:shd w:val="clear" w:color="auto" w:fill="FFFFFF"/>
              </w:rPr>
              <w:t>Jiří</w:t>
            </w:r>
            <w:proofErr w:type="spellEnd"/>
            <w:r>
              <w:rPr>
                <w:rFonts w:ascii="Tahoma" w:hAnsi="Tahoma" w:cs="Tahoma"/>
                <w:sz w:val="14"/>
                <w:szCs w:val="14"/>
                <w:shd w:val="clear" w:color="auto" w:fill="FFFFFF"/>
              </w:rPr>
              <w:t xml:space="preserve"> Jaromír </w:t>
            </w:r>
            <w:proofErr w:type="spellStart"/>
            <w:r>
              <w:rPr>
                <w:rFonts w:ascii="Tahoma" w:hAnsi="Tahoma" w:cs="Tahoma"/>
                <w:sz w:val="14"/>
                <w:szCs w:val="14"/>
                <w:shd w:val="clear" w:color="auto" w:fill="FFFFFF"/>
              </w:rPr>
              <w:t>Klemeš</w:t>
            </w:r>
            <w:proofErr w:type="spellEnd"/>
          </w:p>
          <w:p w14:paraId="4CDEA9B5" w14:textId="77777777" w:rsidR="00692EE6" w:rsidRDefault="00000000">
            <w:pPr>
              <w:widowControl w:val="0"/>
              <w:tabs>
                <w:tab w:val="left" w:pos="-108"/>
              </w:tabs>
              <w:spacing w:line="140" w:lineRule="atLeast"/>
              <w:ind w:left="-107"/>
              <w:jc w:val="left"/>
            </w:pPr>
            <w:r>
              <w:rPr>
                <w:rFonts w:ascii="Tahoma" w:hAnsi="Tahoma" w:cs="Tahoma"/>
                <w:iCs/>
                <w:color w:val="333333"/>
                <w:sz w:val="14"/>
                <w:szCs w:val="14"/>
                <w:lang w:eastAsia="it-IT"/>
              </w:rPr>
              <w:t xml:space="preserve">Copyright © 2023, AIDIC </w:t>
            </w:r>
            <w:proofErr w:type="spellStart"/>
            <w:r>
              <w:rPr>
                <w:rFonts w:ascii="Tahoma" w:hAnsi="Tahoma" w:cs="Tahoma"/>
                <w:iCs/>
                <w:color w:val="333333"/>
                <w:sz w:val="14"/>
                <w:szCs w:val="14"/>
                <w:lang w:eastAsia="it-IT"/>
              </w:rPr>
              <w:t>Servizi</w:t>
            </w:r>
            <w:proofErr w:type="spellEnd"/>
            <w:r>
              <w:rPr>
                <w:rFonts w:ascii="Tahoma" w:hAnsi="Tahoma" w:cs="Tahoma"/>
                <w:iCs/>
                <w:color w:val="333333"/>
                <w:sz w:val="14"/>
                <w:szCs w:val="14"/>
                <w:lang w:eastAsia="it-IT"/>
              </w:rPr>
              <w:t xml:space="preserve"> </w:t>
            </w:r>
            <w:proofErr w:type="spellStart"/>
            <w:r>
              <w:rPr>
                <w:rFonts w:ascii="Tahoma" w:hAnsi="Tahoma" w:cs="Tahoma"/>
                <w:iCs/>
                <w:color w:val="333333"/>
                <w:sz w:val="14"/>
                <w:szCs w:val="14"/>
                <w:lang w:eastAsia="it-IT"/>
              </w:rPr>
              <w:t>S.r.l</w:t>
            </w:r>
            <w:proofErr w:type="spellEnd"/>
            <w:r>
              <w:rPr>
                <w:rFonts w:ascii="Tahoma" w:hAnsi="Tahoma" w:cs="Tahoma"/>
                <w:iCs/>
                <w:color w:val="333333"/>
                <w:sz w:val="14"/>
                <w:szCs w:val="14"/>
                <w:lang w:eastAsia="it-IT"/>
              </w:rPr>
              <w:t>.</w:t>
            </w:r>
            <w:r>
              <w:rPr>
                <w:rFonts w:ascii="Tahoma" w:hAnsi="Tahoma" w:cs="Tahoma"/>
                <w:iCs/>
                <w:color w:val="333333"/>
                <w:sz w:val="14"/>
                <w:szCs w:val="14"/>
                <w:lang w:eastAsia="it-IT"/>
              </w:rPr>
              <w:br/>
            </w:r>
            <w:r>
              <w:rPr>
                <w:rFonts w:ascii="Tahoma" w:hAnsi="Tahoma" w:cs="Tahoma"/>
                <w:b/>
                <w:iCs/>
                <w:color w:val="000000"/>
                <w:sz w:val="14"/>
                <w:szCs w:val="14"/>
                <w:lang w:eastAsia="it-IT"/>
              </w:rPr>
              <w:t>ISBN</w:t>
            </w:r>
            <w:r>
              <w:rPr>
                <w:rFonts w:ascii="Tahoma" w:hAnsi="Tahoma" w:cs="Tahoma"/>
                <w:iCs/>
                <w:color w:val="000000"/>
                <w:sz w:val="14"/>
                <w:szCs w:val="14"/>
                <w:lang w:eastAsia="it-IT"/>
              </w:rPr>
              <w:t xml:space="preserve"> </w:t>
            </w:r>
            <w:r>
              <w:rPr>
                <w:rFonts w:ascii="Tahoma" w:hAnsi="Tahoma" w:cs="Tahoma"/>
                <w:sz w:val="14"/>
                <w:szCs w:val="14"/>
              </w:rPr>
              <w:t>978-88-95608-98-3</w:t>
            </w:r>
            <w:r>
              <w:rPr>
                <w:rFonts w:ascii="Tahoma" w:hAnsi="Tahoma" w:cs="Tahoma"/>
                <w:iCs/>
                <w:color w:val="333333"/>
                <w:sz w:val="14"/>
                <w:szCs w:val="14"/>
                <w:lang w:eastAsia="it-IT"/>
              </w:rPr>
              <w:t xml:space="preserve">; </w:t>
            </w:r>
            <w:r>
              <w:rPr>
                <w:rFonts w:ascii="Tahoma" w:hAnsi="Tahoma" w:cs="Tahoma"/>
                <w:b/>
                <w:iCs/>
                <w:color w:val="333333"/>
                <w:sz w:val="14"/>
                <w:szCs w:val="14"/>
                <w:lang w:eastAsia="it-IT"/>
              </w:rPr>
              <w:t>ISSN</w:t>
            </w:r>
            <w:r>
              <w:rPr>
                <w:rFonts w:ascii="Tahoma" w:hAnsi="Tahoma" w:cs="Tahoma"/>
                <w:iCs/>
                <w:color w:val="333333"/>
                <w:sz w:val="14"/>
                <w:szCs w:val="14"/>
                <w:lang w:eastAsia="it-IT"/>
              </w:rPr>
              <w:t xml:space="preserve"> 2283-9216</w:t>
            </w:r>
          </w:p>
        </w:tc>
      </w:tr>
    </w:tbl>
    <w:p w14:paraId="3DC64CEA" w14:textId="77777777" w:rsidR="00692EE6" w:rsidRPr="00017111" w:rsidRDefault="00000000" w:rsidP="00017111">
      <w:pPr>
        <w:pStyle w:val="CETTitle"/>
      </w:pPr>
      <w:r w:rsidRPr="00017111">
        <w:t xml:space="preserve">Particle size segregation during the discharge of binary mixtures and the role of void saturation </w:t>
      </w:r>
    </w:p>
    <w:p w14:paraId="7B818904" w14:textId="77777777" w:rsidR="00692EE6" w:rsidRDefault="00000000">
      <w:pPr>
        <w:pStyle w:val="CETAuthors"/>
      </w:pPr>
      <w:r>
        <w:t xml:space="preserve">Silvia Volpato*, Andrea C. </w:t>
      </w:r>
      <w:proofErr w:type="spellStart"/>
      <w:r>
        <w:t>Santomaso</w:t>
      </w:r>
      <w:proofErr w:type="spellEnd"/>
    </w:p>
    <w:p w14:paraId="337260C1" w14:textId="77777777" w:rsidR="00692EE6" w:rsidRDefault="00000000">
      <w:pPr>
        <w:pStyle w:val="CETAddress"/>
      </w:pPr>
      <w:proofErr w:type="spellStart"/>
      <w:r>
        <w:t>APTLab</w:t>
      </w:r>
      <w:proofErr w:type="spellEnd"/>
      <w:r>
        <w:t xml:space="preserve">-Advanced </w:t>
      </w:r>
      <w:proofErr w:type="spellStart"/>
      <w:r>
        <w:t>ParticleTechnology</w:t>
      </w:r>
      <w:proofErr w:type="spellEnd"/>
      <w:r>
        <w:t xml:space="preserve"> Laboratory, Department of Industrial Engineering, University of Padova, Italy</w:t>
      </w:r>
    </w:p>
    <w:p w14:paraId="45F6A128" w14:textId="77777777" w:rsidR="00692EE6" w:rsidRDefault="00000000">
      <w:pPr>
        <w:pStyle w:val="CETAddress"/>
      </w:pPr>
      <w:r>
        <w:t>s.volpato@aptlab.it</w:t>
      </w:r>
    </w:p>
    <w:p w14:paraId="21915B97" w14:textId="77777777" w:rsidR="00692EE6" w:rsidRDefault="00692EE6"/>
    <w:p w14:paraId="60738473" w14:textId="77777777" w:rsidR="00692EE6" w:rsidRDefault="00692EE6">
      <w:pPr>
        <w:sectPr w:rsidR="00692EE6">
          <w:type w:val="continuous"/>
          <w:pgSz w:w="11906" w:h="16838"/>
          <w:pgMar w:top="1701" w:right="1418" w:bottom="1701" w:left="1701" w:header="0" w:footer="0" w:gutter="0"/>
          <w:cols w:space="720"/>
          <w:formProt w:val="0"/>
          <w:docGrid w:linePitch="600" w:charSpace="45056"/>
        </w:sectPr>
      </w:pPr>
    </w:p>
    <w:p w14:paraId="4AAD0C63" w14:textId="16CF53DB" w:rsidR="00692EE6" w:rsidRPr="00017111" w:rsidRDefault="00000000" w:rsidP="00017111">
      <w:pPr>
        <w:pStyle w:val="CETBodytext"/>
        <w:rPr>
          <w:rFonts w:cs="Arial"/>
        </w:rPr>
      </w:pPr>
      <w:r w:rsidRPr="00017111">
        <w:rPr>
          <w:rStyle w:val="fontstyle01"/>
          <w:rFonts w:ascii="Arial" w:hAnsi="Arial" w:cs="Arial"/>
          <w:sz w:val="18"/>
          <w:lang w:val="en-GB"/>
        </w:rPr>
        <w:t xml:space="preserve">Particles differing in size, under external mechanical activation, typically segregate rather than mix. This phenomenon, known as particle size segregation, is spontaneous and unavoidable in practice. In this work, we present an experimental investigation aiming at better understanding the segregation mechanisms occurring in industrial devices related to the storage of particulate materials. Even if storage in closed vessels is often considered a static operation, </w:t>
      </w:r>
      <w:proofErr w:type="gramStart"/>
      <w:r w:rsidRPr="00017111">
        <w:rPr>
          <w:rStyle w:val="fontstyle01"/>
          <w:rFonts w:ascii="Arial" w:hAnsi="Arial" w:cs="Arial"/>
          <w:sz w:val="18"/>
          <w:lang w:val="en-GB"/>
        </w:rPr>
        <w:t>loading</w:t>
      </w:r>
      <w:proofErr w:type="gramEnd"/>
      <w:r w:rsidRPr="00017111">
        <w:rPr>
          <w:rStyle w:val="fontstyle01"/>
          <w:rFonts w:ascii="Arial" w:hAnsi="Arial" w:cs="Arial"/>
          <w:sz w:val="18"/>
          <w:lang w:val="en-GB"/>
        </w:rPr>
        <w:t xml:space="preserve"> and unloading steps are always present and they must be considered as inherent part of the whole storage operation. These steps are clearly dynamic in nature. This work concentrates on the discharge step in which the particulate material is strongly sheared, especially close to the outlet of the storage bin giving high chances of segregation to the material. Segregation in dense sheared flows under gravity occurs mainly through </w:t>
      </w:r>
      <w:r w:rsidR="00017111" w:rsidRPr="00017111">
        <w:rPr>
          <w:rStyle w:val="fontstyle01"/>
          <w:rFonts w:ascii="Arial" w:hAnsi="Arial" w:cs="Arial"/>
          <w:sz w:val="18"/>
          <w:lang w:val="en-GB"/>
        </w:rPr>
        <w:t xml:space="preserve">the </w:t>
      </w:r>
      <w:r w:rsidRPr="00017111">
        <w:rPr>
          <w:rStyle w:val="fontstyle01"/>
          <w:rFonts w:ascii="Arial" w:hAnsi="Arial" w:cs="Arial"/>
          <w:sz w:val="18"/>
          <w:lang w:val="en-GB"/>
        </w:rPr>
        <w:t xml:space="preserve">percolation of smaller particles in the voids existing between larger ones. The level of saturation of voids by small particles can strongly impact the segregation rate. It appears therefore that the relative </w:t>
      </w:r>
      <w:proofErr w:type="gramStart"/>
      <w:r w:rsidRPr="00017111">
        <w:rPr>
          <w:rStyle w:val="fontstyle01"/>
          <w:rFonts w:ascii="Arial" w:hAnsi="Arial" w:cs="Arial"/>
          <w:sz w:val="18"/>
          <w:lang w:val="en-GB"/>
        </w:rPr>
        <w:t>amount</w:t>
      </w:r>
      <w:proofErr w:type="gramEnd"/>
      <w:r w:rsidRPr="00017111">
        <w:rPr>
          <w:rStyle w:val="fontstyle01"/>
          <w:rFonts w:ascii="Arial" w:hAnsi="Arial" w:cs="Arial"/>
          <w:sz w:val="18"/>
          <w:lang w:val="en-GB"/>
        </w:rPr>
        <w:t xml:space="preserve"> of fines with respect to large particles, the level of bed dilatancy induced by shear, the interparticle friction are all variables that can affect fine particles mobility and therefore the extent of segregation. For these reasons, we carried</w:t>
      </w:r>
      <w:r w:rsidR="00017111" w:rsidRPr="00017111">
        <w:rPr>
          <w:rStyle w:val="fontstyle01"/>
          <w:rFonts w:ascii="Arial" w:hAnsi="Arial" w:cs="Arial"/>
          <w:sz w:val="18"/>
          <w:lang w:val="en-GB"/>
        </w:rPr>
        <w:t xml:space="preserve"> out</w:t>
      </w:r>
      <w:r w:rsidRPr="00017111">
        <w:rPr>
          <w:rStyle w:val="fontstyle01"/>
          <w:rFonts w:ascii="Arial" w:hAnsi="Arial" w:cs="Arial"/>
          <w:sz w:val="18"/>
          <w:lang w:val="en-GB"/>
        </w:rPr>
        <w:t xml:space="preserve"> experiments on small</w:t>
      </w:r>
      <w:r w:rsidR="00017111" w:rsidRPr="00017111">
        <w:rPr>
          <w:rStyle w:val="fontstyle01"/>
          <w:rFonts w:ascii="Arial" w:hAnsi="Arial" w:cs="Arial"/>
          <w:sz w:val="18"/>
          <w:lang w:val="en-GB"/>
        </w:rPr>
        <w:t>-</w:t>
      </w:r>
      <w:r w:rsidRPr="00017111">
        <w:rPr>
          <w:rStyle w:val="fontstyle01"/>
          <w:rFonts w:ascii="Arial" w:hAnsi="Arial" w:cs="Arial"/>
          <w:sz w:val="18"/>
          <w:lang w:val="en-GB"/>
        </w:rPr>
        <w:t xml:space="preserve">scale vessels discharging in </w:t>
      </w:r>
      <w:r w:rsidR="00017111" w:rsidRPr="00017111">
        <w:rPr>
          <w:rStyle w:val="fontstyle01"/>
          <w:rFonts w:ascii="Arial" w:hAnsi="Arial" w:cs="Arial"/>
          <w:sz w:val="18"/>
          <w:lang w:val="en-GB"/>
        </w:rPr>
        <w:t xml:space="preserve">a </w:t>
      </w:r>
      <w:r w:rsidRPr="00017111">
        <w:rPr>
          <w:rStyle w:val="fontstyle01"/>
          <w:rFonts w:ascii="Arial" w:hAnsi="Arial" w:cs="Arial"/>
          <w:sz w:val="18"/>
          <w:lang w:val="en-GB"/>
        </w:rPr>
        <w:t>funnel flow regime. Binary mixtures at different fine compositions and particle size ratios have been considered. Furthermore</w:t>
      </w:r>
      <w:r w:rsidR="00017111" w:rsidRPr="00017111">
        <w:rPr>
          <w:rStyle w:val="fontstyle01"/>
          <w:rFonts w:ascii="Arial" w:hAnsi="Arial" w:cs="Arial"/>
          <w:sz w:val="18"/>
          <w:lang w:val="en-GB"/>
        </w:rPr>
        <w:t>,</w:t>
      </w:r>
      <w:r w:rsidRPr="00017111">
        <w:rPr>
          <w:rStyle w:val="fontstyle01"/>
          <w:rFonts w:ascii="Arial" w:hAnsi="Arial" w:cs="Arial"/>
          <w:sz w:val="18"/>
          <w:lang w:val="en-GB"/>
        </w:rPr>
        <w:t xml:space="preserve"> we carried out experiments to a better knowledge of the mixtures </w:t>
      </w:r>
      <w:proofErr w:type="spellStart"/>
      <w:r w:rsidRPr="00017111">
        <w:rPr>
          <w:rStyle w:val="fontstyle01"/>
          <w:rFonts w:ascii="Arial" w:hAnsi="Arial" w:cs="Arial"/>
          <w:sz w:val="18"/>
          <w:lang w:val="en-GB"/>
        </w:rPr>
        <w:t>voidage</w:t>
      </w:r>
      <w:proofErr w:type="spellEnd"/>
      <w:r w:rsidRPr="00017111">
        <w:rPr>
          <w:rStyle w:val="fontstyle01"/>
          <w:rFonts w:ascii="Arial" w:hAnsi="Arial" w:cs="Arial"/>
          <w:sz w:val="18"/>
          <w:lang w:val="en-GB"/>
        </w:rPr>
        <w:t xml:space="preserve">. The correlations found in the literature fail to predict the critical fine concentration at which fine </w:t>
      </w:r>
      <w:r w:rsidR="004A0CAC">
        <w:rPr>
          <w:rStyle w:val="fontstyle01"/>
          <w:rFonts w:ascii="Arial" w:hAnsi="Arial" w:cs="Arial"/>
          <w:sz w:val="18"/>
          <w:lang w:val="en-GB"/>
        </w:rPr>
        <w:t>particle</w:t>
      </w:r>
      <w:r w:rsidRPr="00017111">
        <w:rPr>
          <w:rStyle w:val="fontstyle01"/>
          <w:rFonts w:ascii="Arial" w:hAnsi="Arial" w:cs="Arial"/>
          <w:sz w:val="18"/>
          <w:lang w:val="en-GB"/>
        </w:rPr>
        <w:t xml:space="preserve"> segregation stops. An Alternative correlation has been therefore proposed based on a micromechanical analysis of particles filling.</w:t>
      </w:r>
    </w:p>
    <w:p w14:paraId="6BC11F48" w14:textId="77777777" w:rsidR="00692EE6" w:rsidRDefault="00000000">
      <w:pPr>
        <w:pStyle w:val="CETHeading1"/>
        <w:numPr>
          <w:ilvl w:val="1"/>
          <w:numId w:val="1"/>
        </w:numPr>
        <w:rPr>
          <w:lang w:val="en-GB"/>
        </w:rPr>
      </w:pPr>
      <w:r>
        <w:rPr>
          <w:lang w:val="en-GB"/>
        </w:rPr>
        <w:t>Introduction</w:t>
      </w:r>
    </w:p>
    <w:p w14:paraId="6ADA0DE1" w14:textId="6B11379E" w:rsidR="00692EE6" w:rsidRDefault="00000000">
      <w:r>
        <w:rPr>
          <w:color w:val="000000"/>
        </w:rPr>
        <w:t>Mixtures of particles of differing sizes during handling and processing operations typically segregate rather than mix</w:t>
      </w:r>
      <w:r w:rsidR="00737618">
        <w:rPr>
          <w:color w:val="000000"/>
        </w:rPr>
        <w:t xml:space="preserve"> (</w:t>
      </w:r>
      <w:proofErr w:type="spellStart"/>
      <w:r w:rsidR="00737618">
        <w:rPr>
          <w:color w:val="000000"/>
        </w:rPr>
        <w:t>Tirapelle</w:t>
      </w:r>
      <w:proofErr w:type="spellEnd"/>
      <w:r w:rsidR="00737618">
        <w:rPr>
          <w:color w:val="000000"/>
        </w:rPr>
        <w:t>, 2021)</w:t>
      </w:r>
      <w:r>
        <w:rPr>
          <w:color w:val="000000"/>
        </w:rPr>
        <w:t xml:space="preserve">. This phenomenon, which is unavoidable in practice, represents an unending source of frustration for the bulk chemical, pharmaceutical, agricultural and food industries (Duran, 2012). Because of segregation, the quality of products degrades leading to an increase in production costs and waste (Gray and </w:t>
      </w:r>
      <w:proofErr w:type="spellStart"/>
      <w:r>
        <w:rPr>
          <w:color w:val="000000"/>
        </w:rPr>
        <w:t>Ancey</w:t>
      </w:r>
      <w:proofErr w:type="spellEnd"/>
      <w:r>
        <w:rPr>
          <w:color w:val="000000"/>
        </w:rPr>
        <w:t xml:space="preserve">, 2015). Thus, a better understanding of segregation in granular materials is of great importance both from a fundamental physics point of view as well as for economic reasons (Duran, 2012). One of the most frequent and important mechanisms of segregation is interparticle percolation (Williams, 1976): when a granular mass contains particles of sufficiently different sizes, the finer ones tend to fall downwards through the voids between coarser particles, under the action of gravity. This sifting action can be spontaneous, but it is enhanced by the local rearrangement of the particle bed due, for example, to shear or vibrations occurring during mixing, pouring, or transport (Savage and </w:t>
      </w:r>
      <w:proofErr w:type="spellStart"/>
      <w:r>
        <w:rPr>
          <w:color w:val="000000"/>
        </w:rPr>
        <w:t>Lun</w:t>
      </w:r>
      <w:proofErr w:type="spellEnd"/>
      <w:r>
        <w:rPr>
          <w:color w:val="000000"/>
        </w:rPr>
        <w:t xml:space="preserve">, 1988). Consequently, knowledge of the </w:t>
      </w:r>
      <w:proofErr w:type="spellStart"/>
      <w:r>
        <w:rPr>
          <w:color w:val="000000"/>
        </w:rPr>
        <w:t>voidage</w:t>
      </w:r>
      <w:proofErr w:type="spellEnd"/>
      <w:r>
        <w:rPr>
          <w:color w:val="000000"/>
        </w:rPr>
        <w:t xml:space="preserve"> of mixtures of particles is also important for predicting the packing and handling properties of granular materials (</w:t>
      </w:r>
      <w:proofErr w:type="spellStart"/>
      <w:r>
        <w:rPr>
          <w:color w:val="000000"/>
        </w:rPr>
        <w:t>Finkers</w:t>
      </w:r>
      <w:proofErr w:type="spellEnd"/>
      <w:r>
        <w:rPr>
          <w:color w:val="000000"/>
        </w:rPr>
        <w:t xml:space="preserve"> and Hoffmann, 1988). For this reason, in this work</w:t>
      </w:r>
      <w:r w:rsidR="00017111">
        <w:rPr>
          <w:color w:val="000000"/>
        </w:rPr>
        <w:t>,</w:t>
      </w:r>
      <w:r>
        <w:rPr>
          <w:color w:val="000000"/>
        </w:rPr>
        <w:t xml:space="preserve"> the role of porosity of binary mixtures of granular material was investigated through the measure of the bulk density varying the size ratio of particles and the content of fine inside the mixture. There are literature studies on packing and on voids distribution in beds of binary and static mixtures (</w:t>
      </w:r>
      <w:proofErr w:type="spellStart"/>
      <w:r>
        <w:rPr>
          <w:color w:val="000000"/>
        </w:rPr>
        <w:t>Finkers</w:t>
      </w:r>
      <w:proofErr w:type="spellEnd"/>
      <w:r>
        <w:rPr>
          <w:color w:val="000000"/>
        </w:rPr>
        <w:t xml:space="preserve"> and Hoffmann, 1988; Yu and Standish, 1988). Further studies have been done to connect bed microstructure with granular mixture flowing </w:t>
      </w:r>
      <w:proofErr w:type="spellStart"/>
      <w:r w:rsidR="00DF3B76">
        <w:rPr>
          <w:color w:val="000000"/>
        </w:rPr>
        <w:t>behavior</w:t>
      </w:r>
      <w:proofErr w:type="spellEnd"/>
      <w:r>
        <w:rPr>
          <w:color w:val="000000"/>
        </w:rPr>
        <w:t xml:space="preserve"> during gravity discharge (Arteaga and </w:t>
      </w:r>
      <w:proofErr w:type="spellStart"/>
      <w:r>
        <w:rPr>
          <w:color w:val="000000"/>
        </w:rPr>
        <w:t>Tuzun</w:t>
      </w:r>
      <w:proofErr w:type="spellEnd"/>
      <w:r>
        <w:rPr>
          <w:color w:val="000000"/>
        </w:rPr>
        <w:t xml:space="preserve">, 1990; Fung and Kwan, 2014). Arteaga and </w:t>
      </w:r>
      <w:proofErr w:type="spellStart"/>
      <w:r>
        <w:rPr>
          <w:color w:val="000000"/>
        </w:rPr>
        <w:t>Tuzun</w:t>
      </w:r>
      <w:proofErr w:type="spellEnd"/>
      <w:r>
        <w:rPr>
          <w:color w:val="000000"/>
        </w:rPr>
        <w:t xml:space="preserve"> (1990)</w:t>
      </w:r>
      <w:proofErr w:type="gramStart"/>
      <w:r>
        <w:rPr>
          <w:color w:val="000000"/>
        </w:rPr>
        <w:t>, in particular, proposed</w:t>
      </w:r>
      <w:proofErr w:type="gramEnd"/>
      <w:r>
        <w:rPr>
          <w:color w:val="000000"/>
        </w:rPr>
        <w:t xml:space="preserve"> a correlation, based on a simple geometrical model, to find limiting values of fine fractions above </w:t>
      </w:r>
      <w:r>
        <w:rPr>
          <w:color w:val="000000"/>
        </w:rPr>
        <w:lastRenderedPageBreak/>
        <w:t xml:space="preserve">which segregation does not occur. In this work, we proposed a new correlation based on volume occupation by fines of voids created by large particles. In fact, the trend of bulk density made it possible to formulate a theory about the voids saturation that can affect the mobility of fine particles and therefore the extent of segregation. Furthermore, the segregation of the binary mixture of equal density granules differing in size was evaluated </w:t>
      </w:r>
      <w:r w:rsidR="00017111">
        <w:rPr>
          <w:color w:val="000000"/>
        </w:rPr>
        <w:t xml:space="preserve">by </w:t>
      </w:r>
      <w:r>
        <w:rPr>
          <w:color w:val="000000"/>
        </w:rPr>
        <w:t xml:space="preserve">examining the fine mass fraction during gravity unloading from a silo working in funnel flow regime to find a possible connection between the </w:t>
      </w:r>
      <w:proofErr w:type="gramStart"/>
      <w:r>
        <w:rPr>
          <w:color w:val="000000"/>
        </w:rPr>
        <w:t>voids</w:t>
      </w:r>
      <w:proofErr w:type="gramEnd"/>
      <w:r>
        <w:rPr>
          <w:color w:val="000000"/>
        </w:rPr>
        <w:t xml:space="preserve"> saturation and the reduction of the segregation extent.</w:t>
      </w:r>
    </w:p>
    <w:p w14:paraId="4A537357" w14:textId="77777777" w:rsidR="00692EE6" w:rsidRDefault="00000000">
      <w:pPr>
        <w:pStyle w:val="CETHeading1"/>
        <w:tabs>
          <w:tab w:val="clear" w:pos="0"/>
        </w:tabs>
      </w:pPr>
      <w:r>
        <w:t>2. Materials and methods</w:t>
      </w:r>
    </w:p>
    <w:p w14:paraId="7E7C9B28" w14:textId="77777777" w:rsidR="00692EE6" w:rsidRDefault="00000000">
      <w:pPr>
        <w:pStyle w:val="CETheadingx"/>
        <w:tabs>
          <w:tab w:val="clear" w:pos="0"/>
        </w:tabs>
      </w:pPr>
      <w:r>
        <w:t>2.1 Silo unloading</w:t>
      </w:r>
    </w:p>
    <w:p w14:paraId="0D594379" w14:textId="0C01008B" w:rsidR="00692EE6" w:rsidRDefault="00000000">
      <w:pPr>
        <w:pStyle w:val="CETBodytext"/>
        <w:rPr>
          <w:lang w:val="en-GB"/>
        </w:rPr>
      </w:pPr>
      <w:r>
        <w:rPr>
          <w:lang w:val="en-GB"/>
        </w:rPr>
        <w:t xml:space="preserve">The materials used in the experiments were a mixture of grains of pasta and couscous with irregular </w:t>
      </w:r>
      <w:r w:rsidR="004A0CAC">
        <w:rPr>
          <w:lang w:val="en-GB"/>
        </w:rPr>
        <w:t>shapes</w:t>
      </w:r>
      <w:r w:rsidR="003056E3">
        <w:rPr>
          <w:lang w:val="en-GB"/>
        </w:rPr>
        <w:t xml:space="preserve"> </w:t>
      </w:r>
      <w:r>
        <w:rPr>
          <w:lang w:val="en-GB"/>
        </w:rPr>
        <w:t>and material density equal to 1348 kg/m</w:t>
      </w:r>
      <w:r>
        <w:rPr>
          <w:vertAlign w:val="superscript"/>
          <w:lang w:val="en-GB"/>
        </w:rPr>
        <w:t>3</w:t>
      </w:r>
      <w:r>
        <w:rPr>
          <w:lang w:val="en-GB"/>
        </w:rPr>
        <w:t>. The mixture of the two components (pasta and couscous) has allowed a broad particle size distribution ranging from 0.850 mm and 4 mm. The raw material was hence subdivided in</w:t>
      </w:r>
      <w:r w:rsidR="003056E3">
        <w:rPr>
          <w:lang w:val="en-GB"/>
        </w:rPr>
        <w:t>to</w:t>
      </w:r>
      <w:r>
        <w:rPr>
          <w:lang w:val="en-GB"/>
        </w:rPr>
        <w:t xml:space="preserve"> 6 classes: A=0.850-1 mm, B=1-1.41 mm, C=1.41-2 mm, D=2-2.83 mm, E=2.83-3.36 mm, F=3.36-4 mm. To determine the binary mixtures used in the experiments, two classes were chosen to form the groups of material called fines and coarse. For the first set of experiment</w:t>
      </w:r>
      <w:r w:rsidR="003056E3">
        <w:rPr>
          <w:lang w:val="en-GB"/>
        </w:rPr>
        <w:t>s</w:t>
      </w:r>
      <w:r>
        <w:rPr>
          <w:lang w:val="en-GB"/>
        </w:rPr>
        <w:t xml:space="preserve"> the fine group was composed of particles with sieve diameter</w:t>
      </w:r>
      <w:r w:rsidR="003056E3">
        <w:rPr>
          <w:lang w:val="en-GB"/>
        </w:rPr>
        <w:t>s</w:t>
      </w:r>
      <w:r>
        <w:rPr>
          <w:lang w:val="en-GB"/>
        </w:rPr>
        <w:t xml:space="preserve"> between 1.4 and 2 mm (d</w:t>
      </w:r>
      <w:r>
        <w:rPr>
          <w:vertAlign w:val="subscript"/>
          <w:lang w:val="en-GB"/>
        </w:rPr>
        <w:t>f,1</w:t>
      </w:r>
      <w:r>
        <w:rPr>
          <w:lang w:val="en-GB"/>
        </w:rPr>
        <w:t>=1.7 mm) and the coarse group was composed of particles with sieve diameter</w:t>
      </w:r>
      <w:r w:rsidR="003056E3">
        <w:rPr>
          <w:lang w:val="en-GB"/>
        </w:rPr>
        <w:t>s</w:t>
      </w:r>
      <w:r>
        <w:rPr>
          <w:lang w:val="en-GB"/>
        </w:rPr>
        <w:t xml:space="preserve"> between 3.36 and 4 mm (d</w:t>
      </w:r>
      <w:r>
        <w:rPr>
          <w:vertAlign w:val="subscript"/>
          <w:lang w:val="en-GB"/>
        </w:rPr>
        <w:t>c</w:t>
      </w:r>
      <w:r>
        <w:rPr>
          <w:lang w:val="en-GB"/>
        </w:rPr>
        <w:t>=3.68 mm). For the second set of experiment</w:t>
      </w:r>
      <w:r w:rsidR="003056E3">
        <w:rPr>
          <w:lang w:val="en-GB"/>
        </w:rPr>
        <w:t>s</w:t>
      </w:r>
      <w:r w:rsidR="00E9210C">
        <w:rPr>
          <w:lang w:val="en-GB"/>
        </w:rPr>
        <w:t>,</w:t>
      </w:r>
      <w:r>
        <w:rPr>
          <w:lang w:val="en-GB"/>
        </w:rPr>
        <w:t xml:space="preserve"> the coarse group remained equal to that used in experiment 1, while the fine group was composed of particles with dimensions between 1 and 1.4 mm (d</w:t>
      </w:r>
      <w:r>
        <w:rPr>
          <w:vertAlign w:val="subscript"/>
          <w:lang w:val="en-GB"/>
        </w:rPr>
        <w:t>f,2</w:t>
      </w:r>
      <w:r>
        <w:rPr>
          <w:lang w:val="en-GB"/>
        </w:rPr>
        <w:t>=1.2 mm). Hence, in the first experiment the particle diameter ratio (DR=d</w:t>
      </w:r>
      <w:r>
        <w:rPr>
          <w:vertAlign w:val="subscript"/>
          <w:lang w:val="en-GB"/>
        </w:rPr>
        <w:t>c</w:t>
      </w:r>
      <w:r>
        <w:rPr>
          <w:lang w:val="en-GB"/>
        </w:rPr>
        <w:t>/d</w:t>
      </w:r>
      <w:r>
        <w:rPr>
          <w:vertAlign w:val="subscript"/>
          <w:lang w:val="en-GB"/>
        </w:rPr>
        <w:t>f,1</w:t>
      </w:r>
      <w:r>
        <w:rPr>
          <w:lang w:val="en-GB"/>
        </w:rPr>
        <w:t>) was equal to 2.16; in the second is equal to 3. For the two sets of experiments, four different initial fractions were investigated: 10:90, 30:70, 50:50</w:t>
      </w:r>
      <w:r w:rsidR="003056E3">
        <w:rPr>
          <w:lang w:val="en-GB"/>
        </w:rPr>
        <w:t xml:space="preserve"> and </w:t>
      </w:r>
      <w:r>
        <w:rPr>
          <w:lang w:val="en-GB"/>
        </w:rPr>
        <w:t>65:35 by weight of fine and coarse grains.</w:t>
      </w:r>
    </w:p>
    <w:p w14:paraId="347E28D6" w14:textId="09DBB5C2" w:rsidR="00692EE6" w:rsidRDefault="00000000">
      <w:pPr>
        <w:pStyle w:val="CETBodytext"/>
        <w:rPr>
          <w:lang w:val="en-GB"/>
        </w:rPr>
      </w:pPr>
      <w:r>
        <w:rPr>
          <w:lang w:val="en-GB"/>
        </w:rPr>
        <w:t>A pilot silo was used in the experiments. The inclination</w:t>
      </w:r>
      <w:r w:rsidR="00E9210C">
        <w:rPr>
          <w:lang w:val="en-GB"/>
        </w:rPr>
        <w:t xml:space="preserve"> with</w:t>
      </w:r>
      <w:r>
        <w:rPr>
          <w:lang w:val="en-GB"/>
        </w:rPr>
        <w:t xml:space="preserve"> respect</w:t>
      </w:r>
      <w:r w:rsidR="00E9210C">
        <w:rPr>
          <w:lang w:val="en-GB"/>
        </w:rPr>
        <w:t xml:space="preserve"> to</w:t>
      </w:r>
      <w:r>
        <w:rPr>
          <w:lang w:val="en-GB"/>
        </w:rPr>
        <w:t xml:space="preserve"> wall steepness does not guarantee the funnel</w:t>
      </w:r>
      <w:r w:rsidR="00E9210C">
        <w:rPr>
          <w:lang w:val="en-GB"/>
        </w:rPr>
        <w:t xml:space="preserve"> f</w:t>
      </w:r>
      <w:r>
        <w:rPr>
          <w:lang w:val="en-GB"/>
        </w:rPr>
        <w:t>low (but mass flow); for this reason</w:t>
      </w:r>
      <w:r w:rsidR="00E9210C">
        <w:rPr>
          <w:lang w:val="en-GB"/>
        </w:rPr>
        <w:t>,</w:t>
      </w:r>
      <w:r>
        <w:rPr>
          <w:lang w:val="en-GB"/>
        </w:rPr>
        <w:t xml:space="preserve"> the walls of the hopper were covered with sandpaper (P400). In fact, according to </w:t>
      </w:r>
      <w:proofErr w:type="spellStart"/>
      <w:r>
        <w:rPr>
          <w:lang w:val="en-GB"/>
        </w:rPr>
        <w:t>Jenike’s</w:t>
      </w:r>
      <w:proofErr w:type="spellEnd"/>
      <w:r>
        <w:rPr>
          <w:lang w:val="en-GB"/>
        </w:rPr>
        <w:t xml:space="preserve"> theory (Schulze, 2021), by increasing the hopper wall friction angle, it is possible to convert a mass flow in</w:t>
      </w:r>
      <w:r w:rsidR="00E9210C">
        <w:rPr>
          <w:lang w:val="en-GB"/>
        </w:rPr>
        <w:t>to</w:t>
      </w:r>
      <w:r>
        <w:rPr>
          <w:lang w:val="en-GB"/>
        </w:rPr>
        <w:t xml:space="preserve"> a funnel flow. </w:t>
      </w:r>
    </w:p>
    <w:p w14:paraId="66F17634" w14:textId="2A0E8CB1" w:rsidR="00692EE6" w:rsidRDefault="00000000">
      <w:pPr>
        <w:pStyle w:val="CETBodytext"/>
        <w:rPr>
          <w:lang w:val="en-GB"/>
        </w:rPr>
      </w:pPr>
      <w:r>
        <w:rPr>
          <w:lang w:val="en-GB"/>
        </w:rPr>
        <w:t>A silo that discharges in funnel flow was chosen because it provides a greater extent of segregation. In fact, in funnel flow</w:t>
      </w:r>
      <w:r w:rsidR="00E9210C">
        <w:rPr>
          <w:lang w:val="en-GB"/>
        </w:rPr>
        <w:t>,</w:t>
      </w:r>
      <w:r>
        <w:rPr>
          <w:lang w:val="en-GB"/>
        </w:rPr>
        <w:t xml:space="preserve"> there is more retention of fine particles in the bed inside the stagnant zones near the lateral walls on either side of the central flow region. This leads to an excess of fines discharged when the materials in the stagnant zones begin to be eroded, in the final stage of discharge.</w:t>
      </w:r>
    </w:p>
    <w:p w14:paraId="58508846" w14:textId="654A7E2C" w:rsidR="00692EE6" w:rsidRDefault="00000000">
      <w:pPr>
        <w:pStyle w:val="CETBodytext"/>
        <w:rPr>
          <w:lang w:val="en-GB"/>
        </w:rPr>
      </w:pPr>
      <w:r>
        <w:rPr>
          <w:lang w:val="en-GB"/>
        </w:rPr>
        <w:t xml:space="preserve">The silo was filled with the same amount of mixture for all the experiments. The initial state of the mixture inside the silo was homogeneous. Great care was taken to fill the silo </w:t>
      </w:r>
      <w:proofErr w:type="gramStart"/>
      <w:r>
        <w:rPr>
          <w:lang w:val="en-GB"/>
        </w:rPr>
        <w:t>in order to</w:t>
      </w:r>
      <w:proofErr w:type="gramEnd"/>
      <w:r>
        <w:rPr>
          <w:lang w:val="en-GB"/>
        </w:rPr>
        <w:t xml:space="preserve"> ensure </w:t>
      </w:r>
      <w:r w:rsidR="00E9210C">
        <w:rPr>
          <w:lang w:val="en-GB"/>
        </w:rPr>
        <w:t xml:space="preserve">the </w:t>
      </w:r>
      <w:r>
        <w:rPr>
          <w:lang w:val="en-GB"/>
        </w:rPr>
        <w:t xml:space="preserve">random state of the mixture. Small quantities of mixed material were inserted in the silo with the aid of a short pipe, that slowly added the new materials </w:t>
      </w:r>
      <w:r w:rsidR="00E9210C">
        <w:rPr>
          <w:lang w:val="en-GB"/>
        </w:rPr>
        <w:t>to</w:t>
      </w:r>
      <w:r>
        <w:rPr>
          <w:lang w:val="en-GB"/>
        </w:rPr>
        <w:t xml:space="preserve"> the free surface. After the filling, the silo was closed with a magnetic cap; then it was vertically placed on a trolley with the discharge outlet facing downward. A graded strip of paper was extended on the floor of the laboratory and fixed with adhesive tape. A second magnet was fixed on the floor at the beginning of the paper strip. When the trolley with the silo passed over the magnet on the floor, the closing cap was automatically detached from the silo outlet allowing the powder mixture to be discharged by gravity. The distance </w:t>
      </w:r>
      <w:r w:rsidR="00E9210C">
        <w:rPr>
          <w:lang w:val="en-GB"/>
        </w:rPr>
        <w:t>between</w:t>
      </w:r>
      <w:r>
        <w:rPr>
          <w:lang w:val="en-GB"/>
        </w:rPr>
        <w:t xml:space="preserve"> the silo outlet and the floor was kept constant at 5 cm during the discharge; the speed, at which the silo moved, ensured the free discharge by gravity, well described by the </w:t>
      </w:r>
      <w:proofErr w:type="spellStart"/>
      <w:r>
        <w:rPr>
          <w:lang w:val="en-GB"/>
        </w:rPr>
        <w:t>Beverloo</w:t>
      </w:r>
      <w:proofErr w:type="spellEnd"/>
      <w:r>
        <w:rPr>
          <w:lang w:val="en-GB"/>
        </w:rPr>
        <w:t xml:space="preserve"> equation (Arteaga and </w:t>
      </w:r>
      <w:proofErr w:type="spellStart"/>
      <w:r>
        <w:rPr>
          <w:lang w:val="en-GB"/>
        </w:rPr>
        <w:t>Tuzun</w:t>
      </w:r>
      <w:proofErr w:type="spellEnd"/>
      <w:r>
        <w:rPr>
          <w:lang w:val="en-GB"/>
        </w:rPr>
        <w:t xml:space="preserve">, 1990). All the discharged material was collected at </w:t>
      </w:r>
      <w:r w:rsidR="00E9210C">
        <w:rPr>
          <w:lang w:val="en-GB"/>
        </w:rPr>
        <w:t xml:space="preserve">a </w:t>
      </w:r>
      <w:r>
        <w:rPr>
          <w:lang w:val="en-GB"/>
        </w:rPr>
        <w:t>regular sampling distance (100 mm) to obtain the weight fraction of fine and coarse particles.</w:t>
      </w:r>
    </w:p>
    <w:p w14:paraId="2488C80A" w14:textId="77777777" w:rsidR="00692EE6" w:rsidRDefault="00000000">
      <w:pPr>
        <w:pStyle w:val="CETBodytext"/>
        <w:rPr>
          <w:lang w:val="en-GB"/>
        </w:rPr>
      </w:pPr>
      <w:r>
        <w:rPr>
          <w:lang w:val="en-GB"/>
        </w:rPr>
        <w:t xml:space="preserve">The procedure of discharge and sampling is sketched in Figure 1. </w:t>
      </w:r>
    </w:p>
    <w:p w14:paraId="2E6EDC9C" w14:textId="77777777" w:rsidR="00692EE6" w:rsidRDefault="00000000">
      <w:pPr>
        <w:pStyle w:val="CETheadingx"/>
        <w:tabs>
          <w:tab w:val="clear" w:pos="0"/>
        </w:tabs>
        <w:rPr>
          <w:lang w:val="en-GB"/>
        </w:rPr>
      </w:pPr>
      <w:r>
        <w:rPr>
          <w:lang w:val="en-GB"/>
        </w:rPr>
        <w:t>2.2 Bulk density</w:t>
      </w:r>
    </w:p>
    <w:p w14:paraId="6E121041" w14:textId="53AAAECC" w:rsidR="00692EE6" w:rsidRDefault="00000000">
      <w:pPr>
        <w:pStyle w:val="CETBodytext"/>
        <w:rPr>
          <w:lang w:val="en-GB"/>
        </w:rPr>
      </w:pPr>
      <w:r>
        <w:rPr>
          <w:lang w:val="en-GB"/>
        </w:rPr>
        <w:t xml:space="preserve">Average static densities of the mixtures </w:t>
      </w:r>
      <m:oMath>
        <m:sSub>
          <m:sSubPr>
            <m:ctrlPr>
              <w:rPr>
                <w:rFonts w:ascii="Cambria Math" w:hAnsi="Cambria Math"/>
              </w:rPr>
            </m:ctrlPr>
          </m:sSubPr>
          <m:e>
            <m:r>
              <w:rPr>
                <w:rFonts w:ascii="Cambria Math" w:hAnsi="Cambria Math"/>
              </w:rPr>
              <m:t>ρ</m:t>
            </m:r>
          </m:e>
          <m:sub>
            <m:r>
              <w:rPr>
                <w:rFonts w:ascii="Cambria Math" w:hAnsi="Cambria Math"/>
              </w:rPr>
              <m:t>b,m</m:t>
            </m:r>
          </m:sub>
        </m:sSub>
      </m:oMath>
      <w:r>
        <w:rPr>
          <w:lang w:val="en-GB"/>
        </w:rPr>
        <w:t xml:space="preserve">were calculated by weighting the mixture in the container with known geometrical volume. The filling of the container was done using a silo that worked in </w:t>
      </w:r>
      <w:r w:rsidR="00C64E8A">
        <w:rPr>
          <w:lang w:val="en-GB"/>
        </w:rPr>
        <w:t xml:space="preserve">a </w:t>
      </w:r>
      <w:r>
        <w:rPr>
          <w:lang w:val="en-GB"/>
        </w:rPr>
        <w:t>mass</w:t>
      </w:r>
      <w:r w:rsidR="00C64E8A">
        <w:rPr>
          <w:lang w:val="en-GB"/>
        </w:rPr>
        <w:t xml:space="preserve"> </w:t>
      </w:r>
      <w:r>
        <w:rPr>
          <w:lang w:val="en-GB"/>
        </w:rPr>
        <w:t xml:space="preserve">flow regime. The ratio between the mass of the material inside the container after the filling and the volume of </w:t>
      </w:r>
      <w:r w:rsidR="00C64E8A">
        <w:rPr>
          <w:lang w:val="en-GB"/>
        </w:rPr>
        <w:t xml:space="preserve">the </w:t>
      </w:r>
      <w:r>
        <w:rPr>
          <w:lang w:val="en-GB"/>
        </w:rPr>
        <w:t>container resulted in the mixture bulk density. The measure was done for the two different size ratio</w:t>
      </w:r>
      <w:r w:rsidR="00C64E8A">
        <w:rPr>
          <w:lang w:val="en-GB"/>
        </w:rPr>
        <w:t>s</w:t>
      </w:r>
      <w:r>
        <w:rPr>
          <w:lang w:val="en-GB"/>
        </w:rPr>
        <w:t xml:space="preserve"> (DR=2.16 and DR=3) and mass fraction of fine between 0 and 100%. </w:t>
      </w:r>
    </w:p>
    <w:p w14:paraId="460687AC" w14:textId="77777777" w:rsidR="00692EE6" w:rsidRDefault="00000000">
      <w:pPr>
        <w:pStyle w:val="CETHeading1"/>
        <w:tabs>
          <w:tab w:val="clear" w:pos="0"/>
        </w:tabs>
      </w:pPr>
      <w:r>
        <w:t>3. Experimental results</w:t>
      </w:r>
    </w:p>
    <w:p w14:paraId="038FA748" w14:textId="77777777" w:rsidR="00692EE6" w:rsidRDefault="00000000">
      <w:pPr>
        <w:pStyle w:val="CETheadingx"/>
        <w:tabs>
          <w:tab w:val="clear" w:pos="0"/>
        </w:tabs>
        <w:rPr>
          <w:u w:val="single"/>
        </w:rPr>
      </w:pPr>
      <w:r>
        <w:t xml:space="preserve">3.1 Size segregation during silo </w:t>
      </w:r>
      <w:proofErr w:type="gramStart"/>
      <w:r>
        <w:t>unloading</w:t>
      </w:r>
      <w:proofErr w:type="gramEnd"/>
    </w:p>
    <w:p w14:paraId="391127CF" w14:textId="34FFC6FC" w:rsidR="00692EE6" w:rsidRDefault="00000000">
      <w:pPr>
        <w:pStyle w:val="CETBodytext"/>
        <w:rPr>
          <w:u w:val="single"/>
        </w:rPr>
      </w:pPr>
      <w:r>
        <w:rPr>
          <w:lang w:val="en-GB"/>
        </w:rPr>
        <w:t>The segregation of fine particles during the discharge under funnel-flow condition</w:t>
      </w:r>
      <w:r w:rsidR="00C64E8A">
        <w:rPr>
          <w:lang w:val="en-GB"/>
        </w:rPr>
        <w:t>s</w:t>
      </w:r>
      <w:r>
        <w:rPr>
          <w:lang w:val="en-GB"/>
        </w:rPr>
        <w:t xml:space="preserve"> was monitored </w:t>
      </w:r>
      <w:r w:rsidR="00C64E8A">
        <w:rPr>
          <w:lang w:val="en-GB"/>
        </w:rPr>
        <w:t xml:space="preserve">by </w:t>
      </w:r>
      <w:r>
        <w:rPr>
          <w:lang w:val="en-GB"/>
        </w:rPr>
        <w:t xml:space="preserve">measuring the mass fraction of fine and coarse particles present in the discharged samples, collected at regular intervals, as reported in Figure 2. The x-axis of these plots reports the fine mass fraction </w:t>
      </w:r>
      <m:oMath>
        <m:sSub>
          <m:sSubPr>
            <m:ctrlPr>
              <w:rPr>
                <w:rFonts w:ascii="Cambria Math" w:hAnsi="Cambria Math"/>
              </w:rPr>
            </m:ctrlPr>
          </m:sSubPr>
          <m:e>
            <m:r>
              <w:rPr>
                <w:rFonts w:ascii="Cambria Math" w:hAnsi="Cambria Math"/>
              </w:rPr>
              <m:t>ϕ</m:t>
            </m:r>
          </m:e>
          <m:sub>
            <m:r>
              <w:rPr>
                <w:rFonts w:ascii="Cambria Math" w:hAnsi="Cambria Math"/>
              </w:rPr>
              <m:t>F</m:t>
            </m:r>
          </m:sub>
        </m:sSub>
      </m:oMath>
      <w:r>
        <w:rPr>
          <w:lang w:val="en-GB"/>
        </w:rPr>
        <w:t xml:space="preserve"> normalized by the average mass fraction of the initial</w:t>
      </w:r>
      <w:r w:rsidR="00C64E8A">
        <w:rPr>
          <w:lang w:val="en-GB"/>
        </w:rPr>
        <w:t xml:space="preserve"> </w:t>
      </w:r>
      <w:r>
        <w:rPr>
          <w:lang w:val="en-GB"/>
        </w:rPr>
        <w:t xml:space="preserve">filling </w:t>
      </w:r>
      <m:oMath>
        <m:sSub>
          <m:sSubPr>
            <m:ctrlPr>
              <w:rPr>
                <w:rFonts w:ascii="Cambria Math" w:hAnsi="Cambria Math"/>
              </w:rPr>
            </m:ctrlPr>
          </m:sSubPr>
          <m:e>
            <m:r>
              <w:rPr>
                <w:rFonts w:ascii="Cambria Math" w:hAnsi="Cambria Math"/>
              </w:rPr>
              <m:t>ϕ</m:t>
            </m:r>
          </m:e>
          <m:sub>
            <m:r>
              <w:rPr>
                <w:rFonts w:ascii="Cambria Math" w:hAnsi="Cambria Math"/>
              </w:rPr>
              <m:t>F,0</m:t>
            </m:r>
          </m:sub>
        </m:sSub>
      </m:oMath>
      <w:r>
        <w:rPr>
          <w:lang w:val="en-GB"/>
        </w:rPr>
        <w:t xml:space="preserve">. A value greater than 1 indicates segregation </w:t>
      </w:r>
      <w:r>
        <w:rPr>
          <w:lang w:val="en-GB"/>
        </w:rPr>
        <w:lastRenderedPageBreak/>
        <w:t xml:space="preserve">of fine material inside the mixture due to percolation of </w:t>
      </w:r>
      <w:r w:rsidR="00C64E8A">
        <w:rPr>
          <w:lang w:val="en-GB"/>
        </w:rPr>
        <w:t xml:space="preserve">the </w:t>
      </w:r>
      <w:r>
        <w:rPr>
          <w:lang w:val="en-GB"/>
        </w:rPr>
        <w:t>fine within the hopper. A value lower than 1 suggest</w:t>
      </w:r>
      <w:r w:rsidR="00C64E8A">
        <w:rPr>
          <w:lang w:val="en-GB"/>
        </w:rPr>
        <w:t xml:space="preserve">s </w:t>
      </w:r>
      <w:r w:rsidR="004A0CAC">
        <w:rPr>
          <w:lang w:val="en-GB"/>
        </w:rPr>
        <w:t xml:space="preserve">the </w:t>
      </w:r>
      <w:r>
        <w:rPr>
          <w:lang w:val="en-GB"/>
        </w:rPr>
        <w:t>retention of fine materials inside the hopper. A value equal to 1 indicates that no segregation occurs inside the mixture. The y-axis instead reports the cumulative overall mass discharged normalized by the initial total mass loaded into the silo.</w:t>
      </w:r>
    </w:p>
    <w:p w14:paraId="623101F2" w14:textId="77777777" w:rsidR="00692EE6" w:rsidRDefault="00000000">
      <w:pPr>
        <w:pStyle w:val="CETCaption"/>
      </w:pPr>
      <w:r>
        <w:rPr>
          <w:noProof/>
        </w:rPr>
        <w:drawing>
          <wp:inline distT="0" distB="0" distL="0" distR="0" wp14:anchorId="1973EAEB" wp14:editId="0F08086C">
            <wp:extent cx="4725670" cy="2457450"/>
            <wp:effectExtent l="0" t="0" r="0" b="0"/>
            <wp:docPr id="3" name="Immagin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4"/>
                    <pic:cNvPicPr>
                      <a:picLocks noChangeAspect="1" noChangeArrowheads="1"/>
                    </pic:cNvPicPr>
                  </pic:nvPicPr>
                  <pic:blipFill>
                    <a:blip r:embed="rId8"/>
                    <a:stretch>
                      <a:fillRect/>
                    </a:stretch>
                  </pic:blipFill>
                  <pic:spPr bwMode="auto">
                    <a:xfrm>
                      <a:off x="0" y="0"/>
                      <a:ext cx="4725670" cy="2457450"/>
                    </a:xfrm>
                    <a:prstGeom prst="rect">
                      <a:avLst/>
                    </a:prstGeom>
                  </pic:spPr>
                </pic:pic>
              </a:graphicData>
            </a:graphic>
          </wp:inline>
        </w:drawing>
      </w:r>
    </w:p>
    <w:p w14:paraId="0D248146" w14:textId="25A43E55" w:rsidR="00692EE6" w:rsidRDefault="00000000">
      <w:pPr>
        <w:pStyle w:val="CETCaption"/>
      </w:pPr>
      <w:r>
        <w:rPr>
          <w:rStyle w:val="CETCaptionCarattere"/>
          <w:i/>
        </w:rPr>
        <w:t>Figure 1: Scheme of silo unloading and sampling procedures</w:t>
      </w:r>
      <w:r w:rsidR="00C64E8A">
        <w:rPr>
          <w:rStyle w:val="CETCaptionCarattere"/>
          <w:i/>
        </w:rPr>
        <w:t>.</w:t>
      </w:r>
    </w:p>
    <w:p w14:paraId="4C802489" w14:textId="13C25210" w:rsidR="00692EE6" w:rsidRDefault="00000000">
      <w:pPr>
        <w:pStyle w:val="CETBodytext"/>
        <w:rPr>
          <w:u w:val="single"/>
        </w:rPr>
      </w:pPr>
      <w:r>
        <w:t xml:space="preserve">The normalized fines mass fraction shows for every DR and every </w:t>
      </w:r>
      <m:oMath>
        <m:sSub>
          <m:sSubPr>
            <m:ctrlPr>
              <w:rPr>
                <w:rFonts w:ascii="Cambria Math" w:hAnsi="Cambria Math"/>
              </w:rPr>
            </m:ctrlPr>
          </m:sSubPr>
          <m:e>
            <m:r>
              <w:rPr>
                <w:rFonts w:ascii="Cambria Math" w:hAnsi="Cambria Math"/>
              </w:rPr>
              <m:t>ϕ</m:t>
            </m:r>
          </m:e>
          <m:sub>
            <m:r>
              <w:rPr>
                <w:rFonts w:ascii="Cambria Math" w:hAnsi="Cambria Math"/>
              </w:rPr>
              <m:t>F,0</m:t>
            </m:r>
          </m:sub>
        </m:sSub>
      </m:oMath>
      <w:r>
        <w:t xml:space="preserve"> three regions: an initial region where the mass fraction is always greater than 1, an interm</w:t>
      </w:r>
      <w:proofErr w:type="spellStart"/>
      <w:r>
        <w:t>ediate</w:t>
      </w:r>
      <w:proofErr w:type="spellEnd"/>
      <w:r>
        <w:t xml:space="preserve"> region where the normalized fines mass fraction is lower than 1 (which indicates</w:t>
      </w:r>
      <w:r w:rsidR="00C64E8A">
        <w:t xml:space="preserve"> </w:t>
      </w:r>
      <w:r>
        <w:t>retention of fines inside the bulk material remained in the silo) and a final short zone where the normalized fines mass fraction comes back greater than 1.</w:t>
      </w:r>
    </w:p>
    <w:p w14:paraId="6B0667E5" w14:textId="77777777" w:rsidR="00692EE6" w:rsidRDefault="00000000">
      <w:pPr>
        <w:pStyle w:val="CETBodytext"/>
        <w:rPr>
          <w:u w:val="single"/>
        </w:rPr>
      </w:pPr>
      <w:r>
        <w:t xml:space="preserve">For DR=2.16 the extent of segregation is greatest for </w:t>
      </w:r>
      <m:oMath>
        <m:sSub>
          <m:sSubPr>
            <m:ctrlPr>
              <w:rPr>
                <w:rFonts w:ascii="Cambria Math" w:hAnsi="Cambria Math"/>
              </w:rPr>
            </m:ctrlPr>
          </m:sSubPr>
          <m:e>
            <m:r>
              <w:rPr>
                <w:rFonts w:ascii="Cambria Math" w:hAnsi="Cambria Math"/>
              </w:rPr>
              <m:t>ϕ</m:t>
            </m:r>
          </m:e>
          <m:sub>
            <m:r>
              <w:rPr>
                <w:rFonts w:ascii="Cambria Math" w:hAnsi="Cambria Math"/>
              </w:rPr>
              <m:t>F,0</m:t>
            </m:r>
          </m:sub>
        </m:sSub>
      </m:oMath>
      <w:r>
        <w:t xml:space="preserve">=0.1. For </w:t>
      </w:r>
      <m:oMath>
        <m:sSub>
          <m:sSubPr>
            <m:ctrlPr>
              <w:rPr>
                <w:rFonts w:ascii="Cambria Math" w:hAnsi="Cambria Math"/>
              </w:rPr>
            </m:ctrlPr>
          </m:sSubPr>
          <m:e>
            <m:r>
              <w:rPr>
                <w:rFonts w:ascii="Cambria Math" w:hAnsi="Cambria Math"/>
              </w:rPr>
              <m:t>ϕ</m:t>
            </m:r>
          </m:e>
          <m:sub>
            <m:r>
              <w:rPr>
                <w:rFonts w:ascii="Cambria Math" w:hAnsi="Cambria Math"/>
              </w:rPr>
              <m:t>F,0</m:t>
            </m:r>
          </m:sub>
        </m:sSub>
      </m:oMath>
      <w:r>
        <w:t xml:space="preserve">=0.3, 0.5, 0.65 the intermediate and the final stages show a similar behavior, while the extent of segregation is similar in the initial stage for </w:t>
      </w:r>
      <m:oMath>
        <m:sSub>
          <m:sSubPr>
            <m:ctrlPr>
              <w:rPr>
                <w:rFonts w:ascii="Cambria Math" w:hAnsi="Cambria Math"/>
              </w:rPr>
            </m:ctrlPr>
          </m:sSubPr>
          <m:e>
            <m:r>
              <w:rPr>
                <w:rFonts w:ascii="Cambria Math" w:hAnsi="Cambria Math"/>
              </w:rPr>
              <m:t>ϕ</m:t>
            </m:r>
          </m:e>
          <m:sub>
            <m:r>
              <w:rPr>
                <w:rFonts w:ascii="Cambria Math" w:hAnsi="Cambria Math"/>
              </w:rPr>
              <m:t>F,0</m:t>
            </m:r>
          </m:sub>
        </m:sSub>
      </m:oMath>
      <w:r>
        <w:t xml:space="preserve">=0.5, 0.65. </w:t>
      </w:r>
      <w:proofErr w:type="gramStart"/>
      <w:r>
        <w:t>However</w:t>
      </w:r>
      <w:proofErr w:type="gramEnd"/>
      <w:r>
        <w:t xml:space="preserve"> the extent of se</w:t>
      </w:r>
      <w:proofErr w:type="spellStart"/>
      <w:r>
        <w:t>gregation</w:t>
      </w:r>
      <w:proofErr w:type="spellEnd"/>
      <w:r>
        <w:t xml:space="preserve"> is very close to 1 for </w:t>
      </w:r>
      <m:oMath>
        <m:sSub>
          <m:sSubPr>
            <m:ctrlPr>
              <w:rPr>
                <w:rFonts w:ascii="Cambria Math" w:hAnsi="Cambria Math"/>
              </w:rPr>
            </m:ctrlPr>
          </m:sSubPr>
          <m:e>
            <m:r>
              <w:rPr>
                <w:rFonts w:ascii="Cambria Math" w:hAnsi="Cambria Math"/>
              </w:rPr>
              <m:t>ϕ</m:t>
            </m:r>
          </m:e>
          <m:sub>
            <m:r>
              <w:rPr>
                <w:rFonts w:ascii="Cambria Math" w:hAnsi="Cambria Math"/>
              </w:rPr>
              <m:t>F,0</m:t>
            </m:r>
          </m:sub>
        </m:sSub>
      </m:oMath>
      <w:r>
        <w:t>&gt; 0.3.</w:t>
      </w:r>
    </w:p>
    <w:p w14:paraId="6FCCAB02" w14:textId="7D1E21D8" w:rsidR="00692EE6" w:rsidRDefault="00000000">
      <w:pPr>
        <w:pStyle w:val="CETBodytext"/>
        <w:rPr>
          <w:u w:val="single"/>
        </w:rPr>
      </w:pPr>
      <w:r>
        <w:t>Using a greater diameter ratio, DR=3,</w:t>
      </w:r>
      <w:r w:rsidR="00B16B24">
        <w:t xml:space="preserve"> which</w:t>
      </w:r>
      <w:r>
        <w:t xml:space="preserve"> means more difference between the size of fine and the coarse particles that compose the binary mixture, it is possible to appreciate</w:t>
      </w:r>
      <w:r w:rsidR="00B16B24">
        <w:t xml:space="preserve"> a</w:t>
      </w:r>
      <w:r>
        <w:t xml:space="preserve"> larger discrepancy in the extent of segregation varying </w:t>
      </w:r>
      <m:oMath>
        <m:sSub>
          <m:sSubPr>
            <m:ctrlPr>
              <w:rPr>
                <w:rFonts w:ascii="Cambria Math" w:hAnsi="Cambria Math"/>
              </w:rPr>
            </m:ctrlPr>
          </m:sSubPr>
          <m:e>
            <m:r>
              <w:rPr>
                <w:rFonts w:ascii="Cambria Math" w:hAnsi="Cambria Math"/>
              </w:rPr>
              <m:t>ϕ</m:t>
            </m:r>
          </m:e>
          <m:sub>
            <m:r>
              <w:rPr>
                <w:rFonts w:ascii="Cambria Math" w:hAnsi="Cambria Math"/>
              </w:rPr>
              <m:t>F,0</m:t>
            </m:r>
          </m:sub>
        </m:sSub>
      </m:oMath>
      <w:r>
        <w:t xml:space="preserve">. In this case the normalized fines mass fraction is near to 1 for  </w:t>
      </w:r>
      <m:oMath>
        <m:sSub>
          <m:sSubPr>
            <m:ctrlPr>
              <w:rPr>
                <w:rFonts w:ascii="Cambria Math" w:hAnsi="Cambria Math"/>
              </w:rPr>
            </m:ctrlPr>
          </m:sSubPr>
          <m:e>
            <m:r>
              <w:rPr>
                <w:rFonts w:ascii="Cambria Math" w:hAnsi="Cambria Math"/>
              </w:rPr>
              <m:t>ϕ</m:t>
            </m:r>
          </m:e>
          <m:sub>
            <m:r>
              <w:rPr>
                <w:rFonts w:ascii="Cambria Math" w:hAnsi="Cambria Math"/>
              </w:rPr>
              <m:t>F,0</m:t>
            </m:r>
          </m:sub>
        </m:sSub>
      </m:oMath>
      <w:r>
        <w:t>&gt;0.5.</w:t>
      </w:r>
    </w:p>
    <w:p w14:paraId="19C95E72" w14:textId="77777777" w:rsidR="00692EE6" w:rsidRDefault="00000000">
      <w:pPr>
        <w:pStyle w:val="CETBodytext"/>
        <w:rPr>
          <w:u w:val="single"/>
        </w:rPr>
      </w:pPr>
      <w:r>
        <w:t xml:space="preserve">Hence, observing these data set, we can assert that the fines segregation tends to stop at lower values of </w:t>
      </w:r>
      <m:oMath>
        <m:sSub>
          <m:sSubPr>
            <m:ctrlPr>
              <w:rPr>
                <w:rFonts w:ascii="Cambria Math" w:hAnsi="Cambria Math"/>
              </w:rPr>
            </m:ctrlPr>
          </m:sSubPr>
          <m:e>
            <m:r>
              <w:rPr>
                <w:rFonts w:ascii="Cambria Math" w:hAnsi="Cambria Math"/>
              </w:rPr>
              <m:t>ϕ</m:t>
            </m:r>
          </m:e>
          <m:sub>
            <m:r>
              <w:rPr>
                <w:rFonts w:ascii="Cambria Math" w:hAnsi="Cambria Math"/>
              </w:rPr>
              <m:t>F,0</m:t>
            </m:r>
          </m:sub>
        </m:sSub>
      </m:oMath>
      <w:r>
        <w:t xml:space="preserve"> for DR=2.16 respect to the case DR=3.</w:t>
      </w:r>
    </w:p>
    <w:p w14:paraId="5D38F27C" w14:textId="190EEFB1" w:rsidR="00692EE6" w:rsidRDefault="00000000">
      <w:pPr>
        <w:pStyle w:val="CETCaption"/>
      </w:pPr>
      <w:r>
        <w:rPr>
          <w:noProof/>
        </w:rPr>
        <w:drawing>
          <wp:inline distT="0" distB="0" distL="0" distR="0" wp14:anchorId="4237E2EA" wp14:editId="7508F004">
            <wp:extent cx="5579745" cy="1771015"/>
            <wp:effectExtent l="0" t="0" r="0" b="0"/>
            <wp:docPr id="4" name="Immag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1"/>
                    <pic:cNvPicPr>
                      <a:picLocks noChangeAspect="1" noChangeArrowheads="1"/>
                    </pic:cNvPicPr>
                  </pic:nvPicPr>
                  <pic:blipFill>
                    <a:blip r:embed="rId9"/>
                    <a:stretch>
                      <a:fillRect/>
                    </a:stretch>
                  </pic:blipFill>
                  <pic:spPr bwMode="auto">
                    <a:xfrm>
                      <a:off x="0" y="0"/>
                      <a:ext cx="5579745" cy="1771015"/>
                    </a:xfrm>
                    <a:prstGeom prst="rect">
                      <a:avLst/>
                    </a:prstGeom>
                  </pic:spPr>
                </pic:pic>
              </a:graphicData>
            </a:graphic>
          </wp:inline>
        </w:drawing>
      </w:r>
      <w:r>
        <w:rPr>
          <w:rStyle w:val="CETCaptionCarattere"/>
          <w:i/>
        </w:rPr>
        <w:t xml:space="preserve">Figure 2: Normalized fines mass fraction during discharge of a binary mixture from </w:t>
      </w:r>
      <w:r w:rsidR="00B16B24">
        <w:rPr>
          <w:rStyle w:val="CETCaptionCarattere"/>
          <w:i/>
        </w:rPr>
        <w:t xml:space="preserve">a </w:t>
      </w:r>
      <w:r>
        <w:rPr>
          <w:rStyle w:val="CETCaptionCarattere"/>
          <w:i/>
        </w:rPr>
        <w:t>funnel</w:t>
      </w:r>
      <w:r w:rsidR="00B16B24">
        <w:rPr>
          <w:rStyle w:val="CETCaptionCarattere"/>
          <w:i/>
        </w:rPr>
        <w:t xml:space="preserve"> </w:t>
      </w:r>
      <w:r>
        <w:rPr>
          <w:rStyle w:val="CETCaptionCarattere"/>
          <w:i/>
        </w:rPr>
        <w:t>flow silo at different initial fines mass fraction and two different sizes ratios: DR=3 (left) and DR=2.16 (right)</w:t>
      </w:r>
      <w:r w:rsidR="00B16B24">
        <w:rPr>
          <w:rStyle w:val="CETCaptionCarattere"/>
          <w:i/>
        </w:rPr>
        <w:t>.</w:t>
      </w:r>
    </w:p>
    <w:p w14:paraId="6CBB6C4A" w14:textId="77777777" w:rsidR="00692EE6" w:rsidRDefault="00000000">
      <w:pPr>
        <w:pStyle w:val="CETheadingx"/>
        <w:tabs>
          <w:tab w:val="clear" w:pos="0"/>
        </w:tabs>
        <w:rPr>
          <w:u w:val="single"/>
        </w:rPr>
      </w:pPr>
      <w:r>
        <w:t>3.2 Bulk density and porosity</w:t>
      </w:r>
    </w:p>
    <w:p w14:paraId="6D364CA4" w14:textId="6041C7B4" w:rsidR="00692EE6" w:rsidRDefault="00000000">
      <w:pPr>
        <w:pStyle w:val="CETBodytext"/>
        <w:rPr>
          <w:u w:val="single"/>
        </w:rPr>
      </w:pPr>
      <w:r>
        <w:t xml:space="preserve">To explain the segregation phenomenon during </w:t>
      </w:r>
      <w:r w:rsidR="00B16B24">
        <w:t xml:space="preserve">the </w:t>
      </w:r>
      <w:r>
        <w:t xml:space="preserve">gravity unloading of a binary mixture, its microstructure was investigated. The porosity of the binary mixture plays a fundamental role in the segregation; in </w:t>
      </w:r>
      <w:proofErr w:type="gramStart"/>
      <w:r>
        <w:t>fact</w:t>
      </w:r>
      <w:proofErr w:type="gramEnd"/>
      <w:r>
        <w:t xml:space="preserve"> fines percolation depends on the ability of smaller particles to fill the interstitial space between the particles and on </w:t>
      </w:r>
      <w:r>
        <w:lastRenderedPageBreak/>
        <w:t>voids propagation (</w:t>
      </w:r>
      <w:r>
        <w:rPr>
          <w:color w:val="000000"/>
          <w:lang w:val="en-GB"/>
        </w:rPr>
        <w:t>Volpato et al., 2020).</w:t>
      </w:r>
      <w:r>
        <w:t xml:space="preserve"> The porosity is strictly connected to bulk density; in </w:t>
      </w:r>
      <w:proofErr w:type="gramStart"/>
      <w:r>
        <w:t>fact</w:t>
      </w:r>
      <w:proofErr w:type="gramEnd"/>
      <w:r>
        <w:t xml:space="preserve"> if the bulk density increases the porosity decreases. Hence, to evaluate the porosity of </w:t>
      </w:r>
      <w:r w:rsidR="00B16B24">
        <w:t xml:space="preserve">the </w:t>
      </w:r>
      <w:r>
        <w:t>binary mixture at varying fines mass fractions, the static bulk density was measured for the two binary mixtures with DR=2.16 and DR=3 and content of fines between 0 and 100 % in weight. The curves of bulk density, as it is possible to see in Figure 3, show two different maximum points: for DR=2.16 the bulk density is maximum when the fines fraction is equal to 30 %; for DR=3 the bulk density is maximum when the fines fraction is equal to 40 %.</w:t>
      </w:r>
    </w:p>
    <w:p w14:paraId="57270FDC" w14:textId="77777777" w:rsidR="00692EE6" w:rsidRDefault="00692EE6">
      <w:pPr>
        <w:pStyle w:val="CETBodytext"/>
        <w:rPr>
          <w:u w:val="single"/>
        </w:rPr>
      </w:pPr>
    </w:p>
    <w:p w14:paraId="10985480" w14:textId="77777777" w:rsidR="00692EE6" w:rsidRDefault="00000000">
      <w:pPr>
        <w:pStyle w:val="CETBodytext"/>
        <w:rPr>
          <w:u w:val="single"/>
        </w:rPr>
      </w:pPr>
      <w:r>
        <w:rPr>
          <w:noProof/>
        </w:rPr>
        <w:drawing>
          <wp:inline distT="0" distB="0" distL="0" distR="0" wp14:anchorId="72ECAE74" wp14:editId="7CED92A5">
            <wp:extent cx="2952115" cy="1986915"/>
            <wp:effectExtent l="0" t="0" r="0" b="0"/>
            <wp:docPr id="5" name="Immagin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3"/>
                    <pic:cNvPicPr>
                      <a:picLocks noChangeAspect="1" noChangeArrowheads="1"/>
                    </pic:cNvPicPr>
                  </pic:nvPicPr>
                  <pic:blipFill>
                    <a:blip r:embed="rId10"/>
                    <a:stretch>
                      <a:fillRect/>
                    </a:stretch>
                  </pic:blipFill>
                  <pic:spPr bwMode="auto">
                    <a:xfrm>
                      <a:off x="0" y="0"/>
                      <a:ext cx="2952115" cy="1986915"/>
                    </a:xfrm>
                    <a:prstGeom prst="rect">
                      <a:avLst/>
                    </a:prstGeom>
                  </pic:spPr>
                </pic:pic>
              </a:graphicData>
            </a:graphic>
          </wp:inline>
        </w:drawing>
      </w:r>
      <w:r>
        <w:t xml:space="preserve"> </w:t>
      </w:r>
    </w:p>
    <w:p w14:paraId="3EEE635B" w14:textId="538187B7" w:rsidR="00692EE6" w:rsidRDefault="00000000">
      <w:pPr>
        <w:pStyle w:val="CETCaption"/>
      </w:pPr>
      <w:r>
        <w:rPr>
          <w:rStyle w:val="CETCaptionCarattere"/>
          <w:i/>
        </w:rPr>
        <w:t>Figure 3: Bulk densities of the two mixtures (DR=3 and DR=2.16) with different content of fine materials (0-100 %)</w:t>
      </w:r>
      <w:r w:rsidR="004A0CAC">
        <w:rPr>
          <w:rStyle w:val="CETCaptionCarattere"/>
          <w:i/>
        </w:rPr>
        <w:t>.</w:t>
      </w:r>
    </w:p>
    <w:p w14:paraId="5A665E04" w14:textId="3C620C9B" w:rsidR="00692EE6" w:rsidRDefault="00000000">
      <w:pPr>
        <w:pStyle w:val="CETBodytext"/>
      </w:pPr>
      <w:r>
        <w:t xml:space="preserve">The maximum values of the bulk densities bound two regimes (Arteaga and </w:t>
      </w:r>
      <w:proofErr w:type="spellStart"/>
      <w:r>
        <w:t>Tuzun</w:t>
      </w:r>
      <w:proofErr w:type="spellEnd"/>
      <w:r>
        <w:t>, 1990): a coarse continuous phase and a fine continuous phase. The coarse continuous phase occurs when it is the matrix of coarse particles that determines the interparticle voids available for the fine particles. When the maximum bulk density is reached, the fine content is just enough to fill the voids between the coarse particles. Furthermore, there are no fine particles separating the coarse particles and the coarse particles touch each other; hence they can slide against each other when flowing, leading to relative</w:t>
      </w:r>
      <w:r w:rsidR="00B16B24">
        <w:t>ly</w:t>
      </w:r>
      <w:r>
        <w:t xml:space="preserve"> large dilatation of the bed. In the fine continuous phase, instead</w:t>
      </w:r>
      <w:r w:rsidR="00B16B24">
        <w:t>,</w:t>
      </w:r>
      <w:r>
        <w:t xml:space="preserve"> the fines content is more than enough to fill the voids between the coarse particles (over saturation of the coarse matrix voids) and there </w:t>
      </w:r>
      <w:r w:rsidR="00B16B24">
        <w:t>is</w:t>
      </w:r>
      <w:r>
        <w:t xml:space="preserve"> </w:t>
      </w:r>
      <w:r w:rsidR="00B16B24">
        <w:t xml:space="preserve">an </w:t>
      </w:r>
      <w:r>
        <w:t>excess of fine particles (that needs to fill the voids). In this phase, the large particles are no longer packed against each other but between them</w:t>
      </w:r>
      <w:r w:rsidR="00B16B24">
        <w:t>,</w:t>
      </w:r>
      <w:r>
        <w:t xml:space="preserve"> there are one or more layers of fine particles which increase in thickness as the concentration of fines increases. In this case</w:t>
      </w:r>
      <w:r w:rsidR="00B16B24">
        <w:t>,</w:t>
      </w:r>
      <w:r>
        <w:t xml:space="preserve"> also the bed dilatation is small, limiting both the void propagation and the percolation of fine particles. </w:t>
      </w:r>
    </w:p>
    <w:p w14:paraId="2431B5FE" w14:textId="77777777" w:rsidR="00692EE6" w:rsidRDefault="00000000">
      <w:pPr>
        <w:pStyle w:val="CETBodytext"/>
        <w:jc w:val="left"/>
      </w:pPr>
      <w:r>
        <w:t xml:space="preserve">So, as suggested by Figure 4 we can observe three stages of saturation of the coarse matrix as the content of fines increases: (a) a state of under saturation of the coarse matrix in which the percolation of fines can still be described by the mechanism of filling voids as done by Volpato (2020) for a binary mixture where fine particles are infinitely diluted; (b) a state of complete saturation of the voids and (3) a state of over saturation of coarse matrix voids, in which the </w:t>
      </w:r>
      <w:proofErr w:type="spellStart"/>
      <w:r>
        <w:t>voidage</w:t>
      </w:r>
      <w:proofErr w:type="spellEnd"/>
      <w:r>
        <w:t xml:space="preserve"> of coarse particles no longer plays a decisive role in the fines segregation.</w:t>
      </w:r>
    </w:p>
    <w:p w14:paraId="221F9263" w14:textId="189CD4FC" w:rsidR="00692EE6" w:rsidRDefault="00000000">
      <w:pPr>
        <w:pStyle w:val="CETBodytext"/>
      </w:pPr>
      <w:proofErr w:type="gramStart"/>
      <w:r>
        <w:t>In light of</w:t>
      </w:r>
      <w:proofErr w:type="gramEnd"/>
      <w:r>
        <w:t xml:space="preserve"> these observations, the fines fraction at which the maximum packing density is achieved should represent the limit value above which the segregation of fine is greatly reduced.</w:t>
      </w:r>
    </w:p>
    <w:p w14:paraId="303FB3E3" w14:textId="77777777" w:rsidR="00692EE6" w:rsidRDefault="00000000">
      <w:pPr>
        <w:pStyle w:val="CETBodytext"/>
      </w:pPr>
      <w:r>
        <w:rPr>
          <w:noProof/>
        </w:rPr>
        <w:drawing>
          <wp:inline distT="0" distB="0" distL="0" distR="0" wp14:anchorId="411FC38B" wp14:editId="7A9D9238">
            <wp:extent cx="5088890" cy="1380490"/>
            <wp:effectExtent l="0" t="0" r="0" b="0"/>
            <wp:docPr id="6" name="Immagin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7"/>
                    <pic:cNvPicPr>
                      <a:picLocks noChangeAspect="1" noChangeArrowheads="1"/>
                    </pic:cNvPicPr>
                  </pic:nvPicPr>
                  <pic:blipFill>
                    <a:blip r:embed="rId11"/>
                    <a:stretch>
                      <a:fillRect/>
                    </a:stretch>
                  </pic:blipFill>
                  <pic:spPr bwMode="auto">
                    <a:xfrm>
                      <a:off x="0" y="0"/>
                      <a:ext cx="5088890" cy="1380490"/>
                    </a:xfrm>
                    <a:prstGeom prst="rect">
                      <a:avLst/>
                    </a:prstGeom>
                  </pic:spPr>
                </pic:pic>
              </a:graphicData>
            </a:graphic>
          </wp:inline>
        </w:drawing>
      </w:r>
    </w:p>
    <w:p w14:paraId="16E4CFBA" w14:textId="0F7F1031" w:rsidR="00692EE6" w:rsidRDefault="00000000">
      <w:pPr>
        <w:pStyle w:val="CETCaption"/>
      </w:pPr>
      <w:r>
        <w:rPr>
          <w:rStyle w:val="CETCaptionCarattere"/>
          <w:i/>
        </w:rPr>
        <w:t>Figure 4: Stage of voids saturation in a binary mixture</w:t>
      </w:r>
      <w:r w:rsidR="00B16B24">
        <w:rPr>
          <w:rStyle w:val="CETCaptionCarattere"/>
          <w:i/>
        </w:rPr>
        <w:t>.</w:t>
      </w:r>
    </w:p>
    <w:p w14:paraId="6301D840" w14:textId="2D8B9DCD" w:rsidR="00692EE6" w:rsidRDefault="00000000">
      <w:pPr>
        <w:pStyle w:val="CETBodytext"/>
      </w:pPr>
      <w:r>
        <w:t xml:space="preserve">The maximum packing of bulk density, </w:t>
      </w:r>
      <w:proofErr w:type="spellStart"/>
      <w:r>
        <w:t>as</w:t>
      </w:r>
      <w:proofErr w:type="spellEnd"/>
      <w:r>
        <w:t xml:space="preserve"> said previously, is reached when the volume of the void is saturated</w:t>
      </w:r>
      <w:r w:rsidR="004A0CAC">
        <w:t xml:space="preserve"> </w:t>
      </w:r>
      <w:r>
        <w:t xml:space="preserve">by a certain volume of small </w:t>
      </w:r>
      <w:r w:rsidR="004A0CAC">
        <w:t>particles</w:t>
      </w:r>
      <w:r>
        <w:t>.</w:t>
      </w:r>
    </w:p>
    <w:p w14:paraId="58D20C9B" w14:textId="77777777" w:rsidR="00692EE6" w:rsidRDefault="00000000">
      <w:pPr>
        <w:pStyle w:val="CETBodytext"/>
      </w:pPr>
      <w:r>
        <w:t xml:space="preserve">In a bed of large </w:t>
      </w:r>
      <w:proofErr w:type="gramStart"/>
      <w:r>
        <w:t>particles</w:t>
      </w:r>
      <w:proofErr w:type="gramEnd"/>
      <w:r>
        <w:t xml:space="preserve"> the volume of interstitial space per particles is (</w:t>
      </w:r>
      <w:proofErr w:type="spellStart"/>
      <w:r>
        <w:rPr>
          <w:color w:val="000000"/>
          <w:lang w:val="en-GB"/>
        </w:rPr>
        <w:t>Finkers</w:t>
      </w:r>
      <w:proofErr w:type="spellEnd"/>
      <w:r>
        <w:rPr>
          <w:color w:val="000000"/>
          <w:lang w:val="en-GB"/>
        </w:rPr>
        <w:t xml:space="preserve"> and Hoffmann, 1988)</w:t>
      </w:r>
      <w:r>
        <w:t>:</w:t>
      </w:r>
    </w:p>
    <w:p w14:paraId="0D3A6BBB" w14:textId="77777777" w:rsidR="00692EE6" w:rsidRDefault="00692EE6">
      <w:pPr>
        <w:pStyle w:val="CETBodytext"/>
      </w:pPr>
    </w:p>
    <w:p w14:paraId="15439B1C" w14:textId="77777777" w:rsidR="00692EE6" w:rsidRDefault="00000000" w:rsidP="00B16B24">
      <w:pPr>
        <w:pStyle w:val="CETEquation"/>
      </w:pPr>
      <m:oMath>
        <m:sSub>
          <m:sSubPr>
            <m:ctrlPr>
              <w:rPr>
                <w:rFonts w:ascii="Cambria Math" w:hAnsi="Cambria Math" w:cs="Arial"/>
                <w:sz w:val="20"/>
              </w:rPr>
            </m:ctrlPr>
          </m:sSubPr>
          <m:e>
            <m:r>
              <w:rPr>
                <w:rFonts w:ascii="Cambria Math" w:hAnsi="Cambria Math" w:cs="Arial"/>
                <w:sz w:val="20"/>
              </w:rPr>
              <m:t>V</m:t>
            </m:r>
          </m:e>
          <m:sub>
            <m:r>
              <w:rPr>
                <w:rFonts w:ascii="Cambria Math" w:hAnsi="Cambria Math" w:cs="Arial"/>
                <w:sz w:val="20"/>
              </w:rPr>
              <m:t>v</m:t>
            </m:r>
            <m:r>
              <m:rPr>
                <m:sty m:val="p"/>
              </m:rPr>
              <w:rPr>
                <w:rFonts w:ascii="Cambria Math" w:hAnsi="Cambria Math" w:cs="Arial"/>
                <w:sz w:val="20"/>
              </w:rPr>
              <m:t>,</m:t>
            </m:r>
            <m:r>
              <w:rPr>
                <w:rFonts w:ascii="Cambria Math" w:hAnsi="Cambria Math" w:cs="Arial"/>
                <w:sz w:val="20"/>
              </w:rPr>
              <m:t>c</m:t>
            </m:r>
          </m:sub>
        </m:sSub>
        <m:r>
          <m:rPr>
            <m:sty m:val="p"/>
          </m:rPr>
          <w:rPr>
            <w:rFonts w:ascii="Cambria Math" w:hAnsi="Cambria Math" w:cs="Arial"/>
            <w:sz w:val="20"/>
          </w:rPr>
          <m:t>=</m:t>
        </m:r>
        <m:f>
          <m:fPr>
            <m:ctrlPr>
              <w:rPr>
                <w:rFonts w:ascii="Cambria Math" w:hAnsi="Cambria Math" w:cs="Arial"/>
                <w:sz w:val="20"/>
              </w:rPr>
            </m:ctrlPr>
          </m:fPr>
          <m:num>
            <m:sSub>
              <m:sSubPr>
                <m:ctrlPr>
                  <w:rPr>
                    <w:rFonts w:ascii="Cambria Math" w:hAnsi="Cambria Math" w:cs="Arial"/>
                    <w:sz w:val="20"/>
                  </w:rPr>
                </m:ctrlPr>
              </m:sSubPr>
              <m:e>
                <m:r>
                  <w:rPr>
                    <w:rFonts w:ascii="Cambria Math" w:hAnsi="Cambria Math" w:cs="Arial"/>
                    <w:sz w:val="20"/>
                  </w:rPr>
                  <m:t>ϵ</m:t>
                </m:r>
              </m:e>
              <m:sub>
                <m:r>
                  <w:rPr>
                    <w:rFonts w:ascii="Cambria Math" w:hAnsi="Cambria Math" w:cs="Arial"/>
                    <w:sz w:val="20"/>
                  </w:rPr>
                  <m:t>L</m:t>
                </m:r>
              </m:sub>
            </m:sSub>
          </m:num>
          <m:den>
            <m:r>
              <m:rPr>
                <m:sty m:val="p"/>
              </m:rPr>
              <w:rPr>
                <w:rFonts w:ascii="Cambria Math" w:hAnsi="Cambria Math" w:cs="Arial"/>
                <w:sz w:val="20"/>
              </w:rPr>
              <m:t>1-</m:t>
            </m:r>
            <m:sSub>
              <m:sSubPr>
                <m:ctrlPr>
                  <w:rPr>
                    <w:rFonts w:ascii="Cambria Math" w:hAnsi="Cambria Math" w:cs="Arial"/>
                    <w:sz w:val="20"/>
                  </w:rPr>
                </m:ctrlPr>
              </m:sSubPr>
              <m:e>
                <m:r>
                  <w:rPr>
                    <w:rFonts w:ascii="Cambria Math" w:hAnsi="Cambria Math" w:cs="Arial"/>
                    <w:sz w:val="20"/>
                  </w:rPr>
                  <m:t>ϵ</m:t>
                </m:r>
              </m:e>
              <m:sub>
                <m:r>
                  <w:rPr>
                    <w:rFonts w:ascii="Cambria Math" w:hAnsi="Cambria Math" w:cs="Arial"/>
                    <w:sz w:val="20"/>
                  </w:rPr>
                  <m:t>L</m:t>
                </m:r>
              </m:sub>
            </m:sSub>
          </m:den>
        </m:f>
        <m:f>
          <m:fPr>
            <m:ctrlPr>
              <w:rPr>
                <w:rFonts w:ascii="Cambria Math" w:hAnsi="Cambria Math" w:cs="Arial"/>
                <w:sz w:val="20"/>
              </w:rPr>
            </m:ctrlPr>
          </m:fPr>
          <m:num>
            <m:r>
              <w:rPr>
                <w:rFonts w:ascii="Cambria Math" w:hAnsi="Cambria Math" w:cs="Arial"/>
                <w:sz w:val="20"/>
              </w:rPr>
              <m:t>π</m:t>
            </m:r>
          </m:num>
          <m:den>
            <m:r>
              <m:rPr>
                <m:sty m:val="p"/>
              </m:rPr>
              <w:rPr>
                <w:rFonts w:ascii="Cambria Math" w:hAnsi="Cambria Math" w:cs="Arial"/>
                <w:sz w:val="20"/>
              </w:rPr>
              <m:t>6</m:t>
            </m:r>
          </m:den>
        </m:f>
        <m:sSubSup>
          <m:sSubSupPr>
            <m:ctrlPr>
              <w:rPr>
                <w:rFonts w:ascii="Cambria Math" w:hAnsi="Cambria Math" w:cs="Arial"/>
                <w:sz w:val="20"/>
              </w:rPr>
            </m:ctrlPr>
          </m:sSubSupPr>
          <m:e>
            <m:r>
              <w:rPr>
                <w:rFonts w:ascii="Cambria Math" w:hAnsi="Cambria Math" w:cs="Arial"/>
                <w:sz w:val="20"/>
              </w:rPr>
              <m:t>d</m:t>
            </m:r>
          </m:e>
          <m:sub>
            <m:r>
              <w:rPr>
                <w:rFonts w:ascii="Cambria Math" w:hAnsi="Cambria Math" w:cs="Arial"/>
                <w:sz w:val="20"/>
              </w:rPr>
              <m:t>c</m:t>
            </m:r>
          </m:sub>
          <m:sup>
            <m:r>
              <m:rPr>
                <m:sty m:val="p"/>
              </m:rPr>
              <w:rPr>
                <w:rFonts w:ascii="Cambria Math" w:hAnsi="Cambria Math" w:cs="Arial"/>
                <w:sz w:val="20"/>
              </w:rPr>
              <m:t>3</m:t>
            </m:r>
          </m:sup>
        </m:sSubSup>
      </m:oMath>
      <w:r>
        <w:t xml:space="preserve">             </w:t>
      </w:r>
      <w:r>
        <w:tab/>
      </w:r>
      <w:r>
        <w:tab/>
      </w:r>
      <w:r>
        <w:tab/>
        <w:t xml:space="preserve"> (1)                                                                                                                                    </w:t>
      </w:r>
    </w:p>
    <w:p w14:paraId="5DA24129" w14:textId="77777777" w:rsidR="00692EE6" w:rsidRDefault="00692EE6">
      <w:pPr>
        <w:pStyle w:val="CETBodytext"/>
        <w:jc w:val="left"/>
      </w:pPr>
    </w:p>
    <w:p w14:paraId="34AAA061" w14:textId="77777777" w:rsidR="00692EE6" w:rsidRDefault="00000000">
      <w:pPr>
        <w:pStyle w:val="CETBodytext"/>
      </w:pPr>
      <w:r>
        <w:t xml:space="preserve">where </w:t>
      </w:r>
      <m:oMath>
        <m:sSub>
          <m:sSubPr>
            <m:ctrlPr>
              <w:rPr>
                <w:rFonts w:ascii="Cambria Math" w:hAnsi="Cambria Math"/>
              </w:rPr>
            </m:ctrlPr>
          </m:sSubPr>
          <m:e>
            <m:r>
              <w:rPr>
                <w:rFonts w:ascii="Cambria Math" w:hAnsi="Cambria Math"/>
              </w:rPr>
              <m:t>ϵ</m:t>
            </m:r>
          </m:e>
          <m:sub>
            <m:r>
              <w:rPr>
                <w:rFonts w:ascii="Cambria Math" w:hAnsi="Cambria Math"/>
              </w:rPr>
              <m:t>L</m:t>
            </m:r>
          </m:sub>
        </m:sSub>
      </m:oMath>
      <w:r>
        <w:t xml:space="preserve">is the porosity of bed constitute of coarse particles. </w:t>
      </w:r>
    </w:p>
    <w:p w14:paraId="10D784F4" w14:textId="77777777" w:rsidR="00692EE6" w:rsidRDefault="00000000">
      <w:pPr>
        <w:pStyle w:val="CETBodytext"/>
      </w:pPr>
      <w:r>
        <w:t xml:space="preserve">Dividing this value for the average volume of one fine </w:t>
      </w:r>
      <w:proofErr w:type="gramStart"/>
      <w:r>
        <w:t>particles</w:t>
      </w:r>
      <w:proofErr w:type="gramEnd"/>
      <w:r>
        <w:t xml:space="preserve"> and its associated void space:</w:t>
      </w:r>
    </w:p>
    <w:p w14:paraId="371444B5" w14:textId="77777777" w:rsidR="00692EE6" w:rsidRDefault="00692EE6">
      <w:pPr>
        <w:pStyle w:val="CETBodytext"/>
      </w:pPr>
    </w:p>
    <w:p w14:paraId="1F9C92D9" w14:textId="77777777" w:rsidR="00692EE6" w:rsidRDefault="00000000">
      <w:pPr>
        <w:pStyle w:val="CETBodytext"/>
      </w:pPr>
      <m:oMath>
        <m:sSub>
          <m:sSubPr>
            <m:ctrlPr>
              <w:rPr>
                <w:rFonts w:ascii="Cambria Math" w:hAnsi="Cambria Math"/>
                <w:sz w:val="20"/>
              </w:rPr>
            </m:ctrlPr>
          </m:sSubPr>
          <m:e>
            <m:r>
              <w:rPr>
                <w:rFonts w:ascii="Cambria Math" w:hAnsi="Cambria Math"/>
                <w:sz w:val="20"/>
              </w:rPr>
              <m:t>V</m:t>
            </m:r>
          </m:e>
          <m:sub>
            <m:r>
              <w:rPr>
                <w:rFonts w:ascii="Cambria Math" w:hAnsi="Cambria Math"/>
                <w:sz w:val="20"/>
              </w:rPr>
              <m:t>F+V</m:t>
            </m:r>
          </m:sub>
        </m:sSub>
        <m:r>
          <w:rPr>
            <w:rFonts w:ascii="Cambria Math" w:hAnsi="Cambria Math"/>
            <w:sz w:val="20"/>
          </w:rPr>
          <m:t>=</m:t>
        </m:r>
        <m:f>
          <m:fPr>
            <m:ctrlPr>
              <w:rPr>
                <w:rFonts w:ascii="Cambria Math" w:hAnsi="Cambria Math"/>
                <w:sz w:val="20"/>
              </w:rPr>
            </m:ctrlPr>
          </m:fPr>
          <m:num>
            <m:r>
              <w:rPr>
                <w:rFonts w:ascii="Cambria Math" w:hAnsi="Cambria Math"/>
                <w:sz w:val="20"/>
              </w:rPr>
              <m:t>π</m:t>
            </m:r>
          </m:num>
          <m:den>
            <m:r>
              <w:rPr>
                <w:rFonts w:ascii="Cambria Math" w:hAnsi="Cambria Math"/>
                <w:sz w:val="20"/>
              </w:rPr>
              <m:t>6</m:t>
            </m:r>
          </m:den>
        </m:f>
        <m:sSubSup>
          <m:sSubSupPr>
            <m:ctrlPr>
              <w:rPr>
                <w:rFonts w:ascii="Cambria Math" w:hAnsi="Cambria Math"/>
                <w:sz w:val="20"/>
              </w:rPr>
            </m:ctrlPr>
          </m:sSubSupPr>
          <m:e>
            <m:r>
              <w:rPr>
                <w:rFonts w:ascii="Cambria Math" w:hAnsi="Cambria Math"/>
                <w:sz w:val="20"/>
              </w:rPr>
              <m:t>d</m:t>
            </m:r>
          </m:e>
          <m:sub>
            <m:r>
              <w:rPr>
                <w:rFonts w:ascii="Cambria Math" w:hAnsi="Cambria Math"/>
                <w:sz w:val="20"/>
              </w:rPr>
              <m:t>F</m:t>
            </m:r>
          </m:sub>
          <m:sup>
            <m:r>
              <w:rPr>
                <w:rFonts w:ascii="Cambria Math" w:hAnsi="Cambria Math"/>
                <w:sz w:val="20"/>
              </w:rPr>
              <m:t>3</m:t>
            </m:r>
          </m:sup>
        </m:sSubSup>
        <m:d>
          <m:dPr>
            <m:ctrlPr>
              <w:rPr>
                <w:rFonts w:ascii="Cambria Math" w:hAnsi="Cambria Math"/>
                <w:sz w:val="20"/>
              </w:rPr>
            </m:ctrlPr>
          </m:dPr>
          <m:e>
            <m:r>
              <w:rPr>
                <w:rFonts w:ascii="Cambria Math" w:hAnsi="Cambria Math"/>
                <w:sz w:val="20"/>
              </w:rPr>
              <m:t>1-</m:t>
            </m:r>
            <m:sSub>
              <m:sSubPr>
                <m:ctrlPr>
                  <w:rPr>
                    <w:rFonts w:ascii="Cambria Math" w:hAnsi="Cambria Math"/>
                    <w:sz w:val="20"/>
                  </w:rPr>
                </m:ctrlPr>
              </m:sSubPr>
              <m:e>
                <m:r>
                  <w:rPr>
                    <w:rFonts w:ascii="Cambria Math" w:hAnsi="Cambria Math"/>
                    <w:sz w:val="20"/>
                  </w:rPr>
                  <m:t>ϵ</m:t>
                </m:r>
              </m:e>
              <m:sub>
                <m:r>
                  <w:rPr>
                    <w:rFonts w:ascii="Cambria Math" w:hAnsi="Cambria Math"/>
                    <w:sz w:val="20"/>
                  </w:rPr>
                  <m:t>F</m:t>
                </m:r>
              </m:sub>
            </m:sSub>
          </m:e>
        </m:d>
      </m:oMath>
      <w:r w:rsidRPr="00B16B24">
        <w:rPr>
          <w:sz w:val="20"/>
        </w:rPr>
        <w:t>,</w:t>
      </w:r>
      <w:r>
        <w:tab/>
      </w:r>
      <w:r>
        <w:tab/>
      </w:r>
      <w:r>
        <w:tab/>
        <w:t xml:space="preserve">(2)                                                                                                                                                   </w:t>
      </w:r>
    </w:p>
    <w:p w14:paraId="54BA400F" w14:textId="77777777" w:rsidR="00692EE6" w:rsidRDefault="00692EE6">
      <w:pPr>
        <w:pStyle w:val="CETBodytext"/>
      </w:pPr>
    </w:p>
    <w:p w14:paraId="08386641" w14:textId="3812D6D4" w:rsidR="00692EE6" w:rsidRDefault="00000000">
      <w:pPr>
        <w:pStyle w:val="CETBodytext"/>
      </w:pPr>
      <w:r>
        <w:t xml:space="preserve">we obtain the number of fine particles that saturates the voids of one coarse </w:t>
      </w:r>
      <w:r w:rsidR="00B16B24">
        <w:t>particle</w:t>
      </w:r>
      <w:r>
        <w:t xml:space="preserve">. </w:t>
      </w:r>
    </w:p>
    <w:p w14:paraId="76B7872E" w14:textId="77777777" w:rsidR="00692EE6" w:rsidRDefault="00000000">
      <w:pPr>
        <w:pStyle w:val="CETBodytext"/>
      </w:pPr>
      <w:r>
        <w:t>This number ratio, (N</w:t>
      </w:r>
      <w:r>
        <w:rPr>
          <w:vertAlign w:val="subscript"/>
        </w:rPr>
        <w:t>F</w:t>
      </w:r>
      <w:r>
        <w:t>/</w:t>
      </w:r>
      <w:proofErr w:type="gramStart"/>
      <w:r>
        <w:t>N</w:t>
      </w:r>
      <w:r>
        <w:rPr>
          <w:vertAlign w:val="subscript"/>
        </w:rPr>
        <w:t>C</w:t>
      </w:r>
      <w:r>
        <w:t>)</w:t>
      </w:r>
      <w:r>
        <w:rPr>
          <w:vertAlign w:val="subscript"/>
        </w:rPr>
        <w:t>sat</w:t>
      </w:r>
      <w:proofErr w:type="gramEnd"/>
      <w:r>
        <w:t xml:space="preserve"> represents the value at which the maximum packing density occurs and it is equal to 4 for DR=2.16 and equal to 13 for DR=3 as reported in Table 1. The number of fine particles necessary to saturate the coarse matrix (that is the same for the case DR=3 and DR=2.16) is obviously greater for DR=3 since the diameter of fine particles is smaller than the fine diameter for the case with DR=2.16.</w:t>
      </w:r>
    </w:p>
    <w:p w14:paraId="79C9D90F" w14:textId="77777777" w:rsidR="00692EE6" w:rsidRDefault="00000000">
      <w:pPr>
        <w:pStyle w:val="CETBodytext"/>
      </w:pPr>
      <w:r>
        <w:t>In Figure 5 the bulk density is represented in terms of number of fines N</w:t>
      </w:r>
      <w:r>
        <w:rPr>
          <w:vertAlign w:val="subscript"/>
        </w:rPr>
        <w:t>F</w:t>
      </w:r>
      <w:r>
        <w:t xml:space="preserve"> divided by the number of coarse particles N</w:t>
      </w:r>
      <w:r>
        <w:rPr>
          <w:vertAlign w:val="subscript"/>
        </w:rPr>
        <w:t>C</w:t>
      </w:r>
      <w:r>
        <w:t xml:space="preserve"> to verify if the maximum packed density occurs at the values indicated above. As it also possible to read in Table 1 the ratios calculated theoretically (with </w:t>
      </w:r>
      <w:proofErr w:type="gramStart"/>
      <w:r>
        <w:t>Eq(</w:t>
      </w:r>
      <w:proofErr w:type="gramEnd"/>
      <w:r>
        <w:t xml:space="preserve">1) and Eq(2)) are very close to the ratio at which the maximum packed density occurs. </w:t>
      </w:r>
    </w:p>
    <w:p w14:paraId="4F98FD46" w14:textId="77777777" w:rsidR="00692EE6" w:rsidRDefault="00692EE6">
      <w:pPr>
        <w:pStyle w:val="CETBodytext"/>
      </w:pPr>
    </w:p>
    <w:p w14:paraId="3B3944C4" w14:textId="77777777" w:rsidR="00692EE6" w:rsidRDefault="00000000">
      <w:pPr>
        <w:pStyle w:val="CETBodytext"/>
      </w:pPr>
      <w:r>
        <w:rPr>
          <w:noProof/>
        </w:rPr>
        <w:drawing>
          <wp:inline distT="0" distB="0" distL="0" distR="0" wp14:anchorId="09FF6FAC" wp14:editId="276BE0BE">
            <wp:extent cx="2952115" cy="1986915"/>
            <wp:effectExtent l="0" t="0" r="0" b="0"/>
            <wp:docPr id="7" name="Immagi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2"/>
                    <pic:cNvPicPr>
                      <a:picLocks noChangeAspect="1" noChangeArrowheads="1"/>
                    </pic:cNvPicPr>
                  </pic:nvPicPr>
                  <pic:blipFill>
                    <a:blip r:embed="rId12"/>
                    <a:stretch>
                      <a:fillRect/>
                    </a:stretch>
                  </pic:blipFill>
                  <pic:spPr bwMode="auto">
                    <a:xfrm>
                      <a:off x="0" y="0"/>
                      <a:ext cx="2952115" cy="1986915"/>
                    </a:xfrm>
                    <a:prstGeom prst="rect">
                      <a:avLst/>
                    </a:prstGeom>
                  </pic:spPr>
                </pic:pic>
              </a:graphicData>
            </a:graphic>
          </wp:inline>
        </w:drawing>
      </w:r>
    </w:p>
    <w:p w14:paraId="1F0FE0FB" w14:textId="77777777" w:rsidR="00692EE6" w:rsidRDefault="00000000">
      <w:pPr>
        <w:pStyle w:val="CETCaption"/>
      </w:pPr>
      <w:r>
        <w:rPr>
          <w:rStyle w:val="CETCaptionCarattere"/>
          <w:i/>
        </w:rPr>
        <w:t>Figure 5: Bulk density of the two mixtures (DR=3 and DR=2.16) with different content of fine materials (0-100 %) at different N</w:t>
      </w:r>
      <w:r>
        <w:rPr>
          <w:rStyle w:val="CETCaptionCarattere"/>
          <w:i/>
          <w:vertAlign w:val="subscript"/>
        </w:rPr>
        <w:t>F</w:t>
      </w:r>
      <w:r>
        <w:rPr>
          <w:rStyle w:val="CETCaptionCarattere"/>
          <w:i/>
        </w:rPr>
        <w:t>/N</w:t>
      </w:r>
      <w:r>
        <w:rPr>
          <w:rStyle w:val="CETCaptionCarattere"/>
          <w:i/>
          <w:vertAlign w:val="subscript"/>
        </w:rPr>
        <w:t>C</w:t>
      </w:r>
    </w:p>
    <w:p w14:paraId="3F36C57D" w14:textId="7195FAEB" w:rsidR="00692EE6" w:rsidRDefault="00000000">
      <w:pPr>
        <w:pStyle w:val="CETTabletitle"/>
      </w:pPr>
      <w:r>
        <w:t xml:space="preserve">Table 1: Values of the maximum bulk density and values of </w:t>
      </w:r>
      <m:oMath>
        <m:sSub>
          <m:sSubPr>
            <m:ctrlPr>
              <w:rPr>
                <w:rFonts w:ascii="Cambria Math" w:hAnsi="Cambria Math"/>
              </w:rPr>
            </m:ctrlPr>
          </m:sSubPr>
          <m:e>
            <m:r>
              <w:rPr>
                <w:rFonts w:ascii="Cambria Math" w:hAnsi="Cambria Math"/>
              </w:rPr>
              <m:t>ϕ</m:t>
            </m:r>
          </m:e>
          <m:sub>
            <m:r>
              <w:rPr>
                <w:rFonts w:ascii="Cambria Math" w:hAnsi="Cambria Math"/>
              </w:rPr>
              <m:t>F</m:t>
            </m:r>
          </m:sub>
        </m:sSub>
      </m:oMath>
      <w:r>
        <w:t xml:space="preserve">, </w:t>
      </w:r>
      <m:oMath>
        <m:sSub>
          <m:sSubPr>
            <m:ctrlPr>
              <w:rPr>
                <w:rFonts w:ascii="Cambria Math" w:hAnsi="Cambria Math"/>
              </w:rPr>
            </m:ctrlPr>
          </m:sSubPr>
          <m:e>
            <m:d>
              <m:dPr>
                <m:ctrlPr>
                  <w:rPr>
                    <w:rFonts w:ascii="Cambria Math" w:hAnsi="Cambria Math"/>
                  </w:rPr>
                </m:ctrlPr>
              </m:dPr>
              <m:e>
                <m:f>
                  <m:fPr>
                    <m:type m:val="lin"/>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F</m:t>
                        </m:r>
                      </m:sub>
                    </m:sSub>
                  </m:num>
                  <m:den>
                    <m:sSub>
                      <m:sSubPr>
                        <m:ctrlPr>
                          <w:rPr>
                            <w:rFonts w:ascii="Cambria Math" w:hAnsi="Cambria Math"/>
                          </w:rPr>
                        </m:ctrlPr>
                      </m:sSubPr>
                      <m:e>
                        <m:r>
                          <w:rPr>
                            <w:rFonts w:ascii="Cambria Math" w:hAnsi="Cambria Math"/>
                          </w:rPr>
                          <m:t>N</m:t>
                        </m:r>
                      </m:e>
                      <m:sub>
                        <m:r>
                          <w:rPr>
                            <w:rFonts w:ascii="Cambria Math" w:hAnsi="Cambria Math"/>
                          </w:rPr>
                          <m:t>C</m:t>
                        </m:r>
                      </m:sub>
                    </m:sSub>
                  </m:den>
                </m:f>
              </m:e>
            </m:d>
          </m:e>
          <m:sub>
            <m:r>
              <w:rPr>
                <w:rFonts w:ascii="Cambria Math" w:hAnsi="Cambria Math"/>
              </w:rPr>
              <m:t>max</m:t>
            </m:r>
          </m:sub>
        </m:sSub>
      </m:oMath>
      <w:r>
        <w:t xml:space="preserve">, </w:t>
      </w:r>
      <m:oMath>
        <m:sSub>
          <m:sSubPr>
            <m:ctrlPr>
              <w:rPr>
                <w:rFonts w:ascii="Cambria Math" w:hAnsi="Cambria Math"/>
              </w:rPr>
            </m:ctrlPr>
          </m:sSubPr>
          <m:e>
            <m:d>
              <m:dPr>
                <m:ctrlPr>
                  <w:rPr>
                    <w:rFonts w:ascii="Cambria Math" w:hAnsi="Cambria Math"/>
                  </w:rPr>
                </m:ctrlPr>
              </m:dPr>
              <m:e>
                <m:f>
                  <m:fPr>
                    <m:type m:val="lin"/>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F</m:t>
                        </m:r>
                      </m:sub>
                    </m:sSub>
                  </m:num>
                  <m:den>
                    <m:sSub>
                      <m:sSubPr>
                        <m:ctrlPr>
                          <w:rPr>
                            <w:rFonts w:ascii="Cambria Math" w:hAnsi="Cambria Math"/>
                          </w:rPr>
                        </m:ctrlPr>
                      </m:sSubPr>
                      <m:e>
                        <m:r>
                          <w:rPr>
                            <w:rFonts w:ascii="Cambria Math" w:hAnsi="Cambria Math"/>
                          </w:rPr>
                          <m:t>N</m:t>
                        </m:r>
                      </m:e>
                      <m:sub>
                        <m:r>
                          <w:rPr>
                            <w:rFonts w:ascii="Cambria Math" w:hAnsi="Cambria Math"/>
                          </w:rPr>
                          <m:t>C</m:t>
                        </m:r>
                      </m:sub>
                    </m:sSub>
                  </m:den>
                </m:f>
              </m:e>
            </m:d>
          </m:e>
          <m:sub>
            <m:r>
              <w:rPr>
                <w:rFonts w:ascii="Cambria Math" w:hAnsi="Cambria Math"/>
              </w:rPr>
              <m:t>sat</m:t>
            </m:r>
          </m:sub>
        </m:sSub>
      </m:oMath>
      <w:r>
        <w:t xml:space="preserve"> at which the maximum bulk density occurs</w:t>
      </w:r>
      <w:r w:rsidR="00B16B24">
        <w:t>.</w:t>
      </w:r>
    </w:p>
    <w:tbl>
      <w:tblPr>
        <w:tblW w:w="5670" w:type="dxa"/>
        <w:tblLayout w:type="fixed"/>
        <w:tblCellMar>
          <w:left w:w="0" w:type="dxa"/>
          <w:right w:w="0" w:type="dxa"/>
        </w:tblCellMar>
        <w:tblLook w:val="00A0" w:firstRow="1" w:lastRow="0" w:firstColumn="1" w:lastColumn="0" w:noHBand="0" w:noVBand="0"/>
      </w:tblPr>
      <w:tblGrid>
        <w:gridCol w:w="1134"/>
        <w:gridCol w:w="1134"/>
        <w:gridCol w:w="1134"/>
        <w:gridCol w:w="1134"/>
        <w:gridCol w:w="1134"/>
      </w:tblGrid>
      <w:tr w:rsidR="00692EE6" w14:paraId="640943B0" w14:textId="77777777">
        <w:tc>
          <w:tcPr>
            <w:tcW w:w="1134" w:type="dxa"/>
            <w:tcBorders>
              <w:top w:val="single" w:sz="12" w:space="0" w:color="008000"/>
              <w:bottom w:val="single" w:sz="6" w:space="0" w:color="008000"/>
            </w:tcBorders>
            <w:shd w:val="clear" w:color="auto" w:fill="FFFFFF"/>
          </w:tcPr>
          <w:p w14:paraId="3343311D" w14:textId="77777777" w:rsidR="00692EE6" w:rsidRDefault="00000000">
            <w:pPr>
              <w:pStyle w:val="Contenutotabella"/>
              <w:jc w:val="center"/>
              <w:rPr>
                <w:szCs w:val="18"/>
              </w:rPr>
            </w:pPr>
            <w:r>
              <w:rPr>
                <w:szCs w:val="18"/>
              </w:rPr>
              <w:t>DR [-]</w:t>
            </w:r>
          </w:p>
        </w:tc>
        <w:tc>
          <w:tcPr>
            <w:tcW w:w="1134" w:type="dxa"/>
            <w:tcBorders>
              <w:top w:val="single" w:sz="12" w:space="0" w:color="008000"/>
              <w:bottom w:val="single" w:sz="6" w:space="0" w:color="008000"/>
            </w:tcBorders>
            <w:shd w:val="clear" w:color="auto" w:fill="FFFFFF"/>
          </w:tcPr>
          <w:p w14:paraId="33C0042C" w14:textId="77777777" w:rsidR="00692EE6" w:rsidRDefault="00000000">
            <w:pPr>
              <w:pStyle w:val="Contenutotabella"/>
              <w:jc w:val="center"/>
              <w:rPr>
                <w:szCs w:val="18"/>
              </w:rPr>
            </w:pPr>
            <m:oMath>
              <m:sSub>
                <m:sSubPr>
                  <m:ctrlPr>
                    <w:rPr>
                      <w:rFonts w:ascii="Cambria Math" w:hAnsi="Cambria Math"/>
                    </w:rPr>
                  </m:ctrlPr>
                </m:sSubPr>
                <m:e>
                  <m:r>
                    <w:rPr>
                      <w:rFonts w:ascii="Cambria Math" w:hAnsi="Cambria Math"/>
                    </w:rPr>
                    <m:t>ρ</m:t>
                  </m:r>
                </m:e>
                <m:sub>
                  <m:r>
                    <w:rPr>
                      <w:rFonts w:ascii="Cambria Math" w:hAnsi="Cambria Math"/>
                    </w:rPr>
                    <m:t>b,max</m:t>
                  </m:r>
                </m:sub>
              </m:sSub>
            </m:oMath>
            <w:r>
              <w:rPr>
                <w:szCs w:val="18"/>
              </w:rPr>
              <w:t xml:space="preserve"> [kg/m</w:t>
            </w:r>
            <w:r>
              <w:rPr>
                <w:szCs w:val="18"/>
                <w:vertAlign w:val="superscript"/>
              </w:rPr>
              <w:t>3</w:t>
            </w:r>
            <w:r>
              <w:rPr>
                <w:szCs w:val="18"/>
              </w:rPr>
              <w:t>]</w:t>
            </w:r>
          </w:p>
        </w:tc>
        <w:tc>
          <w:tcPr>
            <w:tcW w:w="1134" w:type="dxa"/>
            <w:tcBorders>
              <w:top w:val="single" w:sz="12" w:space="0" w:color="008000"/>
              <w:bottom w:val="single" w:sz="6" w:space="0" w:color="008000"/>
            </w:tcBorders>
            <w:shd w:val="clear" w:color="auto" w:fill="FFFFFF"/>
          </w:tcPr>
          <w:p w14:paraId="686CCF45" w14:textId="77777777" w:rsidR="00692EE6" w:rsidRDefault="00000000">
            <w:pPr>
              <w:pStyle w:val="Contenutotabella"/>
              <w:jc w:val="center"/>
              <w:rPr>
                <w:szCs w:val="18"/>
              </w:rPr>
            </w:pPr>
            <w:r>
              <w:rPr>
                <w:szCs w:val="18"/>
              </w:rPr>
              <w:t xml:space="preserve"> </w:t>
            </w:r>
            <m:oMath>
              <m:sSub>
                <m:sSubPr>
                  <m:ctrlPr>
                    <w:rPr>
                      <w:rFonts w:ascii="Cambria Math" w:hAnsi="Cambria Math"/>
                    </w:rPr>
                  </m:ctrlPr>
                </m:sSubPr>
                <m:e>
                  <m:r>
                    <w:rPr>
                      <w:rFonts w:ascii="Cambria Math" w:hAnsi="Cambria Math"/>
                    </w:rPr>
                    <m:t>ϕ</m:t>
                  </m:r>
                </m:e>
                <m:sub>
                  <m:r>
                    <w:rPr>
                      <w:rFonts w:ascii="Cambria Math" w:hAnsi="Cambria Math"/>
                    </w:rPr>
                    <m:t>F</m:t>
                  </m:r>
                </m:sub>
              </m:sSub>
            </m:oMath>
            <w:r>
              <w:rPr>
                <w:szCs w:val="18"/>
              </w:rPr>
              <w:t xml:space="preserve"> [%]</w:t>
            </w:r>
          </w:p>
        </w:tc>
        <w:tc>
          <w:tcPr>
            <w:tcW w:w="1134" w:type="dxa"/>
            <w:tcBorders>
              <w:top w:val="single" w:sz="12" w:space="0" w:color="008000"/>
              <w:bottom w:val="single" w:sz="6" w:space="0" w:color="008000"/>
            </w:tcBorders>
            <w:shd w:val="clear" w:color="auto" w:fill="FFFFFF"/>
          </w:tcPr>
          <w:p w14:paraId="31586841" w14:textId="77777777" w:rsidR="00692EE6" w:rsidRDefault="00000000">
            <w:pPr>
              <w:pStyle w:val="Contenutotabella"/>
              <w:jc w:val="center"/>
              <w:rPr>
                <w:szCs w:val="18"/>
              </w:rPr>
            </w:pPr>
            <m:oMath>
              <m:sSub>
                <m:sSubPr>
                  <m:ctrlPr>
                    <w:rPr>
                      <w:rFonts w:ascii="Cambria Math" w:hAnsi="Cambria Math"/>
                    </w:rPr>
                  </m:ctrlPr>
                </m:sSubPr>
                <m:e>
                  <m:d>
                    <m:dPr>
                      <m:ctrlPr>
                        <w:rPr>
                          <w:rFonts w:ascii="Cambria Math" w:hAnsi="Cambria Math"/>
                        </w:rPr>
                      </m:ctrlPr>
                    </m:dPr>
                    <m:e>
                      <m:f>
                        <m:fPr>
                          <m:type m:val="lin"/>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F</m:t>
                              </m:r>
                            </m:sub>
                          </m:sSub>
                        </m:num>
                        <m:den>
                          <m:sSub>
                            <m:sSubPr>
                              <m:ctrlPr>
                                <w:rPr>
                                  <w:rFonts w:ascii="Cambria Math" w:hAnsi="Cambria Math"/>
                                </w:rPr>
                              </m:ctrlPr>
                            </m:sSubPr>
                            <m:e>
                              <m:r>
                                <w:rPr>
                                  <w:rFonts w:ascii="Cambria Math" w:hAnsi="Cambria Math"/>
                                </w:rPr>
                                <m:t>N</m:t>
                              </m:r>
                            </m:e>
                            <m:sub>
                              <m:r>
                                <w:rPr>
                                  <w:rFonts w:ascii="Cambria Math" w:hAnsi="Cambria Math"/>
                                </w:rPr>
                                <m:t>C</m:t>
                              </m:r>
                            </m:sub>
                          </m:sSub>
                        </m:den>
                      </m:f>
                    </m:e>
                  </m:d>
                </m:e>
                <m:sub>
                  <m:r>
                    <w:rPr>
                      <w:rFonts w:ascii="Cambria Math" w:hAnsi="Cambria Math"/>
                    </w:rPr>
                    <m:t>max</m:t>
                  </m:r>
                </m:sub>
              </m:sSub>
            </m:oMath>
            <w:r>
              <w:rPr>
                <w:szCs w:val="18"/>
              </w:rPr>
              <w:t xml:space="preserve"> [-]</w:t>
            </w:r>
          </w:p>
        </w:tc>
        <w:tc>
          <w:tcPr>
            <w:tcW w:w="1134" w:type="dxa"/>
            <w:tcBorders>
              <w:top w:val="single" w:sz="12" w:space="0" w:color="008000"/>
              <w:bottom w:val="single" w:sz="6" w:space="0" w:color="008000"/>
            </w:tcBorders>
            <w:shd w:val="clear" w:color="auto" w:fill="FFFFFF"/>
          </w:tcPr>
          <w:p w14:paraId="27A44574" w14:textId="77777777" w:rsidR="00692EE6" w:rsidRDefault="00000000">
            <w:pPr>
              <w:pStyle w:val="Contenutotabella"/>
              <w:jc w:val="center"/>
              <w:rPr>
                <w:szCs w:val="18"/>
              </w:rPr>
            </w:pPr>
            <m:oMath>
              <m:sSub>
                <m:sSubPr>
                  <m:ctrlPr>
                    <w:rPr>
                      <w:rFonts w:ascii="Cambria Math" w:hAnsi="Cambria Math"/>
                    </w:rPr>
                  </m:ctrlPr>
                </m:sSubPr>
                <m:e>
                  <m:d>
                    <m:dPr>
                      <m:ctrlPr>
                        <w:rPr>
                          <w:rFonts w:ascii="Cambria Math" w:hAnsi="Cambria Math"/>
                        </w:rPr>
                      </m:ctrlPr>
                    </m:dPr>
                    <m:e>
                      <m:f>
                        <m:fPr>
                          <m:type m:val="lin"/>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F</m:t>
                              </m:r>
                            </m:sub>
                          </m:sSub>
                        </m:num>
                        <m:den>
                          <m:sSub>
                            <m:sSubPr>
                              <m:ctrlPr>
                                <w:rPr>
                                  <w:rFonts w:ascii="Cambria Math" w:hAnsi="Cambria Math"/>
                                </w:rPr>
                              </m:ctrlPr>
                            </m:sSubPr>
                            <m:e>
                              <m:r>
                                <w:rPr>
                                  <w:rFonts w:ascii="Cambria Math" w:hAnsi="Cambria Math"/>
                                </w:rPr>
                                <m:t>N</m:t>
                              </m:r>
                            </m:e>
                            <m:sub>
                              <m:r>
                                <w:rPr>
                                  <w:rFonts w:ascii="Cambria Math" w:hAnsi="Cambria Math"/>
                                </w:rPr>
                                <m:t>C</m:t>
                              </m:r>
                            </m:sub>
                          </m:sSub>
                        </m:den>
                      </m:f>
                    </m:e>
                  </m:d>
                </m:e>
                <m:sub>
                  <m:r>
                    <w:rPr>
                      <w:rFonts w:ascii="Cambria Math" w:hAnsi="Cambria Math"/>
                    </w:rPr>
                    <m:t>sat</m:t>
                  </m:r>
                </m:sub>
              </m:sSub>
            </m:oMath>
            <w:r>
              <w:rPr>
                <w:szCs w:val="18"/>
              </w:rPr>
              <w:t xml:space="preserve"> [-]</w:t>
            </w:r>
          </w:p>
        </w:tc>
      </w:tr>
      <w:tr w:rsidR="00692EE6" w14:paraId="63A169C1" w14:textId="77777777">
        <w:tc>
          <w:tcPr>
            <w:tcW w:w="1134" w:type="dxa"/>
            <w:shd w:val="clear" w:color="auto" w:fill="FFFFFF"/>
          </w:tcPr>
          <w:p w14:paraId="52769AE4" w14:textId="77777777" w:rsidR="00692EE6" w:rsidRDefault="00000000">
            <w:pPr>
              <w:pStyle w:val="Contenutotabella"/>
              <w:jc w:val="center"/>
            </w:pPr>
            <w:r>
              <w:t>3</w:t>
            </w:r>
          </w:p>
        </w:tc>
        <w:tc>
          <w:tcPr>
            <w:tcW w:w="1134" w:type="dxa"/>
            <w:shd w:val="clear" w:color="auto" w:fill="FFFFFF"/>
          </w:tcPr>
          <w:p w14:paraId="2B210282" w14:textId="77777777" w:rsidR="00692EE6" w:rsidRDefault="00000000">
            <w:pPr>
              <w:pStyle w:val="Contenutotabella"/>
              <w:jc w:val="center"/>
            </w:pPr>
            <w:r>
              <w:t>752</w:t>
            </w:r>
          </w:p>
        </w:tc>
        <w:tc>
          <w:tcPr>
            <w:tcW w:w="1134" w:type="dxa"/>
            <w:shd w:val="clear" w:color="auto" w:fill="FFFFFF"/>
          </w:tcPr>
          <w:p w14:paraId="2C69FB5C" w14:textId="77777777" w:rsidR="00692EE6" w:rsidRDefault="00000000">
            <w:pPr>
              <w:pStyle w:val="Contenutotabella"/>
              <w:jc w:val="center"/>
            </w:pPr>
            <w:r>
              <w:t>40</w:t>
            </w:r>
          </w:p>
        </w:tc>
        <w:tc>
          <w:tcPr>
            <w:tcW w:w="1134" w:type="dxa"/>
            <w:shd w:val="clear" w:color="auto" w:fill="FFFFFF"/>
          </w:tcPr>
          <w:p w14:paraId="78DCD2DB" w14:textId="77777777" w:rsidR="00692EE6" w:rsidRDefault="00000000">
            <w:pPr>
              <w:pStyle w:val="Contenutotabella"/>
              <w:jc w:val="center"/>
            </w:pPr>
            <w:r>
              <w:t>19</w:t>
            </w:r>
          </w:p>
        </w:tc>
        <w:tc>
          <w:tcPr>
            <w:tcW w:w="1134" w:type="dxa"/>
            <w:shd w:val="clear" w:color="auto" w:fill="FFFFFF"/>
          </w:tcPr>
          <w:p w14:paraId="4A9224FA" w14:textId="77777777" w:rsidR="00692EE6" w:rsidRDefault="00000000">
            <w:pPr>
              <w:pStyle w:val="Contenutotabella"/>
              <w:jc w:val="center"/>
            </w:pPr>
            <w:r>
              <w:t>13</w:t>
            </w:r>
          </w:p>
        </w:tc>
      </w:tr>
      <w:tr w:rsidR="00692EE6" w14:paraId="31AF3767" w14:textId="77777777">
        <w:tc>
          <w:tcPr>
            <w:tcW w:w="1134" w:type="dxa"/>
            <w:tcBorders>
              <w:bottom w:val="single" w:sz="12" w:space="0" w:color="008000"/>
            </w:tcBorders>
            <w:shd w:val="clear" w:color="auto" w:fill="FFFFFF"/>
          </w:tcPr>
          <w:p w14:paraId="4262F046" w14:textId="77777777" w:rsidR="00692EE6" w:rsidRDefault="00000000">
            <w:pPr>
              <w:pStyle w:val="Contenutotabella"/>
              <w:jc w:val="center"/>
            </w:pPr>
            <w:r>
              <w:t>2.16</w:t>
            </w:r>
          </w:p>
        </w:tc>
        <w:tc>
          <w:tcPr>
            <w:tcW w:w="1134" w:type="dxa"/>
            <w:tcBorders>
              <w:bottom w:val="single" w:sz="12" w:space="0" w:color="008000"/>
            </w:tcBorders>
            <w:shd w:val="clear" w:color="auto" w:fill="FFFFFF"/>
          </w:tcPr>
          <w:p w14:paraId="68A87B21" w14:textId="77777777" w:rsidR="00692EE6" w:rsidRDefault="00000000">
            <w:pPr>
              <w:pStyle w:val="Contenutotabella"/>
              <w:jc w:val="center"/>
            </w:pPr>
            <w:r>
              <w:t>726</w:t>
            </w:r>
          </w:p>
        </w:tc>
        <w:tc>
          <w:tcPr>
            <w:tcW w:w="1134" w:type="dxa"/>
            <w:tcBorders>
              <w:bottom w:val="single" w:sz="12" w:space="0" w:color="008000"/>
            </w:tcBorders>
            <w:shd w:val="clear" w:color="auto" w:fill="FFFFFF"/>
          </w:tcPr>
          <w:p w14:paraId="228888B1" w14:textId="77777777" w:rsidR="00692EE6" w:rsidRDefault="00000000">
            <w:pPr>
              <w:pStyle w:val="Contenutotabella"/>
              <w:jc w:val="center"/>
            </w:pPr>
            <w:r>
              <w:t>30</w:t>
            </w:r>
          </w:p>
        </w:tc>
        <w:tc>
          <w:tcPr>
            <w:tcW w:w="1134" w:type="dxa"/>
            <w:tcBorders>
              <w:bottom w:val="single" w:sz="12" w:space="0" w:color="008000"/>
            </w:tcBorders>
            <w:shd w:val="clear" w:color="auto" w:fill="FFFFFF"/>
          </w:tcPr>
          <w:p w14:paraId="6AF0B0C3" w14:textId="77777777" w:rsidR="00692EE6" w:rsidRDefault="00000000">
            <w:pPr>
              <w:pStyle w:val="Contenutotabella"/>
              <w:jc w:val="center"/>
            </w:pPr>
            <w:r>
              <w:t>4</w:t>
            </w:r>
          </w:p>
        </w:tc>
        <w:tc>
          <w:tcPr>
            <w:tcW w:w="1134" w:type="dxa"/>
            <w:tcBorders>
              <w:bottom w:val="single" w:sz="12" w:space="0" w:color="008000"/>
            </w:tcBorders>
            <w:shd w:val="clear" w:color="auto" w:fill="FFFFFF"/>
          </w:tcPr>
          <w:p w14:paraId="2EBA071A" w14:textId="77777777" w:rsidR="00692EE6" w:rsidRDefault="00000000">
            <w:pPr>
              <w:pStyle w:val="Contenutotabella"/>
              <w:jc w:val="center"/>
            </w:pPr>
            <w:r>
              <w:t>4</w:t>
            </w:r>
          </w:p>
        </w:tc>
      </w:tr>
    </w:tbl>
    <w:p w14:paraId="29ED44C8" w14:textId="77777777" w:rsidR="00692EE6" w:rsidRDefault="00692EE6">
      <w:pPr>
        <w:pStyle w:val="CETBodytext"/>
        <w:rPr>
          <w:lang w:val="en-GB"/>
        </w:rPr>
      </w:pPr>
    </w:p>
    <w:p w14:paraId="0E7488BF" w14:textId="77777777" w:rsidR="00692EE6" w:rsidRDefault="00000000">
      <w:pPr>
        <w:pStyle w:val="CETheadingx"/>
        <w:tabs>
          <w:tab w:val="clear" w:pos="0"/>
        </w:tabs>
        <w:rPr>
          <w:u w:val="single"/>
        </w:rPr>
      </w:pPr>
      <w:r>
        <w:t>3.3 Fines segregation and voids saturation</w:t>
      </w:r>
    </w:p>
    <w:p w14:paraId="27AEC3EE" w14:textId="77777777" w:rsidR="00692EE6" w:rsidRDefault="00000000">
      <w:pPr>
        <w:pStyle w:val="CETBodytext"/>
        <w:rPr>
          <w:lang w:val="en-GB"/>
        </w:rPr>
      </w:pPr>
      <w:r>
        <w:t>Ultimately, a</w:t>
      </w:r>
      <w:r>
        <w:rPr>
          <w:rStyle w:val="CETCaptionCarattere"/>
          <w:i w:val="0"/>
          <w:lang w:val="en-US"/>
        </w:rPr>
        <w:t>n overall segregation index (SI) was calculated for data set reported in Figure 2.</w:t>
      </w:r>
    </w:p>
    <w:p w14:paraId="769F524E" w14:textId="77777777" w:rsidR="00692EE6" w:rsidRDefault="00000000">
      <w:pPr>
        <w:pStyle w:val="CETBodytext"/>
        <w:rPr>
          <w:lang w:val="en-GB"/>
        </w:rPr>
      </w:pPr>
      <w:r>
        <w:rPr>
          <w:rStyle w:val="CETCaptionCarattere"/>
          <w:i w:val="0"/>
          <w:lang w:val="en-US"/>
        </w:rPr>
        <w:t>The segregation index is based on the standard deviation of the normalized fine mass fractions over the entire discharge process:</w:t>
      </w:r>
    </w:p>
    <w:p w14:paraId="59257A2A" w14:textId="3215E8EA" w:rsidR="00692EE6" w:rsidRDefault="00000000" w:rsidP="00B16B24">
      <w:pPr>
        <w:pStyle w:val="CETEquation"/>
      </w:pPr>
      <m:oMath>
        <m:r>
          <w:rPr>
            <w:rFonts w:ascii="Cambria Math" w:hAnsi="Cambria Math"/>
          </w:rPr>
          <m:t>SI=</m:t>
        </m:r>
        <m:rad>
          <m:radPr>
            <m:degHide m:val="1"/>
            <m:ctrlPr>
              <w:rPr>
                <w:rFonts w:ascii="Cambria Math" w:hAnsi="Cambria Math"/>
              </w:rPr>
            </m:ctrlPr>
          </m:radPr>
          <m:deg/>
          <m:e>
            <m:f>
              <m:fPr>
                <m:ctrlPr>
                  <w:rPr>
                    <w:rFonts w:ascii="Cambria Math" w:hAnsi="Cambria Math"/>
                  </w:rPr>
                </m:ctrlPr>
              </m:fPr>
              <m:num>
                <m:r>
                  <w:rPr>
                    <w:rFonts w:ascii="Cambria Math" w:hAnsi="Cambria Math"/>
                  </w:rPr>
                  <m:t>1</m:t>
                </m:r>
              </m:num>
              <m:den>
                <m:r>
                  <w:rPr>
                    <w:rFonts w:ascii="Cambria Math" w:hAnsi="Cambria Math"/>
                  </w:rPr>
                  <m:t>n</m:t>
                </m:r>
              </m:den>
            </m:f>
            <m:nary>
              <m:naryPr>
                <m:chr m:val="∑"/>
                <m:ctrlPr>
                  <w:rPr>
                    <w:rFonts w:ascii="Cambria Math" w:hAnsi="Cambria Math"/>
                  </w:rPr>
                </m:ctrlPr>
              </m:naryPr>
              <m:sub>
                <m:r>
                  <w:rPr>
                    <w:rFonts w:ascii="Cambria Math" w:hAnsi="Cambria Math"/>
                  </w:rPr>
                  <m:t>i=1</m:t>
                </m:r>
              </m:sub>
              <m:sup>
                <m:r>
                  <w:rPr>
                    <w:rFonts w:ascii="Cambria Math" w:hAnsi="Cambria Math"/>
                  </w:rPr>
                  <m:t>n</m:t>
                </m:r>
              </m:sup>
              <m:e>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ϕ</m:t>
                                        </m:r>
                                      </m:e>
                                      <m:sub>
                                        <m:r>
                                          <w:rPr>
                                            <w:rFonts w:ascii="Cambria Math" w:hAnsi="Cambria Math"/>
                                          </w:rPr>
                                          <m:t>F</m:t>
                                        </m:r>
                                      </m:sub>
                                    </m:sSub>
                                  </m:num>
                                  <m:den>
                                    <m:sSub>
                                      <m:sSubPr>
                                        <m:ctrlPr>
                                          <w:rPr>
                                            <w:rFonts w:ascii="Cambria Math" w:hAnsi="Cambria Math"/>
                                          </w:rPr>
                                        </m:ctrlPr>
                                      </m:sSubPr>
                                      <m:e>
                                        <m:r>
                                          <w:rPr>
                                            <w:rFonts w:ascii="Cambria Math" w:hAnsi="Cambria Math"/>
                                          </w:rPr>
                                          <m:t>ϕ</m:t>
                                        </m:r>
                                      </m:e>
                                      <m:sub>
                                        <m:r>
                                          <w:rPr>
                                            <w:rFonts w:ascii="Cambria Math" w:hAnsi="Cambria Math"/>
                                          </w:rPr>
                                          <m:t>F,0</m:t>
                                        </m:r>
                                      </m:sub>
                                    </m:sSub>
                                  </m:den>
                                </m:f>
                              </m:e>
                            </m:d>
                          </m:e>
                          <m:sub>
                            <m:r>
                              <w:rPr>
                                <w:rFonts w:ascii="Cambria Math" w:hAnsi="Cambria Math"/>
                              </w:rPr>
                              <m:t>i</m:t>
                            </m:r>
                          </m:sub>
                        </m:sSub>
                        <m:r>
                          <w:rPr>
                            <w:rFonts w:ascii="Cambria Math" w:hAnsi="Cambria Math"/>
                          </w:rPr>
                          <m:t>-1</m:t>
                        </m:r>
                      </m:e>
                    </m:d>
                  </m:e>
                  <m:sup>
                    <m:r>
                      <w:rPr>
                        <w:rFonts w:ascii="Cambria Math" w:hAnsi="Cambria Math"/>
                      </w:rPr>
                      <m:t>2</m:t>
                    </m:r>
                  </m:sup>
                </m:sSup>
              </m:e>
            </m:nary>
          </m:e>
        </m:rad>
      </m:oMath>
      <w:r>
        <w:t xml:space="preserve">                                                                                                                         </w:t>
      </w:r>
      <w:r w:rsidR="00B16B24">
        <w:tab/>
      </w:r>
      <w:r>
        <w:t xml:space="preserve">(3)                                                                                                                               </w:t>
      </w:r>
    </w:p>
    <w:p w14:paraId="0DCC729B" w14:textId="77777777" w:rsidR="00692EE6" w:rsidRDefault="00000000">
      <w:pPr>
        <w:pStyle w:val="CETBodytext"/>
        <w:jc w:val="left"/>
      </w:pPr>
      <w:r>
        <w:t xml:space="preserve">where </w:t>
      </w:r>
      <w:r>
        <w:rPr>
          <w:i/>
          <w:iCs/>
        </w:rPr>
        <w:t xml:space="preserve">n </w:t>
      </w:r>
      <w:r>
        <w:t>is the number of the samples.</w:t>
      </w:r>
    </w:p>
    <w:p w14:paraId="77555383" w14:textId="7548C9B8" w:rsidR="00692EE6" w:rsidRDefault="00000000">
      <w:pPr>
        <w:pStyle w:val="CETBodytext"/>
        <w:rPr>
          <w:u w:val="single"/>
        </w:rPr>
      </w:pPr>
      <w:r>
        <w:rPr>
          <w:rStyle w:val="CETCaptionCarattere"/>
          <w:i w:val="0"/>
          <w:lang w:val="en-US"/>
        </w:rPr>
        <w:t xml:space="preserve">When SI is equal to 0 indicates a complete uniform composition equal to the initial one; an increasing of SI, </w:t>
      </w:r>
      <w:r w:rsidR="00B16B24">
        <w:rPr>
          <w:rStyle w:val="CETCaptionCarattere"/>
          <w:i w:val="0"/>
          <w:lang w:val="en-US"/>
        </w:rPr>
        <w:t>instead, indicates</w:t>
      </w:r>
      <w:r>
        <w:rPr>
          <w:rStyle w:val="CETCaptionCarattere"/>
          <w:i w:val="0"/>
          <w:lang w:val="en-US"/>
        </w:rPr>
        <w:t xml:space="preserve"> an increasing extent of segregation. Table 2 reports the values of SI. For DR=2.16 the </w:t>
      </w:r>
      <w:r>
        <w:rPr>
          <w:rStyle w:val="CETCaptionCarattere"/>
          <w:i w:val="0"/>
          <w:lang w:val="en-US"/>
        </w:rPr>
        <w:lastRenderedPageBreak/>
        <w:t xml:space="preserve">overall extent of segregation is lower for DR=2.16 respect to DR=3. However, for </w:t>
      </w:r>
      <m:oMath>
        <m:sSub>
          <m:sSubPr>
            <m:ctrlPr>
              <w:rPr>
                <w:rFonts w:ascii="Cambria Math" w:hAnsi="Cambria Math"/>
              </w:rPr>
            </m:ctrlPr>
          </m:sSubPr>
          <m:e>
            <m:r>
              <w:rPr>
                <w:rFonts w:ascii="Cambria Math" w:hAnsi="Cambria Math"/>
              </w:rPr>
              <m:t>ϕ</m:t>
            </m:r>
          </m:e>
          <m:sub>
            <m:r>
              <w:rPr>
                <w:rFonts w:ascii="Cambria Math" w:hAnsi="Cambria Math"/>
              </w:rPr>
              <m:t>F,0</m:t>
            </m:r>
          </m:sub>
        </m:sSub>
      </m:oMath>
      <w:r>
        <w:rPr>
          <w:rStyle w:val="CETCaptionCarattere"/>
          <w:i w:val="0"/>
          <w:lang w:val="en-US"/>
        </w:rPr>
        <w:t xml:space="preserve"> =30% and DR=2.16 the SI does not very close to zero, which means that the fines segregation still occurs. In both tases, anyway, for </w:t>
      </w:r>
      <m:oMath>
        <m:sSub>
          <m:sSubPr>
            <m:ctrlPr>
              <w:rPr>
                <w:rFonts w:ascii="Cambria Math" w:hAnsi="Cambria Math"/>
              </w:rPr>
            </m:ctrlPr>
          </m:sSubPr>
          <m:e>
            <m:r>
              <w:rPr>
                <w:rFonts w:ascii="Cambria Math" w:hAnsi="Cambria Math"/>
              </w:rPr>
              <m:t>ϕ</m:t>
            </m:r>
          </m:e>
          <m:sub>
            <m:r>
              <w:rPr>
                <w:rFonts w:ascii="Cambria Math" w:hAnsi="Cambria Math"/>
              </w:rPr>
              <m:t>F,0</m:t>
            </m:r>
          </m:sub>
        </m:sSub>
      </m:oMath>
      <w:r>
        <w:rPr>
          <w:rStyle w:val="CETCaptionCarattere"/>
          <w:i w:val="0"/>
          <w:lang w:val="en-US"/>
        </w:rPr>
        <w:t>=65 % the SI is equal to 0.1, hence very close to zero. In this case we can consider that overall segregation of fines is practically null.</w:t>
      </w:r>
    </w:p>
    <w:p w14:paraId="1F71B311" w14:textId="77777777" w:rsidR="00692EE6" w:rsidRDefault="00000000">
      <w:pPr>
        <w:pStyle w:val="CETBodytext"/>
        <w:rPr>
          <w:u w:val="single"/>
        </w:rPr>
      </w:pPr>
      <w:proofErr w:type="gramStart"/>
      <w:r>
        <w:rPr>
          <w:rStyle w:val="CETCaptionCarattere"/>
          <w:i w:val="0"/>
          <w:lang w:val="en-US"/>
        </w:rPr>
        <w:t>In light of</w:t>
      </w:r>
      <w:proofErr w:type="gramEnd"/>
      <w:r>
        <w:rPr>
          <w:rStyle w:val="CETCaptionCarattere"/>
          <w:i w:val="0"/>
          <w:lang w:val="en-US"/>
        </w:rPr>
        <w:t xml:space="preserve"> these observations, the achievement of the maximum packing density in the mixture is not the unique condition to stop the fines segregation that continues to occur even when the oversaturation of the coarse voids state verifies.</w:t>
      </w:r>
    </w:p>
    <w:p w14:paraId="67EF4AFF" w14:textId="02AA7A58" w:rsidR="00692EE6" w:rsidRDefault="00000000">
      <w:pPr>
        <w:pStyle w:val="CETTabletitle"/>
      </w:pPr>
      <w:r>
        <w:t>Table 2: Segregation index (SI) for DR= 3 and 2.16 and initial fine mass fraction of 10, 30, 50, 65 %</w:t>
      </w:r>
      <w:r w:rsidR="00737618">
        <w:t>.</w:t>
      </w:r>
    </w:p>
    <w:tbl>
      <w:tblPr>
        <w:tblW w:w="5670" w:type="dxa"/>
        <w:tblLayout w:type="fixed"/>
        <w:tblCellMar>
          <w:left w:w="0" w:type="dxa"/>
          <w:right w:w="0" w:type="dxa"/>
        </w:tblCellMar>
        <w:tblLook w:val="00A0" w:firstRow="1" w:lastRow="0" w:firstColumn="1" w:lastColumn="0" w:noHBand="0" w:noVBand="0"/>
      </w:tblPr>
      <w:tblGrid>
        <w:gridCol w:w="1134"/>
        <w:gridCol w:w="1134"/>
        <w:gridCol w:w="1134"/>
        <w:gridCol w:w="1134"/>
        <w:gridCol w:w="1134"/>
      </w:tblGrid>
      <w:tr w:rsidR="00692EE6" w14:paraId="670F2783" w14:textId="77777777">
        <w:tc>
          <w:tcPr>
            <w:tcW w:w="1134" w:type="dxa"/>
            <w:tcBorders>
              <w:top w:val="single" w:sz="12" w:space="0" w:color="008000"/>
              <w:bottom w:val="single" w:sz="6" w:space="0" w:color="008000"/>
            </w:tcBorders>
            <w:shd w:val="clear" w:color="auto" w:fill="FFFFFF"/>
          </w:tcPr>
          <w:p w14:paraId="621CFED6" w14:textId="77777777" w:rsidR="00692EE6" w:rsidRDefault="00000000">
            <w:pPr>
              <w:pStyle w:val="Contenutotabella"/>
              <w:jc w:val="center"/>
              <w:rPr>
                <w:szCs w:val="18"/>
              </w:rPr>
            </w:pPr>
            <w:r>
              <w:rPr>
                <w:szCs w:val="18"/>
              </w:rPr>
              <w:t>DR [-]</w:t>
            </w:r>
          </w:p>
        </w:tc>
        <w:tc>
          <w:tcPr>
            <w:tcW w:w="1134" w:type="dxa"/>
            <w:tcBorders>
              <w:top w:val="single" w:sz="12" w:space="0" w:color="008000"/>
              <w:bottom w:val="single" w:sz="6" w:space="0" w:color="008000"/>
            </w:tcBorders>
            <w:shd w:val="clear" w:color="auto" w:fill="FFFFFF"/>
          </w:tcPr>
          <w:p w14:paraId="0D694EA8" w14:textId="77777777" w:rsidR="00692EE6" w:rsidRDefault="00000000">
            <w:pPr>
              <w:pStyle w:val="Contenutotabella"/>
              <w:jc w:val="center"/>
              <w:rPr>
                <w:szCs w:val="18"/>
              </w:rPr>
            </w:pPr>
            <m:oMath>
              <m:sSub>
                <m:sSubPr>
                  <m:ctrlPr>
                    <w:rPr>
                      <w:rFonts w:ascii="Cambria Math" w:hAnsi="Cambria Math"/>
                    </w:rPr>
                  </m:ctrlPr>
                </m:sSubPr>
                <m:e>
                  <m:r>
                    <w:rPr>
                      <w:rFonts w:ascii="Cambria Math" w:hAnsi="Cambria Math"/>
                    </w:rPr>
                    <m:t>ϕ</m:t>
                  </m:r>
                </m:e>
                <m:sub>
                  <m:r>
                    <w:rPr>
                      <w:rFonts w:ascii="Cambria Math" w:hAnsi="Cambria Math"/>
                    </w:rPr>
                    <m:t>F,0</m:t>
                  </m:r>
                </m:sub>
              </m:sSub>
            </m:oMath>
            <w:r>
              <w:rPr>
                <w:szCs w:val="18"/>
              </w:rPr>
              <w:t>=10 %</w:t>
            </w:r>
          </w:p>
        </w:tc>
        <w:tc>
          <w:tcPr>
            <w:tcW w:w="1134" w:type="dxa"/>
            <w:tcBorders>
              <w:top w:val="single" w:sz="12" w:space="0" w:color="008000"/>
              <w:bottom w:val="single" w:sz="6" w:space="0" w:color="008000"/>
            </w:tcBorders>
            <w:shd w:val="clear" w:color="auto" w:fill="FFFFFF"/>
          </w:tcPr>
          <w:p w14:paraId="1BFB40A0" w14:textId="77777777" w:rsidR="00692EE6" w:rsidRDefault="00000000">
            <w:pPr>
              <w:pStyle w:val="Contenutotabella"/>
              <w:jc w:val="center"/>
              <w:rPr>
                <w:szCs w:val="18"/>
              </w:rPr>
            </w:pPr>
            <m:oMath>
              <m:sSub>
                <m:sSubPr>
                  <m:ctrlPr>
                    <w:rPr>
                      <w:rFonts w:ascii="Cambria Math" w:hAnsi="Cambria Math"/>
                    </w:rPr>
                  </m:ctrlPr>
                </m:sSubPr>
                <m:e>
                  <m:r>
                    <w:rPr>
                      <w:rFonts w:ascii="Cambria Math" w:hAnsi="Cambria Math"/>
                    </w:rPr>
                    <m:t>ϕ</m:t>
                  </m:r>
                </m:e>
                <m:sub>
                  <m:r>
                    <w:rPr>
                      <w:rFonts w:ascii="Cambria Math" w:hAnsi="Cambria Math"/>
                    </w:rPr>
                    <m:t>F,0</m:t>
                  </m:r>
                </m:sub>
              </m:sSub>
            </m:oMath>
            <w:r>
              <w:rPr>
                <w:szCs w:val="18"/>
              </w:rPr>
              <w:t>=30 %</w:t>
            </w:r>
          </w:p>
        </w:tc>
        <w:tc>
          <w:tcPr>
            <w:tcW w:w="1134" w:type="dxa"/>
            <w:tcBorders>
              <w:top w:val="single" w:sz="12" w:space="0" w:color="008000"/>
              <w:bottom w:val="single" w:sz="6" w:space="0" w:color="008000"/>
            </w:tcBorders>
            <w:shd w:val="clear" w:color="auto" w:fill="FFFFFF"/>
          </w:tcPr>
          <w:p w14:paraId="10EAF971" w14:textId="77777777" w:rsidR="00692EE6" w:rsidRDefault="00000000">
            <w:pPr>
              <w:pStyle w:val="Contenutotabella"/>
              <w:jc w:val="center"/>
              <w:rPr>
                <w:szCs w:val="18"/>
              </w:rPr>
            </w:pPr>
            <m:oMath>
              <m:sSub>
                <m:sSubPr>
                  <m:ctrlPr>
                    <w:rPr>
                      <w:rFonts w:ascii="Cambria Math" w:hAnsi="Cambria Math"/>
                    </w:rPr>
                  </m:ctrlPr>
                </m:sSubPr>
                <m:e>
                  <m:r>
                    <w:rPr>
                      <w:rFonts w:ascii="Cambria Math" w:hAnsi="Cambria Math"/>
                    </w:rPr>
                    <m:t>ϕ</m:t>
                  </m:r>
                </m:e>
                <m:sub>
                  <m:r>
                    <w:rPr>
                      <w:rFonts w:ascii="Cambria Math" w:hAnsi="Cambria Math"/>
                    </w:rPr>
                    <m:t>F,0</m:t>
                  </m:r>
                </m:sub>
              </m:sSub>
            </m:oMath>
            <w:r>
              <w:rPr>
                <w:szCs w:val="18"/>
              </w:rPr>
              <w:t>=50 %</w:t>
            </w:r>
          </w:p>
        </w:tc>
        <w:tc>
          <w:tcPr>
            <w:tcW w:w="1134" w:type="dxa"/>
            <w:tcBorders>
              <w:top w:val="single" w:sz="12" w:space="0" w:color="008000"/>
              <w:bottom w:val="single" w:sz="6" w:space="0" w:color="008000"/>
            </w:tcBorders>
            <w:shd w:val="clear" w:color="auto" w:fill="FFFFFF"/>
          </w:tcPr>
          <w:p w14:paraId="21702A30" w14:textId="77777777" w:rsidR="00692EE6" w:rsidRDefault="00000000">
            <w:pPr>
              <w:pStyle w:val="Contenutotabella"/>
              <w:jc w:val="center"/>
              <w:rPr>
                <w:szCs w:val="18"/>
              </w:rPr>
            </w:pPr>
            <m:oMath>
              <m:sSub>
                <m:sSubPr>
                  <m:ctrlPr>
                    <w:rPr>
                      <w:rFonts w:ascii="Cambria Math" w:hAnsi="Cambria Math"/>
                    </w:rPr>
                  </m:ctrlPr>
                </m:sSubPr>
                <m:e>
                  <m:r>
                    <w:rPr>
                      <w:rFonts w:ascii="Cambria Math" w:hAnsi="Cambria Math"/>
                    </w:rPr>
                    <m:t>ϕ</m:t>
                  </m:r>
                </m:e>
                <m:sub>
                  <m:r>
                    <w:rPr>
                      <w:rFonts w:ascii="Cambria Math" w:hAnsi="Cambria Math"/>
                    </w:rPr>
                    <m:t>F,0</m:t>
                  </m:r>
                </m:sub>
              </m:sSub>
            </m:oMath>
            <w:r>
              <w:rPr>
                <w:szCs w:val="18"/>
              </w:rPr>
              <w:t>=65 %</w:t>
            </w:r>
          </w:p>
        </w:tc>
      </w:tr>
      <w:tr w:rsidR="00692EE6" w14:paraId="1423F656" w14:textId="77777777">
        <w:tc>
          <w:tcPr>
            <w:tcW w:w="1134" w:type="dxa"/>
            <w:shd w:val="clear" w:color="auto" w:fill="FFFFFF"/>
          </w:tcPr>
          <w:p w14:paraId="4B6BAFA5" w14:textId="77777777" w:rsidR="00692EE6" w:rsidRDefault="00000000">
            <w:pPr>
              <w:pStyle w:val="Contenutotabella"/>
              <w:jc w:val="center"/>
            </w:pPr>
            <w:r>
              <w:t>3</w:t>
            </w:r>
          </w:p>
        </w:tc>
        <w:tc>
          <w:tcPr>
            <w:tcW w:w="1134" w:type="dxa"/>
            <w:shd w:val="clear" w:color="auto" w:fill="FFFFFF"/>
          </w:tcPr>
          <w:p w14:paraId="7D3E2BB9" w14:textId="77777777" w:rsidR="00692EE6" w:rsidRDefault="00000000">
            <w:pPr>
              <w:pStyle w:val="Contenutotabella"/>
              <w:jc w:val="center"/>
            </w:pPr>
            <w:r>
              <w:t>0.78</w:t>
            </w:r>
          </w:p>
        </w:tc>
        <w:tc>
          <w:tcPr>
            <w:tcW w:w="1134" w:type="dxa"/>
            <w:shd w:val="clear" w:color="auto" w:fill="FFFFFF"/>
          </w:tcPr>
          <w:p w14:paraId="55204FCB" w14:textId="77777777" w:rsidR="00692EE6" w:rsidRDefault="00000000">
            <w:pPr>
              <w:pStyle w:val="Contenutotabella"/>
              <w:jc w:val="center"/>
            </w:pPr>
            <w:r>
              <w:t>0.37</w:t>
            </w:r>
          </w:p>
        </w:tc>
        <w:tc>
          <w:tcPr>
            <w:tcW w:w="1134" w:type="dxa"/>
            <w:shd w:val="clear" w:color="auto" w:fill="FFFFFF"/>
          </w:tcPr>
          <w:p w14:paraId="53A1F4B0" w14:textId="77777777" w:rsidR="00692EE6" w:rsidRDefault="00000000">
            <w:pPr>
              <w:pStyle w:val="Contenutotabella"/>
              <w:jc w:val="center"/>
            </w:pPr>
            <w:r>
              <w:t>0.33</w:t>
            </w:r>
          </w:p>
        </w:tc>
        <w:tc>
          <w:tcPr>
            <w:tcW w:w="1134" w:type="dxa"/>
            <w:shd w:val="clear" w:color="auto" w:fill="FFFFFF"/>
          </w:tcPr>
          <w:p w14:paraId="0734EAE5" w14:textId="77777777" w:rsidR="00692EE6" w:rsidRDefault="00000000">
            <w:pPr>
              <w:pStyle w:val="Contenutotabella"/>
              <w:jc w:val="center"/>
            </w:pPr>
            <w:r>
              <w:t>0.16</w:t>
            </w:r>
          </w:p>
        </w:tc>
      </w:tr>
      <w:tr w:rsidR="00692EE6" w14:paraId="53EDFD46" w14:textId="77777777">
        <w:tc>
          <w:tcPr>
            <w:tcW w:w="1134" w:type="dxa"/>
            <w:tcBorders>
              <w:bottom w:val="single" w:sz="12" w:space="0" w:color="008000"/>
            </w:tcBorders>
            <w:shd w:val="clear" w:color="auto" w:fill="FFFFFF"/>
          </w:tcPr>
          <w:p w14:paraId="42ADFBFC" w14:textId="77777777" w:rsidR="00692EE6" w:rsidRDefault="00000000">
            <w:pPr>
              <w:pStyle w:val="Contenutotabella"/>
              <w:jc w:val="center"/>
            </w:pPr>
            <w:r>
              <w:t>2.16</w:t>
            </w:r>
          </w:p>
        </w:tc>
        <w:tc>
          <w:tcPr>
            <w:tcW w:w="1134" w:type="dxa"/>
            <w:tcBorders>
              <w:bottom w:val="single" w:sz="12" w:space="0" w:color="008000"/>
            </w:tcBorders>
            <w:shd w:val="clear" w:color="auto" w:fill="FFFFFF"/>
          </w:tcPr>
          <w:p w14:paraId="27A8DBF9" w14:textId="77777777" w:rsidR="00692EE6" w:rsidRDefault="00000000">
            <w:pPr>
              <w:pStyle w:val="Contenutotabella"/>
              <w:jc w:val="center"/>
            </w:pPr>
            <w:r>
              <w:t>0.54</w:t>
            </w:r>
          </w:p>
        </w:tc>
        <w:tc>
          <w:tcPr>
            <w:tcW w:w="1134" w:type="dxa"/>
            <w:tcBorders>
              <w:bottom w:val="single" w:sz="12" w:space="0" w:color="008000"/>
            </w:tcBorders>
            <w:shd w:val="clear" w:color="auto" w:fill="FFFFFF"/>
          </w:tcPr>
          <w:p w14:paraId="140BA8BD" w14:textId="77777777" w:rsidR="00692EE6" w:rsidRDefault="00000000">
            <w:pPr>
              <w:pStyle w:val="Contenutotabella"/>
              <w:jc w:val="center"/>
            </w:pPr>
            <w:r>
              <w:t>0.39</w:t>
            </w:r>
          </w:p>
        </w:tc>
        <w:tc>
          <w:tcPr>
            <w:tcW w:w="1134" w:type="dxa"/>
            <w:tcBorders>
              <w:bottom w:val="single" w:sz="12" w:space="0" w:color="008000"/>
            </w:tcBorders>
            <w:shd w:val="clear" w:color="auto" w:fill="FFFFFF"/>
          </w:tcPr>
          <w:p w14:paraId="1E5526DD" w14:textId="77777777" w:rsidR="00692EE6" w:rsidRDefault="00000000">
            <w:pPr>
              <w:pStyle w:val="Contenutotabella"/>
              <w:jc w:val="center"/>
            </w:pPr>
            <w:r>
              <w:t>0.27</w:t>
            </w:r>
          </w:p>
        </w:tc>
        <w:tc>
          <w:tcPr>
            <w:tcW w:w="1134" w:type="dxa"/>
            <w:tcBorders>
              <w:bottom w:val="single" w:sz="12" w:space="0" w:color="008000"/>
            </w:tcBorders>
            <w:shd w:val="clear" w:color="auto" w:fill="FFFFFF"/>
          </w:tcPr>
          <w:p w14:paraId="43C0BBB6" w14:textId="77777777" w:rsidR="00692EE6" w:rsidRDefault="00000000">
            <w:pPr>
              <w:pStyle w:val="Contenutotabella"/>
              <w:jc w:val="center"/>
            </w:pPr>
            <w:r>
              <w:t>0.16</w:t>
            </w:r>
          </w:p>
        </w:tc>
      </w:tr>
    </w:tbl>
    <w:p w14:paraId="6C1A3D32" w14:textId="77777777" w:rsidR="00692EE6" w:rsidRDefault="00000000">
      <w:pPr>
        <w:pStyle w:val="CETHeading1"/>
        <w:tabs>
          <w:tab w:val="clear" w:pos="0"/>
        </w:tabs>
        <w:rPr>
          <w:lang w:val="en-GB"/>
        </w:rPr>
      </w:pPr>
      <w:r>
        <w:rPr>
          <w:lang w:val="en-GB"/>
        </w:rPr>
        <w:t>4. Conclusions</w:t>
      </w:r>
    </w:p>
    <w:p w14:paraId="45AA8E0A" w14:textId="23711261" w:rsidR="00692EE6" w:rsidRDefault="00000000">
      <w:pPr>
        <w:pStyle w:val="CETBodytext"/>
        <w:rPr>
          <w:lang w:val="en-GB"/>
        </w:rPr>
      </w:pPr>
      <w:r>
        <w:rPr>
          <w:lang w:val="en-GB"/>
        </w:rPr>
        <w:t xml:space="preserve">The </w:t>
      </w:r>
      <w:proofErr w:type="spellStart"/>
      <w:r>
        <w:rPr>
          <w:lang w:val="en-GB"/>
        </w:rPr>
        <w:t>voidage</w:t>
      </w:r>
      <w:proofErr w:type="spellEnd"/>
      <w:r>
        <w:rPr>
          <w:lang w:val="en-GB"/>
        </w:rPr>
        <w:t xml:space="preserve"> of a mixture is important to understand the mechanism of fine </w:t>
      </w:r>
      <w:r w:rsidR="00B16B24">
        <w:rPr>
          <w:lang w:val="en-GB"/>
        </w:rPr>
        <w:t>particle</w:t>
      </w:r>
      <w:r>
        <w:rPr>
          <w:lang w:val="en-GB"/>
        </w:rPr>
        <w:t xml:space="preserve"> segregation. How the fine particles fill the void and how this occupation modifies the flow of the binary mixture is of crucial importance to better understand the fines segregation mechanism.</w:t>
      </w:r>
    </w:p>
    <w:p w14:paraId="3B17FE9C" w14:textId="2EE1929C" w:rsidR="00692EE6" w:rsidRDefault="00000000">
      <w:pPr>
        <w:pStyle w:val="CETBodytext"/>
        <w:rPr>
          <w:lang w:val="en-GB"/>
        </w:rPr>
      </w:pPr>
      <w:r>
        <w:rPr>
          <w:lang w:val="en-GB"/>
        </w:rPr>
        <w:t xml:space="preserve">In this work, the maximum packed density achieved by the mixture at a certain value of fines content </w:t>
      </w:r>
      <w:proofErr w:type="gramStart"/>
      <w:r>
        <w:rPr>
          <w:lang w:val="en-GB"/>
        </w:rPr>
        <w:t>was connected with</w:t>
      </w:r>
      <w:proofErr w:type="gramEnd"/>
      <w:r>
        <w:rPr>
          <w:lang w:val="en-GB"/>
        </w:rPr>
        <w:t xml:space="preserve"> the state of saturation of the interparticle voids in a matrix composed only by coarse particles. Three states of saturation </w:t>
      </w:r>
      <w:r w:rsidR="00B16B24">
        <w:rPr>
          <w:lang w:val="en-GB"/>
        </w:rPr>
        <w:t>were identified</w:t>
      </w:r>
      <w:r>
        <w:rPr>
          <w:lang w:val="en-GB"/>
        </w:rPr>
        <w:t xml:space="preserve"> in the mixture: an initial state, before the maximum </w:t>
      </w:r>
      <w:r w:rsidR="00BF407C">
        <w:rPr>
          <w:lang w:val="en-GB"/>
        </w:rPr>
        <w:t>packing</w:t>
      </w:r>
      <w:r>
        <w:rPr>
          <w:lang w:val="en-GB"/>
        </w:rPr>
        <w:t xml:space="preserve"> density, in which the </w:t>
      </w:r>
      <w:proofErr w:type="spellStart"/>
      <w:r>
        <w:rPr>
          <w:lang w:val="en-GB"/>
        </w:rPr>
        <w:t>voidage</w:t>
      </w:r>
      <w:proofErr w:type="spellEnd"/>
      <w:r>
        <w:rPr>
          <w:lang w:val="en-GB"/>
        </w:rPr>
        <w:t xml:space="preserve"> of </w:t>
      </w:r>
      <w:r w:rsidR="00BF407C">
        <w:rPr>
          <w:lang w:val="en-GB"/>
        </w:rPr>
        <w:t xml:space="preserve">the </w:t>
      </w:r>
      <w:r>
        <w:rPr>
          <w:lang w:val="en-GB"/>
        </w:rPr>
        <w:t xml:space="preserve">coarse matrix </w:t>
      </w:r>
      <w:r w:rsidR="00BF407C">
        <w:rPr>
          <w:lang w:val="en-GB"/>
        </w:rPr>
        <w:t>is not completely filled</w:t>
      </w:r>
      <w:r>
        <w:rPr>
          <w:lang w:val="en-GB"/>
        </w:rPr>
        <w:t xml:space="preserve"> by the small particles; the coarse particles are in contact </w:t>
      </w:r>
      <w:r w:rsidR="00BF407C">
        <w:rPr>
          <w:lang w:val="en-GB"/>
        </w:rPr>
        <w:t xml:space="preserve">with </w:t>
      </w:r>
      <w:proofErr w:type="gramStart"/>
      <w:r>
        <w:rPr>
          <w:lang w:val="en-GB"/>
        </w:rPr>
        <w:t>each other</w:t>
      </w:r>
      <w:proofErr w:type="gramEnd"/>
      <w:r>
        <w:rPr>
          <w:lang w:val="en-GB"/>
        </w:rPr>
        <w:t xml:space="preserve"> and the fine particles fill the voids. A consecutive state of complete saturation depends on the diameter ratio and the content of fine characterized by the maximum packed density of the mixture and a final state, </w:t>
      </w:r>
      <w:r w:rsidR="00737618">
        <w:rPr>
          <w:lang w:val="en-GB"/>
        </w:rPr>
        <w:t xml:space="preserve">is </w:t>
      </w:r>
      <w:r>
        <w:rPr>
          <w:lang w:val="en-GB"/>
        </w:rPr>
        <w:t>characterized by a decrease of the bulk density. In this state</w:t>
      </w:r>
      <w:r w:rsidR="00737618">
        <w:rPr>
          <w:lang w:val="en-GB"/>
        </w:rPr>
        <w:t>,</w:t>
      </w:r>
      <w:r>
        <w:rPr>
          <w:lang w:val="en-GB"/>
        </w:rPr>
        <w:t xml:space="preserve"> the coarse particles are </w:t>
      </w:r>
      <w:r w:rsidR="00737618">
        <w:rPr>
          <w:lang w:val="en-GB"/>
        </w:rPr>
        <w:t>no</w:t>
      </w:r>
      <w:r>
        <w:rPr>
          <w:lang w:val="en-GB"/>
        </w:rPr>
        <w:t xml:space="preserve"> longer in contact </w:t>
      </w:r>
      <w:r w:rsidR="00737618">
        <w:rPr>
          <w:lang w:val="en-GB"/>
        </w:rPr>
        <w:t xml:space="preserve">with </w:t>
      </w:r>
      <w:r>
        <w:rPr>
          <w:lang w:val="en-GB"/>
        </w:rPr>
        <w:t>each other, but they are spaced by different layers of fine particles.</w:t>
      </w:r>
    </w:p>
    <w:p w14:paraId="228F6C82" w14:textId="08A91BD1" w:rsidR="00692EE6" w:rsidRDefault="00000000">
      <w:pPr>
        <w:pStyle w:val="CETBodytext"/>
        <w:rPr>
          <w:lang w:val="en-GB"/>
        </w:rPr>
      </w:pPr>
      <w:r>
        <w:rPr>
          <w:lang w:val="en-GB"/>
        </w:rPr>
        <w:t>We verify, hence, that fines segregation, during funnel flow silo unloading, occurs with greater extent in the under saturated state and completely saturated states, and continues with less intensity also in the over-saturation state. Further investigations will be done to understand to what extent the fines segregation continues in the over-saturation state and what is mechanisms drive the fines segregation in this state.</w:t>
      </w:r>
    </w:p>
    <w:p w14:paraId="734275CA" w14:textId="77777777" w:rsidR="00692EE6" w:rsidRDefault="00692EE6">
      <w:pPr>
        <w:sectPr w:rsidR="00692EE6">
          <w:type w:val="continuous"/>
          <w:pgSz w:w="11906" w:h="16838"/>
          <w:pgMar w:top="1701" w:right="1418" w:bottom="1701" w:left="1701" w:header="0" w:footer="0" w:gutter="0"/>
          <w:cols w:space="720"/>
          <w:formProt w:val="0"/>
          <w:docGrid w:linePitch="600" w:charSpace="45056"/>
        </w:sectPr>
      </w:pPr>
    </w:p>
    <w:p w14:paraId="57ADB9EC" w14:textId="77777777" w:rsidR="00692EE6" w:rsidRDefault="00000000">
      <w:pPr>
        <w:pStyle w:val="CETReference"/>
        <w:rPr>
          <w:rFonts w:eastAsia="SimSun"/>
        </w:rPr>
      </w:pPr>
      <w:r>
        <w:t>References</w:t>
      </w:r>
    </w:p>
    <w:p w14:paraId="3EC2702C" w14:textId="395E8E5E" w:rsidR="00692EE6" w:rsidRDefault="00000000">
      <w:pPr>
        <w:pStyle w:val="CETReferencetext"/>
      </w:pPr>
      <w:proofErr w:type="spellStart"/>
      <w:r>
        <w:t>Artega</w:t>
      </w:r>
      <w:proofErr w:type="spellEnd"/>
      <w:r w:rsidR="00B16B24">
        <w:t xml:space="preserve"> </w:t>
      </w:r>
      <w:r>
        <w:t xml:space="preserve">P., </w:t>
      </w:r>
      <w:proofErr w:type="spellStart"/>
      <w:r>
        <w:t>Tüzün</w:t>
      </w:r>
      <w:proofErr w:type="spellEnd"/>
      <w:r>
        <w:t xml:space="preserve"> U., 1990, Flow of binary mixtures of equal-density granules in hoppers—size segregation, flowing density and discharge rates, Chemical engineering science, 45, 205-223. </w:t>
      </w:r>
    </w:p>
    <w:p w14:paraId="44560EDE" w14:textId="77777777" w:rsidR="00692EE6" w:rsidRDefault="00000000">
      <w:pPr>
        <w:pStyle w:val="CETReferencetext"/>
      </w:pPr>
      <w:r>
        <w:t>Duran J., 2012, Sands, powders, and grains: an introduction to the physics of granular materials, Springer Science &amp; Business Media.</w:t>
      </w:r>
    </w:p>
    <w:p w14:paraId="34852E0B" w14:textId="77777777" w:rsidR="00692EE6" w:rsidRDefault="00000000">
      <w:pPr>
        <w:pStyle w:val="CETReferencetext"/>
      </w:pPr>
      <w:proofErr w:type="spellStart"/>
      <w:r>
        <w:t>Finkers</w:t>
      </w:r>
      <w:proofErr w:type="spellEnd"/>
      <w:r>
        <w:t xml:space="preserve"> H. J., Hoffmann A. C., 1998, Structural ratio for predicting the </w:t>
      </w:r>
      <w:proofErr w:type="spellStart"/>
      <w:r>
        <w:t>voidage</w:t>
      </w:r>
      <w:proofErr w:type="spellEnd"/>
      <w:r>
        <w:t xml:space="preserve"> of binary particle mixtures, </w:t>
      </w:r>
      <w:r>
        <w:rPr>
          <w:i/>
        </w:rPr>
        <w:t xml:space="preserve">AIChE journal, </w:t>
      </w:r>
      <w:r>
        <w:t xml:space="preserve">44.2, 495-498. </w:t>
      </w:r>
    </w:p>
    <w:p w14:paraId="74443C33" w14:textId="0E97C0A3" w:rsidR="00692EE6" w:rsidRDefault="00000000">
      <w:pPr>
        <w:pStyle w:val="CETReferencetext"/>
      </w:pPr>
      <w:r>
        <w:t>Fung</w:t>
      </w:r>
      <w:r w:rsidR="00B16B24">
        <w:t xml:space="preserve"> </w:t>
      </w:r>
      <w:r>
        <w:t>W. W. S., Kwan</w:t>
      </w:r>
      <w:r w:rsidR="00B16B24">
        <w:t xml:space="preserve"> </w:t>
      </w:r>
      <w:r>
        <w:t xml:space="preserve">A. K. H, 2014, Effect of particle interlock on flow of aggregate through opening, Powder technology,253, 198-206. </w:t>
      </w:r>
    </w:p>
    <w:p w14:paraId="78C6796B" w14:textId="77777777" w:rsidR="00692EE6" w:rsidRDefault="00000000">
      <w:pPr>
        <w:pStyle w:val="CETReferencetext"/>
      </w:pPr>
      <w:r>
        <w:t xml:space="preserve">Gray J. M. N. T., </w:t>
      </w:r>
      <w:proofErr w:type="spellStart"/>
      <w:r>
        <w:t>Ancey</w:t>
      </w:r>
      <w:proofErr w:type="spellEnd"/>
      <w:r>
        <w:t xml:space="preserve"> C., 2015, Particle-size and -density segregation in granular free-surface flows, Journal of Fluid Mechanics, 779, 622–668.</w:t>
      </w:r>
    </w:p>
    <w:p w14:paraId="712CF8AD" w14:textId="77777777" w:rsidR="00692EE6" w:rsidRDefault="00000000">
      <w:pPr>
        <w:pStyle w:val="CETReferencetext"/>
      </w:pPr>
      <w:r>
        <w:t xml:space="preserve">Savage, S. B., </w:t>
      </w:r>
      <w:proofErr w:type="spellStart"/>
      <w:r>
        <w:t>Lun</w:t>
      </w:r>
      <w:proofErr w:type="spellEnd"/>
      <w:r>
        <w:t xml:space="preserve">, C. K. K.,1988, Particle size segregation in inclined chute flow of dry cohesionless granular solids, Journal of fluid mechanics, 189, 311-335. </w:t>
      </w:r>
    </w:p>
    <w:p w14:paraId="654CF9F5" w14:textId="6D0086DE" w:rsidR="00692EE6" w:rsidRDefault="00000000">
      <w:pPr>
        <w:pStyle w:val="CETReferencetext"/>
      </w:pPr>
      <w:r>
        <w:t>Schulze D.,</w:t>
      </w:r>
      <w:r w:rsidR="00B16B24">
        <w:t xml:space="preserve"> </w:t>
      </w:r>
      <w:r>
        <w:t xml:space="preserve">2021, </w:t>
      </w:r>
      <w:r>
        <w:rPr>
          <w:i/>
        </w:rPr>
        <w:t xml:space="preserve">Powders and bulk solids, </w:t>
      </w:r>
      <w:r>
        <w:t>Springer International Publishing.</w:t>
      </w:r>
    </w:p>
    <w:p w14:paraId="73DF7B2D" w14:textId="33E6A218" w:rsidR="00737618" w:rsidRPr="00737618" w:rsidRDefault="00737618" w:rsidP="00737618">
      <w:pPr>
        <w:pStyle w:val="CETReferencetext"/>
      </w:pPr>
      <w:proofErr w:type="spellStart"/>
      <w:r w:rsidRPr="00737618">
        <w:t>Tirapelle</w:t>
      </w:r>
      <w:proofErr w:type="spellEnd"/>
      <w:r w:rsidRPr="00737618">
        <w:t xml:space="preserve"> </w:t>
      </w:r>
      <w:r w:rsidRPr="00737618">
        <w:t xml:space="preserve">M., </w:t>
      </w:r>
      <w:proofErr w:type="spellStart"/>
      <w:r w:rsidRPr="00737618">
        <w:t>Troncon</w:t>
      </w:r>
      <w:proofErr w:type="spellEnd"/>
      <w:r w:rsidRPr="00737618">
        <w:t xml:space="preserve"> L., Volpato</w:t>
      </w:r>
      <w:r w:rsidRPr="00737618">
        <w:t xml:space="preserve"> </w:t>
      </w:r>
      <w:r w:rsidRPr="00737618">
        <w:t>S.,</w:t>
      </w:r>
      <w:r w:rsidRPr="00737618">
        <w:t xml:space="preserve"> </w:t>
      </w:r>
      <w:proofErr w:type="spellStart"/>
      <w:r w:rsidRPr="00737618">
        <w:t>Santomaso</w:t>
      </w:r>
      <w:proofErr w:type="spellEnd"/>
      <w:r w:rsidRPr="00737618">
        <w:t xml:space="preserve"> </w:t>
      </w:r>
      <w:r w:rsidRPr="00737618">
        <w:t>A. C. 2021</w:t>
      </w:r>
      <w:r w:rsidRPr="00737618">
        <w:t>,</w:t>
      </w:r>
      <w:r w:rsidRPr="00737618">
        <w:t xml:space="preserve"> Size Segregation of Ternary Mixtures in Inclined Chute Flows: </w:t>
      </w:r>
      <w:proofErr w:type="gramStart"/>
      <w:r w:rsidRPr="00737618">
        <w:t>an</w:t>
      </w:r>
      <w:proofErr w:type="gramEnd"/>
      <w:r w:rsidRPr="00737618">
        <w:t xml:space="preserve"> Experimental Study. Chemical Engineering Transactions, 86, 823-828.</w:t>
      </w:r>
    </w:p>
    <w:p w14:paraId="551E289C" w14:textId="7A354FFF" w:rsidR="00692EE6" w:rsidRDefault="00000000">
      <w:pPr>
        <w:pStyle w:val="CETReferencetext"/>
      </w:pPr>
      <w:r w:rsidRPr="00017111">
        <w:rPr>
          <w:lang w:val="it-IT"/>
        </w:rPr>
        <w:t>Volpato</w:t>
      </w:r>
      <w:r w:rsidR="00B16B24">
        <w:rPr>
          <w:lang w:val="it-IT"/>
        </w:rPr>
        <w:t xml:space="preserve"> </w:t>
      </w:r>
      <w:r w:rsidRPr="00017111">
        <w:rPr>
          <w:lang w:val="it-IT"/>
        </w:rPr>
        <w:t>S., Tirapelle</w:t>
      </w:r>
      <w:r w:rsidR="00B16B24">
        <w:rPr>
          <w:lang w:val="it-IT"/>
        </w:rPr>
        <w:t xml:space="preserve"> </w:t>
      </w:r>
      <w:r w:rsidRPr="00017111">
        <w:rPr>
          <w:lang w:val="it-IT"/>
        </w:rPr>
        <w:t>M.,</w:t>
      </w:r>
      <w:r w:rsidR="00B16B24">
        <w:rPr>
          <w:lang w:val="it-IT"/>
        </w:rPr>
        <w:t xml:space="preserve"> </w:t>
      </w:r>
      <w:r w:rsidRPr="00017111">
        <w:rPr>
          <w:lang w:val="it-IT"/>
        </w:rPr>
        <w:t>Santomaso</w:t>
      </w:r>
      <w:r w:rsidR="00B16B24">
        <w:rPr>
          <w:lang w:val="it-IT"/>
        </w:rPr>
        <w:t xml:space="preserve"> </w:t>
      </w:r>
      <w:r w:rsidRPr="00017111">
        <w:rPr>
          <w:lang w:val="it-IT"/>
        </w:rPr>
        <w:t xml:space="preserve">A. C. 2020. </w:t>
      </w:r>
      <w:proofErr w:type="spellStart"/>
      <w:r>
        <w:t>Modeling</w:t>
      </w:r>
      <w:proofErr w:type="spellEnd"/>
      <w:r>
        <w:t xml:space="preserve"> and experimental investigation of shear-induced particle percolation in diluted binary mixtures, Physical Review E,102(1), 012902. </w:t>
      </w:r>
    </w:p>
    <w:p w14:paraId="0108C523" w14:textId="301DA806" w:rsidR="00692EE6" w:rsidRDefault="00000000">
      <w:pPr>
        <w:pStyle w:val="CETReferencetext"/>
      </w:pPr>
      <w:r>
        <w:t>Williams</w:t>
      </w:r>
      <w:r w:rsidR="00B16B24">
        <w:t xml:space="preserve"> </w:t>
      </w:r>
      <w:r>
        <w:t xml:space="preserve">J. C., 1976, The segregation of particulate materials. A review, Powder technology, 15(2), 245-251. </w:t>
      </w:r>
    </w:p>
    <w:p w14:paraId="487F88BC" w14:textId="0C76D866" w:rsidR="00692EE6" w:rsidRDefault="00000000" w:rsidP="00B16B24">
      <w:pPr>
        <w:pStyle w:val="CETReferencetext"/>
      </w:pPr>
      <w:r>
        <w:t>Yu</w:t>
      </w:r>
      <w:r w:rsidR="00B16B24">
        <w:t xml:space="preserve"> </w:t>
      </w:r>
      <w:r>
        <w:t>A. B., Standish</w:t>
      </w:r>
      <w:r w:rsidR="00B16B24">
        <w:t xml:space="preserve"> </w:t>
      </w:r>
      <w:r>
        <w:t xml:space="preserve">N., 1998, An analytical—parametric theory of the random packing of particles, Powder technology, 55(3), 171-186. </w:t>
      </w:r>
    </w:p>
    <w:p w14:paraId="5FAD76E7" w14:textId="77777777" w:rsidR="00692EE6" w:rsidRDefault="00692EE6">
      <w:pPr>
        <w:jc w:val="left"/>
      </w:pPr>
    </w:p>
    <w:sectPr w:rsidR="00692EE6">
      <w:type w:val="continuous"/>
      <w:pgSz w:w="11906" w:h="16838"/>
      <w:pgMar w:top="1701" w:right="1418" w:bottom="1701" w:left="1701" w:header="0" w:footer="0" w:gutter="0"/>
      <w:cols w:space="720"/>
      <w:formProt w:val="0"/>
      <w:docGrid w:linePitch="600" w:charSpace="4505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MR10">
    <w:altName w:val="Cambria"/>
    <w:charset w:val="00"/>
    <w:family w:val="roman"/>
    <w:pitch w:val="variable"/>
  </w:font>
  <w:font w:name="OpenSymbol">
    <w:altName w:val="Arial Unicode MS"/>
    <w:panose1 w:val="05010000000000000000"/>
    <w:charset w:val="00"/>
    <w:family w:val="auto"/>
    <w:pitch w:val="variable"/>
    <w:sig w:usb0="800000AF" w:usb1="1001ECEA" w:usb2="00000000" w:usb3="00000000" w:csb0="80000001"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F7F08"/>
    <w:multiLevelType w:val="multilevel"/>
    <w:tmpl w:val="3BD6076E"/>
    <w:lvl w:ilvl="0">
      <w:start w:val="1"/>
      <w:numFmt w:val="decimal"/>
      <w:pStyle w:val="Titolo1"/>
      <w:suff w:val="space"/>
      <w:lvlText w:val="Chapter %1"/>
      <w:lvlJc w:val="left"/>
      <w:pPr>
        <w:tabs>
          <w:tab w:val="num" w:pos="0"/>
        </w:tabs>
        <w:ind w:left="0" w:firstLine="0"/>
      </w:pPr>
    </w:lvl>
    <w:lvl w:ilvl="1">
      <w:start w:val="1"/>
      <w:numFmt w:val="decimal"/>
      <w:suff w:val="space"/>
      <w:lvlText w:val="%2."/>
      <w:lvlJc w:val="left"/>
      <w:pPr>
        <w:tabs>
          <w:tab w:val="num" w:pos="0"/>
        </w:tabs>
        <w:ind w:left="0" w:firstLine="0"/>
      </w:pPr>
    </w:lvl>
    <w:lvl w:ilvl="2">
      <w:start w:val="1"/>
      <w:numFmt w:val="decimal"/>
      <w:suff w:val="space"/>
      <w:lvlText w:val="%2.%3"/>
      <w:lvlJc w:val="left"/>
      <w:pPr>
        <w:tabs>
          <w:tab w:val="num" w:pos="0"/>
        </w:tabs>
        <w:ind w:left="0" w:firstLine="0"/>
      </w:pPr>
    </w:lvl>
    <w:lvl w:ilvl="3">
      <w:start w:val="1"/>
      <w:numFmt w:val="decimal"/>
      <w:suff w:val="space"/>
      <w:lvlText w:val="%2.%3.%4."/>
      <w:lvlJc w:val="left"/>
      <w:pPr>
        <w:tabs>
          <w:tab w:val="num" w:pos="0"/>
        </w:tabs>
        <w:ind w:left="0" w:firstLine="0"/>
      </w:pPr>
    </w:lvl>
    <w:lvl w:ilvl="4">
      <w:start w:val="1"/>
      <w:numFmt w:val="decimal"/>
      <w:suff w:val="space"/>
      <w:lvlText w:val="%1.%2.%3.%4.%5."/>
      <w:lvlJc w:val="left"/>
      <w:pPr>
        <w:tabs>
          <w:tab w:val="num" w:pos="0"/>
        </w:tabs>
        <w:ind w:left="0" w:firstLine="0"/>
      </w:pPr>
    </w:lvl>
    <w:lvl w:ilvl="5">
      <w:start w:val="1"/>
      <w:numFmt w:val="decimal"/>
      <w:suff w:val="space"/>
      <w:lvlText w:val="%1.%2.%3.%4.%5.%6."/>
      <w:lvlJc w:val="left"/>
      <w:pPr>
        <w:tabs>
          <w:tab w:val="num" w:pos="0"/>
        </w:tabs>
        <w:ind w:left="0" w:firstLine="0"/>
      </w:pPr>
    </w:lvl>
    <w:lvl w:ilvl="6">
      <w:start w:val="1"/>
      <w:numFmt w:val="decimal"/>
      <w:suff w:val="space"/>
      <w:lvlText w:val="%1.%2.%3.%4.%5.%6.%7."/>
      <w:lvlJc w:val="left"/>
      <w:pPr>
        <w:tabs>
          <w:tab w:val="num" w:pos="0"/>
        </w:tabs>
        <w:ind w:left="0" w:firstLine="0"/>
      </w:pPr>
    </w:lvl>
    <w:lvl w:ilvl="7">
      <w:start w:val="1"/>
      <w:numFmt w:val="decimal"/>
      <w:suff w:val="space"/>
      <w:lvlText w:val="%1.%2.%3.%4.%5.%6.%7.%8."/>
      <w:lvlJc w:val="left"/>
      <w:pPr>
        <w:tabs>
          <w:tab w:val="num" w:pos="0"/>
        </w:tabs>
        <w:ind w:left="0" w:firstLine="0"/>
      </w:pPr>
    </w:lvl>
    <w:lvl w:ilvl="8">
      <w:start w:val="1"/>
      <w:numFmt w:val="decimal"/>
      <w:suff w:val="space"/>
      <w:lvlText w:val="%1..%3.%4.%5.%6.%7.%8.%9."/>
      <w:lvlJc w:val="left"/>
      <w:pPr>
        <w:tabs>
          <w:tab w:val="num" w:pos="0"/>
        </w:tabs>
        <w:ind w:left="0" w:firstLine="0"/>
      </w:pPr>
    </w:lvl>
  </w:abstractNum>
  <w:abstractNum w:abstractNumId="1" w15:restartNumberingAfterBreak="0">
    <w:nsid w:val="06094032"/>
    <w:multiLevelType w:val="multilevel"/>
    <w:tmpl w:val="F76EFEB2"/>
    <w:lvl w:ilvl="0">
      <w:start w:val="1"/>
      <w:numFmt w:val="lowerLetter"/>
      <w:pStyle w:val="CETnumberinga"/>
      <w:lvlText w:val="%1."/>
      <w:lvlJc w:val="left"/>
      <w:pPr>
        <w:tabs>
          <w:tab w:val="num" w:pos="0"/>
        </w:tabs>
        <w:ind w:left="340" w:hanging="227"/>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2A510DAE"/>
    <w:multiLevelType w:val="multilevel"/>
    <w:tmpl w:val="FD425EEE"/>
    <w:lvl w:ilvl="0">
      <w:start w:val="1"/>
      <w:numFmt w:val="bullet"/>
      <w:pStyle w:val="Puntoelenco"/>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2A7C01F4"/>
    <w:multiLevelType w:val="multilevel"/>
    <w:tmpl w:val="5BAADBC4"/>
    <w:lvl w:ilvl="0">
      <w:start w:val="1"/>
      <w:numFmt w:val="decimal"/>
      <w:pStyle w:val="Numeroelenco5"/>
      <w:lvlText w:val="%1."/>
      <w:lvlJc w:val="left"/>
      <w:pPr>
        <w:tabs>
          <w:tab w:val="num" w:pos="1492"/>
        </w:tabs>
        <w:ind w:left="1492"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30491F69"/>
    <w:multiLevelType w:val="multilevel"/>
    <w:tmpl w:val="889C3556"/>
    <w:lvl w:ilvl="0">
      <w:start w:val="1"/>
      <w:numFmt w:val="decimal"/>
      <w:pStyle w:val="CETnumbering1"/>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31A36DB7"/>
    <w:multiLevelType w:val="multilevel"/>
    <w:tmpl w:val="AD588F68"/>
    <w:lvl w:ilvl="0">
      <w:start w:val="1"/>
      <w:numFmt w:val="bullet"/>
      <w:pStyle w:val="CETnumberingbullets"/>
      <w:lvlText w:val=""/>
      <w:lvlJc w:val="left"/>
      <w:pPr>
        <w:tabs>
          <w:tab w:val="num" w:pos="0"/>
        </w:tabs>
        <w:ind w:left="340" w:hanging="227"/>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42016693"/>
    <w:multiLevelType w:val="multilevel"/>
    <w:tmpl w:val="CD828BF2"/>
    <w:lvl w:ilvl="0">
      <w:start w:val="1"/>
      <w:numFmt w:val="decimal"/>
      <w:pStyle w:val="Numeroelenco2"/>
      <w:lvlText w:val="%1."/>
      <w:lvlJc w:val="left"/>
      <w:pPr>
        <w:tabs>
          <w:tab w:val="num" w:pos="643"/>
        </w:tabs>
        <w:ind w:left="643"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435A2930"/>
    <w:multiLevelType w:val="multilevel"/>
    <w:tmpl w:val="929E513E"/>
    <w:lvl w:ilvl="0">
      <w:start w:val="1"/>
      <w:numFmt w:val="bullet"/>
      <w:pStyle w:val="Puntoelenco3"/>
      <w:lvlText w:val=""/>
      <w:lvlJc w:val="left"/>
      <w:pPr>
        <w:tabs>
          <w:tab w:val="num" w:pos="926"/>
        </w:tabs>
        <w:ind w:left="926"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4748542E"/>
    <w:multiLevelType w:val="multilevel"/>
    <w:tmpl w:val="3D8EBD6C"/>
    <w:lvl w:ilvl="0">
      <w:start w:val="1"/>
      <w:numFmt w:val="bullet"/>
      <w:pStyle w:val="Puntoelenco5"/>
      <w:lvlText w:val=""/>
      <w:lvlJc w:val="left"/>
      <w:pPr>
        <w:tabs>
          <w:tab w:val="num" w:pos="1492"/>
        </w:tabs>
        <w:ind w:left="1492"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47D16A50"/>
    <w:multiLevelType w:val="multilevel"/>
    <w:tmpl w:val="9F82CC74"/>
    <w:lvl w:ilvl="0">
      <w:start w:val="1"/>
      <w:numFmt w:val="bullet"/>
      <w:pStyle w:val="Puntoelenco2"/>
      <w:lvlText w:val=""/>
      <w:lvlJc w:val="left"/>
      <w:pPr>
        <w:tabs>
          <w:tab w:val="num" w:pos="643"/>
        </w:tabs>
        <w:ind w:left="643"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65CF0CBD"/>
    <w:multiLevelType w:val="multilevel"/>
    <w:tmpl w:val="BFE09830"/>
    <w:lvl w:ilvl="0">
      <w:start w:val="1"/>
      <w:numFmt w:val="decimal"/>
      <w:pStyle w:val="Numeroelenco"/>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6A865A39"/>
    <w:multiLevelType w:val="multilevel"/>
    <w:tmpl w:val="078E22C4"/>
    <w:lvl w:ilvl="0">
      <w:start w:val="1"/>
      <w:numFmt w:val="decimal"/>
      <w:pStyle w:val="Numeroelenco4"/>
      <w:lvlText w:val="%1."/>
      <w:lvlJc w:val="left"/>
      <w:pPr>
        <w:tabs>
          <w:tab w:val="num" w:pos="1209"/>
        </w:tabs>
        <w:ind w:left="1209"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719B16AD"/>
    <w:multiLevelType w:val="multilevel"/>
    <w:tmpl w:val="5284E624"/>
    <w:lvl w:ilvl="0">
      <w:start w:val="1"/>
      <w:numFmt w:val="bullet"/>
      <w:pStyle w:val="Puntoelenco4"/>
      <w:lvlText w:val=""/>
      <w:lvlJc w:val="left"/>
      <w:pPr>
        <w:tabs>
          <w:tab w:val="num" w:pos="1209"/>
        </w:tabs>
        <w:ind w:left="120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739606F7"/>
    <w:multiLevelType w:val="multilevel"/>
    <w:tmpl w:val="E35261E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7AC77DFB"/>
    <w:multiLevelType w:val="multilevel"/>
    <w:tmpl w:val="D1AC310C"/>
    <w:lvl w:ilvl="0">
      <w:start w:val="1"/>
      <w:numFmt w:val="decimal"/>
      <w:pStyle w:val="Numeroelenco3"/>
      <w:lvlText w:val="%1."/>
      <w:lvlJc w:val="left"/>
      <w:pPr>
        <w:tabs>
          <w:tab w:val="num" w:pos="926"/>
        </w:tabs>
        <w:ind w:left="926"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16cid:durableId="1542208582">
    <w:abstractNumId w:val="0"/>
  </w:num>
  <w:num w:numId="2" w16cid:durableId="1656372847">
    <w:abstractNumId w:val="10"/>
  </w:num>
  <w:num w:numId="3" w16cid:durableId="1538154373">
    <w:abstractNumId w:val="6"/>
  </w:num>
  <w:num w:numId="4" w16cid:durableId="1915703345">
    <w:abstractNumId w:val="14"/>
  </w:num>
  <w:num w:numId="5" w16cid:durableId="524177495">
    <w:abstractNumId w:val="11"/>
  </w:num>
  <w:num w:numId="6" w16cid:durableId="207689753">
    <w:abstractNumId w:val="3"/>
  </w:num>
  <w:num w:numId="7" w16cid:durableId="389885049">
    <w:abstractNumId w:val="2"/>
  </w:num>
  <w:num w:numId="8" w16cid:durableId="934363199">
    <w:abstractNumId w:val="9"/>
  </w:num>
  <w:num w:numId="9" w16cid:durableId="238098328">
    <w:abstractNumId w:val="7"/>
  </w:num>
  <w:num w:numId="10" w16cid:durableId="75708600">
    <w:abstractNumId w:val="12"/>
  </w:num>
  <w:num w:numId="11" w16cid:durableId="22369461">
    <w:abstractNumId w:val="8"/>
  </w:num>
  <w:num w:numId="12" w16cid:durableId="2130588188">
    <w:abstractNumId w:val="5"/>
  </w:num>
  <w:num w:numId="13" w16cid:durableId="2099209886">
    <w:abstractNumId w:val="4"/>
  </w:num>
  <w:num w:numId="14" w16cid:durableId="281687479">
    <w:abstractNumId w:val="1"/>
  </w:num>
  <w:num w:numId="15" w16cid:durableId="8504138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283"/>
  <w:characterSpacingControl w:val="doNotCompress"/>
  <w:compat>
    <w:compatSetting w:name="compatibilityMode" w:uri="http://schemas.microsoft.com/office/word" w:val="12"/>
    <w:compatSetting w:name="useWord2013TrackBottomHyphenation" w:uri="http://schemas.microsoft.com/office/word" w:val="1"/>
  </w:compat>
  <w:rsids>
    <w:rsidRoot w:val="00692EE6"/>
    <w:rsid w:val="00017111"/>
    <w:rsid w:val="00220E39"/>
    <w:rsid w:val="003056E3"/>
    <w:rsid w:val="004A0CAC"/>
    <w:rsid w:val="00692EE6"/>
    <w:rsid w:val="00737618"/>
    <w:rsid w:val="00B16B24"/>
    <w:rsid w:val="00BF407C"/>
    <w:rsid w:val="00C3371F"/>
    <w:rsid w:val="00C64E8A"/>
    <w:rsid w:val="00DF3B76"/>
    <w:rsid w:val="00E9210C"/>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F14B28"/>
  <w15:docId w15:val="{B0BFE8E0-2673-40F8-B3E3-A8BBE92FF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uppressAutoHyphens/>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20DEE"/>
    <w:pPr>
      <w:tabs>
        <w:tab w:val="right" w:pos="7100"/>
      </w:tabs>
      <w:spacing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qFormat/>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ETAuthorsCarattere">
    <w:name w:val="CET Authors Carattere"/>
    <w:link w:val="CETAuthors"/>
    <w:qFormat/>
    <w:rsid w:val="009E788A"/>
    <w:rPr>
      <w:rFonts w:ascii="Arial" w:eastAsia="Times New Roman" w:hAnsi="Arial" w:cs="Times New Roman"/>
      <w:sz w:val="24"/>
      <w:szCs w:val="20"/>
      <w:lang w:val="en-GB"/>
    </w:rPr>
  </w:style>
  <w:style w:type="character" w:customStyle="1" w:styleId="CETTitleCarattere">
    <w:name w:val="CET Title Carattere"/>
    <w:link w:val="CETTitle"/>
    <w:qFormat/>
    <w:rsid w:val="00FB730C"/>
    <w:rPr>
      <w:rFonts w:ascii="Arial" w:eastAsia="Times New Roman" w:hAnsi="Arial" w:cs="Times New Roman"/>
      <w:sz w:val="32"/>
      <w:szCs w:val="20"/>
      <w:lang w:val="en-GB"/>
    </w:rPr>
  </w:style>
  <w:style w:type="character" w:customStyle="1" w:styleId="CETBodytextCarattere">
    <w:name w:val="CET Body text Carattere"/>
    <w:link w:val="CETBodytext"/>
    <w:qFormat/>
    <w:rsid w:val="000E414A"/>
    <w:rPr>
      <w:rFonts w:ascii="Arial" w:eastAsia="Times New Roman" w:hAnsi="Arial" w:cs="Times New Roman"/>
      <w:sz w:val="18"/>
      <w:szCs w:val="20"/>
      <w:lang w:val="en-US"/>
    </w:rPr>
  </w:style>
  <w:style w:type="character" w:customStyle="1" w:styleId="CETheadingxCarattere">
    <w:name w:val="CET headingx Carattere"/>
    <w:link w:val="CETheadingx"/>
    <w:qFormat/>
    <w:rsid w:val="00FA5F5F"/>
    <w:rPr>
      <w:rFonts w:ascii="Arial" w:eastAsia="Times New Roman" w:hAnsi="Arial" w:cs="Times New Roman"/>
      <w:b/>
      <w:sz w:val="18"/>
      <w:szCs w:val="20"/>
      <w:lang w:val="en-US"/>
    </w:rPr>
  </w:style>
  <w:style w:type="character" w:customStyle="1" w:styleId="CETCaptionCarattere">
    <w:name w:val="CET Caption Carattere"/>
    <w:link w:val="CETCaption"/>
    <w:qFormat/>
    <w:rsid w:val="00F7534E"/>
    <w:rPr>
      <w:rFonts w:ascii="Arial" w:eastAsia="Times New Roman" w:hAnsi="Arial" w:cs="Times New Roman"/>
      <w:i/>
      <w:sz w:val="18"/>
      <w:szCs w:val="20"/>
      <w:lang w:val="en-GB"/>
    </w:rPr>
  </w:style>
  <w:style w:type="character" w:styleId="Rimandocommento">
    <w:name w:val="annotation reference"/>
    <w:basedOn w:val="Carpredefinitoparagrafo"/>
    <w:uiPriority w:val="99"/>
    <w:semiHidden/>
    <w:unhideWhenUsed/>
    <w:qFormat/>
    <w:rsid w:val="004577FE"/>
    <w:rPr>
      <w:sz w:val="16"/>
      <w:szCs w:val="16"/>
    </w:rPr>
  </w:style>
  <w:style w:type="character" w:customStyle="1" w:styleId="TestofumettoCarattere">
    <w:name w:val="Testo fumetto Carattere"/>
    <w:basedOn w:val="Carpredefinitoparagrafo"/>
    <w:link w:val="Testofumetto"/>
    <w:uiPriority w:val="99"/>
    <w:semiHidden/>
    <w:qFormat/>
    <w:rsid w:val="000D34BE"/>
    <w:rPr>
      <w:rFonts w:ascii="Tahoma" w:hAnsi="Tahoma" w:cs="Tahoma"/>
      <w:sz w:val="16"/>
      <w:szCs w:val="16"/>
    </w:rPr>
  </w:style>
  <w:style w:type="character" w:customStyle="1" w:styleId="Corpodeltesto2Carattere">
    <w:name w:val="Corpo del testo 2 Carattere"/>
    <w:basedOn w:val="Carpredefinitoparagrafo"/>
    <w:link w:val="Corpodeltesto2"/>
    <w:uiPriority w:val="99"/>
    <w:semiHidden/>
    <w:qFormat/>
    <w:rsid w:val="0003148D"/>
  </w:style>
  <w:style w:type="character" w:customStyle="1" w:styleId="Corpodeltesto3Carattere">
    <w:name w:val="Corpo del testo 3 Carattere"/>
    <w:basedOn w:val="Carpredefinitoparagrafo"/>
    <w:link w:val="Corpodeltesto3"/>
    <w:uiPriority w:val="99"/>
    <w:semiHidden/>
    <w:qFormat/>
    <w:rsid w:val="0003148D"/>
    <w:rPr>
      <w:sz w:val="16"/>
      <w:szCs w:val="16"/>
    </w:rPr>
  </w:style>
  <w:style w:type="character" w:customStyle="1" w:styleId="CorpotestoCarattere">
    <w:name w:val="Corpo testo Carattere"/>
    <w:basedOn w:val="Carpredefinitoparagrafo"/>
    <w:link w:val="Corpotesto"/>
    <w:uiPriority w:val="99"/>
    <w:semiHidden/>
    <w:qFormat/>
    <w:rsid w:val="0003148D"/>
  </w:style>
  <w:style w:type="character" w:customStyle="1" w:styleId="DataCarattere">
    <w:name w:val="Data Carattere"/>
    <w:basedOn w:val="Carpredefinitoparagrafo"/>
    <w:link w:val="Data"/>
    <w:uiPriority w:val="99"/>
    <w:semiHidden/>
    <w:qFormat/>
    <w:rsid w:val="0003148D"/>
  </w:style>
  <w:style w:type="character" w:customStyle="1" w:styleId="FirmaCarattere">
    <w:name w:val="Firma Carattere"/>
    <w:basedOn w:val="Carpredefinitoparagrafo"/>
    <w:link w:val="Firma"/>
    <w:uiPriority w:val="99"/>
    <w:semiHidden/>
    <w:qFormat/>
    <w:rsid w:val="0003148D"/>
  </w:style>
  <w:style w:type="character" w:customStyle="1" w:styleId="FirmadipostaelettronicaCarattere">
    <w:name w:val="Firma di posta elettronica Carattere"/>
    <w:basedOn w:val="Carpredefinitoparagrafo"/>
    <w:link w:val="Firmadipostaelettronica"/>
    <w:uiPriority w:val="99"/>
    <w:semiHidden/>
    <w:qFormat/>
    <w:rsid w:val="0003148D"/>
  </w:style>
  <w:style w:type="character" w:customStyle="1" w:styleId="FormuladiaperturaCarattere">
    <w:name w:val="Formula di apertura Carattere"/>
    <w:basedOn w:val="Carpredefinitoparagrafo"/>
    <w:uiPriority w:val="99"/>
    <w:semiHidden/>
    <w:qFormat/>
    <w:rsid w:val="0003148D"/>
  </w:style>
  <w:style w:type="character" w:customStyle="1" w:styleId="FormuladiaperturaCarattere1">
    <w:name w:val="Formula di apertura Carattere1"/>
    <w:basedOn w:val="Carpredefinitoparagrafo"/>
    <w:link w:val="Formuladiapertura"/>
    <w:uiPriority w:val="99"/>
    <w:semiHidden/>
    <w:qFormat/>
    <w:rsid w:val="0003148D"/>
  </w:style>
  <w:style w:type="character" w:customStyle="1" w:styleId="IndirizzoHTMLCarattere">
    <w:name w:val="Indirizzo HTML Carattere"/>
    <w:basedOn w:val="Carpredefinitoparagrafo"/>
    <w:link w:val="IndirizzoHTML"/>
    <w:uiPriority w:val="99"/>
    <w:semiHidden/>
    <w:qFormat/>
    <w:rsid w:val="0003148D"/>
    <w:rPr>
      <w:i/>
      <w:iCs/>
    </w:rPr>
  </w:style>
  <w:style w:type="character" w:customStyle="1" w:styleId="IntestazionemessaggioCarattere">
    <w:name w:val="Intestazione messaggio Carattere"/>
    <w:basedOn w:val="Carpredefinitoparagrafo"/>
    <w:link w:val="Intestazionemessaggio"/>
    <w:uiPriority w:val="99"/>
    <w:semiHidden/>
    <w:qFormat/>
    <w:rsid w:val="0003148D"/>
    <w:rPr>
      <w:rFonts w:asciiTheme="majorHAnsi" w:eastAsiaTheme="majorEastAsia" w:hAnsiTheme="majorHAnsi" w:cstheme="majorBidi"/>
      <w:sz w:val="24"/>
      <w:szCs w:val="24"/>
      <w:shd w:val="clear" w:color="auto" w:fill="CCCCCC"/>
    </w:rPr>
  </w:style>
  <w:style w:type="character" w:customStyle="1" w:styleId="IntestazionenotaCarattere">
    <w:name w:val="Intestazione nota Carattere"/>
    <w:basedOn w:val="Carpredefinitoparagrafo"/>
    <w:link w:val="Intestazionenota"/>
    <w:uiPriority w:val="99"/>
    <w:semiHidden/>
    <w:qFormat/>
    <w:rsid w:val="0003148D"/>
  </w:style>
  <w:style w:type="character" w:customStyle="1" w:styleId="MappadocumentoCarattere">
    <w:name w:val="Mappa documento Carattere"/>
    <w:basedOn w:val="Carpredefinitoparagrafo"/>
    <w:link w:val="Mappadocumento"/>
    <w:uiPriority w:val="99"/>
    <w:semiHidden/>
    <w:qFormat/>
    <w:rsid w:val="0003148D"/>
    <w:rPr>
      <w:rFonts w:ascii="Tahoma" w:hAnsi="Tahoma" w:cs="Tahoma"/>
      <w:sz w:val="16"/>
      <w:szCs w:val="16"/>
    </w:rPr>
  </w:style>
  <w:style w:type="character" w:customStyle="1" w:styleId="PreformattatoHTMLCarattere">
    <w:name w:val="Preformattato HTML Carattere"/>
    <w:basedOn w:val="Carpredefinitoparagrafo"/>
    <w:link w:val="PreformattatoHTML"/>
    <w:uiPriority w:val="99"/>
    <w:semiHidden/>
    <w:qFormat/>
    <w:rsid w:val="0003148D"/>
    <w:rPr>
      <w:rFonts w:ascii="Consolas" w:hAnsi="Consolas" w:cs="Consolas"/>
      <w:sz w:val="20"/>
      <w:szCs w:val="20"/>
    </w:rPr>
  </w:style>
  <w:style w:type="character" w:customStyle="1" w:styleId="PrimorientrocorpodeltestoCarattere">
    <w:name w:val="Primo rientro corpo del testo Carattere"/>
    <w:basedOn w:val="CorpotestoCarattere"/>
    <w:uiPriority w:val="99"/>
    <w:semiHidden/>
    <w:qFormat/>
    <w:rsid w:val="0003148D"/>
  </w:style>
  <w:style w:type="character" w:customStyle="1" w:styleId="RientrocorpodeltestoCarattere">
    <w:name w:val="Rientro corpo del testo Carattere"/>
    <w:basedOn w:val="Carpredefinitoparagrafo"/>
    <w:link w:val="Rientrocorpodeltesto"/>
    <w:uiPriority w:val="99"/>
    <w:semiHidden/>
    <w:qFormat/>
    <w:rsid w:val="0003148D"/>
  </w:style>
  <w:style w:type="character" w:customStyle="1" w:styleId="Primorientrocorpodeltesto2Carattere">
    <w:name w:val="Primo rientro corpo del testo 2 Carattere"/>
    <w:basedOn w:val="RientrocorpodeltestoCarattere"/>
    <w:link w:val="Primorientrocorpodeltesto2"/>
    <w:uiPriority w:val="99"/>
    <w:semiHidden/>
    <w:qFormat/>
    <w:rsid w:val="0003148D"/>
  </w:style>
  <w:style w:type="character" w:customStyle="1" w:styleId="Rientrocorpodeltesto2Carattere">
    <w:name w:val="Rientro corpo del testo 2 Carattere"/>
    <w:basedOn w:val="Carpredefinitoparagrafo"/>
    <w:link w:val="Rientrocorpodeltesto2"/>
    <w:uiPriority w:val="99"/>
    <w:semiHidden/>
    <w:qFormat/>
    <w:rsid w:val="0003148D"/>
  </w:style>
  <w:style w:type="character" w:customStyle="1" w:styleId="Rientrocorpodeltesto3Carattere">
    <w:name w:val="Rientro corpo del testo 3 Carattere"/>
    <w:basedOn w:val="Carpredefinitoparagrafo"/>
    <w:link w:val="Rientrocorpodeltesto3"/>
    <w:uiPriority w:val="99"/>
    <w:semiHidden/>
    <w:qFormat/>
    <w:rsid w:val="0003148D"/>
    <w:rPr>
      <w:sz w:val="16"/>
      <w:szCs w:val="16"/>
    </w:rPr>
  </w:style>
  <w:style w:type="character" w:customStyle="1" w:styleId="TestocommentoCarattere">
    <w:name w:val="Testo commento Carattere"/>
    <w:basedOn w:val="Carpredefinitoparagrafo"/>
    <w:link w:val="Testocommento"/>
    <w:uiPriority w:val="99"/>
    <w:qFormat/>
    <w:rsid w:val="0003148D"/>
    <w:rPr>
      <w:sz w:val="20"/>
      <w:szCs w:val="20"/>
    </w:rPr>
  </w:style>
  <w:style w:type="character" w:customStyle="1" w:styleId="SoggettocommentoCarattere">
    <w:name w:val="Soggetto commento Carattere"/>
    <w:basedOn w:val="TestocommentoCarattere"/>
    <w:link w:val="Soggettocommento"/>
    <w:uiPriority w:val="99"/>
    <w:semiHidden/>
    <w:qFormat/>
    <w:rsid w:val="0003148D"/>
    <w:rPr>
      <w:b/>
      <w:bCs/>
      <w:sz w:val="20"/>
      <w:szCs w:val="20"/>
    </w:rPr>
  </w:style>
  <w:style w:type="character" w:customStyle="1" w:styleId="TestomacroCarattere">
    <w:name w:val="Testo macro Carattere"/>
    <w:basedOn w:val="Carpredefinitoparagrafo"/>
    <w:link w:val="Testomacro"/>
    <w:uiPriority w:val="99"/>
    <w:semiHidden/>
    <w:qFormat/>
    <w:rsid w:val="0003148D"/>
    <w:rPr>
      <w:rFonts w:ascii="Consolas" w:hAnsi="Consolas" w:cs="Consolas"/>
      <w:sz w:val="20"/>
      <w:szCs w:val="20"/>
    </w:rPr>
  </w:style>
  <w:style w:type="character" w:customStyle="1" w:styleId="TestonormaleCarattere">
    <w:name w:val="Testo normale Carattere"/>
    <w:basedOn w:val="Carpredefinitoparagrafo"/>
    <w:link w:val="Testonormale"/>
    <w:uiPriority w:val="99"/>
    <w:semiHidden/>
    <w:qFormat/>
    <w:rsid w:val="0003148D"/>
    <w:rPr>
      <w:rFonts w:ascii="Consolas" w:hAnsi="Consolas" w:cs="Consolas"/>
      <w:sz w:val="21"/>
      <w:szCs w:val="21"/>
    </w:rPr>
  </w:style>
  <w:style w:type="character" w:customStyle="1" w:styleId="TestonotaapidipaginaCarattere">
    <w:name w:val="Testo nota a piè di pagina Carattere"/>
    <w:basedOn w:val="Carpredefinitoparagrafo"/>
    <w:link w:val="Testonotaapidipagina"/>
    <w:uiPriority w:val="99"/>
    <w:semiHidden/>
    <w:qFormat/>
    <w:rsid w:val="0003148D"/>
    <w:rPr>
      <w:sz w:val="20"/>
      <w:szCs w:val="20"/>
    </w:rPr>
  </w:style>
  <w:style w:type="character" w:customStyle="1" w:styleId="TestonotadichiusuraCarattere">
    <w:name w:val="Testo nota di chiusura Carattere"/>
    <w:basedOn w:val="Carpredefinitoparagrafo"/>
    <w:link w:val="Testonotadichiusura"/>
    <w:uiPriority w:val="99"/>
    <w:semiHidden/>
    <w:qFormat/>
    <w:rsid w:val="0003148D"/>
    <w:rPr>
      <w:sz w:val="20"/>
      <w:szCs w:val="20"/>
    </w:rPr>
  </w:style>
  <w:style w:type="character" w:customStyle="1" w:styleId="Titolo1Carattere">
    <w:name w:val="Titolo 1 Carattere"/>
    <w:basedOn w:val="Carpredefinitoparagrafo"/>
    <w:link w:val="Titolo1"/>
    <w:uiPriority w:val="9"/>
    <w:qFormat/>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qFormat/>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qFormat/>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qFormat/>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qFormat/>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qFormat/>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qFormat/>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qFormat/>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qFormat/>
    <w:rsid w:val="0003148D"/>
    <w:rPr>
      <w:rFonts w:asciiTheme="majorHAnsi" w:eastAsiaTheme="majorEastAsia" w:hAnsiTheme="majorHAnsi" w:cstheme="majorBidi"/>
      <w:i/>
      <w:iCs/>
      <w:color w:val="404040" w:themeColor="text1" w:themeTint="BF"/>
      <w:sz w:val="20"/>
      <w:szCs w:val="20"/>
    </w:rPr>
  </w:style>
  <w:style w:type="character" w:customStyle="1" w:styleId="CETAddressCarattere">
    <w:name w:val="CET Address Carattere"/>
    <w:basedOn w:val="Carpredefinitoparagrafo"/>
    <w:link w:val="CETAddress"/>
    <w:qFormat/>
    <w:rsid w:val="009E788A"/>
    <w:rPr>
      <w:rFonts w:ascii="Arial" w:eastAsia="Times New Roman" w:hAnsi="Arial" w:cs="Times New Roman"/>
      <w:sz w:val="16"/>
      <w:szCs w:val="20"/>
      <w:lang w:val="en-GB"/>
    </w:rPr>
  </w:style>
  <w:style w:type="character" w:customStyle="1" w:styleId="IntestazioneCarattere">
    <w:name w:val="Intestazione Carattere"/>
    <w:basedOn w:val="Carpredefinitoparagrafo"/>
    <w:link w:val="Intestazione"/>
    <w:uiPriority w:val="99"/>
    <w:qFormat/>
    <w:rsid w:val="005278B7"/>
    <w:rPr>
      <w:rFonts w:ascii="Arial" w:eastAsia="Times New Roman" w:hAnsi="Arial" w:cs="Times New Roman"/>
      <w:sz w:val="18"/>
      <w:szCs w:val="20"/>
      <w:lang w:val="en-GB"/>
    </w:rPr>
  </w:style>
  <w:style w:type="character" w:customStyle="1" w:styleId="PidipaginaCarattere">
    <w:name w:val="Piè di pagina Carattere"/>
    <w:basedOn w:val="Carpredefinitoparagrafo"/>
    <w:link w:val="Pidipagina"/>
    <w:uiPriority w:val="99"/>
    <w:qFormat/>
    <w:rsid w:val="005278B7"/>
    <w:rPr>
      <w:rFonts w:ascii="Arial" w:eastAsia="Times New Roman" w:hAnsi="Arial" w:cs="Times New Roman"/>
      <w:sz w:val="18"/>
      <w:szCs w:val="20"/>
      <w:lang w:val="en-GB"/>
    </w:rPr>
  </w:style>
  <w:style w:type="character" w:customStyle="1" w:styleId="CollegamentoInternet">
    <w:name w:val="Collegamento Internet"/>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qFormat/>
    <w:rsid w:val="00904C62"/>
  </w:style>
  <w:style w:type="character" w:customStyle="1" w:styleId="CETHeadingxxChar">
    <w:name w:val="CET Headingxx Char"/>
    <w:basedOn w:val="CETheadingxCarattere"/>
    <w:link w:val="CETHeadingxx"/>
    <w:qFormat/>
    <w:rsid w:val="000F787B"/>
    <w:rPr>
      <w:rFonts w:ascii="Arial" w:eastAsia="Times New Roman" w:hAnsi="Arial" w:cs="Times New Roman"/>
      <w:b/>
      <w:sz w:val="18"/>
      <w:szCs w:val="20"/>
      <w:lang w:val="en-US"/>
    </w:rPr>
  </w:style>
  <w:style w:type="character" w:customStyle="1" w:styleId="fontstyle01">
    <w:name w:val="fontstyle01"/>
    <w:basedOn w:val="Carpredefinitoparagrafo"/>
    <w:qFormat/>
    <w:rPr>
      <w:rFonts w:ascii="CMR10" w:hAnsi="CMR10"/>
      <w:b w:val="0"/>
      <w:bCs w:val="0"/>
      <w:i w:val="0"/>
      <w:iCs w:val="0"/>
      <w:color w:val="000000"/>
      <w:sz w:val="20"/>
      <w:szCs w:val="20"/>
    </w:rPr>
  </w:style>
  <w:style w:type="character" w:customStyle="1" w:styleId="Punti">
    <w:name w:val="Punti"/>
    <w:qFormat/>
    <w:rPr>
      <w:rFonts w:ascii="OpenSymbol" w:eastAsia="OpenSymbol" w:hAnsi="OpenSymbol" w:cs="OpenSymbol"/>
    </w:rPr>
  </w:style>
  <w:style w:type="paragraph" w:styleId="Titolo">
    <w:name w:val="Title"/>
    <w:basedOn w:val="Normale"/>
    <w:next w:val="Corpotesto"/>
    <w:qFormat/>
    <w:pPr>
      <w:keepNext/>
      <w:spacing w:before="240" w:after="120"/>
    </w:pPr>
    <w:rPr>
      <w:rFonts w:ascii="Liberation Sans" w:eastAsia="Microsoft YaHei" w:hAnsi="Liberation Sans" w:cs="Lucida Sans"/>
      <w:sz w:val="28"/>
      <w:szCs w:val="28"/>
    </w:rPr>
  </w:style>
  <w:style w:type="paragraph" w:styleId="Corpotesto">
    <w:name w:val="Body Text"/>
    <w:basedOn w:val="Normale"/>
    <w:link w:val="CorpotestoCarattere"/>
    <w:uiPriority w:val="99"/>
    <w:semiHidden/>
    <w:unhideWhenUsed/>
    <w:rsid w:val="0003148D"/>
    <w:pPr>
      <w:spacing w:after="120"/>
    </w:pPr>
  </w:style>
  <w:style w:type="paragraph" w:styleId="Elenco">
    <w:name w:val="List"/>
    <w:basedOn w:val="Normale"/>
    <w:uiPriority w:val="99"/>
    <w:semiHidden/>
    <w:unhideWhenUsed/>
    <w:rsid w:val="0003148D"/>
    <w:pPr>
      <w:ind w:left="283" w:hanging="283"/>
      <w:contextualSpacing/>
    </w:pPr>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customStyle="1" w:styleId="Indice">
    <w:name w:val="Indice"/>
    <w:basedOn w:val="Normale"/>
    <w:qFormat/>
    <w:pPr>
      <w:suppressLineNumbers/>
    </w:pPr>
    <w:rPr>
      <w:rFonts w:cs="Lucida Sans"/>
      <w:lang/>
    </w:rPr>
  </w:style>
  <w:style w:type="paragraph" w:customStyle="1" w:styleId="CETAuthors">
    <w:name w:val="CET Authors"/>
    <w:basedOn w:val="CETBodytext"/>
    <w:link w:val="CETAuthorsCarattere"/>
    <w:qFormat/>
    <w:rsid w:val="000E414A"/>
    <w:pPr>
      <w:keepNext/>
      <w:spacing w:after="120"/>
    </w:pPr>
    <w:rPr>
      <w:sz w:val="24"/>
      <w:lang w:val="en-GB"/>
    </w:rPr>
  </w:style>
  <w:style w:type="paragraph" w:customStyle="1" w:styleId="CETTitle">
    <w:name w:val="CET Title"/>
    <w:next w:val="CETAuthors"/>
    <w:link w:val="CETTitleCarattere"/>
    <w:qFormat/>
    <w:rsid w:val="00FB730C"/>
    <w:pPr>
      <w:spacing w:before="480" w:after="120" w:line="264" w:lineRule="auto"/>
      <w:jc w:val="center"/>
      <w:outlineLvl w:val="0"/>
    </w:pPr>
    <w:rPr>
      <w:rFonts w:ascii="Arial" w:eastAsia="Times New Roman" w:hAnsi="Arial" w:cs="Times New Roman"/>
      <w:sz w:val="32"/>
      <w:szCs w:val="20"/>
      <w:lang w:val="en-GB"/>
    </w:rPr>
  </w:style>
  <w:style w:type="paragraph" w:customStyle="1" w:styleId="CETHeading1">
    <w:name w:val="CET Heading1"/>
    <w:next w:val="CETBodytext"/>
    <w:qFormat/>
    <w:rsid w:val="009E788A"/>
    <w:pPr>
      <w:keepNext/>
      <w:tabs>
        <w:tab w:val="num" w:pos="0"/>
        <w:tab w:val="left" w:pos="360"/>
      </w:tabs>
      <w:spacing w:before="240" w:after="120"/>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tabs>
        <w:tab w:val="num" w:pos="0"/>
      </w:tabs>
      <w:spacing w:before="120" w:after="120"/>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pacing w:line="276" w:lineRule="auto"/>
      <w:contextualSpacing/>
    </w:pPr>
    <w:rPr>
      <w:rFonts w:ascii="Arial" w:eastAsia="Times New Roman" w:hAnsi="Arial" w:cs="Times New Roman"/>
      <w:sz w:val="16"/>
      <w:szCs w:val="20"/>
      <w:lang w:val="en-GB"/>
    </w:rPr>
  </w:style>
  <w:style w:type="paragraph" w:customStyle="1" w:styleId="CETReference">
    <w:name w:val="CET Reference"/>
    <w:qFormat/>
    <w:rsid w:val="00FC2695"/>
    <w:pPr>
      <w:spacing w:before="200" w:after="120"/>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paragraph" w:styleId="Testofumetto">
    <w:name w:val="Balloon Text"/>
    <w:basedOn w:val="Normale"/>
    <w:link w:val="TestofumettoCarattere"/>
    <w:uiPriority w:val="99"/>
    <w:semiHidden/>
    <w:unhideWhenUsed/>
    <w:qFormat/>
    <w:rsid w:val="000D34BE"/>
    <w:pPr>
      <w:spacing w:line="240" w:lineRule="auto"/>
    </w:pPr>
    <w:rPr>
      <w:rFonts w:ascii="Tahoma" w:hAnsi="Tahoma" w:cs="Tahoma"/>
      <w:sz w:val="16"/>
      <w:szCs w:val="16"/>
    </w:rPr>
  </w:style>
  <w:style w:type="paragraph" w:styleId="Bibliografia">
    <w:name w:val="Bibliography"/>
    <w:basedOn w:val="CETReferencetext"/>
    <w:uiPriority w:val="37"/>
    <w:unhideWhenUsed/>
    <w:qFormat/>
    <w:rsid w:val="00631B33"/>
    <w:pPr>
      <w:spacing w:line="240" w:lineRule="auto"/>
      <w:ind w:left="720" w:hanging="720"/>
    </w:pPr>
  </w:style>
  <w:style w:type="paragraph" w:styleId="Corpodeltesto2">
    <w:name w:val="Body Text 2"/>
    <w:basedOn w:val="Normale"/>
    <w:link w:val="Corpodeltesto2Carattere"/>
    <w:uiPriority w:val="99"/>
    <w:semiHidden/>
    <w:unhideWhenUsed/>
    <w:qFormat/>
    <w:rsid w:val="0003148D"/>
    <w:pPr>
      <w:spacing w:after="120" w:line="480" w:lineRule="auto"/>
    </w:pPr>
  </w:style>
  <w:style w:type="paragraph" w:styleId="Corpodeltesto3">
    <w:name w:val="Body Text 3"/>
    <w:basedOn w:val="Normale"/>
    <w:link w:val="Corpodeltesto3Carattere"/>
    <w:uiPriority w:val="99"/>
    <w:semiHidden/>
    <w:unhideWhenUsed/>
    <w:qFormat/>
    <w:rsid w:val="0003148D"/>
    <w:pPr>
      <w:spacing w:after="120"/>
    </w:pPr>
    <w:rPr>
      <w:sz w:val="16"/>
      <w:szCs w:val="16"/>
    </w:rPr>
  </w:style>
  <w:style w:type="paragraph" w:styleId="Data">
    <w:name w:val="Date"/>
    <w:basedOn w:val="Normale"/>
    <w:next w:val="Normale"/>
    <w:link w:val="DataCarattere"/>
    <w:uiPriority w:val="99"/>
    <w:semiHidden/>
    <w:unhideWhenUsed/>
    <w:qFormat/>
    <w:rsid w:val="0003148D"/>
  </w:style>
  <w:style w:type="paragraph" w:styleId="Puntoelenco3">
    <w:name w:val="List Bullet 3"/>
    <w:basedOn w:val="Normale"/>
    <w:uiPriority w:val="99"/>
    <w:semiHidden/>
    <w:unhideWhenUsed/>
    <w:qFormat/>
    <w:rsid w:val="0003148D"/>
    <w:pPr>
      <w:numPr>
        <w:numId w:val="9"/>
      </w:numPr>
      <w:contextualSpacing/>
    </w:pPr>
  </w:style>
  <w:style w:type="paragraph" w:styleId="Puntoelenco4">
    <w:name w:val="List Bullet 4"/>
    <w:basedOn w:val="Normale"/>
    <w:uiPriority w:val="99"/>
    <w:semiHidden/>
    <w:unhideWhenUsed/>
    <w:qFormat/>
    <w:rsid w:val="0003148D"/>
    <w:pPr>
      <w:numPr>
        <w:numId w:val="10"/>
      </w:numPr>
      <w:contextualSpacing/>
    </w:pPr>
  </w:style>
  <w:style w:type="paragraph" w:styleId="Puntoelenco5">
    <w:name w:val="List Bullet 5"/>
    <w:basedOn w:val="Normale"/>
    <w:uiPriority w:val="99"/>
    <w:semiHidden/>
    <w:unhideWhenUsed/>
    <w:qFormat/>
    <w:rsid w:val="0003148D"/>
    <w:pPr>
      <w:numPr>
        <w:numId w:val="11"/>
      </w:numPr>
      <w:contextualSpacing/>
    </w:pPr>
  </w:style>
  <w:style w:type="paragraph" w:styleId="Numeroelenco">
    <w:name w:val="List Number"/>
    <w:basedOn w:val="Normale"/>
    <w:uiPriority w:val="99"/>
    <w:semiHidden/>
    <w:unhideWhenUsed/>
    <w:qFormat/>
    <w:rsid w:val="0003148D"/>
    <w:pPr>
      <w:numPr>
        <w:numId w:val="2"/>
      </w:numPr>
      <w:contextualSpacing/>
    </w:pPr>
  </w:style>
  <w:style w:type="paragraph" w:styleId="Elencocontinua">
    <w:name w:val="List Continue"/>
    <w:basedOn w:val="Normale"/>
    <w:uiPriority w:val="99"/>
    <w:semiHidden/>
    <w:unhideWhenUsed/>
    <w:qFormat/>
    <w:rsid w:val="0003148D"/>
    <w:pPr>
      <w:spacing w:after="120"/>
      <w:ind w:left="283"/>
      <w:contextualSpacing/>
    </w:pPr>
  </w:style>
  <w:style w:type="paragraph" w:styleId="Elencocontinua2">
    <w:name w:val="List Continue 2"/>
    <w:basedOn w:val="Normale"/>
    <w:uiPriority w:val="99"/>
    <w:semiHidden/>
    <w:unhideWhenUsed/>
    <w:qFormat/>
    <w:rsid w:val="0003148D"/>
    <w:pPr>
      <w:spacing w:after="120"/>
      <w:ind w:left="566"/>
      <w:contextualSpacing/>
    </w:pPr>
  </w:style>
  <w:style w:type="paragraph" w:styleId="Elencocontinua3">
    <w:name w:val="List Continue 3"/>
    <w:basedOn w:val="Normale"/>
    <w:uiPriority w:val="99"/>
    <w:semiHidden/>
    <w:unhideWhenUsed/>
    <w:qFormat/>
    <w:rsid w:val="0003148D"/>
    <w:pPr>
      <w:spacing w:after="120"/>
      <w:ind w:left="849"/>
      <w:contextualSpacing/>
    </w:pPr>
  </w:style>
  <w:style w:type="paragraph" w:styleId="Elencocontinua4">
    <w:name w:val="List Continue 4"/>
    <w:basedOn w:val="Normale"/>
    <w:uiPriority w:val="99"/>
    <w:semiHidden/>
    <w:unhideWhenUsed/>
    <w:qFormat/>
    <w:rsid w:val="0003148D"/>
    <w:pPr>
      <w:spacing w:after="120"/>
      <w:ind w:left="1132"/>
      <w:contextualSpacing/>
    </w:pPr>
  </w:style>
  <w:style w:type="paragraph" w:styleId="Elencocontinua5">
    <w:name w:val="List Continue 5"/>
    <w:basedOn w:val="Normale"/>
    <w:uiPriority w:val="99"/>
    <w:semiHidden/>
    <w:unhideWhenUsed/>
    <w:qFormat/>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paragraph" w:styleId="Firmadipostaelettronica">
    <w:name w:val="E-mail Signature"/>
    <w:basedOn w:val="Normale"/>
    <w:link w:val="FirmadipostaelettronicaCarattere"/>
    <w:uiPriority w:val="99"/>
    <w:semiHidden/>
    <w:unhideWhenUsed/>
    <w:qFormat/>
    <w:rsid w:val="0003148D"/>
    <w:pPr>
      <w:spacing w:line="240" w:lineRule="auto"/>
    </w:pPr>
  </w:style>
  <w:style w:type="paragraph" w:styleId="Formuladiapertura">
    <w:name w:val="Salutation"/>
    <w:basedOn w:val="Normale"/>
    <w:next w:val="Normale"/>
    <w:link w:val="FormuladiaperturaCarattere1"/>
    <w:uiPriority w:val="99"/>
    <w:semiHidden/>
    <w:unhideWhenUsed/>
    <w:rsid w:val="0003148D"/>
  </w:style>
  <w:style w:type="paragraph" w:styleId="Formuladichiusura">
    <w:name w:val="Closing"/>
    <w:basedOn w:val="Normale"/>
    <w:uiPriority w:val="99"/>
    <w:semiHidden/>
    <w:unhideWhenUsed/>
    <w:qFormat/>
    <w:rsid w:val="0003148D"/>
    <w:pPr>
      <w:spacing w:line="240" w:lineRule="auto"/>
      <w:ind w:left="4252"/>
    </w:pPr>
  </w:style>
  <w:style w:type="paragraph" w:styleId="Indice1">
    <w:name w:val="index 1"/>
    <w:basedOn w:val="Normale"/>
    <w:next w:val="Normale"/>
    <w:autoRedefine/>
    <w:uiPriority w:val="99"/>
    <w:semiHidden/>
    <w:unhideWhenUsed/>
    <w:qFormat/>
    <w:rsid w:val="0003148D"/>
    <w:pPr>
      <w:spacing w:line="240" w:lineRule="auto"/>
      <w:ind w:left="220" w:hanging="220"/>
    </w:pPr>
  </w:style>
  <w:style w:type="paragraph" w:styleId="Indice2">
    <w:name w:val="index 2"/>
    <w:basedOn w:val="Normale"/>
    <w:next w:val="Normale"/>
    <w:autoRedefine/>
    <w:uiPriority w:val="99"/>
    <w:semiHidden/>
    <w:unhideWhenUsed/>
    <w:qFormat/>
    <w:rsid w:val="0003148D"/>
    <w:pPr>
      <w:spacing w:line="240" w:lineRule="auto"/>
      <w:ind w:left="440" w:hanging="220"/>
    </w:pPr>
  </w:style>
  <w:style w:type="paragraph" w:styleId="Indice3">
    <w:name w:val="index 3"/>
    <w:basedOn w:val="Normale"/>
    <w:next w:val="Normale"/>
    <w:autoRedefine/>
    <w:uiPriority w:val="99"/>
    <w:semiHidden/>
    <w:unhideWhenUsed/>
    <w:qFormat/>
    <w:rsid w:val="0003148D"/>
    <w:pPr>
      <w:spacing w:line="240" w:lineRule="auto"/>
      <w:ind w:left="660" w:hanging="220"/>
    </w:pPr>
  </w:style>
  <w:style w:type="paragraph" w:styleId="Indice4">
    <w:name w:val="index 4"/>
    <w:basedOn w:val="Normale"/>
    <w:next w:val="Normale"/>
    <w:autoRedefine/>
    <w:uiPriority w:val="99"/>
    <w:semiHidden/>
    <w:unhideWhenUsed/>
    <w:qFormat/>
    <w:rsid w:val="0003148D"/>
    <w:pPr>
      <w:spacing w:line="240" w:lineRule="auto"/>
      <w:ind w:left="880" w:hanging="220"/>
    </w:pPr>
  </w:style>
  <w:style w:type="paragraph" w:styleId="Indice5">
    <w:name w:val="index 5"/>
    <w:basedOn w:val="Normale"/>
    <w:next w:val="Normale"/>
    <w:autoRedefine/>
    <w:uiPriority w:val="99"/>
    <w:semiHidden/>
    <w:unhideWhenUsed/>
    <w:qFormat/>
    <w:rsid w:val="0003148D"/>
    <w:pPr>
      <w:spacing w:line="240" w:lineRule="auto"/>
      <w:ind w:left="1100" w:hanging="220"/>
    </w:pPr>
  </w:style>
  <w:style w:type="paragraph" w:styleId="Indice6">
    <w:name w:val="index 6"/>
    <w:basedOn w:val="Normale"/>
    <w:next w:val="Normale"/>
    <w:autoRedefine/>
    <w:uiPriority w:val="99"/>
    <w:semiHidden/>
    <w:unhideWhenUsed/>
    <w:qFormat/>
    <w:rsid w:val="0003148D"/>
    <w:pPr>
      <w:spacing w:line="240" w:lineRule="auto"/>
      <w:ind w:left="1320" w:hanging="220"/>
    </w:pPr>
  </w:style>
  <w:style w:type="paragraph" w:styleId="Indice7">
    <w:name w:val="index 7"/>
    <w:basedOn w:val="Normale"/>
    <w:next w:val="Normale"/>
    <w:autoRedefine/>
    <w:uiPriority w:val="99"/>
    <w:semiHidden/>
    <w:unhideWhenUsed/>
    <w:qFormat/>
    <w:rsid w:val="0003148D"/>
    <w:pPr>
      <w:spacing w:line="240" w:lineRule="auto"/>
      <w:ind w:left="1540" w:hanging="220"/>
    </w:pPr>
  </w:style>
  <w:style w:type="paragraph" w:styleId="Indice8">
    <w:name w:val="index 8"/>
    <w:basedOn w:val="Normale"/>
    <w:next w:val="Normale"/>
    <w:autoRedefine/>
    <w:uiPriority w:val="99"/>
    <w:semiHidden/>
    <w:unhideWhenUsed/>
    <w:qFormat/>
    <w:rsid w:val="0003148D"/>
    <w:pPr>
      <w:spacing w:line="240" w:lineRule="auto"/>
      <w:ind w:left="1760" w:hanging="220"/>
    </w:pPr>
  </w:style>
  <w:style w:type="paragraph" w:styleId="Indice9">
    <w:name w:val="index 9"/>
    <w:basedOn w:val="Normale"/>
    <w:next w:val="Normale"/>
    <w:autoRedefine/>
    <w:uiPriority w:val="99"/>
    <w:semiHidden/>
    <w:unhideWhenUsed/>
    <w:qFormat/>
    <w:rsid w:val="0003148D"/>
    <w:pPr>
      <w:spacing w:line="240" w:lineRule="auto"/>
      <w:ind w:left="1980" w:hanging="220"/>
    </w:pPr>
  </w:style>
  <w:style w:type="paragraph" w:styleId="Indicedellefigure">
    <w:name w:val="table of figures"/>
    <w:basedOn w:val="Normale"/>
    <w:next w:val="Normale"/>
    <w:uiPriority w:val="99"/>
    <w:semiHidden/>
    <w:unhideWhenUsed/>
    <w:qFormat/>
    <w:rsid w:val="0003148D"/>
  </w:style>
  <w:style w:type="paragraph" w:styleId="Indicefonti">
    <w:name w:val="table of authorities"/>
    <w:basedOn w:val="Normale"/>
    <w:next w:val="Normale"/>
    <w:uiPriority w:val="99"/>
    <w:semiHidden/>
    <w:unhideWhenUsed/>
    <w:qFormat/>
    <w:rsid w:val="0003148D"/>
    <w:pPr>
      <w:ind w:left="220" w:hanging="220"/>
    </w:pPr>
  </w:style>
  <w:style w:type="paragraph" w:styleId="Indirizzodestinatario">
    <w:name w:val="envelope address"/>
    <w:basedOn w:val="Normale"/>
    <w:uiPriority w:val="99"/>
    <w:semiHidden/>
    <w:unhideWhenUsed/>
    <w:qFormat/>
    <w:rsid w:val="0003148D"/>
    <w:pPr>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qFormat/>
    <w:rsid w:val="0003148D"/>
    <w:pPr>
      <w:spacing w:line="240" w:lineRule="auto"/>
    </w:pPr>
    <w:rPr>
      <w:i/>
      <w:iCs/>
    </w:rPr>
  </w:style>
  <w:style w:type="paragraph" w:styleId="Indirizzomittente">
    <w:name w:val="envelope return"/>
    <w:basedOn w:val="Normale"/>
    <w:uiPriority w:val="99"/>
    <w:semiHidden/>
    <w:unhideWhenUsed/>
    <w:qFormat/>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qFormat/>
    <w:rsid w:val="0003148D"/>
    <w:pPr>
      <w:pBdr>
        <w:top w:val="single" w:sz="6" w:space="1" w:color="000000"/>
        <w:left w:val="single" w:sz="6" w:space="1" w:color="000000"/>
        <w:bottom w:val="single" w:sz="6" w:space="1" w:color="000000"/>
        <w:right w:val="single" w:sz="6" w:space="1" w:color="000000"/>
      </w:pBdr>
      <w:shd w:val="pct20" w:color="auto" w:fill="auto"/>
      <w:spacing w:line="240" w:lineRule="auto"/>
      <w:ind w:left="1134" w:hanging="1134"/>
    </w:pPr>
    <w:rPr>
      <w:rFonts w:asciiTheme="majorHAnsi" w:eastAsiaTheme="majorEastAsia" w:hAnsiTheme="majorHAnsi" w:cstheme="majorBidi"/>
      <w:sz w:val="24"/>
      <w:szCs w:val="24"/>
    </w:rPr>
  </w:style>
  <w:style w:type="paragraph" w:styleId="Intestazionenota">
    <w:name w:val="Note Heading"/>
    <w:basedOn w:val="Normale"/>
    <w:next w:val="Normale"/>
    <w:link w:val="IntestazionenotaCarattere"/>
    <w:uiPriority w:val="99"/>
    <w:semiHidden/>
    <w:unhideWhenUsed/>
    <w:qFormat/>
    <w:rsid w:val="0003148D"/>
    <w:pPr>
      <w:spacing w:line="240" w:lineRule="auto"/>
    </w:pPr>
  </w:style>
  <w:style w:type="paragraph" w:styleId="Mappadocumento">
    <w:name w:val="Document Map"/>
    <w:basedOn w:val="Normale"/>
    <w:link w:val="MappadocumentoCarattere"/>
    <w:uiPriority w:val="99"/>
    <w:semiHidden/>
    <w:unhideWhenUsed/>
    <w:qFormat/>
    <w:rsid w:val="0003148D"/>
    <w:pPr>
      <w:spacing w:line="240" w:lineRule="auto"/>
    </w:pPr>
    <w:rPr>
      <w:rFonts w:ascii="Tahoma" w:hAnsi="Tahoma" w:cs="Tahoma"/>
      <w:sz w:val="16"/>
      <w:szCs w:val="16"/>
    </w:rPr>
  </w:style>
  <w:style w:type="paragraph" w:styleId="NormaleWeb">
    <w:name w:val="Normal (Web)"/>
    <w:basedOn w:val="Normale"/>
    <w:uiPriority w:val="99"/>
    <w:semiHidden/>
    <w:unhideWhenUsed/>
    <w:qFormat/>
    <w:rsid w:val="0003148D"/>
    <w:rPr>
      <w:sz w:val="24"/>
      <w:szCs w:val="24"/>
    </w:rPr>
  </w:style>
  <w:style w:type="paragraph" w:styleId="Numeroelenco2">
    <w:name w:val="List Number 2"/>
    <w:basedOn w:val="Normale"/>
    <w:uiPriority w:val="99"/>
    <w:semiHidden/>
    <w:unhideWhenUsed/>
    <w:qFormat/>
    <w:rsid w:val="0003148D"/>
    <w:pPr>
      <w:numPr>
        <w:numId w:val="3"/>
      </w:numPr>
      <w:contextualSpacing/>
    </w:pPr>
  </w:style>
  <w:style w:type="paragraph" w:styleId="Numeroelenco3">
    <w:name w:val="List Number 3"/>
    <w:basedOn w:val="Normale"/>
    <w:uiPriority w:val="99"/>
    <w:semiHidden/>
    <w:unhideWhenUsed/>
    <w:qFormat/>
    <w:rsid w:val="0003148D"/>
    <w:pPr>
      <w:numPr>
        <w:numId w:val="4"/>
      </w:numPr>
      <w:contextualSpacing/>
    </w:pPr>
  </w:style>
  <w:style w:type="paragraph" w:styleId="Numeroelenco4">
    <w:name w:val="List Number 4"/>
    <w:basedOn w:val="Normale"/>
    <w:uiPriority w:val="99"/>
    <w:semiHidden/>
    <w:unhideWhenUsed/>
    <w:qFormat/>
    <w:rsid w:val="0003148D"/>
    <w:pPr>
      <w:numPr>
        <w:numId w:val="5"/>
      </w:numPr>
      <w:contextualSpacing/>
    </w:pPr>
  </w:style>
  <w:style w:type="paragraph" w:styleId="Numeroelenco5">
    <w:name w:val="List Number 5"/>
    <w:basedOn w:val="Normale"/>
    <w:uiPriority w:val="99"/>
    <w:semiHidden/>
    <w:unhideWhenUsed/>
    <w:qFormat/>
    <w:rsid w:val="0003148D"/>
    <w:pPr>
      <w:numPr>
        <w:numId w:val="6"/>
      </w:numPr>
      <w:contextualSpacing/>
    </w:pPr>
  </w:style>
  <w:style w:type="paragraph" w:styleId="PreformattatoHTML">
    <w:name w:val="HTML Preformatted"/>
    <w:basedOn w:val="Normale"/>
    <w:link w:val="PreformattatoHTMLCarattere"/>
    <w:uiPriority w:val="99"/>
    <w:semiHidden/>
    <w:unhideWhenUsed/>
    <w:qFormat/>
    <w:rsid w:val="0003148D"/>
    <w:pPr>
      <w:spacing w:line="240" w:lineRule="auto"/>
    </w:pPr>
    <w:rPr>
      <w:rFonts w:ascii="Consolas" w:hAnsi="Consolas" w:cs="Consolas"/>
    </w:rPr>
  </w:style>
  <w:style w:type="paragraph" w:styleId="Rientrocorpodeltesto">
    <w:name w:val="Body Text Indent"/>
    <w:basedOn w:val="Normale"/>
    <w:link w:val="RientrocorpodeltestoCarattere"/>
    <w:uiPriority w:val="99"/>
    <w:semiHidden/>
    <w:unhideWhenUsed/>
    <w:rsid w:val="0003148D"/>
    <w:pPr>
      <w:spacing w:after="120"/>
      <w:ind w:left="283"/>
    </w:pPr>
  </w:style>
  <w:style w:type="paragraph" w:styleId="Primorientrocorpodeltesto2">
    <w:name w:val="Body Text First Indent 2"/>
    <w:basedOn w:val="Rientrocorpodeltesto"/>
    <w:link w:val="Primorientrocorpodeltesto2Carattere"/>
    <w:uiPriority w:val="99"/>
    <w:semiHidden/>
    <w:unhideWhenUsed/>
    <w:qFormat/>
    <w:rsid w:val="0003148D"/>
    <w:pPr>
      <w:spacing w:after="200"/>
      <w:ind w:left="360" w:firstLine="360"/>
    </w:pPr>
  </w:style>
  <w:style w:type="paragraph" w:styleId="Puntoelenco">
    <w:name w:val="List Bullet"/>
    <w:basedOn w:val="Normale"/>
    <w:uiPriority w:val="99"/>
    <w:semiHidden/>
    <w:unhideWhenUsed/>
    <w:qFormat/>
    <w:rsid w:val="0003148D"/>
    <w:pPr>
      <w:numPr>
        <w:numId w:val="7"/>
      </w:numPr>
      <w:contextualSpacing/>
    </w:pPr>
  </w:style>
  <w:style w:type="paragraph" w:styleId="Puntoelenco2">
    <w:name w:val="List Bullet 2"/>
    <w:basedOn w:val="Normale"/>
    <w:uiPriority w:val="99"/>
    <w:semiHidden/>
    <w:unhideWhenUsed/>
    <w:qFormat/>
    <w:rsid w:val="0003148D"/>
    <w:pPr>
      <w:numPr>
        <w:numId w:val="8"/>
      </w:numPr>
      <w:contextualSpacing/>
    </w:pPr>
  </w:style>
  <w:style w:type="paragraph" w:styleId="Rientrocorpodeltesto2">
    <w:name w:val="Body Text Indent 2"/>
    <w:basedOn w:val="Normale"/>
    <w:link w:val="Rientrocorpodeltesto2Carattere"/>
    <w:uiPriority w:val="99"/>
    <w:semiHidden/>
    <w:unhideWhenUsed/>
    <w:qFormat/>
    <w:rsid w:val="0003148D"/>
    <w:pPr>
      <w:spacing w:after="120" w:line="480" w:lineRule="auto"/>
      <w:ind w:left="283"/>
    </w:pPr>
  </w:style>
  <w:style w:type="paragraph" w:styleId="Rientrocorpodeltesto3">
    <w:name w:val="Body Text Indent 3"/>
    <w:basedOn w:val="Normale"/>
    <w:link w:val="Rientrocorpodeltesto3Carattere"/>
    <w:uiPriority w:val="99"/>
    <w:semiHidden/>
    <w:unhideWhenUsed/>
    <w:qFormat/>
    <w:rsid w:val="0003148D"/>
    <w:pPr>
      <w:spacing w:after="120"/>
      <w:ind w:left="283"/>
    </w:pPr>
    <w:rPr>
      <w:sz w:val="16"/>
      <w:szCs w:val="16"/>
    </w:rPr>
  </w:style>
  <w:style w:type="paragraph" w:styleId="Rientronormale">
    <w:name w:val="Normal Indent"/>
    <w:basedOn w:val="Normale"/>
    <w:uiPriority w:val="99"/>
    <w:semiHidden/>
    <w:unhideWhenUsed/>
    <w:qFormat/>
    <w:rsid w:val="0003148D"/>
    <w:pPr>
      <w:ind w:left="720"/>
    </w:pPr>
  </w:style>
  <w:style w:type="paragraph" w:styleId="Testocommento">
    <w:name w:val="annotation text"/>
    <w:basedOn w:val="Normale"/>
    <w:link w:val="TestocommentoCarattere"/>
    <w:uiPriority w:val="99"/>
    <w:unhideWhenUsed/>
    <w:qFormat/>
    <w:rsid w:val="0003148D"/>
    <w:pPr>
      <w:spacing w:line="240" w:lineRule="auto"/>
    </w:pPr>
  </w:style>
  <w:style w:type="paragraph" w:styleId="Soggettocommento">
    <w:name w:val="annotation subject"/>
    <w:basedOn w:val="Testocommento"/>
    <w:next w:val="Testocommento"/>
    <w:link w:val="SoggettocommentoCarattere"/>
    <w:uiPriority w:val="99"/>
    <w:semiHidden/>
    <w:unhideWhenUsed/>
    <w:qFormat/>
    <w:rsid w:val="0003148D"/>
    <w:rPr>
      <w:b/>
      <w:bCs/>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qFormat/>
    <w:rsid w:val="0003148D"/>
    <w:pPr>
      <w:pBdr>
        <w:top w:val="single" w:sz="2" w:space="10" w:color="4F81BD"/>
        <w:left w:val="single" w:sz="2" w:space="10" w:color="4F81BD"/>
        <w:bottom w:val="single" w:sz="2" w:space="10" w:color="4F81BD"/>
        <w:right w:val="single" w:sz="2" w:space="10" w:color="4F81BD"/>
      </w:pBdr>
      <w:ind w:left="1152" w:right="1152"/>
    </w:pPr>
    <w:rPr>
      <w:rFonts w:eastAsiaTheme="minorEastAsia"/>
      <w:i/>
      <w:iCs/>
      <w:color w:val="4F81BD" w:themeColor="accent1"/>
    </w:rPr>
  </w:style>
  <w:style w:type="paragraph" w:styleId="Testomacro">
    <w:name w:val="macro"/>
    <w:link w:val="TestomacroCarattere"/>
    <w:uiPriority w:val="99"/>
    <w:semiHidden/>
    <w:unhideWhenUsed/>
    <w:qFormat/>
    <w:rsid w:val="0003148D"/>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cs="Consolas"/>
      <w:sz w:val="20"/>
      <w:szCs w:val="20"/>
    </w:rPr>
  </w:style>
  <w:style w:type="paragraph" w:styleId="Testonormale">
    <w:name w:val="Plain Text"/>
    <w:basedOn w:val="Normale"/>
    <w:link w:val="TestonormaleCarattere"/>
    <w:uiPriority w:val="99"/>
    <w:semiHidden/>
    <w:unhideWhenUsed/>
    <w:qFormat/>
    <w:rsid w:val="0003148D"/>
    <w:pPr>
      <w:spacing w:line="240" w:lineRule="auto"/>
    </w:pPr>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paragraph" w:styleId="Testonotadichiusura">
    <w:name w:val="endnote text"/>
    <w:basedOn w:val="Normale"/>
    <w:link w:val="TestonotadichiusuraCarattere"/>
    <w:uiPriority w:val="99"/>
    <w:semiHidden/>
    <w:unhideWhenUsed/>
    <w:rsid w:val="0003148D"/>
    <w:pPr>
      <w:spacing w:line="240" w:lineRule="auto"/>
    </w:pPr>
  </w:style>
  <w:style w:type="paragraph" w:styleId="Titoloindice">
    <w:name w:val="index heading"/>
    <w:basedOn w:val="Normale"/>
    <w:next w:val="Indice1"/>
    <w:uiPriority w:val="99"/>
    <w:semiHidden/>
    <w:unhideWhenUsed/>
    <w:qFormat/>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qFormat/>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qFormat/>
    <w:rsid w:val="009E788A"/>
    <w:pPr>
      <w:spacing w:after="240" w:line="276" w:lineRule="auto"/>
    </w:pPr>
    <w:rPr>
      <w:rFonts w:ascii="Arial" w:eastAsia="Times New Roman" w:hAnsi="Arial" w:cs="Times New Roman"/>
      <w:sz w:val="16"/>
      <w:szCs w:val="20"/>
      <w:lang w:val="en-GB"/>
    </w:rPr>
  </w:style>
  <w:style w:type="paragraph" w:customStyle="1" w:styleId="CETBodytextBold">
    <w:name w:val="CET Body text (Bold)"/>
    <w:basedOn w:val="CETBodytext"/>
    <w:qFormat/>
    <w:rsid w:val="00901EB6"/>
    <w:rPr>
      <w:b/>
    </w:rPr>
  </w:style>
  <w:style w:type="paragraph" w:customStyle="1" w:styleId="CETnumberingbullets">
    <w:name w:val="CET numbering (bullets)"/>
    <w:qFormat/>
    <w:rsid w:val="008D433B"/>
    <w:pPr>
      <w:numPr>
        <w:numId w:val="12"/>
      </w:numPr>
      <w:spacing w:line="264" w:lineRule="auto"/>
    </w:pPr>
    <w:rPr>
      <w:rFonts w:ascii="Arial" w:eastAsia="Times New Roman" w:hAnsi="Arial" w:cs="Times New Roman"/>
      <w:sz w:val="18"/>
      <w:szCs w:val="20"/>
      <w:lang w:val="en-GB"/>
    </w:rPr>
  </w:style>
  <w:style w:type="paragraph" w:customStyle="1" w:styleId="CETnumbering1">
    <w:name w:val="CET numbering (1"/>
    <w:qFormat/>
    <w:rsid w:val="00B57B36"/>
    <w:pPr>
      <w:numPr>
        <w:numId w:val="13"/>
      </w:numPr>
      <w:spacing w:line="264" w:lineRule="auto"/>
      <w:ind w:left="340" w:hanging="227"/>
    </w:pPr>
    <w:rPr>
      <w:rFonts w:ascii="Arial" w:eastAsia="Times New Roman" w:hAnsi="Arial" w:cs="Times New Roman"/>
      <w:sz w:val="18"/>
      <w:szCs w:val="20"/>
      <w:lang w:val="en-US"/>
    </w:rPr>
  </w:style>
  <w:style w:type="paragraph" w:customStyle="1" w:styleId="CETnumberinga">
    <w:name w:val="CET numbering (a"/>
    <w:qFormat/>
    <w:rsid w:val="00B57B36"/>
    <w:pPr>
      <w:numPr>
        <w:numId w:val="14"/>
      </w:numPr>
      <w:spacing w:line="264" w:lineRule="auto"/>
    </w:pPr>
    <w:rPr>
      <w:rFonts w:ascii="Arial" w:eastAsia="Times New Roman" w:hAnsi="Arial" w:cs="Times New Roman"/>
      <w:sz w:val="18"/>
      <w:szCs w:val="20"/>
      <w:lang w:val="en-GB"/>
    </w:rPr>
  </w:style>
  <w:style w:type="paragraph" w:customStyle="1" w:styleId="Intestazioneepidipagina">
    <w:name w:val="Intestazione e piè di pagina"/>
    <w:basedOn w:val="Normale"/>
    <w:qFormat/>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paragraph" w:customStyle="1" w:styleId="CETListbullets">
    <w:name w:val="CET List bullets"/>
    <w:qFormat/>
    <w:rsid w:val="004577FE"/>
    <w:pPr>
      <w:spacing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line="276" w:lineRule="auto"/>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tabs>
        <w:tab w:val="clear" w:pos="0"/>
      </w:tabs>
    </w:pPr>
  </w:style>
  <w:style w:type="paragraph" w:styleId="Paragrafoelenco">
    <w:name w:val="List Paragraph"/>
    <w:basedOn w:val="Normale"/>
    <w:uiPriority w:val="34"/>
    <w:qFormat/>
    <w:rsid w:val="00280FAF"/>
    <w:pPr>
      <w:ind w:left="720"/>
      <w:contextualSpacing/>
    </w:pPr>
  </w:style>
  <w:style w:type="paragraph" w:customStyle="1" w:styleId="Figura">
    <w:name w:val="Figura"/>
    <w:basedOn w:val="Didascalia"/>
    <w:qFormat/>
  </w:style>
  <w:style w:type="paragraph" w:customStyle="1" w:styleId="Contenutotabella">
    <w:name w:val="Contenuto tabella"/>
    <w:basedOn w:val="Normale"/>
    <w:qFormat/>
    <w:pPr>
      <w:widowControl w:val="0"/>
      <w:suppressLineNumbers/>
    </w:pPr>
  </w:style>
  <w:style w:type="paragraph" w:customStyle="1" w:styleId="Contenutocornice">
    <w:name w:val="Contenuto cornice"/>
    <w:basedOn w:val="Normale"/>
    <w:qFormat/>
  </w:style>
  <w:style w:type="paragraph" w:customStyle="1" w:styleId="Titolotabella">
    <w:name w:val="Titolo tabella"/>
    <w:basedOn w:val="Contenutotabella"/>
    <w:qFormat/>
    <w:pPr>
      <w:jc w:val="center"/>
    </w:pPr>
    <w:rPr>
      <w:b/>
      <w:bCs/>
    </w:rPr>
  </w:style>
  <w:style w:type="table" w:styleId="Tabellasemplice1">
    <w:name w:val="Table Simple 1"/>
    <w:basedOn w:val="Tabellanormale"/>
    <w:semiHidden/>
    <w:rsid w:val="000E414A"/>
    <w:pPr>
      <w:spacing w:line="264" w:lineRule="auto"/>
      <w:jc w:val="both"/>
    </w:pPr>
    <w:rPr>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Grigliatabella">
    <w:name w:val="Table Grid"/>
    <w:basedOn w:val="Tabellanormale"/>
    <w:uiPriority w:val="59"/>
    <w:rsid w:val="00660E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437</TotalTime>
  <Pages>6</Pages>
  <Words>3405</Words>
  <Characters>18223</Characters>
  <Application>Microsoft Office Word</Application>
  <DocSecurity>0</DocSecurity>
  <Lines>414</Lines>
  <Paragraphs>332</Paragraphs>
  <ScaleCrop>false</ScaleCrop>
  <HeadingPairs>
    <vt:vector size="2" baseType="variant">
      <vt:variant>
        <vt:lpstr>Titolo</vt:lpstr>
      </vt:variant>
      <vt:variant>
        <vt:i4>1</vt:i4>
      </vt:variant>
    </vt:vector>
  </HeadingPairs>
  <TitlesOfParts>
    <vt:vector size="1" baseType="lpstr">
      <vt:lpstr/>
    </vt:vector>
  </TitlesOfParts>
  <Company>Dipartimento CMIC - Politecnico di Milano</Company>
  <LinksUpToDate>false</LinksUpToDate>
  <CharactersWithSpaces>21296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dc:creator>
  <dc:description/>
  <cp:lastModifiedBy>Volpato Silvia</cp:lastModifiedBy>
  <cp:revision>76</cp:revision>
  <cp:lastPrinted>2015-05-12T18:31:00Z</cp:lastPrinted>
  <dcterms:created xsi:type="dcterms:W3CDTF">2022-09-21T08:52:00Z</dcterms:created>
  <dcterms:modified xsi:type="dcterms:W3CDTF">2023-04-13T15:56:00Z</dcterms:modified>
  <dc:language>it-CH</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GrammarlyDocumentId">
    <vt:lpwstr>7e4dd180fd7fedfec9f1a04770d415046b971bf7c577b56819ef03e2bf0b9f2f</vt:lpwstr>
  </property>
</Properties>
</file>