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413601" w14:paraId="2A131A54" w14:textId="77777777" w:rsidTr="007C7477">
        <w:trPr>
          <w:trHeight w:val="852"/>
          <w:jc w:val="center"/>
        </w:trPr>
        <w:tc>
          <w:tcPr>
            <w:tcW w:w="6940" w:type="dxa"/>
            <w:vMerge w:val="restart"/>
            <w:tcBorders>
              <w:right w:val="single" w:sz="4" w:space="0" w:color="auto"/>
            </w:tcBorders>
          </w:tcPr>
          <w:p w14:paraId="38C3D2BA" w14:textId="77777777" w:rsidR="000A03B2" w:rsidRPr="00413601" w:rsidRDefault="000A03B2" w:rsidP="00DE264A">
            <w:pPr>
              <w:tabs>
                <w:tab w:val="left" w:pos="-108"/>
              </w:tabs>
              <w:ind w:left="-108"/>
              <w:jc w:val="left"/>
              <w:rPr>
                <w:rFonts w:cs="Arial"/>
                <w:b/>
                <w:bCs/>
                <w:i/>
                <w:iCs/>
                <w:color w:val="000066"/>
                <w:sz w:val="12"/>
                <w:szCs w:val="12"/>
                <w:lang w:eastAsia="it-IT"/>
              </w:rPr>
            </w:pPr>
            <w:r w:rsidRPr="00413601">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413601">
              <w:rPr>
                <w:rFonts w:ascii="AdvP6960" w:hAnsi="AdvP6960" w:cs="AdvP6960"/>
                <w:color w:val="241F20"/>
                <w:szCs w:val="18"/>
                <w:lang w:eastAsia="it-IT"/>
              </w:rPr>
              <w:t xml:space="preserve"> </w:t>
            </w:r>
            <w:r w:rsidRPr="00413601">
              <w:rPr>
                <w:rFonts w:cs="Arial"/>
                <w:b/>
                <w:bCs/>
                <w:i/>
                <w:iCs/>
                <w:color w:val="000066"/>
                <w:sz w:val="24"/>
                <w:szCs w:val="24"/>
                <w:lang w:eastAsia="it-IT"/>
              </w:rPr>
              <w:t>CHEMICAL ENGINEERING</w:t>
            </w:r>
            <w:r w:rsidRPr="00413601">
              <w:rPr>
                <w:rFonts w:cs="Arial"/>
                <w:b/>
                <w:bCs/>
                <w:i/>
                <w:iCs/>
                <w:color w:val="0033FF"/>
                <w:sz w:val="24"/>
                <w:szCs w:val="24"/>
                <w:lang w:eastAsia="it-IT"/>
              </w:rPr>
              <w:t xml:space="preserve"> </w:t>
            </w:r>
            <w:r w:rsidRPr="00413601">
              <w:rPr>
                <w:rFonts w:cs="Arial"/>
                <w:b/>
                <w:bCs/>
                <w:i/>
                <w:iCs/>
                <w:color w:val="666666"/>
                <w:sz w:val="24"/>
                <w:szCs w:val="24"/>
                <w:lang w:eastAsia="it-IT"/>
              </w:rPr>
              <w:t>TRANSACTIONS</w:t>
            </w:r>
            <w:r w:rsidRPr="00413601">
              <w:rPr>
                <w:color w:val="333333"/>
                <w:sz w:val="24"/>
                <w:szCs w:val="24"/>
                <w:lang w:eastAsia="it-IT"/>
              </w:rPr>
              <w:t xml:space="preserve"> </w:t>
            </w:r>
            <w:r w:rsidRPr="00413601">
              <w:rPr>
                <w:rFonts w:cs="Arial"/>
                <w:b/>
                <w:bCs/>
                <w:i/>
                <w:iCs/>
                <w:color w:val="000066"/>
                <w:sz w:val="27"/>
                <w:szCs w:val="27"/>
                <w:lang w:eastAsia="it-IT"/>
              </w:rPr>
              <w:br/>
            </w:r>
          </w:p>
          <w:p w14:paraId="4B780582" w14:textId="530285EB" w:rsidR="000A03B2" w:rsidRPr="00413601" w:rsidRDefault="00A76EFC" w:rsidP="001D21AF">
            <w:pPr>
              <w:tabs>
                <w:tab w:val="left" w:pos="-108"/>
              </w:tabs>
              <w:ind w:left="-108"/>
              <w:rPr>
                <w:rFonts w:cs="Arial"/>
                <w:b/>
                <w:bCs/>
                <w:i/>
                <w:iCs/>
                <w:color w:val="000066"/>
                <w:sz w:val="22"/>
                <w:szCs w:val="22"/>
                <w:lang w:eastAsia="it-IT"/>
              </w:rPr>
            </w:pPr>
            <w:r w:rsidRPr="00413601">
              <w:rPr>
                <w:rFonts w:cs="Arial"/>
                <w:b/>
                <w:bCs/>
                <w:i/>
                <w:iCs/>
                <w:color w:val="000066"/>
                <w:sz w:val="22"/>
                <w:szCs w:val="22"/>
                <w:lang w:eastAsia="it-IT"/>
              </w:rPr>
              <w:t xml:space="preserve">VOL. </w:t>
            </w:r>
            <w:r w:rsidR="0030152C" w:rsidRPr="00413601">
              <w:rPr>
                <w:rFonts w:cs="Arial"/>
                <w:b/>
                <w:bCs/>
                <w:i/>
                <w:iCs/>
                <w:color w:val="000066"/>
                <w:sz w:val="22"/>
                <w:szCs w:val="22"/>
                <w:lang w:eastAsia="it-IT"/>
              </w:rPr>
              <w:t xml:space="preserve">   </w:t>
            </w:r>
            <w:r w:rsidR="007B48F9" w:rsidRPr="00413601">
              <w:rPr>
                <w:rFonts w:cs="Arial"/>
                <w:b/>
                <w:bCs/>
                <w:i/>
                <w:iCs/>
                <w:color w:val="000066"/>
                <w:sz w:val="22"/>
                <w:szCs w:val="22"/>
                <w:lang w:eastAsia="it-IT"/>
              </w:rPr>
              <w:t>,</w:t>
            </w:r>
            <w:r w:rsidR="00FA5F5F" w:rsidRPr="00413601">
              <w:rPr>
                <w:rFonts w:cs="Arial"/>
                <w:b/>
                <w:bCs/>
                <w:i/>
                <w:iCs/>
                <w:color w:val="000066"/>
                <w:sz w:val="22"/>
                <w:szCs w:val="22"/>
                <w:lang w:eastAsia="it-IT"/>
              </w:rPr>
              <w:t xml:space="preserve"> </w:t>
            </w:r>
            <w:r w:rsidR="0030152C" w:rsidRPr="00413601">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413601" w:rsidRDefault="000A03B2" w:rsidP="00CD5FE2">
            <w:pPr>
              <w:spacing w:line="140" w:lineRule="atLeast"/>
              <w:jc w:val="right"/>
              <w:rPr>
                <w:rFonts w:cs="Arial"/>
                <w:sz w:val="14"/>
                <w:szCs w:val="14"/>
              </w:rPr>
            </w:pPr>
            <w:r w:rsidRPr="00413601">
              <w:rPr>
                <w:rFonts w:cs="Arial"/>
                <w:sz w:val="14"/>
                <w:szCs w:val="14"/>
              </w:rPr>
              <w:t>A publication of</w:t>
            </w:r>
          </w:p>
          <w:p w14:paraId="599E5441" w14:textId="77777777" w:rsidR="000A03B2" w:rsidRPr="00413601" w:rsidRDefault="000A03B2" w:rsidP="00CD5FE2">
            <w:pPr>
              <w:jc w:val="right"/>
            </w:pPr>
            <w:r w:rsidRPr="00413601">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413601" w14:paraId="380FA3CD" w14:textId="77777777" w:rsidTr="007C7477">
        <w:trPr>
          <w:trHeight w:val="567"/>
          <w:jc w:val="center"/>
        </w:trPr>
        <w:tc>
          <w:tcPr>
            <w:tcW w:w="6940" w:type="dxa"/>
            <w:vMerge/>
            <w:tcBorders>
              <w:right w:val="single" w:sz="4" w:space="0" w:color="auto"/>
            </w:tcBorders>
          </w:tcPr>
          <w:p w14:paraId="39E5E4C1" w14:textId="77777777" w:rsidR="000A03B2" w:rsidRPr="00413601"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413601" w:rsidRDefault="000A03B2" w:rsidP="00CD5FE2">
            <w:pPr>
              <w:spacing w:line="140" w:lineRule="atLeast"/>
              <w:jc w:val="right"/>
              <w:rPr>
                <w:rFonts w:cs="Arial"/>
                <w:sz w:val="14"/>
                <w:szCs w:val="14"/>
              </w:rPr>
            </w:pPr>
            <w:r w:rsidRPr="00413601">
              <w:rPr>
                <w:rFonts w:cs="Arial"/>
                <w:sz w:val="14"/>
                <w:szCs w:val="14"/>
              </w:rPr>
              <w:t>The Italian Association</w:t>
            </w:r>
          </w:p>
          <w:p w14:paraId="7522B1D2" w14:textId="77777777" w:rsidR="000A03B2" w:rsidRPr="00413601" w:rsidRDefault="000A03B2" w:rsidP="00CD5FE2">
            <w:pPr>
              <w:spacing w:line="140" w:lineRule="atLeast"/>
              <w:jc w:val="right"/>
              <w:rPr>
                <w:rFonts w:cs="Arial"/>
                <w:sz w:val="14"/>
                <w:szCs w:val="14"/>
              </w:rPr>
            </w:pPr>
            <w:r w:rsidRPr="00413601">
              <w:rPr>
                <w:rFonts w:cs="Arial"/>
                <w:sz w:val="14"/>
                <w:szCs w:val="14"/>
              </w:rPr>
              <w:t>of Chemical Engineering</w:t>
            </w:r>
          </w:p>
          <w:p w14:paraId="4F0CC5DE" w14:textId="47FDB2FC" w:rsidR="000A03B2" w:rsidRPr="00413601" w:rsidRDefault="000D0268" w:rsidP="00CD5FE2">
            <w:pPr>
              <w:spacing w:line="140" w:lineRule="atLeast"/>
              <w:jc w:val="right"/>
              <w:rPr>
                <w:rFonts w:cs="Arial"/>
                <w:sz w:val="13"/>
                <w:szCs w:val="13"/>
              </w:rPr>
            </w:pPr>
            <w:r w:rsidRPr="00413601">
              <w:rPr>
                <w:rFonts w:cs="Arial"/>
                <w:sz w:val="13"/>
                <w:szCs w:val="13"/>
              </w:rPr>
              <w:t>Online at www.cetjournal.it</w:t>
            </w:r>
          </w:p>
        </w:tc>
      </w:tr>
      <w:tr w:rsidR="000A03B2" w:rsidRPr="00413601" w14:paraId="2D1B7169" w14:textId="77777777" w:rsidTr="007C7477">
        <w:trPr>
          <w:trHeight w:val="68"/>
          <w:jc w:val="center"/>
        </w:trPr>
        <w:tc>
          <w:tcPr>
            <w:tcW w:w="8782" w:type="dxa"/>
            <w:gridSpan w:val="2"/>
          </w:tcPr>
          <w:p w14:paraId="1D8DD3C9" w14:textId="77777777" w:rsidR="00AA7D26" w:rsidRPr="00413601" w:rsidRDefault="00AA7D26" w:rsidP="00AA7D26">
            <w:pPr>
              <w:ind w:left="-107"/>
              <w:outlineLvl w:val="2"/>
              <w:rPr>
                <w:rFonts w:ascii="Tahoma" w:hAnsi="Tahoma" w:cs="Tahoma"/>
                <w:bCs/>
                <w:color w:val="000000"/>
                <w:sz w:val="14"/>
                <w:szCs w:val="14"/>
                <w:lang w:eastAsia="it-IT"/>
              </w:rPr>
            </w:pPr>
            <w:r w:rsidRPr="00413601">
              <w:rPr>
                <w:rFonts w:ascii="Tahoma" w:hAnsi="Tahoma" w:cs="Tahoma"/>
                <w:iCs/>
                <w:color w:val="333333"/>
                <w:sz w:val="14"/>
                <w:szCs w:val="14"/>
                <w:lang w:eastAsia="it-IT"/>
              </w:rPr>
              <w:t>Guest Editors:</w:t>
            </w:r>
            <w:r w:rsidRPr="00413601">
              <w:rPr>
                <w:rFonts w:ascii="Tahoma" w:hAnsi="Tahoma" w:cs="Tahoma"/>
                <w:color w:val="000000"/>
                <w:sz w:val="14"/>
                <w:szCs w:val="14"/>
              </w:rPr>
              <w:t xml:space="preserve"> </w:t>
            </w:r>
            <w:r w:rsidRPr="00413601">
              <w:rPr>
                <w:rFonts w:ascii="Tahoma" w:hAnsi="Tahoma" w:cs="Tahoma"/>
                <w:sz w:val="14"/>
                <w:szCs w:val="14"/>
              </w:rPr>
              <w:t>Sauro Pierucci, Jiří Jaromír Klemeš</w:t>
            </w:r>
          </w:p>
          <w:p w14:paraId="1B0F1814" w14:textId="650290B9" w:rsidR="000A03B2" w:rsidRPr="00413601" w:rsidRDefault="00AA7D26" w:rsidP="00AA7D26">
            <w:pPr>
              <w:tabs>
                <w:tab w:val="left" w:pos="-108"/>
              </w:tabs>
              <w:spacing w:line="140" w:lineRule="atLeast"/>
              <w:ind w:left="-107"/>
              <w:jc w:val="left"/>
            </w:pPr>
            <w:r w:rsidRPr="00413601">
              <w:rPr>
                <w:rFonts w:ascii="Tahoma" w:hAnsi="Tahoma" w:cs="Tahoma"/>
                <w:iCs/>
                <w:color w:val="333333"/>
                <w:sz w:val="14"/>
                <w:szCs w:val="14"/>
                <w:lang w:eastAsia="it-IT"/>
              </w:rPr>
              <w:t>Copyright © 2023, AIDIC Servizi S.r.l.</w:t>
            </w:r>
            <w:r w:rsidRPr="00413601">
              <w:rPr>
                <w:rFonts w:ascii="Tahoma" w:hAnsi="Tahoma" w:cs="Tahoma"/>
                <w:iCs/>
                <w:color w:val="333333"/>
                <w:sz w:val="14"/>
                <w:szCs w:val="14"/>
                <w:lang w:eastAsia="it-IT"/>
              </w:rPr>
              <w:br/>
            </w:r>
            <w:r w:rsidRPr="00413601">
              <w:rPr>
                <w:rFonts w:ascii="Tahoma" w:hAnsi="Tahoma" w:cs="Tahoma"/>
                <w:b/>
                <w:iCs/>
                <w:color w:val="000000"/>
                <w:sz w:val="14"/>
                <w:szCs w:val="14"/>
                <w:lang w:eastAsia="it-IT"/>
              </w:rPr>
              <w:t>ISBN</w:t>
            </w:r>
            <w:r w:rsidRPr="00413601">
              <w:rPr>
                <w:rFonts w:ascii="Tahoma" w:hAnsi="Tahoma" w:cs="Tahoma"/>
                <w:iCs/>
                <w:color w:val="000000"/>
                <w:sz w:val="14"/>
                <w:szCs w:val="14"/>
                <w:lang w:eastAsia="it-IT"/>
              </w:rPr>
              <w:t xml:space="preserve"> </w:t>
            </w:r>
            <w:r w:rsidRPr="00413601">
              <w:rPr>
                <w:rFonts w:ascii="Tahoma" w:hAnsi="Tahoma" w:cs="Tahoma"/>
                <w:sz w:val="14"/>
                <w:szCs w:val="14"/>
              </w:rPr>
              <w:t>978-88-95608-98-3</w:t>
            </w:r>
            <w:r w:rsidRPr="00413601">
              <w:rPr>
                <w:rFonts w:ascii="Tahoma" w:hAnsi="Tahoma" w:cs="Tahoma"/>
                <w:iCs/>
                <w:color w:val="333333"/>
                <w:sz w:val="14"/>
                <w:szCs w:val="14"/>
                <w:lang w:eastAsia="it-IT"/>
              </w:rPr>
              <w:t xml:space="preserve">; </w:t>
            </w:r>
            <w:r w:rsidRPr="00413601">
              <w:rPr>
                <w:rFonts w:ascii="Tahoma" w:hAnsi="Tahoma" w:cs="Tahoma"/>
                <w:b/>
                <w:iCs/>
                <w:color w:val="333333"/>
                <w:sz w:val="14"/>
                <w:szCs w:val="14"/>
                <w:lang w:eastAsia="it-IT"/>
              </w:rPr>
              <w:t>ISSN</w:t>
            </w:r>
            <w:r w:rsidRPr="00413601">
              <w:rPr>
                <w:rFonts w:ascii="Tahoma" w:hAnsi="Tahoma" w:cs="Tahoma"/>
                <w:iCs/>
                <w:color w:val="333333"/>
                <w:sz w:val="14"/>
                <w:szCs w:val="14"/>
                <w:lang w:eastAsia="it-IT"/>
              </w:rPr>
              <w:t xml:space="preserve"> 2283-9216</w:t>
            </w:r>
          </w:p>
        </w:tc>
      </w:tr>
    </w:tbl>
    <w:p w14:paraId="2E667253" w14:textId="6C846E7E" w:rsidR="00E978D0" w:rsidRPr="00413601" w:rsidRDefault="007C7477" w:rsidP="00E978D0">
      <w:pPr>
        <w:pStyle w:val="CETTitle"/>
      </w:pPr>
      <w:r w:rsidRPr="00413601">
        <w:t>CFD-based Design of Multi-tube Heat Exchange Type Compact Reactor</w:t>
      </w:r>
    </w:p>
    <w:p w14:paraId="0488FED2" w14:textId="438D383C" w:rsidR="00B57E6F" w:rsidRPr="00413601" w:rsidRDefault="007C7477" w:rsidP="00B57E6F">
      <w:pPr>
        <w:pStyle w:val="CETAuthors"/>
      </w:pPr>
      <w:r w:rsidRPr="00413601">
        <w:t>Yumiko Segawa</w:t>
      </w:r>
      <w:r w:rsidR="00B57E6F" w:rsidRPr="00413601">
        <w:t xml:space="preserve">, </w:t>
      </w:r>
      <w:r w:rsidRPr="00413601">
        <w:t>Osamu Tonomura</w:t>
      </w:r>
      <w:r w:rsidR="00B57E6F" w:rsidRPr="00413601">
        <w:t xml:space="preserve">*, </w:t>
      </w:r>
      <w:r w:rsidRPr="00413601">
        <w:t>Ken-ichiro Sotowa</w:t>
      </w:r>
    </w:p>
    <w:p w14:paraId="3D72B0B0" w14:textId="1F9BDDF5" w:rsidR="00B57E6F" w:rsidRPr="00413601" w:rsidRDefault="007C7477" w:rsidP="007C7477">
      <w:pPr>
        <w:pStyle w:val="CETAddress"/>
      </w:pPr>
      <w:r w:rsidRPr="00413601">
        <w:t>Dept. of Chemical Engineering, Kyoto University, Kyoto 615-8510, Japan</w:t>
      </w:r>
      <w:r w:rsidR="00B57E6F" w:rsidRPr="00413601">
        <w:t xml:space="preserve"> </w:t>
      </w:r>
    </w:p>
    <w:p w14:paraId="73F1267A" w14:textId="4A01DE70" w:rsidR="00B57E6F" w:rsidRPr="00413601" w:rsidRDefault="007C7477" w:rsidP="00B57E6F">
      <w:pPr>
        <w:pStyle w:val="CETemail"/>
      </w:pPr>
      <w:r w:rsidRPr="00413601">
        <w:t>tonomura</w:t>
      </w:r>
      <w:r w:rsidR="00B57E6F" w:rsidRPr="00413601">
        <w:t>@</w:t>
      </w:r>
      <w:r w:rsidRPr="00413601">
        <w:t>cheme.kyoto-u.ac.jp</w:t>
      </w:r>
    </w:p>
    <w:p w14:paraId="05BBDA01" w14:textId="7CF9A3BB" w:rsidR="00C3543F" w:rsidRPr="00413601" w:rsidRDefault="007C7477" w:rsidP="00600535">
      <w:pPr>
        <w:pStyle w:val="CETBodytext"/>
        <w:rPr>
          <w:lang w:val="en-GB"/>
        </w:rPr>
      </w:pPr>
      <w:r w:rsidRPr="00413601">
        <w:rPr>
          <w:lang w:val="en-GB"/>
        </w:rPr>
        <w:t xml:space="preserve">The production capacity of compact reactors with micrometer or millimeter-scale channels or tubes is increased by numbering-up. In previous studies, a multi-channel plate type reactor and a multi-tube type reactor (MTR) were developed and applied to extraction and reaction operations. Fluid distribution has often been evaluated to design these reactors, but temperature control, which is critical to the reaction, has not been fully considered. It is important to solve this problem and establish a design method. In this study, computational fluid dynamics (CFD)-based design </w:t>
      </w:r>
      <w:r w:rsidR="00213422">
        <w:rPr>
          <w:lang w:val="en-GB"/>
        </w:rPr>
        <w:t>wa</w:t>
      </w:r>
      <w:r w:rsidR="00213422" w:rsidRPr="00413601">
        <w:rPr>
          <w:lang w:val="en-GB"/>
        </w:rPr>
        <w:t xml:space="preserve">s </w:t>
      </w:r>
      <w:r w:rsidRPr="00413601">
        <w:rPr>
          <w:lang w:val="en-GB"/>
        </w:rPr>
        <w:t xml:space="preserve">performed so as to </w:t>
      </w:r>
      <w:r w:rsidR="00AC316D">
        <w:rPr>
          <w:lang w:val="en-GB"/>
        </w:rPr>
        <w:t>achieve</w:t>
      </w:r>
      <w:r w:rsidR="00AC316D" w:rsidRPr="00413601">
        <w:rPr>
          <w:lang w:val="en-GB"/>
        </w:rPr>
        <w:t xml:space="preserve"> </w:t>
      </w:r>
      <w:r w:rsidRPr="00413601">
        <w:rPr>
          <w:lang w:val="en-GB"/>
        </w:rPr>
        <w:t xml:space="preserve">the uniform flow and temperature distributions among the reaction tubes in the MTR, where an exothermic reaction proceeds in each tube with an immobilized catalyst and the reaction temperature is controlled by a coolant flowing outside the tubes. </w:t>
      </w:r>
      <w:r w:rsidR="00213422">
        <w:rPr>
          <w:rFonts w:eastAsia="ＭＳ 明朝" w:hint="eastAsia"/>
          <w:lang w:val="en-GB" w:eastAsia="ja-JP"/>
        </w:rPr>
        <w:t>E</w:t>
      </w:r>
      <w:r w:rsidR="00213422">
        <w:rPr>
          <w:rFonts w:eastAsia="ＭＳ 明朝"/>
          <w:lang w:val="en-GB" w:eastAsia="ja-JP"/>
        </w:rPr>
        <w:t xml:space="preserve">ffects of </w:t>
      </w:r>
      <w:r w:rsidR="004A6476">
        <w:rPr>
          <w:rFonts w:eastAsia="ＭＳ 明朝" w:hint="eastAsia"/>
          <w:lang w:val="en-GB" w:eastAsia="ja-JP"/>
        </w:rPr>
        <w:t>m</w:t>
      </w:r>
      <w:r w:rsidR="004A6476">
        <w:rPr>
          <w:rFonts w:eastAsia="ＭＳ 明朝"/>
          <w:lang w:val="en-GB" w:eastAsia="ja-JP"/>
        </w:rPr>
        <w:t>ulti-tube arrangement of lattice, concentric circles and single circle</w:t>
      </w:r>
      <w:r w:rsidR="00213422">
        <w:rPr>
          <w:rFonts w:eastAsia="ＭＳ 明朝"/>
          <w:lang w:val="en-GB" w:eastAsia="ja-JP"/>
        </w:rPr>
        <w:t xml:space="preserve">, </w:t>
      </w:r>
      <w:r w:rsidR="004A6476">
        <w:rPr>
          <w:rFonts w:eastAsia="ＭＳ 明朝" w:hint="eastAsia"/>
          <w:lang w:val="en-GB" w:eastAsia="ja-JP"/>
        </w:rPr>
        <w:t>s</w:t>
      </w:r>
      <w:r w:rsidR="004A6476">
        <w:rPr>
          <w:rFonts w:eastAsia="ＭＳ 明朝"/>
          <w:lang w:val="en-GB" w:eastAsia="ja-JP"/>
        </w:rPr>
        <w:t xml:space="preserve">hell </w:t>
      </w:r>
      <w:r w:rsidR="00213422" w:rsidRPr="00213422">
        <w:rPr>
          <w:rFonts w:eastAsia="ＭＳ 明朝"/>
          <w:lang w:val="en-GB" w:eastAsia="ja-JP"/>
        </w:rPr>
        <w:t>cross-sectional</w:t>
      </w:r>
      <w:r w:rsidR="00213422">
        <w:rPr>
          <w:rFonts w:eastAsia="ＭＳ 明朝"/>
          <w:lang w:val="en-GB" w:eastAsia="ja-JP"/>
        </w:rPr>
        <w:t xml:space="preserve"> </w:t>
      </w:r>
      <w:r w:rsidR="004A6476">
        <w:rPr>
          <w:rFonts w:eastAsia="ＭＳ 明朝"/>
          <w:lang w:val="en-GB" w:eastAsia="ja-JP"/>
        </w:rPr>
        <w:t>shape of circle, rectangle and ring</w:t>
      </w:r>
      <w:r w:rsidR="00213422">
        <w:rPr>
          <w:rFonts w:eastAsia="ＭＳ 明朝"/>
          <w:lang w:val="en-GB" w:eastAsia="ja-JP"/>
        </w:rPr>
        <w:t xml:space="preserve">, and reaction tubes with or without </w:t>
      </w:r>
      <w:r w:rsidR="000B201B" w:rsidRPr="00413601">
        <w:t>catalyst-free</w:t>
      </w:r>
      <w:r w:rsidR="000B201B">
        <w:rPr>
          <w:rFonts w:eastAsia="ＭＳ 明朝"/>
          <w:lang w:val="en-GB" w:eastAsia="ja-JP"/>
        </w:rPr>
        <w:t xml:space="preserve"> </w:t>
      </w:r>
      <w:r w:rsidR="00213422">
        <w:rPr>
          <w:rFonts w:eastAsia="ＭＳ 明朝"/>
          <w:lang w:val="en-GB" w:eastAsia="ja-JP"/>
        </w:rPr>
        <w:t xml:space="preserve">inert sections on the reactor performance were investigated by CFD. </w:t>
      </w:r>
      <w:r w:rsidRPr="00413601">
        <w:rPr>
          <w:lang w:val="en-GB"/>
        </w:rPr>
        <w:t xml:space="preserve">The usefulness of a two-step </w:t>
      </w:r>
      <w:r w:rsidR="00213422">
        <w:rPr>
          <w:lang w:val="en-GB"/>
        </w:rPr>
        <w:t xml:space="preserve">approach </w:t>
      </w:r>
      <w:r w:rsidR="00213422" w:rsidRPr="00213422">
        <w:rPr>
          <w:lang w:val="en-GB"/>
        </w:rPr>
        <w:t>of designing the MTR after designing the double-tub</w:t>
      </w:r>
      <w:r w:rsidR="00213422">
        <w:rPr>
          <w:lang w:val="en-GB"/>
        </w:rPr>
        <w:t>ular</w:t>
      </w:r>
      <w:r w:rsidR="00213422" w:rsidRPr="00213422">
        <w:rPr>
          <w:lang w:val="en-GB"/>
        </w:rPr>
        <w:t xml:space="preserve"> reactor</w:t>
      </w:r>
      <w:r w:rsidR="00213422">
        <w:rPr>
          <w:lang w:val="en-GB"/>
        </w:rPr>
        <w:t xml:space="preserve"> </w:t>
      </w:r>
      <w:r w:rsidRPr="00413601">
        <w:rPr>
          <w:lang w:val="en-GB"/>
        </w:rPr>
        <w:t>was confirmed through a case study on parallel reactions.</w:t>
      </w:r>
    </w:p>
    <w:p w14:paraId="476B2F2E" w14:textId="77777777" w:rsidR="00600535" w:rsidRPr="00413601" w:rsidRDefault="00600535" w:rsidP="00600535">
      <w:pPr>
        <w:pStyle w:val="CETHeading1"/>
        <w:rPr>
          <w:lang w:val="en-GB"/>
        </w:rPr>
      </w:pPr>
      <w:r w:rsidRPr="00413601">
        <w:rPr>
          <w:lang w:val="en-GB"/>
        </w:rPr>
        <w:t>Introduction</w:t>
      </w:r>
    </w:p>
    <w:p w14:paraId="2DC9639C" w14:textId="15B2FF12" w:rsidR="007C7477" w:rsidRPr="00413601" w:rsidRDefault="007C7477" w:rsidP="00600535">
      <w:pPr>
        <w:pStyle w:val="CETBodytext"/>
        <w:rPr>
          <w:lang w:val="en-GB"/>
        </w:rPr>
      </w:pPr>
      <w:r w:rsidRPr="00413601">
        <w:rPr>
          <w:lang w:val="en-GB"/>
        </w:rPr>
        <w:t xml:space="preserve">Compact reactors with micrometer or millimeter-scale channels have been attracting attention in the fields of fine chemicals and pharmaceuticals in recent years due to their advantages of efficient mass and heat transfer and precise control of short residence time (Tsubogo et al., 2015). The production capacity of compact reactors is increased by numbering-up, which means the parallelization of channels or tubes. Typical compact reactors with numbering-up structure are multi-tube type reactors (MTRs) and multi-channel plate type reactors (MCPRs). The MTR can be regarded as a scaled-down version of the conventional shell-and-tube type device. The MCPR has a structure in which parallelized channels are processed in one plate and the plates are stacked as necessary. </w:t>
      </w:r>
    </w:p>
    <w:p w14:paraId="0EF01BD3" w14:textId="2C682FAA" w:rsidR="007C7477" w:rsidRPr="00413601" w:rsidRDefault="007C7477" w:rsidP="00600535">
      <w:pPr>
        <w:pStyle w:val="CETBodytext"/>
        <w:rPr>
          <w:lang w:val="en-GB"/>
        </w:rPr>
      </w:pPr>
    </w:p>
    <w:p w14:paraId="33F96792" w14:textId="4239FF9E" w:rsidR="007C7477" w:rsidRPr="00413601" w:rsidRDefault="007C7477" w:rsidP="00600535">
      <w:pPr>
        <w:pStyle w:val="CETBodytext"/>
        <w:rPr>
          <w:lang w:val="en-GB"/>
        </w:rPr>
      </w:pPr>
      <w:r w:rsidRPr="00413601">
        <w:rPr>
          <w:lang w:val="en-GB"/>
        </w:rPr>
        <w:t xml:space="preserve">Flow distributions in the compact reactors with numbering-up structure for single-phase and multi-phase flows have been evaluated by experiments and simulations (e.g., Rebrov, et al., 2007; Shen, et al., 2018; Park et al., 2018), and the fluid distribution section in the reactors has been designed to achieve the uniform flow distribution (e.g., Dong, et al., 2017; Tonomura, et al., 2019a; Tonomura, et al., 2022). Applications of the compact reactors to reaction and extraction operations have also been reported (e.g., Noishiki et al., 2013; Su et al., </w:t>
      </w:r>
      <w:r w:rsidR="003D1A02" w:rsidRPr="00413601">
        <w:rPr>
          <w:lang w:val="en-GB"/>
        </w:rPr>
        <w:t>201</w:t>
      </w:r>
      <w:r w:rsidR="003D1A02">
        <w:rPr>
          <w:lang w:val="en-GB"/>
        </w:rPr>
        <w:t>6</w:t>
      </w:r>
      <w:r w:rsidRPr="00413601">
        <w:rPr>
          <w:lang w:val="en-GB"/>
        </w:rPr>
        <w:t xml:space="preserve">; Tonomura, et al., 2019b). However, temperature control, which is critical to the reaction, has not been fully considered, especially for the MTR. It is important to solve this problem and establish a design method. In this study, computational fluid dynamics (CFD)-based design is performed so as to </w:t>
      </w:r>
      <w:r w:rsidR="00AC316D">
        <w:rPr>
          <w:lang w:val="en-GB"/>
        </w:rPr>
        <w:t>achieve</w:t>
      </w:r>
      <w:r w:rsidRPr="00413601">
        <w:rPr>
          <w:lang w:val="en-GB"/>
        </w:rPr>
        <w:t xml:space="preserve"> the uniform flow and temperature distributions among the reaction tubes in the MTR, where an exothermic reaction proceeds in each tube with an immobilized catalyst and the reaction temperature is controlled by a coolant flowing outside the tubes.</w:t>
      </w:r>
    </w:p>
    <w:p w14:paraId="5741900F" w14:textId="3C6BB263" w:rsidR="00453E24" w:rsidRPr="00413601" w:rsidRDefault="007C7477" w:rsidP="00453E24">
      <w:pPr>
        <w:pStyle w:val="CETHeading1"/>
      </w:pPr>
      <w:r w:rsidRPr="00413601">
        <w:t>CFD-based two-step design for MTR</w:t>
      </w:r>
    </w:p>
    <w:p w14:paraId="50D109A5" w14:textId="46102D02" w:rsidR="007C7477" w:rsidRPr="00413601" w:rsidRDefault="007C7477" w:rsidP="00453E24">
      <w:pPr>
        <w:pStyle w:val="CETBodytext"/>
        <w:rPr>
          <w:rFonts w:eastAsia="ＭＳ 明朝"/>
          <w:lang w:eastAsia="ja-JP"/>
        </w:rPr>
      </w:pPr>
      <w:r w:rsidRPr="00413601">
        <w:rPr>
          <w:rFonts w:eastAsia="ＭＳ 明朝"/>
          <w:lang w:eastAsia="ja-JP"/>
        </w:rPr>
        <w:t xml:space="preserve">Figure 1 shows an example of MTRs. The MTR consists of a reaction fluid distribution section, a multi-tube section, and a reaction fluid collection section. The multi-tube section consists of parallelized reaction tubes and </w:t>
      </w:r>
      <w:r w:rsidRPr="00413601">
        <w:rPr>
          <w:rFonts w:eastAsia="ＭＳ 明朝"/>
          <w:lang w:eastAsia="ja-JP"/>
        </w:rPr>
        <w:lastRenderedPageBreak/>
        <w:t>a shell surrounding them. The structure and dimensions of the MTR have to be determined so as to satisfy given design conditions and requirements such as a reaction system, reaction rate, target production volume. In this study, a two-step design using CFD is proposed to determine them. The proposed two-step design is as follows: Step 1 is the design of a double-tubular reactor with reaction and coolant fluids flowing through the inner and outer tubes, respectively</w:t>
      </w:r>
      <w:r w:rsidR="001421C7" w:rsidRPr="00413601">
        <w:rPr>
          <w:rFonts w:eastAsia="ＭＳ 明朝"/>
          <w:lang w:eastAsia="ja-JP"/>
        </w:rPr>
        <w:t>, as shown in Figure 2.</w:t>
      </w:r>
      <w:r w:rsidRPr="00413601">
        <w:rPr>
          <w:rFonts w:eastAsia="ＭＳ 明朝"/>
          <w:lang w:eastAsia="ja-JP"/>
        </w:rPr>
        <w:t xml:space="preserve"> Here, the design and operation variables are determined using CFD model. Step 2 is the design of the MTR. The required number of tubes, which are parallelized in the M</w:t>
      </w:r>
      <w:r w:rsidR="00687C55" w:rsidRPr="00413601">
        <w:rPr>
          <w:rFonts w:eastAsia="ＭＳ 明朝"/>
          <w:lang w:eastAsia="ja-JP"/>
        </w:rPr>
        <w:t>T</w:t>
      </w:r>
      <w:r w:rsidRPr="00413601">
        <w:rPr>
          <w:rFonts w:eastAsia="ＭＳ 明朝"/>
          <w:lang w:eastAsia="ja-JP"/>
        </w:rPr>
        <w:t xml:space="preserve">R, is obtained by dividing the target production volume by the production volume of the double-tubular reactor designed in step 1. Design and operation variables such as the tube arrangement, the shape and size of the shell, the diameter and position of the coolant nozzles, and the coolant flow rate are determined using CFD model such that the temperature distribution of </w:t>
      </w:r>
      <w:r w:rsidR="005F51E3" w:rsidRPr="00413601">
        <w:rPr>
          <w:rFonts w:eastAsia="ＭＳ 明朝"/>
          <w:lang w:eastAsia="ja-JP"/>
        </w:rPr>
        <w:t xml:space="preserve">each tube in </w:t>
      </w:r>
      <w:r w:rsidRPr="00413601">
        <w:rPr>
          <w:rFonts w:eastAsia="ＭＳ 明朝"/>
          <w:lang w:eastAsia="ja-JP"/>
        </w:rPr>
        <w:t xml:space="preserve">the MTR is equal to that obtained in Step 1. After designing the multi-tube section, the reaction fluid distribution and collection sections are designed to </w:t>
      </w:r>
      <w:r w:rsidR="00AC316D">
        <w:rPr>
          <w:lang w:val="en-GB"/>
        </w:rPr>
        <w:t>achieve</w:t>
      </w:r>
      <w:r w:rsidRPr="00413601">
        <w:rPr>
          <w:rFonts w:eastAsia="ＭＳ 明朝"/>
          <w:lang w:eastAsia="ja-JP"/>
        </w:rPr>
        <w:t xml:space="preserve"> the uniform flow distribution of the react</w:t>
      </w:r>
      <w:r w:rsidR="005F51E3" w:rsidRPr="00413601">
        <w:rPr>
          <w:rFonts w:eastAsia="ＭＳ 明朝"/>
          <w:lang w:eastAsia="ja-JP"/>
        </w:rPr>
        <w:t>ant</w:t>
      </w:r>
      <w:r w:rsidRPr="00413601">
        <w:rPr>
          <w:rFonts w:eastAsia="ＭＳ 明朝"/>
          <w:lang w:eastAsia="ja-JP"/>
        </w:rPr>
        <w:t>.</w:t>
      </w:r>
    </w:p>
    <w:p w14:paraId="63158B3F" w14:textId="7BE3D756" w:rsidR="007C7477" w:rsidRPr="00413601" w:rsidRDefault="007C7477" w:rsidP="007C7477">
      <w:pPr>
        <w:snapToGrid w:val="0"/>
        <w:rPr>
          <w:sz w:val="20"/>
        </w:rPr>
      </w:pPr>
      <w:r w:rsidRPr="00413601">
        <w:rPr>
          <w:rFonts w:hint="eastAsia"/>
          <w:noProof/>
        </w:rPr>
        <w:drawing>
          <wp:inline distT="0" distB="0" distL="0" distR="0" wp14:anchorId="2D55ED3F" wp14:editId="5CDB3053">
            <wp:extent cx="3918232" cy="2213572"/>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2017"/>
                    <a:stretch/>
                  </pic:blipFill>
                  <pic:spPr bwMode="auto">
                    <a:xfrm>
                      <a:off x="0" y="0"/>
                      <a:ext cx="3963313" cy="2239040"/>
                    </a:xfrm>
                    <a:prstGeom prst="rect">
                      <a:avLst/>
                    </a:prstGeom>
                    <a:noFill/>
                    <a:ln>
                      <a:noFill/>
                    </a:ln>
                    <a:extLst>
                      <a:ext uri="{53640926-AAD7-44D8-BBD7-CCE9431645EC}">
                        <a14:shadowObscured xmlns:a14="http://schemas.microsoft.com/office/drawing/2010/main"/>
                      </a:ext>
                    </a:extLst>
                  </pic:spPr>
                </pic:pic>
              </a:graphicData>
            </a:graphic>
          </wp:inline>
        </w:drawing>
      </w:r>
    </w:p>
    <w:p w14:paraId="4C8BE17A" w14:textId="49CDF8B0" w:rsidR="007C7477" w:rsidRPr="00413601" w:rsidRDefault="007C7477" w:rsidP="007C7477">
      <w:pPr>
        <w:pStyle w:val="CETCaption"/>
        <w:rPr>
          <w:rStyle w:val="CETCaptionCarattere"/>
          <w:rFonts w:ascii="ＭＳ 明朝" w:eastAsia="ＭＳ 明朝" w:hAnsi="ＭＳ 明朝" w:cs="ＭＳ 明朝"/>
          <w:i/>
          <w:iCs/>
          <w:lang w:eastAsia="ja-JP"/>
        </w:rPr>
      </w:pPr>
      <w:r w:rsidRPr="00413601">
        <w:rPr>
          <w:rStyle w:val="CETCaptionCarattere"/>
          <w:i/>
          <w:iCs/>
        </w:rPr>
        <w:t xml:space="preserve">Figure 1: MTR (tube arrangement: lattice, </w:t>
      </w:r>
      <w:r w:rsidR="00732CDB" w:rsidRPr="00732CDB">
        <w:rPr>
          <w:rStyle w:val="CETCaptionCarattere"/>
          <w:i/>
          <w:iCs/>
        </w:rPr>
        <w:t>shell cross-sectional shape</w:t>
      </w:r>
      <w:r w:rsidRPr="00413601">
        <w:rPr>
          <w:rStyle w:val="CETCaptionCarattere"/>
          <w:i/>
          <w:iCs/>
        </w:rPr>
        <w:t>: circle)</w:t>
      </w:r>
    </w:p>
    <w:p w14:paraId="6E3A57B5" w14:textId="0D3EA0BF" w:rsidR="00FC191E" w:rsidRPr="00413601" w:rsidRDefault="00FC191E" w:rsidP="00FC191E">
      <w:pPr>
        <w:snapToGrid w:val="0"/>
        <w:rPr>
          <w:sz w:val="20"/>
        </w:rPr>
      </w:pPr>
      <w:r w:rsidRPr="00413601">
        <w:rPr>
          <w:noProof/>
        </w:rPr>
        <w:drawing>
          <wp:inline distT="0" distB="0" distL="0" distR="0" wp14:anchorId="50305CE7" wp14:editId="47B1FE00">
            <wp:extent cx="1724685" cy="1166246"/>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2572"/>
                    <a:stretch/>
                  </pic:blipFill>
                  <pic:spPr bwMode="auto">
                    <a:xfrm>
                      <a:off x="0" y="0"/>
                      <a:ext cx="1753091" cy="1185454"/>
                    </a:xfrm>
                    <a:prstGeom prst="rect">
                      <a:avLst/>
                    </a:prstGeom>
                    <a:noFill/>
                    <a:ln>
                      <a:noFill/>
                    </a:ln>
                    <a:extLst>
                      <a:ext uri="{53640926-AAD7-44D8-BBD7-CCE9431645EC}">
                        <a14:shadowObscured xmlns:a14="http://schemas.microsoft.com/office/drawing/2010/main"/>
                      </a:ext>
                    </a:extLst>
                  </pic:spPr>
                </pic:pic>
              </a:graphicData>
            </a:graphic>
          </wp:inline>
        </w:drawing>
      </w:r>
    </w:p>
    <w:p w14:paraId="580C62E2" w14:textId="01869D30" w:rsidR="00FC191E" w:rsidRPr="00413601" w:rsidRDefault="00FC191E" w:rsidP="007C7477">
      <w:pPr>
        <w:pStyle w:val="CETCaption"/>
        <w:rPr>
          <w:rFonts w:eastAsia="ＭＳ 明朝"/>
          <w:i w:val="0"/>
          <w:iCs/>
          <w:sz w:val="20"/>
          <w:lang w:eastAsia="ja-JP"/>
        </w:rPr>
      </w:pPr>
      <w:r w:rsidRPr="00413601">
        <w:rPr>
          <w:rStyle w:val="CETCaptionCarattere"/>
          <w:i/>
          <w:iCs/>
        </w:rPr>
        <w:t>Figure 2: Double-tubular reactor</w:t>
      </w:r>
    </w:p>
    <w:p w14:paraId="38F13DA6" w14:textId="2E2245F5" w:rsidR="007C7477" w:rsidRPr="00413601" w:rsidRDefault="007C7477" w:rsidP="007C7477">
      <w:pPr>
        <w:pStyle w:val="CETHeading1"/>
        <w:tabs>
          <w:tab w:val="clear" w:pos="360"/>
          <w:tab w:val="right" w:pos="7100"/>
        </w:tabs>
        <w:jc w:val="both"/>
        <w:rPr>
          <w:lang w:val="en-GB"/>
        </w:rPr>
      </w:pPr>
      <w:r w:rsidRPr="00413601">
        <w:rPr>
          <w:lang w:val="en-GB"/>
        </w:rPr>
        <w:t>Case study</w:t>
      </w:r>
    </w:p>
    <w:p w14:paraId="70C1E9FE" w14:textId="749DA656" w:rsidR="007C7477" w:rsidRPr="00413601" w:rsidRDefault="007C7477" w:rsidP="00453E24">
      <w:pPr>
        <w:pStyle w:val="CETBodytext"/>
        <w:rPr>
          <w:rFonts w:eastAsia="ＭＳ 明朝"/>
          <w:lang w:eastAsia="ja-JP"/>
        </w:rPr>
      </w:pPr>
      <w:r w:rsidRPr="00413601">
        <w:rPr>
          <w:rFonts w:eastAsia="ＭＳ 明朝"/>
          <w:lang w:eastAsia="ja-JP"/>
        </w:rPr>
        <w:t>The usefulness of the CFD-based two-step design is verified through a case study.</w:t>
      </w:r>
    </w:p>
    <w:p w14:paraId="0636B784" w14:textId="4F3BFFD1" w:rsidR="00453E24" w:rsidRPr="00413601" w:rsidRDefault="007C7477" w:rsidP="00453E24">
      <w:pPr>
        <w:pStyle w:val="CETheadingx"/>
      </w:pPr>
      <w:r w:rsidRPr="00413601">
        <w:t>Design conditions and requirements</w:t>
      </w:r>
    </w:p>
    <w:p w14:paraId="176028C9" w14:textId="623C17A0" w:rsidR="007C7477" w:rsidRPr="00413601" w:rsidRDefault="007C7477" w:rsidP="00453E24">
      <w:pPr>
        <w:pStyle w:val="CETBodytext"/>
      </w:pPr>
      <w:r w:rsidRPr="00413601">
        <w:t>The parallel exothermic reaction is assumed to proceed in a reaction tube with an immobilized catalyst. A is the raw material, B is the main product, and C is the by-product. These substances are dissolved in solvent D. The temperature dependence of each reaction rate follows the Arrhenius equation. The reaction parameters including standard reaction enthalpy (</w:t>
      </w:r>
      <m:oMath>
        <m:sSub>
          <m:sSubPr>
            <m:ctrlPr>
              <w:rPr>
                <w:rFonts w:ascii="Cambria Math" w:hAnsi="Cambria Math"/>
                <w:szCs w:val="18"/>
              </w:rPr>
            </m:ctrlPr>
          </m:sSubPr>
          <m:e>
            <m:r>
              <m:rPr>
                <m:sty m:val="p"/>
              </m:rPr>
              <w:rPr>
                <w:rFonts w:ascii="Cambria Math" w:hAnsi="Cambria Math"/>
                <w:szCs w:val="18"/>
              </w:rPr>
              <m:t>∆</m:t>
            </m:r>
          </m:e>
          <m:sub>
            <m:r>
              <m:rPr>
                <m:sty m:val="p"/>
              </m:rPr>
              <w:rPr>
                <w:rFonts w:ascii="Cambria Math" w:hAnsi="Cambria Math"/>
                <w:szCs w:val="18"/>
              </w:rPr>
              <m:t>r</m:t>
            </m:r>
          </m:sub>
        </m:sSub>
        <m:sSubSup>
          <m:sSubSupPr>
            <m:ctrlPr>
              <w:rPr>
                <w:rFonts w:ascii="Cambria Math" w:hAnsi="Cambria Math"/>
                <w:i/>
                <w:szCs w:val="18"/>
              </w:rPr>
            </m:ctrlPr>
          </m:sSubSupPr>
          <m:e>
            <m:r>
              <w:rPr>
                <w:rFonts w:ascii="Cambria Math" w:hAnsi="Cambria Math"/>
                <w:szCs w:val="18"/>
              </w:rPr>
              <m:t>H</m:t>
            </m:r>
          </m:e>
          <m:sub>
            <m:r>
              <w:rPr>
                <w:rFonts w:ascii="Cambria Math" w:hAnsi="Cambria Math"/>
                <w:szCs w:val="18"/>
              </w:rPr>
              <m:t>i</m:t>
            </m:r>
          </m:sub>
          <m:sup>
            <m:r>
              <w:rPr>
                <w:rFonts w:ascii="Cambria Math" w:hAnsi="Cambria Math"/>
                <w:szCs w:val="18"/>
              </w:rPr>
              <m:t>°</m:t>
            </m:r>
          </m:sup>
        </m:sSubSup>
      </m:oMath>
      <w:r w:rsidRPr="00413601">
        <w:t xml:space="preserve">) are shown in Table 1. The higher the reaction temperature, the more by-product is produced. The physical properties of the reaction fluid and the reaction tube are shown in Table 2. They are all assumed to be constant. </w:t>
      </w:r>
      <w:r w:rsidR="00C94EBD">
        <w:t xml:space="preserve">This assumption does not reduce the accuracy of design results for double-tubular reactor and MTR with </w:t>
      </w:r>
      <w:r w:rsidR="00863EB3">
        <w:t xml:space="preserve">the </w:t>
      </w:r>
      <w:r w:rsidR="00C94EBD">
        <w:t xml:space="preserve">liquid-phase catalyzed reaction, because the effect of temperature dependence </w:t>
      </w:r>
      <w:r w:rsidR="00C94EBD" w:rsidRPr="00C94EBD">
        <w:t>of physical properties</w:t>
      </w:r>
      <w:r w:rsidR="00C94EBD">
        <w:t xml:space="preserve"> on the reaction rate, reaction time, and flow distribution is small that it can be ignored. </w:t>
      </w:r>
      <w:r w:rsidRPr="00413601">
        <w:t>In this case study, the target production volume is set to be 1.35 kg/day, and the purpose is to design an MTR that satisfies it.</w:t>
      </w:r>
      <w:r w:rsidR="00863EB3">
        <w:t xml:space="preserve"> </w:t>
      </w:r>
    </w:p>
    <w:p w14:paraId="1D491F08" w14:textId="77777777" w:rsidR="005F51E3" w:rsidRPr="005C2F6E" w:rsidRDefault="005F51E3" w:rsidP="00453E24">
      <w:pPr>
        <w:pStyle w:val="CETBodytext"/>
        <w:rPr>
          <w:sz w:val="6"/>
          <w:szCs w:val="6"/>
        </w:rPr>
      </w:pPr>
    </w:p>
    <w:tbl>
      <w:tblPr>
        <w:tblStyle w:val="afffb"/>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134"/>
        <w:gridCol w:w="4536"/>
      </w:tblGrid>
      <w:tr w:rsidR="007C7477" w:rsidRPr="00413601" w14:paraId="7CAF450B" w14:textId="77777777" w:rsidTr="005C5D48">
        <w:tc>
          <w:tcPr>
            <w:tcW w:w="1418" w:type="dxa"/>
          </w:tcPr>
          <w:p w14:paraId="1D16435B" w14:textId="77777777" w:rsidR="007C7477" w:rsidRPr="00413601" w:rsidRDefault="007C7477" w:rsidP="005C5D48">
            <w:pPr>
              <w:rPr>
                <w:rFonts w:eastAsia="ＭＳ 明朝" w:cs="Arial"/>
                <w:szCs w:val="18"/>
              </w:rPr>
            </w:pPr>
            <w:r w:rsidRPr="00413601">
              <w:rPr>
                <w:rFonts w:eastAsia="ＭＳ 明朝" w:cs="Arial"/>
                <w:szCs w:val="18"/>
              </w:rPr>
              <w:t>Reaction 1</w:t>
            </w:r>
          </w:p>
        </w:tc>
        <w:tc>
          <w:tcPr>
            <w:tcW w:w="1134" w:type="dxa"/>
            <w:vAlign w:val="center"/>
          </w:tcPr>
          <w:p w14:paraId="7A22C895" w14:textId="77777777" w:rsidR="007C7477" w:rsidRPr="00413601" w:rsidRDefault="007C7477" w:rsidP="005C5D48">
            <w:pPr>
              <w:rPr>
                <w:rFonts w:cs="Arial"/>
                <w:szCs w:val="18"/>
              </w:rPr>
            </w:pPr>
            <m:oMathPara>
              <m:oMathParaPr>
                <m:jc m:val="center"/>
              </m:oMathParaPr>
              <m:oMath>
                <m:r>
                  <m:rPr>
                    <m:sty m:val="p"/>
                  </m:rPr>
                  <w:rPr>
                    <w:rFonts w:ascii="Cambria Math" w:hAnsi="Cambria Math" w:cs="Arial"/>
                    <w:szCs w:val="18"/>
                  </w:rPr>
                  <m:t>A→B</m:t>
                </m:r>
              </m:oMath>
            </m:oMathPara>
          </w:p>
        </w:tc>
        <w:tc>
          <w:tcPr>
            <w:tcW w:w="4536" w:type="dxa"/>
            <w:vAlign w:val="center"/>
          </w:tcPr>
          <w:p w14:paraId="2375E3C2" w14:textId="77777777" w:rsidR="007C7477" w:rsidRPr="00413601" w:rsidRDefault="00000000" w:rsidP="005C5D48">
            <w:pPr>
              <w:rPr>
                <w:rFonts w:cs="Arial"/>
                <w:szCs w:val="18"/>
              </w:rPr>
            </w:pPr>
            <m:oMathPara>
              <m:oMath>
                <m:sSub>
                  <m:sSubPr>
                    <m:ctrlPr>
                      <w:rPr>
                        <w:rFonts w:ascii="Cambria Math" w:hAnsi="Cambria Math" w:cs="Arial"/>
                        <w:szCs w:val="18"/>
                      </w:rPr>
                    </m:ctrlPr>
                  </m:sSubPr>
                  <m:e>
                    <m:r>
                      <w:rPr>
                        <w:rFonts w:ascii="Cambria Math" w:hAnsi="Cambria Math" w:cs="Arial"/>
                        <w:szCs w:val="18"/>
                      </w:rPr>
                      <m:t>r</m:t>
                    </m:r>
                  </m:e>
                  <m:sub>
                    <m:r>
                      <w:rPr>
                        <w:rFonts w:ascii="Cambria Math" w:hAnsi="Cambria Math" w:cs="Arial"/>
                        <w:szCs w:val="18"/>
                      </w:rPr>
                      <m:t>1</m:t>
                    </m:r>
                  </m:sub>
                </m:sSub>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k</m:t>
                    </m:r>
                  </m:e>
                  <m:sub>
                    <m:r>
                      <w:rPr>
                        <w:rFonts w:ascii="Cambria Math" w:hAnsi="Cambria Math" w:cs="Arial"/>
                        <w:szCs w:val="18"/>
                      </w:rPr>
                      <m:t>10</m:t>
                    </m:r>
                  </m:sub>
                </m:sSub>
                <m:r>
                  <m:rPr>
                    <m:sty m:val="p"/>
                  </m:rPr>
                  <w:rPr>
                    <w:rFonts w:ascii="Cambria Math" w:hAnsi="Cambria Math" w:cs="Arial"/>
                    <w:szCs w:val="18"/>
                  </w:rPr>
                  <m:t>exp</m:t>
                </m:r>
                <m:d>
                  <m:dPr>
                    <m:begChr m:val="{"/>
                    <m:endChr m:val="}"/>
                    <m:ctrlPr>
                      <w:rPr>
                        <w:rFonts w:ascii="Cambria Math" w:hAnsi="Cambria Math" w:cs="Arial"/>
                        <w:i/>
                        <w:szCs w:val="18"/>
                      </w:rPr>
                    </m:ctrlPr>
                  </m:dPr>
                  <m:e>
                    <m:r>
                      <w:rPr>
                        <w:rFonts w:ascii="Cambria Math" w:hAnsi="Cambria Math" w:cs="Arial"/>
                        <w:szCs w:val="18"/>
                      </w:rPr>
                      <m:t>-</m:t>
                    </m:r>
                    <m:f>
                      <m:fPr>
                        <m:type m:val="lin"/>
                        <m:ctrlPr>
                          <w:rPr>
                            <w:rFonts w:ascii="Cambria Math" w:hAnsi="Cambria Math" w:cs="Arial"/>
                            <w:i/>
                            <w:szCs w:val="18"/>
                          </w:rPr>
                        </m:ctrlPr>
                      </m:fPr>
                      <m:num>
                        <m:sSub>
                          <m:sSubPr>
                            <m:ctrlPr>
                              <w:rPr>
                                <w:rFonts w:ascii="Cambria Math" w:hAnsi="Cambria Math" w:cs="Arial"/>
                                <w:i/>
                                <w:szCs w:val="18"/>
                              </w:rPr>
                            </m:ctrlPr>
                          </m:sSubPr>
                          <m:e>
                            <m:r>
                              <w:rPr>
                                <w:rFonts w:ascii="Cambria Math" w:hAnsi="Cambria Math" w:cs="Arial"/>
                                <w:szCs w:val="18"/>
                              </w:rPr>
                              <m:t>E</m:t>
                            </m:r>
                          </m:e>
                          <m:sub>
                            <m:r>
                              <w:rPr>
                                <w:rFonts w:ascii="Cambria Math" w:hAnsi="Cambria Math" w:cs="Arial"/>
                                <w:szCs w:val="18"/>
                              </w:rPr>
                              <m:t>1</m:t>
                            </m:r>
                          </m:sub>
                        </m:sSub>
                      </m:num>
                      <m:den>
                        <m:d>
                          <m:dPr>
                            <m:ctrlPr>
                              <w:rPr>
                                <w:rFonts w:ascii="Cambria Math" w:hAnsi="Cambria Math" w:cs="Arial"/>
                                <w:i/>
                                <w:szCs w:val="18"/>
                              </w:rPr>
                            </m:ctrlPr>
                          </m:dPr>
                          <m:e>
                            <m:r>
                              <w:rPr>
                                <w:rFonts w:ascii="Cambria Math" w:hAnsi="Cambria Math" w:cs="Arial"/>
                                <w:szCs w:val="18"/>
                              </w:rPr>
                              <m:t>RT</m:t>
                            </m:r>
                          </m:e>
                        </m:d>
                      </m:den>
                    </m:f>
                  </m:e>
                </m:d>
                <m:r>
                  <m:rPr>
                    <m:sty m:val="p"/>
                  </m:rP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C</m:t>
                    </m:r>
                  </m:e>
                  <m:sub>
                    <m:r>
                      <m:rPr>
                        <m:sty m:val="p"/>
                      </m:rPr>
                      <w:rPr>
                        <w:rFonts w:ascii="Cambria Math" w:hAnsi="Cambria Math" w:cs="Arial"/>
                        <w:szCs w:val="18"/>
                      </w:rPr>
                      <m:t>A</m:t>
                    </m:r>
                  </m:sub>
                </m:sSub>
              </m:oMath>
            </m:oMathPara>
          </w:p>
        </w:tc>
      </w:tr>
      <w:tr w:rsidR="007C7477" w:rsidRPr="00413601" w14:paraId="0DD5CD68" w14:textId="77777777" w:rsidTr="005C5D48">
        <w:tc>
          <w:tcPr>
            <w:tcW w:w="1418" w:type="dxa"/>
          </w:tcPr>
          <w:p w14:paraId="6AF8A058" w14:textId="77777777" w:rsidR="007C7477" w:rsidRPr="00413601" w:rsidRDefault="007C7477" w:rsidP="005C5D48">
            <w:pPr>
              <w:rPr>
                <w:rFonts w:eastAsia="ＭＳ 明朝" w:cs="Arial"/>
                <w:szCs w:val="18"/>
              </w:rPr>
            </w:pPr>
            <w:r w:rsidRPr="00413601">
              <w:rPr>
                <w:rFonts w:eastAsia="ＭＳ 明朝" w:cs="Arial"/>
                <w:szCs w:val="18"/>
              </w:rPr>
              <w:t>Reaction 2</w:t>
            </w:r>
          </w:p>
        </w:tc>
        <w:tc>
          <w:tcPr>
            <w:tcW w:w="1134" w:type="dxa"/>
            <w:vAlign w:val="center"/>
          </w:tcPr>
          <w:p w14:paraId="5F2C38CB" w14:textId="77777777" w:rsidR="007C7477" w:rsidRPr="00413601" w:rsidRDefault="007C7477" w:rsidP="005C5D48">
            <w:pPr>
              <w:rPr>
                <w:rFonts w:cs="Arial"/>
                <w:szCs w:val="18"/>
              </w:rPr>
            </w:pPr>
            <m:oMathPara>
              <m:oMath>
                <m:r>
                  <m:rPr>
                    <m:sty m:val="p"/>
                  </m:rPr>
                  <w:rPr>
                    <w:rFonts w:ascii="Cambria Math" w:hAnsi="Cambria Math" w:cs="Arial"/>
                    <w:szCs w:val="18"/>
                  </w:rPr>
                  <m:t>A→C</m:t>
                </m:r>
              </m:oMath>
            </m:oMathPara>
          </w:p>
        </w:tc>
        <w:tc>
          <w:tcPr>
            <w:tcW w:w="4536" w:type="dxa"/>
            <w:vAlign w:val="center"/>
          </w:tcPr>
          <w:p w14:paraId="3E8BA215" w14:textId="77777777" w:rsidR="007C7477" w:rsidRPr="00413601" w:rsidRDefault="00000000" w:rsidP="005C5D48">
            <w:pPr>
              <w:rPr>
                <w:rFonts w:cs="Arial"/>
                <w:szCs w:val="18"/>
              </w:rPr>
            </w:pPr>
            <m:oMathPara>
              <m:oMath>
                <m:sSub>
                  <m:sSubPr>
                    <m:ctrlPr>
                      <w:rPr>
                        <w:rFonts w:ascii="Cambria Math" w:hAnsi="Cambria Math" w:cs="Arial"/>
                        <w:szCs w:val="18"/>
                      </w:rPr>
                    </m:ctrlPr>
                  </m:sSubPr>
                  <m:e>
                    <m:r>
                      <w:rPr>
                        <w:rFonts w:ascii="Cambria Math" w:hAnsi="Cambria Math" w:cs="Arial"/>
                        <w:szCs w:val="18"/>
                      </w:rPr>
                      <m:t>r</m:t>
                    </m:r>
                  </m:e>
                  <m:sub>
                    <m:r>
                      <w:rPr>
                        <w:rFonts w:ascii="Cambria Math" w:hAnsi="Cambria Math" w:cs="Arial"/>
                        <w:szCs w:val="18"/>
                      </w:rPr>
                      <m:t>2</m:t>
                    </m:r>
                  </m:sub>
                </m:sSub>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k</m:t>
                    </m:r>
                  </m:e>
                  <m:sub>
                    <m:r>
                      <w:rPr>
                        <w:rFonts w:ascii="Cambria Math" w:hAnsi="Cambria Math" w:cs="Arial"/>
                        <w:szCs w:val="18"/>
                      </w:rPr>
                      <m:t>20</m:t>
                    </m:r>
                  </m:sub>
                </m:sSub>
                <m:r>
                  <m:rPr>
                    <m:sty m:val="p"/>
                  </m:rPr>
                  <w:rPr>
                    <w:rFonts w:ascii="Cambria Math" w:hAnsi="Cambria Math" w:cs="Arial"/>
                    <w:szCs w:val="18"/>
                  </w:rPr>
                  <m:t>exp</m:t>
                </m:r>
                <m:d>
                  <m:dPr>
                    <m:begChr m:val="{"/>
                    <m:endChr m:val="}"/>
                    <m:ctrlPr>
                      <w:rPr>
                        <w:rFonts w:ascii="Cambria Math" w:hAnsi="Cambria Math" w:cs="Arial"/>
                        <w:i/>
                        <w:szCs w:val="18"/>
                      </w:rPr>
                    </m:ctrlPr>
                  </m:dPr>
                  <m:e>
                    <m:r>
                      <w:rPr>
                        <w:rFonts w:ascii="Cambria Math" w:hAnsi="Cambria Math" w:cs="Arial"/>
                        <w:szCs w:val="18"/>
                      </w:rPr>
                      <m:t>-</m:t>
                    </m:r>
                    <m:f>
                      <m:fPr>
                        <m:type m:val="lin"/>
                        <m:ctrlPr>
                          <w:rPr>
                            <w:rFonts w:ascii="Cambria Math" w:hAnsi="Cambria Math" w:cs="Arial"/>
                            <w:i/>
                            <w:szCs w:val="18"/>
                          </w:rPr>
                        </m:ctrlPr>
                      </m:fPr>
                      <m:num>
                        <m:sSub>
                          <m:sSubPr>
                            <m:ctrlPr>
                              <w:rPr>
                                <w:rFonts w:ascii="Cambria Math" w:hAnsi="Cambria Math" w:cs="Arial"/>
                                <w:i/>
                                <w:szCs w:val="18"/>
                              </w:rPr>
                            </m:ctrlPr>
                          </m:sSubPr>
                          <m:e>
                            <m:r>
                              <w:rPr>
                                <w:rFonts w:ascii="Cambria Math" w:hAnsi="Cambria Math" w:cs="Arial"/>
                                <w:szCs w:val="18"/>
                              </w:rPr>
                              <m:t>E</m:t>
                            </m:r>
                          </m:e>
                          <m:sub>
                            <m:r>
                              <w:rPr>
                                <w:rFonts w:ascii="Cambria Math" w:hAnsi="Cambria Math" w:cs="Arial"/>
                                <w:szCs w:val="18"/>
                              </w:rPr>
                              <m:t>2</m:t>
                            </m:r>
                          </m:sub>
                        </m:sSub>
                      </m:num>
                      <m:den>
                        <m:d>
                          <m:dPr>
                            <m:ctrlPr>
                              <w:rPr>
                                <w:rFonts w:ascii="Cambria Math" w:hAnsi="Cambria Math" w:cs="Arial"/>
                                <w:i/>
                                <w:szCs w:val="18"/>
                              </w:rPr>
                            </m:ctrlPr>
                          </m:dPr>
                          <m:e>
                            <m:r>
                              <w:rPr>
                                <w:rFonts w:ascii="Cambria Math" w:hAnsi="Cambria Math" w:cs="Arial"/>
                                <w:szCs w:val="18"/>
                              </w:rPr>
                              <m:t>RT</m:t>
                            </m:r>
                          </m:e>
                        </m:d>
                      </m:den>
                    </m:f>
                  </m:e>
                </m:d>
                <m:r>
                  <m:rPr>
                    <m:sty m:val="p"/>
                  </m:rP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C</m:t>
                    </m:r>
                  </m:e>
                  <m:sub>
                    <m:r>
                      <m:rPr>
                        <m:sty m:val="p"/>
                      </m:rPr>
                      <w:rPr>
                        <w:rFonts w:ascii="Cambria Math" w:hAnsi="Cambria Math" w:cs="Arial"/>
                        <w:szCs w:val="18"/>
                      </w:rPr>
                      <m:t>A</m:t>
                    </m:r>
                  </m:sub>
                </m:sSub>
              </m:oMath>
            </m:oMathPara>
          </w:p>
        </w:tc>
      </w:tr>
    </w:tbl>
    <w:p w14:paraId="255255F5" w14:textId="7B8B0B75" w:rsidR="007C7477" w:rsidRPr="00413601" w:rsidRDefault="007C7477" w:rsidP="007C7477">
      <w:pPr>
        <w:pStyle w:val="CETTabletitle"/>
      </w:pPr>
      <w:bookmarkStart w:id="0" w:name="_Hlk127367136"/>
      <w:r w:rsidRPr="00413601">
        <w:lastRenderedPageBreak/>
        <w:t>Table 1: Reaction parameters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tblGrid>
      <w:tr w:rsidR="00FC191E" w:rsidRPr="00413601" w14:paraId="1D15C08C" w14:textId="77777777" w:rsidTr="005C5D48">
        <w:tc>
          <w:tcPr>
            <w:tcW w:w="1134" w:type="dxa"/>
            <w:shd w:val="clear" w:color="auto" w:fill="FFFFFF"/>
            <w:vAlign w:val="center"/>
          </w:tcPr>
          <w:p w14:paraId="62B85C90" w14:textId="77777777" w:rsidR="00FC191E" w:rsidRPr="00413601" w:rsidRDefault="00000000" w:rsidP="005C5D48">
            <w:pPr>
              <w:pStyle w:val="CETBodytext"/>
              <w:jc w:val="left"/>
              <w:rPr>
                <w:rFonts w:cs="Arial"/>
                <w:szCs w:val="18"/>
                <w:lang w:val="en-GB"/>
              </w:rPr>
            </w:pPr>
            <m:oMath>
              <m:sSub>
                <m:sSubPr>
                  <m:ctrlPr>
                    <w:rPr>
                      <w:rFonts w:ascii="Cambria Math" w:hAnsi="Cambria Math" w:cs="Arial"/>
                      <w:szCs w:val="18"/>
                    </w:rPr>
                  </m:ctrlPr>
                </m:sSubPr>
                <m:e>
                  <m:r>
                    <w:rPr>
                      <w:rFonts w:ascii="Cambria Math" w:hAnsi="Cambria Math" w:cs="Arial"/>
                      <w:szCs w:val="18"/>
                    </w:rPr>
                    <m:t>k</m:t>
                  </m:r>
                </m:e>
                <m:sub>
                  <m:r>
                    <w:rPr>
                      <w:rFonts w:ascii="Cambria Math" w:hAnsi="Cambria Math" w:cs="Arial"/>
                      <w:szCs w:val="18"/>
                    </w:rPr>
                    <m:t>10</m:t>
                  </m:r>
                </m:sub>
              </m:sSub>
              <m:r>
                <w:rPr>
                  <w:rFonts w:ascii="Cambria Math" w:hAnsi="Cambria Math" w:cs="Arial"/>
                  <w:szCs w:val="18"/>
                </w:rPr>
                <m:t>[</m:t>
              </m:r>
            </m:oMath>
            <w:r w:rsidR="00FC191E" w:rsidRPr="00413601">
              <w:rPr>
                <w:rFonts w:cs="Arial"/>
                <w:szCs w:val="18"/>
              </w:rPr>
              <w:t>1/s</w:t>
            </w:r>
            <m:oMath>
              <m:r>
                <w:rPr>
                  <w:rFonts w:ascii="Cambria Math" w:hAnsi="Cambria Math" w:cs="Arial"/>
                  <w:szCs w:val="18"/>
                </w:rPr>
                <m:t>]</m:t>
              </m:r>
            </m:oMath>
          </w:p>
        </w:tc>
        <w:tc>
          <w:tcPr>
            <w:tcW w:w="1134" w:type="dxa"/>
            <w:shd w:val="clear" w:color="auto" w:fill="FFFFFF"/>
            <w:vAlign w:val="center"/>
          </w:tcPr>
          <w:p w14:paraId="55C3E1DE" w14:textId="77777777" w:rsidR="00FC191E" w:rsidRPr="00413601" w:rsidRDefault="00FC191E" w:rsidP="005C5D48">
            <w:pPr>
              <w:pStyle w:val="CETBodytext"/>
              <w:rPr>
                <w:rFonts w:cs="Arial"/>
                <w:szCs w:val="18"/>
                <w:lang w:val="en-GB"/>
              </w:rPr>
            </w:pPr>
            <w:r w:rsidRPr="00413601">
              <w:rPr>
                <w:rFonts w:cs="Arial"/>
                <w:szCs w:val="18"/>
              </w:rPr>
              <w:t>2.5×10</w:t>
            </w:r>
            <w:r w:rsidRPr="00413601">
              <w:rPr>
                <w:rFonts w:cs="Arial"/>
                <w:szCs w:val="18"/>
                <w:vertAlign w:val="superscript"/>
              </w:rPr>
              <w:t>8</w:t>
            </w:r>
          </w:p>
        </w:tc>
      </w:tr>
      <w:tr w:rsidR="00FC191E" w:rsidRPr="00413601" w14:paraId="30A81F48" w14:textId="77777777" w:rsidTr="005C5D48">
        <w:tc>
          <w:tcPr>
            <w:tcW w:w="1134" w:type="dxa"/>
            <w:shd w:val="clear" w:color="auto" w:fill="FFFFFF"/>
            <w:vAlign w:val="center"/>
          </w:tcPr>
          <w:p w14:paraId="66887A9F" w14:textId="77777777" w:rsidR="00FC191E" w:rsidRPr="00413601" w:rsidRDefault="00000000" w:rsidP="005C5D48">
            <w:pPr>
              <w:pStyle w:val="CETBodytext"/>
              <w:jc w:val="left"/>
              <w:rPr>
                <w:rFonts w:eastAsiaTheme="minorEastAsia" w:cs="Arial"/>
                <w:szCs w:val="18"/>
                <w:lang w:val="en-GB" w:eastAsia="ja-JP"/>
              </w:rPr>
            </w:pPr>
            <m:oMath>
              <m:sSub>
                <m:sSubPr>
                  <m:ctrlPr>
                    <w:rPr>
                      <w:rFonts w:ascii="Cambria Math" w:hAnsi="Cambria Math" w:cs="Arial"/>
                      <w:szCs w:val="18"/>
                    </w:rPr>
                  </m:ctrlPr>
                </m:sSubPr>
                <m:e>
                  <m:r>
                    <w:rPr>
                      <w:rFonts w:ascii="Cambria Math" w:hAnsi="Cambria Math" w:cs="Arial"/>
                      <w:szCs w:val="18"/>
                    </w:rPr>
                    <m:t>k</m:t>
                  </m:r>
                </m:e>
                <m:sub>
                  <m:r>
                    <w:rPr>
                      <w:rFonts w:ascii="Cambria Math" w:hAnsi="Cambria Math" w:cs="Arial"/>
                      <w:szCs w:val="18"/>
                    </w:rPr>
                    <m:t>20</m:t>
                  </m:r>
                </m:sub>
              </m:sSub>
              <m:r>
                <w:rPr>
                  <w:rFonts w:ascii="Cambria Math" w:hAnsi="Cambria Math" w:cs="Arial"/>
                  <w:szCs w:val="18"/>
                </w:rPr>
                <m:t xml:space="preserve"> [1</m:t>
              </m:r>
            </m:oMath>
            <w:r w:rsidR="00FC191E" w:rsidRPr="00413601">
              <w:rPr>
                <w:rFonts w:cs="Arial"/>
                <w:iCs/>
                <w:szCs w:val="18"/>
              </w:rPr>
              <w:t>/s</w:t>
            </w:r>
            <m:oMath>
              <m:r>
                <w:rPr>
                  <w:rFonts w:ascii="Cambria Math" w:hAnsi="Cambria Math" w:cs="Arial"/>
                  <w:szCs w:val="18"/>
                </w:rPr>
                <m:t>]</m:t>
              </m:r>
            </m:oMath>
          </w:p>
        </w:tc>
        <w:tc>
          <w:tcPr>
            <w:tcW w:w="1134" w:type="dxa"/>
            <w:shd w:val="clear" w:color="auto" w:fill="FFFFFF"/>
            <w:vAlign w:val="center"/>
          </w:tcPr>
          <w:p w14:paraId="1CD515B5" w14:textId="77777777" w:rsidR="00FC191E" w:rsidRPr="00413601" w:rsidRDefault="00FC191E" w:rsidP="005C5D48">
            <w:pPr>
              <w:pStyle w:val="CETBodytext"/>
              <w:rPr>
                <w:rFonts w:cs="Arial"/>
                <w:szCs w:val="18"/>
                <w:lang w:val="en-GB"/>
              </w:rPr>
            </w:pPr>
            <w:r w:rsidRPr="00413601">
              <w:rPr>
                <w:rFonts w:cs="Arial"/>
                <w:szCs w:val="18"/>
              </w:rPr>
              <w:t>2×10</w:t>
            </w:r>
            <w:r w:rsidRPr="00413601">
              <w:rPr>
                <w:rFonts w:cs="Arial"/>
                <w:szCs w:val="18"/>
                <w:vertAlign w:val="superscript"/>
              </w:rPr>
              <w:t>18</w:t>
            </w:r>
          </w:p>
        </w:tc>
      </w:tr>
      <w:tr w:rsidR="00FC191E" w:rsidRPr="00413601" w14:paraId="7F435EFE" w14:textId="77777777" w:rsidTr="005C5D48">
        <w:tc>
          <w:tcPr>
            <w:tcW w:w="1134" w:type="dxa"/>
            <w:shd w:val="clear" w:color="auto" w:fill="FFFFFF"/>
            <w:vAlign w:val="center"/>
          </w:tcPr>
          <w:p w14:paraId="3CC4DF0E" w14:textId="77777777" w:rsidR="00FC191E" w:rsidRPr="00413601" w:rsidRDefault="00000000" w:rsidP="005C5D48">
            <w:pPr>
              <w:pStyle w:val="CETBodytext"/>
              <w:jc w:val="left"/>
              <w:rPr>
                <w:rFonts w:cs="Arial"/>
                <w:szCs w:val="18"/>
                <w:lang w:val="en-GB"/>
              </w:rPr>
            </w:pPr>
            <m:oMathPara>
              <m:oMath>
                <m:sSub>
                  <m:sSubPr>
                    <m:ctrlPr>
                      <w:rPr>
                        <w:rFonts w:ascii="Cambria Math" w:hAnsi="Cambria Math" w:cs="Arial"/>
                        <w:szCs w:val="18"/>
                      </w:rPr>
                    </m:ctrlPr>
                  </m:sSubPr>
                  <m:e>
                    <m:r>
                      <w:rPr>
                        <w:rFonts w:ascii="Cambria Math" w:hAnsi="Cambria Math" w:cs="Arial"/>
                        <w:szCs w:val="18"/>
                      </w:rPr>
                      <m:t>E</m:t>
                    </m:r>
                  </m:e>
                  <m:sub>
                    <m:r>
                      <w:rPr>
                        <w:rFonts w:ascii="Cambria Math" w:hAnsi="Cambria Math" w:cs="Arial"/>
                        <w:szCs w:val="18"/>
                      </w:rPr>
                      <m:t>1</m:t>
                    </m:r>
                  </m:sub>
                </m:sSub>
                <m:r>
                  <w:rPr>
                    <w:rFonts w:ascii="Cambria Math" w:hAnsi="Cambria Math" w:cs="Arial"/>
                    <w:szCs w:val="18"/>
                  </w:rPr>
                  <m:t xml:space="preserve"> [</m:t>
                </m:r>
                <m:f>
                  <m:fPr>
                    <m:type m:val="lin"/>
                    <m:ctrlPr>
                      <w:rPr>
                        <w:rFonts w:ascii="Cambria Math" w:hAnsi="Cambria Math" w:cs="Arial"/>
                        <w:i/>
                        <w:szCs w:val="18"/>
                      </w:rPr>
                    </m:ctrlPr>
                  </m:fPr>
                  <m:num>
                    <m:r>
                      <m:rPr>
                        <m:sty m:val="p"/>
                      </m:rPr>
                      <w:rPr>
                        <w:rFonts w:ascii="Cambria Math" w:hAnsi="Cambria Math" w:cs="Arial"/>
                        <w:szCs w:val="18"/>
                      </w:rPr>
                      <m:t>kJ</m:t>
                    </m:r>
                  </m:num>
                  <m:den>
                    <m:r>
                      <m:rPr>
                        <m:sty m:val="p"/>
                      </m:rPr>
                      <w:rPr>
                        <w:rFonts w:ascii="Cambria Math" w:hAnsi="Cambria Math" w:cs="Arial"/>
                        <w:szCs w:val="18"/>
                      </w:rPr>
                      <m:t>mol</m:t>
                    </m:r>
                  </m:den>
                </m:f>
                <m:r>
                  <m:rPr>
                    <m:sty m:val="p"/>
                  </m:rPr>
                  <w:rPr>
                    <w:rFonts w:ascii="Cambria Math" w:hAnsi="Cambria Math" w:cs="Arial"/>
                    <w:szCs w:val="18"/>
                  </w:rPr>
                  <m:t>]</m:t>
                </m:r>
              </m:oMath>
            </m:oMathPara>
          </w:p>
        </w:tc>
        <w:tc>
          <w:tcPr>
            <w:tcW w:w="1134" w:type="dxa"/>
            <w:shd w:val="clear" w:color="auto" w:fill="FFFFFF"/>
            <w:vAlign w:val="center"/>
          </w:tcPr>
          <w:p w14:paraId="67ADE404" w14:textId="77777777" w:rsidR="00FC191E" w:rsidRPr="00413601" w:rsidRDefault="00FC191E" w:rsidP="005C5D48">
            <w:pPr>
              <w:pStyle w:val="CETBodytext"/>
              <w:rPr>
                <w:rFonts w:cs="Arial"/>
                <w:szCs w:val="18"/>
                <w:lang w:val="en-GB"/>
              </w:rPr>
            </w:pPr>
            <w:r w:rsidRPr="00413601">
              <w:rPr>
                <w:rFonts w:cs="Arial"/>
                <w:szCs w:val="18"/>
              </w:rPr>
              <w:t>60</w:t>
            </w:r>
          </w:p>
        </w:tc>
      </w:tr>
      <w:tr w:rsidR="00FC191E" w:rsidRPr="00413601" w14:paraId="60D5DEF1" w14:textId="77777777" w:rsidTr="005C5D48">
        <w:tc>
          <w:tcPr>
            <w:tcW w:w="1134" w:type="dxa"/>
            <w:shd w:val="clear" w:color="auto" w:fill="FFFFFF"/>
            <w:vAlign w:val="center"/>
          </w:tcPr>
          <w:p w14:paraId="56A036C6" w14:textId="77777777" w:rsidR="00FC191E" w:rsidRPr="00413601" w:rsidRDefault="00000000" w:rsidP="005C5D48">
            <w:pPr>
              <w:pStyle w:val="CETBodytext"/>
              <w:jc w:val="left"/>
              <w:rPr>
                <w:rFonts w:cs="Arial"/>
                <w:szCs w:val="18"/>
                <w:lang w:val="en-GB"/>
              </w:rPr>
            </w:pPr>
            <m:oMathPara>
              <m:oMath>
                <m:sSub>
                  <m:sSubPr>
                    <m:ctrlPr>
                      <w:rPr>
                        <w:rFonts w:ascii="Cambria Math" w:hAnsi="Cambria Math" w:cs="Arial"/>
                        <w:szCs w:val="18"/>
                      </w:rPr>
                    </m:ctrlPr>
                  </m:sSubPr>
                  <m:e>
                    <m:r>
                      <w:rPr>
                        <w:rFonts w:ascii="Cambria Math" w:hAnsi="Cambria Math" w:cs="Arial"/>
                        <w:szCs w:val="18"/>
                      </w:rPr>
                      <m:t>E</m:t>
                    </m:r>
                  </m:e>
                  <m:sub>
                    <m:r>
                      <w:rPr>
                        <w:rFonts w:ascii="Cambria Math" w:hAnsi="Cambria Math" w:cs="Arial"/>
                        <w:szCs w:val="18"/>
                      </w:rPr>
                      <m:t>2</m:t>
                    </m:r>
                  </m:sub>
                </m:sSub>
                <m:r>
                  <w:rPr>
                    <w:rFonts w:ascii="Cambria Math" w:hAnsi="Cambria Math" w:cs="Arial"/>
                    <w:szCs w:val="18"/>
                  </w:rPr>
                  <m:t xml:space="preserve"> [</m:t>
                </m:r>
                <m:f>
                  <m:fPr>
                    <m:type m:val="lin"/>
                    <m:ctrlPr>
                      <w:rPr>
                        <w:rFonts w:ascii="Cambria Math" w:hAnsi="Cambria Math" w:cs="Arial"/>
                        <w:i/>
                        <w:szCs w:val="18"/>
                      </w:rPr>
                    </m:ctrlPr>
                  </m:fPr>
                  <m:num>
                    <m:r>
                      <m:rPr>
                        <m:sty m:val="p"/>
                      </m:rPr>
                      <w:rPr>
                        <w:rFonts w:ascii="Cambria Math" w:hAnsi="Cambria Math" w:cs="Arial"/>
                        <w:szCs w:val="18"/>
                      </w:rPr>
                      <m:t>kJ</m:t>
                    </m:r>
                  </m:num>
                  <m:den>
                    <m:r>
                      <m:rPr>
                        <m:sty m:val="p"/>
                      </m:rPr>
                      <w:rPr>
                        <w:rFonts w:ascii="Cambria Math" w:hAnsi="Cambria Math" w:cs="Arial"/>
                        <w:szCs w:val="18"/>
                      </w:rPr>
                      <m:t>mol</m:t>
                    </m:r>
                  </m:den>
                </m:f>
                <m:r>
                  <m:rPr>
                    <m:sty m:val="p"/>
                  </m:rPr>
                  <w:rPr>
                    <w:rFonts w:ascii="Cambria Math" w:hAnsi="Cambria Math" w:cs="Arial"/>
                    <w:szCs w:val="18"/>
                  </w:rPr>
                  <m:t>]</m:t>
                </m:r>
              </m:oMath>
            </m:oMathPara>
          </w:p>
        </w:tc>
        <w:tc>
          <w:tcPr>
            <w:tcW w:w="1134" w:type="dxa"/>
            <w:shd w:val="clear" w:color="auto" w:fill="FFFFFF"/>
            <w:vAlign w:val="center"/>
          </w:tcPr>
          <w:p w14:paraId="5B62378C" w14:textId="77777777" w:rsidR="00FC191E" w:rsidRPr="00413601" w:rsidRDefault="00FC191E" w:rsidP="005C5D48">
            <w:pPr>
              <w:pStyle w:val="CETBodytext"/>
              <w:rPr>
                <w:rFonts w:cs="Arial"/>
                <w:szCs w:val="18"/>
                <w:lang w:val="en-GB"/>
              </w:rPr>
            </w:pPr>
            <w:r w:rsidRPr="00413601">
              <w:rPr>
                <w:rFonts w:cs="Arial"/>
                <w:szCs w:val="18"/>
              </w:rPr>
              <w:t>120</w:t>
            </w:r>
          </w:p>
        </w:tc>
      </w:tr>
      <w:tr w:rsidR="00FC191E" w:rsidRPr="00413601" w14:paraId="7CC69F20" w14:textId="77777777" w:rsidTr="005C5D48">
        <w:tc>
          <w:tcPr>
            <w:tcW w:w="1134" w:type="dxa"/>
            <w:shd w:val="clear" w:color="auto" w:fill="FFFFFF"/>
            <w:vAlign w:val="center"/>
          </w:tcPr>
          <w:p w14:paraId="07D6BDB0" w14:textId="77777777" w:rsidR="00FC191E" w:rsidRPr="00413601" w:rsidRDefault="00000000" w:rsidP="005C5D48">
            <w:pPr>
              <w:pStyle w:val="CETBodytext"/>
              <w:jc w:val="left"/>
              <w:rPr>
                <w:rFonts w:cs="Arial"/>
                <w:szCs w:val="18"/>
                <w:lang w:val="en-GB"/>
              </w:rPr>
            </w:pPr>
            <m:oMathPara>
              <m:oMath>
                <m:sSub>
                  <m:sSubPr>
                    <m:ctrlPr>
                      <w:rPr>
                        <w:rFonts w:ascii="Cambria Math" w:hAnsi="Cambria Math" w:cs="Arial"/>
                        <w:szCs w:val="18"/>
                      </w:rPr>
                    </m:ctrlPr>
                  </m:sSubPr>
                  <m:e>
                    <m:r>
                      <m:rPr>
                        <m:sty m:val="p"/>
                      </m:rPr>
                      <w:rPr>
                        <w:rFonts w:ascii="Cambria Math" w:hAnsi="Cambria Math" w:cs="Arial"/>
                        <w:szCs w:val="18"/>
                      </w:rPr>
                      <m:t>∆</m:t>
                    </m:r>
                  </m:e>
                  <m:sub>
                    <m:r>
                      <m:rPr>
                        <m:sty m:val="p"/>
                      </m:rPr>
                      <w:rPr>
                        <w:rFonts w:ascii="Cambria Math" w:hAnsi="Cambria Math" w:cs="Arial"/>
                        <w:szCs w:val="18"/>
                      </w:rPr>
                      <m:t>r</m:t>
                    </m:r>
                  </m:sub>
                </m:sSub>
                <m:sSubSup>
                  <m:sSubSupPr>
                    <m:ctrlPr>
                      <w:rPr>
                        <w:rFonts w:ascii="Cambria Math" w:hAnsi="Cambria Math" w:cs="Arial"/>
                        <w:i/>
                        <w:szCs w:val="18"/>
                      </w:rPr>
                    </m:ctrlPr>
                  </m:sSubSupPr>
                  <m:e>
                    <m:r>
                      <w:rPr>
                        <w:rFonts w:ascii="Cambria Math" w:hAnsi="Cambria Math" w:cs="Arial"/>
                        <w:szCs w:val="18"/>
                      </w:rPr>
                      <m:t>H</m:t>
                    </m:r>
                  </m:e>
                  <m:sub>
                    <m:r>
                      <w:rPr>
                        <w:rFonts w:ascii="Cambria Math" w:hAnsi="Cambria Math" w:cs="Arial"/>
                        <w:szCs w:val="18"/>
                      </w:rPr>
                      <m:t>1</m:t>
                    </m:r>
                  </m:sub>
                  <m:sup>
                    <m:r>
                      <w:rPr>
                        <w:rFonts w:ascii="Cambria Math" w:hAnsi="Cambria Math" w:cs="Arial"/>
                        <w:szCs w:val="18"/>
                      </w:rPr>
                      <m:t>°</m:t>
                    </m:r>
                  </m:sup>
                </m:sSubSup>
                <m:r>
                  <m:rPr>
                    <m:sty m:val="p"/>
                  </m:rPr>
                  <w:rPr>
                    <w:rFonts w:ascii="Cambria Math" w:hAnsi="Cambria Math" w:cs="Arial"/>
                    <w:szCs w:val="18"/>
                  </w:rPr>
                  <m:t xml:space="preserve"> [kJ/mol]</m:t>
                </m:r>
              </m:oMath>
            </m:oMathPara>
          </w:p>
        </w:tc>
        <w:tc>
          <w:tcPr>
            <w:tcW w:w="1134" w:type="dxa"/>
            <w:shd w:val="clear" w:color="auto" w:fill="FFFFFF"/>
            <w:vAlign w:val="center"/>
          </w:tcPr>
          <w:p w14:paraId="5437BF42" w14:textId="77777777" w:rsidR="00FC191E" w:rsidRPr="00413601" w:rsidRDefault="00FC191E" w:rsidP="005C5D48">
            <w:pPr>
              <w:pStyle w:val="CETBodytext"/>
              <w:rPr>
                <w:rFonts w:cs="Arial"/>
                <w:szCs w:val="18"/>
                <w:lang w:val="en-GB"/>
              </w:rPr>
            </w:pPr>
            <w:r w:rsidRPr="00413601">
              <w:rPr>
                <w:rFonts w:cs="Arial"/>
                <w:szCs w:val="18"/>
              </w:rPr>
              <w:t>80</w:t>
            </w:r>
          </w:p>
        </w:tc>
      </w:tr>
      <w:tr w:rsidR="00FC191E" w:rsidRPr="00413601" w14:paraId="1AE43B0B" w14:textId="77777777" w:rsidTr="005C5D48">
        <w:tc>
          <w:tcPr>
            <w:tcW w:w="1134" w:type="dxa"/>
            <w:shd w:val="clear" w:color="auto" w:fill="FFFFFF"/>
            <w:vAlign w:val="center"/>
          </w:tcPr>
          <w:p w14:paraId="6AD39378" w14:textId="77777777" w:rsidR="00FC191E" w:rsidRPr="00413601" w:rsidRDefault="00000000" w:rsidP="005C5D48">
            <w:pPr>
              <w:pStyle w:val="CETBodytext"/>
              <w:ind w:right="-1"/>
              <w:jc w:val="left"/>
              <w:rPr>
                <w:rFonts w:cs="Arial"/>
                <w:szCs w:val="18"/>
                <w:lang w:val="en-GB"/>
              </w:rPr>
            </w:pPr>
            <m:oMathPara>
              <m:oMath>
                <m:sSub>
                  <m:sSubPr>
                    <m:ctrlPr>
                      <w:rPr>
                        <w:rFonts w:ascii="Cambria Math" w:hAnsi="Cambria Math" w:cs="Arial"/>
                        <w:szCs w:val="18"/>
                      </w:rPr>
                    </m:ctrlPr>
                  </m:sSubPr>
                  <m:e>
                    <m:r>
                      <m:rPr>
                        <m:sty m:val="p"/>
                      </m:rPr>
                      <w:rPr>
                        <w:rFonts w:ascii="Cambria Math" w:hAnsi="Cambria Math" w:cs="Arial"/>
                        <w:szCs w:val="18"/>
                      </w:rPr>
                      <m:t>∆</m:t>
                    </m:r>
                  </m:e>
                  <m:sub>
                    <m:r>
                      <m:rPr>
                        <m:sty m:val="p"/>
                      </m:rPr>
                      <w:rPr>
                        <w:rFonts w:ascii="Cambria Math" w:hAnsi="Cambria Math" w:cs="Arial"/>
                        <w:szCs w:val="18"/>
                      </w:rPr>
                      <m:t>r</m:t>
                    </m:r>
                  </m:sub>
                </m:sSub>
                <m:sSubSup>
                  <m:sSubSupPr>
                    <m:ctrlPr>
                      <w:rPr>
                        <w:rFonts w:ascii="Cambria Math" w:hAnsi="Cambria Math" w:cs="Arial"/>
                        <w:i/>
                        <w:szCs w:val="18"/>
                      </w:rPr>
                    </m:ctrlPr>
                  </m:sSubSupPr>
                  <m:e>
                    <m:r>
                      <w:rPr>
                        <w:rFonts w:ascii="Cambria Math" w:hAnsi="Cambria Math" w:cs="Arial"/>
                        <w:szCs w:val="18"/>
                      </w:rPr>
                      <m:t>H</m:t>
                    </m:r>
                  </m:e>
                  <m:sub>
                    <m:r>
                      <w:rPr>
                        <w:rFonts w:ascii="Cambria Math" w:hAnsi="Cambria Math" w:cs="Arial"/>
                        <w:szCs w:val="18"/>
                      </w:rPr>
                      <m:t>2</m:t>
                    </m:r>
                  </m:sub>
                  <m:sup>
                    <m:r>
                      <w:rPr>
                        <w:rFonts w:ascii="Cambria Math" w:hAnsi="Cambria Math" w:cs="Arial"/>
                        <w:szCs w:val="18"/>
                      </w:rPr>
                      <m:t>°</m:t>
                    </m:r>
                  </m:sup>
                </m:sSubSup>
                <m:r>
                  <m:rPr>
                    <m:sty m:val="p"/>
                  </m:rPr>
                  <w:rPr>
                    <w:rFonts w:ascii="Cambria Math" w:hAnsi="Cambria Math" w:cs="Arial"/>
                    <w:szCs w:val="18"/>
                  </w:rPr>
                  <m:t xml:space="preserve"> [kJ/mol]</m:t>
                </m:r>
              </m:oMath>
            </m:oMathPara>
          </w:p>
        </w:tc>
        <w:tc>
          <w:tcPr>
            <w:tcW w:w="1134" w:type="dxa"/>
            <w:shd w:val="clear" w:color="auto" w:fill="FFFFFF"/>
            <w:vAlign w:val="center"/>
          </w:tcPr>
          <w:p w14:paraId="51CD64BE" w14:textId="77777777" w:rsidR="00FC191E" w:rsidRPr="00413601" w:rsidRDefault="00FC191E" w:rsidP="005C5D48">
            <w:pPr>
              <w:pStyle w:val="CETBodytext"/>
              <w:ind w:right="-1"/>
              <w:rPr>
                <w:rFonts w:cs="Arial"/>
                <w:szCs w:val="18"/>
                <w:lang w:val="en-GB"/>
              </w:rPr>
            </w:pPr>
            <w:r w:rsidRPr="00413601">
              <w:rPr>
                <w:rFonts w:cs="Arial"/>
                <w:szCs w:val="18"/>
              </w:rPr>
              <w:t>50</w:t>
            </w:r>
          </w:p>
        </w:tc>
      </w:tr>
    </w:tbl>
    <w:bookmarkEnd w:id="0"/>
    <w:p w14:paraId="1A1C0000" w14:textId="77356B3B" w:rsidR="00FC191E" w:rsidRPr="00413601" w:rsidRDefault="00FC191E" w:rsidP="00FC191E">
      <w:pPr>
        <w:pStyle w:val="CETTabletitle"/>
      </w:pPr>
      <w:r w:rsidRPr="00413601">
        <w:t>Table 2: Physical properties of reaction fluid and reaction tube</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694"/>
        <w:gridCol w:w="2268"/>
      </w:tblGrid>
      <w:tr w:rsidR="00FC191E" w:rsidRPr="00413601" w14:paraId="2DC3EFDF" w14:textId="77777777" w:rsidTr="00FC191E">
        <w:tc>
          <w:tcPr>
            <w:tcW w:w="2694" w:type="dxa"/>
            <w:shd w:val="clear" w:color="auto" w:fill="FFFFFF"/>
          </w:tcPr>
          <w:p w14:paraId="13C02D81" w14:textId="77777777" w:rsidR="00FC191E" w:rsidRPr="00413601" w:rsidRDefault="00FC191E" w:rsidP="009B0D50">
            <w:pPr>
              <w:pStyle w:val="CETBodytext"/>
              <w:rPr>
                <w:rFonts w:cs="Arial"/>
                <w:szCs w:val="18"/>
                <w:lang w:val="en-GB"/>
              </w:rPr>
            </w:pPr>
            <w:r w:rsidRPr="00413601">
              <w:rPr>
                <w:rFonts w:eastAsia="ＭＳ 明朝" w:cs="Arial"/>
                <w:szCs w:val="18"/>
              </w:rPr>
              <w:t>Density</w:t>
            </w:r>
            <m:oMath>
              <m:r>
                <w:rPr>
                  <w:rFonts w:ascii="Cambria Math" w:hAnsi="Cambria Math" w:cs="Arial"/>
                  <w:szCs w:val="18"/>
                </w:rPr>
                <m:t xml:space="preserve"> [</m:t>
              </m:r>
              <m:r>
                <m:rPr>
                  <m:sty m:val="p"/>
                </m:rPr>
                <w:rPr>
                  <w:rFonts w:ascii="Cambria Math" w:hAnsi="Cambria Math" w:cs="Arial"/>
                  <w:szCs w:val="18"/>
                </w:rPr>
                <m:t>kg/</m:t>
              </m:r>
              <m:sSup>
                <m:sSupPr>
                  <m:ctrlPr>
                    <w:rPr>
                      <w:rFonts w:ascii="Cambria Math" w:hAnsi="Cambria Math" w:cs="Arial"/>
                      <w:iCs/>
                      <w:szCs w:val="18"/>
                    </w:rPr>
                  </m:ctrlPr>
                </m:sSupPr>
                <m:e>
                  <m:r>
                    <m:rPr>
                      <m:sty m:val="p"/>
                    </m:rPr>
                    <w:rPr>
                      <w:rFonts w:ascii="Cambria Math" w:hAnsi="Cambria Math" w:cs="Arial"/>
                      <w:szCs w:val="18"/>
                    </w:rPr>
                    <m:t>m</m:t>
                  </m:r>
                </m:e>
                <m:sup>
                  <m:r>
                    <m:rPr>
                      <m:sty m:val="p"/>
                    </m:rPr>
                    <w:rPr>
                      <w:rFonts w:ascii="Cambria Math" w:hAnsi="Cambria Math" w:cs="Arial"/>
                      <w:szCs w:val="18"/>
                    </w:rPr>
                    <m:t>3</m:t>
                  </m:r>
                </m:sup>
              </m:sSup>
              <m:r>
                <m:rPr>
                  <m:sty m:val="p"/>
                </m:rPr>
                <w:rPr>
                  <w:rFonts w:ascii="Cambria Math" w:hAnsi="Cambria Math" w:cs="Arial"/>
                  <w:szCs w:val="18"/>
                </w:rPr>
                <m:t>]</m:t>
              </m:r>
            </m:oMath>
          </w:p>
        </w:tc>
        <w:tc>
          <w:tcPr>
            <w:tcW w:w="2268" w:type="dxa"/>
            <w:shd w:val="clear" w:color="auto" w:fill="FFFFFF"/>
          </w:tcPr>
          <w:p w14:paraId="4E9E6635" w14:textId="77777777" w:rsidR="00FC191E" w:rsidRPr="00413601" w:rsidRDefault="00FC191E" w:rsidP="009B0D50">
            <w:pPr>
              <w:pStyle w:val="CETBodytext"/>
              <w:rPr>
                <w:rFonts w:cs="Arial"/>
                <w:szCs w:val="18"/>
                <w:lang w:val="en-GB"/>
              </w:rPr>
            </w:pPr>
            <w:r w:rsidRPr="00413601">
              <w:rPr>
                <w:rFonts w:cs="Arial"/>
                <w:szCs w:val="18"/>
              </w:rPr>
              <w:t>700 (fluid), 3940 (tube)</w:t>
            </w:r>
          </w:p>
        </w:tc>
      </w:tr>
      <w:tr w:rsidR="00FC191E" w:rsidRPr="00413601" w14:paraId="5672EA8B" w14:textId="77777777" w:rsidTr="00FC191E">
        <w:tc>
          <w:tcPr>
            <w:tcW w:w="2694" w:type="dxa"/>
            <w:shd w:val="clear" w:color="auto" w:fill="FFFFFF"/>
          </w:tcPr>
          <w:p w14:paraId="1790F378" w14:textId="77777777" w:rsidR="00FC191E" w:rsidRPr="00413601" w:rsidRDefault="00FC191E" w:rsidP="009B0D50">
            <w:pPr>
              <w:pStyle w:val="CETBodytext"/>
              <w:rPr>
                <w:rFonts w:cs="Arial"/>
                <w:szCs w:val="18"/>
                <w:lang w:val="en-GB"/>
              </w:rPr>
            </w:pPr>
            <w:r w:rsidRPr="00413601">
              <w:rPr>
                <w:rFonts w:eastAsia="ＭＳ 明朝" w:cs="Arial"/>
                <w:szCs w:val="18"/>
              </w:rPr>
              <w:t>Specific heat</w:t>
            </w:r>
            <m:oMath>
              <m:r>
                <w:rPr>
                  <w:rFonts w:ascii="Cambria Math" w:hAnsi="Cambria Math" w:cs="Arial"/>
                  <w:szCs w:val="18"/>
                </w:rPr>
                <m:t xml:space="preserve"> [</m:t>
              </m:r>
              <m:r>
                <m:rPr>
                  <m:sty m:val="p"/>
                </m:rPr>
                <w:rPr>
                  <w:rFonts w:ascii="Cambria Math" w:hAnsi="Cambria Math" w:cs="Arial"/>
                  <w:szCs w:val="18"/>
                </w:rPr>
                <m:t>J/kg/ K</m:t>
              </m:r>
              <m:r>
                <w:rPr>
                  <w:rFonts w:ascii="Cambria Math" w:hAnsi="Cambria Math" w:cs="Arial"/>
                  <w:szCs w:val="18"/>
                </w:rPr>
                <m:t>]</m:t>
              </m:r>
            </m:oMath>
          </w:p>
        </w:tc>
        <w:tc>
          <w:tcPr>
            <w:tcW w:w="2268" w:type="dxa"/>
            <w:shd w:val="clear" w:color="auto" w:fill="FFFFFF"/>
          </w:tcPr>
          <w:p w14:paraId="2ED903C8" w14:textId="77777777" w:rsidR="00FC191E" w:rsidRPr="00413601" w:rsidRDefault="00FC191E" w:rsidP="009B0D50">
            <w:pPr>
              <w:pStyle w:val="CETBodytext"/>
              <w:rPr>
                <w:rFonts w:cs="Arial"/>
                <w:szCs w:val="18"/>
                <w:lang w:val="en-GB"/>
              </w:rPr>
            </w:pPr>
            <w:r w:rsidRPr="00413601">
              <w:rPr>
                <w:rFonts w:cs="Arial"/>
                <w:szCs w:val="18"/>
              </w:rPr>
              <w:t>2000 (fluid), 0.5 (tube)</w:t>
            </w:r>
          </w:p>
        </w:tc>
      </w:tr>
      <w:tr w:rsidR="00FC191E" w:rsidRPr="00413601" w14:paraId="38E087D0" w14:textId="77777777" w:rsidTr="00FC191E">
        <w:tc>
          <w:tcPr>
            <w:tcW w:w="2694" w:type="dxa"/>
            <w:shd w:val="clear" w:color="auto" w:fill="FFFFFF"/>
          </w:tcPr>
          <w:p w14:paraId="2442CF8D" w14:textId="77777777" w:rsidR="00FC191E" w:rsidRPr="00413601" w:rsidRDefault="00FC191E" w:rsidP="009B0D50">
            <w:pPr>
              <w:pStyle w:val="CETBodytext"/>
              <w:rPr>
                <w:rFonts w:cs="Arial"/>
                <w:szCs w:val="18"/>
                <w:lang w:val="en-GB"/>
              </w:rPr>
            </w:pPr>
            <w:r w:rsidRPr="00413601">
              <w:rPr>
                <w:rFonts w:eastAsia="ＭＳ 明朝" w:cs="Arial"/>
                <w:szCs w:val="18"/>
              </w:rPr>
              <w:t>Thermal conductivity</w:t>
            </w:r>
            <m:oMath>
              <m:r>
                <m:rPr>
                  <m:sty m:val="p"/>
                </m:rPr>
                <w:rPr>
                  <w:rFonts w:ascii="Cambria Math" w:hAnsi="Cambria Math" w:cs="Arial"/>
                  <w:szCs w:val="18"/>
                </w:rPr>
                <m:t xml:space="preserve"> [</m:t>
              </m:r>
              <m:f>
                <m:fPr>
                  <m:type m:val="lin"/>
                  <m:ctrlPr>
                    <w:rPr>
                      <w:rFonts w:ascii="Cambria Math" w:hAnsi="Cambria Math" w:cs="Arial"/>
                      <w:iCs/>
                      <w:szCs w:val="18"/>
                    </w:rPr>
                  </m:ctrlPr>
                </m:fPr>
                <m:num>
                  <m:r>
                    <m:rPr>
                      <m:sty m:val="p"/>
                    </m:rPr>
                    <w:rPr>
                      <w:rFonts w:ascii="Cambria Math" w:hAnsi="Cambria Math" w:cs="Arial"/>
                      <w:szCs w:val="18"/>
                    </w:rPr>
                    <m:t>W</m:t>
                  </m:r>
                  <m:ctrlPr>
                    <w:rPr>
                      <w:rFonts w:ascii="Cambria Math" w:hAnsi="Cambria Math" w:cs="Arial"/>
                      <w:i/>
                      <w:szCs w:val="18"/>
                    </w:rPr>
                  </m:ctrlPr>
                </m:num>
                <m:den>
                  <m:r>
                    <m:rPr>
                      <m:sty m:val="p"/>
                    </m:rPr>
                    <w:rPr>
                      <w:rFonts w:ascii="Cambria Math" w:hAnsi="Cambria Math" w:cs="Arial"/>
                      <w:szCs w:val="18"/>
                    </w:rPr>
                    <m:t>m</m:t>
                  </m:r>
                </m:den>
              </m:f>
              <m:r>
                <m:rPr>
                  <m:sty m:val="p"/>
                </m:rPr>
                <w:rPr>
                  <w:rFonts w:ascii="Cambria Math" w:hAnsi="Cambria Math" w:cs="Arial"/>
                  <w:szCs w:val="18"/>
                </w:rPr>
                <m:t>/K]</m:t>
              </m:r>
            </m:oMath>
          </w:p>
        </w:tc>
        <w:tc>
          <w:tcPr>
            <w:tcW w:w="2268" w:type="dxa"/>
            <w:shd w:val="clear" w:color="auto" w:fill="FFFFFF"/>
          </w:tcPr>
          <w:p w14:paraId="32210C45" w14:textId="77777777" w:rsidR="00FC191E" w:rsidRPr="00413601" w:rsidRDefault="00FC191E" w:rsidP="009B0D50">
            <w:pPr>
              <w:pStyle w:val="CETBodytext"/>
              <w:rPr>
                <w:rFonts w:cs="Arial"/>
                <w:szCs w:val="18"/>
                <w:lang w:val="en-GB"/>
              </w:rPr>
            </w:pPr>
            <w:r w:rsidRPr="00413601">
              <w:rPr>
                <w:rFonts w:cs="Arial"/>
                <w:szCs w:val="18"/>
              </w:rPr>
              <w:t>0.1 (fluid), 17 (tube)</w:t>
            </w:r>
          </w:p>
        </w:tc>
      </w:tr>
      <w:tr w:rsidR="00FC191E" w:rsidRPr="00413601" w14:paraId="0F42408D" w14:textId="77777777" w:rsidTr="00FC191E">
        <w:tc>
          <w:tcPr>
            <w:tcW w:w="2694" w:type="dxa"/>
            <w:shd w:val="clear" w:color="auto" w:fill="FFFFFF"/>
          </w:tcPr>
          <w:p w14:paraId="769F7B02" w14:textId="77777777" w:rsidR="00FC191E" w:rsidRPr="00413601" w:rsidRDefault="00FC191E" w:rsidP="009B0D50">
            <w:pPr>
              <w:pStyle w:val="CETBodytext"/>
              <w:rPr>
                <w:rFonts w:cs="Arial"/>
                <w:szCs w:val="18"/>
                <w:lang w:val="en-GB"/>
              </w:rPr>
            </w:pPr>
            <w:r w:rsidRPr="00413601">
              <w:rPr>
                <w:rFonts w:eastAsia="ＭＳ 明朝" w:cs="Arial"/>
                <w:szCs w:val="18"/>
              </w:rPr>
              <w:t xml:space="preserve">Viscosity </w:t>
            </w:r>
            <m:oMath>
              <m:r>
                <w:rPr>
                  <w:rFonts w:ascii="Cambria Math" w:hAnsi="Cambria Math" w:cs="Arial"/>
                  <w:szCs w:val="18"/>
                </w:rPr>
                <m:t>[</m:t>
              </m:r>
              <m:f>
                <m:fPr>
                  <m:type m:val="lin"/>
                  <m:ctrlPr>
                    <w:rPr>
                      <w:rFonts w:ascii="Cambria Math" w:hAnsi="Cambria Math" w:cs="Arial"/>
                      <w:szCs w:val="18"/>
                    </w:rPr>
                  </m:ctrlPr>
                </m:fPr>
                <m:num>
                  <m:f>
                    <m:fPr>
                      <m:type m:val="lin"/>
                      <m:ctrlPr>
                        <w:rPr>
                          <w:rFonts w:ascii="Cambria Math" w:hAnsi="Cambria Math" w:cs="Arial"/>
                          <w:szCs w:val="18"/>
                        </w:rPr>
                      </m:ctrlPr>
                    </m:fPr>
                    <m:num>
                      <m:r>
                        <m:rPr>
                          <m:sty m:val="p"/>
                        </m:rPr>
                        <w:rPr>
                          <w:rFonts w:ascii="Cambria Math" w:hAnsi="Cambria Math" w:cs="Arial"/>
                          <w:szCs w:val="18"/>
                        </w:rPr>
                        <m:t>kg</m:t>
                      </m:r>
                    </m:num>
                    <m:den>
                      <m:r>
                        <m:rPr>
                          <m:sty m:val="p"/>
                        </m:rPr>
                        <w:rPr>
                          <w:rFonts w:ascii="Cambria Math" w:hAnsi="Cambria Math" w:cs="Arial"/>
                          <w:szCs w:val="18"/>
                        </w:rPr>
                        <m:t>m</m:t>
                      </m:r>
                    </m:den>
                  </m:f>
                </m:num>
                <m:den>
                  <m:r>
                    <m:rPr>
                      <m:sty m:val="p"/>
                    </m:rPr>
                    <w:rPr>
                      <w:rFonts w:ascii="Cambria Math" w:hAnsi="Cambria Math" w:cs="Arial"/>
                      <w:szCs w:val="18"/>
                    </w:rPr>
                    <m:t>s</m:t>
                  </m:r>
                </m:den>
              </m:f>
              <m:r>
                <m:rPr>
                  <m:sty m:val="p"/>
                </m:rPr>
                <w:rPr>
                  <w:rFonts w:ascii="Cambria Math" w:hAnsi="Cambria Math" w:cs="Arial"/>
                  <w:szCs w:val="18"/>
                </w:rPr>
                <m:t>]</m:t>
              </m:r>
            </m:oMath>
          </w:p>
        </w:tc>
        <w:tc>
          <w:tcPr>
            <w:tcW w:w="2268" w:type="dxa"/>
            <w:shd w:val="clear" w:color="auto" w:fill="FFFFFF"/>
          </w:tcPr>
          <w:p w14:paraId="5F3F0225" w14:textId="77777777" w:rsidR="00FC191E" w:rsidRPr="00413601" w:rsidRDefault="00FC191E" w:rsidP="009B0D50">
            <w:pPr>
              <w:pStyle w:val="CETBodytext"/>
              <w:rPr>
                <w:rFonts w:cs="Arial"/>
                <w:szCs w:val="18"/>
                <w:lang w:val="en-GB"/>
              </w:rPr>
            </w:pPr>
            <w:r w:rsidRPr="00413601">
              <w:rPr>
                <w:rFonts w:cs="Arial"/>
                <w:szCs w:val="18"/>
              </w:rPr>
              <w:t>0.0003 (fluid)</w:t>
            </w:r>
          </w:p>
        </w:tc>
      </w:tr>
      <w:tr w:rsidR="00FC191E" w:rsidRPr="00413601" w14:paraId="7E642B21" w14:textId="77777777" w:rsidTr="00FC191E">
        <w:tc>
          <w:tcPr>
            <w:tcW w:w="2694" w:type="dxa"/>
            <w:shd w:val="clear" w:color="auto" w:fill="FFFFFF"/>
          </w:tcPr>
          <w:p w14:paraId="7BDE382E" w14:textId="77777777" w:rsidR="00FC191E" w:rsidRPr="00413601" w:rsidRDefault="00FC191E" w:rsidP="009B0D50">
            <w:pPr>
              <w:pStyle w:val="CETBodytext"/>
              <w:rPr>
                <w:rFonts w:cs="Arial"/>
                <w:szCs w:val="18"/>
                <w:lang w:val="en-GB"/>
              </w:rPr>
            </w:pPr>
            <w:r w:rsidRPr="00413601">
              <w:rPr>
                <w:rFonts w:eastAsia="ＭＳ 明朝" w:cs="Arial"/>
                <w:szCs w:val="18"/>
              </w:rPr>
              <w:t xml:space="preserve">Diffusivity </w:t>
            </w:r>
            <m:oMath>
              <m:r>
                <w:rPr>
                  <w:rFonts w:ascii="Cambria Math" w:hAnsi="Cambria Math" w:cs="Arial"/>
                  <w:szCs w:val="18"/>
                </w:rPr>
                <m:t>[</m:t>
              </m:r>
              <m:sSup>
                <m:sSupPr>
                  <m:ctrlPr>
                    <w:rPr>
                      <w:rFonts w:ascii="Cambria Math" w:hAnsi="Cambria Math" w:cs="Arial"/>
                      <w:iCs/>
                      <w:szCs w:val="18"/>
                    </w:rPr>
                  </m:ctrlPr>
                </m:sSupPr>
                <m:e>
                  <m:r>
                    <m:rPr>
                      <m:sty m:val="p"/>
                    </m:rPr>
                    <w:rPr>
                      <w:rFonts w:ascii="Cambria Math" w:hAnsi="Cambria Math" w:cs="Arial"/>
                      <w:szCs w:val="18"/>
                    </w:rPr>
                    <m:t>m</m:t>
                  </m:r>
                </m:e>
                <m:sup>
                  <m:r>
                    <m:rPr>
                      <m:sty m:val="p"/>
                    </m:rPr>
                    <w:rPr>
                      <w:rFonts w:ascii="Cambria Math" w:hAnsi="Cambria Math" w:cs="Arial"/>
                      <w:szCs w:val="18"/>
                    </w:rPr>
                    <m:t>2</m:t>
                  </m:r>
                </m:sup>
              </m:sSup>
              <m:r>
                <m:rPr>
                  <m:sty m:val="p"/>
                </m:rPr>
                <w:rPr>
                  <w:rFonts w:ascii="Cambria Math" w:hAnsi="Cambria Math" w:cs="Arial"/>
                  <w:szCs w:val="18"/>
                </w:rPr>
                <m:t>/s]</m:t>
              </m:r>
            </m:oMath>
          </w:p>
        </w:tc>
        <w:tc>
          <w:tcPr>
            <w:tcW w:w="2268" w:type="dxa"/>
            <w:shd w:val="clear" w:color="auto" w:fill="FFFFFF"/>
          </w:tcPr>
          <w:p w14:paraId="171E3F04" w14:textId="77777777" w:rsidR="00FC191E" w:rsidRPr="00413601" w:rsidRDefault="00FC191E" w:rsidP="009B0D50">
            <w:pPr>
              <w:pStyle w:val="CETBodytext"/>
              <w:rPr>
                <w:rFonts w:cs="Arial"/>
                <w:szCs w:val="18"/>
                <w:lang w:val="en-GB"/>
              </w:rPr>
            </w:pPr>
            <w:r w:rsidRPr="00413601">
              <w:rPr>
                <w:rFonts w:cs="Arial"/>
                <w:szCs w:val="18"/>
              </w:rPr>
              <w:t>1</w:t>
            </w:r>
            <m:oMath>
              <m:r>
                <w:rPr>
                  <w:rFonts w:ascii="Cambria Math" w:hAnsi="Cambria Math" w:cs="Arial"/>
                  <w:szCs w:val="18"/>
                </w:rPr>
                <m:t>×</m:t>
              </m:r>
            </m:oMath>
            <w:r w:rsidRPr="00413601">
              <w:rPr>
                <w:rFonts w:cs="Arial"/>
                <w:szCs w:val="18"/>
              </w:rPr>
              <w:t>10</w:t>
            </w:r>
            <w:r w:rsidRPr="00413601">
              <w:rPr>
                <w:rFonts w:cs="Arial"/>
                <w:szCs w:val="18"/>
                <w:vertAlign w:val="superscript"/>
              </w:rPr>
              <w:t xml:space="preserve">-6 </w:t>
            </w:r>
            <w:r w:rsidRPr="00413601">
              <w:rPr>
                <w:rFonts w:cs="Arial"/>
                <w:szCs w:val="18"/>
              </w:rPr>
              <w:t>(fluid)</w:t>
            </w:r>
          </w:p>
        </w:tc>
      </w:tr>
      <w:tr w:rsidR="00FC191E" w:rsidRPr="00413601" w14:paraId="4144BB57" w14:textId="77777777" w:rsidTr="00FC191E">
        <w:tc>
          <w:tcPr>
            <w:tcW w:w="2694" w:type="dxa"/>
            <w:shd w:val="clear" w:color="auto" w:fill="FFFFFF"/>
          </w:tcPr>
          <w:p w14:paraId="187F2E2C" w14:textId="77777777" w:rsidR="00FC191E" w:rsidRPr="00413601" w:rsidRDefault="00FC191E" w:rsidP="009B0D50">
            <w:pPr>
              <w:pStyle w:val="CETBodytext"/>
              <w:ind w:right="-1"/>
              <w:rPr>
                <w:rFonts w:cs="Arial"/>
                <w:szCs w:val="18"/>
                <w:lang w:val="en-GB"/>
              </w:rPr>
            </w:pPr>
            <w:r w:rsidRPr="00413601">
              <w:rPr>
                <w:rFonts w:eastAsia="ＭＳ 明朝" w:cs="Arial"/>
                <w:szCs w:val="18"/>
              </w:rPr>
              <w:t>Molar mass</w:t>
            </w:r>
            <m:oMath>
              <m:r>
                <m:rPr>
                  <m:sty m:val="p"/>
                </m:rPr>
                <w:rPr>
                  <w:rFonts w:ascii="Cambria Math" w:eastAsia="ＭＳ 明朝" w:hAnsi="Cambria Math" w:cs="Arial"/>
                  <w:szCs w:val="18"/>
                </w:rPr>
                <m:t xml:space="preserve"> </m:t>
              </m:r>
              <m:r>
                <m:rPr>
                  <m:sty m:val="p"/>
                </m:rPr>
                <w:rPr>
                  <w:rFonts w:ascii="Cambria Math" w:hAnsi="Cambria Math" w:cs="Arial"/>
                  <w:szCs w:val="18"/>
                </w:rPr>
                <m:t>[g/mol]</m:t>
              </m:r>
            </m:oMath>
          </w:p>
        </w:tc>
        <w:tc>
          <w:tcPr>
            <w:tcW w:w="2268" w:type="dxa"/>
            <w:shd w:val="clear" w:color="auto" w:fill="FFFFFF"/>
          </w:tcPr>
          <w:p w14:paraId="621B02BB" w14:textId="77777777" w:rsidR="00FC191E" w:rsidRPr="00413601" w:rsidRDefault="00FC191E" w:rsidP="009B0D50">
            <w:pPr>
              <w:pStyle w:val="CETBodytext"/>
              <w:ind w:right="-1"/>
              <w:rPr>
                <w:rFonts w:cs="Arial"/>
                <w:szCs w:val="18"/>
                <w:lang w:val="en-GB"/>
              </w:rPr>
            </w:pPr>
            <w:r w:rsidRPr="00413601">
              <w:rPr>
                <w:rFonts w:cs="Arial"/>
                <w:szCs w:val="18"/>
              </w:rPr>
              <w:t>50 (fluid)</w:t>
            </w:r>
          </w:p>
        </w:tc>
      </w:tr>
    </w:tbl>
    <w:p w14:paraId="62017495" w14:textId="77777777" w:rsidR="007B0318" w:rsidRPr="00413601" w:rsidRDefault="007B0318" w:rsidP="007B0318">
      <w:pPr>
        <w:pStyle w:val="CETTabletitle"/>
      </w:pPr>
      <w:bookmarkStart w:id="1" w:name="_Hlk127443541"/>
      <w:r w:rsidRPr="00413601">
        <w:t>Table 3: Fixed design and operation variables for the double-tubular reactor</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697"/>
        <w:gridCol w:w="696"/>
        <w:gridCol w:w="696"/>
        <w:gridCol w:w="555"/>
        <w:gridCol w:w="831"/>
        <w:gridCol w:w="2479"/>
      </w:tblGrid>
      <w:tr w:rsidR="007B0318" w:rsidRPr="00413601" w14:paraId="71B64160" w14:textId="77777777" w:rsidTr="009B0D50">
        <w:tc>
          <w:tcPr>
            <w:tcW w:w="697" w:type="dxa"/>
            <w:shd w:val="clear" w:color="auto" w:fill="FFFFFF"/>
          </w:tcPr>
          <w:p w14:paraId="6CE26D17" w14:textId="77777777" w:rsidR="007B0318" w:rsidRPr="00413601" w:rsidRDefault="00000000" w:rsidP="009B0D50">
            <w:pPr>
              <w:pStyle w:val="CETBodytext"/>
              <w:rPr>
                <w:rFonts w:eastAsiaTheme="minorEastAsia" w:cs="Arial"/>
                <w:lang w:val="en-GB" w:eastAsia="ja-JP"/>
              </w:rPr>
            </w:pPr>
            <m:oMath>
              <m:sSub>
                <m:sSubPr>
                  <m:ctrlPr>
                    <w:rPr>
                      <w:rFonts w:ascii="Cambria Math" w:hAnsi="Cambria Math" w:cs="Arial"/>
                    </w:rPr>
                  </m:ctrlPr>
                </m:sSubPr>
                <m:e>
                  <m:r>
                    <w:rPr>
                      <w:rFonts w:ascii="Cambria Math" w:hAnsi="Cambria Math" w:cs="Arial"/>
                    </w:rPr>
                    <m:t>r</m:t>
                  </m:r>
                </m:e>
                <m:sub>
                  <m:r>
                    <w:rPr>
                      <w:rFonts w:ascii="Cambria Math" w:hAnsi="Cambria Math" w:cs="Arial"/>
                    </w:rPr>
                    <m:t>2</m:t>
                  </m:r>
                </m:sub>
              </m:sSub>
            </m:oMath>
            <w:r w:rsidR="007B0318" w:rsidRPr="00413601">
              <w:rPr>
                <w:rFonts w:eastAsiaTheme="minorEastAsia" w:cs="Arial"/>
                <w:lang w:eastAsia="ja-JP"/>
              </w:rPr>
              <w:t xml:space="preserve"> [mm]</w:t>
            </w:r>
          </w:p>
        </w:tc>
        <w:tc>
          <w:tcPr>
            <w:tcW w:w="696" w:type="dxa"/>
            <w:shd w:val="clear" w:color="auto" w:fill="FFFFFF"/>
          </w:tcPr>
          <w:p w14:paraId="457FF9F3" w14:textId="77777777" w:rsidR="007B0318" w:rsidRPr="00413601" w:rsidRDefault="00000000" w:rsidP="009B0D50">
            <w:pPr>
              <w:pStyle w:val="CETBodytext"/>
              <w:rPr>
                <w:rFonts w:eastAsiaTheme="minorEastAsia" w:cs="Arial"/>
                <w:lang w:val="en-GB" w:eastAsia="ja-JP"/>
              </w:rPr>
            </w:pPr>
            <m:oMath>
              <m:sSub>
                <m:sSubPr>
                  <m:ctrlPr>
                    <w:rPr>
                      <w:rFonts w:ascii="Cambria Math" w:hAnsi="Cambria Math" w:cs="Arial"/>
                    </w:rPr>
                  </m:ctrlPr>
                </m:sSubPr>
                <m:e>
                  <m:r>
                    <w:rPr>
                      <w:rFonts w:ascii="Cambria Math" w:hAnsi="Cambria Math" w:cs="Arial"/>
                    </w:rPr>
                    <m:t>r</m:t>
                  </m:r>
                </m:e>
                <m:sub>
                  <m:r>
                    <w:rPr>
                      <w:rFonts w:ascii="Cambria Math" w:hAnsi="Cambria Math" w:cs="Arial"/>
                    </w:rPr>
                    <m:t>3</m:t>
                  </m:r>
                </m:sub>
              </m:sSub>
            </m:oMath>
            <w:r w:rsidR="007B0318" w:rsidRPr="00413601">
              <w:rPr>
                <w:rFonts w:eastAsiaTheme="minorEastAsia" w:cs="Arial"/>
                <w:lang w:eastAsia="ja-JP"/>
              </w:rPr>
              <w:t xml:space="preserve"> [mm]</w:t>
            </w:r>
          </w:p>
        </w:tc>
        <w:tc>
          <w:tcPr>
            <w:tcW w:w="696" w:type="dxa"/>
            <w:shd w:val="clear" w:color="auto" w:fill="FFFFFF"/>
          </w:tcPr>
          <w:p w14:paraId="59A4BD03" w14:textId="77777777" w:rsidR="007B0318" w:rsidRPr="00413601" w:rsidRDefault="007B0318" w:rsidP="009B0D50">
            <w:pPr>
              <w:pStyle w:val="CETBodytext"/>
              <w:rPr>
                <w:rFonts w:eastAsiaTheme="minorEastAsia" w:cs="Arial"/>
                <w:lang w:val="en-GB" w:eastAsia="ja-JP"/>
              </w:rPr>
            </w:pPr>
            <m:oMath>
              <m:r>
                <w:rPr>
                  <w:rFonts w:ascii="Cambria Math" w:hAnsi="Cambria Math" w:cs="Arial"/>
                </w:rPr>
                <m:t>z</m:t>
              </m:r>
            </m:oMath>
            <w:r w:rsidRPr="00413601">
              <w:rPr>
                <w:rFonts w:eastAsiaTheme="minorEastAsia" w:cs="Arial"/>
                <w:lang w:eastAsia="ja-JP"/>
              </w:rPr>
              <w:t xml:space="preserve"> [mm]</w:t>
            </w:r>
          </w:p>
        </w:tc>
        <w:tc>
          <w:tcPr>
            <w:tcW w:w="555" w:type="dxa"/>
            <w:shd w:val="clear" w:color="auto" w:fill="FFFFFF"/>
          </w:tcPr>
          <w:p w14:paraId="1FF3FED9" w14:textId="77777777" w:rsidR="007B0318" w:rsidRPr="00413601" w:rsidRDefault="00000000" w:rsidP="009B0D50">
            <w:pPr>
              <w:pStyle w:val="CETBodytext"/>
              <w:ind w:right="-1"/>
              <w:rPr>
                <w:rFonts w:eastAsiaTheme="minorEastAsia" w:cs="Arial"/>
                <w:lang w:val="en-GB" w:eastAsia="ja-JP"/>
              </w:rPr>
            </w:pPr>
            <m:oMath>
              <m:sSub>
                <m:sSubPr>
                  <m:ctrlPr>
                    <w:rPr>
                      <w:rFonts w:ascii="Cambria Math" w:hAnsi="Cambria Math" w:cs="Arial"/>
                    </w:rPr>
                  </m:ctrlPr>
                </m:sSubPr>
                <m:e>
                  <m:r>
                    <w:rPr>
                      <w:rFonts w:ascii="Cambria Math" w:hAnsi="Cambria Math" w:cs="Arial"/>
                    </w:rPr>
                    <m:t>T</m:t>
                  </m:r>
                </m:e>
                <m:sub>
                  <m:r>
                    <w:rPr>
                      <w:rFonts w:ascii="Cambria Math" w:hAnsi="Cambria Math" w:cs="Arial"/>
                    </w:rPr>
                    <m:t>0</m:t>
                  </m:r>
                </m:sub>
              </m:sSub>
            </m:oMath>
            <w:r w:rsidR="007B0318" w:rsidRPr="00413601">
              <w:rPr>
                <w:rFonts w:eastAsiaTheme="minorEastAsia" w:cs="Arial"/>
                <w:lang w:eastAsia="ja-JP"/>
              </w:rPr>
              <w:t xml:space="preserve"> [K]</w:t>
            </w:r>
          </w:p>
        </w:tc>
        <w:tc>
          <w:tcPr>
            <w:tcW w:w="831" w:type="dxa"/>
            <w:shd w:val="clear" w:color="auto" w:fill="FFFFFF"/>
          </w:tcPr>
          <w:p w14:paraId="6E848DBE" w14:textId="77777777" w:rsidR="007B0318" w:rsidRPr="00413601" w:rsidRDefault="00000000" w:rsidP="009B0D50">
            <w:pPr>
              <w:pStyle w:val="CETBodytext"/>
              <w:ind w:right="-1"/>
              <w:rPr>
                <w:rFonts w:eastAsiaTheme="minorEastAsia" w:cs="Arial"/>
                <w:lang w:val="en-GB" w:eastAsia="ja-JP"/>
              </w:rPr>
            </w:pPr>
            <m:oMath>
              <m:sSub>
                <m:sSubPr>
                  <m:ctrlPr>
                    <w:rPr>
                      <w:rFonts w:ascii="Cambria Math" w:hAnsi="Cambria Math" w:cs="Arial"/>
                    </w:rPr>
                  </m:ctrlPr>
                </m:sSubPr>
                <m:e>
                  <m:r>
                    <w:rPr>
                      <w:rFonts w:ascii="Cambria Math" w:hAnsi="Cambria Math" w:cs="Arial"/>
                    </w:rPr>
                    <m:t>v</m:t>
                  </m:r>
                </m:e>
                <m:sub>
                  <m:r>
                    <m:rPr>
                      <m:sty m:val="p"/>
                    </m:rPr>
                    <w:rPr>
                      <w:rFonts w:ascii="Cambria Math" w:hAnsi="Cambria Math" w:cs="Arial"/>
                    </w:rPr>
                    <m:t>c0</m:t>
                  </m:r>
                </m:sub>
              </m:sSub>
            </m:oMath>
            <w:r w:rsidR="007B0318" w:rsidRPr="00413601">
              <w:rPr>
                <w:rFonts w:eastAsiaTheme="minorEastAsia" w:cs="Arial"/>
                <w:lang w:eastAsia="ja-JP"/>
              </w:rPr>
              <w:t xml:space="preserve"> [m/s]</w:t>
            </w:r>
          </w:p>
        </w:tc>
        <w:tc>
          <w:tcPr>
            <w:tcW w:w="2479" w:type="dxa"/>
            <w:shd w:val="clear" w:color="auto" w:fill="FFFFFF"/>
          </w:tcPr>
          <w:p w14:paraId="6E3E93BA" w14:textId="77777777" w:rsidR="007B0318" w:rsidRPr="00413601" w:rsidRDefault="007B0318" w:rsidP="009B0D50">
            <w:pPr>
              <w:pStyle w:val="CETBodytext"/>
              <w:ind w:right="-1"/>
              <w:rPr>
                <w:rFonts w:eastAsiaTheme="minorEastAsia" w:cs="Arial"/>
                <w:lang w:val="en-GB" w:eastAsia="ja-JP"/>
              </w:rPr>
            </w:pPr>
            <w:r w:rsidRPr="00413601">
              <w:rPr>
                <w:rFonts w:eastAsiaTheme="minorEastAsia" w:cs="Arial"/>
                <w:lang w:val="en-GB" w:eastAsia="ja-JP"/>
              </w:rPr>
              <w:t xml:space="preserve">Mole fraction of raw material A </w:t>
            </w:r>
          </w:p>
        </w:tc>
      </w:tr>
      <w:tr w:rsidR="007B0318" w:rsidRPr="00413601" w14:paraId="346E4D9E" w14:textId="77777777" w:rsidTr="009B0D50">
        <w:tc>
          <w:tcPr>
            <w:tcW w:w="697" w:type="dxa"/>
            <w:shd w:val="clear" w:color="auto" w:fill="FFFFFF"/>
          </w:tcPr>
          <w:p w14:paraId="77F6F4FC" w14:textId="77777777" w:rsidR="007B0318" w:rsidRPr="00413601" w:rsidRDefault="007B0318" w:rsidP="009B0D50">
            <w:pPr>
              <w:pStyle w:val="CETBodytext"/>
              <w:ind w:right="-1" w:firstLineChars="100" w:firstLine="180"/>
              <w:rPr>
                <w:rFonts w:eastAsiaTheme="minorEastAsia" w:cs="Arial"/>
                <w:lang w:val="en-GB" w:eastAsia="ja-JP"/>
              </w:rPr>
            </w:pPr>
            <w:r w:rsidRPr="00413601">
              <w:rPr>
                <w:rFonts w:eastAsiaTheme="minorEastAsia" w:cs="Arial"/>
                <w:lang w:val="en-GB" w:eastAsia="ja-JP"/>
              </w:rPr>
              <w:t>0.2</w:t>
            </w:r>
          </w:p>
        </w:tc>
        <w:tc>
          <w:tcPr>
            <w:tcW w:w="696" w:type="dxa"/>
            <w:shd w:val="clear" w:color="auto" w:fill="FFFFFF"/>
          </w:tcPr>
          <w:p w14:paraId="58216427" w14:textId="77777777" w:rsidR="007B0318" w:rsidRPr="00413601" w:rsidRDefault="007B0318" w:rsidP="009B0D50">
            <w:pPr>
              <w:pStyle w:val="CETBodytext"/>
              <w:ind w:right="-1"/>
              <w:rPr>
                <w:rFonts w:eastAsiaTheme="minorEastAsia" w:cs="Arial"/>
                <w:lang w:val="en-GB" w:eastAsia="ja-JP"/>
              </w:rPr>
            </w:pPr>
            <w:r w:rsidRPr="00413601">
              <w:rPr>
                <w:rFonts w:eastAsiaTheme="minorEastAsia" w:cs="Arial"/>
                <w:lang w:val="en-GB" w:eastAsia="ja-JP"/>
              </w:rPr>
              <w:t>0.3</w:t>
            </w:r>
          </w:p>
        </w:tc>
        <w:tc>
          <w:tcPr>
            <w:tcW w:w="696" w:type="dxa"/>
            <w:shd w:val="clear" w:color="auto" w:fill="FFFFFF"/>
          </w:tcPr>
          <w:p w14:paraId="140C08B5" w14:textId="77777777" w:rsidR="007B0318" w:rsidRPr="00413601" w:rsidRDefault="007B0318" w:rsidP="009B0D50">
            <w:pPr>
              <w:pStyle w:val="CETBodytext"/>
              <w:ind w:right="-1"/>
              <w:rPr>
                <w:rFonts w:eastAsiaTheme="minorEastAsia" w:cs="Arial"/>
                <w:lang w:val="en-GB" w:eastAsia="ja-JP"/>
              </w:rPr>
            </w:pPr>
            <w:r w:rsidRPr="00413601">
              <w:rPr>
                <w:rFonts w:eastAsiaTheme="minorEastAsia" w:cs="Arial"/>
                <w:lang w:val="en-GB" w:eastAsia="ja-JP"/>
              </w:rPr>
              <w:t>500</w:t>
            </w:r>
          </w:p>
        </w:tc>
        <w:tc>
          <w:tcPr>
            <w:tcW w:w="555" w:type="dxa"/>
            <w:shd w:val="clear" w:color="auto" w:fill="FFFFFF"/>
          </w:tcPr>
          <w:p w14:paraId="2CB6C7BF" w14:textId="77777777" w:rsidR="007B0318" w:rsidRPr="00413601" w:rsidRDefault="007B0318" w:rsidP="009B0D50">
            <w:pPr>
              <w:pStyle w:val="CETBodytext"/>
              <w:ind w:right="-1"/>
              <w:rPr>
                <w:rFonts w:eastAsiaTheme="minorEastAsia" w:cs="Arial"/>
                <w:lang w:val="en-GB" w:eastAsia="ja-JP"/>
              </w:rPr>
            </w:pPr>
            <w:r w:rsidRPr="00413601">
              <w:rPr>
                <w:rFonts w:eastAsiaTheme="minorEastAsia" w:cs="Arial"/>
                <w:lang w:val="en-GB" w:eastAsia="ja-JP"/>
              </w:rPr>
              <w:t>323</w:t>
            </w:r>
          </w:p>
        </w:tc>
        <w:tc>
          <w:tcPr>
            <w:tcW w:w="831" w:type="dxa"/>
            <w:shd w:val="clear" w:color="auto" w:fill="FFFFFF"/>
          </w:tcPr>
          <w:p w14:paraId="7B19A281" w14:textId="77777777" w:rsidR="007B0318" w:rsidRPr="00413601" w:rsidRDefault="007B0318" w:rsidP="009B0D50">
            <w:pPr>
              <w:pStyle w:val="CETBodytext"/>
              <w:ind w:right="-1"/>
              <w:rPr>
                <w:rFonts w:eastAsiaTheme="minorEastAsia" w:cs="Arial"/>
                <w:lang w:val="en-GB" w:eastAsia="ja-JP"/>
              </w:rPr>
            </w:pPr>
            <w:r w:rsidRPr="00413601">
              <w:rPr>
                <w:rFonts w:eastAsiaTheme="minorEastAsia" w:cs="Arial"/>
                <w:lang w:val="en-GB" w:eastAsia="ja-JP"/>
              </w:rPr>
              <w:t>0.1</w:t>
            </w:r>
          </w:p>
        </w:tc>
        <w:tc>
          <w:tcPr>
            <w:tcW w:w="2479" w:type="dxa"/>
            <w:shd w:val="clear" w:color="auto" w:fill="FFFFFF"/>
          </w:tcPr>
          <w:p w14:paraId="217C30F1" w14:textId="77777777" w:rsidR="007B0318" w:rsidRPr="00413601" w:rsidRDefault="007B0318" w:rsidP="009B0D50">
            <w:pPr>
              <w:pStyle w:val="CETBodytext"/>
              <w:ind w:right="-1"/>
              <w:rPr>
                <w:rFonts w:eastAsiaTheme="minorEastAsia" w:cs="Arial"/>
                <w:lang w:val="en-GB" w:eastAsia="ja-JP"/>
              </w:rPr>
            </w:pPr>
            <w:r w:rsidRPr="00413601">
              <w:rPr>
                <w:rFonts w:eastAsiaTheme="minorEastAsia" w:cs="Arial"/>
                <w:lang w:val="en-GB" w:eastAsia="ja-JP"/>
              </w:rPr>
              <w:t>0.5</w:t>
            </w:r>
          </w:p>
        </w:tc>
      </w:tr>
    </w:tbl>
    <w:bookmarkEnd w:id="1"/>
    <w:p w14:paraId="06A4657E" w14:textId="77777777" w:rsidR="007B0318" w:rsidRPr="00413601" w:rsidRDefault="007B0318" w:rsidP="007B0318">
      <w:pPr>
        <w:pStyle w:val="CETTabletitle"/>
      </w:pPr>
      <w:r w:rsidRPr="00413601">
        <w:t>Table 4: Optimization result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709"/>
        <w:gridCol w:w="709"/>
        <w:gridCol w:w="709"/>
      </w:tblGrid>
      <w:tr w:rsidR="007B0318" w:rsidRPr="00413601" w14:paraId="5C0D34C4" w14:textId="77777777" w:rsidTr="009B0D50">
        <w:tc>
          <w:tcPr>
            <w:tcW w:w="709" w:type="dxa"/>
            <w:shd w:val="clear" w:color="auto" w:fill="FFFFFF"/>
          </w:tcPr>
          <w:p w14:paraId="6BD64400" w14:textId="77777777" w:rsidR="007B0318" w:rsidRPr="00413601" w:rsidRDefault="00000000" w:rsidP="009B0D50">
            <w:pPr>
              <w:pStyle w:val="CETBodytext"/>
              <w:ind w:right="-1"/>
              <w:rPr>
                <w:rFonts w:eastAsiaTheme="minorEastAsia" w:cs="Arial"/>
                <w:lang w:val="en-GB" w:eastAsia="ja-JP"/>
              </w:rPr>
            </w:pPr>
            <m:oMath>
              <m:sSub>
                <m:sSubPr>
                  <m:ctrlPr>
                    <w:rPr>
                      <w:rFonts w:ascii="Cambria Math" w:hAnsi="Cambria Math" w:cs="Arial"/>
                    </w:rPr>
                  </m:ctrlPr>
                </m:sSubPr>
                <m:e>
                  <m:r>
                    <w:rPr>
                      <w:rFonts w:ascii="Cambria Math" w:hAnsi="Cambria Math" w:cs="Arial"/>
                    </w:rPr>
                    <m:t>r</m:t>
                  </m:r>
                </m:e>
                <m:sub>
                  <m:r>
                    <w:rPr>
                      <w:rFonts w:ascii="Cambria Math" w:hAnsi="Cambria Math" w:cs="Arial"/>
                    </w:rPr>
                    <m:t>1</m:t>
                  </m:r>
                </m:sub>
              </m:sSub>
            </m:oMath>
            <w:r w:rsidR="007B0318" w:rsidRPr="00413601">
              <w:rPr>
                <w:rFonts w:eastAsiaTheme="minorEastAsia" w:cs="Arial"/>
                <w:lang w:eastAsia="ja-JP"/>
              </w:rPr>
              <w:t xml:space="preserve"> [mm]</w:t>
            </w:r>
          </w:p>
        </w:tc>
        <w:tc>
          <w:tcPr>
            <w:tcW w:w="709" w:type="dxa"/>
            <w:shd w:val="clear" w:color="auto" w:fill="FFFFFF"/>
          </w:tcPr>
          <w:p w14:paraId="15FB9ACE" w14:textId="77777777" w:rsidR="007B0318" w:rsidRPr="00413601" w:rsidRDefault="00000000" w:rsidP="009B0D50">
            <w:pPr>
              <w:pStyle w:val="CETBodytext"/>
              <w:ind w:right="-1"/>
              <w:rPr>
                <w:rFonts w:eastAsiaTheme="minorEastAsia" w:cs="Arial"/>
                <w:lang w:val="en-GB" w:eastAsia="ja-JP"/>
              </w:rPr>
            </w:pPr>
            <m:oMath>
              <m:sSub>
                <m:sSubPr>
                  <m:ctrlPr>
                    <w:rPr>
                      <w:rFonts w:ascii="Cambria Math" w:hAnsi="Cambria Math" w:cs="Arial"/>
                    </w:rPr>
                  </m:ctrlPr>
                </m:sSubPr>
                <m:e>
                  <m:r>
                    <w:rPr>
                      <w:rFonts w:ascii="Cambria Math" w:hAnsi="Cambria Math" w:cs="Arial"/>
                    </w:rPr>
                    <m:t>v</m:t>
                  </m:r>
                </m:e>
                <m:sub>
                  <m:r>
                    <w:rPr>
                      <w:rFonts w:ascii="Cambria Math" w:hAnsi="Cambria Math" w:cs="Arial"/>
                    </w:rPr>
                    <m:t>0</m:t>
                  </m:r>
                </m:sub>
              </m:sSub>
            </m:oMath>
            <w:r w:rsidR="007B0318" w:rsidRPr="00413601">
              <w:rPr>
                <w:rFonts w:eastAsiaTheme="minorEastAsia" w:cs="Arial"/>
                <w:lang w:eastAsia="ja-JP"/>
              </w:rPr>
              <w:t xml:space="preserve"> [mm]</w:t>
            </w:r>
          </w:p>
        </w:tc>
        <w:tc>
          <w:tcPr>
            <w:tcW w:w="709" w:type="dxa"/>
            <w:shd w:val="clear" w:color="auto" w:fill="FFFFFF"/>
          </w:tcPr>
          <w:p w14:paraId="706E8C67" w14:textId="77777777" w:rsidR="007B0318" w:rsidRPr="00413601" w:rsidRDefault="00000000" w:rsidP="009B0D50">
            <w:pPr>
              <w:pStyle w:val="CETBodytext"/>
              <w:ind w:right="-1"/>
              <w:rPr>
                <w:rFonts w:eastAsiaTheme="minorEastAsia" w:cs="Arial"/>
                <w:lang w:val="en-GB" w:eastAsia="ja-JP"/>
              </w:rPr>
            </w:pPr>
            <m:oMath>
              <m:sSub>
                <m:sSubPr>
                  <m:ctrlPr>
                    <w:rPr>
                      <w:rFonts w:ascii="Cambria Math" w:hAnsi="Cambria Math" w:cs="Arial"/>
                    </w:rPr>
                  </m:ctrlPr>
                </m:sSubPr>
                <m:e>
                  <m:r>
                    <w:rPr>
                      <w:rFonts w:ascii="Cambria Math" w:hAnsi="Cambria Math" w:cs="Arial"/>
                    </w:rPr>
                    <m:t>T</m:t>
                  </m:r>
                </m:e>
                <m:sub>
                  <m:r>
                    <m:rPr>
                      <m:sty m:val="p"/>
                    </m:rPr>
                    <w:rPr>
                      <w:rFonts w:ascii="Cambria Math" w:hAnsi="Cambria Math" w:cs="Arial"/>
                    </w:rPr>
                    <m:t>c</m:t>
                  </m:r>
                  <m:r>
                    <w:rPr>
                      <w:rFonts w:ascii="Cambria Math" w:hAnsi="Cambria Math" w:cs="Arial"/>
                    </w:rPr>
                    <m:t>0</m:t>
                  </m:r>
                </m:sub>
              </m:sSub>
            </m:oMath>
            <w:r w:rsidR="007B0318" w:rsidRPr="00413601">
              <w:rPr>
                <w:rFonts w:eastAsiaTheme="minorEastAsia" w:cs="Arial"/>
                <w:lang w:eastAsia="ja-JP"/>
              </w:rPr>
              <w:t xml:space="preserve"> [K]</w:t>
            </w:r>
          </w:p>
        </w:tc>
      </w:tr>
      <w:tr w:rsidR="007B0318" w:rsidRPr="00413601" w14:paraId="6CF4245E" w14:textId="77777777" w:rsidTr="009B0D50">
        <w:tc>
          <w:tcPr>
            <w:tcW w:w="709" w:type="dxa"/>
            <w:shd w:val="clear" w:color="auto" w:fill="FFFFFF"/>
          </w:tcPr>
          <w:p w14:paraId="01AE2C08" w14:textId="77777777" w:rsidR="007B0318" w:rsidRPr="00413601" w:rsidRDefault="007B0318" w:rsidP="009B0D50">
            <w:pPr>
              <w:pStyle w:val="CETBodytext"/>
              <w:ind w:right="-1"/>
              <w:rPr>
                <w:rFonts w:eastAsiaTheme="minorEastAsia" w:cs="Arial"/>
                <w:lang w:val="en-GB" w:eastAsia="ja-JP"/>
              </w:rPr>
            </w:pPr>
            <w:r w:rsidRPr="00413601">
              <w:rPr>
                <w:rFonts w:eastAsiaTheme="minorEastAsia" w:cs="Arial"/>
                <w:lang w:val="en-GB" w:eastAsia="ja-JP"/>
              </w:rPr>
              <w:t>0.72</w:t>
            </w:r>
          </w:p>
        </w:tc>
        <w:tc>
          <w:tcPr>
            <w:tcW w:w="709" w:type="dxa"/>
            <w:shd w:val="clear" w:color="auto" w:fill="FFFFFF"/>
          </w:tcPr>
          <w:p w14:paraId="11DBE6CE" w14:textId="77777777" w:rsidR="007B0318" w:rsidRPr="00413601" w:rsidRDefault="007B0318" w:rsidP="009B0D50">
            <w:pPr>
              <w:pStyle w:val="CETBodytext"/>
              <w:ind w:right="-1"/>
              <w:rPr>
                <w:rFonts w:eastAsiaTheme="minorEastAsia" w:cs="Arial"/>
                <w:lang w:val="en-GB" w:eastAsia="ja-JP"/>
              </w:rPr>
            </w:pPr>
            <w:r w:rsidRPr="00413601">
              <w:rPr>
                <w:rFonts w:eastAsiaTheme="minorEastAsia" w:cs="Arial"/>
                <w:lang w:val="en-GB" w:eastAsia="ja-JP"/>
              </w:rPr>
              <w:t>0.01</w:t>
            </w:r>
          </w:p>
        </w:tc>
        <w:tc>
          <w:tcPr>
            <w:tcW w:w="709" w:type="dxa"/>
            <w:shd w:val="clear" w:color="auto" w:fill="FFFFFF"/>
          </w:tcPr>
          <w:p w14:paraId="3C3233A5" w14:textId="77777777" w:rsidR="007B0318" w:rsidRPr="00413601" w:rsidRDefault="007B0318" w:rsidP="009B0D50">
            <w:pPr>
              <w:pStyle w:val="CETBodytext"/>
              <w:ind w:right="-1"/>
              <w:rPr>
                <w:rFonts w:eastAsiaTheme="minorEastAsia" w:cs="Arial"/>
                <w:lang w:val="en-GB" w:eastAsia="ja-JP"/>
              </w:rPr>
            </w:pPr>
            <w:r w:rsidRPr="00413601">
              <w:rPr>
                <w:rFonts w:eastAsiaTheme="minorEastAsia" w:cs="Arial"/>
                <w:lang w:val="en-GB" w:eastAsia="ja-JP"/>
              </w:rPr>
              <w:t>303</w:t>
            </w:r>
          </w:p>
        </w:tc>
      </w:tr>
    </w:tbl>
    <w:p w14:paraId="6D242BC6" w14:textId="77777777" w:rsidR="007B0318" w:rsidRPr="00413601" w:rsidRDefault="007B0318" w:rsidP="007B0318">
      <w:pPr>
        <w:pStyle w:val="CETBodytext"/>
      </w:pPr>
    </w:p>
    <w:p w14:paraId="18BAFA6F" w14:textId="4546D731" w:rsidR="00453E24" w:rsidRPr="00413601" w:rsidRDefault="007C7477" w:rsidP="00453E24">
      <w:pPr>
        <w:pStyle w:val="CETheadingx"/>
      </w:pPr>
      <w:r w:rsidRPr="00413601">
        <w:t>Step 1: double-tubular reactor design</w:t>
      </w:r>
    </w:p>
    <w:p w14:paraId="69D6D7CC" w14:textId="0883E2EA" w:rsidR="007C7477" w:rsidRPr="00413601" w:rsidRDefault="007C7477" w:rsidP="00453E24">
      <w:pPr>
        <w:pStyle w:val="CETBodytext"/>
        <w:rPr>
          <w:rFonts w:eastAsia="ＭＳ 明朝"/>
          <w:lang w:val="en-GB" w:eastAsia="ja-JP"/>
        </w:rPr>
      </w:pPr>
      <w:r w:rsidRPr="00413601">
        <w:rPr>
          <w:rFonts w:eastAsia="ＭＳ 明朝"/>
          <w:lang w:val="en-GB" w:eastAsia="ja-JP"/>
        </w:rPr>
        <w:t>The design problem of a double-tubular reactor shown in Figure 2 is formulated as follows: The objective is to maximize the profit calculated by subtracting the cost of separating component C from the sales of component B. The selected optimization variables are the tube inner diameter (</w:t>
      </w:r>
      <w:r w:rsidRPr="00413601">
        <w:rPr>
          <w:rFonts w:eastAsia="ＭＳ 明朝"/>
          <w:i/>
          <w:iCs/>
          <w:lang w:val="en-GB" w:eastAsia="ja-JP"/>
        </w:rPr>
        <w:t>r</w:t>
      </w:r>
      <w:r w:rsidRPr="00413601">
        <w:rPr>
          <w:rFonts w:eastAsia="ＭＳ 明朝"/>
          <w:vertAlign w:val="subscript"/>
          <w:lang w:val="en-GB" w:eastAsia="ja-JP"/>
        </w:rPr>
        <w:t>1</w:t>
      </w:r>
      <w:r w:rsidRPr="00413601">
        <w:rPr>
          <w:rFonts w:eastAsia="ＭＳ 明朝"/>
          <w:lang w:val="en-GB" w:eastAsia="ja-JP"/>
        </w:rPr>
        <w:t>), the inlet velocity of the reactant (</w:t>
      </w:r>
      <w:r w:rsidRPr="00413601">
        <w:rPr>
          <w:rFonts w:eastAsia="ＭＳ 明朝"/>
          <w:i/>
          <w:iCs/>
          <w:lang w:val="en-GB" w:eastAsia="ja-JP"/>
        </w:rPr>
        <w:t>v</w:t>
      </w:r>
      <w:r w:rsidRPr="00413601">
        <w:rPr>
          <w:rFonts w:eastAsia="ＭＳ 明朝"/>
          <w:vertAlign w:val="subscript"/>
          <w:lang w:val="en-GB" w:eastAsia="ja-JP"/>
        </w:rPr>
        <w:t>0</w:t>
      </w:r>
      <w:r w:rsidRPr="00413601">
        <w:rPr>
          <w:rFonts w:eastAsia="ＭＳ 明朝"/>
          <w:lang w:val="en-GB" w:eastAsia="ja-JP"/>
        </w:rPr>
        <w:t>), and the inlet temperature of the coolant (</w:t>
      </w:r>
      <w:r w:rsidRPr="00413601">
        <w:rPr>
          <w:rFonts w:eastAsia="ＭＳ 明朝"/>
          <w:i/>
          <w:iCs/>
          <w:lang w:val="en-GB" w:eastAsia="ja-JP"/>
        </w:rPr>
        <w:t>T</w:t>
      </w:r>
      <w:r w:rsidRPr="00413601">
        <w:rPr>
          <w:rFonts w:eastAsia="ＭＳ 明朝"/>
          <w:vertAlign w:val="subscript"/>
          <w:lang w:val="en-GB" w:eastAsia="ja-JP"/>
        </w:rPr>
        <w:t>c0</w:t>
      </w:r>
      <w:r w:rsidRPr="00413601">
        <w:rPr>
          <w:rFonts w:eastAsia="ＭＳ 明朝"/>
          <w:lang w:val="en-GB" w:eastAsia="ja-JP"/>
        </w:rPr>
        <w:t>). Other variables are assumed to be fixed values as shown in Table 3, and the outer wall of the reactor is assumed to be adiabatic. The upper and lower limits of the optimization variables are as follows: 0.4</w:t>
      </w:r>
      <w:r w:rsidR="00687C55" w:rsidRPr="00413601">
        <w:rPr>
          <w:rFonts w:eastAsia="ＭＳ 明朝"/>
          <w:lang w:val="en-GB" w:eastAsia="ja-JP"/>
        </w:rPr>
        <w:t xml:space="preserve"> </w:t>
      </w:r>
      <w:r w:rsidRPr="00413601">
        <w:rPr>
          <w:rFonts w:eastAsia="ＭＳ 明朝"/>
          <w:lang w:val="en-GB" w:eastAsia="ja-JP"/>
        </w:rPr>
        <w:t>≤</w:t>
      </w:r>
      <w:r w:rsidR="00687C55" w:rsidRPr="00413601">
        <w:rPr>
          <w:rFonts w:eastAsia="ＭＳ 明朝"/>
          <w:lang w:val="en-GB" w:eastAsia="ja-JP"/>
        </w:rPr>
        <w:t xml:space="preserve"> </w:t>
      </w:r>
      <w:r w:rsidRPr="00413601">
        <w:rPr>
          <w:rFonts w:eastAsia="ＭＳ 明朝"/>
          <w:i/>
          <w:iCs/>
          <w:lang w:val="en-GB" w:eastAsia="ja-JP"/>
        </w:rPr>
        <w:t>r</w:t>
      </w:r>
      <w:r w:rsidRPr="00413601">
        <w:rPr>
          <w:rFonts w:eastAsia="ＭＳ 明朝"/>
          <w:vertAlign w:val="subscript"/>
          <w:lang w:val="en-GB" w:eastAsia="ja-JP"/>
        </w:rPr>
        <w:t>1</w:t>
      </w:r>
      <w:r w:rsidR="00687C55" w:rsidRPr="00413601">
        <w:rPr>
          <w:rFonts w:eastAsia="ＭＳ 明朝"/>
          <w:vertAlign w:val="subscript"/>
          <w:lang w:val="en-GB" w:eastAsia="ja-JP"/>
        </w:rPr>
        <w:t xml:space="preserve"> </w:t>
      </w:r>
      <w:r w:rsidRPr="00413601">
        <w:rPr>
          <w:rFonts w:eastAsia="ＭＳ 明朝"/>
          <w:lang w:val="en-GB" w:eastAsia="ja-JP"/>
        </w:rPr>
        <w:t>≤</w:t>
      </w:r>
      <w:r w:rsidR="00687C55" w:rsidRPr="00413601">
        <w:rPr>
          <w:rFonts w:eastAsia="ＭＳ 明朝"/>
          <w:lang w:val="en-GB" w:eastAsia="ja-JP"/>
        </w:rPr>
        <w:t xml:space="preserve"> </w:t>
      </w:r>
      <w:r w:rsidRPr="00413601">
        <w:rPr>
          <w:rFonts w:eastAsia="ＭＳ 明朝"/>
          <w:lang w:val="en-GB" w:eastAsia="ja-JP"/>
        </w:rPr>
        <w:t>1.6</w:t>
      </w:r>
      <w:r w:rsidRPr="00413601">
        <w:rPr>
          <w:rFonts w:eastAsia="ＭＳ 明朝" w:hint="eastAsia"/>
          <w:lang w:val="en-GB" w:eastAsia="ja-JP"/>
        </w:rPr>
        <w:t>,</w:t>
      </w:r>
      <w:r w:rsidRPr="00413601">
        <w:rPr>
          <w:rFonts w:eastAsia="ＭＳ 明朝"/>
          <w:lang w:val="en-GB" w:eastAsia="ja-JP"/>
        </w:rPr>
        <w:t xml:space="preserve"> 0.01</w:t>
      </w:r>
      <w:r w:rsidR="00687C55" w:rsidRPr="00413601">
        <w:rPr>
          <w:rFonts w:eastAsia="ＭＳ 明朝"/>
          <w:lang w:val="en-GB" w:eastAsia="ja-JP"/>
        </w:rPr>
        <w:t xml:space="preserve"> </w:t>
      </w:r>
      <w:r w:rsidRPr="00413601">
        <w:rPr>
          <w:rFonts w:eastAsia="ＭＳ 明朝"/>
          <w:lang w:val="en-GB" w:eastAsia="ja-JP"/>
        </w:rPr>
        <w:t>≤</w:t>
      </w:r>
      <w:r w:rsidR="00687C55" w:rsidRPr="00413601">
        <w:rPr>
          <w:rFonts w:eastAsia="ＭＳ 明朝"/>
          <w:lang w:val="en-GB" w:eastAsia="ja-JP"/>
        </w:rPr>
        <w:t xml:space="preserve"> </w:t>
      </w:r>
      <w:r w:rsidRPr="00413601">
        <w:rPr>
          <w:rFonts w:eastAsia="ＭＳ 明朝"/>
          <w:i/>
          <w:iCs/>
          <w:lang w:val="en-GB" w:eastAsia="ja-JP"/>
        </w:rPr>
        <w:t>v</w:t>
      </w:r>
      <w:r w:rsidRPr="00413601">
        <w:rPr>
          <w:rFonts w:eastAsia="ＭＳ 明朝"/>
          <w:vertAlign w:val="subscript"/>
          <w:lang w:val="en-GB" w:eastAsia="ja-JP"/>
        </w:rPr>
        <w:t>0</w:t>
      </w:r>
      <w:r w:rsidR="00687C55" w:rsidRPr="00413601">
        <w:rPr>
          <w:rFonts w:eastAsia="ＭＳ 明朝"/>
          <w:vertAlign w:val="subscript"/>
          <w:lang w:val="en-GB" w:eastAsia="ja-JP"/>
        </w:rPr>
        <w:t xml:space="preserve"> </w:t>
      </w:r>
      <w:r w:rsidRPr="00413601">
        <w:rPr>
          <w:rFonts w:eastAsia="ＭＳ 明朝"/>
          <w:lang w:val="en-GB" w:eastAsia="ja-JP"/>
        </w:rPr>
        <w:t>≤</w:t>
      </w:r>
      <w:r w:rsidR="00687C55" w:rsidRPr="00413601">
        <w:rPr>
          <w:rFonts w:eastAsia="ＭＳ 明朝"/>
          <w:lang w:val="en-GB" w:eastAsia="ja-JP"/>
        </w:rPr>
        <w:t xml:space="preserve"> </w:t>
      </w:r>
      <w:r w:rsidRPr="00413601">
        <w:rPr>
          <w:rFonts w:eastAsia="ＭＳ 明朝"/>
          <w:lang w:val="en-GB" w:eastAsia="ja-JP"/>
        </w:rPr>
        <w:t>0.5</w:t>
      </w:r>
      <w:r w:rsidRPr="00413601">
        <w:rPr>
          <w:rFonts w:eastAsia="ＭＳ 明朝" w:hint="eastAsia"/>
          <w:lang w:val="en-GB" w:eastAsia="ja-JP"/>
        </w:rPr>
        <w:t>,</w:t>
      </w:r>
      <w:r w:rsidRPr="00413601">
        <w:rPr>
          <w:rFonts w:eastAsia="ＭＳ 明朝"/>
          <w:lang w:val="en-GB" w:eastAsia="ja-JP"/>
        </w:rPr>
        <w:t xml:space="preserve"> </w:t>
      </w:r>
      <w:r w:rsidRPr="00413601">
        <w:rPr>
          <w:rFonts w:eastAsia="ＭＳ 明朝"/>
          <w:i/>
          <w:iCs/>
          <w:lang w:val="en-GB" w:eastAsia="ja-JP"/>
        </w:rPr>
        <w:t>T</w:t>
      </w:r>
      <w:r w:rsidRPr="00413601">
        <w:rPr>
          <w:rFonts w:eastAsia="ＭＳ 明朝"/>
          <w:vertAlign w:val="subscript"/>
          <w:lang w:val="en-GB" w:eastAsia="ja-JP"/>
        </w:rPr>
        <w:t>c0</w:t>
      </w:r>
      <w:r w:rsidR="00687C55" w:rsidRPr="00413601">
        <w:rPr>
          <w:rFonts w:eastAsia="ＭＳ 明朝"/>
          <w:vertAlign w:val="subscript"/>
          <w:lang w:val="en-GB" w:eastAsia="ja-JP"/>
        </w:rPr>
        <w:t xml:space="preserve"> </w:t>
      </w:r>
      <w:r w:rsidRPr="00413601">
        <w:rPr>
          <w:rFonts w:eastAsia="ＭＳ 明朝"/>
          <w:lang w:val="en-GB" w:eastAsia="ja-JP"/>
        </w:rPr>
        <w:t>=</w:t>
      </w:r>
      <w:r w:rsidR="00687C55" w:rsidRPr="00413601">
        <w:rPr>
          <w:rFonts w:eastAsia="ＭＳ 明朝"/>
          <w:lang w:val="en-GB" w:eastAsia="ja-JP"/>
        </w:rPr>
        <w:t xml:space="preserve"> </w:t>
      </w:r>
      <w:r w:rsidRPr="00413601">
        <w:rPr>
          <w:rFonts w:eastAsia="ＭＳ 明朝"/>
          <w:lang w:val="en-GB" w:eastAsia="ja-JP"/>
        </w:rPr>
        <w:t>283, 293, 303, 313,</w:t>
      </w:r>
      <w:r w:rsidR="00687C55" w:rsidRPr="00413601">
        <w:rPr>
          <w:rFonts w:eastAsia="ＭＳ 明朝"/>
          <w:lang w:val="en-GB" w:eastAsia="ja-JP"/>
        </w:rPr>
        <w:t xml:space="preserve"> and </w:t>
      </w:r>
      <w:r w:rsidRPr="00413601">
        <w:rPr>
          <w:rFonts w:eastAsia="ＭＳ 明朝"/>
          <w:lang w:val="en-GB" w:eastAsia="ja-JP"/>
        </w:rPr>
        <w:t>323. The result of CFD-based optimization is shown in Table 4. At this time, the molar fractions of components B and C at the reactor outlet were 0.220 and 0.106, respectively.</w:t>
      </w:r>
    </w:p>
    <w:p w14:paraId="6704F508" w14:textId="79E3F6C5" w:rsidR="007C7477" w:rsidRPr="00413601" w:rsidRDefault="007C7477" w:rsidP="007C7477">
      <w:pPr>
        <w:pStyle w:val="CETheadingx"/>
      </w:pPr>
      <w:r w:rsidRPr="00413601">
        <w:t>Step 2: MTR design</w:t>
      </w:r>
    </w:p>
    <w:p w14:paraId="2D4B9719" w14:textId="143B80CB" w:rsidR="007C7477" w:rsidRPr="00413601" w:rsidRDefault="007C7477" w:rsidP="007C7477">
      <w:pPr>
        <w:pStyle w:val="CETBodytext"/>
      </w:pPr>
      <w:r w:rsidRPr="00413601">
        <w:t>Since the production volume of the double-tubular reactor designed in the previous section was 54.3 g/day, the number of reaction tubes required to achieve the target production volume is 25. In the MTR design, the objective is to achieve the same reaction field as the double-tubular reactor, and the design result is evaluated on the basis of the temperature distributions as well as the root-mean-square error (RMSE) between the temperatures in the flow direction of the double-tubular reactor and the MTR, which are obtained by CFD simulation (ANSYS Fluent</w:t>
      </w:r>
      <w:r w:rsidRPr="00413601">
        <w:rPr>
          <w:rFonts w:ascii="ＭＳ 明朝" w:eastAsia="ＭＳ 明朝" w:hAnsi="ＭＳ 明朝" w:cs="ＭＳ 明朝" w:hint="eastAsia"/>
          <w:vertAlign w:val="superscript"/>
        </w:rPr>
        <w:t>Ⓡ</w:t>
      </w:r>
      <w:r w:rsidRPr="00413601">
        <w:t xml:space="preserve">). First, the multi-tube section is designed assuming uniform flow distribution of a reactant to </w:t>
      </w:r>
      <w:r w:rsidR="00D851D5" w:rsidRPr="00413601">
        <w:t>the</w:t>
      </w:r>
      <w:r w:rsidRPr="00413601">
        <w:t xml:space="preserve"> reaction tubes, and then the reaction fluid distribution and collection sections are designed. With reference to conventional shell-and-tube heat exchangers, two candidates for the multi-tube arrangement were set: lattice and concentric circles, and two candidates for the </w:t>
      </w:r>
      <w:r w:rsidR="00732CDB" w:rsidRPr="00732CDB">
        <w:t>shell cross-sectional shape</w:t>
      </w:r>
      <w:r w:rsidRPr="00413601">
        <w:t xml:space="preserve"> were set: rectangle and circle. After combining these candidates (e.g., [lattice]x[circle]), the remaining design variables, such as the distance between the tubes and the inner diameter and length of the shell, have to be determined. For simplicity, the positions of the inlet and outlet nozzles were fixed at 0.5 mm from the end of the shell, and the inner diameter of both nozzles was fixed at 1.12 mm. In addition, it was assumed that the linear velocity of the coolant in the shell is equal to that determined in Step1 and that the total flow rate of the coolant in the shell is equal to the coolant flow rate </w:t>
      </w:r>
      <w:r w:rsidR="00AC3FEE" w:rsidRPr="00413601">
        <w:t>of</w:t>
      </w:r>
      <w:r w:rsidRPr="00413601">
        <w:t xml:space="preserve"> step </w:t>
      </w:r>
      <w:r w:rsidR="00AC3FEE" w:rsidRPr="00413601">
        <w:t>1</w:t>
      </w:r>
      <w:r w:rsidRPr="00413601">
        <w:t xml:space="preserve"> multiplied by the number of reaction tubes. These assumptions </w:t>
      </w:r>
      <w:r w:rsidR="00AC3FEE" w:rsidRPr="00413601">
        <w:t>we</w:t>
      </w:r>
      <w:r w:rsidRPr="00413601">
        <w:t xml:space="preserve">re used to determine the shell size. </w:t>
      </w:r>
    </w:p>
    <w:p w14:paraId="47F06FBA" w14:textId="77777777" w:rsidR="007C7477" w:rsidRPr="00413601" w:rsidRDefault="007C7477" w:rsidP="007C7477">
      <w:pPr>
        <w:pStyle w:val="CETBodytext"/>
      </w:pPr>
    </w:p>
    <w:p w14:paraId="5F0F3F87" w14:textId="5812BFF7" w:rsidR="007C7477" w:rsidRPr="00413601" w:rsidRDefault="007C7477" w:rsidP="007C7477">
      <w:pPr>
        <w:pStyle w:val="CETBodytext"/>
      </w:pPr>
      <w:r w:rsidRPr="00413601">
        <w:t xml:space="preserve">Figure 3a and </w:t>
      </w:r>
      <w:r w:rsidR="00FC191E" w:rsidRPr="00413601">
        <w:t>3</w:t>
      </w:r>
      <w:r w:rsidRPr="00413601">
        <w:t xml:space="preserve">b show a cross-sectional view of the MTR with [lattice]x[circle] structure and the fluid temperature distributions in some representative reaction tubes, respectively. It can be seen that the temperature </w:t>
      </w:r>
      <w:r w:rsidRPr="00413601">
        <w:lastRenderedPageBreak/>
        <w:t xml:space="preserve">distributions of all tubes deviate from the result of Step 1 and the magnitude of the deviation is greater near the center of the shell, resulting in large variations in the temperature distribution. The value of the evaluation function was 4.82 K. Similar result was obtained for the MTR with [concentric circle]x[rectangle] structure. Figures 4 and 5 show the result of the MTR with [concentric circles]x[circle] structure and [lattice]x[rectangle] structure, respectively. It was shown that the fluid temperature distributions of both results were improved compared to the [lattice]x[circle] case. The values of the evaluation function for [concentric circles]x[circle] and [lattice]x[rectangle] </w:t>
      </w:r>
      <w:r w:rsidR="003778DA" w:rsidRPr="00413601">
        <w:t xml:space="preserve">structure </w:t>
      </w:r>
      <w:r w:rsidRPr="00413601">
        <w:t>were 0.52 K and 0.55 K, respectively. Although these values were small, it was seen that the temperature is already non-uniform around the inlet of the reaction tubes and that there are tubes with different temperature variations around the outlet of the react</w:t>
      </w:r>
      <w:r w:rsidR="000B201B">
        <w:t>ion</w:t>
      </w:r>
      <w:r w:rsidRPr="00413601">
        <w:t xml:space="preserve"> tubes. Considering from the CFD simulation results that these were caused by the coolant flow patterns at the tube inlet and outlet, catalyst-free inert sections with lengths of 200 mm and 50 mm were installed before and after all tubes in the MTR with [concentric circles]x[circle] structure, which showed the best result so far, respectively. As a result, although different temperature variations around the tube outlet were no longer observed, the uniformity of the temperature distribution among the parallelized tubes was not improved, and even if the radii </w:t>
      </w:r>
      <w:r w:rsidRPr="00413601">
        <w:rPr>
          <w:i/>
          <w:iCs/>
        </w:rPr>
        <w:t>R</w:t>
      </w:r>
      <w:r w:rsidRPr="00413601">
        <w:rPr>
          <w:vertAlign w:val="subscript"/>
        </w:rPr>
        <w:t>1</w:t>
      </w:r>
      <w:r w:rsidRPr="00413601">
        <w:t xml:space="preserve"> and </w:t>
      </w:r>
      <w:r w:rsidRPr="00413601">
        <w:rPr>
          <w:i/>
          <w:iCs/>
        </w:rPr>
        <w:t>R</w:t>
      </w:r>
      <w:r w:rsidRPr="00413601">
        <w:rPr>
          <w:vertAlign w:val="subscript"/>
        </w:rPr>
        <w:t>2</w:t>
      </w:r>
      <w:r w:rsidRPr="00413601">
        <w:t xml:space="preserve"> were adjusted, there was no effect. Finally, when the [single circle]x[ring] structure shown in Fig</w:t>
      </w:r>
      <w:r w:rsidR="00FC191E" w:rsidRPr="00413601">
        <w:t>ure</w:t>
      </w:r>
      <w:r w:rsidRPr="00413601">
        <w:t xml:space="preserve"> 6a was investigated as a multi-tube arrangement different from the conventional ones, a uniform temperature distribution was obtained as shown in Fig</w:t>
      </w:r>
      <w:r w:rsidR="00FC191E" w:rsidRPr="00413601">
        <w:t>ure</w:t>
      </w:r>
      <w:r w:rsidRPr="00413601">
        <w:t xml:space="preserve"> 6b. At this time, the value of the evaluation function was 0.11 K.</w:t>
      </w:r>
    </w:p>
    <w:p w14:paraId="1580F46D" w14:textId="0F2DC222" w:rsidR="00AC3FEE" w:rsidRPr="00413601" w:rsidRDefault="00AC3FEE" w:rsidP="007C7477">
      <w:pPr>
        <w:pStyle w:val="CETBodytext"/>
      </w:pPr>
    </w:p>
    <w:p w14:paraId="4D51B6DD" w14:textId="0E945A82" w:rsidR="00DA0D04" w:rsidRPr="00413601" w:rsidRDefault="00AC3FEE" w:rsidP="00AC3FEE">
      <w:pPr>
        <w:snapToGrid w:val="0"/>
        <w:rPr>
          <w:szCs w:val="18"/>
        </w:rPr>
      </w:pPr>
      <w:r w:rsidRPr="00413601">
        <w:rPr>
          <w:szCs w:val="18"/>
        </w:rPr>
        <w:t>Following the design of the multi-tube section</w:t>
      </w:r>
      <w:r w:rsidR="003D737A" w:rsidRPr="00413601">
        <w:rPr>
          <w:szCs w:val="18"/>
        </w:rPr>
        <w:t xml:space="preserve"> with </w:t>
      </w:r>
      <w:r w:rsidR="003D737A" w:rsidRPr="00413601">
        <w:t>the [single circle]x[ring] structure</w:t>
      </w:r>
      <w:r w:rsidRPr="00413601">
        <w:rPr>
          <w:szCs w:val="18"/>
        </w:rPr>
        <w:t xml:space="preserve">, the reaction fluid distribution and collection sections were designed to </w:t>
      </w:r>
      <w:r w:rsidR="00AC316D">
        <w:rPr>
          <w:szCs w:val="18"/>
        </w:rPr>
        <w:t>achieve</w:t>
      </w:r>
      <w:r w:rsidR="00AC316D" w:rsidRPr="00413601">
        <w:rPr>
          <w:szCs w:val="18"/>
        </w:rPr>
        <w:t xml:space="preserve"> </w:t>
      </w:r>
      <w:r w:rsidRPr="00413601">
        <w:rPr>
          <w:szCs w:val="18"/>
        </w:rPr>
        <w:t>the uniform flow distribution of the reaction fluid. A symmetrical shape was assumed for the fluid distribution and collection sections in this study. As shown in Figure 7, a manifold-type fluid distribution device (Park et al., 2018) was designed</w:t>
      </w:r>
      <w:r w:rsidR="00874F94">
        <w:rPr>
          <w:szCs w:val="18"/>
        </w:rPr>
        <w:t xml:space="preserve">. </w:t>
      </w:r>
      <w:r w:rsidR="00D72A69" w:rsidRPr="00D72A69">
        <w:rPr>
          <w:szCs w:val="18"/>
        </w:rPr>
        <w:t>The shape of the fluid distribut</w:t>
      </w:r>
      <w:r w:rsidR="00D72A69">
        <w:rPr>
          <w:szCs w:val="18"/>
        </w:rPr>
        <w:t>ion device</w:t>
      </w:r>
      <w:r w:rsidR="00D72A69" w:rsidRPr="00D72A69">
        <w:rPr>
          <w:szCs w:val="18"/>
        </w:rPr>
        <w:t xml:space="preserve"> </w:t>
      </w:r>
      <w:r w:rsidR="00D72A69">
        <w:rPr>
          <w:szCs w:val="18"/>
        </w:rPr>
        <w:t>wa</w:t>
      </w:r>
      <w:r w:rsidR="00D72A69" w:rsidRPr="00D72A69">
        <w:rPr>
          <w:szCs w:val="18"/>
        </w:rPr>
        <w:t xml:space="preserve">s a cylinder with a diameter equal to the shell diameter of the previously designed multi-tube section, and the reactant </w:t>
      </w:r>
      <w:r w:rsidR="00D72A69">
        <w:rPr>
          <w:szCs w:val="18"/>
        </w:rPr>
        <w:t>w</w:t>
      </w:r>
      <w:r w:rsidR="001705EB">
        <w:rPr>
          <w:szCs w:val="18"/>
        </w:rPr>
        <w:t>as</w:t>
      </w:r>
      <w:r w:rsidR="00D72A69" w:rsidRPr="00D72A69">
        <w:rPr>
          <w:szCs w:val="18"/>
        </w:rPr>
        <w:t xml:space="preserve"> </w:t>
      </w:r>
      <w:r w:rsidR="00D72A69">
        <w:rPr>
          <w:szCs w:val="18"/>
        </w:rPr>
        <w:t>supplied</w:t>
      </w:r>
      <w:r w:rsidR="00D72A69" w:rsidRPr="00D72A69">
        <w:rPr>
          <w:szCs w:val="18"/>
        </w:rPr>
        <w:t xml:space="preserve"> from the inlet nozzle at a velocity of 0.086 m/s.</w:t>
      </w:r>
      <w:r w:rsidR="00D72A69">
        <w:rPr>
          <w:szCs w:val="18"/>
        </w:rPr>
        <w:t xml:space="preserve"> </w:t>
      </w:r>
      <w:r w:rsidR="00D72A69" w:rsidRPr="00D72A69">
        <w:rPr>
          <w:szCs w:val="18"/>
        </w:rPr>
        <w:t xml:space="preserve">The length </w:t>
      </w:r>
      <w:r w:rsidR="001705EB">
        <w:rPr>
          <w:szCs w:val="18"/>
        </w:rPr>
        <w:t xml:space="preserve">of the cylinder-type fluid distribution device </w:t>
      </w:r>
      <w:r w:rsidR="00D72A69" w:rsidRPr="00D72A69">
        <w:rPr>
          <w:szCs w:val="18"/>
        </w:rPr>
        <w:t>was set to 5 mm by trial and error.</w:t>
      </w:r>
      <w:r w:rsidR="00D72A69">
        <w:rPr>
          <w:szCs w:val="18"/>
        </w:rPr>
        <w:t xml:space="preserve"> </w:t>
      </w:r>
      <w:r w:rsidR="00D72A69" w:rsidRPr="00D72A69">
        <w:rPr>
          <w:szCs w:val="18"/>
        </w:rPr>
        <w:t>As a result of CFD, it was confirmed that the react</w:t>
      </w:r>
      <w:r w:rsidR="00D72A69">
        <w:rPr>
          <w:szCs w:val="18"/>
        </w:rPr>
        <w:t>ant</w:t>
      </w:r>
      <w:r w:rsidR="00D72A69" w:rsidRPr="00D72A69">
        <w:rPr>
          <w:szCs w:val="18"/>
        </w:rPr>
        <w:t xml:space="preserve"> was evenly distributed </w:t>
      </w:r>
      <w:r w:rsidR="00D72A69">
        <w:rPr>
          <w:szCs w:val="18"/>
        </w:rPr>
        <w:t xml:space="preserve">to the reaction tubes </w:t>
      </w:r>
      <w:r w:rsidR="00D72A69" w:rsidRPr="00D72A69">
        <w:rPr>
          <w:szCs w:val="18"/>
        </w:rPr>
        <w:t xml:space="preserve">and the </w:t>
      </w:r>
      <w:r w:rsidR="00D72A69">
        <w:rPr>
          <w:szCs w:val="18"/>
        </w:rPr>
        <w:t xml:space="preserve">flow </w:t>
      </w:r>
      <w:r w:rsidR="00D72A69" w:rsidRPr="00D72A69">
        <w:rPr>
          <w:szCs w:val="18"/>
        </w:rPr>
        <w:t xml:space="preserve">velocity </w:t>
      </w:r>
      <w:r w:rsidR="00D72A69">
        <w:rPr>
          <w:szCs w:val="18"/>
        </w:rPr>
        <w:t xml:space="preserve">of </w:t>
      </w:r>
      <w:r w:rsidR="001705EB">
        <w:rPr>
          <w:szCs w:val="18"/>
        </w:rPr>
        <w:t>each</w:t>
      </w:r>
      <w:r w:rsidR="00D72A69">
        <w:rPr>
          <w:szCs w:val="18"/>
        </w:rPr>
        <w:t xml:space="preserve"> distributed reactant </w:t>
      </w:r>
      <w:r w:rsidR="00D72A69" w:rsidRPr="00D72A69">
        <w:rPr>
          <w:szCs w:val="18"/>
        </w:rPr>
        <w:t>was 0.01m/s, which is equal to the design result of the multi-tube section.</w:t>
      </w:r>
      <w:r w:rsidR="00D72A69">
        <w:rPr>
          <w:szCs w:val="18"/>
        </w:rPr>
        <w:t xml:space="preserve"> </w:t>
      </w:r>
    </w:p>
    <w:p w14:paraId="7B4253ED" w14:textId="0FE66C34" w:rsidR="007C7477" w:rsidRPr="00413601" w:rsidRDefault="007C7477" w:rsidP="007C7477">
      <w:pPr>
        <w:pStyle w:val="CETBodytext"/>
        <w:rPr>
          <w:lang w:eastAsia="ja-JP"/>
        </w:rPr>
      </w:pPr>
    </w:p>
    <w:p w14:paraId="15D1B619" w14:textId="05E34B4F" w:rsidR="00AC3FEE" w:rsidRPr="00413601" w:rsidRDefault="00AC3FEE" w:rsidP="007C7477">
      <w:pPr>
        <w:pStyle w:val="CETBodytext"/>
      </w:pPr>
      <w:r w:rsidRPr="00413601">
        <w:rPr>
          <w:noProof/>
        </w:rPr>
        <w:drawing>
          <wp:inline distT="0" distB="0" distL="0" distR="0" wp14:anchorId="1880D997" wp14:editId="4AD21EC4">
            <wp:extent cx="3657600" cy="1929545"/>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b="-5281"/>
                    <a:stretch/>
                  </pic:blipFill>
                  <pic:spPr bwMode="auto">
                    <a:xfrm>
                      <a:off x="0" y="0"/>
                      <a:ext cx="3684131" cy="1943541"/>
                    </a:xfrm>
                    <a:prstGeom prst="rect">
                      <a:avLst/>
                    </a:prstGeom>
                    <a:noFill/>
                    <a:ln>
                      <a:noFill/>
                    </a:ln>
                    <a:extLst>
                      <a:ext uri="{53640926-AAD7-44D8-BBD7-CCE9431645EC}">
                        <a14:shadowObscured xmlns:a14="http://schemas.microsoft.com/office/drawing/2010/main"/>
                      </a:ext>
                    </a:extLst>
                  </pic:spPr>
                </pic:pic>
              </a:graphicData>
            </a:graphic>
          </wp:inline>
        </w:drawing>
      </w:r>
    </w:p>
    <w:p w14:paraId="65ECBD75" w14:textId="13CB034A" w:rsidR="00FC191E" w:rsidRPr="00413601" w:rsidRDefault="00FC191E" w:rsidP="007C7477">
      <w:pPr>
        <w:snapToGrid w:val="0"/>
        <w:rPr>
          <w:rStyle w:val="CETCaptionCarattere"/>
        </w:rPr>
      </w:pPr>
      <w:r w:rsidRPr="00413601">
        <w:rPr>
          <w:rStyle w:val="CETCaptionCarattere"/>
        </w:rPr>
        <w:t xml:space="preserve">Figure 3: </w:t>
      </w:r>
      <w:r w:rsidRPr="00413601">
        <w:rPr>
          <w:i/>
        </w:rPr>
        <w:t>MTR with [lattice]x[circle] structure</w:t>
      </w:r>
    </w:p>
    <w:p w14:paraId="028E7C15" w14:textId="77777777" w:rsidR="00FC191E" w:rsidRPr="00413601" w:rsidRDefault="00FC191E" w:rsidP="007C7477">
      <w:pPr>
        <w:snapToGrid w:val="0"/>
        <w:rPr>
          <w:sz w:val="20"/>
        </w:rPr>
      </w:pPr>
    </w:p>
    <w:p w14:paraId="437319BF" w14:textId="60DBE659" w:rsidR="007C7477" w:rsidRPr="00413601" w:rsidRDefault="007C7477" w:rsidP="007C7477">
      <w:pPr>
        <w:snapToGrid w:val="0"/>
        <w:rPr>
          <w:sz w:val="20"/>
        </w:rPr>
      </w:pPr>
      <w:r w:rsidRPr="00413601">
        <w:rPr>
          <w:noProof/>
        </w:rPr>
        <w:drawing>
          <wp:inline distT="0" distB="0" distL="0" distR="0" wp14:anchorId="6C97DA7B" wp14:editId="6E81E404">
            <wp:extent cx="3671180" cy="1852730"/>
            <wp:effectExtent l="0" t="0" r="571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74252" cy="1904747"/>
                    </a:xfrm>
                    <a:prstGeom prst="rect">
                      <a:avLst/>
                    </a:prstGeom>
                    <a:noFill/>
                    <a:ln>
                      <a:noFill/>
                    </a:ln>
                  </pic:spPr>
                </pic:pic>
              </a:graphicData>
            </a:graphic>
          </wp:inline>
        </w:drawing>
      </w:r>
    </w:p>
    <w:p w14:paraId="31AF85D6" w14:textId="7BAF6BE4" w:rsidR="007C7477" w:rsidRPr="00413601" w:rsidRDefault="007C7477" w:rsidP="007C7477">
      <w:pPr>
        <w:pStyle w:val="CETCaption"/>
        <w:rPr>
          <w:sz w:val="20"/>
        </w:rPr>
      </w:pPr>
      <w:r w:rsidRPr="00413601">
        <w:rPr>
          <w:rStyle w:val="CETCaptionCarattere"/>
          <w:i/>
          <w:iCs/>
        </w:rPr>
        <w:t xml:space="preserve">Figure 4: </w:t>
      </w:r>
      <w:r w:rsidRPr="00413601">
        <w:t>MTR with [concentric circles]x[circle] structure</w:t>
      </w:r>
    </w:p>
    <w:p w14:paraId="7F6B1AB2" w14:textId="6A435E52" w:rsidR="00AC3FEE" w:rsidRPr="00413601" w:rsidRDefault="00AC3FEE" w:rsidP="007C7477">
      <w:pPr>
        <w:snapToGrid w:val="0"/>
        <w:rPr>
          <w:sz w:val="20"/>
        </w:rPr>
      </w:pPr>
      <w:r w:rsidRPr="00413601">
        <w:rPr>
          <w:noProof/>
        </w:rPr>
        <w:lastRenderedPageBreak/>
        <w:drawing>
          <wp:inline distT="0" distB="0" distL="0" distR="0" wp14:anchorId="0D229230" wp14:editId="55775F1C">
            <wp:extent cx="4175623" cy="2100404"/>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94499" cy="2109899"/>
                    </a:xfrm>
                    <a:prstGeom prst="rect">
                      <a:avLst/>
                    </a:prstGeom>
                    <a:noFill/>
                    <a:ln>
                      <a:noFill/>
                    </a:ln>
                  </pic:spPr>
                </pic:pic>
              </a:graphicData>
            </a:graphic>
          </wp:inline>
        </w:drawing>
      </w:r>
    </w:p>
    <w:p w14:paraId="09830076" w14:textId="1A0B4C60" w:rsidR="00FC191E" w:rsidRPr="00413601" w:rsidRDefault="00FC191E" w:rsidP="007C7477">
      <w:pPr>
        <w:snapToGrid w:val="0"/>
        <w:rPr>
          <w:sz w:val="20"/>
        </w:rPr>
      </w:pPr>
    </w:p>
    <w:p w14:paraId="28B8428E" w14:textId="3F24F97C" w:rsidR="00FC191E" w:rsidRPr="00413601" w:rsidRDefault="00FC191E" w:rsidP="007C7477">
      <w:pPr>
        <w:snapToGrid w:val="0"/>
        <w:rPr>
          <w:rStyle w:val="CETCaptionCarattere"/>
        </w:rPr>
      </w:pPr>
      <w:r w:rsidRPr="00413601">
        <w:rPr>
          <w:rStyle w:val="CETCaptionCarattere"/>
        </w:rPr>
        <w:t xml:space="preserve">Figure 5: </w:t>
      </w:r>
      <w:r w:rsidRPr="00413601">
        <w:rPr>
          <w:i/>
        </w:rPr>
        <w:t>MTR with</w:t>
      </w:r>
      <w:r w:rsidRPr="00413601">
        <w:rPr>
          <w:rFonts w:asciiTheme="minorHAnsi" w:eastAsiaTheme="minorEastAsia" w:hAnsiTheme="minorHAnsi" w:cstheme="minorBidi"/>
          <w:i/>
          <w:kern w:val="2"/>
          <w:sz w:val="21"/>
          <w:szCs w:val="22"/>
          <w:lang w:val="en-US" w:eastAsia="ja-JP"/>
        </w:rPr>
        <w:t xml:space="preserve"> </w:t>
      </w:r>
      <w:r w:rsidRPr="00413601">
        <w:rPr>
          <w:i/>
          <w:lang w:val="en-US"/>
        </w:rPr>
        <w:t xml:space="preserve">[lattice]x[rectangle] </w:t>
      </w:r>
      <w:r w:rsidRPr="00413601">
        <w:rPr>
          <w:i/>
        </w:rPr>
        <w:t>structure</w:t>
      </w:r>
    </w:p>
    <w:p w14:paraId="0FEDB824" w14:textId="77777777" w:rsidR="00FC191E" w:rsidRPr="00413601" w:rsidRDefault="00FC191E" w:rsidP="007C7477">
      <w:pPr>
        <w:snapToGrid w:val="0"/>
        <w:rPr>
          <w:sz w:val="20"/>
        </w:rPr>
      </w:pPr>
    </w:p>
    <w:p w14:paraId="35AE273A" w14:textId="01B570E2" w:rsidR="007C7477" w:rsidRPr="00413601" w:rsidRDefault="007C7477" w:rsidP="007C7477">
      <w:pPr>
        <w:snapToGrid w:val="0"/>
        <w:rPr>
          <w:sz w:val="20"/>
        </w:rPr>
      </w:pPr>
      <w:r w:rsidRPr="00413601">
        <w:rPr>
          <w:noProof/>
        </w:rPr>
        <w:drawing>
          <wp:inline distT="0" distB="0" distL="0" distR="0" wp14:anchorId="2A75FD48" wp14:editId="11535C8A">
            <wp:extent cx="4353133" cy="2140886"/>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89265" cy="2207836"/>
                    </a:xfrm>
                    <a:prstGeom prst="rect">
                      <a:avLst/>
                    </a:prstGeom>
                    <a:noFill/>
                    <a:ln>
                      <a:noFill/>
                    </a:ln>
                  </pic:spPr>
                </pic:pic>
              </a:graphicData>
            </a:graphic>
          </wp:inline>
        </w:drawing>
      </w:r>
    </w:p>
    <w:p w14:paraId="7523B6A8" w14:textId="25E0FADE" w:rsidR="007C7477" w:rsidRPr="00413601" w:rsidRDefault="007C7477" w:rsidP="007C7477">
      <w:pPr>
        <w:pStyle w:val="CETCaption"/>
        <w:rPr>
          <w:i w:val="0"/>
          <w:iCs/>
          <w:sz w:val="20"/>
        </w:rPr>
      </w:pPr>
      <w:r w:rsidRPr="00413601">
        <w:rPr>
          <w:rStyle w:val="CETCaptionCarattere"/>
          <w:i/>
          <w:iCs/>
        </w:rPr>
        <w:t xml:space="preserve">Figure 6: </w:t>
      </w:r>
      <w:r w:rsidRPr="00413601">
        <w:t>MTR with [single circle]x[ring] structure</w:t>
      </w:r>
    </w:p>
    <w:p w14:paraId="74CC0B08" w14:textId="77777777" w:rsidR="00AC3FEE" w:rsidRPr="00413601" w:rsidRDefault="00AC3FEE" w:rsidP="007C7477">
      <w:pPr>
        <w:snapToGrid w:val="0"/>
        <w:rPr>
          <w:sz w:val="20"/>
        </w:rPr>
      </w:pPr>
    </w:p>
    <w:p w14:paraId="4ED27714" w14:textId="77777777" w:rsidR="007C7477" w:rsidRPr="00413601" w:rsidRDefault="007C7477" w:rsidP="007B0318">
      <w:pPr>
        <w:snapToGrid w:val="0"/>
        <w:jc w:val="left"/>
        <w:rPr>
          <w:sz w:val="20"/>
        </w:rPr>
      </w:pPr>
      <w:r w:rsidRPr="00413601">
        <w:rPr>
          <w:noProof/>
        </w:rPr>
        <w:drawing>
          <wp:inline distT="0" distB="0" distL="0" distR="0" wp14:anchorId="56BEB184" wp14:editId="118F344A">
            <wp:extent cx="4114219" cy="136258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55806" cy="1376358"/>
                    </a:xfrm>
                    <a:prstGeom prst="rect">
                      <a:avLst/>
                    </a:prstGeom>
                    <a:noFill/>
                    <a:ln>
                      <a:noFill/>
                    </a:ln>
                  </pic:spPr>
                </pic:pic>
              </a:graphicData>
            </a:graphic>
          </wp:inline>
        </w:drawing>
      </w:r>
    </w:p>
    <w:p w14:paraId="7B2F0ACF" w14:textId="29CD0C5C" w:rsidR="007C7477" w:rsidRPr="00413601" w:rsidRDefault="007C7477" w:rsidP="007B0318">
      <w:pPr>
        <w:pStyle w:val="CETCaption"/>
        <w:jc w:val="left"/>
      </w:pPr>
      <w:r w:rsidRPr="00413601">
        <w:rPr>
          <w:rStyle w:val="CETCaptionCarattere"/>
          <w:i/>
          <w:iCs/>
        </w:rPr>
        <w:t xml:space="preserve">Figure 7: </w:t>
      </w:r>
      <w:r w:rsidRPr="00413601">
        <w:t>Fluid distribution section design result</w:t>
      </w:r>
    </w:p>
    <w:p w14:paraId="0B86706B" w14:textId="77777777" w:rsidR="00AC3FEE" w:rsidRPr="00413601" w:rsidRDefault="00AC3FEE" w:rsidP="00AC3FEE">
      <w:pPr>
        <w:snapToGrid w:val="0"/>
        <w:rPr>
          <w:sz w:val="20"/>
        </w:rPr>
      </w:pPr>
    </w:p>
    <w:p w14:paraId="3A5FE2A4" w14:textId="1F253ABF" w:rsidR="00AC3FEE" w:rsidRPr="00413601" w:rsidRDefault="00AC3FEE" w:rsidP="005C2F6E">
      <w:pPr>
        <w:snapToGrid w:val="0"/>
        <w:rPr>
          <w:sz w:val="20"/>
        </w:rPr>
      </w:pPr>
      <w:r w:rsidRPr="00413601">
        <w:rPr>
          <w:szCs w:val="18"/>
        </w:rPr>
        <w:t>Finally, when calculating the mean square error between the mole fractions of component C at the outlet of the reaction tube in the MTR and the reaction tube in Step 1, [lattice]x[circle] structure is 6.01 x 10</w:t>
      </w:r>
      <w:r w:rsidRPr="00413601">
        <w:rPr>
          <w:szCs w:val="18"/>
          <w:vertAlign w:val="superscript"/>
        </w:rPr>
        <w:t>-3</w:t>
      </w:r>
      <w:r w:rsidRPr="00413601">
        <w:rPr>
          <w:szCs w:val="18"/>
        </w:rPr>
        <w:t>, [concentric circles]x[circle] is 6.27×10</w:t>
      </w:r>
      <w:r w:rsidRPr="00413601">
        <w:rPr>
          <w:szCs w:val="18"/>
          <w:vertAlign w:val="superscript"/>
        </w:rPr>
        <w:t>-5</w:t>
      </w:r>
      <w:r w:rsidRPr="00413601">
        <w:rPr>
          <w:szCs w:val="18"/>
        </w:rPr>
        <w:t>, and [single circle]x[ring] structure is 7.77 x 10</w:t>
      </w:r>
      <w:r w:rsidRPr="00413601">
        <w:rPr>
          <w:szCs w:val="18"/>
          <w:vertAlign w:val="superscript"/>
        </w:rPr>
        <w:t>-6</w:t>
      </w:r>
      <w:r w:rsidRPr="00413601">
        <w:rPr>
          <w:szCs w:val="18"/>
        </w:rPr>
        <w:t>. It was demonstrated that a stepwise design based on CFD can derive an MTR that achieves an increase in production while reducing the deviation from the reaction results of a single tube.</w:t>
      </w:r>
    </w:p>
    <w:p w14:paraId="45BE5FD3" w14:textId="3D994171" w:rsidR="007C7477" w:rsidRPr="00413601" w:rsidRDefault="007C7477" w:rsidP="00600535">
      <w:pPr>
        <w:pStyle w:val="CETHeading1"/>
        <w:tabs>
          <w:tab w:val="clear" w:pos="360"/>
          <w:tab w:val="right" w:pos="7100"/>
        </w:tabs>
        <w:jc w:val="both"/>
        <w:rPr>
          <w:lang w:val="en-GB"/>
        </w:rPr>
      </w:pPr>
      <w:r w:rsidRPr="00413601">
        <w:rPr>
          <w:lang w:val="en-GB"/>
        </w:rPr>
        <w:lastRenderedPageBreak/>
        <w:t>Conclusions</w:t>
      </w:r>
    </w:p>
    <w:p w14:paraId="52DAFDE0" w14:textId="3DD5B062" w:rsidR="001D0CFB" w:rsidRDefault="007C7477" w:rsidP="00600535">
      <w:pPr>
        <w:pStyle w:val="CETBodytext"/>
        <w:rPr>
          <w:lang w:val="en-GB"/>
        </w:rPr>
      </w:pPr>
      <w:r w:rsidRPr="00413601">
        <w:rPr>
          <w:lang w:val="en-GB"/>
        </w:rPr>
        <w:t xml:space="preserve">In this study, CFD-based design is performed so as to </w:t>
      </w:r>
      <w:r w:rsidR="00AC316D">
        <w:rPr>
          <w:lang w:val="en-GB"/>
        </w:rPr>
        <w:t>achieve</w:t>
      </w:r>
      <w:r w:rsidRPr="00413601">
        <w:rPr>
          <w:lang w:val="en-GB"/>
        </w:rPr>
        <w:t xml:space="preserve"> the uniform flow and temperature distributions among the reaction tubes in the MTR, where an exothermic reaction proceeds in each tube with an immobilized catalyst and the reaction temperature is controlled by a coolant flowing outside the tubes. The main results are as follows. CFD results of the MTR under concurrent heat exchange operation suggested that the flow pattern of coolant in the shell is an important factor for precise control of temperature distributions in the tubes. It was shown that the installation of inert sections, which are not filled with catalyst, before and after each reaction tube leads to the uniformity of the heat exchange operation with the coolant in all tubes. Furthermore, in order to minimize the temperature deviation among the reaction tubes, a device structure was proposed in which the shell shape was ring and the reaction tubes were arranged in a circle. As a result, the temperature deviation of the proposed device structure was 1/5 of that of the conventional device structure. </w:t>
      </w:r>
    </w:p>
    <w:p w14:paraId="49DC6D9A" w14:textId="77777777" w:rsidR="005C2F6E" w:rsidRPr="00413601" w:rsidRDefault="005C2F6E" w:rsidP="00600535">
      <w:pPr>
        <w:pStyle w:val="CETBodytext"/>
        <w:rPr>
          <w:lang w:val="en-GB"/>
        </w:rPr>
      </w:pPr>
    </w:p>
    <w:p w14:paraId="07A6D20F" w14:textId="0ECF229E" w:rsidR="00280FAF" w:rsidRPr="00413601" w:rsidRDefault="00280FAF" w:rsidP="00280FAF">
      <w:pPr>
        <w:pStyle w:val="CETHeadingxx"/>
        <w:rPr>
          <w:lang w:val="en-GB"/>
        </w:rPr>
        <w:sectPr w:rsidR="00280FAF" w:rsidRPr="00413601" w:rsidSect="007D0951">
          <w:type w:val="continuous"/>
          <w:pgSz w:w="11906" w:h="16838" w:code="9"/>
          <w:pgMar w:top="1701" w:right="1418" w:bottom="1701" w:left="1701" w:header="1701" w:footer="0" w:gutter="0"/>
          <w:cols w:space="708"/>
          <w:formProt w:val="0"/>
          <w:titlePg/>
          <w:docGrid w:linePitch="360"/>
        </w:sectPr>
      </w:pPr>
      <w:r w:rsidRPr="00413601">
        <w:t>Nomenclature</w:t>
      </w:r>
    </w:p>
    <w:p w14:paraId="4F1E3A6F" w14:textId="22E5248C" w:rsidR="005F51E3" w:rsidRPr="00413601" w:rsidRDefault="005F51E3" w:rsidP="007C7477">
      <w:pPr>
        <w:pStyle w:val="CETBodytext"/>
        <w:jc w:val="left"/>
        <w:rPr>
          <w:rFonts w:eastAsia="ＭＳ 明朝"/>
          <w:i/>
          <w:iCs/>
          <w:szCs w:val="18"/>
          <w:lang w:eastAsia="ja-JP"/>
        </w:rPr>
      </w:pPr>
      <w:r w:rsidRPr="00413601">
        <w:rPr>
          <w:rFonts w:eastAsia="ＭＳ 明朝" w:hint="eastAsia"/>
          <w:i/>
          <w:iCs/>
          <w:szCs w:val="18"/>
          <w:lang w:eastAsia="ja-JP"/>
        </w:rPr>
        <w:t>C</w:t>
      </w:r>
      <w:r w:rsidRPr="00413601">
        <w:rPr>
          <w:rFonts w:eastAsia="SimSun"/>
          <w:szCs w:val="18"/>
        </w:rPr>
        <w:t xml:space="preserve"> – concentration, mol/m</w:t>
      </w:r>
      <w:r w:rsidRPr="00413601">
        <w:rPr>
          <w:rFonts w:eastAsia="SimSun"/>
          <w:szCs w:val="18"/>
          <w:vertAlign w:val="superscript"/>
        </w:rPr>
        <w:t>3</w:t>
      </w:r>
    </w:p>
    <w:p w14:paraId="475375C4" w14:textId="419D6AFD" w:rsidR="007C7477" w:rsidRPr="00413601" w:rsidRDefault="007C7477" w:rsidP="007C7477">
      <w:pPr>
        <w:pStyle w:val="CETBodytext"/>
        <w:jc w:val="left"/>
        <w:rPr>
          <w:rFonts w:eastAsia="SimSun"/>
          <w:szCs w:val="18"/>
        </w:rPr>
      </w:pPr>
      <w:r w:rsidRPr="00413601">
        <w:rPr>
          <w:rFonts w:eastAsia="SimSun"/>
          <w:i/>
          <w:iCs/>
          <w:szCs w:val="18"/>
        </w:rPr>
        <w:t>E</w:t>
      </w:r>
      <w:r w:rsidRPr="00413601">
        <w:rPr>
          <w:rFonts w:eastAsia="SimSun"/>
          <w:szCs w:val="18"/>
        </w:rPr>
        <w:t xml:space="preserve"> – </w:t>
      </w:r>
      <w:r w:rsidR="005F51E3" w:rsidRPr="00413601">
        <w:rPr>
          <w:rFonts w:eastAsia="SimSun"/>
          <w:szCs w:val="18"/>
        </w:rPr>
        <w:t>activation</w:t>
      </w:r>
      <w:r w:rsidRPr="00413601">
        <w:rPr>
          <w:rFonts w:eastAsia="SimSun"/>
          <w:szCs w:val="18"/>
        </w:rPr>
        <w:t xml:space="preserve"> e</w:t>
      </w:r>
      <w:r w:rsidR="005F51E3" w:rsidRPr="00413601">
        <w:rPr>
          <w:rFonts w:eastAsia="SimSun"/>
          <w:szCs w:val="18"/>
        </w:rPr>
        <w:t>nergy</w:t>
      </w:r>
      <w:r w:rsidRPr="00413601">
        <w:rPr>
          <w:rFonts w:eastAsia="SimSun"/>
          <w:szCs w:val="18"/>
        </w:rPr>
        <w:t>, kJ/mol</w:t>
      </w:r>
    </w:p>
    <w:p w14:paraId="57590CE2" w14:textId="431C3710" w:rsidR="00280FAF" w:rsidRPr="00413601" w:rsidRDefault="007C7477" w:rsidP="00280FAF">
      <w:pPr>
        <w:pStyle w:val="CETBodytext"/>
        <w:jc w:val="left"/>
        <w:rPr>
          <w:rFonts w:eastAsia="SimSun"/>
          <w:szCs w:val="18"/>
        </w:rPr>
      </w:pPr>
      <w:r w:rsidRPr="00413601">
        <w:rPr>
          <w:rFonts w:eastAsia="SimSun"/>
          <w:i/>
          <w:iCs/>
          <w:szCs w:val="18"/>
        </w:rPr>
        <w:t>k</w:t>
      </w:r>
      <w:r w:rsidRPr="00413601">
        <w:rPr>
          <w:rFonts w:eastAsia="SimSun"/>
          <w:szCs w:val="18"/>
        </w:rPr>
        <w:t xml:space="preserve"> – reaction rate constant, 1/s</w:t>
      </w:r>
    </w:p>
    <w:p w14:paraId="1CFF8A9A" w14:textId="54376836" w:rsidR="005F51E3" w:rsidRPr="00413601" w:rsidRDefault="005F51E3" w:rsidP="00280FAF">
      <w:pPr>
        <w:pStyle w:val="CETBodytext"/>
        <w:jc w:val="left"/>
        <w:rPr>
          <w:rFonts w:eastAsia="SimSun"/>
          <w:i/>
          <w:iCs/>
          <w:szCs w:val="18"/>
        </w:rPr>
      </w:pPr>
      <w:r w:rsidRPr="00413601">
        <w:rPr>
          <w:rFonts w:eastAsia="SimSun"/>
          <w:i/>
          <w:iCs/>
          <w:szCs w:val="18"/>
        </w:rPr>
        <w:t>R</w:t>
      </w:r>
      <w:r w:rsidRPr="00413601">
        <w:rPr>
          <w:rFonts w:eastAsia="SimSun"/>
          <w:szCs w:val="18"/>
        </w:rPr>
        <w:t xml:space="preserve"> – gas constant, J/mol/K</w:t>
      </w:r>
    </w:p>
    <w:p w14:paraId="0E502614" w14:textId="11F2EF87" w:rsidR="00280FAF" w:rsidRPr="00413601" w:rsidRDefault="007C7477" w:rsidP="00280FAF">
      <w:pPr>
        <w:pStyle w:val="CETBodytext"/>
        <w:jc w:val="left"/>
        <w:rPr>
          <w:rFonts w:eastAsia="SimSun"/>
          <w:szCs w:val="18"/>
        </w:rPr>
      </w:pPr>
      <w:r w:rsidRPr="00413601">
        <w:rPr>
          <w:rFonts w:eastAsia="SimSun"/>
          <w:i/>
          <w:iCs/>
          <w:szCs w:val="18"/>
        </w:rPr>
        <w:t>r</w:t>
      </w:r>
      <w:r w:rsidRPr="00413601">
        <w:rPr>
          <w:rFonts w:eastAsia="SimSun"/>
          <w:szCs w:val="18"/>
          <w:vertAlign w:val="subscript"/>
        </w:rPr>
        <w:t>1</w:t>
      </w:r>
      <w:r w:rsidRPr="00413601">
        <w:rPr>
          <w:rFonts w:eastAsia="SimSun"/>
          <w:szCs w:val="18"/>
        </w:rPr>
        <w:t xml:space="preserve"> – tube inner diameter, mm</w:t>
      </w:r>
    </w:p>
    <w:p w14:paraId="78E052E8" w14:textId="50D99680" w:rsidR="001421C7" w:rsidRPr="00413601" w:rsidRDefault="001421C7" w:rsidP="00280FAF">
      <w:pPr>
        <w:pStyle w:val="CETBodytext"/>
        <w:jc w:val="left"/>
        <w:rPr>
          <w:rFonts w:eastAsia="SimSun"/>
        </w:rPr>
      </w:pPr>
      <w:r w:rsidRPr="00413601">
        <w:rPr>
          <w:rFonts w:eastAsia="SimSun"/>
          <w:i/>
          <w:iCs/>
          <w:szCs w:val="18"/>
        </w:rPr>
        <w:t>r</w:t>
      </w:r>
      <w:r w:rsidRPr="00413601">
        <w:rPr>
          <w:rFonts w:eastAsia="SimSun"/>
          <w:szCs w:val="18"/>
          <w:vertAlign w:val="subscript"/>
        </w:rPr>
        <w:t>2</w:t>
      </w:r>
      <w:r w:rsidRPr="00413601">
        <w:rPr>
          <w:rFonts w:eastAsia="SimSun"/>
          <w:szCs w:val="18"/>
        </w:rPr>
        <w:t xml:space="preserve"> – tube thickness, mm</w:t>
      </w:r>
    </w:p>
    <w:p w14:paraId="33D176ED" w14:textId="2DBB88B2" w:rsidR="00280FAF" w:rsidRPr="00413601" w:rsidRDefault="007C7477" w:rsidP="00280FAF">
      <w:pPr>
        <w:pStyle w:val="CETBodytext"/>
        <w:jc w:val="left"/>
        <w:rPr>
          <w:rFonts w:eastAsia="SimSun"/>
          <w:szCs w:val="18"/>
        </w:rPr>
      </w:pPr>
      <w:r w:rsidRPr="00413601">
        <w:rPr>
          <w:rFonts w:eastAsia="SimSun"/>
          <w:i/>
          <w:iCs/>
          <w:szCs w:val="18"/>
        </w:rPr>
        <w:t>r</w:t>
      </w:r>
      <w:r w:rsidRPr="00413601">
        <w:rPr>
          <w:rFonts w:eastAsia="SimSun"/>
          <w:szCs w:val="18"/>
          <w:vertAlign w:val="subscript"/>
        </w:rPr>
        <w:t>3</w:t>
      </w:r>
      <w:r w:rsidRPr="00413601">
        <w:rPr>
          <w:rFonts w:eastAsia="SimSun"/>
          <w:szCs w:val="18"/>
        </w:rPr>
        <w:t xml:space="preserve"> – double tube gap, mm</w:t>
      </w:r>
    </w:p>
    <w:p w14:paraId="292566A0" w14:textId="77777777" w:rsidR="001421C7" w:rsidRPr="00413601" w:rsidRDefault="001421C7" w:rsidP="001421C7">
      <w:pPr>
        <w:pStyle w:val="CETBodytext"/>
        <w:jc w:val="left"/>
        <w:rPr>
          <w:rFonts w:eastAsia="SimSun"/>
        </w:rPr>
      </w:pPr>
      <w:r w:rsidRPr="00413601">
        <w:rPr>
          <w:rFonts w:eastAsia="SimSun"/>
          <w:i/>
          <w:iCs/>
          <w:szCs w:val="18"/>
        </w:rPr>
        <w:t>T</w:t>
      </w:r>
      <w:r w:rsidRPr="00413601">
        <w:rPr>
          <w:rFonts w:eastAsia="SimSun"/>
          <w:iCs/>
          <w:szCs w:val="18"/>
          <w:vertAlign w:val="subscript"/>
        </w:rPr>
        <w:t>0</w:t>
      </w:r>
      <w:r w:rsidRPr="00413601">
        <w:rPr>
          <w:rFonts w:eastAsia="SimSun"/>
          <w:szCs w:val="18"/>
        </w:rPr>
        <w:t xml:space="preserve"> – </w:t>
      </w:r>
      <w:r w:rsidRPr="00413601">
        <w:rPr>
          <w:szCs w:val="18"/>
        </w:rPr>
        <w:t>inlet temperature of the reactant</w:t>
      </w:r>
      <w:r w:rsidRPr="00413601">
        <w:rPr>
          <w:rFonts w:eastAsia="SimSun"/>
          <w:szCs w:val="18"/>
        </w:rPr>
        <w:t>, K</w:t>
      </w:r>
    </w:p>
    <w:p w14:paraId="1ADEC9B1" w14:textId="77777777" w:rsidR="001421C7" w:rsidRPr="00413601" w:rsidRDefault="001421C7" w:rsidP="001421C7">
      <w:pPr>
        <w:pStyle w:val="CETBodytext"/>
        <w:jc w:val="left"/>
        <w:rPr>
          <w:rFonts w:eastAsia="SimSun"/>
          <w:szCs w:val="18"/>
        </w:rPr>
      </w:pPr>
      <w:r w:rsidRPr="00413601">
        <w:rPr>
          <w:rFonts w:eastAsia="SimSun"/>
          <w:i/>
          <w:iCs/>
          <w:szCs w:val="18"/>
        </w:rPr>
        <w:t>T</w:t>
      </w:r>
      <w:r w:rsidRPr="00413601">
        <w:rPr>
          <w:rFonts w:eastAsia="SimSun"/>
          <w:iCs/>
          <w:szCs w:val="18"/>
          <w:vertAlign w:val="subscript"/>
        </w:rPr>
        <w:t>c0</w:t>
      </w:r>
      <w:r w:rsidRPr="00413601">
        <w:rPr>
          <w:rFonts w:eastAsia="SimSun"/>
          <w:szCs w:val="18"/>
        </w:rPr>
        <w:t xml:space="preserve"> – </w:t>
      </w:r>
      <w:r w:rsidRPr="00413601">
        <w:rPr>
          <w:szCs w:val="18"/>
        </w:rPr>
        <w:t>inlet temperature of the coolant</w:t>
      </w:r>
      <w:r w:rsidRPr="00413601">
        <w:rPr>
          <w:rFonts w:eastAsia="SimSun"/>
          <w:szCs w:val="18"/>
        </w:rPr>
        <w:t>, K</w:t>
      </w:r>
    </w:p>
    <w:p w14:paraId="05CC3BA4" w14:textId="33BB74AA" w:rsidR="00280FAF" w:rsidRPr="00413601" w:rsidRDefault="007C7477" w:rsidP="00280FAF">
      <w:pPr>
        <w:pStyle w:val="CETBodytext"/>
        <w:jc w:val="left"/>
        <w:rPr>
          <w:rFonts w:eastAsia="SimSun"/>
        </w:rPr>
      </w:pPr>
      <w:r w:rsidRPr="00413601">
        <w:rPr>
          <w:rFonts w:eastAsia="SimSun"/>
          <w:i/>
          <w:iCs/>
          <w:szCs w:val="18"/>
        </w:rPr>
        <w:t>v</w:t>
      </w:r>
      <w:r w:rsidRPr="00413601">
        <w:rPr>
          <w:rFonts w:eastAsia="SimSun"/>
          <w:iCs/>
          <w:szCs w:val="18"/>
          <w:vertAlign w:val="subscript"/>
        </w:rPr>
        <w:t>0</w:t>
      </w:r>
      <w:r w:rsidRPr="00413601">
        <w:rPr>
          <w:rFonts w:eastAsia="SimSun"/>
          <w:szCs w:val="18"/>
        </w:rPr>
        <w:t xml:space="preserve"> – inlet linear velocity of the reactant, m/s</w:t>
      </w:r>
    </w:p>
    <w:p w14:paraId="0718B861" w14:textId="2375ACE7" w:rsidR="00280FAF" w:rsidRPr="00413601" w:rsidRDefault="007C7477" w:rsidP="00280FAF">
      <w:pPr>
        <w:pStyle w:val="CETBodytext"/>
        <w:jc w:val="left"/>
        <w:rPr>
          <w:rFonts w:eastAsia="SimSun"/>
        </w:rPr>
      </w:pPr>
      <w:r w:rsidRPr="00413601">
        <w:rPr>
          <w:rFonts w:eastAsia="SimSun"/>
          <w:i/>
          <w:iCs/>
          <w:szCs w:val="18"/>
        </w:rPr>
        <w:t>v</w:t>
      </w:r>
      <w:r w:rsidRPr="00413601">
        <w:rPr>
          <w:rFonts w:eastAsia="SimSun"/>
          <w:iCs/>
          <w:szCs w:val="18"/>
          <w:vertAlign w:val="subscript"/>
        </w:rPr>
        <w:t>c0</w:t>
      </w:r>
      <w:r w:rsidRPr="00413601">
        <w:rPr>
          <w:rFonts w:eastAsia="SimSun"/>
          <w:szCs w:val="18"/>
        </w:rPr>
        <w:t xml:space="preserve"> – inlet linear velocity of the coolant, m/s</w:t>
      </w:r>
    </w:p>
    <w:p w14:paraId="2E4EE6F7" w14:textId="18BAEC81" w:rsidR="00280FAF" w:rsidRPr="00413601" w:rsidRDefault="001421C7" w:rsidP="00280FAF">
      <w:pPr>
        <w:pStyle w:val="CETBodytext"/>
        <w:jc w:val="left"/>
        <w:rPr>
          <w:rFonts w:eastAsia="SimSun"/>
          <w:szCs w:val="18"/>
        </w:rPr>
      </w:pPr>
      <w:r w:rsidRPr="00413601">
        <w:rPr>
          <w:rFonts w:eastAsia="SimSun"/>
          <w:i/>
          <w:iCs/>
          <w:szCs w:val="18"/>
        </w:rPr>
        <w:t>z</w:t>
      </w:r>
      <w:r w:rsidR="007C7477" w:rsidRPr="00413601">
        <w:rPr>
          <w:rFonts w:eastAsia="SimSun"/>
          <w:szCs w:val="18"/>
        </w:rPr>
        <w:t xml:space="preserve"> – </w:t>
      </w:r>
      <w:r w:rsidRPr="00413601">
        <w:rPr>
          <w:szCs w:val="18"/>
        </w:rPr>
        <w:t>tube length</w:t>
      </w:r>
      <w:r w:rsidR="007C7477" w:rsidRPr="00413601">
        <w:rPr>
          <w:rFonts w:eastAsia="SimSun"/>
          <w:szCs w:val="18"/>
        </w:rPr>
        <w:t xml:space="preserve">, </w:t>
      </w:r>
      <w:r w:rsidRPr="00413601">
        <w:rPr>
          <w:rFonts w:eastAsia="SimSun"/>
          <w:szCs w:val="18"/>
        </w:rPr>
        <w:t>mm</w:t>
      </w:r>
    </w:p>
    <w:p w14:paraId="0DB2AD78" w14:textId="2DD7F28E" w:rsidR="001421C7" w:rsidRPr="00413601" w:rsidRDefault="00000000" w:rsidP="00280FAF">
      <w:pPr>
        <w:pStyle w:val="CETBodytext"/>
        <w:jc w:val="left"/>
        <w:rPr>
          <w:rFonts w:eastAsia="SimSun"/>
        </w:rPr>
      </w:pPr>
      <m:oMath>
        <m:sSub>
          <m:sSubPr>
            <m:ctrlPr>
              <w:rPr>
                <w:rFonts w:ascii="Cambria Math" w:hAnsi="Cambria Math"/>
                <w:szCs w:val="18"/>
              </w:rPr>
            </m:ctrlPr>
          </m:sSubPr>
          <m:e>
            <m:r>
              <m:rPr>
                <m:sty m:val="p"/>
              </m:rPr>
              <w:rPr>
                <w:rFonts w:ascii="Cambria Math" w:hAnsi="Cambria Math"/>
                <w:szCs w:val="18"/>
              </w:rPr>
              <m:t>∆</m:t>
            </m:r>
          </m:e>
          <m:sub>
            <m:r>
              <m:rPr>
                <m:sty m:val="p"/>
              </m:rPr>
              <w:rPr>
                <w:rFonts w:ascii="Cambria Math" w:hAnsi="Cambria Math"/>
                <w:szCs w:val="18"/>
              </w:rPr>
              <m:t>r</m:t>
            </m:r>
          </m:sub>
        </m:sSub>
        <m:sSubSup>
          <m:sSubSupPr>
            <m:ctrlPr>
              <w:rPr>
                <w:rFonts w:ascii="Cambria Math" w:hAnsi="Cambria Math"/>
                <w:i/>
                <w:szCs w:val="18"/>
              </w:rPr>
            </m:ctrlPr>
          </m:sSubSupPr>
          <m:e>
            <m:r>
              <w:rPr>
                <w:rFonts w:ascii="Cambria Math" w:hAnsi="Cambria Math"/>
                <w:szCs w:val="18"/>
              </w:rPr>
              <m:t>H</m:t>
            </m:r>
          </m:e>
          <m:sub>
            <m:r>
              <w:rPr>
                <w:rFonts w:ascii="Cambria Math" w:hAnsi="Cambria Math"/>
                <w:szCs w:val="18"/>
              </w:rPr>
              <m:t>i</m:t>
            </m:r>
          </m:sub>
          <m:sup>
            <m:r>
              <w:rPr>
                <w:rFonts w:ascii="Cambria Math" w:hAnsi="Cambria Math"/>
                <w:szCs w:val="18"/>
              </w:rPr>
              <m:t>°</m:t>
            </m:r>
          </m:sup>
        </m:sSubSup>
      </m:oMath>
      <w:r w:rsidR="001421C7" w:rsidRPr="00413601">
        <w:rPr>
          <w:rFonts w:eastAsia="SimSun"/>
          <w:szCs w:val="18"/>
        </w:rPr>
        <w:t xml:space="preserve"> – standard reaction enthalpy, kJ/mol</w:t>
      </w:r>
    </w:p>
    <w:p w14:paraId="38BFE636" w14:textId="2A74290E" w:rsidR="00280FAF" w:rsidRPr="00413601" w:rsidRDefault="00280FAF" w:rsidP="00280FAF">
      <w:pPr>
        <w:pStyle w:val="CETBodytext"/>
        <w:jc w:val="left"/>
        <w:rPr>
          <w:rFonts w:eastAsia="SimSun"/>
        </w:rPr>
        <w:sectPr w:rsidR="00280FAF" w:rsidRPr="00413601" w:rsidSect="00200ECB">
          <w:type w:val="continuous"/>
          <w:pgSz w:w="11906" w:h="16838" w:code="9"/>
          <w:pgMar w:top="1701" w:right="1418" w:bottom="1701" w:left="1701" w:header="1701" w:footer="0" w:gutter="0"/>
          <w:cols w:num="2" w:space="708"/>
          <w:formProt w:val="0"/>
          <w:titlePg/>
          <w:docGrid w:linePitch="360"/>
        </w:sectPr>
      </w:pPr>
    </w:p>
    <w:p w14:paraId="459D05E6" w14:textId="77777777" w:rsidR="00600535" w:rsidRPr="00413601" w:rsidRDefault="00600535" w:rsidP="00600535">
      <w:pPr>
        <w:pStyle w:val="CETAcknowledgementstitle"/>
      </w:pPr>
      <w:r w:rsidRPr="00413601">
        <w:t>Acknowledgments</w:t>
      </w:r>
    </w:p>
    <w:p w14:paraId="33F8138F" w14:textId="0EABA239" w:rsidR="00600535" w:rsidRPr="00413601" w:rsidRDefault="00405178" w:rsidP="00600535">
      <w:pPr>
        <w:pStyle w:val="CETBodytext"/>
        <w:rPr>
          <w:lang w:val="en-GB"/>
        </w:rPr>
      </w:pPr>
      <w:r w:rsidRPr="00413601">
        <w:rPr>
          <w:lang w:val="en-GB"/>
        </w:rPr>
        <w:t>This work was partially supported by the Grant-in-Aid for Scientific Research (C) (No. 19K05140) and a project, Development of Continuous Production and Process Technologies of Fine Chemicals, commissioned by the New Energy and Industrial Technology Development Organization (NEDO)</w:t>
      </w:r>
      <w:r w:rsidR="00600535" w:rsidRPr="00413601">
        <w:rPr>
          <w:lang w:val="en-GB"/>
        </w:rPr>
        <w:t>.</w:t>
      </w:r>
    </w:p>
    <w:p w14:paraId="4F1327F8" w14:textId="77777777" w:rsidR="00600535" w:rsidRPr="00413601" w:rsidRDefault="00600535" w:rsidP="00600535">
      <w:pPr>
        <w:pStyle w:val="CETReference"/>
      </w:pPr>
      <w:r w:rsidRPr="00413601">
        <w:t>References</w:t>
      </w:r>
    </w:p>
    <w:p w14:paraId="1C42D8C6" w14:textId="77777777" w:rsidR="00405178" w:rsidRPr="00413601" w:rsidRDefault="00405178" w:rsidP="00405178">
      <w:pPr>
        <w:pStyle w:val="CETReferencetext"/>
      </w:pPr>
      <w:r w:rsidRPr="00413601">
        <w:t>Dong , Xu X., Xu B., 2017, CFD Analysis of a Novel Modular Manifold with Multi-stage Channels for Uniform Air Distribution in a Fuel Cell Stack, Appl. Therm. Eng., 124, 286-293.</w:t>
      </w:r>
    </w:p>
    <w:p w14:paraId="4B82E1D2" w14:textId="026320DC" w:rsidR="00405178" w:rsidRPr="00413601" w:rsidRDefault="00405178" w:rsidP="00405178">
      <w:pPr>
        <w:pStyle w:val="CETReferencetext"/>
      </w:pPr>
      <w:r w:rsidRPr="00413601">
        <w:t>No</w:t>
      </w:r>
      <w:r w:rsidR="003D1A02">
        <w:t>i</w:t>
      </w:r>
      <w:r w:rsidRPr="00413601">
        <w:t>shiki K., Miwa Y., Matsuoka R., 2013, Microchannel reactor for bulk chemical industry, Kobe Steel Engineering Reports, 63(2), 28-32.</w:t>
      </w:r>
    </w:p>
    <w:p w14:paraId="771E1079" w14:textId="77777777" w:rsidR="00405178" w:rsidRPr="00413601" w:rsidRDefault="00405178" w:rsidP="00405178">
      <w:pPr>
        <w:pStyle w:val="CETReferencetext"/>
      </w:pPr>
      <w:r w:rsidRPr="00413601">
        <w:t>Park Y.J., Yu T., Yim S.J., You D., Kim D.P., 2018, A 3D-printed flow distributor with uniform flow rate control for multi-stacked microfluidic systems, Lab Chip, 18, 1250-1258.</w:t>
      </w:r>
    </w:p>
    <w:p w14:paraId="576AF455" w14:textId="77777777" w:rsidR="00405178" w:rsidRPr="00413601" w:rsidRDefault="00405178" w:rsidP="00405178">
      <w:pPr>
        <w:pStyle w:val="CETReferencetext"/>
      </w:pPr>
      <w:r w:rsidRPr="00413601">
        <w:t xml:space="preserve">Rebrov E.V., Ismagilov I.Z., Ekatpure R.P., de Croon M.H.J.M., Schouten J.C., 2007, Header Design for Flow Equalization in Microstructured Reactors, AIChE J., 53, 28-38. </w:t>
      </w:r>
    </w:p>
    <w:p w14:paraId="3D2C3CD1" w14:textId="77777777" w:rsidR="00405178" w:rsidRPr="00413601" w:rsidRDefault="00405178" w:rsidP="00405178">
      <w:pPr>
        <w:pStyle w:val="CETReferencetext"/>
      </w:pPr>
      <w:r w:rsidRPr="00413601">
        <w:t>Shen Q., Zhang C., Tahir M.F., Jiang S., Zhu C., Ma Y., Fu T., 2018, Numbering-up Strategies of Micro-chemical Process: Uniformity of Distribution of Multiphase Flow in Parallel Microchannels, Chem. Eng. Process., 132, 148-159.</w:t>
      </w:r>
    </w:p>
    <w:p w14:paraId="6525F2E4" w14:textId="77777777" w:rsidR="00405178" w:rsidRPr="00413601" w:rsidRDefault="00405178" w:rsidP="00405178">
      <w:pPr>
        <w:pStyle w:val="CETReferencetext"/>
      </w:pPr>
      <w:r w:rsidRPr="00413601">
        <w:t>Su Y., Kuijpers K., Hessel V., Noël T., 2016, A convenient Numbering-up Strategy for the Scale-up of Gas-liquid Photoredox Catalysis in Flow, React. Chem. Eng., 1, 73-81.</w:t>
      </w:r>
    </w:p>
    <w:p w14:paraId="7BE41447" w14:textId="77777777" w:rsidR="00405178" w:rsidRPr="00413601" w:rsidRDefault="00405178" w:rsidP="00405178">
      <w:pPr>
        <w:pStyle w:val="CETReferencetext"/>
      </w:pPr>
      <w:r w:rsidRPr="00413601">
        <w:t>Tonomura O., Noda M., Hasebe S., 2022, Shape design of channels and manifolds in a multichannel microreactor using thermal-fluid compartment models, Front. Chem. Eng. 4:838336.</w:t>
      </w:r>
    </w:p>
    <w:p w14:paraId="77EAE6DE" w14:textId="77777777" w:rsidR="00405178" w:rsidRPr="00413601" w:rsidRDefault="00405178" w:rsidP="00405178">
      <w:pPr>
        <w:pStyle w:val="CETReferencetext"/>
      </w:pPr>
      <w:r w:rsidRPr="00413601">
        <w:t>Tonomura O., Taniguchi S. Hata K., Hasebe S., 2019a, Detection of Multiple Blockages in Parallelized Microreactors, Chem. Eng. Technol., 42, 10, 2171-2178.</w:t>
      </w:r>
    </w:p>
    <w:p w14:paraId="09A7D541" w14:textId="77777777" w:rsidR="00405178" w:rsidRPr="00413601" w:rsidRDefault="00405178" w:rsidP="00405178">
      <w:pPr>
        <w:pStyle w:val="CETReferencetext"/>
      </w:pPr>
      <w:r w:rsidRPr="00413601">
        <w:t>Tonomura O., Taniguchi S., Nishi K., Nagaki A., Yoshida J., Hirose K., Ishizuka N., Hasebe S., 2019b, Blockage Detection and Diagnosis of Externally Parallelized Monolithic Microreactors, Catalysts, 9, 4, 308-318.</w:t>
      </w:r>
    </w:p>
    <w:p w14:paraId="00BA3D4F" w14:textId="06ACC2CF" w:rsidR="00C52C3C" w:rsidRPr="00413601" w:rsidRDefault="00405178" w:rsidP="00405178">
      <w:pPr>
        <w:pStyle w:val="CETReferencetext"/>
      </w:pPr>
      <w:r w:rsidRPr="00413601">
        <w:t>Tsubogo T., Oyamada H., Kobayashi S., 2015, Multistep Continuous-flow Synthesis of (R)- and (S)-rolipram Using Heterogeneous Catalysts, Nature, 520, 7547, 329-332.</w:t>
      </w:r>
    </w:p>
    <w:p w14:paraId="5A13856B" w14:textId="77777777" w:rsidR="006B4888" w:rsidRPr="00413601" w:rsidRDefault="006B4888" w:rsidP="006B4888">
      <w:pPr>
        <w:pStyle w:val="CETReferencetext"/>
      </w:pPr>
    </w:p>
    <w:p w14:paraId="19C4FC68" w14:textId="77777777" w:rsidR="004628D2" w:rsidRPr="00413601" w:rsidRDefault="004628D2" w:rsidP="00FA5F5F">
      <w:pPr>
        <w:pStyle w:val="CETHeading1"/>
        <w:numPr>
          <w:ilvl w:val="0"/>
          <w:numId w:val="0"/>
        </w:numPr>
      </w:pPr>
    </w:p>
    <w:sectPr w:rsidR="004628D2" w:rsidRPr="00413601"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77D55" w14:textId="77777777" w:rsidR="00B5036D" w:rsidRDefault="00B5036D" w:rsidP="004F5E36">
      <w:r>
        <w:separator/>
      </w:r>
    </w:p>
  </w:endnote>
  <w:endnote w:type="continuationSeparator" w:id="0">
    <w:p w14:paraId="449C7F96" w14:textId="77777777" w:rsidR="00B5036D" w:rsidRDefault="00B5036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9D778" w14:textId="77777777" w:rsidR="00B5036D" w:rsidRDefault="00B5036D" w:rsidP="004F5E36">
      <w:r>
        <w:separator/>
      </w:r>
    </w:p>
  </w:footnote>
  <w:footnote w:type="continuationSeparator" w:id="0">
    <w:p w14:paraId="754AE96D" w14:textId="77777777" w:rsidR="00B5036D" w:rsidRDefault="00B5036D"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C376FB7"/>
    <w:multiLevelType w:val="hybridMultilevel"/>
    <w:tmpl w:val="A7B08C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7"/>
  </w:num>
  <w:num w:numId="13" w16cid:durableId="695733619">
    <w:abstractNumId w:val="12"/>
  </w:num>
  <w:num w:numId="14" w16cid:durableId="145903400">
    <w:abstractNumId w:val="18"/>
  </w:num>
  <w:num w:numId="15" w16cid:durableId="19162326">
    <w:abstractNumId w:val="21"/>
  </w:num>
  <w:num w:numId="16" w16cid:durableId="1977102699">
    <w:abstractNumId w:val="20"/>
  </w:num>
  <w:num w:numId="17" w16cid:durableId="860774865">
    <w:abstractNumId w:val="11"/>
  </w:num>
  <w:num w:numId="18" w16cid:durableId="313221457">
    <w:abstractNumId w:val="12"/>
    <w:lvlOverride w:ilvl="0">
      <w:startOverride w:val="1"/>
    </w:lvlOverride>
  </w:num>
  <w:num w:numId="19" w16cid:durableId="534971577">
    <w:abstractNumId w:val="16"/>
  </w:num>
  <w:num w:numId="20" w16cid:durableId="1150947773">
    <w:abstractNumId w:val="15"/>
  </w:num>
  <w:num w:numId="21" w16cid:durableId="124660497">
    <w:abstractNumId w:val="14"/>
  </w:num>
  <w:num w:numId="22" w16cid:durableId="2099861471">
    <w:abstractNumId w:val="13"/>
  </w:num>
  <w:num w:numId="23" w16cid:durableId="15777439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EEC"/>
    <w:rsid w:val="00051566"/>
    <w:rsid w:val="00055E23"/>
    <w:rsid w:val="000562A9"/>
    <w:rsid w:val="00062A9A"/>
    <w:rsid w:val="00065058"/>
    <w:rsid w:val="00086C39"/>
    <w:rsid w:val="00091949"/>
    <w:rsid w:val="000A03B2"/>
    <w:rsid w:val="000B201B"/>
    <w:rsid w:val="000D0268"/>
    <w:rsid w:val="000D34BE"/>
    <w:rsid w:val="000E102F"/>
    <w:rsid w:val="000E36F1"/>
    <w:rsid w:val="000E3A73"/>
    <w:rsid w:val="000E414A"/>
    <w:rsid w:val="000F093C"/>
    <w:rsid w:val="000F787B"/>
    <w:rsid w:val="00110F39"/>
    <w:rsid w:val="0012091F"/>
    <w:rsid w:val="00126BC2"/>
    <w:rsid w:val="001308B6"/>
    <w:rsid w:val="0013121F"/>
    <w:rsid w:val="00131FE6"/>
    <w:rsid w:val="0013263F"/>
    <w:rsid w:val="001331DF"/>
    <w:rsid w:val="00134DE4"/>
    <w:rsid w:val="0014034D"/>
    <w:rsid w:val="001421C7"/>
    <w:rsid w:val="00144D16"/>
    <w:rsid w:val="00150E59"/>
    <w:rsid w:val="00152DE3"/>
    <w:rsid w:val="00164CF9"/>
    <w:rsid w:val="001667A6"/>
    <w:rsid w:val="001705EB"/>
    <w:rsid w:val="00184AD6"/>
    <w:rsid w:val="001A4AF7"/>
    <w:rsid w:val="001B0349"/>
    <w:rsid w:val="001B1E93"/>
    <w:rsid w:val="001B2E56"/>
    <w:rsid w:val="001B65C1"/>
    <w:rsid w:val="001C684B"/>
    <w:rsid w:val="001D0CFB"/>
    <w:rsid w:val="001D21AF"/>
    <w:rsid w:val="001D53FC"/>
    <w:rsid w:val="001F42A5"/>
    <w:rsid w:val="001F7B9D"/>
    <w:rsid w:val="00201C93"/>
    <w:rsid w:val="00213422"/>
    <w:rsid w:val="002224B4"/>
    <w:rsid w:val="00233023"/>
    <w:rsid w:val="0023628E"/>
    <w:rsid w:val="002447EF"/>
    <w:rsid w:val="00251550"/>
    <w:rsid w:val="00263B05"/>
    <w:rsid w:val="0027221A"/>
    <w:rsid w:val="00275B61"/>
    <w:rsid w:val="00280FAF"/>
    <w:rsid w:val="00282656"/>
    <w:rsid w:val="00296B83"/>
    <w:rsid w:val="002B4015"/>
    <w:rsid w:val="002B5D1B"/>
    <w:rsid w:val="002B78CE"/>
    <w:rsid w:val="002C2FB6"/>
    <w:rsid w:val="002E5FA7"/>
    <w:rsid w:val="002F3309"/>
    <w:rsid w:val="003008CE"/>
    <w:rsid w:val="003009B7"/>
    <w:rsid w:val="00300E56"/>
    <w:rsid w:val="0030152C"/>
    <w:rsid w:val="0030469C"/>
    <w:rsid w:val="00321CA6"/>
    <w:rsid w:val="00323763"/>
    <w:rsid w:val="00323C5F"/>
    <w:rsid w:val="00334C09"/>
    <w:rsid w:val="003723D4"/>
    <w:rsid w:val="003778DA"/>
    <w:rsid w:val="00381905"/>
    <w:rsid w:val="00384CC8"/>
    <w:rsid w:val="003871FD"/>
    <w:rsid w:val="003A1E30"/>
    <w:rsid w:val="003A2829"/>
    <w:rsid w:val="003A7D1C"/>
    <w:rsid w:val="003B304B"/>
    <w:rsid w:val="003B3146"/>
    <w:rsid w:val="003D1A02"/>
    <w:rsid w:val="003D737A"/>
    <w:rsid w:val="003F015E"/>
    <w:rsid w:val="003F39C2"/>
    <w:rsid w:val="00400414"/>
    <w:rsid w:val="00405178"/>
    <w:rsid w:val="00413601"/>
    <w:rsid w:val="0041446B"/>
    <w:rsid w:val="0044071E"/>
    <w:rsid w:val="0044329C"/>
    <w:rsid w:val="00453E24"/>
    <w:rsid w:val="00457456"/>
    <w:rsid w:val="004577FE"/>
    <w:rsid w:val="00457B9C"/>
    <w:rsid w:val="0046164A"/>
    <w:rsid w:val="004628D2"/>
    <w:rsid w:val="00462DCD"/>
    <w:rsid w:val="004648AD"/>
    <w:rsid w:val="004703A9"/>
    <w:rsid w:val="004760DE"/>
    <w:rsid w:val="004763D7"/>
    <w:rsid w:val="004A004E"/>
    <w:rsid w:val="004A24CF"/>
    <w:rsid w:val="004A6476"/>
    <w:rsid w:val="004C3D1D"/>
    <w:rsid w:val="004C3D84"/>
    <w:rsid w:val="004C7913"/>
    <w:rsid w:val="004E4DD6"/>
    <w:rsid w:val="004F5E36"/>
    <w:rsid w:val="00507B47"/>
    <w:rsid w:val="00507BEF"/>
    <w:rsid w:val="00507CC9"/>
    <w:rsid w:val="005119A5"/>
    <w:rsid w:val="005278B7"/>
    <w:rsid w:val="00532016"/>
    <w:rsid w:val="005346C8"/>
    <w:rsid w:val="00543E7D"/>
    <w:rsid w:val="00547A68"/>
    <w:rsid w:val="005531C9"/>
    <w:rsid w:val="00570C43"/>
    <w:rsid w:val="005B2110"/>
    <w:rsid w:val="005B61E6"/>
    <w:rsid w:val="005C2F6E"/>
    <w:rsid w:val="005C77E1"/>
    <w:rsid w:val="005D668A"/>
    <w:rsid w:val="005D6A2F"/>
    <w:rsid w:val="005E1A82"/>
    <w:rsid w:val="005E794C"/>
    <w:rsid w:val="005F0A28"/>
    <w:rsid w:val="005F0E5E"/>
    <w:rsid w:val="005F51E3"/>
    <w:rsid w:val="00600535"/>
    <w:rsid w:val="00610CD6"/>
    <w:rsid w:val="00620DEE"/>
    <w:rsid w:val="00621F92"/>
    <w:rsid w:val="0062280A"/>
    <w:rsid w:val="00625639"/>
    <w:rsid w:val="00631B33"/>
    <w:rsid w:val="0064184D"/>
    <w:rsid w:val="006422CC"/>
    <w:rsid w:val="00660E3E"/>
    <w:rsid w:val="00662E74"/>
    <w:rsid w:val="00680C23"/>
    <w:rsid w:val="00687C55"/>
    <w:rsid w:val="00693766"/>
    <w:rsid w:val="006A3281"/>
    <w:rsid w:val="006B4888"/>
    <w:rsid w:val="006C2E45"/>
    <w:rsid w:val="006C359C"/>
    <w:rsid w:val="006C5579"/>
    <w:rsid w:val="006D6E8B"/>
    <w:rsid w:val="006E737D"/>
    <w:rsid w:val="00713973"/>
    <w:rsid w:val="00720A24"/>
    <w:rsid w:val="00732386"/>
    <w:rsid w:val="00732CDB"/>
    <w:rsid w:val="0073514D"/>
    <w:rsid w:val="007447F3"/>
    <w:rsid w:val="0075499F"/>
    <w:rsid w:val="007661C8"/>
    <w:rsid w:val="0077098D"/>
    <w:rsid w:val="0078626E"/>
    <w:rsid w:val="007931FA"/>
    <w:rsid w:val="007A4861"/>
    <w:rsid w:val="007A7BBA"/>
    <w:rsid w:val="007B0318"/>
    <w:rsid w:val="007B0C50"/>
    <w:rsid w:val="007B48F9"/>
    <w:rsid w:val="007C1A43"/>
    <w:rsid w:val="007C7477"/>
    <w:rsid w:val="007D0951"/>
    <w:rsid w:val="0080013E"/>
    <w:rsid w:val="00813288"/>
    <w:rsid w:val="008168FC"/>
    <w:rsid w:val="00830996"/>
    <w:rsid w:val="008345F1"/>
    <w:rsid w:val="008442C2"/>
    <w:rsid w:val="00863EB3"/>
    <w:rsid w:val="00865B07"/>
    <w:rsid w:val="008667EA"/>
    <w:rsid w:val="00874F94"/>
    <w:rsid w:val="0087637F"/>
    <w:rsid w:val="00892AD5"/>
    <w:rsid w:val="008A1512"/>
    <w:rsid w:val="008B199B"/>
    <w:rsid w:val="008D32B9"/>
    <w:rsid w:val="008D433B"/>
    <w:rsid w:val="008D4A16"/>
    <w:rsid w:val="008E0245"/>
    <w:rsid w:val="008E566E"/>
    <w:rsid w:val="0090161A"/>
    <w:rsid w:val="00901EB6"/>
    <w:rsid w:val="00904C62"/>
    <w:rsid w:val="00922BA8"/>
    <w:rsid w:val="00924DAC"/>
    <w:rsid w:val="00927058"/>
    <w:rsid w:val="00942750"/>
    <w:rsid w:val="009450CE"/>
    <w:rsid w:val="009459BB"/>
    <w:rsid w:val="00947179"/>
    <w:rsid w:val="0095164B"/>
    <w:rsid w:val="00954090"/>
    <w:rsid w:val="009573E7"/>
    <w:rsid w:val="00963E05"/>
    <w:rsid w:val="00964A45"/>
    <w:rsid w:val="00967843"/>
    <w:rsid w:val="00967D54"/>
    <w:rsid w:val="00971028"/>
    <w:rsid w:val="00993B84"/>
    <w:rsid w:val="00996483"/>
    <w:rsid w:val="00996F5A"/>
    <w:rsid w:val="009B041A"/>
    <w:rsid w:val="009C37C3"/>
    <w:rsid w:val="009C4CCF"/>
    <w:rsid w:val="009C7C86"/>
    <w:rsid w:val="009D2FF7"/>
    <w:rsid w:val="009E7884"/>
    <w:rsid w:val="009E788A"/>
    <w:rsid w:val="009F0E08"/>
    <w:rsid w:val="00A1763D"/>
    <w:rsid w:val="00A17CEC"/>
    <w:rsid w:val="00A27EF0"/>
    <w:rsid w:val="00A42361"/>
    <w:rsid w:val="00A50B20"/>
    <w:rsid w:val="00A51390"/>
    <w:rsid w:val="00A60D13"/>
    <w:rsid w:val="00A7223D"/>
    <w:rsid w:val="00A72745"/>
    <w:rsid w:val="00A76EFC"/>
    <w:rsid w:val="00A87D50"/>
    <w:rsid w:val="00A91010"/>
    <w:rsid w:val="00A97F29"/>
    <w:rsid w:val="00AA702E"/>
    <w:rsid w:val="00AA7D26"/>
    <w:rsid w:val="00AB0964"/>
    <w:rsid w:val="00AB5011"/>
    <w:rsid w:val="00AC316D"/>
    <w:rsid w:val="00AC3FEE"/>
    <w:rsid w:val="00AC7368"/>
    <w:rsid w:val="00AD0332"/>
    <w:rsid w:val="00AD16B9"/>
    <w:rsid w:val="00AE377D"/>
    <w:rsid w:val="00AF0EBA"/>
    <w:rsid w:val="00B02C8A"/>
    <w:rsid w:val="00B17FBD"/>
    <w:rsid w:val="00B315A6"/>
    <w:rsid w:val="00B31813"/>
    <w:rsid w:val="00B33365"/>
    <w:rsid w:val="00B405C9"/>
    <w:rsid w:val="00B5036D"/>
    <w:rsid w:val="00B57B36"/>
    <w:rsid w:val="00B57E6F"/>
    <w:rsid w:val="00B8686D"/>
    <w:rsid w:val="00B93F69"/>
    <w:rsid w:val="00BB1DDC"/>
    <w:rsid w:val="00BC30C9"/>
    <w:rsid w:val="00BD077D"/>
    <w:rsid w:val="00BE3E58"/>
    <w:rsid w:val="00C01616"/>
    <w:rsid w:val="00C0162B"/>
    <w:rsid w:val="00C068ED"/>
    <w:rsid w:val="00C22E0C"/>
    <w:rsid w:val="00C345B1"/>
    <w:rsid w:val="00C3543F"/>
    <w:rsid w:val="00C40142"/>
    <w:rsid w:val="00C52C3C"/>
    <w:rsid w:val="00C57182"/>
    <w:rsid w:val="00C57863"/>
    <w:rsid w:val="00C640AF"/>
    <w:rsid w:val="00C655FD"/>
    <w:rsid w:val="00C75407"/>
    <w:rsid w:val="00C870A8"/>
    <w:rsid w:val="00C94434"/>
    <w:rsid w:val="00C94EBD"/>
    <w:rsid w:val="00CA0D75"/>
    <w:rsid w:val="00CA1C95"/>
    <w:rsid w:val="00CA5A9C"/>
    <w:rsid w:val="00CC4C20"/>
    <w:rsid w:val="00CD3517"/>
    <w:rsid w:val="00CD5FE2"/>
    <w:rsid w:val="00CE7C68"/>
    <w:rsid w:val="00CF05FC"/>
    <w:rsid w:val="00D02B4C"/>
    <w:rsid w:val="00D040C4"/>
    <w:rsid w:val="00D20AD1"/>
    <w:rsid w:val="00D46B7E"/>
    <w:rsid w:val="00D57C84"/>
    <w:rsid w:val="00D6057D"/>
    <w:rsid w:val="00D61397"/>
    <w:rsid w:val="00D71640"/>
    <w:rsid w:val="00D72A69"/>
    <w:rsid w:val="00D836C5"/>
    <w:rsid w:val="00D84576"/>
    <w:rsid w:val="00D851D5"/>
    <w:rsid w:val="00DA0D04"/>
    <w:rsid w:val="00DA1399"/>
    <w:rsid w:val="00DA24C6"/>
    <w:rsid w:val="00DA4D7B"/>
    <w:rsid w:val="00DD271C"/>
    <w:rsid w:val="00DE264A"/>
    <w:rsid w:val="00DF5072"/>
    <w:rsid w:val="00E02D18"/>
    <w:rsid w:val="00E041E7"/>
    <w:rsid w:val="00E23CA1"/>
    <w:rsid w:val="00E409A8"/>
    <w:rsid w:val="00E50C12"/>
    <w:rsid w:val="00E65B91"/>
    <w:rsid w:val="00E7209D"/>
    <w:rsid w:val="00E72EAD"/>
    <w:rsid w:val="00E77223"/>
    <w:rsid w:val="00E8528B"/>
    <w:rsid w:val="00E85B94"/>
    <w:rsid w:val="00E978D0"/>
    <w:rsid w:val="00EA4613"/>
    <w:rsid w:val="00EA7F91"/>
    <w:rsid w:val="00EB1523"/>
    <w:rsid w:val="00EC0E49"/>
    <w:rsid w:val="00EC101F"/>
    <w:rsid w:val="00EC1D9F"/>
    <w:rsid w:val="00EE0131"/>
    <w:rsid w:val="00EE17B0"/>
    <w:rsid w:val="00EF06D9"/>
    <w:rsid w:val="00F3049E"/>
    <w:rsid w:val="00F30C64"/>
    <w:rsid w:val="00F32BA2"/>
    <w:rsid w:val="00F32CDB"/>
    <w:rsid w:val="00F565FE"/>
    <w:rsid w:val="00F63A70"/>
    <w:rsid w:val="00F63D8C"/>
    <w:rsid w:val="00F657AC"/>
    <w:rsid w:val="00F7534E"/>
    <w:rsid w:val="00F93EDF"/>
    <w:rsid w:val="00FA1802"/>
    <w:rsid w:val="00FA21D0"/>
    <w:rsid w:val="00FA5F5F"/>
    <w:rsid w:val="00FB730C"/>
    <w:rsid w:val="00FC191E"/>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10">
    <w:name w:val="heading 1"/>
    <w:basedOn w:val="CETHeading1"/>
    <w:next w:val="a1"/>
    <w:link w:val="11"/>
    <w:uiPriority w:val="9"/>
    <w:rsid w:val="004F5E36"/>
    <w:pPr>
      <w:tabs>
        <w:tab w:val="clear" w:pos="360"/>
        <w:tab w:val="right" w:pos="7100"/>
      </w:tabs>
      <w:jc w:val="both"/>
      <w:outlineLvl w:val="0"/>
    </w:pPr>
    <w:rPr>
      <w:lang w:val="en-GB"/>
    </w:rPr>
  </w:style>
  <w:style w:type="paragraph" w:styleId="21">
    <w:name w:val="heading 2"/>
    <w:basedOn w:val="a1"/>
    <w:next w:val="a1"/>
    <w:link w:val="22"/>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0"/>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1">
    <w:name w:val="Table Simple 1"/>
    <w:basedOn w:val="a3"/>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a5">
    <w:name w:val="annotation reference"/>
    <w:basedOn w:val="a2"/>
    <w:uiPriority w:val="99"/>
    <w:semiHidden/>
    <w:unhideWhenUsed/>
    <w:rsid w:val="004577FE"/>
    <w:rPr>
      <w:sz w:val="16"/>
      <w:szCs w:val="16"/>
    </w:rPr>
  </w:style>
  <w:style w:type="paragraph" w:styleId="a6">
    <w:name w:val="Balloon Text"/>
    <w:basedOn w:val="a1"/>
    <w:link w:val="a7"/>
    <w:uiPriority w:val="99"/>
    <w:semiHidden/>
    <w:unhideWhenUsed/>
    <w:rsid w:val="000D34BE"/>
    <w:pPr>
      <w:spacing w:line="240" w:lineRule="auto"/>
    </w:pPr>
    <w:rPr>
      <w:rFonts w:ascii="Tahoma" w:hAnsi="Tahoma" w:cs="Tahoma"/>
      <w:sz w:val="16"/>
      <w:szCs w:val="16"/>
    </w:rPr>
  </w:style>
  <w:style w:type="character" w:customStyle="1" w:styleId="a7">
    <w:name w:val="吹き出し (文字)"/>
    <w:basedOn w:val="a2"/>
    <w:link w:val="a6"/>
    <w:uiPriority w:val="99"/>
    <w:semiHidden/>
    <w:rsid w:val="000D34BE"/>
    <w:rPr>
      <w:rFonts w:ascii="Tahoma" w:hAnsi="Tahoma" w:cs="Tahoma"/>
      <w:sz w:val="16"/>
      <w:szCs w:val="16"/>
    </w:rPr>
  </w:style>
  <w:style w:type="paragraph" w:styleId="a8">
    <w:name w:val="Bibliography"/>
    <w:basedOn w:val="CETReferencetext"/>
    <w:uiPriority w:val="37"/>
    <w:unhideWhenUsed/>
    <w:rsid w:val="00631B33"/>
    <w:pPr>
      <w:spacing w:line="240" w:lineRule="auto"/>
      <w:ind w:left="720" w:hanging="720"/>
    </w:pPr>
  </w:style>
  <w:style w:type="paragraph" w:styleId="23">
    <w:name w:val="Body Text 2"/>
    <w:basedOn w:val="a1"/>
    <w:link w:val="24"/>
    <w:uiPriority w:val="99"/>
    <w:semiHidden/>
    <w:unhideWhenUsed/>
    <w:rsid w:val="0003148D"/>
    <w:pPr>
      <w:spacing w:after="120" w:line="480" w:lineRule="auto"/>
    </w:pPr>
  </w:style>
  <w:style w:type="character" w:customStyle="1" w:styleId="24">
    <w:name w:val="本文 2 (文字)"/>
    <w:basedOn w:val="a2"/>
    <w:link w:val="23"/>
    <w:uiPriority w:val="99"/>
    <w:semiHidden/>
    <w:rsid w:val="0003148D"/>
  </w:style>
  <w:style w:type="paragraph" w:styleId="33">
    <w:name w:val="Body Text 3"/>
    <w:basedOn w:val="a1"/>
    <w:link w:val="34"/>
    <w:uiPriority w:val="99"/>
    <w:semiHidden/>
    <w:unhideWhenUsed/>
    <w:rsid w:val="0003148D"/>
    <w:pPr>
      <w:spacing w:after="120"/>
    </w:pPr>
    <w:rPr>
      <w:sz w:val="16"/>
      <w:szCs w:val="16"/>
    </w:rPr>
  </w:style>
  <w:style w:type="character" w:customStyle="1" w:styleId="34">
    <w:name w:val="本文 3 (文字)"/>
    <w:basedOn w:val="a2"/>
    <w:link w:val="33"/>
    <w:uiPriority w:val="99"/>
    <w:semiHidden/>
    <w:rsid w:val="0003148D"/>
    <w:rPr>
      <w:sz w:val="16"/>
      <w:szCs w:val="16"/>
    </w:rPr>
  </w:style>
  <w:style w:type="paragraph" w:styleId="a9">
    <w:name w:val="Body Text"/>
    <w:basedOn w:val="a1"/>
    <w:link w:val="aa"/>
    <w:uiPriority w:val="99"/>
    <w:semiHidden/>
    <w:unhideWhenUsed/>
    <w:rsid w:val="0003148D"/>
    <w:pPr>
      <w:spacing w:after="120"/>
    </w:pPr>
  </w:style>
  <w:style w:type="character" w:customStyle="1" w:styleId="aa">
    <w:name w:val="本文 (文字)"/>
    <w:basedOn w:val="a2"/>
    <w:link w:val="a9"/>
    <w:uiPriority w:val="99"/>
    <w:semiHidden/>
    <w:rsid w:val="0003148D"/>
  </w:style>
  <w:style w:type="paragraph" w:styleId="ab">
    <w:name w:val="Date"/>
    <w:basedOn w:val="a1"/>
    <w:next w:val="a1"/>
    <w:link w:val="ac"/>
    <w:uiPriority w:val="99"/>
    <w:semiHidden/>
    <w:unhideWhenUsed/>
    <w:rsid w:val="0003148D"/>
  </w:style>
  <w:style w:type="character" w:customStyle="1" w:styleId="ac">
    <w:name w:val="日付 (文字)"/>
    <w:basedOn w:val="a2"/>
    <w:link w:val="ab"/>
    <w:uiPriority w:val="99"/>
    <w:semiHidden/>
    <w:rsid w:val="0003148D"/>
  </w:style>
  <w:style w:type="paragraph" w:styleId="ad">
    <w:name w:val="caption"/>
    <w:basedOn w:val="a1"/>
    <w:next w:val="a1"/>
    <w:uiPriority w:val="35"/>
    <w:semiHidden/>
    <w:unhideWhenUsed/>
    <w:qFormat/>
    <w:rsid w:val="0003148D"/>
    <w:pPr>
      <w:spacing w:line="240" w:lineRule="auto"/>
    </w:pPr>
    <w:rPr>
      <w:b/>
      <w:bCs/>
      <w:color w:val="4F81BD" w:themeColor="accent1"/>
      <w:szCs w:val="18"/>
    </w:rPr>
  </w:style>
  <w:style w:type="paragraph" w:styleId="ae">
    <w:name w:val="List"/>
    <w:basedOn w:val="a1"/>
    <w:uiPriority w:val="99"/>
    <w:semiHidden/>
    <w:unhideWhenUsed/>
    <w:rsid w:val="0003148D"/>
    <w:pPr>
      <w:ind w:left="283" w:hanging="283"/>
      <w:contextualSpacing/>
    </w:pPr>
  </w:style>
  <w:style w:type="paragraph" w:styleId="25">
    <w:name w:val="List 2"/>
    <w:basedOn w:val="a1"/>
    <w:uiPriority w:val="99"/>
    <w:semiHidden/>
    <w:unhideWhenUsed/>
    <w:rsid w:val="0003148D"/>
    <w:pPr>
      <w:ind w:left="566" w:hanging="283"/>
      <w:contextualSpacing/>
    </w:pPr>
  </w:style>
  <w:style w:type="paragraph" w:styleId="35">
    <w:name w:val="List 3"/>
    <w:basedOn w:val="a1"/>
    <w:uiPriority w:val="99"/>
    <w:semiHidden/>
    <w:unhideWhenUsed/>
    <w:rsid w:val="0003148D"/>
    <w:pPr>
      <w:ind w:left="849" w:hanging="283"/>
      <w:contextualSpacing/>
    </w:pPr>
  </w:style>
  <w:style w:type="paragraph" w:styleId="43">
    <w:name w:val="List 4"/>
    <w:basedOn w:val="a1"/>
    <w:uiPriority w:val="99"/>
    <w:semiHidden/>
    <w:unhideWhenUsed/>
    <w:rsid w:val="0003148D"/>
    <w:pPr>
      <w:ind w:left="1132" w:hanging="283"/>
      <w:contextualSpacing/>
    </w:pPr>
  </w:style>
  <w:style w:type="paragraph" w:styleId="53">
    <w:name w:val="List 5"/>
    <w:basedOn w:val="a1"/>
    <w:uiPriority w:val="99"/>
    <w:semiHidden/>
    <w:unhideWhenUsed/>
    <w:rsid w:val="0003148D"/>
    <w:pPr>
      <w:ind w:left="1415" w:hanging="283"/>
      <w:contextualSpacing/>
    </w:pPr>
  </w:style>
  <w:style w:type="paragraph" w:styleId="af">
    <w:name w:val="List Continue"/>
    <w:basedOn w:val="a1"/>
    <w:uiPriority w:val="99"/>
    <w:semiHidden/>
    <w:unhideWhenUsed/>
    <w:rsid w:val="0003148D"/>
    <w:pPr>
      <w:spacing w:after="120"/>
      <w:ind w:left="283"/>
      <w:contextualSpacing/>
    </w:pPr>
  </w:style>
  <w:style w:type="paragraph" w:styleId="26">
    <w:name w:val="List Continue 2"/>
    <w:basedOn w:val="a1"/>
    <w:uiPriority w:val="99"/>
    <w:semiHidden/>
    <w:unhideWhenUsed/>
    <w:rsid w:val="0003148D"/>
    <w:pPr>
      <w:spacing w:after="120"/>
      <w:ind w:left="566"/>
      <w:contextualSpacing/>
    </w:pPr>
  </w:style>
  <w:style w:type="paragraph" w:styleId="36">
    <w:name w:val="List Continue 3"/>
    <w:basedOn w:val="a1"/>
    <w:uiPriority w:val="99"/>
    <w:semiHidden/>
    <w:unhideWhenUsed/>
    <w:rsid w:val="0003148D"/>
    <w:pPr>
      <w:spacing w:after="120"/>
      <w:ind w:left="849"/>
      <w:contextualSpacing/>
    </w:pPr>
  </w:style>
  <w:style w:type="paragraph" w:styleId="44">
    <w:name w:val="List Continue 4"/>
    <w:basedOn w:val="a1"/>
    <w:uiPriority w:val="99"/>
    <w:semiHidden/>
    <w:unhideWhenUsed/>
    <w:rsid w:val="0003148D"/>
    <w:pPr>
      <w:spacing w:after="120"/>
      <w:ind w:left="1132"/>
      <w:contextualSpacing/>
    </w:pPr>
  </w:style>
  <w:style w:type="paragraph" w:styleId="54">
    <w:name w:val="List Continue 5"/>
    <w:basedOn w:val="a1"/>
    <w:uiPriority w:val="99"/>
    <w:semiHidden/>
    <w:unhideWhenUsed/>
    <w:rsid w:val="0003148D"/>
    <w:pPr>
      <w:spacing w:after="120"/>
      <w:ind w:left="1415"/>
      <w:contextualSpacing/>
    </w:pPr>
  </w:style>
  <w:style w:type="paragraph" w:styleId="af0">
    <w:name w:val="Signature"/>
    <w:basedOn w:val="a1"/>
    <w:link w:val="af1"/>
    <w:uiPriority w:val="99"/>
    <w:semiHidden/>
    <w:unhideWhenUsed/>
    <w:rsid w:val="0003148D"/>
    <w:pPr>
      <w:spacing w:line="240" w:lineRule="auto"/>
      <w:ind w:left="4252"/>
    </w:pPr>
  </w:style>
  <w:style w:type="character" w:customStyle="1" w:styleId="af1">
    <w:name w:val="署名 (文字)"/>
    <w:basedOn w:val="a2"/>
    <w:link w:val="af0"/>
    <w:uiPriority w:val="99"/>
    <w:semiHidden/>
    <w:rsid w:val="0003148D"/>
  </w:style>
  <w:style w:type="paragraph" w:styleId="af2">
    <w:name w:val="E-mail Signature"/>
    <w:basedOn w:val="a1"/>
    <w:link w:val="af3"/>
    <w:uiPriority w:val="99"/>
    <w:semiHidden/>
    <w:unhideWhenUsed/>
    <w:rsid w:val="0003148D"/>
    <w:pPr>
      <w:spacing w:line="240" w:lineRule="auto"/>
    </w:pPr>
  </w:style>
  <w:style w:type="character" w:customStyle="1" w:styleId="af3">
    <w:name w:val="電子メール署名 (文字)"/>
    <w:basedOn w:val="a2"/>
    <w:link w:val="af2"/>
    <w:uiPriority w:val="99"/>
    <w:semiHidden/>
    <w:rsid w:val="0003148D"/>
  </w:style>
  <w:style w:type="paragraph" w:styleId="af4">
    <w:name w:val="Salutation"/>
    <w:basedOn w:val="a1"/>
    <w:next w:val="a1"/>
    <w:link w:val="af5"/>
    <w:uiPriority w:val="99"/>
    <w:semiHidden/>
    <w:unhideWhenUsed/>
    <w:rsid w:val="0003148D"/>
  </w:style>
  <w:style w:type="character" w:customStyle="1" w:styleId="af5">
    <w:name w:val="挨拶文 (文字)"/>
    <w:basedOn w:val="a2"/>
    <w:link w:val="af4"/>
    <w:uiPriority w:val="99"/>
    <w:semiHidden/>
    <w:rsid w:val="0003148D"/>
  </w:style>
  <w:style w:type="paragraph" w:styleId="af6">
    <w:name w:val="Closing"/>
    <w:basedOn w:val="a1"/>
    <w:link w:val="af7"/>
    <w:uiPriority w:val="99"/>
    <w:semiHidden/>
    <w:unhideWhenUsed/>
    <w:rsid w:val="0003148D"/>
    <w:pPr>
      <w:spacing w:line="240" w:lineRule="auto"/>
      <w:ind w:left="4252"/>
    </w:pPr>
  </w:style>
  <w:style w:type="character" w:customStyle="1" w:styleId="af7">
    <w:name w:val="結語 (文字)"/>
    <w:basedOn w:val="a2"/>
    <w:link w:val="af6"/>
    <w:uiPriority w:val="99"/>
    <w:semiHidden/>
    <w:rsid w:val="0003148D"/>
  </w:style>
  <w:style w:type="paragraph" w:styleId="12">
    <w:name w:val="index 1"/>
    <w:basedOn w:val="a1"/>
    <w:next w:val="a1"/>
    <w:autoRedefine/>
    <w:uiPriority w:val="99"/>
    <w:semiHidden/>
    <w:unhideWhenUsed/>
    <w:rsid w:val="0003148D"/>
    <w:pPr>
      <w:spacing w:line="240" w:lineRule="auto"/>
      <w:ind w:left="220" w:hanging="220"/>
    </w:pPr>
  </w:style>
  <w:style w:type="paragraph" w:styleId="27">
    <w:name w:val="index 2"/>
    <w:basedOn w:val="a1"/>
    <w:next w:val="a1"/>
    <w:autoRedefine/>
    <w:uiPriority w:val="99"/>
    <w:semiHidden/>
    <w:unhideWhenUsed/>
    <w:rsid w:val="0003148D"/>
    <w:pPr>
      <w:spacing w:line="240" w:lineRule="auto"/>
      <w:ind w:left="440" w:hanging="220"/>
    </w:pPr>
  </w:style>
  <w:style w:type="paragraph" w:styleId="37">
    <w:name w:val="index 3"/>
    <w:basedOn w:val="a1"/>
    <w:next w:val="a1"/>
    <w:autoRedefine/>
    <w:uiPriority w:val="99"/>
    <w:semiHidden/>
    <w:unhideWhenUsed/>
    <w:rsid w:val="0003148D"/>
    <w:pPr>
      <w:spacing w:line="240" w:lineRule="auto"/>
      <w:ind w:left="660" w:hanging="220"/>
    </w:pPr>
  </w:style>
  <w:style w:type="paragraph" w:styleId="45">
    <w:name w:val="index 4"/>
    <w:basedOn w:val="a1"/>
    <w:next w:val="a1"/>
    <w:autoRedefine/>
    <w:uiPriority w:val="99"/>
    <w:semiHidden/>
    <w:unhideWhenUsed/>
    <w:rsid w:val="0003148D"/>
    <w:pPr>
      <w:spacing w:line="240" w:lineRule="auto"/>
      <w:ind w:left="880" w:hanging="220"/>
    </w:pPr>
  </w:style>
  <w:style w:type="paragraph" w:styleId="55">
    <w:name w:val="index 5"/>
    <w:basedOn w:val="a1"/>
    <w:next w:val="a1"/>
    <w:autoRedefine/>
    <w:uiPriority w:val="99"/>
    <w:semiHidden/>
    <w:unhideWhenUsed/>
    <w:rsid w:val="0003148D"/>
    <w:pPr>
      <w:spacing w:line="240" w:lineRule="auto"/>
      <w:ind w:left="1100" w:hanging="220"/>
    </w:pPr>
  </w:style>
  <w:style w:type="paragraph" w:styleId="61">
    <w:name w:val="index 6"/>
    <w:basedOn w:val="a1"/>
    <w:next w:val="a1"/>
    <w:autoRedefine/>
    <w:uiPriority w:val="99"/>
    <w:semiHidden/>
    <w:unhideWhenUsed/>
    <w:rsid w:val="0003148D"/>
    <w:pPr>
      <w:spacing w:line="240" w:lineRule="auto"/>
      <w:ind w:left="1320" w:hanging="220"/>
    </w:pPr>
  </w:style>
  <w:style w:type="paragraph" w:styleId="71">
    <w:name w:val="index 7"/>
    <w:basedOn w:val="a1"/>
    <w:next w:val="a1"/>
    <w:autoRedefine/>
    <w:uiPriority w:val="99"/>
    <w:semiHidden/>
    <w:unhideWhenUsed/>
    <w:rsid w:val="0003148D"/>
    <w:pPr>
      <w:spacing w:line="240" w:lineRule="auto"/>
      <w:ind w:left="1540" w:hanging="220"/>
    </w:pPr>
  </w:style>
  <w:style w:type="paragraph" w:styleId="81">
    <w:name w:val="index 8"/>
    <w:basedOn w:val="a1"/>
    <w:next w:val="a1"/>
    <w:autoRedefine/>
    <w:uiPriority w:val="99"/>
    <w:semiHidden/>
    <w:unhideWhenUsed/>
    <w:rsid w:val="0003148D"/>
    <w:pPr>
      <w:spacing w:line="240" w:lineRule="auto"/>
      <w:ind w:left="1760" w:hanging="220"/>
    </w:pPr>
  </w:style>
  <w:style w:type="paragraph" w:styleId="91">
    <w:name w:val="index 9"/>
    <w:basedOn w:val="a1"/>
    <w:next w:val="a1"/>
    <w:autoRedefine/>
    <w:uiPriority w:val="99"/>
    <w:semiHidden/>
    <w:unhideWhenUsed/>
    <w:rsid w:val="0003148D"/>
    <w:pPr>
      <w:spacing w:line="240" w:lineRule="auto"/>
      <w:ind w:left="1980" w:hanging="220"/>
    </w:pPr>
  </w:style>
  <w:style w:type="paragraph" w:styleId="af8">
    <w:name w:val="table of figures"/>
    <w:basedOn w:val="a1"/>
    <w:next w:val="a1"/>
    <w:uiPriority w:val="99"/>
    <w:semiHidden/>
    <w:unhideWhenUsed/>
    <w:rsid w:val="0003148D"/>
  </w:style>
  <w:style w:type="paragraph" w:styleId="af9">
    <w:name w:val="table of authorities"/>
    <w:basedOn w:val="a1"/>
    <w:next w:val="a1"/>
    <w:uiPriority w:val="99"/>
    <w:semiHidden/>
    <w:unhideWhenUsed/>
    <w:rsid w:val="0003148D"/>
    <w:pPr>
      <w:ind w:left="220" w:hanging="220"/>
    </w:pPr>
  </w:style>
  <w:style w:type="paragraph" w:styleId="afa">
    <w:name w:val="envelope address"/>
    <w:basedOn w:val="a1"/>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
    <w:name w:val="HTML Address"/>
    <w:basedOn w:val="a1"/>
    <w:link w:val="HTML0"/>
    <w:uiPriority w:val="99"/>
    <w:semiHidden/>
    <w:unhideWhenUsed/>
    <w:rsid w:val="0003148D"/>
    <w:pPr>
      <w:spacing w:line="240" w:lineRule="auto"/>
    </w:pPr>
    <w:rPr>
      <w:i/>
      <w:iCs/>
    </w:rPr>
  </w:style>
  <w:style w:type="character" w:customStyle="1" w:styleId="HTML0">
    <w:name w:val="HTML アドレス (文字)"/>
    <w:basedOn w:val="a2"/>
    <w:link w:val="HTML"/>
    <w:uiPriority w:val="99"/>
    <w:semiHidden/>
    <w:rsid w:val="0003148D"/>
    <w:rPr>
      <w:i/>
      <w:iCs/>
    </w:rPr>
  </w:style>
  <w:style w:type="paragraph" w:styleId="afb">
    <w:name w:val="envelope return"/>
    <w:basedOn w:val="a1"/>
    <w:uiPriority w:val="99"/>
    <w:semiHidden/>
    <w:unhideWhenUsed/>
    <w:rsid w:val="0003148D"/>
    <w:pPr>
      <w:spacing w:line="240" w:lineRule="auto"/>
    </w:pPr>
    <w:rPr>
      <w:rFonts w:asciiTheme="majorHAnsi" w:eastAsiaTheme="majorEastAsia" w:hAnsiTheme="majorHAnsi" w:cstheme="majorBidi"/>
    </w:rPr>
  </w:style>
  <w:style w:type="paragraph" w:styleId="afc">
    <w:name w:val="Message Header"/>
    <w:basedOn w:val="a1"/>
    <w:link w:val="afd"/>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afd">
    <w:name w:val="メッセージ見出し (文字)"/>
    <w:basedOn w:val="a2"/>
    <w:link w:val="afc"/>
    <w:uiPriority w:val="99"/>
    <w:semiHidden/>
    <w:rsid w:val="0003148D"/>
    <w:rPr>
      <w:rFonts w:asciiTheme="majorHAnsi" w:eastAsiaTheme="majorEastAsia" w:hAnsiTheme="majorHAnsi" w:cstheme="majorBidi"/>
      <w:sz w:val="24"/>
      <w:szCs w:val="24"/>
      <w:shd w:val="pct20" w:color="auto" w:fill="auto"/>
    </w:rPr>
  </w:style>
  <w:style w:type="paragraph" w:styleId="afe">
    <w:name w:val="Note Heading"/>
    <w:basedOn w:val="a1"/>
    <w:next w:val="a1"/>
    <w:link w:val="aff"/>
    <w:uiPriority w:val="99"/>
    <w:semiHidden/>
    <w:unhideWhenUsed/>
    <w:rsid w:val="0003148D"/>
    <w:pPr>
      <w:spacing w:line="240" w:lineRule="auto"/>
    </w:pPr>
  </w:style>
  <w:style w:type="character" w:customStyle="1" w:styleId="aff">
    <w:name w:val="記 (文字)"/>
    <w:basedOn w:val="a2"/>
    <w:link w:val="afe"/>
    <w:uiPriority w:val="99"/>
    <w:semiHidden/>
    <w:rsid w:val="0003148D"/>
  </w:style>
  <w:style w:type="paragraph" w:styleId="aff0">
    <w:name w:val="Document Map"/>
    <w:basedOn w:val="a1"/>
    <w:link w:val="aff1"/>
    <w:uiPriority w:val="99"/>
    <w:semiHidden/>
    <w:unhideWhenUsed/>
    <w:rsid w:val="0003148D"/>
    <w:pPr>
      <w:spacing w:line="240" w:lineRule="auto"/>
    </w:pPr>
    <w:rPr>
      <w:rFonts w:ascii="Tahoma" w:hAnsi="Tahoma" w:cs="Tahoma"/>
      <w:sz w:val="16"/>
      <w:szCs w:val="16"/>
    </w:rPr>
  </w:style>
  <w:style w:type="character" w:customStyle="1" w:styleId="aff1">
    <w:name w:val="見出しマップ (文字)"/>
    <w:basedOn w:val="a2"/>
    <w:link w:val="aff0"/>
    <w:uiPriority w:val="99"/>
    <w:semiHidden/>
    <w:rsid w:val="0003148D"/>
    <w:rPr>
      <w:rFonts w:ascii="Tahoma" w:hAnsi="Tahoma" w:cs="Tahoma"/>
      <w:sz w:val="16"/>
      <w:szCs w:val="16"/>
    </w:rPr>
  </w:style>
  <w:style w:type="paragraph" w:styleId="Web">
    <w:name w:val="Normal (Web)"/>
    <w:basedOn w:val="a1"/>
    <w:uiPriority w:val="99"/>
    <w:semiHidden/>
    <w:unhideWhenUsed/>
    <w:rsid w:val="0003148D"/>
    <w:rPr>
      <w:sz w:val="24"/>
      <w:szCs w:val="24"/>
    </w:rPr>
  </w:style>
  <w:style w:type="paragraph" w:styleId="a">
    <w:name w:val="List Number"/>
    <w:basedOn w:val="a1"/>
    <w:uiPriority w:val="99"/>
    <w:semiHidden/>
    <w:unhideWhenUsed/>
    <w:rsid w:val="0003148D"/>
    <w:pPr>
      <w:numPr>
        <w:numId w:val="2"/>
      </w:numPr>
      <w:contextualSpacing/>
    </w:pPr>
  </w:style>
  <w:style w:type="paragraph" w:styleId="2">
    <w:name w:val="List Number 2"/>
    <w:basedOn w:val="a1"/>
    <w:uiPriority w:val="99"/>
    <w:semiHidden/>
    <w:unhideWhenUsed/>
    <w:rsid w:val="0003148D"/>
    <w:pPr>
      <w:numPr>
        <w:numId w:val="3"/>
      </w:numPr>
      <w:contextualSpacing/>
    </w:pPr>
  </w:style>
  <w:style w:type="paragraph" w:styleId="3">
    <w:name w:val="List Number 3"/>
    <w:basedOn w:val="a1"/>
    <w:uiPriority w:val="99"/>
    <w:semiHidden/>
    <w:unhideWhenUsed/>
    <w:rsid w:val="0003148D"/>
    <w:pPr>
      <w:numPr>
        <w:numId w:val="4"/>
      </w:numPr>
      <w:contextualSpacing/>
    </w:pPr>
  </w:style>
  <w:style w:type="paragraph" w:styleId="4">
    <w:name w:val="List Number 4"/>
    <w:basedOn w:val="a1"/>
    <w:uiPriority w:val="99"/>
    <w:semiHidden/>
    <w:unhideWhenUsed/>
    <w:rsid w:val="0003148D"/>
    <w:pPr>
      <w:numPr>
        <w:numId w:val="5"/>
      </w:numPr>
      <w:contextualSpacing/>
    </w:pPr>
  </w:style>
  <w:style w:type="paragraph" w:styleId="5">
    <w:name w:val="List Number 5"/>
    <w:basedOn w:val="a1"/>
    <w:uiPriority w:val="99"/>
    <w:semiHidden/>
    <w:unhideWhenUsed/>
    <w:rsid w:val="0003148D"/>
    <w:pPr>
      <w:numPr>
        <w:numId w:val="6"/>
      </w:numPr>
      <w:contextualSpacing/>
    </w:pPr>
  </w:style>
  <w:style w:type="paragraph" w:styleId="HTML1">
    <w:name w:val="HTML Preformatted"/>
    <w:basedOn w:val="a1"/>
    <w:link w:val="HTML2"/>
    <w:uiPriority w:val="99"/>
    <w:semiHidden/>
    <w:unhideWhenUsed/>
    <w:rsid w:val="0003148D"/>
    <w:pPr>
      <w:spacing w:line="240" w:lineRule="auto"/>
    </w:pPr>
    <w:rPr>
      <w:rFonts w:ascii="Consolas" w:hAnsi="Consolas" w:cs="Consolas"/>
    </w:rPr>
  </w:style>
  <w:style w:type="character" w:customStyle="1" w:styleId="HTML2">
    <w:name w:val="HTML 書式付き (文字)"/>
    <w:basedOn w:val="a2"/>
    <w:link w:val="HTML1"/>
    <w:uiPriority w:val="99"/>
    <w:semiHidden/>
    <w:rsid w:val="0003148D"/>
    <w:rPr>
      <w:rFonts w:ascii="Consolas" w:hAnsi="Consolas" w:cs="Consolas"/>
      <w:sz w:val="20"/>
      <w:szCs w:val="20"/>
    </w:rPr>
  </w:style>
  <w:style w:type="paragraph" w:styleId="aff2">
    <w:name w:val="Body Text First Indent"/>
    <w:basedOn w:val="a9"/>
    <w:link w:val="aff3"/>
    <w:uiPriority w:val="99"/>
    <w:semiHidden/>
    <w:unhideWhenUsed/>
    <w:rsid w:val="0003148D"/>
    <w:pPr>
      <w:spacing w:after="200"/>
      <w:ind w:firstLine="360"/>
    </w:pPr>
  </w:style>
  <w:style w:type="character" w:customStyle="1" w:styleId="aff3">
    <w:name w:val="本文字下げ (文字)"/>
    <w:basedOn w:val="aa"/>
    <w:link w:val="aff2"/>
    <w:uiPriority w:val="99"/>
    <w:semiHidden/>
    <w:rsid w:val="0003148D"/>
  </w:style>
  <w:style w:type="paragraph" w:styleId="aff4">
    <w:name w:val="Body Text Indent"/>
    <w:basedOn w:val="a1"/>
    <w:link w:val="aff5"/>
    <w:uiPriority w:val="99"/>
    <w:semiHidden/>
    <w:unhideWhenUsed/>
    <w:rsid w:val="0003148D"/>
    <w:pPr>
      <w:spacing w:after="120"/>
      <w:ind w:left="283"/>
    </w:pPr>
  </w:style>
  <w:style w:type="character" w:customStyle="1" w:styleId="aff5">
    <w:name w:val="本文インデント (文字)"/>
    <w:basedOn w:val="a2"/>
    <w:link w:val="aff4"/>
    <w:uiPriority w:val="99"/>
    <w:semiHidden/>
    <w:rsid w:val="0003148D"/>
  </w:style>
  <w:style w:type="paragraph" w:styleId="28">
    <w:name w:val="Body Text First Indent 2"/>
    <w:basedOn w:val="aff4"/>
    <w:link w:val="29"/>
    <w:uiPriority w:val="99"/>
    <w:semiHidden/>
    <w:unhideWhenUsed/>
    <w:rsid w:val="0003148D"/>
    <w:pPr>
      <w:spacing w:after="200"/>
      <w:ind w:left="360" w:firstLine="360"/>
    </w:pPr>
  </w:style>
  <w:style w:type="character" w:customStyle="1" w:styleId="29">
    <w:name w:val="本文字下げ 2 (文字)"/>
    <w:basedOn w:val="aff5"/>
    <w:link w:val="28"/>
    <w:uiPriority w:val="99"/>
    <w:semiHidden/>
    <w:rsid w:val="0003148D"/>
  </w:style>
  <w:style w:type="paragraph" w:styleId="a0">
    <w:name w:val="List Bullet"/>
    <w:basedOn w:val="a1"/>
    <w:uiPriority w:val="99"/>
    <w:semiHidden/>
    <w:unhideWhenUsed/>
    <w:rsid w:val="0003148D"/>
    <w:pPr>
      <w:numPr>
        <w:numId w:val="7"/>
      </w:numPr>
      <w:contextualSpacing/>
    </w:pPr>
  </w:style>
  <w:style w:type="paragraph" w:styleId="20">
    <w:name w:val="List Bullet 2"/>
    <w:basedOn w:val="a1"/>
    <w:uiPriority w:val="99"/>
    <w:semiHidden/>
    <w:unhideWhenUsed/>
    <w:rsid w:val="0003148D"/>
    <w:pPr>
      <w:numPr>
        <w:numId w:val="8"/>
      </w:numPr>
      <w:contextualSpacing/>
    </w:pPr>
  </w:style>
  <w:style w:type="paragraph" w:styleId="30">
    <w:name w:val="List Bullet 3"/>
    <w:basedOn w:val="a1"/>
    <w:uiPriority w:val="99"/>
    <w:semiHidden/>
    <w:unhideWhenUsed/>
    <w:rsid w:val="0003148D"/>
    <w:pPr>
      <w:numPr>
        <w:numId w:val="9"/>
      </w:numPr>
      <w:contextualSpacing/>
    </w:pPr>
  </w:style>
  <w:style w:type="paragraph" w:styleId="40">
    <w:name w:val="List Bullet 4"/>
    <w:basedOn w:val="a1"/>
    <w:uiPriority w:val="99"/>
    <w:semiHidden/>
    <w:unhideWhenUsed/>
    <w:rsid w:val="0003148D"/>
    <w:pPr>
      <w:numPr>
        <w:numId w:val="10"/>
      </w:numPr>
      <w:contextualSpacing/>
    </w:pPr>
  </w:style>
  <w:style w:type="paragraph" w:styleId="50">
    <w:name w:val="List Bullet 5"/>
    <w:basedOn w:val="a1"/>
    <w:uiPriority w:val="99"/>
    <w:semiHidden/>
    <w:unhideWhenUsed/>
    <w:rsid w:val="0003148D"/>
    <w:pPr>
      <w:numPr>
        <w:numId w:val="11"/>
      </w:numPr>
      <w:contextualSpacing/>
    </w:pPr>
  </w:style>
  <w:style w:type="paragraph" w:styleId="2a">
    <w:name w:val="Body Text Indent 2"/>
    <w:basedOn w:val="a1"/>
    <w:link w:val="2b"/>
    <w:uiPriority w:val="99"/>
    <w:semiHidden/>
    <w:unhideWhenUsed/>
    <w:rsid w:val="0003148D"/>
    <w:pPr>
      <w:spacing w:after="120" w:line="480" w:lineRule="auto"/>
      <w:ind w:left="283"/>
    </w:pPr>
  </w:style>
  <w:style w:type="character" w:customStyle="1" w:styleId="2b">
    <w:name w:val="本文インデント 2 (文字)"/>
    <w:basedOn w:val="a2"/>
    <w:link w:val="2a"/>
    <w:uiPriority w:val="99"/>
    <w:semiHidden/>
    <w:rsid w:val="0003148D"/>
  </w:style>
  <w:style w:type="paragraph" w:styleId="38">
    <w:name w:val="Body Text Indent 3"/>
    <w:basedOn w:val="a1"/>
    <w:link w:val="39"/>
    <w:uiPriority w:val="99"/>
    <w:semiHidden/>
    <w:unhideWhenUsed/>
    <w:rsid w:val="0003148D"/>
    <w:pPr>
      <w:spacing w:after="120"/>
      <w:ind w:left="283"/>
    </w:pPr>
    <w:rPr>
      <w:sz w:val="16"/>
      <w:szCs w:val="16"/>
    </w:rPr>
  </w:style>
  <w:style w:type="character" w:customStyle="1" w:styleId="39">
    <w:name w:val="本文インデント 3 (文字)"/>
    <w:basedOn w:val="a2"/>
    <w:link w:val="38"/>
    <w:uiPriority w:val="99"/>
    <w:semiHidden/>
    <w:rsid w:val="0003148D"/>
    <w:rPr>
      <w:sz w:val="16"/>
      <w:szCs w:val="16"/>
    </w:rPr>
  </w:style>
  <w:style w:type="paragraph" w:styleId="aff6">
    <w:name w:val="Normal Indent"/>
    <w:basedOn w:val="a1"/>
    <w:uiPriority w:val="99"/>
    <w:semiHidden/>
    <w:unhideWhenUsed/>
    <w:rsid w:val="0003148D"/>
    <w:pPr>
      <w:ind w:left="720"/>
    </w:pPr>
  </w:style>
  <w:style w:type="paragraph" w:styleId="aff7">
    <w:name w:val="annotation text"/>
    <w:basedOn w:val="a1"/>
    <w:link w:val="aff8"/>
    <w:uiPriority w:val="99"/>
    <w:unhideWhenUsed/>
    <w:rsid w:val="0003148D"/>
    <w:pPr>
      <w:spacing w:line="240" w:lineRule="auto"/>
    </w:pPr>
  </w:style>
  <w:style w:type="character" w:customStyle="1" w:styleId="aff8">
    <w:name w:val="コメント文字列 (文字)"/>
    <w:basedOn w:val="a2"/>
    <w:link w:val="aff7"/>
    <w:uiPriority w:val="99"/>
    <w:rsid w:val="0003148D"/>
    <w:rPr>
      <w:sz w:val="20"/>
      <w:szCs w:val="20"/>
    </w:rPr>
  </w:style>
  <w:style w:type="paragraph" w:styleId="aff9">
    <w:name w:val="annotation subject"/>
    <w:basedOn w:val="aff7"/>
    <w:next w:val="aff7"/>
    <w:link w:val="affa"/>
    <w:uiPriority w:val="99"/>
    <w:semiHidden/>
    <w:unhideWhenUsed/>
    <w:rsid w:val="0003148D"/>
    <w:rPr>
      <w:b/>
      <w:bCs/>
    </w:rPr>
  </w:style>
  <w:style w:type="character" w:customStyle="1" w:styleId="affa">
    <w:name w:val="コメント内容 (文字)"/>
    <w:basedOn w:val="aff8"/>
    <w:link w:val="aff9"/>
    <w:uiPriority w:val="99"/>
    <w:semiHidden/>
    <w:rsid w:val="0003148D"/>
    <w:rPr>
      <w:b/>
      <w:bCs/>
      <w:sz w:val="20"/>
      <w:szCs w:val="20"/>
    </w:rPr>
  </w:style>
  <w:style w:type="paragraph" w:styleId="13">
    <w:name w:val="toc 1"/>
    <w:basedOn w:val="a1"/>
    <w:next w:val="a1"/>
    <w:autoRedefine/>
    <w:uiPriority w:val="39"/>
    <w:semiHidden/>
    <w:unhideWhenUsed/>
    <w:rsid w:val="0003148D"/>
    <w:pPr>
      <w:spacing w:after="100"/>
    </w:pPr>
  </w:style>
  <w:style w:type="paragraph" w:styleId="2c">
    <w:name w:val="toc 2"/>
    <w:basedOn w:val="a1"/>
    <w:next w:val="a1"/>
    <w:autoRedefine/>
    <w:uiPriority w:val="39"/>
    <w:semiHidden/>
    <w:unhideWhenUsed/>
    <w:rsid w:val="0003148D"/>
    <w:pPr>
      <w:spacing w:after="100"/>
      <w:ind w:left="220"/>
    </w:pPr>
  </w:style>
  <w:style w:type="paragraph" w:styleId="3a">
    <w:name w:val="toc 3"/>
    <w:basedOn w:val="a1"/>
    <w:next w:val="a1"/>
    <w:autoRedefine/>
    <w:uiPriority w:val="39"/>
    <w:semiHidden/>
    <w:unhideWhenUsed/>
    <w:rsid w:val="0003148D"/>
    <w:pPr>
      <w:spacing w:after="100"/>
      <w:ind w:left="440"/>
    </w:pPr>
  </w:style>
  <w:style w:type="paragraph" w:styleId="46">
    <w:name w:val="toc 4"/>
    <w:basedOn w:val="a1"/>
    <w:next w:val="a1"/>
    <w:autoRedefine/>
    <w:uiPriority w:val="39"/>
    <w:semiHidden/>
    <w:unhideWhenUsed/>
    <w:rsid w:val="0003148D"/>
    <w:pPr>
      <w:spacing w:after="100"/>
      <w:ind w:left="660"/>
    </w:pPr>
  </w:style>
  <w:style w:type="paragraph" w:styleId="56">
    <w:name w:val="toc 5"/>
    <w:basedOn w:val="a1"/>
    <w:next w:val="a1"/>
    <w:autoRedefine/>
    <w:uiPriority w:val="39"/>
    <w:semiHidden/>
    <w:unhideWhenUsed/>
    <w:rsid w:val="0003148D"/>
    <w:pPr>
      <w:spacing w:after="100"/>
      <w:ind w:left="880"/>
    </w:pPr>
  </w:style>
  <w:style w:type="paragraph" w:styleId="62">
    <w:name w:val="toc 6"/>
    <w:basedOn w:val="a1"/>
    <w:next w:val="a1"/>
    <w:autoRedefine/>
    <w:uiPriority w:val="39"/>
    <w:semiHidden/>
    <w:unhideWhenUsed/>
    <w:rsid w:val="0003148D"/>
    <w:pPr>
      <w:spacing w:after="100"/>
      <w:ind w:left="1100"/>
    </w:pPr>
  </w:style>
  <w:style w:type="paragraph" w:styleId="72">
    <w:name w:val="toc 7"/>
    <w:basedOn w:val="a1"/>
    <w:next w:val="a1"/>
    <w:autoRedefine/>
    <w:uiPriority w:val="39"/>
    <w:semiHidden/>
    <w:unhideWhenUsed/>
    <w:rsid w:val="0003148D"/>
    <w:pPr>
      <w:spacing w:after="100"/>
      <w:ind w:left="1320"/>
    </w:pPr>
  </w:style>
  <w:style w:type="paragraph" w:styleId="82">
    <w:name w:val="toc 8"/>
    <w:basedOn w:val="a1"/>
    <w:next w:val="a1"/>
    <w:autoRedefine/>
    <w:uiPriority w:val="39"/>
    <w:semiHidden/>
    <w:unhideWhenUsed/>
    <w:rsid w:val="0003148D"/>
    <w:pPr>
      <w:spacing w:after="100"/>
      <w:ind w:left="1540"/>
    </w:pPr>
  </w:style>
  <w:style w:type="paragraph" w:styleId="92">
    <w:name w:val="toc 9"/>
    <w:basedOn w:val="a1"/>
    <w:next w:val="a1"/>
    <w:autoRedefine/>
    <w:uiPriority w:val="39"/>
    <w:semiHidden/>
    <w:unhideWhenUsed/>
    <w:rsid w:val="0003148D"/>
    <w:pPr>
      <w:spacing w:after="100"/>
      <w:ind w:left="1760"/>
    </w:pPr>
  </w:style>
  <w:style w:type="paragraph" w:styleId="affb">
    <w:name w:val="Block Text"/>
    <w:basedOn w:val="a1"/>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affc">
    <w:name w:val="macro"/>
    <w:link w:val="affd"/>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affd">
    <w:name w:val="マクロ文字列 (文字)"/>
    <w:basedOn w:val="a2"/>
    <w:link w:val="affc"/>
    <w:uiPriority w:val="99"/>
    <w:semiHidden/>
    <w:rsid w:val="0003148D"/>
    <w:rPr>
      <w:rFonts w:ascii="Consolas" w:hAnsi="Consolas" w:cs="Consolas"/>
      <w:sz w:val="20"/>
      <w:szCs w:val="20"/>
    </w:rPr>
  </w:style>
  <w:style w:type="paragraph" w:styleId="affe">
    <w:name w:val="Plain Text"/>
    <w:basedOn w:val="a1"/>
    <w:link w:val="afff"/>
    <w:uiPriority w:val="99"/>
    <w:semiHidden/>
    <w:unhideWhenUsed/>
    <w:rsid w:val="0003148D"/>
    <w:pPr>
      <w:spacing w:line="240" w:lineRule="auto"/>
    </w:pPr>
    <w:rPr>
      <w:rFonts w:ascii="Consolas" w:hAnsi="Consolas" w:cs="Consolas"/>
      <w:sz w:val="21"/>
      <w:szCs w:val="21"/>
    </w:rPr>
  </w:style>
  <w:style w:type="character" w:customStyle="1" w:styleId="afff">
    <w:name w:val="書式なし (文字)"/>
    <w:basedOn w:val="a2"/>
    <w:link w:val="affe"/>
    <w:uiPriority w:val="99"/>
    <w:semiHidden/>
    <w:rsid w:val="0003148D"/>
    <w:rPr>
      <w:rFonts w:ascii="Consolas" w:hAnsi="Consolas" w:cs="Consolas"/>
      <w:sz w:val="21"/>
      <w:szCs w:val="21"/>
    </w:rPr>
  </w:style>
  <w:style w:type="paragraph" w:styleId="afff0">
    <w:name w:val="footnote text"/>
    <w:basedOn w:val="a1"/>
    <w:link w:val="afff1"/>
    <w:uiPriority w:val="99"/>
    <w:semiHidden/>
    <w:unhideWhenUsed/>
    <w:rsid w:val="0003148D"/>
    <w:pPr>
      <w:spacing w:line="240" w:lineRule="auto"/>
    </w:pPr>
  </w:style>
  <w:style w:type="character" w:customStyle="1" w:styleId="afff1">
    <w:name w:val="脚注文字列 (文字)"/>
    <w:basedOn w:val="a2"/>
    <w:link w:val="afff0"/>
    <w:uiPriority w:val="99"/>
    <w:semiHidden/>
    <w:rsid w:val="0003148D"/>
    <w:rPr>
      <w:sz w:val="20"/>
      <w:szCs w:val="20"/>
    </w:rPr>
  </w:style>
  <w:style w:type="paragraph" w:styleId="afff2">
    <w:name w:val="endnote text"/>
    <w:basedOn w:val="a1"/>
    <w:link w:val="afff3"/>
    <w:uiPriority w:val="99"/>
    <w:semiHidden/>
    <w:unhideWhenUsed/>
    <w:rsid w:val="0003148D"/>
    <w:pPr>
      <w:spacing w:line="240" w:lineRule="auto"/>
    </w:pPr>
  </w:style>
  <w:style w:type="character" w:customStyle="1" w:styleId="afff3">
    <w:name w:val="文末脚注文字列 (文字)"/>
    <w:basedOn w:val="a2"/>
    <w:link w:val="afff2"/>
    <w:uiPriority w:val="99"/>
    <w:semiHidden/>
    <w:rsid w:val="0003148D"/>
    <w:rPr>
      <w:sz w:val="20"/>
      <w:szCs w:val="20"/>
    </w:rPr>
  </w:style>
  <w:style w:type="character" w:customStyle="1" w:styleId="11">
    <w:name w:val="見出し 1 (文字)"/>
    <w:basedOn w:val="a2"/>
    <w:link w:val="10"/>
    <w:uiPriority w:val="9"/>
    <w:rsid w:val="004F5E36"/>
    <w:rPr>
      <w:rFonts w:ascii="Arial" w:eastAsia="Times New Roman" w:hAnsi="Arial" w:cs="Times New Roman"/>
      <w:b/>
      <w:sz w:val="20"/>
      <w:szCs w:val="20"/>
      <w:lang w:val="en-GB"/>
    </w:rPr>
  </w:style>
  <w:style w:type="character" w:customStyle="1" w:styleId="22">
    <w:name w:val="見出し 2 (文字)"/>
    <w:basedOn w:val="a2"/>
    <w:link w:val="21"/>
    <w:uiPriority w:val="9"/>
    <w:semiHidden/>
    <w:rsid w:val="0003148D"/>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semiHidden/>
    <w:rsid w:val="0003148D"/>
    <w:rPr>
      <w:rFonts w:asciiTheme="majorHAnsi" w:eastAsiaTheme="majorEastAsia" w:hAnsiTheme="majorHAnsi" w:cstheme="majorBidi"/>
      <w:b/>
      <w:bCs/>
      <w:color w:val="4F81BD" w:themeColor="accent1"/>
    </w:rPr>
  </w:style>
  <w:style w:type="character" w:customStyle="1" w:styleId="42">
    <w:name w:val="見出し 4 (文字)"/>
    <w:basedOn w:val="a2"/>
    <w:link w:val="41"/>
    <w:uiPriority w:val="9"/>
    <w:semiHidden/>
    <w:rsid w:val="0003148D"/>
    <w:rPr>
      <w:rFonts w:asciiTheme="majorHAnsi" w:eastAsiaTheme="majorEastAsia" w:hAnsiTheme="majorHAnsi" w:cstheme="majorBidi"/>
      <w:b/>
      <w:bCs/>
      <w:i/>
      <w:iCs/>
      <w:color w:val="4F81BD" w:themeColor="accent1"/>
    </w:rPr>
  </w:style>
  <w:style w:type="character" w:customStyle="1" w:styleId="52">
    <w:name w:val="見出し 5 (文字)"/>
    <w:basedOn w:val="a2"/>
    <w:link w:val="51"/>
    <w:uiPriority w:val="9"/>
    <w:semiHidden/>
    <w:rsid w:val="0003148D"/>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03148D"/>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03148D"/>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90">
    <w:name w:val="見出し 9 (文字)"/>
    <w:basedOn w:val="a2"/>
    <w:link w:val="9"/>
    <w:uiPriority w:val="9"/>
    <w:semiHidden/>
    <w:rsid w:val="0003148D"/>
    <w:rPr>
      <w:rFonts w:asciiTheme="majorHAnsi" w:eastAsiaTheme="majorEastAsia" w:hAnsiTheme="majorHAnsi" w:cstheme="majorBidi"/>
      <w:i/>
      <w:iCs/>
      <w:color w:val="404040" w:themeColor="text1" w:themeTint="BF"/>
      <w:sz w:val="20"/>
      <w:szCs w:val="20"/>
    </w:rPr>
  </w:style>
  <w:style w:type="paragraph" w:styleId="afff4">
    <w:name w:val="index heading"/>
    <w:basedOn w:val="a1"/>
    <w:next w:val="12"/>
    <w:uiPriority w:val="99"/>
    <w:semiHidden/>
    <w:unhideWhenUsed/>
    <w:rsid w:val="0003148D"/>
    <w:rPr>
      <w:rFonts w:asciiTheme="majorHAnsi" w:eastAsiaTheme="majorEastAsia" w:hAnsiTheme="majorHAnsi" w:cstheme="majorBidi"/>
      <w:b/>
      <w:bCs/>
    </w:rPr>
  </w:style>
  <w:style w:type="paragraph" w:styleId="afff5">
    <w:name w:val="toa heading"/>
    <w:basedOn w:val="a1"/>
    <w:next w:val="a1"/>
    <w:uiPriority w:val="99"/>
    <w:semiHidden/>
    <w:unhideWhenUsed/>
    <w:rsid w:val="0003148D"/>
    <w:pPr>
      <w:spacing w:before="120"/>
    </w:pPr>
    <w:rPr>
      <w:rFonts w:asciiTheme="majorHAnsi" w:eastAsiaTheme="majorEastAsia" w:hAnsiTheme="majorHAnsi" w:cstheme="majorBidi"/>
      <w:b/>
      <w:bCs/>
      <w:sz w:val="24"/>
      <w:szCs w:val="24"/>
    </w:rPr>
  </w:style>
  <w:style w:type="paragraph" w:styleId="afff6">
    <w:name w:val="TOC Heading"/>
    <w:basedOn w:val="10"/>
    <w:next w:val="a1"/>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2"/>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afff7">
    <w:name w:val="header"/>
    <w:basedOn w:val="a1"/>
    <w:link w:val="afff8"/>
    <w:uiPriority w:val="99"/>
    <w:unhideWhenUsed/>
    <w:rsid w:val="005278B7"/>
    <w:pPr>
      <w:tabs>
        <w:tab w:val="clear" w:pos="7100"/>
        <w:tab w:val="center" w:pos="4819"/>
        <w:tab w:val="right" w:pos="9638"/>
      </w:tabs>
      <w:spacing w:line="240" w:lineRule="auto"/>
    </w:pPr>
  </w:style>
  <w:style w:type="character" w:customStyle="1" w:styleId="afff8">
    <w:name w:val="ヘッダー (文字)"/>
    <w:basedOn w:val="a2"/>
    <w:link w:val="afff7"/>
    <w:uiPriority w:val="99"/>
    <w:rsid w:val="005278B7"/>
    <w:rPr>
      <w:rFonts w:ascii="Arial" w:eastAsia="Times New Roman" w:hAnsi="Arial" w:cs="Times New Roman"/>
      <w:sz w:val="18"/>
      <w:szCs w:val="20"/>
      <w:lang w:val="en-GB"/>
    </w:rPr>
  </w:style>
  <w:style w:type="paragraph" w:styleId="afff9">
    <w:name w:val="footer"/>
    <w:basedOn w:val="a1"/>
    <w:link w:val="afffa"/>
    <w:uiPriority w:val="99"/>
    <w:unhideWhenUsed/>
    <w:rsid w:val="005278B7"/>
    <w:pPr>
      <w:tabs>
        <w:tab w:val="clear" w:pos="7100"/>
        <w:tab w:val="center" w:pos="4819"/>
        <w:tab w:val="right" w:pos="9638"/>
      </w:tabs>
      <w:spacing w:line="240" w:lineRule="auto"/>
    </w:pPr>
  </w:style>
  <w:style w:type="character" w:customStyle="1" w:styleId="afffa">
    <w:name w:val="フッター (文字)"/>
    <w:basedOn w:val="a2"/>
    <w:link w:val="afff9"/>
    <w:uiPriority w:val="99"/>
    <w:rsid w:val="005278B7"/>
    <w:rPr>
      <w:rFonts w:ascii="Arial" w:eastAsia="Times New Roman" w:hAnsi="Arial" w:cs="Times New Roman"/>
      <w:sz w:val="18"/>
      <w:szCs w:val="20"/>
      <w:lang w:val="en-GB"/>
    </w:rPr>
  </w:style>
  <w:style w:type="table" w:styleId="afffb">
    <w:name w:val="Table Grid"/>
    <w:basedOn w:val="a3"/>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Hyperlink"/>
    <w:basedOn w:val="a2"/>
    <w:uiPriority w:val="99"/>
    <w:unhideWhenUsed/>
    <w:rsid w:val="00904C62"/>
    <w:rPr>
      <w:color w:val="0000FF" w:themeColor="hyperlink"/>
      <w:u w:val="single"/>
    </w:rPr>
  </w:style>
  <w:style w:type="character" w:customStyle="1" w:styleId="eudoraheader">
    <w:name w:val="eudoraheader"/>
    <w:basedOn w:val="a2"/>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afffd">
    <w:name w:val="List Paragraph"/>
    <w:basedOn w:val="a1"/>
    <w:uiPriority w:val="34"/>
    <w:rsid w:val="00280FAF"/>
    <w:pPr>
      <w:ind w:left="720"/>
      <w:contextualSpacing/>
    </w:pPr>
  </w:style>
  <w:style w:type="paragraph" w:styleId="afffe">
    <w:name w:val="Revision"/>
    <w:hidden/>
    <w:uiPriority w:val="99"/>
    <w:semiHidden/>
    <w:rsid w:val="00AC316D"/>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6</Pages>
  <Words>2599</Words>
  <Characters>14817</Characters>
  <Application>Microsoft Office Word</Application>
  <DocSecurity>0</DocSecurity>
  <Lines>123</Lines>
  <Paragraphs>34</Paragraphs>
  <ScaleCrop>false</ScaleCrop>
  <HeadingPairs>
    <vt:vector size="6" baseType="variant">
      <vt:variant>
        <vt:lpstr>タイトル</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Kyototono Psetono</cp:lastModifiedBy>
  <cp:revision>28</cp:revision>
  <cp:lastPrinted>2015-05-12T18:31:00Z</cp:lastPrinted>
  <dcterms:created xsi:type="dcterms:W3CDTF">2022-09-21T08:52:00Z</dcterms:created>
  <dcterms:modified xsi:type="dcterms:W3CDTF">2023-04-14T14:51:00Z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