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Picture 1"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Picture 2"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19D04457" w:rsidR="00E978D0" w:rsidRPr="00B57B36" w:rsidRDefault="6177B1DC" w:rsidP="00E978D0">
      <w:pPr>
        <w:pStyle w:val="CETTitle"/>
      </w:pPr>
      <w:r>
        <w:t>Ductile Breakup of Tracer Aggregates in Homogenous Isotropic Turbulence</w:t>
      </w:r>
    </w:p>
    <w:p w14:paraId="0488FED2" w14:textId="528018B1" w:rsidR="00B57E6F" w:rsidRPr="002A6E4D" w:rsidRDefault="4B38E6B3" w:rsidP="5D879143">
      <w:pPr>
        <w:pStyle w:val="CETAuthors"/>
        <w:rPr>
          <w:lang w:val="it-IT"/>
        </w:rPr>
      </w:pPr>
      <w:r w:rsidRPr="002A6E4D">
        <w:rPr>
          <w:lang w:val="it-IT"/>
        </w:rPr>
        <w:t>Graziano Frungieri</w:t>
      </w:r>
      <w:r w:rsidR="00B57E6F" w:rsidRPr="002A6E4D">
        <w:rPr>
          <w:vertAlign w:val="superscript"/>
          <w:lang w:val="it-IT"/>
        </w:rPr>
        <w:t>a</w:t>
      </w:r>
      <w:r w:rsidR="1C4E22FB" w:rsidRPr="002A6E4D">
        <w:rPr>
          <w:vertAlign w:val="superscript"/>
          <w:lang w:val="it-IT"/>
        </w:rPr>
        <w:t>,*</w:t>
      </w:r>
      <w:r w:rsidR="00B57E6F" w:rsidRPr="002A6E4D">
        <w:rPr>
          <w:lang w:val="it-IT"/>
        </w:rPr>
        <w:t xml:space="preserve">, </w:t>
      </w:r>
      <w:r w:rsidR="3D3525FE" w:rsidRPr="002A6E4D">
        <w:rPr>
          <w:lang w:val="it-IT"/>
        </w:rPr>
        <w:t>Matth</w:t>
      </w:r>
      <w:r w:rsidR="004C623B" w:rsidRPr="004C623B">
        <w:rPr>
          <w:lang w:val="it-IT"/>
        </w:rPr>
        <w:t>ä</w:t>
      </w:r>
      <w:r w:rsidR="3D3525FE" w:rsidRPr="002A6E4D">
        <w:rPr>
          <w:lang w:val="it-IT"/>
        </w:rPr>
        <w:t>us U. B</w:t>
      </w:r>
      <w:r w:rsidR="004C623B" w:rsidRPr="004C623B">
        <w:rPr>
          <w:lang w:val="it-IT"/>
        </w:rPr>
        <w:t>ä</w:t>
      </w:r>
      <w:r w:rsidR="3D3525FE" w:rsidRPr="002A6E4D">
        <w:rPr>
          <w:lang w:val="it-IT"/>
        </w:rPr>
        <w:t>bler</w:t>
      </w:r>
      <w:r w:rsidR="00B57E6F" w:rsidRPr="002A6E4D">
        <w:rPr>
          <w:vertAlign w:val="superscript"/>
          <w:lang w:val="it-IT"/>
        </w:rPr>
        <w:t>b</w:t>
      </w:r>
      <w:r w:rsidR="00B57E6F" w:rsidRPr="002A6E4D">
        <w:rPr>
          <w:lang w:val="it-IT"/>
        </w:rPr>
        <w:t xml:space="preserve">, </w:t>
      </w:r>
      <w:r w:rsidR="67DCF3E1" w:rsidRPr="002A6E4D">
        <w:rPr>
          <w:lang w:val="it-IT"/>
        </w:rPr>
        <w:t>Luca Biferale</w:t>
      </w:r>
      <w:r w:rsidR="67DCF3E1" w:rsidRPr="002A6E4D">
        <w:rPr>
          <w:vertAlign w:val="superscript"/>
          <w:lang w:val="it-IT"/>
        </w:rPr>
        <w:t>c</w:t>
      </w:r>
      <w:r w:rsidR="67DCF3E1" w:rsidRPr="002A6E4D">
        <w:rPr>
          <w:lang w:val="it-IT"/>
        </w:rPr>
        <w:t>, Alessandra S. Lanotte</w:t>
      </w:r>
      <w:r w:rsidR="67DCF3E1" w:rsidRPr="002A6E4D">
        <w:rPr>
          <w:vertAlign w:val="superscript"/>
          <w:lang w:val="it-IT"/>
        </w:rPr>
        <w:t>d</w:t>
      </w:r>
    </w:p>
    <w:p w14:paraId="6B2D21B3" w14:textId="157EAC48" w:rsidR="00B57E6F" w:rsidRPr="00B57B36" w:rsidRDefault="0D09FA8A" w:rsidP="00B57E6F">
      <w:pPr>
        <w:pStyle w:val="CETAddress"/>
      </w:pPr>
      <w:r w:rsidRPr="5D879143">
        <w:rPr>
          <w:vertAlign w:val="superscript"/>
        </w:rPr>
        <w:t>a</w:t>
      </w:r>
      <w:r w:rsidR="001A2938">
        <w:t>Department of Applied Science and Technology</w:t>
      </w:r>
      <w:r w:rsidR="00B57E6F">
        <w:t xml:space="preserve">, </w:t>
      </w:r>
      <w:r w:rsidR="216E8D4B">
        <w:t>Politecnico di Torino, Torino, Italy</w:t>
      </w:r>
      <w:r w:rsidR="00B57E6F">
        <w:t xml:space="preserve"> </w:t>
      </w:r>
    </w:p>
    <w:p w14:paraId="0555D238" w14:textId="4C48498F" w:rsidR="00B57E6F" w:rsidRPr="00B57B36" w:rsidRDefault="1FB98B94" w:rsidP="5D879143">
      <w:pPr>
        <w:pStyle w:val="CETAddress"/>
      </w:pPr>
      <w:r w:rsidRPr="5D879143">
        <w:rPr>
          <w:vertAlign w:val="superscript"/>
        </w:rPr>
        <w:t>b</w:t>
      </w:r>
      <w:r w:rsidRPr="5D879143">
        <w:t>Department of Chemical Engineering, KTH Royal Institute of Technology, Stockholm, Sweden</w:t>
      </w:r>
    </w:p>
    <w:p w14:paraId="40CEB0B8" w14:textId="0AD78D89" w:rsidR="00B57E6F" w:rsidRPr="00B57B36" w:rsidRDefault="1FB98B94" w:rsidP="5D879143">
      <w:pPr>
        <w:pStyle w:val="CETAddress"/>
      </w:pPr>
      <w:r w:rsidRPr="5D879143">
        <w:rPr>
          <w:vertAlign w:val="superscript"/>
        </w:rPr>
        <w:t>c</w:t>
      </w:r>
      <w:r w:rsidRPr="5D879143">
        <w:t>Department of Physics and INFN, University of Tor Vergata, Rome, Italy</w:t>
      </w:r>
    </w:p>
    <w:p w14:paraId="1863C125" w14:textId="08347BA5" w:rsidR="00B57E6F" w:rsidRPr="002A6E4D" w:rsidRDefault="1FB98B94" w:rsidP="5D879143">
      <w:pPr>
        <w:pStyle w:val="CETAddress"/>
        <w:rPr>
          <w:lang w:val="it-IT"/>
        </w:rPr>
      </w:pPr>
      <w:r w:rsidRPr="5D879143">
        <w:rPr>
          <w:vertAlign w:val="superscript"/>
        </w:rPr>
        <w:t>d</w:t>
      </w:r>
      <w:r w:rsidRPr="5D879143">
        <w:t xml:space="preserve">CNR NANOTEC and INFN, Sez. </w:t>
      </w:r>
      <w:r w:rsidRPr="002A6E4D">
        <w:rPr>
          <w:lang w:val="it-IT"/>
        </w:rPr>
        <w:t>Lecce, Lecce, Italy</w:t>
      </w:r>
    </w:p>
    <w:p w14:paraId="73F1267A" w14:textId="1A16DFFD" w:rsidR="00B57E6F" w:rsidRPr="002A6E4D" w:rsidRDefault="1FB98B94" w:rsidP="5D879143">
      <w:pPr>
        <w:pStyle w:val="CETAddress"/>
        <w:rPr>
          <w:lang w:val="it-IT"/>
        </w:rPr>
      </w:pPr>
      <w:r w:rsidRPr="002A6E4D">
        <w:rPr>
          <w:lang w:val="it-IT"/>
        </w:rPr>
        <w:t xml:space="preserve"> </w:t>
      </w:r>
      <w:r w:rsidR="00B57E6F" w:rsidRPr="002A6E4D">
        <w:rPr>
          <w:lang w:val="it-IT"/>
        </w:rPr>
        <w:t xml:space="preserve"> </w:t>
      </w:r>
      <w:r w:rsidR="07ABC86A" w:rsidRPr="002A6E4D">
        <w:rPr>
          <w:lang w:val="it-IT"/>
        </w:rPr>
        <w:t>graziano.frungieri@polito.it</w:t>
      </w:r>
    </w:p>
    <w:p w14:paraId="2ED34BE3" w14:textId="3928E961" w:rsidR="5D879143" w:rsidRPr="002A6E4D" w:rsidRDefault="5D879143" w:rsidP="5D879143">
      <w:pPr>
        <w:pStyle w:val="CETAddress"/>
        <w:rPr>
          <w:lang w:val="it-IT"/>
        </w:rPr>
      </w:pPr>
    </w:p>
    <w:p w14:paraId="18F120C4" w14:textId="094563BA" w:rsidR="01835C1D" w:rsidRDefault="01835C1D" w:rsidP="131D62C6">
      <w:pPr>
        <w:pStyle w:val="CETBodytext"/>
        <w:rPr>
          <w:lang w:val="en-GB"/>
        </w:rPr>
      </w:pPr>
      <w:r w:rsidRPr="0680406C">
        <w:rPr>
          <w:lang w:val="en-GB"/>
        </w:rPr>
        <w:t xml:space="preserve">In this </w:t>
      </w:r>
      <w:r w:rsidR="5FB3DE9E" w:rsidRPr="0680406C">
        <w:rPr>
          <w:lang w:val="en-GB"/>
        </w:rPr>
        <w:t>paper</w:t>
      </w:r>
      <w:r w:rsidR="52AF07CB" w:rsidRPr="0680406C">
        <w:rPr>
          <w:lang w:val="en-GB"/>
        </w:rPr>
        <w:t xml:space="preserve"> </w:t>
      </w:r>
      <w:r w:rsidRPr="0680406C">
        <w:rPr>
          <w:lang w:val="en-GB"/>
        </w:rPr>
        <w:t>we stud</w:t>
      </w:r>
      <w:r w:rsidR="72EEA6CE" w:rsidRPr="0680406C">
        <w:rPr>
          <w:lang w:val="en-GB"/>
        </w:rPr>
        <w:t>y</w:t>
      </w:r>
      <w:r w:rsidRPr="0680406C">
        <w:rPr>
          <w:lang w:val="en-GB"/>
        </w:rPr>
        <w:t xml:space="preserve"> t</w:t>
      </w:r>
      <w:r w:rsidR="0E32C8B4" w:rsidRPr="0680406C">
        <w:rPr>
          <w:lang w:val="en-GB"/>
        </w:rPr>
        <w:t xml:space="preserve">he </w:t>
      </w:r>
      <w:r w:rsidR="3C360980" w:rsidRPr="0680406C">
        <w:rPr>
          <w:lang w:val="en-GB"/>
        </w:rPr>
        <w:t xml:space="preserve">ductile </w:t>
      </w:r>
      <w:r w:rsidR="0E32C8B4" w:rsidRPr="0680406C">
        <w:rPr>
          <w:lang w:val="en-GB"/>
        </w:rPr>
        <w:t xml:space="preserve">breakup of </w:t>
      </w:r>
      <w:r w:rsidR="6037C3FF" w:rsidRPr="0680406C">
        <w:rPr>
          <w:lang w:val="en-GB"/>
        </w:rPr>
        <w:t>tracer</w:t>
      </w:r>
      <w:r w:rsidR="0E32C8B4" w:rsidRPr="0680406C">
        <w:rPr>
          <w:lang w:val="en-GB"/>
        </w:rPr>
        <w:t xml:space="preserve"> aggregates in an incompressible, </w:t>
      </w:r>
      <w:r w:rsidR="37F146B5" w:rsidRPr="0680406C">
        <w:rPr>
          <w:lang w:val="en-GB"/>
        </w:rPr>
        <w:t>homogeneous,</w:t>
      </w:r>
      <w:r w:rsidR="0E32C8B4" w:rsidRPr="0680406C">
        <w:rPr>
          <w:lang w:val="en-GB"/>
        </w:rPr>
        <w:t xml:space="preserve"> and isotropic three-dimensional</w:t>
      </w:r>
      <w:r w:rsidR="14EB8286" w:rsidRPr="0680406C">
        <w:rPr>
          <w:lang w:val="en-GB"/>
        </w:rPr>
        <w:t xml:space="preserve"> </w:t>
      </w:r>
      <w:r w:rsidR="0E32C8B4" w:rsidRPr="0680406C">
        <w:rPr>
          <w:lang w:val="en-GB"/>
        </w:rPr>
        <w:t>turbulent flow</w:t>
      </w:r>
      <w:r w:rsidR="11602D73" w:rsidRPr="0680406C">
        <w:rPr>
          <w:lang w:val="en-GB"/>
        </w:rPr>
        <w:t xml:space="preserve">. </w:t>
      </w:r>
      <w:r w:rsidR="1FF08E39" w:rsidRPr="0680406C">
        <w:rPr>
          <w:lang w:val="en-GB"/>
        </w:rPr>
        <w:t>The flow</w:t>
      </w:r>
      <w:r w:rsidR="0E32C8B4" w:rsidRPr="0680406C">
        <w:rPr>
          <w:lang w:val="en-GB"/>
        </w:rPr>
        <w:t xml:space="preserve"> </w:t>
      </w:r>
      <w:r w:rsidR="26EE31FA" w:rsidRPr="0680406C">
        <w:rPr>
          <w:lang w:val="en-GB"/>
        </w:rPr>
        <w:t xml:space="preserve">dynamics </w:t>
      </w:r>
      <w:r w:rsidR="0E32C8B4" w:rsidRPr="0680406C">
        <w:rPr>
          <w:lang w:val="en-GB"/>
        </w:rPr>
        <w:t xml:space="preserve">is studied by means of a direct numerical simulation, </w:t>
      </w:r>
      <w:r w:rsidR="727729E5" w:rsidRPr="0680406C">
        <w:rPr>
          <w:lang w:val="en-GB"/>
        </w:rPr>
        <w:t xml:space="preserve">whereas the </w:t>
      </w:r>
      <w:proofErr w:type="spellStart"/>
      <w:r w:rsidR="5C8C0204" w:rsidRPr="0680406C">
        <w:rPr>
          <w:lang w:val="en-GB"/>
        </w:rPr>
        <w:t>Lagrangian</w:t>
      </w:r>
      <w:proofErr w:type="spellEnd"/>
      <w:r w:rsidR="5C8C0204" w:rsidRPr="0680406C">
        <w:rPr>
          <w:lang w:val="en-GB"/>
        </w:rPr>
        <w:t xml:space="preserve"> velocities </w:t>
      </w:r>
      <w:r w:rsidR="4C5E2C8C" w:rsidRPr="0680406C">
        <w:rPr>
          <w:lang w:val="en-GB"/>
        </w:rPr>
        <w:t xml:space="preserve">and stress statistics </w:t>
      </w:r>
      <w:r w:rsidR="6BFB4520" w:rsidRPr="0680406C">
        <w:rPr>
          <w:lang w:val="en-GB"/>
        </w:rPr>
        <w:t xml:space="preserve">along trajectories </w:t>
      </w:r>
      <w:r w:rsidR="727729E5" w:rsidRPr="0680406C">
        <w:rPr>
          <w:lang w:val="en-GB"/>
        </w:rPr>
        <w:t xml:space="preserve">are obtained </w:t>
      </w:r>
      <w:r w:rsidR="0E32C8B4" w:rsidRPr="0680406C">
        <w:rPr>
          <w:lang w:val="en-GB"/>
        </w:rPr>
        <w:t xml:space="preserve">by </w:t>
      </w:r>
      <w:r w:rsidR="57EC4D45" w:rsidRPr="0680406C">
        <w:rPr>
          <w:lang w:val="en-GB"/>
        </w:rPr>
        <w:t>particle</w:t>
      </w:r>
      <w:r w:rsidR="0E32C8B4" w:rsidRPr="0680406C">
        <w:rPr>
          <w:lang w:val="en-GB"/>
        </w:rPr>
        <w:t xml:space="preserve"> tracking</w:t>
      </w:r>
      <w:r w:rsidR="49B96EE0" w:rsidRPr="0680406C">
        <w:rPr>
          <w:lang w:val="en-GB"/>
        </w:rPr>
        <w:t xml:space="preserve">. </w:t>
      </w:r>
      <w:r w:rsidR="25862E86" w:rsidRPr="0680406C">
        <w:rPr>
          <w:lang w:val="en-GB"/>
        </w:rPr>
        <w:t>We investigate the breakup dynamics under the hypothesis that aggregates are</w:t>
      </w:r>
      <w:r w:rsidR="219A9409" w:rsidRPr="0680406C">
        <w:rPr>
          <w:lang w:val="en-GB"/>
        </w:rPr>
        <w:t xml:space="preserve"> able</w:t>
      </w:r>
      <w:r w:rsidR="25862E86" w:rsidRPr="0680406C">
        <w:rPr>
          <w:lang w:val="en-GB"/>
        </w:rPr>
        <w:t xml:space="preserve"> to deform</w:t>
      </w:r>
      <w:r w:rsidR="000F02B8" w:rsidRPr="0680406C">
        <w:rPr>
          <w:lang w:val="en-GB"/>
        </w:rPr>
        <w:t xml:space="preserve"> and accumulate energy. Within this framework</w:t>
      </w:r>
      <w:r w:rsidR="2F9579F7" w:rsidRPr="0680406C">
        <w:rPr>
          <w:lang w:val="en-GB"/>
        </w:rPr>
        <w:t>,</w:t>
      </w:r>
      <w:r w:rsidR="000F02B8" w:rsidRPr="0680406C">
        <w:rPr>
          <w:lang w:val="en-GB"/>
        </w:rPr>
        <w:t xml:space="preserve"> b</w:t>
      </w:r>
      <w:r w:rsidR="25862E86" w:rsidRPr="0680406C">
        <w:rPr>
          <w:lang w:val="en-GB"/>
        </w:rPr>
        <w:t xml:space="preserve">reakup occurs </w:t>
      </w:r>
      <w:r w:rsidR="2DA15432" w:rsidRPr="0680406C">
        <w:rPr>
          <w:lang w:val="en-GB"/>
        </w:rPr>
        <w:t>when the energy</w:t>
      </w:r>
      <w:r w:rsidR="000F02B8" w:rsidRPr="0680406C">
        <w:rPr>
          <w:lang w:val="en-GB"/>
        </w:rPr>
        <w:t xml:space="preserve"> </w:t>
      </w:r>
      <w:r w:rsidR="2DA15432" w:rsidRPr="0680406C">
        <w:rPr>
          <w:lang w:val="en-GB"/>
        </w:rPr>
        <w:t xml:space="preserve">transferred </w:t>
      </w:r>
      <w:r w:rsidR="000F02B8" w:rsidRPr="0680406C">
        <w:rPr>
          <w:lang w:val="en-GB"/>
        </w:rPr>
        <w:t xml:space="preserve">to the aggregate </w:t>
      </w:r>
      <w:r w:rsidR="2DA15432" w:rsidRPr="0680406C">
        <w:rPr>
          <w:lang w:val="en-GB"/>
        </w:rPr>
        <w:t xml:space="preserve">by the flow </w:t>
      </w:r>
      <w:r w:rsidR="2F3D2493" w:rsidRPr="0680406C">
        <w:rPr>
          <w:lang w:val="en-GB"/>
        </w:rPr>
        <w:t xml:space="preserve">exceeds a critical </w:t>
      </w:r>
      <w:r w:rsidR="000F02B8" w:rsidRPr="0680406C">
        <w:rPr>
          <w:lang w:val="en-GB"/>
        </w:rPr>
        <w:t>value</w:t>
      </w:r>
      <w:r w:rsidR="2F3D2493" w:rsidRPr="0680406C">
        <w:rPr>
          <w:lang w:val="en-GB"/>
        </w:rPr>
        <w:t xml:space="preserve">. We contrast our predictions </w:t>
      </w:r>
      <w:r w:rsidR="58E88E61" w:rsidRPr="0680406C">
        <w:rPr>
          <w:lang w:val="en-GB"/>
        </w:rPr>
        <w:t xml:space="preserve">for ductile breakup </w:t>
      </w:r>
      <w:r w:rsidR="2F3D2493" w:rsidRPr="0680406C">
        <w:rPr>
          <w:lang w:val="en-GB"/>
        </w:rPr>
        <w:t xml:space="preserve">with </w:t>
      </w:r>
      <w:r w:rsidR="0FEB3B27" w:rsidRPr="0680406C">
        <w:rPr>
          <w:lang w:val="en-GB"/>
        </w:rPr>
        <w:t>those obtained for</w:t>
      </w:r>
      <w:r w:rsidR="2F3D2493" w:rsidRPr="0680406C">
        <w:rPr>
          <w:lang w:val="en-GB"/>
        </w:rPr>
        <w:t xml:space="preserve"> brittle breakup</w:t>
      </w:r>
      <w:r w:rsidR="000F02B8" w:rsidRPr="0680406C">
        <w:rPr>
          <w:lang w:val="en-GB"/>
        </w:rPr>
        <w:t>. We</w:t>
      </w:r>
      <w:r w:rsidR="5BCA5863" w:rsidRPr="0680406C">
        <w:rPr>
          <w:lang w:val="en-GB"/>
        </w:rPr>
        <w:t xml:space="preserve"> observ</w:t>
      </w:r>
      <w:r w:rsidR="000F02B8" w:rsidRPr="0680406C">
        <w:rPr>
          <w:lang w:val="en-GB"/>
        </w:rPr>
        <w:t>e</w:t>
      </w:r>
      <w:r w:rsidR="5BCA5863" w:rsidRPr="0680406C">
        <w:rPr>
          <w:lang w:val="en-GB"/>
        </w:rPr>
        <w:t xml:space="preserve"> that</w:t>
      </w:r>
      <w:r w:rsidR="2CB206E7" w:rsidRPr="0680406C">
        <w:rPr>
          <w:lang w:val="en-GB"/>
        </w:rPr>
        <w:t xml:space="preserve"> </w:t>
      </w:r>
      <w:r w:rsidR="3CC85D82" w:rsidRPr="0680406C">
        <w:rPr>
          <w:lang w:val="en-GB"/>
        </w:rPr>
        <w:t xml:space="preserve">turbulence intermittency is </w:t>
      </w:r>
      <w:r w:rsidR="3BF66A83" w:rsidRPr="0680406C">
        <w:rPr>
          <w:lang w:val="en-GB"/>
        </w:rPr>
        <w:t>crucial</w:t>
      </w:r>
      <w:r w:rsidR="3CC85D82" w:rsidRPr="0680406C">
        <w:rPr>
          <w:lang w:val="en-GB"/>
        </w:rPr>
        <w:t xml:space="preserve"> for the </w:t>
      </w:r>
      <w:r w:rsidR="2B0E7BD1" w:rsidRPr="0680406C">
        <w:rPr>
          <w:lang w:val="en-GB"/>
        </w:rPr>
        <w:t>breakup</w:t>
      </w:r>
      <w:r w:rsidR="3CC85D82" w:rsidRPr="0680406C">
        <w:rPr>
          <w:lang w:val="en-GB"/>
        </w:rPr>
        <w:t xml:space="preserve"> </w:t>
      </w:r>
      <w:r w:rsidR="0D7A32BA" w:rsidRPr="0680406C">
        <w:rPr>
          <w:lang w:val="en-GB"/>
        </w:rPr>
        <w:t xml:space="preserve">of </w:t>
      </w:r>
      <w:r w:rsidR="000F02B8" w:rsidRPr="0680406C">
        <w:rPr>
          <w:lang w:val="en-GB"/>
        </w:rPr>
        <w:t>brittle</w:t>
      </w:r>
      <w:r w:rsidR="3A5A9A22" w:rsidRPr="0680406C">
        <w:rPr>
          <w:lang w:val="en-GB"/>
        </w:rPr>
        <w:t xml:space="preserve"> </w:t>
      </w:r>
      <w:r w:rsidR="3CC85D82" w:rsidRPr="0680406C">
        <w:rPr>
          <w:lang w:val="en-GB"/>
        </w:rPr>
        <w:t>aggregates</w:t>
      </w:r>
      <w:r w:rsidR="29B315B5" w:rsidRPr="0680406C">
        <w:rPr>
          <w:lang w:val="en-GB"/>
        </w:rPr>
        <w:t>,</w:t>
      </w:r>
      <w:r w:rsidR="000F02B8" w:rsidRPr="0680406C">
        <w:rPr>
          <w:lang w:val="en-GB"/>
        </w:rPr>
        <w:t xml:space="preserve"> while it</w:t>
      </w:r>
      <w:r w:rsidR="25685D9E" w:rsidRPr="0680406C">
        <w:rPr>
          <w:lang w:val="en-GB"/>
        </w:rPr>
        <w:t xml:space="preserve"> becomes less relevant </w:t>
      </w:r>
      <w:r w:rsidR="7039D662" w:rsidRPr="0680406C">
        <w:rPr>
          <w:lang w:val="en-GB"/>
        </w:rPr>
        <w:t>for</w:t>
      </w:r>
      <w:r w:rsidR="25685D9E" w:rsidRPr="0680406C">
        <w:rPr>
          <w:lang w:val="en-GB"/>
        </w:rPr>
        <w:t xml:space="preserve"> </w:t>
      </w:r>
      <w:r w:rsidR="000F02B8" w:rsidRPr="0680406C">
        <w:rPr>
          <w:lang w:val="en-GB"/>
        </w:rPr>
        <w:t xml:space="preserve">ductile </w:t>
      </w:r>
      <w:r w:rsidR="25685D9E" w:rsidRPr="0680406C">
        <w:rPr>
          <w:lang w:val="en-GB"/>
        </w:rPr>
        <w:t>aggregates</w:t>
      </w:r>
      <w:r w:rsidR="008060EC" w:rsidRPr="0680406C">
        <w:rPr>
          <w:lang w:val="en-GB"/>
        </w:rPr>
        <w:t xml:space="preserve">. In the limit of highly ductile aggregates </w:t>
      </w:r>
      <w:r w:rsidR="266CE7FF" w:rsidRPr="0680406C">
        <w:rPr>
          <w:lang w:val="en-GB"/>
        </w:rPr>
        <w:t xml:space="preserve">the breakup </w:t>
      </w:r>
      <w:r w:rsidR="7D832006" w:rsidRPr="0680406C">
        <w:rPr>
          <w:lang w:val="en-GB"/>
        </w:rPr>
        <w:t xml:space="preserve">rate </w:t>
      </w:r>
      <w:r w:rsidR="266CE7FF" w:rsidRPr="0680406C">
        <w:rPr>
          <w:lang w:val="en-GB"/>
        </w:rPr>
        <w:t>is dictated</w:t>
      </w:r>
      <w:r w:rsidR="3A577E41" w:rsidRPr="0680406C">
        <w:rPr>
          <w:lang w:val="en-GB"/>
        </w:rPr>
        <w:t xml:space="preserve"> </w:t>
      </w:r>
      <w:r w:rsidR="047B5DE2" w:rsidRPr="0680406C">
        <w:rPr>
          <w:lang w:val="en-GB"/>
        </w:rPr>
        <w:t>by the mean properties of the flow</w:t>
      </w:r>
      <w:r w:rsidR="340C8A2C" w:rsidRPr="0680406C">
        <w:rPr>
          <w:lang w:val="en-GB"/>
        </w:rPr>
        <w:t xml:space="preserve">. </w:t>
      </w:r>
      <w:r w:rsidR="008060EC" w:rsidRPr="0680406C">
        <w:rPr>
          <w:lang w:val="en-GB"/>
        </w:rPr>
        <w:t>We propose a simple model to capture this behavio</w:t>
      </w:r>
      <w:r w:rsidR="00B40A48">
        <w:rPr>
          <w:lang w:val="en-GB"/>
        </w:rPr>
        <w:t>u</w:t>
      </w:r>
      <w:r w:rsidR="008060EC" w:rsidRPr="0680406C">
        <w:rPr>
          <w:lang w:val="en-GB"/>
        </w:rPr>
        <w:t>r.</w:t>
      </w:r>
    </w:p>
    <w:p w14:paraId="476B2F2E" w14:textId="77777777" w:rsidR="00600535" w:rsidRPr="00B57B36" w:rsidRDefault="00600535" w:rsidP="00600535">
      <w:pPr>
        <w:pStyle w:val="CETHeading1"/>
        <w:rPr>
          <w:lang w:val="en-GB"/>
        </w:rPr>
      </w:pPr>
      <w:r w:rsidRPr="5D879143">
        <w:rPr>
          <w:lang w:val="en-GB"/>
        </w:rPr>
        <w:t>Introduction</w:t>
      </w:r>
    </w:p>
    <w:p w14:paraId="6FDA5B88" w14:textId="4D41C9C3" w:rsidR="4FAE24C7" w:rsidRDefault="4FAE24C7" w:rsidP="131D62C6">
      <w:pPr>
        <w:pStyle w:val="CETBodytext"/>
        <w:rPr>
          <w:lang w:val="en-GB"/>
        </w:rPr>
      </w:pPr>
      <w:r w:rsidRPr="0680406C">
        <w:rPr>
          <w:lang w:val="en-GB"/>
        </w:rPr>
        <w:t xml:space="preserve">The fragmentation of particle aggregates in a fluid flow is a phenomenon of </w:t>
      </w:r>
      <w:r w:rsidR="004F32C7" w:rsidRPr="0680406C">
        <w:rPr>
          <w:lang w:val="en-GB"/>
        </w:rPr>
        <w:t xml:space="preserve">broad </w:t>
      </w:r>
      <w:r w:rsidRPr="0680406C">
        <w:rPr>
          <w:lang w:val="en-GB"/>
        </w:rPr>
        <w:t xml:space="preserve">interest </w:t>
      </w:r>
      <w:r w:rsidR="004F32C7" w:rsidRPr="0680406C">
        <w:rPr>
          <w:lang w:val="en-GB"/>
        </w:rPr>
        <w:t xml:space="preserve">in physical, chemical and environmental problems, including </w:t>
      </w:r>
      <w:r w:rsidRPr="0680406C">
        <w:rPr>
          <w:lang w:val="en-GB"/>
        </w:rPr>
        <w:t>technological applications</w:t>
      </w:r>
      <w:r w:rsidR="004F32C7" w:rsidRPr="0680406C">
        <w:rPr>
          <w:lang w:val="en-GB"/>
        </w:rPr>
        <w:t xml:space="preserve"> such as the</w:t>
      </w:r>
      <w:r w:rsidRPr="0680406C">
        <w:rPr>
          <w:lang w:val="en-GB"/>
        </w:rPr>
        <w:t xml:space="preserve"> </w:t>
      </w:r>
      <w:r w:rsidR="004F32C7" w:rsidRPr="0680406C">
        <w:rPr>
          <w:lang w:val="en-GB"/>
        </w:rPr>
        <w:t>processing of materials in the</w:t>
      </w:r>
      <w:r w:rsidRPr="0680406C">
        <w:rPr>
          <w:lang w:val="en-GB"/>
        </w:rPr>
        <w:t xml:space="preserve"> food, </w:t>
      </w:r>
      <w:r w:rsidR="31675686" w:rsidRPr="0680406C">
        <w:rPr>
          <w:lang w:val="en-GB"/>
        </w:rPr>
        <w:t>pharmaceutical</w:t>
      </w:r>
      <w:r w:rsidRPr="0680406C">
        <w:rPr>
          <w:lang w:val="en-GB"/>
        </w:rPr>
        <w:t xml:space="preserve"> </w:t>
      </w:r>
      <w:r w:rsidR="004F32C7" w:rsidRPr="0680406C">
        <w:rPr>
          <w:lang w:val="en-GB"/>
        </w:rPr>
        <w:t>and</w:t>
      </w:r>
      <w:r w:rsidRPr="0680406C">
        <w:rPr>
          <w:lang w:val="en-GB"/>
        </w:rPr>
        <w:t xml:space="preserve"> </w:t>
      </w:r>
      <w:r w:rsidR="004F32C7" w:rsidRPr="0680406C">
        <w:rPr>
          <w:lang w:val="en-GB"/>
        </w:rPr>
        <w:t>composite industry</w:t>
      </w:r>
      <w:r w:rsidR="5FDE2A0F" w:rsidRPr="0680406C">
        <w:rPr>
          <w:lang w:val="en-GB"/>
        </w:rPr>
        <w:t xml:space="preserve"> </w:t>
      </w:r>
      <w:r w:rsidRPr="0680406C">
        <w:rPr>
          <w:lang w:val="en-GB"/>
        </w:rPr>
        <w:t xml:space="preserve">(Vasquez </w:t>
      </w:r>
      <w:r w:rsidR="0453C48F" w:rsidRPr="0680406C">
        <w:rPr>
          <w:lang w:val="en-GB"/>
        </w:rPr>
        <w:t>et al.</w:t>
      </w:r>
      <w:r w:rsidR="4C8A0D87" w:rsidRPr="0680406C">
        <w:rPr>
          <w:lang w:val="en-GB"/>
        </w:rPr>
        <w:t>,</w:t>
      </w:r>
      <w:r w:rsidR="0453C48F" w:rsidRPr="0680406C">
        <w:rPr>
          <w:lang w:val="en-GB"/>
        </w:rPr>
        <w:t xml:space="preserve"> </w:t>
      </w:r>
      <w:r w:rsidRPr="0680406C">
        <w:rPr>
          <w:lang w:val="en-GB"/>
        </w:rPr>
        <w:t>2022</w:t>
      </w:r>
      <w:r w:rsidR="27BC324B" w:rsidRPr="0680406C">
        <w:rPr>
          <w:lang w:val="en-GB"/>
        </w:rPr>
        <w:t>;</w:t>
      </w:r>
      <w:r w:rsidR="314A4C9C" w:rsidRPr="0680406C">
        <w:rPr>
          <w:lang w:val="en-GB"/>
        </w:rPr>
        <w:t xml:space="preserve"> Vasquez</w:t>
      </w:r>
      <w:r w:rsidR="0C0C5BC5" w:rsidRPr="0680406C">
        <w:rPr>
          <w:lang w:val="en-GB"/>
        </w:rPr>
        <w:t xml:space="preserve"> et al.</w:t>
      </w:r>
      <w:r w:rsidR="0FB76530" w:rsidRPr="0680406C">
        <w:rPr>
          <w:lang w:val="en-GB"/>
        </w:rPr>
        <w:t>,</w:t>
      </w:r>
      <w:r w:rsidR="0C0C5BC5" w:rsidRPr="0680406C">
        <w:rPr>
          <w:lang w:val="en-GB"/>
        </w:rPr>
        <w:t xml:space="preserve"> </w:t>
      </w:r>
      <w:r w:rsidR="314A4C9C" w:rsidRPr="0680406C">
        <w:rPr>
          <w:lang w:val="en-GB"/>
        </w:rPr>
        <w:t>2023</w:t>
      </w:r>
      <w:r w:rsidRPr="0680406C">
        <w:rPr>
          <w:lang w:val="en-GB"/>
        </w:rPr>
        <w:t>)</w:t>
      </w:r>
      <w:r w:rsidR="004F32C7" w:rsidRPr="0680406C">
        <w:rPr>
          <w:lang w:val="en-GB"/>
        </w:rPr>
        <w:t xml:space="preserve"> or</w:t>
      </w:r>
      <w:r w:rsidR="444408E9" w:rsidRPr="0680406C">
        <w:rPr>
          <w:lang w:val="en-GB"/>
        </w:rPr>
        <w:t xml:space="preserve"> the</w:t>
      </w:r>
      <w:r w:rsidR="004F32C7" w:rsidRPr="0680406C">
        <w:rPr>
          <w:lang w:val="en-GB"/>
        </w:rPr>
        <w:t xml:space="preserve"> formation and destruction of particles in the ocean (</w:t>
      </w:r>
      <w:proofErr w:type="spellStart"/>
      <w:r w:rsidR="004F32C7" w:rsidRPr="0680406C">
        <w:rPr>
          <w:lang w:val="en-GB"/>
        </w:rPr>
        <w:t>Andrady</w:t>
      </w:r>
      <w:proofErr w:type="spellEnd"/>
      <w:r w:rsidR="5FB9933E" w:rsidRPr="0680406C">
        <w:rPr>
          <w:lang w:val="en-GB"/>
        </w:rPr>
        <w:t>,</w:t>
      </w:r>
      <w:r w:rsidR="004F32C7" w:rsidRPr="0680406C">
        <w:rPr>
          <w:lang w:val="en-GB"/>
        </w:rPr>
        <w:t xml:space="preserve"> 2017)</w:t>
      </w:r>
      <w:r w:rsidRPr="0680406C">
        <w:rPr>
          <w:lang w:val="en-GB"/>
        </w:rPr>
        <w:t xml:space="preserve">. </w:t>
      </w:r>
      <w:r w:rsidR="004F32C7" w:rsidRPr="0680406C">
        <w:rPr>
          <w:lang w:val="en-GB"/>
        </w:rPr>
        <w:t>For small aggregates</w:t>
      </w:r>
      <w:r w:rsidRPr="0680406C">
        <w:rPr>
          <w:lang w:val="en-GB"/>
        </w:rPr>
        <w:t xml:space="preserve">, </w:t>
      </w:r>
      <w:r w:rsidR="52F0A3EB" w:rsidRPr="0680406C">
        <w:rPr>
          <w:lang w:val="en-GB"/>
        </w:rPr>
        <w:t xml:space="preserve">breakup </w:t>
      </w:r>
      <w:r w:rsidRPr="0680406C">
        <w:rPr>
          <w:lang w:val="en-GB"/>
        </w:rPr>
        <w:t xml:space="preserve">is </w:t>
      </w:r>
      <w:r w:rsidR="6F2B7490" w:rsidRPr="0680406C">
        <w:rPr>
          <w:lang w:val="en-GB"/>
        </w:rPr>
        <w:t>caused</w:t>
      </w:r>
      <w:r w:rsidRPr="0680406C">
        <w:rPr>
          <w:lang w:val="en-GB"/>
        </w:rPr>
        <w:t xml:space="preserve"> by the hydrodynamical </w:t>
      </w:r>
      <w:r w:rsidR="1B15FEF9" w:rsidRPr="0680406C">
        <w:rPr>
          <w:lang w:val="en-GB"/>
        </w:rPr>
        <w:t xml:space="preserve">shear </w:t>
      </w:r>
      <w:r w:rsidRPr="0680406C">
        <w:rPr>
          <w:lang w:val="en-GB"/>
        </w:rPr>
        <w:t>stresses due to the flow motion</w:t>
      </w:r>
      <w:r w:rsidR="3DACC904" w:rsidRPr="0680406C">
        <w:rPr>
          <w:lang w:val="en-GB"/>
        </w:rPr>
        <w:t>,</w:t>
      </w:r>
      <w:r w:rsidRPr="0680406C">
        <w:rPr>
          <w:lang w:val="en-GB"/>
        </w:rPr>
        <w:t xml:space="preserve"> </w:t>
      </w:r>
      <w:r w:rsidR="63D6EA66" w:rsidRPr="0680406C">
        <w:rPr>
          <w:lang w:val="en-GB"/>
        </w:rPr>
        <w:t>and tr</w:t>
      </w:r>
      <w:r w:rsidRPr="0680406C">
        <w:rPr>
          <w:lang w:val="en-GB"/>
        </w:rPr>
        <w:t>aditionally</w:t>
      </w:r>
      <w:r w:rsidR="23FBCB73" w:rsidRPr="0680406C">
        <w:rPr>
          <w:lang w:val="en-GB"/>
        </w:rPr>
        <w:t xml:space="preserve"> it</w:t>
      </w:r>
      <w:r w:rsidR="5C1A3677" w:rsidRPr="0680406C">
        <w:rPr>
          <w:lang w:val="en-GB"/>
        </w:rPr>
        <w:t xml:space="preserve"> </w:t>
      </w:r>
      <w:r w:rsidRPr="0680406C">
        <w:rPr>
          <w:lang w:val="en-GB"/>
        </w:rPr>
        <w:t xml:space="preserve">has been assumed to </w:t>
      </w:r>
      <w:r w:rsidR="0195072E" w:rsidRPr="0680406C">
        <w:rPr>
          <w:lang w:val="en-GB"/>
        </w:rPr>
        <w:t xml:space="preserve">occur in a brittle manner, </w:t>
      </w:r>
      <w:r w:rsidR="6FDB257C" w:rsidRPr="0680406C">
        <w:rPr>
          <w:lang w:val="en-GB"/>
        </w:rPr>
        <w:t xml:space="preserve">i.e., to occur instantaneously </w:t>
      </w:r>
      <w:r w:rsidRPr="0680406C">
        <w:rPr>
          <w:lang w:val="en-GB"/>
        </w:rPr>
        <w:t xml:space="preserve">as soon as the aggregate </w:t>
      </w:r>
      <w:r w:rsidR="7176F5DD" w:rsidRPr="0680406C">
        <w:rPr>
          <w:lang w:val="en-GB"/>
        </w:rPr>
        <w:t>happen to experience</w:t>
      </w:r>
      <w:r w:rsidRPr="0680406C">
        <w:rPr>
          <w:lang w:val="en-GB"/>
        </w:rPr>
        <w:t xml:space="preserve"> </w:t>
      </w:r>
      <w:r w:rsidR="1B2FFA48" w:rsidRPr="0680406C">
        <w:rPr>
          <w:lang w:val="en-GB"/>
        </w:rPr>
        <w:t xml:space="preserve">for the first time </w:t>
      </w:r>
      <w:r w:rsidRPr="0680406C">
        <w:rPr>
          <w:lang w:val="en-GB"/>
        </w:rPr>
        <w:t>a fluid dynamic stress exceeding its internal strength</w:t>
      </w:r>
      <w:r w:rsidR="7981F6D6" w:rsidRPr="0680406C">
        <w:rPr>
          <w:lang w:val="en-GB"/>
        </w:rPr>
        <w:t xml:space="preserve"> (Frungieri et al.</w:t>
      </w:r>
      <w:r w:rsidR="2AAB68E9" w:rsidRPr="0680406C">
        <w:rPr>
          <w:lang w:val="en-GB"/>
        </w:rPr>
        <w:t>,</w:t>
      </w:r>
      <w:r w:rsidR="7981F6D6" w:rsidRPr="0680406C">
        <w:rPr>
          <w:lang w:val="en-GB"/>
        </w:rPr>
        <w:t xml:space="preserve"> 2022)</w:t>
      </w:r>
      <w:r w:rsidR="6F92DE83" w:rsidRPr="0680406C">
        <w:rPr>
          <w:lang w:val="en-GB"/>
        </w:rPr>
        <w:t>.</w:t>
      </w:r>
      <w:r w:rsidRPr="0680406C">
        <w:rPr>
          <w:lang w:val="en-GB"/>
        </w:rPr>
        <w:t xml:space="preserve"> </w:t>
      </w:r>
    </w:p>
    <w:p w14:paraId="757EF760" w14:textId="59443E41" w:rsidR="4FAE24C7" w:rsidRDefault="321077D0" w:rsidP="131D62C6">
      <w:pPr>
        <w:pStyle w:val="CETBodytext"/>
        <w:rPr>
          <w:lang w:val="en-GB"/>
        </w:rPr>
      </w:pPr>
      <w:r w:rsidRPr="0680406C">
        <w:rPr>
          <w:lang w:val="en-GB"/>
        </w:rPr>
        <w:t>However</w:t>
      </w:r>
      <w:r w:rsidR="4FAE24C7" w:rsidRPr="0680406C">
        <w:rPr>
          <w:lang w:val="en-GB"/>
        </w:rPr>
        <w:t xml:space="preserve">, </w:t>
      </w:r>
      <w:r w:rsidR="44EC1A96" w:rsidRPr="0680406C">
        <w:rPr>
          <w:lang w:val="en-GB"/>
        </w:rPr>
        <w:t>depending on their internal structure</w:t>
      </w:r>
      <w:r w:rsidR="00CED840" w:rsidRPr="0680406C">
        <w:rPr>
          <w:lang w:val="en-GB"/>
        </w:rPr>
        <w:t xml:space="preserve"> and colloidal</w:t>
      </w:r>
      <w:r w:rsidR="10CEAA3C" w:rsidRPr="0680406C">
        <w:rPr>
          <w:lang w:val="en-GB"/>
        </w:rPr>
        <w:t xml:space="preserve"> particle-particle</w:t>
      </w:r>
      <w:r w:rsidR="00CED840" w:rsidRPr="0680406C">
        <w:rPr>
          <w:lang w:val="en-GB"/>
        </w:rPr>
        <w:t xml:space="preserve"> interactions</w:t>
      </w:r>
      <w:r w:rsidR="1777ED5F" w:rsidRPr="0680406C">
        <w:rPr>
          <w:lang w:val="en-GB"/>
        </w:rPr>
        <w:t xml:space="preserve"> (Frungieri </w:t>
      </w:r>
      <w:r w:rsidR="443DDDF7" w:rsidRPr="0680406C">
        <w:rPr>
          <w:lang w:val="en-GB"/>
        </w:rPr>
        <w:t xml:space="preserve">and </w:t>
      </w:r>
      <w:proofErr w:type="spellStart"/>
      <w:r w:rsidR="443DDDF7" w:rsidRPr="0680406C">
        <w:rPr>
          <w:lang w:val="en-GB"/>
        </w:rPr>
        <w:t>Vanni</w:t>
      </w:r>
      <w:proofErr w:type="spellEnd"/>
      <w:r w:rsidR="1777ED5F" w:rsidRPr="0680406C">
        <w:rPr>
          <w:lang w:val="en-GB"/>
        </w:rPr>
        <w:t>, 2021)</w:t>
      </w:r>
      <w:r w:rsidR="4A517D14" w:rsidRPr="0680406C">
        <w:rPr>
          <w:lang w:val="en-GB"/>
        </w:rPr>
        <w:t>,</w:t>
      </w:r>
      <w:r w:rsidR="44EC1A96" w:rsidRPr="0680406C">
        <w:rPr>
          <w:lang w:val="en-GB"/>
        </w:rPr>
        <w:t xml:space="preserve"> </w:t>
      </w:r>
      <w:r w:rsidR="004F32C7" w:rsidRPr="0680406C">
        <w:rPr>
          <w:lang w:val="en-GB"/>
        </w:rPr>
        <w:t>aggregate</w:t>
      </w:r>
      <w:r w:rsidR="00766D36" w:rsidRPr="0680406C">
        <w:rPr>
          <w:lang w:val="en-GB"/>
        </w:rPr>
        <w:t>s</w:t>
      </w:r>
      <w:r w:rsidR="004F32C7" w:rsidRPr="0680406C">
        <w:rPr>
          <w:lang w:val="en-GB"/>
        </w:rPr>
        <w:t xml:space="preserve"> are </w:t>
      </w:r>
      <w:r w:rsidR="44EC1A96" w:rsidRPr="0680406C">
        <w:rPr>
          <w:lang w:val="en-GB"/>
        </w:rPr>
        <w:t xml:space="preserve">expected </w:t>
      </w:r>
      <w:r w:rsidR="00B40A48">
        <w:rPr>
          <w:lang w:val="en-GB"/>
        </w:rPr>
        <w:t xml:space="preserve">also </w:t>
      </w:r>
      <w:r w:rsidR="44EC1A96" w:rsidRPr="0680406C">
        <w:rPr>
          <w:lang w:val="en-GB"/>
        </w:rPr>
        <w:t xml:space="preserve">to be able to </w:t>
      </w:r>
      <w:r w:rsidR="4FAE24C7" w:rsidRPr="0680406C">
        <w:rPr>
          <w:lang w:val="en-GB"/>
        </w:rPr>
        <w:t xml:space="preserve">undergo ductile breakup, </w:t>
      </w:r>
      <w:r w:rsidR="3F28E6EE" w:rsidRPr="0680406C">
        <w:rPr>
          <w:lang w:val="en-GB"/>
        </w:rPr>
        <w:t>i.e.,</w:t>
      </w:r>
      <w:r w:rsidR="4FAE24C7" w:rsidRPr="0680406C">
        <w:rPr>
          <w:lang w:val="en-GB"/>
        </w:rPr>
        <w:t xml:space="preserve"> to </w:t>
      </w:r>
      <w:r w:rsidR="4B52B0FA" w:rsidRPr="0680406C">
        <w:rPr>
          <w:lang w:val="en-GB"/>
        </w:rPr>
        <w:t xml:space="preserve">store </w:t>
      </w:r>
      <w:r w:rsidR="2AA52393" w:rsidRPr="0680406C">
        <w:rPr>
          <w:lang w:val="en-GB"/>
        </w:rPr>
        <w:t xml:space="preserve">the </w:t>
      </w:r>
      <w:r w:rsidR="4B52B0FA" w:rsidRPr="0680406C">
        <w:rPr>
          <w:lang w:val="en-GB"/>
        </w:rPr>
        <w:t xml:space="preserve">energy transmitted by the fluid stress </w:t>
      </w:r>
      <w:r w:rsidR="41340DAD" w:rsidRPr="0680406C">
        <w:rPr>
          <w:lang w:val="en-GB"/>
        </w:rPr>
        <w:t>in internal</w:t>
      </w:r>
      <w:r w:rsidR="2DACE49C" w:rsidRPr="0680406C">
        <w:rPr>
          <w:lang w:val="en-GB"/>
        </w:rPr>
        <w:t xml:space="preserve"> deform</w:t>
      </w:r>
      <w:r w:rsidR="4EBA91AE" w:rsidRPr="0680406C">
        <w:rPr>
          <w:lang w:val="en-GB"/>
        </w:rPr>
        <w:t>ation</w:t>
      </w:r>
      <w:r w:rsidR="427FE12A" w:rsidRPr="0680406C">
        <w:rPr>
          <w:lang w:val="en-GB"/>
        </w:rPr>
        <w:t xml:space="preserve"> and to fail </w:t>
      </w:r>
      <w:r w:rsidR="21FCA1CE" w:rsidRPr="0680406C">
        <w:rPr>
          <w:lang w:val="en-GB"/>
        </w:rPr>
        <w:t xml:space="preserve">only </w:t>
      </w:r>
      <w:r w:rsidR="427FE12A" w:rsidRPr="0680406C">
        <w:rPr>
          <w:lang w:val="en-GB"/>
        </w:rPr>
        <w:t xml:space="preserve">when the accumulated energy exceeds their </w:t>
      </w:r>
      <w:r w:rsidR="21420761" w:rsidRPr="0680406C">
        <w:rPr>
          <w:lang w:val="en-GB"/>
        </w:rPr>
        <w:t>toughness</w:t>
      </w:r>
      <w:r w:rsidR="03C5F008" w:rsidRPr="0680406C">
        <w:rPr>
          <w:lang w:val="en-GB"/>
        </w:rPr>
        <w:t xml:space="preserve"> </w:t>
      </w:r>
      <w:r w:rsidR="6265CD36" w:rsidRPr="0680406C">
        <w:rPr>
          <w:lang w:val="en-GB"/>
        </w:rPr>
        <w:t xml:space="preserve">limit </w:t>
      </w:r>
      <w:r w:rsidR="03C5F008" w:rsidRPr="0680406C">
        <w:rPr>
          <w:lang w:val="en-GB"/>
        </w:rPr>
        <w:t>(</w:t>
      </w:r>
      <w:proofErr w:type="spellStart"/>
      <w:r w:rsidR="03C5F008" w:rsidRPr="0680406C">
        <w:rPr>
          <w:lang w:val="en-GB"/>
        </w:rPr>
        <w:t>Marchioli</w:t>
      </w:r>
      <w:proofErr w:type="spellEnd"/>
      <w:r w:rsidR="03C5F008" w:rsidRPr="0680406C">
        <w:rPr>
          <w:lang w:val="en-GB"/>
        </w:rPr>
        <w:t xml:space="preserve"> and Soldati</w:t>
      </w:r>
      <w:r w:rsidR="1C08C3AB" w:rsidRPr="0680406C">
        <w:rPr>
          <w:lang w:val="en-GB"/>
        </w:rPr>
        <w:t>,</w:t>
      </w:r>
      <w:r w:rsidR="03C5F008" w:rsidRPr="0680406C">
        <w:rPr>
          <w:lang w:val="en-GB"/>
        </w:rPr>
        <w:t xml:space="preserve"> 2015)</w:t>
      </w:r>
      <w:r w:rsidR="21420761" w:rsidRPr="0680406C">
        <w:rPr>
          <w:lang w:val="en-GB"/>
        </w:rPr>
        <w:t>.</w:t>
      </w:r>
      <w:r w:rsidR="00766D36" w:rsidRPr="0680406C">
        <w:rPr>
          <w:lang w:val="en-GB"/>
        </w:rPr>
        <w:t xml:space="preserve"> Accumulation of energy transmitted to the aggregate structure through the hydrodynamic stress was considered by </w:t>
      </w:r>
      <w:proofErr w:type="spellStart"/>
      <w:r w:rsidR="00766D36" w:rsidRPr="0680406C">
        <w:rPr>
          <w:lang w:val="en-GB"/>
        </w:rPr>
        <w:t>Saha</w:t>
      </w:r>
      <w:proofErr w:type="spellEnd"/>
      <w:r w:rsidR="00766D36" w:rsidRPr="0680406C">
        <w:rPr>
          <w:lang w:val="en-GB"/>
        </w:rPr>
        <w:t xml:space="preserve"> et al. (2016) for the interpretation of experiments on </w:t>
      </w:r>
      <w:r w:rsidR="1647F4C8" w:rsidRPr="0680406C">
        <w:rPr>
          <w:lang w:val="en-GB"/>
        </w:rPr>
        <w:t xml:space="preserve">the </w:t>
      </w:r>
      <w:r w:rsidR="00766D36" w:rsidRPr="0680406C">
        <w:rPr>
          <w:lang w:val="en-GB"/>
        </w:rPr>
        <w:t xml:space="preserve">breakup of single aggregates in turbulence. </w:t>
      </w:r>
    </w:p>
    <w:p w14:paraId="5487B412" w14:textId="2A152BFD" w:rsidR="4FAE24C7" w:rsidRDefault="4FAE24C7" w:rsidP="131D62C6">
      <w:pPr>
        <w:pStyle w:val="CETBodytext"/>
      </w:pPr>
      <w:r w:rsidRPr="0680406C">
        <w:rPr>
          <w:lang w:val="en-GB"/>
        </w:rPr>
        <w:t xml:space="preserve">In either case, brittle or ductile </w:t>
      </w:r>
      <w:r w:rsidR="09547109" w:rsidRPr="0680406C">
        <w:rPr>
          <w:lang w:val="en-GB"/>
        </w:rPr>
        <w:t>breakup</w:t>
      </w:r>
      <w:r w:rsidRPr="0680406C">
        <w:rPr>
          <w:lang w:val="en-GB"/>
        </w:rPr>
        <w:t xml:space="preserve">, a physical understanding of </w:t>
      </w:r>
      <w:r w:rsidR="466491BC" w:rsidRPr="0680406C">
        <w:rPr>
          <w:lang w:val="en-GB"/>
        </w:rPr>
        <w:t xml:space="preserve">the </w:t>
      </w:r>
      <w:r w:rsidRPr="0680406C">
        <w:rPr>
          <w:lang w:val="en-GB"/>
        </w:rPr>
        <w:t>process in complex flow conditions, such as those of turbulence, is still lacking</w:t>
      </w:r>
      <w:r w:rsidR="0FFEB44E" w:rsidRPr="0680406C">
        <w:rPr>
          <w:lang w:val="en-GB"/>
        </w:rPr>
        <w:t>,</w:t>
      </w:r>
      <w:r w:rsidRPr="0680406C">
        <w:rPr>
          <w:lang w:val="en-GB"/>
        </w:rPr>
        <w:t xml:space="preserve"> due to the difficulties of having at the same time a detailed description of the aggregate structure</w:t>
      </w:r>
      <w:r w:rsidR="19EE6C10" w:rsidRPr="0680406C">
        <w:rPr>
          <w:lang w:val="en-GB"/>
        </w:rPr>
        <w:t xml:space="preserve"> </w:t>
      </w:r>
      <w:r w:rsidR="070EA4E4" w:rsidRPr="0680406C">
        <w:rPr>
          <w:lang w:val="en-GB"/>
        </w:rPr>
        <w:t>–</w:t>
      </w:r>
      <w:r w:rsidRPr="0680406C">
        <w:rPr>
          <w:lang w:val="en-GB"/>
        </w:rPr>
        <w:t xml:space="preserve"> </w:t>
      </w:r>
      <w:r w:rsidR="33F1986B" w:rsidRPr="0680406C">
        <w:rPr>
          <w:lang w:val="en-GB"/>
        </w:rPr>
        <w:t>counting for</w:t>
      </w:r>
      <w:r w:rsidR="451BC36D" w:rsidRPr="0680406C">
        <w:rPr>
          <w:lang w:val="en-GB"/>
        </w:rPr>
        <w:t xml:space="preserve"> both </w:t>
      </w:r>
      <w:r w:rsidRPr="0680406C">
        <w:rPr>
          <w:lang w:val="en-GB"/>
        </w:rPr>
        <w:t xml:space="preserve">hydrodynamic </w:t>
      </w:r>
      <w:r w:rsidR="7B76CEA3" w:rsidRPr="0680406C">
        <w:rPr>
          <w:lang w:val="en-GB"/>
        </w:rPr>
        <w:t xml:space="preserve">and colloidal </w:t>
      </w:r>
      <w:r w:rsidRPr="0680406C">
        <w:rPr>
          <w:lang w:val="en-GB"/>
        </w:rPr>
        <w:t xml:space="preserve">interactions </w:t>
      </w:r>
      <w:r w:rsidR="09E5E5BC" w:rsidRPr="0680406C">
        <w:rPr>
          <w:lang w:val="en-GB"/>
        </w:rPr>
        <w:t xml:space="preserve">between </w:t>
      </w:r>
      <w:r w:rsidR="30B730AC" w:rsidRPr="0680406C">
        <w:rPr>
          <w:lang w:val="en-GB"/>
        </w:rPr>
        <w:t xml:space="preserve">constituent </w:t>
      </w:r>
      <w:r w:rsidR="09E5E5BC" w:rsidRPr="0680406C">
        <w:rPr>
          <w:lang w:val="en-GB"/>
        </w:rPr>
        <w:t>particles</w:t>
      </w:r>
      <w:r w:rsidR="5E8BA4A2" w:rsidRPr="0680406C">
        <w:rPr>
          <w:lang w:val="en-GB"/>
        </w:rPr>
        <w:t xml:space="preserve"> –</w:t>
      </w:r>
      <w:r w:rsidRPr="0680406C">
        <w:rPr>
          <w:lang w:val="en-GB"/>
        </w:rPr>
        <w:t xml:space="preserve"> and an accurate </w:t>
      </w:r>
      <w:r w:rsidR="5F23D8C1" w:rsidRPr="0680406C">
        <w:rPr>
          <w:lang w:val="en-GB"/>
        </w:rPr>
        <w:t>descrip</w:t>
      </w:r>
      <w:r w:rsidRPr="0680406C">
        <w:rPr>
          <w:lang w:val="en-GB"/>
        </w:rPr>
        <w:t>tion of the flow dynamics</w:t>
      </w:r>
      <w:r w:rsidR="2AD4CC6A" w:rsidRPr="0680406C">
        <w:rPr>
          <w:lang w:val="en-GB"/>
        </w:rPr>
        <w:t xml:space="preserve"> </w:t>
      </w:r>
      <w:r w:rsidRPr="0680406C">
        <w:rPr>
          <w:lang w:val="en-GB"/>
        </w:rPr>
        <w:t>(</w:t>
      </w:r>
      <w:r w:rsidR="5ECBFF50" w:rsidRPr="0680406C">
        <w:rPr>
          <w:lang w:val="en-GB"/>
        </w:rPr>
        <w:t xml:space="preserve">Brandt and </w:t>
      </w:r>
      <w:proofErr w:type="spellStart"/>
      <w:r w:rsidR="5ECBFF50" w:rsidRPr="0680406C">
        <w:rPr>
          <w:lang w:val="en-GB"/>
        </w:rPr>
        <w:t>Coletti</w:t>
      </w:r>
      <w:proofErr w:type="spellEnd"/>
      <w:r w:rsidR="3F88D0E9" w:rsidRPr="0680406C">
        <w:rPr>
          <w:lang w:val="en-GB"/>
        </w:rPr>
        <w:t>,</w:t>
      </w:r>
      <w:r w:rsidR="5ECBFF50" w:rsidRPr="0680406C">
        <w:rPr>
          <w:lang w:val="en-GB"/>
        </w:rPr>
        <w:t xml:space="preserve"> 2022</w:t>
      </w:r>
      <w:r w:rsidR="7A96DF35" w:rsidRPr="0680406C">
        <w:rPr>
          <w:lang w:val="en-GB"/>
        </w:rPr>
        <w:t>;</w:t>
      </w:r>
      <w:r w:rsidR="5ECBFF50" w:rsidRPr="0680406C">
        <w:rPr>
          <w:lang w:val="en-GB"/>
        </w:rPr>
        <w:t xml:space="preserve"> </w:t>
      </w:r>
      <w:r w:rsidR="722865A6" w:rsidRPr="0680406C">
        <w:rPr>
          <w:lang w:val="en-GB"/>
        </w:rPr>
        <w:t>De Bona et al.</w:t>
      </w:r>
      <w:r w:rsidR="00B40A48">
        <w:rPr>
          <w:lang w:val="en-GB"/>
        </w:rPr>
        <w:t>,</w:t>
      </w:r>
      <w:r w:rsidR="722865A6" w:rsidRPr="0680406C">
        <w:rPr>
          <w:lang w:val="en-GB"/>
        </w:rPr>
        <w:t xml:space="preserve"> 2014</w:t>
      </w:r>
      <w:r w:rsidR="4520D231" w:rsidRPr="0680406C">
        <w:rPr>
          <w:lang w:val="en-GB"/>
        </w:rPr>
        <w:t>;</w:t>
      </w:r>
      <w:r w:rsidRPr="0680406C">
        <w:rPr>
          <w:lang w:val="en-GB"/>
        </w:rPr>
        <w:t xml:space="preserve"> Breuer and Khalifa</w:t>
      </w:r>
      <w:r w:rsidR="08F8FFDB" w:rsidRPr="0680406C">
        <w:rPr>
          <w:lang w:val="en-GB"/>
        </w:rPr>
        <w:t>,</w:t>
      </w:r>
      <w:r w:rsidRPr="0680406C">
        <w:rPr>
          <w:lang w:val="en-GB"/>
        </w:rPr>
        <w:t xml:space="preserve"> 2019). </w:t>
      </w:r>
    </w:p>
    <w:p w14:paraId="54991FB4" w14:textId="12A1638E" w:rsidR="4FAE24C7" w:rsidRDefault="4FAE24C7" w:rsidP="131D62C6">
      <w:pPr>
        <w:pStyle w:val="CETBodytext"/>
        <w:rPr>
          <w:lang w:val="en-GB"/>
        </w:rPr>
      </w:pPr>
      <w:r w:rsidRPr="0680406C">
        <w:rPr>
          <w:lang w:val="en-GB"/>
        </w:rPr>
        <w:t>In some studies, a simplified approach has been adopted, which consists in considering fully</w:t>
      </w:r>
      <w:r w:rsidR="68F58C9D" w:rsidRPr="0680406C">
        <w:rPr>
          <w:lang w:val="en-GB"/>
        </w:rPr>
        <w:t xml:space="preserve"> the</w:t>
      </w:r>
      <w:r w:rsidRPr="0680406C">
        <w:rPr>
          <w:lang w:val="en-GB"/>
        </w:rPr>
        <w:t xml:space="preserve"> complex </w:t>
      </w:r>
      <w:r w:rsidR="619E3BC1" w:rsidRPr="0680406C">
        <w:rPr>
          <w:lang w:val="en-GB"/>
        </w:rPr>
        <w:t xml:space="preserve">turbulent </w:t>
      </w:r>
      <w:r w:rsidRPr="0680406C">
        <w:rPr>
          <w:lang w:val="en-GB"/>
        </w:rPr>
        <w:t>flow dynamics, while drastically reducing the complexity of the aggregate structure</w:t>
      </w:r>
      <w:r w:rsidR="0543257C" w:rsidRPr="0680406C">
        <w:rPr>
          <w:lang w:val="en-GB"/>
        </w:rPr>
        <w:t>,</w:t>
      </w:r>
      <w:r w:rsidRPr="0680406C">
        <w:rPr>
          <w:lang w:val="en-GB"/>
        </w:rPr>
        <w:t xml:space="preserve"> </w:t>
      </w:r>
      <w:r w:rsidR="167039A9" w:rsidRPr="0680406C">
        <w:rPr>
          <w:lang w:val="en-GB"/>
        </w:rPr>
        <w:t>by</w:t>
      </w:r>
      <w:r w:rsidRPr="0680406C">
        <w:rPr>
          <w:lang w:val="en-GB"/>
        </w:rPr>
        <w:t xml:space="preserve"> consider</w:t>
      </w:r>
      <w:r w:rsidR="15E0A69D" w:rsidRPr="0680406C">
        <w:rPr>
          <w:lang w:val="en-GB"/>
        </w:rPr>
        <w:t>ing</w:t>
      </w:r>
      <w:r w:rsidRPr="0680406C">
        <w:rPr>
          <w:lang w:val="en-GB"/>
        </w:rPr>
        <w:t xml:space="preserve"> </w:t>
      </w:r>
      <w:r w:rsidR="41B83FCF" w:rsidRPr="0680406C">
        <w:rPr>
          <w:lang w:val="en-GB"/>
        </w:rPr>
        <w:t>it</w:t>
      </w:r>
      <w:r w:rsidRPr="0680406C">
        <w:rPr>
          <w:lang w:val="en-GB"/>
        </w:rPr>
        <w:t xml:space="preserve"> as </w:t>
      </w:r>
      <w:r w:rsidR="0770F973" w:rsidRPr="0680406C">
        <w:rPr>
          <w:lang w:val="en-GB"/>
        </w:rPr>
        <w:t xml:space="preserve">a </w:t>
      </w:r>
      <w:r w:rsidRPr="0680406C">
        <w:rPr>
          <w:lang w:val="en-GB"/>
        </w:rPr>
        <w:t>point-particle (</w:t>
      </w:r>
      <w:proofErr w:type="spellStart"/>
      <w:r w:rsidRPr="0680406C">
        <w:rPr>
          <w:lang w:val="en-GB"/>
        </w:rPr>
        <w:t>B</w:t>
      </w:r>
      <w:r w:rsidR="282D809B" w:rsidRPr="0680406C">
        <w:rPr>
          <w:lang w:val="en-GB"/>
        </w:rPr>
        <w:t>ä</w:t>
      </w:r>
      <w:r w:rsidRPr="0680406C">
        <w:rPr>
          <w:lang w:val="en-GB"/>
        </w:rPr>
        <w:t>bler</w:t>
      </w:r>
      <w:proofErr w:type="spellEnd"/>
      <w:r w:rsidRPr="0680406C">
        <w:rPr>
          <w:lang w:val="en-GB"/>
        </w:rPr>
        <w:t xml:space="preserve"> et al.</w:t>
      </w:r>
      <w:r w:rsidR="7FE85545" w:rsidRPr="0680406C">
        <w:rPr>
          <w:lang w:val="en-GB"/>
        </w:rPr>
        <w:t>,</w:t>
      </w:r>
      <w:r w:rsidRPr="0680406C">
        <w:rPr>
          <w:lang w:val="en-GB"/>
        </w:rPr>
        <w:t xml:space="preserve"> 2012). </w:t>
      </w:r>
      <w:r w:rsidR="010E0546" w:rsidRPr="0680406C">
        <w:rPr>
          <w:lang w:val="en-GB"/>
        </w:rPr>
        <w:t>By s</w:t>
      </w:r>
      <w:r w:rsidR="0D753B48" w:rsidRPr="0680406C">
        <w:rPr>
          <w:lang w:val="en-GB"/>
        </w:rPr>
        <w:t>uch an</w:t>
      </w:r>
      <w:r w:rsidR="010E0546" w:rsidRPr="0680406C">
        <w:rPr>
          <w:lang w:val="en-GB"/>
        </w:rPr>
        <w:t xml:space="preserve"> approach</w:t>
      </w:r>
      <w:r w:rsidRPr="0680406C">
        <w:rPr>
          <w:lang w:val="en-GB"/>
        </w:rPr>
        <w:t>, the breakup of small, brittle aggregates</w:t>
      </w:r>
      <w:r w:rsidR="03169F8B" w:rsidRPr="0680406C">
        <w:rPr>
          <w:lang w:val="en-GB"/>
        </w:rPr>
        <w:t xml:space="preserve"> (</w:t>
      </w:r>
      <w:proofErr w:type="spellStart"/>
      <w:r w:rsidR="03169F8B" w:rsidRPr="0680406C">
        <w:rPr>
          <w:lang w:val="en-GB"/>
        </w:rPr>
        <w:t>B</w:t>
      </w:r>
      <w:r w:rsidR="7E2EB965" w:rsidRPr="0680406C">
        <w:rPr>
          <w:lang w:val="en-GB"/>
        </w:rPr>
        <w:t>ä</w:t>
      </w:r>
      <w:r w:rsidR="03169F8B" w:rsidRPr="0680406C">
        <w:rPr>
          <w:lang w:val="en-GB"/>
        </w:rPr>
        <w:t>bler</w:t>
      </w:r>
      <w:proofErr w:type="spellEnd"/>
      <w:r w:rsidR="03169F8B" w:rsidRPr="0680406C">
        <w:rPr>
          <w:lang w:val="en-GB"/>
        </w:rPr>
        <w:t xml:space="preserve"> et al., 2012</w:t>
      </w:r>
      <w:r w:rsidR="0987819F" w:rsidRPr="0680406C">
        <w:rPr>
          <w:lang w:val="en-GB"/>
        </w:rPr>
        <w:t>;</w:t>
      </w:r>
      <w:r w:rsidR="03169F8B" w:rsidRPr="0680406C">
        <w:rPr>
          <w:lang w:val="en-GB"/>
        </w:rPr>
        <w:t xml:space="preserve"> </w:t>
      </w:r>
      <w:proofErr w:type="spellStart"/>
      <w:r w:rsidR="03169F8B" w:rsidRPr="0680406C">
        <w:rPr>
          <w:lang w:val="en-GB"/>
        </w:rPr>
        <w:t>B</w:t>
      </w:r>
      <w:r w:rsidR="703415DA" w:rsidRPr="0680406C">
        <w:rPr>
          <w:lang w:val="en-GB"/>
        </w:rPr>
        <w:t>ä</w:t>
      </w:r>
      <w:r w:rsidR="03169F8B" w:rsidRPr="0680406C">
        <w:rPr>
          <w:lang w:val="en-GB"/>
        </w:rPr>
        <w:t>bler</w:t>
      </w:r>
      <w:proofErr w:type="spellEnd"/>
      <w:r w:rsidR="03169F8B" w:rsidRPr="0680406C">
        <w:rPr>
          <w:lang w:val="en-GB"/>
        </w:rPr>
        <w:t xml:space="preserve"> et al.</w:t>
      </w:r>
      <w:r w:rsidR="1C68CF10" w:rsidRPr="0680406C">
        <w:rPr>
          <w:lang w:val="en-GB"/>
        </w:rPr>
        <w:t>,</w:t>
      </w:r>
      <w:r w:rsidR="03169F8B" w:rsidRPr="0680406C">
        <w:rPr>
          <w:lang w:val="en-GB"/>
        </w:rPr>
        <w:t xml:space="preserve"> 2015)</w:t>
      </w:r>
      <w:r w:rsidRPr="0680406C">
        <w:rPr>
          <w:lang w:val="en-GB"/>
        </w:rPr>
        <w:t xml:space="preserve"> has been investigated in different flow configurations. In particular, the </w:t>
      </w:r>
      <w:r w:rsidR="5C904FB3" w:rsidRPr="0680406C">
        <w:rPr>
          <w:lang w:val="en-GB"/>
        </w:rPr>
        <w:t>breakup</w:t>
      </w:r>
      <w:r w:rsidRPr="0680406C">
        <w:rPr>
          <w:lang w:val="en-GB"/>
        </w:rPr>
        <w:t xml:space="preserve"> rate </w:t>
      </w:r>
      <w:r w:rsidR="14425FA3" w:rsidRPr="0680406C">
        <w:rPr>
          <w:lang w:val="en-GB"/>
        </w:rPr>
        <w:t>was</w:t>
      </w:r>
      <w:r w:rsidRPr="0680406C">
        <w:rPr>
          <w:lang w:val="en-GB"/>
        </w:rPr>
        <w:t xml:space="preserve"> measured </w:t>
      </w:r>
      <w:r w:rsidR="063F8943" w:rsidRPr="0680406C">
        <w:rPr>
          <w:lang w:val="en-GB"/>
        </w:rPr>
        <w:t>at varying</w:t>
      </w:r>
      <w:r w:rsidRPr="0680406C">
        <w:rPr>
          <w:lang w:val="en-GB"/>
        </w:rPr>
        <w:t xml:space="preserve"> </w:t>
      </w:r>
      <w:r w:rsidR="3710761C" w:rsidRPr="0680406C">
        <w:rPr>
          <w:lang w:val="en-GB"/>
        </w:rPr>
        <w:t>strength of the aggregates</w:t>
      </w:r>
      <w:r w:rsidR="5F9A7D19" w:rsidRPr="0680406C">
        <w:rPr>
          <w:lang w:val="en-GB"/>
        </w:rPr>
        <w:t>,</w:t>
      </w:r>
      <w:r w:rsidRPr="0680406C">
        <w:rPr>
          <w:lang w:val="en-GB"/>
        </w:rPr>
        <w:t xml:space="preserve"> </w:t>
      </w:r>
      <w:r w:rsidR="5FC8E9E6" w:rsidRPr="0680406C">
        <w:rPr>
          <w:lang w:val="en-GB"/>
        </w:rPr>
        <w:t>showing</w:t>
      </w:r>
      <w:r w:rsidR="591422C6" w:rsidRPr="0680406C">
        <w:rPr>
          <w:lang w:val="en-GB"/>
        </w:rPr>
        <w:t xml:space="preserve"> </w:t>
      </w:r>
      <w:r w:rsidRPr="0680406C">
        <w:rPr>
          <w:lang w:val="en-GB"/>
        </w:rPr>
        <w:t xml:space="preserve">that the fragmentation </w:t>
      </w:r>
      <w:r w:rsidR="05D49A2F" w:rsidRPr="0680406C">
        <w:rPr>
          <w:lang w:val="en-GB"/>
        </w:rPr>
        <w:t>mechanism</w:t>
      </w:r>
      <w:r w:rsidRPr="0680406C">
        <w:rPr>
          <w:lang w:val="en-GB"/>
        </w:rPr>
        <w:t xml:space="preserve"> has two distinct regimes. For lo</w:t>
      </w:r>
      <w:r w:rsidR="59490135" w:rsidRPr="0680406C">
        <w:rPr>
          <w:lang w:val="en-GB"/>
        </w:rPr>
        <w:t>ose aggregates</w:t>
      </w:r>
      <w:r w:rsidRPr="0680406C">
        <w:rPr>
          <w:lang w:val="en-GB"/>
        </w:rPr>
        <w:t xml:space="preserve">, the fragmentation rate is </w:t>
      </w:r>
      <w:r w:rsidR="2C005B87" w:rsidRPr="0680406C">
        <w:rPr>
          <w:lang w:val="en-GB"/>
        </w:rPr>
        <w:t>high,</w:t>
      </w:r>
      <w:r w:rsidRPr="0680406C">
        <w:rPr>
          <w:lang w:val="en-GB"/>
        </w:rPr>
        <w:t xml:space="preserve"> </w:t>
      </w:r>
      <w:r w:rsidR="4C37EFE6" w:rsidRPr="0680406C">
        <w:rPr>
          <w:lang w:val="en-GB"/>
        </w:rPr>
        <w:t>and</w:t>
      </w:r>
      <w:r w:rsidRPr="0680406C">
        <w:rPr>
          <w:lang w:val="en-GB"/>
        </w:rPr>
        <w:t xml:space="preserve"> it has a universal power</w:t>
      </w:r>
      <w:r w:rsidR="6120B4C9" w:rsidRPr="0680406C">
        <w:rPr>
          <w:lang w:val="en-GB"/>
        </w:rPr>
        <w:t>-</w:t>
      </w:r>
      <w:r w:rsidRPr="0680406C">
        <w:rPr>
          <w:lang w:val="en-GB"/>
        </w:rPr>
        <w:t xml:space="preserve">law </w:t>
      </w:r>
      <w:r w:rsidR="2E00FB0F" w:rsidRPr="0680406C">
        <w:rPr>
          <w:lang w:val="en-GB"/>
        </w:rPr>
        <w:t>behaviour</w:t>
      </w:r>
      <w:r w:rsidRPr="0680406C">
        <w:rPr>
          <w:lang w:val="en-GB"/>
        </w:rPr>
        <w:t xml:space="preserve"> governed by </w:t>
      </w:r>
      <w:r w:rsidR="03B547B5" w:rsidRPr="0680406C">
        <w:rPr>
          <w:lang w:val="en-GB"/>
        </w:rPr>
        <w:t xml:space="preserve">the </w:t>
      </w:r>
      <w:r w:rsidRPr="0680406C">
        <w:rPr>
          <w:lang w:val="en-GB"/>
        </w:rPr>
        <w:t xml:space="preserve">smooth, Gaussian fluctuations </w:t>
      </w:r>
      <w:r w:rsidR="02E74D1A" w:rsidRPr="0680406C">
        <w:rPr>
          <w:lang w:val="en-GB"/>
        </w:rPr>
        <w:t xml:space="preserve">of </w:t>
      </w:r>
      <w:r w:rsidRPr="0680406C">
        <w:rPr>
          <w:lang w:val="en-GB"/>
        </w:rPr>
        <w:t>the turbulen</w:t>
      </w:r>
      <w:r w:rsidR="23FDBF5D" w:rsidRPr="0680406C">
        <w:rPr>
          <w:lang w:val="en-GB"/>
        </w:rPr>
        <w:t>ce</w:t>
      </w:r>
      <w:r w:rsidRPr="0680406C">
        <w:rPr>
          <w:lang w:val="en-GB"/>
        </w:rPr>
        <w:t xml:space="preserve">. For </w:t>
      </w:r>
      <w:r w:rsidR="2FAC82BA" w:rsidRPr="0680406C">
        <w:rPr>
          <w:lang w:val="en-GB"/>
        </w:rPr>
        <w:t>s</w:t>
      </w:r>
      <w:r w:rsidR="6CA5DAAC" w:rsidRPr="0680406C">
        <w:rPr>
          <w:lang w:val="en-GB"/>
        </w:rPr>
        <w:t>t</w:t>
      </w:r>
      <w:r w:rsidR="0043EAB7" w:rsidRPr="0680406C">
        <w:rPr>
          <w:lang w:val="en-GB"/>
        </w:rPr>
        <w:t>ronger</w:t>
      </w:r>
      <w:r w:rsidR="6CA5DAAC" w:rsidRPr="0680406C">
        <w:rPr>
          <w:lang w:val="en-GB"/>
        </w:rPr>
        <w:t xml:space="preserve"> aggregates</w:t>
      </w:r>
      <w:r w:rsidRPr="0680406C">
        <w:rPr>
          <w:lang w:val="en-GB"/>
        </w:rPr>
        <w:t xml:space="preserve">, </w:t>
      </w:r>
      <w:r w:rsidR="000692A3" w:rsidRPr="0680406C">
        <w:rPr>
          <w:lang w:val="en-GB"/>
        </w:rPr>
        <w:t xml:space="preserve">the rate </w:t>
      </w:r>
      <w:r w:rsidR="000692A3" w:rsidRPr="0680406C">
        <w:rPr>
          <w:lang w:val="en-GB"/>
        </w:rPr>
        <w:lastRenderedPageBreak/>
        <w:t xml:space="preserve">of breakup is </w:t>
      </w:r>
      <w:r w:rsidR="11875003" w:rsidRPr="0680406C">
        <w:rPr>
          <w:lang w:val="en-GB"/>
        </w:rPr>
        <w:t xml:space="preserve">instead </w:t>
      </w:r>
      <w:r w:rsidR="1AF54BC1" w:rsidRPr="0680406C">
        <w:rPr>
          <w:lang w:val="en-GB"/>
        </w:rPr>
        <w:t>smaller</w:t>
      </w:r>
      <w:r w:rsidR="495F4024" w:rsidRPr="0680406C">
        <w:rPr>
          <w:lang w:val="en-GB"/>
        </w:rPr>
        <w:t>,</w:t>
      </w:r>
      <w:r w:rsidR="000692A3" w:rsidRPr="0680406C">
        <w:rPr>
          <w:lang w:val="en-GB"/>
        </w:rPr>
        <w:t xml:space="preserve"> and its occurrence is controlled by the intermittent and intense burst of the turbulent stress</w:t>
      </w:r>
      <w:r w:rsidR="3C0DFAB0" w:rsidRPr="0680406C">
        <w:rPr>
          <w:lang w:val="en-GB"/>
        </w:rPr>
        <w:t xml:space="preserve">. </w:t>
      </w:r>
    </w:p>
    <w:p w14:paraId="432E8228" w14:textId="27EADB67" w:rsidR="4FAE24C7" w:rsidRDefault="4FAE24C7" w:rsidP="131D62C6">
      <w:pPr>
        <w:pStyle w:val="CETBodytext"/>
        <w:rPr>
          <w:lang w:val="en-GB"/>
        </w:rPr>
      </w:pPr>
      <w:r w:rsidRPr="0680406C">
        <w:rPr>
          <w:lang w:val="en-GB"/>
        </w:rPr>
        <w:t>Within an approach similar to t</w:t>
      </w:r>
      <w:r w:rsidR="6F50B4F3" w:rsidRPr="0680406C">
        <w:rPr>
          <w:lang w:val="en-GB"/>
        </w:rPr>
        <w:t>he one used</w:t>
      </w:r>
      <w:r w:rsidRPr="0680406C">
        <w:rPr>
          <w:lang w:val="en-GB"/>
        </w:rPr>
        <w:t xml:space="preserve"> by </w:t>
      </w:r>
      <w:proofErr w:type="spellStart"/>
      <w:r w:rsidRPr="0680406C">
        <w:rPr>
          <w:lang w:val="en-GB"/>
        </w:rPr>
        <w:t>Marchioli</w:t>
      </w:r>
      <w:proofErr w:type="spellEnd"/>
      <w:r w:rsidRPr="0680406C">
        <w:rPr>
          <w:lang w:val="en-GB"/>
        </w:rPr>
        <w:t xml:space="preserve"> and Soldati </w:t>
      </w:r>
      <w:r w:rsidR="2BFEFD11" w:rsidRPr="0680406C">
        <w:rPr>
          <w:lang w:val="en-GB"/>
        </w:rPr>
        <w:t>(</w:t>
      </w:r>
      <w:r w:rsidRPr="0680406C">
        <w:rPr>
          <w:lang w:val="en-GB"/>
        </w:rPr>
        <w:t>2015</w:t>
      </w:r>
      <w:r w:rsidR="2222EC3C" w:rsidRPr="0680406C">
        <w:rPr>
          <w:lang w:val="en-GB"/>
        </w:rPr>
        <w:t>)</w:t>
      </w:r>
      <w:r w:rsidRPr="0680406C">
        <w:rPr>
          <w:lang w:val="en-GB"/>
        </w:rPr>
        <w:t xml:space="preserve">, in this </w:t>
      </w:r>
      <w:r w:rsidR="24530653" w:rsidRPr="0680406C">
        <w:rPr>
          <w:lang w:val="en-GB"/>
        </w:rPr>
        <w:t>work</w:t>
      </w:r>
      <w:r w:rsidRPr="0680406C">
        <w:rPr>
          <w:lang w:val="en-GB"/>
        </w:rPr>
        <w:t xml:space="preserve">, we </w:t>
      </w:r>
      <w:r w:rsidR="2ABB3266" w:rsidRPr="0680406C">
        <w:rPr>
          <w:lang w:val="en-GB"/>
        </w:rPr>
        <w:t>compute the</w:t>
      </w:r>
      <w:r w:rsidRPr="0680406C">
        <w:rPr>
          <w:lang w:val="en-GB"/>
        </w:rPr>
        <w:t xml:space="preserve"> breakup</w:t>
      </w:r>
      <w:r w:rsidR="29AEE959" w:rsidRPr="0680406C">
        <w:rPr>
          <w:lang w:val="en-GB"/>
        </w:rPr>
        <w:t xml:space="preserve"> rate</w:t>
      </w:r>
      <w:r w:rsidRPr="0680406C">
        <w:rPr>
          <w:lang w:val="en-GB"/>
        </w:rPr>
        <w:t xml:space="preserve"> of small, ductile tracer aggregates, </w:t>
      </w:r>
      <w:r w:rsidR="46F1492B" w:rsidRPr="0680406C">
        <w:rPr>
          <w:lang w:val="en-GB"/>
        </w:rPr>
        <w:t>i.e.,</w:t>
      </w:r>
      <w:r w:rsidRPr="0680406C">
        <w:rPr>
          <w:lang w:val="en-GB"/>
        </w:rPr>
        <w:t xml:space="preserve"> aggregates that follow </w:t>
      </w:r>
      <w:r w:rsidR="4EA3278C" w:rsidRPr="0680406C">
        <w:rPr>
          <w:lang w:val="en-GB"/>
        </w:rPr>
        <w:t xml:space="preserve">passively </w:t>
      </w:r>
      <w:r w:rsidR="7095DE14" w:rsidRPr="0680406C">
        <w:rPr>
          <w:lang w:val="en-GB"/>
        </w:rPr>
        <w:t xml:space="preserve">the </w:t>
      </w:r>
      <w:r w:rsidRPr="0680406C">
        <w:rPr>
          <w:lang w:val="en-GB"/>
        </w:rPr>
        <w:t xml:space="preserve">fluid streamlines and that break only </w:t>
      </w:r>
      <w:r w:rsidR="572872DA" w:rsidRPr="0680406C">
        <w:rPr>
          <w:lang w:val="en-GB"/>
        </w:rPr>
        <w:t>when</w:t>
      </w:r>
      <w:r w:rsidRPr="0680406C">
        <w:rPr>
          <w:lang w:val="en-GB"/>
        </w:rPr>
        <w:t xml:space="preserve"> the </w:t>
      </w:r>
      <w:r w:rsidR="5D82A6C5" w:rsidRPr="0680406C">
        <w:rPr>
          <w:lang w:val="en-GB"/>
        </w:rPr>
        <w:t xml:space="preserve">accumulated energy </w:t>
      </w:r>
      <w:r w:rsidR="6AB379D2" w:rsidRPr="0680406C">
        <w:rPr>
          <w:lang w:val="en-GB"/>
        </w:rPr>
        <w:t>overcome their toughness limit</w:t>
      </w:r>
      <w:r w:rsidRPr="0680406C">
        <w:rPr>
          <w:lang w:val="en-GB"/>
        </w:rPr>
        <w:t xml:space="preserve">. To do this, we use data from </w:t>
      </w:r>
      <w:r w:rsidR="61F6F401" w:rsidRPr="0680406C">
        <w:rPr>
          <w:lang w:val="en-GB"/>
        </w:rPr>
        <w:t xml:space="preserve">a </w:t>
      </w:r>
      <w:r w:rsidRPr="0680406C">
        <w:rPr>
          <w:lang w:val="en-GB"/>
        </w:rPr>
        <w:t xml:space="preserve">Direct Numerical Simulation of </w:t>
      </w:r>
      <w:r w:rsidR="4C88DACC" w:rsidRPr="0680406C">
        <w:rPr>
          <w:lang w:val="en-GB"/>
        </w:rPr>
        <w:t xml:space="preserve">a </w:t>
      </w:r>
      <w:r w:rsidRPr="0680406C">
        <w:rPr>
          <w:lang w:val="en-GB"/>
        </w:rPr>
        <w:t xml:space="preserve">three-dimensional </w:t>
      </w:r>
      <w:r w:rsidR="6E8ABD4C" w:rsidRPr="0680406C">
        <w:rPr>
          <w:lang w:val="en-GB"/>
        </w:rPr>
        <w:t xml:space="preserve">isotropic </w:t>
      </w:r>
      <w:r w:rsidRPr="0680406C">
        <w:rPr>
          <w:lang w:val="en-GB"/>
        </w:rPr>
        <w:t>turbulen</w:t>
      </w:r>
      <w:r w:rsidR="609C7D56" w:rsidRPr="0680406C">
        <w:rPr>
          <w:lang w:val="en-GB"/>
        </w:rPr>
        <w:t>t flow</w:t>
      </w:r>
      <w:r w:rsidRPr="0680406C">
        <w:rPr>
          <w:lang w:val="en-GB"/>
        </w:rPr>
        <w:t xml:space="preserve"> at moderate Reynolds number</w:t>
      </w:r>
      <w:r w:rsidR="36633F86" w:rsidRPr="0680406C">
        <w:rPr>
          <w:lang w:val="en-GB"/>
        </w:rPr>
        <w:t xml:space="preserve">, </w:t>
      </w:r>
      <w:r w:rsidR="3DB91AE6" w:rsidRPr="0680406C">
        <w:rPr>
          <w:lang w:val="en-GB"/>
        </w:rPr>
        <w:t>and we</w:t>
      </w:r>
      <w:r w:rsidRPr="0680406C">
        <w:rPr>
          <w:lang w:val="en-GB"/>
        </w:rPr>
        <w:t xml:space="preserve"> seed </w:t>
      </w:r>
      <w:r w:rsidR="657B288D" w:rsidRPr="0680406C">
        <w:rPr>
          <w:lang w:val="en-GB"/>
        </w:rPr>
        <w:t xml:space="preserve">the flow </w:t>
      </w:r>
      <w:r w:rsidRPr="0680406C">
        <w:rPr>
          <w:lang w:val="en-GB"/>
        </w:rPr>
        <w:t xml:space="preserve">with a large number of tracer </w:t>
      </w:r>
      <w:r w:rsidR="2436E10D" w:rsidRPr="0680406C">
        <w:rPr>
          <w:lang w:val="en-GB"/>
        </w:rPr>
        <w:t>aggregates</w:t>
      </w:r>
      <w:r w:rsidRPr="0680406C">
        <w:rPr>
          <w:lang w:val="en-GB"/>
        </w:rPr>
        <w:t xml:space="preserve">. </w:t>
      </w:r>
      <w:r w:rsidR="0DA86AE6" w:rsidRPr="0680406C">
        <w:rPr>
          <w:lang w:val="en-GB"/>
        </w:rPr>
        <w:t xml:space="preserve">Two aggregate </w:t>
      </w:r>
      <w:r w:rsidR="0EE038EC" w:rsidRPr="0680406C">
        <w:rPr>
          <w:lang w:val="en-GB"/>
        </w:rPr>
        <w:t>characteristic</w:t>
      </w:r>
      <w:r w:rsidR="0DA86AE6" w:rsidRPr="0680406C">
        <w:rPr>
          <w:lang w:val="en-GB"/>
        </w:rPr>
        <w:t xml:space="preserve"> parameters </w:t>
      </w:r>
      <w:r w:rsidR="4CBC00B5" w:rsidRPr="0680406C">
        <w:rPr>
          <w:lang w:val="en-GB"/>
        </w:rPr>
        <w:t>(</w:t>
      </w:r>
      <w:r w:rsidR="7E991902" w:rsidRPr="0680406C">
        <w:rPr>
          <w:lang w:val="en-GB"/>
        </w:rPr>
        <w:t xml:space="preserve">the </w:t>
      </w:r>
      <w:r w:rsidR="4CBC00B5" w:rsidRPr="0680406C">
        <w:rPr>
          <w:lang w:val="en-GB"/>
        </w:rPr>
        <w:t xml:space="preserve">critical stress </w:t>
      </w:r>
      <w:r w:rsidR="7332D833" w:rsidRPr="0680406C">
        <w:rPr>
          <w:lang w:val="en-GB"/>
        </w:rPr>
        <w:t xml:space="preserve">for </w:t>
      </w:r>
      <w:r w:rsidR="26DEDD90" w:rsidRPr="0680406C">
        <w:rPr>
          <w:lang w:val="en-GB"/>
        </w:rPr>
        <w:t xml:space="preserve">initiating the deformation process </w:t>
      </w:r>
      <w:r w:rsidR="4CBC00B5" w:rsidRPr="0680406C">
        <w:rPr>
          <w:lang w:val="en-GB"/>
        </w:rPr>
        <w:t xml:space="preserve">and </w:t>
      </w:r>
      <w:r w:rsidR="32DC3559" w:rsidRPr="0680406C">
        <w:rPr>
          <w:lang w:val="en-GB"/>
        </w:rPr>
        <w:t xml:space="preserve">the critical </w:t>
      </w:r>
      <w:r w:rsidR="4CBC00B5" w:rsidRPr="0680406C">
        <w:rPr>
          <w:lang w:val="en-GB"/>
        </w:rPr>
        <w:t xml:space="preserve">accumulated energy) </w:t>
      </w:r>
      <w:r w:rsidR="0DA86AE6" w:rsidRPr="0680406C">
        <w:rPr>
          <w:lang w:val="en-GB"/>
        </w:rPr>
        <w:t>are deemed as crucial a</w:t>
      </w:r>
      <w:r w:rsidR="1AD63085" w:rsidRPr="0680406C">
        <w:rPr>
          <w:lang w:val="en-GB"/>
        </w:rPr>
        <w:t>nd their effect on t</w:t>
      </w:r>
      <w:r w:rsidR="0DA86AE6" w:rsidRPr="0680406C">
        <w:rPr>
          <w:lang w:val="en-GB"/>
        </w:rPr>
        <w:t xml:space="preserve">he breakup rates </w:t>
      </w:r>
      <w:r w:rsidR="0C47988F" w:rsidRPr="0680406C">
        <w:rPr>
          <w:lang w:val="en-GB"/>
        </w:rPr>
        <w:t>is</w:t>
      </w:r>
      <w:r w:rsidR="5560603D" w:rsidRPr="0680406C">
        <w:rPr>
          <w:lang w:val="en-GB"/>
        </w:rPr>
        <w:t xml:space="preserve"> investigated. </w:t>
      </w:r>
      <w:r w:rsidR="56ADEB71" w:rsidRPr="0680406C">
        <w:rPr>
          <w:lang w:val="en-GB"/>
        </w:rPr>
        <w:t>Our interest in calculating breakup rates is motivated by the possibility offered by population balance models of accurately and efficiently tracking the evolution of the particle size distribution in process scale simulations (</w:t>
      </w:r>
      <w:proofErr w:type="spellStart"/>
      <w:r w:rsidR="56ADEB71" w:rsidRPr="0680406C">
        <w:rPr>
          <w:lang w:val="en-GB"/>
        </w:rPr>
        <w:t>Lins</w:t>
      </w:r>
      <w:proofErr w:type="spellEnd"/>
      <w:r w:rsidR="56ADEB71" w:rsidRPr="0680406C">
        <w:rPr>
          <w:lang w:val="en-GB"/>
        </w:rPr>
        <w:t xml:space="preserve"> et al.</w:t>
      </w:r>
      <w:r w:rsidR="37315B96" w:rsidRPr="0680406C">
        <w:rPr>
          <w:lang w:val="en-GB"/>
        </w:rPr>
        <w:t>,</w:t>
      </w:r>
      <w:r w:rsidR="56ADEB71" w:rsidRPr="0680406C">
        <w:rPr>
          <w:lang w:val="en-GB"/>
        </w:rPr>
        <w:t xml:space="preserve"> 2022</w:t>
      </w:r>
      <w:r w:rsidR="22CCC8D5" w:rsidRPr="0680406C">
        <w:rPr>
          <w:lang w:val="en-GB"/>
        </w:rPr>
        <w:t>;</w:t>
      </w:r>
      <w:r w:rsidR="56ADEB71" w:rsidRPr="0680406C">
        <w:rPr>
          <w:lang w:val="en-GB"/>
        </w:rPr>
        <w:t xml:space="preserve"> Frungieri and Briesen</w:t>
      </w:r>
      <w:r w:rsidR="264399FA" w:rsidRPr="0680406C">
        <w:rPr>
          <w:lang w:val="en-GB"/>
        </w:rPr>
        <w:t>,</w:t>
      </w:r>
      <w:r w:rsidR="56ADEB71" w:rsidRPr="0680406C">
        <w:rPr>
          <w:lang w:val="en-GB"/>
        </w:rPr>
        <w:t xml:space="preserve"> 2023</w:t>
      </w:r>
      <w:r w:rsidR="3E5C12A8" w:rsidRPr="0680406C">
        <w:rPr>
          <w:lang w:val="en-GB"/>
        </w:rPr>
        <w:t xml:space="preserve">; </w:t>
      </w:r>
      <w:r w:rsidR="56ADEB71" w:rsidRPr="0680406C">
        <w:rPr>
          <w:lang w:val="en-GB"/>
        </w:rPr>
        <w:t>Schiele et al.</w:t>
      </w:r>
      <w:r w:rsidR="2B1B01A5" w:rsidRPr="0680406C">
        <w:rPr>
          <w:lang w:val="en-GB"/>
        </w:rPr>
        <w:t>,</w:t>
      </w:r>
      <w:r w:rsidR="56ADEB71" w:rsidRPr="0680406C">
        <w:rPr>
          <w:lang w:val="en-GB"/>
        </w:rPr>
        <w:t xml:space="preserve"> 2023)</w:t>
      </w:r>
      <w:r w:rsidR="369D26EF" w:rsidRPr="0680406C">
        <w:rPr>
          <w:lang w:val="en-GB"/>
        </w:rPr>
        <w:t xml:space="preserve">. </w:t>
      </w:r>
      <w:r w:rsidR="56ADEB71" w:rsidRPr="0680406C">
        <w:rPr>
          <w:lang w:val="en-GB"/>
        </w:rPr>
        <w:t xml:space="preserve">  </w:t>
      </w:r>
    </w:p>
    <w:p w14:paraId="53286470" w14:textId="0E6401B9" w:rsidR="4FAE24C7" w:rsidRDefault="3121C8CA" w:rsidP="131D62C6">
      <w:pPr>
        <w:pStyle w:val="CETBodytext"/>
        <w:rPr>
          <w:lang w:val="en-GB"/>
        </w:rPr>
      </w:pPr>
      <w:r w:rsidRPr="0680406C">
        <w:rPr>
          <w:lang w:val="en-GB"/>
        </w:rPr>
        <w:t xml:space="preserve">The paper is organised as follows: in Section 2, we report the equations used to </w:t>
      </w:r>
      <w:r w:rsidR="5D171CF1" w:rsidRPr="0680406C">
        <w:rPr>
          <w:lang w:val="en-GB"/>
        </w:rPr>
        <w:t xml:space="preserve">describe the particle and flow dynamics and the approach used to </w:t>
      </w:r>
      <w:r w:rsidR="1B3534E5" w:rsidRPr="0680406C">
        <w:rPr>
          <w:lang w:val="en-GB"/>
        </w:rPr>
        <w:t>track</w:t>
      </w:r>
      <w:r w:rsidR="5D171CF1" w:rsidRPr="0680406C">
        <w:rPr>
          <w:lang w:val="en-GB"/>
        </w:rPr>
        <w:t xml:space="preserve"> </w:t>
      </w:r>
      <w:r w:rsidR="64A03F08" w:rsidRPr="0680406C">
        <w:rPr>
          <w:lang w:val="en-GB"/>
        </w:rPr>
        <w:t xml:space="preserve">the accumulation of </w:t>
      </w:r>
      <w:r w:rsidR="1C33693C" w:rsidRPr="0680406C">
        <w:rPr>
          <w:lang w:val="en-GB"/>
        </w:rPr>
        <w:t xml:space="preserve">shear </w:t>
      </w:r>
      <w:r w:rsidR="113ECA0E" w:rsidRPr="0680406C">
        <w:rPr>
          <w:lang w:val="en-GB"/>
        </w:rPr>
        <w:t>stress</w:t>
      </w:r>
      <w:r w:rsidR="20FC794E" w:rsidRPr="0680406C">
        <w:rPr>
          <w:lang w:val="en-GB"/>
        </w:rPr>
        <w:t>es</w:t>
      </w:r>
      <w:r w:rsidR="113ECA0E" w:rsidRPr="0680406C">
        <w:rPr>
          <w:lang w:val="en-GB"/>
        </w:rPr>
        <w:t xml:space="preserve"> </w:t>
      </w:r>
      <w:r w:rsidR="674876ED" w:rsidRPr="0680406C">
        <w:rPr>
          <w:lang w:val="en-GB"/>
        </w:rPr>
        <w:t>o</w:t>
      </w:r>
      <w:r w:rsidR="08427A9F" w:rsidRPr="0680406C">
        <w:rPr>
          <w:lang w:val="en-GB"/>
        </w:rPr>
        <w:t>n the aggregate structure</w:t>
      </w:r>
      <w:r w:rsidR="1FE964AE" w:rsidRPr="0680406C">
        <w:rPr>
          <w:lang w:val="en-GB"/>
        </w:rPr>
        <w:t xml:space="preserve">; in Section 3 we discuss results for ductile </w:t>
      </w:r>
      <w:r w:rsidR="3E08101B" w:rsidRPr="0680406C">
        <w:rPr>
          <w:lang w:val="en-GB"/>
        </w:rPr>
        <w:t>breakup</w:t>
      </w:r>
      <w:r w:rsidR="1FE964AE" w:rsidRPr="0680406C">
        <w:rPr>
          <w:lang w:val="en-GB"/>
        </w:rPr>
        <w:t xml:space="preserve"> and we contrast</w:t>
      </w:r>
      <w:r w:rsidR="6E3EACD7" w:rsidRPr="0680406C">
        <w:rPr>
          <w:lang w:val="en-GB"/>
        </w:rPr>
        <w:t xml:space="preserve"> </w:t>
      </w:r>
      <w:r w:rsidR="04E8BED7" w:rsidRPr="0680406C">
        <w:rPr>
          <w:lang w:val="en-GB"/>
        </w:rPr>
        <w:t>them</w:t>
      </w:r>
      <w:r w:rsidR="1FE964AE" w:rsidRPr="0680406C">
        <w:rPr>
          <w:lang w:val="en-GB"/>
        </w:rPr>
        <w:t xml:space="preserve"> </w:t>
      </w:r>
      <w:r w:rsidR="518D8849" w:rsidRPr="0680406C">
        <w:rPr>
          <w:lang w:val="en-GB"/>
        </w:rPr>
        <w:t>with</w:t>
      </w:r>
      <w:r w:rsidR="1FE964AE" w:rsidRPr="0680406C">
        <w:rPr>
          <w:lang w:val="en-GB"/>
        </w:rPr>
        <w:t xml:space="preserve"> </w:t>
      </w:r>
      <w:r w:rsidR="6402F821" w:rsidRPr="0680406C">
        <w:rPr>
          <w:lang w:val="en-GB"/>
        </w:rPr>
        <w:t xml:space="preserve">those </w:t>
      </w:r>
      <w:r w:rsidR="528A9BF3" w:rsidRPr="0680406C">
        <w:rPr>
          <w:lang w:val="en-GB"/>
        </w:rPr>
        <w:t xml:space="preserve">obtained </w:t>
      </w:r>
      <w:r w:rsidR="194945FE" w:rsidRPr="0680406C">
        <w:rPr>
          <w:lang w:val="en-GB"/>
        </w:rPr>
        <w:t>for</w:t>
      </w:r>
      <w:r w:rsidR="6402F821" w:rsidRPr="0680406C">
        <w:rPr>
          <w:lang w:val="en-GB"/>
        </w:rPr>
        <w:t xml:space="preserve"> brittle aggregates and with the predictions that can be </w:t>
      </w:r>
      <w:r w:rsidR="3DD2835E" w:rsidRPr="0680406C">
        <w:rPr>
          <w:lang w:val="en-GB"/>
        </w:rPr>
        <w:t xml:space="preserve">obtained </w:t>
      </w:r>
      <w:r w:rsidR="331AA523" w:rsidRPr="0680406C">
        <w:rPr>
          <w:lang w:val="en-GB"/>
        </w:rPr>
        <w:t xml:space="preserve">by simple </w:t>
      </w:r>
      <w:proofErr w:type="spellStart"/>
      <w:r w:rsidR="331AA523" w:rsidRPr="0680406C">
        <w:rPr>
          <w:lang w:val="en-GB"/>
        </w:rPr>
        <w:t>modeling</w:t>
      </w:r>
      <w:proofErr w:type="spellEnd"/>
      <w:r w:rsidR="33AC0A58" w:rsidRPr="0680406C">
        <w:rPr>
          <w:lang w:val="en-GB"/>
        </w:rPr>
        <w:t xml:space="preserve">. </w:t>
      </w:r>
      <w:r w:rsidR="6E4ADAD1" w:rsidRPr="0680406C">
        <w:rPr>
          <w:lang w:val="en-GB"/>
        </w:rPr>
        <w:t>Concluding remarks follow.</w:t>
      </w:r>
    </w:p>
    <w:p w14:paraId="57409206" w14:textId="4E09FB11" w:rsidR="512B6990" w:rsidRDefault="512B6990" w:rsidP="121B2B48">
      <w:pPr>
        <w:pStyle w:val="Heading1"/>
        <w:rPr>
          <w:bCs/>
        </w:rPr>
      </w:pPr>
      <w:r>
        <w:t>Methods</w:t>
      </w:r>
    </w:p>
    <w:p w14:paraId="0232C8CD" w14:textId="0DA59183" w:rsidR="0969B85E" w:rsidRDefault="0969B85E" w:rsidP="121B2B48">
      <w:pPr>
        <w:pStyle w:val="CETBodytext"/>
      </w:pPr>
      <w:r>
        <w:t>We consider a dilute suspension of aggregates described as point-like tracer particles, which have no feedback on the flow in which they are suspended, and which have no</w:t>
      </w:r>
      <w:r w:rsidR="4CB1F922">
        <w:t xml:space="preserve"> hydrodynamical interactions between them. Aggregates </w:t>
      </w:r>
      <w:r w:rsidR="1060B696">
        <w:t>are smaller than the</w:t>
      </w:r>
      <w:r w:rsidR="4CB1F922">
        <w:t xml:space="preserve"> Kolmogorov scale</w:t>
      </w:r>
      <w:r w:rsidR="549DF3E6">
        <w:t xml:space="preserve"> </w:t>
      </w:r>
      <w:r w:rsidR="0680406C">
        <w:t xml:space="preserve">of the flow </w:t>
      </w:r>
      <w:r w:rsidR="75301379" w:rsidRPr="0680406C">
        <w:rPr>
          <w:i/>
          <w:iCs/>
        </w:rPr>
        <w:t xml:space="preserve">η </w:t>
      </w:r>
      <w:r w:rsidR="0680406C">
        <w:t>and are treated as tracers carried passively by the flow. Their equation of motion thus reads as:</w:t>
      </w:r>
    </w:p>
    <w:p w14:paraId="30869CFE" w14:textId="3CCCBF29" w:rsidR="0969B85E" w:rsidRDefault="16EE9C6B" w:rsidP="131D62C6">
      <w:pPr>
        <w:pStyle w:val="CETBodytext"/>
        <w:jc w:val="left"/>
      </w:pPr>
      <w:r>
        <w:rPr>
          <w:noProof/>
        </w:rPr>
        <w:drawing>
          <wp:inline distT="0" distB="0" distL="0" distR="0" wp14:anchorId="663DF180" wp14:editId="2722BCAC">
            <wp:extent cx="1093074" cy="250572"/>
            <wp:effectExtent l="0" t="0" r="0" b="0"/>
            <wp:docPr id="609679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93074" cy="250572"/>
                    </a:xfrm>
                    <a:prstGeom prst="rect">
                      <a:avLst/>
                    </a:prstGeom>
                  </pic:spPr>
                </pic:pic>
              </a:graphicData>
            </a:graphic>
          </wp:inline>
        </w:drawing>
      </w:r>
      <w:r w:rsidR="5C91B58E">
        <w:t xml:space="preserve">  </w:t>
      </w:r>
      <w:r w:rsidR="74C6DF78">
        <w:t xml:space="preserve">  </w:t>
      </w:r>
      <w:r w:rsidR="4B18CED3">
        <w:t xml:space="preserve"> </w:t>
      </w:r>
      <w:r w:rsidR="74C6DF78">
        <w:t xml:space="preserve">                                         </w:t>
      </w:r>
      <w:r w:rsidR="5C91B58E">
        <w:t xml:space="preserve">        </w:t>
      </w:r>
      <w:r w:rsidR="000D4135">
        <w:t xml:space="preserve">      </w:t>
      </w:r>
      <w:r w:rsidR="5C91B58E">
        <w:t xml:space="preserve">   </w:t>
      </w:r>
      <w:r>
        <w:t xml:space="preserve">                                                                  </w:t>
      </w:r>
      <w:r w:rsidR="31CCD899">
        <w:t xml:space="preserve"> </w:t>
      </w:r>
      <w:r w:rsidR="59DB7FF1">
        <w:t xml:space="preserve"> </w:t>
      </w:r>
      <w:r>
        <w:t xml:space="preserve">     (1)</w:t>
      </w:r>
      <w:r w:rsidR="218BA71E">
        <w:t xml:space="preserve"> </w:t>
      </w:r>
      <w:r w:rsidR="77DEB066">
        <w:t xml:space="preserve">   </w:t>
      </w:r>
    </w:p>
    <w:p w14:paraId="20B43637" w14:textId="01B1EAD3" w:rsidR="0969B85E" w:rsidRDefault="218BA71E" w:rsidP="121B2B48">
      <w:pPr>
        <w:pStyle w:val="CETBodytext"/>
      </w:pPr>
      <w:r>
        <w:t xml:space="preserve">where </w:t>
      </w:r>
      <w:proofErr w:type="spellStart"/>
      <w:r w:rsidR="1294075B" w:rsidRPr="131D62C6">
        <w:rPr>
          <w:b/>
          <w:bCs/>
        </w:rPr>
        <w:t>x</w:t>
      </w:r>
      <w:r w:rsidR="1294075B" w:rsidRPr="131D62C6">
        <w:rPr>
          <w:vertAlign w:val="subscript"/>
        </w:rPr>
        <w:t>p</w:t>
      </w:r>
      <w:proofErr w:type="spellEnd"/>
      <w:r>
        <w:t xml:space="preserve"> is the particle </w:t>
      </w:r>
      <w:r w:rsidR="6F304456">
        <w:t>position</w:t>
      </w:r>
      <w:r>
        <w:t xml:space="preserve"> and </w:t>
      </w:r>
      <w:r w:rsidR="3A381FD1" w:rsidRPr="131D62C6">
        <w:rPr>
          <w:b/>
          <w:bCs/>
        </w:rPr>
        <w:t>u</w:t>
      </w:r>
      <w:r w:rsidR="3A381FD1">
        <w:t xml:space="preserve"> </w:t>
      </w:r>
      <w:r w:rsidR="758819DC">
        <w:t>the fluid velocity</w:t>
      </w:r>
      <w:r w:rsidR="5B63C42A">
        <w:t>.</w:t>
      </w:r>
      <w:r w:rsidR="758819DC">
        <w:t xml:space="preserve"> Th</w:t>
      </w:r>
      <w:r w:rsidR="2EB0CD94">
        <w:t xml:space="preserve">e </w:t>
      </w:r>
      <w:r w:rsidR="3457A014">
        <w:t>latter</w:t>
      </w:r>
      <w:r w:rsidR="2EB0CD94">
        <w:t xml:space="preserve"> </w:t>
      </w:r>
      <w:r w:rsidR="706D873A">
        <w:t>was evolved according to the incompressible Navier-Stokes (NS) equations reading as:</w:t>
      </w:r>
    </w:p>
    <w:p w14:paraId="20FA40D0" w14:textId="4F1B543B" w:rsidR="0969B85E" w:rsidRDefault="0CB46C41" w:rsidP="131D62C6">
      <w:pPr>
        <w:pStyle w:val="CETBodytext"/>
        <w:jc w:val="left"/>
      </w:pPr>
      <w:r>
        <w:rPr>
          <w:noProof/>
        </w:rPr>
        <w:drawing>
          <wp:inline distT="0" distB="0" distL="0" distR="0" wp14:anchorId="69997B8F" wp14:editId="18048319">
            <wp:extent cx="4002163" cy="525284"/>
            <wp:effectExtent l="0" t="0" r="0" b="0"/>
            <wp:docPr id="15673348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002163" cy="525284"/>
                    </a:xfrm>
                    <a:prstGeom prst="rect">
                      <a:avLst/>
                    </a:prstGeom>
                  </pic:spPr>
                </pic:pic>
              </a:graphicData>
            </a:graphic>
          </wp:inline>
        </w:drawing>
      </w:r>
      <w:r w:rsidR="05D9F8E1">
        <w:t xml:space="preserve">     </w:t>
      </w:r>
      <w:r w:rsidR="2C072FF0">
        <w:t xml:space="preserve">     </w:t>
      </w:r>
      <w:r w:rsidR="4972D72B">
        <w:t xml:space="preserve">     </w:t>
      </w:r>
      <w:r w:rsidR="2C072FF0">
        <w:t xml:space="preserve">        </w:t>
      </w:r>
      <w:r w:rsidR="000D4135">
        <w:t xml:space="preserve">   </w:t>
      </w:r>
      <w:r w:rsidR="2C072FF0">
        <w:t xml:space="preserve">                   (2)</w:t>
      </w:r>
    </w:p>
    <w:p w14:paraId="753B5AD2" w14:textId="460F8FBE" w:rsidR="08DE7E5A" w:rsidRDefault="149DAD32" w:rsidP="5D879143">
      <w:pPr>
        <w:pStyle w:val="CETBodytext"/>
      </w:pPr>
      <w:r>
        <w:t>w</w:t>
      </w:r>
      <w:r w:rsidR="4CB4BD57">
        <w:t xml:space="preserve">here </w:t>
      </w:r>
      <w:r w:rsidR="57A86636" w:rsidRPr="0680406C">
        <w:rPr>
          <w:i/>
          <w:iCs/>
        </w:rPr>
        <w:t>ρ</w:t>
      </w:r>
      <w:r w:rsidR="57A86636">
        <w:t xml:space="preserve"> </w:t>
      </w:r>
      <w:r w:rsidR="3EB6C0FA">
        <w:t xml:space="preserve">and </w:t>
      </w:r>
      <w:r w:rsidR="7855F39D" w:rsidRPr="0680406C">
        <w:rPr>
          <w:i/>
          <w:iCs/>
        </w:rPr>
        <w:t>p</w:t>
      </w:r>
      <w:r w:rsidR="7855F39D">
        <w:t xml:space="preserve"> </w:t>
      </w:r>
      <w:r w:rsidR="3EB6C0FA">
        <w:t>are the fluid density and pressure</w:t>
      </w:r>
      <w:r w:rsidR="2B040AC7">
        <w:t>,</w:t>
      </w:r>
      <w:r w:rsidR="3EB6C0FA">
        <w:t xml:space="preserve"> respectively</w:t>
      </w:r>
      <w:r w:rsidR="00B40A48">
        <w:t>,</w:t>
      </w:r>
      <w:r w:rsidR="3EB6C0FA">
        <w:t xml:space="preserve"> and where </w:t>
      </w:r>
      <w:r w:rsidR="3FF006EB" w:rsidRPr="0680406C">
        <w:rPr>
          <w:b/>
          <w:bCs/>
        </w:rPr>
        <w:t>F</w:t>
      </w:r>
      <w:r w:rsidR="780EA4DA" w:rsidRPr="0680406C">
        <w:rPr>
          <w:b/>
          <w:bCs/>
        </w:rPr>
        <w:t xml:space="preserve"> </w:t>
      </w:r>
      <w:r w:rsidR="3EB6C0FA">
        <w:t>is a forcing term injecting energy in the first low-wave number shells and keeping constant their spectral content</w:t>
      </w:r>
      <w:r w:rsidR="1B0E1349">
        <w:t xml:space="preserve"> (Bec et al., 2010)</w:t>
      </w:r>
      <w:r w:rsidR="56F95EEE">
        <w:t xml:space="preserve">. </w:t>
      </w:r>
      <w:r w:rsidR="54E80009">
        <w:t>The N</w:t>
      </w:r>
      <w:r w:rsidR="1A267140">
        <w:t>S</w:t>
      </w:r>
      <w:r w:rsidR="54E80009">
        <w:t xml:space="preserve"> equations are solved on a 512</w:t>
      </w:r>
      <w:r w:rsidR="54E80009" w:rsidRPr="0680406C">
        <w:rPr>
          <w:vertAlign w:val="superscript"/>
        </w:rPr>
        <w:t>3</w:t>
      </w:r>
      <w:r w:rsidR="54E80009">
        <w:t xml:space="preserve"> cubic grid with periodic boundary conditions</w:t>
      </w:r>
      <w:r w:rsidR="336DF9A6">
        <w:t>,</w:t>
      </w:r>
      <w:r w:rsidR="54E80009">
        <w:t xml:space="preserve"> and a Taylor</w:t>
      </w:r>
      <w:r w:rsidR="4B56D049">
        <w:t>-</w:t>
      </w:r>
      <w:r w:rsidR="49F2F258">
        <w:t xml:space="preserve">scale </w:t>
      </w:r>
      <w:r w:rsidR="54E80009">
        <w:t xml:space="preserve">Reynolds number </w:t>
      </w:r>
      <w:proofErr w:type="spellStart"/>
      <w:r w:rsidR="54E80009">
        <w:t>Re</w:t>
      </w:r>
      <w:r w:rsidR="54E80009" w:rsidRPr="0680406C">
        <w:rPr>
          <w:vertAlign w:val="subscript"/>
        </w:rPr>
        <w:t>λ</w:t>
      </w:r>
      <w:proofErr w:type="spellEnd"/>
      <w:r w:rsidR="54E80009">
        <w:t xml:space="preserve"> ≃ 185. </w:t>
      </w:r>
      <w:r w:rsidR="56F95EEE">
        <w:t xml:space="preserve">The kinematic viscosity is chosen in such a way that the Kolmogorov length scale equals the grid spacing </w:t>
      </w:r>
      <w:r w:rsidR="56F95EEE" w:rsidRPr="0680406C">
        <w:rPr>
          <w:i/>
          <w:iCs/>
        </w:rPr>
        <w:t xml:space="preserve">η ≃ </w:t>
      </w:r>
      <w:proofErr w:type="spellStart"/>
      <w:r w:rsidR="56F95EEE" w:rsidRPr="0680406C">
        <w:rPr>
          <w:i/>
          <w:iCs/>
        </w:rPr>
        <w:t>δx</w:t>
      </w:r>
      <w:proofErr w:type="spellEnd"/>
      <w:r w:rsidR="56F95EEE" w:rsidRPr="0680406C">
        <w:rPr>
          <w:i/>
          <w:iCs/>
        </w:rPr>
        <w:t>.</w:t>
      </w:r>
      <w:r w:rsidR="4D07226B" w:rsidRPr="0680406C">
        <w:rPr>
          <w:i/>
          <w:iCs/>
        </w:rPr>
        <w:t xml:space="preserve"> </w:t>
      </w:r>
      <w:r w:rsidR="4D07226B">
        <w:t>In Table 1 the main characteristics of the flow are reported. Further numerical details can be found in the work by Bec et al. (2010).</w:t>
      </w:r>
      <w:r w:rsidR="00A91F9D">
        <w:t xml:space="preserve"> </w:t>
      </w:r>
      <w:r w:rsidR="08DE7E5A">
        <w:t xml:space="preserve">The stress acting on the particles is the one due to shear only, which is computed </w:t>
      </w:r>
      <w:r w:rsidR="3BB7A824">
        <w:t xml:space="preserve">along trajectories </w:t>
      </w:r>
      <w:r w:rsidR="08DE7E5A">
        <w:t>as</w:t>
      </w:r>
      <w:r w:rsidR="00A91F9D">
        <w:t xml:space="preserve"> (Kusters</w:t>
      </w:r>
      <w:r w:rsidR="5B048A4A">
        <w:t>,</w:t>
      </w:r>
      <w:r w:rsidR="00A91F9D">
        <w:t xml:space="preserve"> 1991</w:t>
      </w:r>
      <w:r w:rsidR="6AD9BAF5">
        <w:t>)</w:t>
      </w:r>
      <w:r w:rsidR="08DE7E5A">
        <w:t>:</w:t>
      </w:r>
    </w:p>
    <w:p w14:paraId="15BAAB04" w14:textId="1A09B89E" w:rsidR="4C9C54E7" w:rsidRDefault="4C9C54E7" w:rsidP="5D879143">
      <w:pPr>
        <w:pStyle w:val="CETBodytext"/>
      </w:pPr>
      <w:r>
        <w:rPr>
          <w:noProof/>
        </w:rPr>
        <w:drawing>
          <wp:inline distT="0" distB="0" distL="0" distR="0" wp14:anchorId="4F8DFD45" wp14:editId="7B316E0B">
            <wp:extent cx="1877681" cy="508538"/>
            <wp:effectExtent l="0" t="0" r="0" b="0"/>
            <wp:docPr id="7371848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877681" cy="508538"/>
                    </a:xfrm>
                    <a:prstGeom prst="rect">
                      <a:avLst/>
                    </a:prstGeom>
                  </pic:spPr>
                </pic:pic>
              </a:graphicData>
            </a:graphic>
          </wp:inline>
        </w:drawing>
      </w:r>
      <w:r w:rsidR="7992DCF4">
        <w:t xml:space="preserve">                                                                                  </w:t>
      </w:r>
      <w:r w:rsidR="000D4135">
        <w:t xml:space="preserve">        </w:t>
      </w:r>
      <w:r w:rsidR="7992DCF4">
        <w:t xml:space="preserve">                         </w:t>
      </w:r>
      <w:r w:rsidR="4480BCCC">
        <w:t xml:space="preserve">  </w:t>
      </w:r>
      <w:r w:rsidR="7992DCF4">
        <w:t>(3)</w:t>
      </w:r>
    </w:p>
    <w:p w14:paraId="2FA40A24" w14:textId="43FE25EC" w:rsidR="6A9EB9A2" w:rsidRDefault="1E025F2A" w:rsidP="5D879143">
      <w:pPr>
        <w:pStyle w:val="CETBodytext"/>
      </w:pPr>
      <w:r>
        <w:t>w</w:t>
      </w:r>
      <w:r w:rsidR="6A9EB9A2">
        <w:t xml:space="preserve">here </w:t>
      </w:r>
      <w:r w:rsidR="6A9EB9A2" w:rsidRPr="0680406C">
        <w:rPr>
          <w:i/>
          <w:iCs/>
        </w:rPr>
        <w:t>ε</w:t>
      </w:r>
      <w:r w:rsidR="3A56FCE3" w:rsidRPr="0680406C">
        <w:rPr>
          <w:i/>
          <w:iCs/>
        </w:rPr>
        <w:t>(</w:t>
      </w:r>
      <w:proofErr w:type="spellStart"/>
      <w:r w:rsidR="3A56FCE3" w:rsidRPr="0680406C">
        <w:rPr>
          <w:b/>
          <w:bCs/>
          <w:i/>
          <w:iCs/>
        </w:rPr>
        <w:t>x</w:t>
      </w:r>
      <w:r w:rsidR="3A56FCE3" w:rsidRPr="0680406C">
        <w:rPr>
          <w:i/>
          <w:iCs/>
          <w:vertAlign w:val="subscript"/>
        </w:rPr>
        <w:t>p</w:t>
      </w:r>
      <w:proofErr w:type="spellEnd"/>
      <w:r w:rsidR="3A56FCE3" w:rsidRPr="0680406C">
        <w:rPr>
          <w:i/>
          <w:iCs/>
        </w:rPr>
        <w:t>)</w:t>
      </w:r>
      <w:r w:rsidR="6A9EB9A2">
        <w:t xml:space="preserve"> is the </w:t>
      </w:r>
      <w:r w:rsidR="62AED16D">
        <w:t xml:space="preserve">local </w:t>
      </w:r>
      <w:r w:rsidR="6A9EB9A2">
        <w:t>turbulent energy dissipation rate computed as</w:t>
      </w:r>
      <w:r w:rsidR="1D1296D2">
        <w:t xml:space="preserve"> </w:t>
      </w:r>
      <w:r w:rsidR="1D1296D2" w:rsidRPr="0680406C">
        <w:rPr>
          <w:i/>
          <w:iCs/>
        </w:rPr>
        <w:t>ε=</w:t>
      </w:r>
      <m:oMath>
        <m:r>
          <w:rPr>
            <w:rFonts w:ascii="Cambria Math" w:hAnsi="Cambria Math"/>
          </w:rPr>
          <m:t>2υ</m:t>
        </m:r>
        <m:sSub>
          <m:sSubPr>
            <m:ctrlPr>
              <w:rPr>
                <w:rFonts w:ascii="Cambria Math" w:hAnsi="Cambria Math"/>
              </w:rPr>
            </m:ctrlPr>
          </m:sSubPr>
          <m:e>
            <m:r>
              <w:rPr>
                <w:rFonts w:ascii="Cambria Math" w:hAnsi="Cambria Math"/>
              </w:rPr>
              <m:t>e</m:t>
            </m:r>
          </m:e>
          <m:sub>
            <m:r>
              <w:rPr>
                <w:rFonts w:ascii="Cambria Math" w:hAnsi="Cambria Math"/>
              </w:rPr>
              <m:t>ij</m:t>
            </m:r>
          </m:sub>
        </m:sSub>
        <m:sSub>
          <m:sSubPr>
            <m:ctrlPr>
              <w:rPr>
                <w:rFonts w:ascii="Cambria Math" w:hAnsi="Cambria Math"/>
              </w:rPr>
            </m:ctrlPr>
          </m:sSubPr>
          <m:e>
            <m:r>
              <w:rPr>
                <w:rFonts w:ascii="Cambria Math" w:hAnsi="Cambria Math"/>
              </w:rPr>
              <m:t>e</m:t>
            </m:r>
          </m:e>
          <m:sub>
            <m:r>
              <w:rPr>
                <w:rFonts w:ascii="Cambria Math" w:hAnsi="Cambria Math"/>
              </w:rPr>
              <m:t>ij</m:t>
            </m:r>
          </m:sub>
        </m:sSub>
      </m:oMath>
      <w:r w:rsidR="5C117E32">
        <w:t xml:space="preserve"> with </w:t>
      </w:r>
      <m:oMath>
        <m:sSub>
          <m:sSubPr>
            <m:ctrlPr>
              <w:rPr>
                <w:rFonts w:ascii="Cambria Math" w:hAnsi="Cambria Math"/>
              </w:rPr>
            </m:ctrlPr>
          </m:sSubPr>
          <m:e>
            <m:r>
              <w:rPr>
                <w:rFonts w:ascii="Cambria Math" w:hAnsi="Cambria Math"/>
              </w:rPr>
              <m:t>e</m:t>
            </m:r>
          </m:e>
          <m:sub>
            <m:r>
              <w:rPr>
                <w:rFonts w:ascii="Cambria Math" w:hAnsi="Cambria Math"/>
              </w:rPr>
              <m:t>ij</m:t>
            </m:r>
          </m:sub>
        </m:sSub>
      </m:oMath>
      <w:r w:rsidR="5C117E32" w:rsidRPr="0680406C">
        <w:rPr>
          <w:i/>
          <w:iCs/>
        </w:rPr>
        <w:t xml:space="preserve"> </w:t>
      </w:r>
      <w:r w:rsidR="5C117E32">
        <w:t>being the rate of deformation tensor</w:t>
      </w:r>
      <w:r w:rsidR="76DA810B">
        <w:t>,</w:t>
      </w:r>
      <w:r w:rsidR="5C117E32">
        <w:t xml:space="preserve"> </w:t>
      </w:r>
      <w:r w:rsidR="0419093A">
        <w:t xml:space="preserve">and </w:t>
      </w:r>
      <w:r w:rsidR="1BE3CC40">
        <w:t xml:space="preserve">where </w:t>
      </w:r>
      <m:oMath>
        <m:r>
          <w:rPr>
            <w:rFonts w:ascii="Cambria Math" w:hAnsi="Cambria Math"/>
          </w:rPr>
          <m:t>ν</m:t>
        </m:r>
      </m:oMath>
      <w:r w:rsidR="5C117E32">
        <w:t xml:space="preserve"> </w:t>
      </w:r>
      <w:r w:rsidR="75BA3BCE">
        <w:t>and</w:t>
      </w:r>
      <w:r w:rsidR="48A052AD">
        <w:t xml:space="preserve"> </w:t>
      </w:r>
      <m:oMath>
        <m:r>
          <w:rPr>
            <w:rFonts w:ascii="Cambria Math" w:hAnsi="Cambria Math"/>
          </w:rPr>
          <m:t>μ</m:t>
        </m:r>
      </m:oMath>
      <w:r w:rsidR="1B0A1ABD">
        <w:t xml:space="preserve"> </w:t>
      </w:r>
      <w:r w:rsidR="4B3CCBBE">
        <w:t xml:space="preserve">are </w:t>
      </w:r>
      <w:r w:rsidR="1B0A1ABD">
        <w:t>the</w:t>
      </w:r>
      <w:r w:rsidR="0A059ED6">
        <w:t xml:space="preserve"> </w:t>
      </w:r>
      <w:r w:rsidR="48A052AD">
        <w:t xml:space="preserve">kinematic </w:t>
      </w:r>
      <w:r w:rsidR="604BA53F">
        <w:t xml:space="preserve">and dynamic </w:t>
      </w:r>
      <w:r w:rsidR="48A052AD">
        <w:t>viscosity of the fluid</w:t>
      </w:r>
      <w:r w:rsidR="395D6203">
        <w:t>, respectively.</w:t>
      </w:r>
      <w:r w:rsidR="5C117E32">
        <w:t xml:space="preserve"> </w:t>
      </w:r>
    </w:p>
    <w:p w14:paraId="3895FE6F" w14:textId="7553D4D4" w:rsidR="6A9EB9A2" w:rsidRDefault="76920902" w:rsidP="5D879143">
      <w:pPr>
        <w:pStyle w:val="CETBodytext"/>
      </w:pPr>
      <w:r>
        <w:t xml:space="preserve">We are interested in assessing the occurrence of ductile </w:t>
      </w:r>
      <w:r w:rsidR="6ED2A343">
        <w:t>b</w:t>
      </w:r>
      <w:r>
        <w:t>re</w:t>
      </w:r>
      <w:r w:rsidR="6ED2A343">
        <w:t>akup</w:t>
      </w:r>
      <w:r>
        <w:t>. We assume that the break</w:t>
      </w:r>
      <w:r w:rsidR="0F3AB336">
        <w:t>up</w:t>
      </w:r>
      <w:r>
        <w:t xml:space="preserve"> process </w:t>
      </w:r>
      <w:r w:rsidR="0E7EFCC5">
        <w:t xml:space="preserve">has to be </w:t>
      </w:r>
      <w:r>
        <w:t xml:space="preserve">first activated </w:t>
      </w:r>
      <w:r w:rsidR="3E1968BB">
        <w:t xml:space="preserve">(and this occurs </w:t>
      </w:r>
      <w:r>
        <w:t xml:space="preserve">when the hydrodynamic stress </w:t>
      </w:r>
      <w:r w:rsidRPr="0680406C">
        <w:rPr>
          <w:i/>
          <w:iCs/>
        </w:rPr>
        <w:t>σ</w:t>
      </w:r>
      <w:r>
        <w:t xml:space="preserve"> acting on the aggregate exceeds a critical value </w:t>
      </w:r>
      <w:proofErr w:type="spellStart"/>
      <w:r w:rsidRPr="0680406C">
        <w:rPr>
          <w:i/>
          <w:iCs/>
        </w:rPr>
        <w:t>σ</w:t>
      </w:r>
      <w:r w:rsidRPr="0680406C">
        <w:rPr>
          <w:i/>
          <w:iCs/>
          <w:vertAlign w:val="subscript"/>
        </w:rPr>
        <w:t>cr</w:t>
      </w:r>
      <w:proofErr w:type="spellEnd"/>
      <w:r w:rsidR="022ABBDA">
        <w:t>,</w:t>
      </w:r>
      <w:r>
        <w:t xml:space="preserve"> that is </w:t>
      </w:r>
      <w:r w:rsidR="212E8DCF">
        <w:t xml:space="preserve">a </w:t>
      </w:r>
      <w:r>
        <w:t xml:space="preserve">characteristic of </w:t>
      </w:r>
      <w:r w:rsidR="1FAFDC62">
        <w:t xml:space="preserve">the </w:t>
      </w:r>
      <w:r w:rsidR="2560B53C">
        <w:t>aggregate</w:t>
      </w:r>
      <w:r>
        <w:t xml:space="preserve"> internal strength</w:t>
      </w:r>
      <w:r w:rsidR="44D2AFA5">
        <w:t>)</w:t>
      </w:r>
      <w:r w:rsidR="3EAADD6E">
        <w:t xml:space="preserve"> and then it proceeds through the accumulation of energy</w:t>
      </w:r>
      <w:r w:rsidR="39CAEE35">
        <w:t xml:space="preserve"> until a critical threshold is reached</w:t>
      </w:r>
      <w:r w:rsidR="3EAADD6E">
        <w:t>.</w:t>
      </w:r>
      <w:r>
        <w:t xml:space="preserve"> As long as the condition </w:t>
      </w:r>
      <w:r w:rsidRPr="0680406C">
        <w:rPr>
          <w:i/>
          <w:iCs/>
        </w:rPr>
        <w:t>σ&gt;</w:t>
      </w:r>
      <w:proofErr w:type="spellStart"/>
      <w:r w:rsidRPr="0680406C">
        <w:rPr>
          <w:i/>
          <w:iCs/>
        </w:rPr>
        <w:t>σ</w:t>
      </w:r>
      <w:r w:rsidRPr="0680406C">
        <w:rPr>
          <w:i/>
          <w:iCs/>
          <w:vertAlign w:val="subscript"/>
        </w:rPr>
        <w:t>cr</w:t>
      </w:r>
      <w:proofErr w:type="spellEnd"/>
      <w:r>
        <w:t xml:space="preserve"> is met</w:t>
      </w:r>
      <w:r w:rsidR="28560A7E">
        <w:t>,</w:t>
      </w:r>
      <w:r>
        <w:t xml:space="preserve"> the aggregate stores energy as:</w:t>
      </w:r>
    </w:p>
    <w:p w14:paraId="39AAE379" w14:textId="425F5BA2" w:rsidR="76920902" w:rsidRDefault="19800F38" w:rsidP="5D879143">
      <w:pPr>
        <w:pStyle w:val="CETBodytext"/>
        <w:jc w:val="left"/>
      </w:pPr>
      <w:r>
        <w:rPr>
          <w:noProof/>
        </w:rPr>
        <w:drawing>
          <wp:inline distT="0" distB="0" distL="0" distR="0" wp14:anchorId="779D50F6" wp14:editId="6D847026">
            <wp:extent cx="2649491" cy="563017"/>
            <wp:effectExtent l="0" t="0" r="0" b="0"/>
            <wp:docPr id="669721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649491" cy="563017"/>
                    </a:xfrm>
                    <a:prstGeom prst="rect">
                      <a:avLst/>
                    </a:prstGeom>
                  </pic:spPr>
                </pic:pic>
              </a:graphicData>
            </a:graphic>
          </wp:inline>
        </w:drawing>
      </w:r>
      <w:r>
        <w:t xml:space="preserve">                                                                                    (4)</w:t>
      </w:r>
    </w:p>
    <w:p w14:paraId="2EEFE2D1" w14:textId="0C330832" w:rsidR="76920902" w:rsidRDefault="6F5C0CDC" w:rsidP="131D62C6">
      <w:pPr>
        <w:pStyle w:val="CETBodytext"/>
      </w:pPr>
      <w:r>
        <w:t>w</w:t>
      </w:r>
      <w:r w:rsidR="19800F38">
        <w:t>here</w:t>
      </w:r>
      <w:r w:rsidR="6F9DFA35">
        <w:t xml:space="preserve"> </w:t>
      </w:r>
      <m:oMath>
        <m:r>
          <w:rPr>
            <w:rFonts w:ascii="Cambria Math" w:hAnsi="Cambria Math"/>
          </w:rPr>
          <m:t>θ </m:t>
        </m:r>
      </m:oMath>
      <w:r w:rsidR="52429027">
        <w:t>is the Heaviside step functio</w:t>
      </w:r>
      <w:r w:rsidR="00057C2C">
        <w:t>n.</w:t>
      </w:r>
      <w:r w:rsidR="52429027">
        <w:t xml:space="preserve"> </w:t>
      </w:r>
      <w:r w:rsidR="76920902">
        <w:t xml:space="preserve">Breakup occurs when the </w:t>
      </w:r>
      <w:r w:rsidR="2C76548F">
        <w:t xml:space="preserve">accumulated </w:t>
      </w:r>
      <w:r w:rsidR="76920902" w:rsidRPr="0680406C">
        <w:t xml:space="preserve">energy </w:t>
      </w:r>
      <w:r w:rsidR="76920902">
        <w:t xml:space="preserve">exceeds a critical </w:t>
      </w:r>
      <w:r w:rsidR="05A20BA2">
        <w:t>threshold</w:t>
      </w:r>
      <w:r w:rsidR="76920902" w:rsidRPr="00A91F9D">
        <w:rPr>
          <w:i/>
          <w:iCs/>
        </w:rPr>
        <w:t xml:space="preserve"> </w:t>
      </w:r>
      <w:proofErr w:type="spellStart"/>
      <w:r w:rsidR="76920902" w:rsidRPr="0680406C">
        <w:rPr>
          <w:i/>
          <w:iCs/>
        </w:rPr>
        <w:t>E</w:t>
      </w:r>
      <w:r w:rsidR="76920902" w:rsidRPr="0680406C">
        <w:rPr>
          <w:vertAlign w:val="subscript"/>
        </w:rPr>
        <w:t>cr</w:t>
      </w:r>
      <w:proofErr w:type="spellEnd"/>
      <w:r w:rsidR="76920902">
        <w:t xml:space="preserve">. </w:t>
      </w:r>
      <w:r w:rsidR="78F6AEAF">
        <w:t>Hence, an individual aggregate that is released at</w:t>
      </w:r>
      <w:r w:rsidR="00A91F9D">
        <w:t xml:space="preserve"> a random</w:t>
      </w:r>
      <w:r w:rsidR="78F6AEAF" w:rsidRPr="0680406C">
        <w:t xml:space="preserve"> time </w:t>
      </w:r>
      <m:oMath>
        <m:sSub>
          <m:sSubPr>
            <m:ctrlPr>
              <w:rPr>
                <w:rFonts w:ascii="Cambria Math" w:hAnsi="Cambria Math"/>
              </w:rPr>
            </m:ctrlPr>
          </m:sSubPr>
          <m:e>
            <m:r>
              <w:rPr>
                <w:rFonts w:ascii="Cambria Math" w:hAnsi="Cambria Math"/>
              </w:rPr>
              <m:t>t</m:t>
            </m:r>
          </m:e>
          <m:sub>
            <m:r>
              <w:rPr>
                <w:rFonts w:ascii="Cambria Math" w:hAnsi="Cambria Math"/>
              </w:rPr>
              <m:t>0</m:t>
            </m:r>
          </m:sub>
        </m:sSub>
      </m:oMath>
      <w:r w:rsidR="78F6AEAF" w:rsidRPr="0680406C">
        <w:rPr>
          <w:i/>
          <w:iCs/>
        </w:rPr>
        <w:t xml:space="preserve"> </w:t>
      </w:r>
      <w:r w:rsidR="002A6E4D">
        <w:t xml:space="preserve">will break after a time-lag </w:t>
      </w:r>
      <m:oMath>
        <m:r>
          <w:rPr>
            <w:rFonts w:ascii="Cambria Math" w:hAnsi="Cambria Math"/>
          </w:rPr>
          <m:t>τ</m:t>
        </m:r>
      </m:oMath>
      <w:r w:rsidR="002A6E4D">
        <w:t xml:space="preserve"> </w:t>
      </w:r>
      <w:r w:rsidR="4D86D394">
        <w:t>which is the time</w:t>
      </w:r>
      <w:r w:rsidR="78F6AEAF">
        <w:t xml:space="preserve"> at which the accumulated energy</w:t>
      </w:r>
      <w:r w:rsidR="4B6EE03F">
        <w:t>,</w:t>
      </w:r>
      <w:r w:rsidR="78F6AEAF">
        <w:t xml:space="preserve"> as computed from Eq</w:t>
      </w:r>
      <w:r w:rsidR="3DCD9420">
        <w:t>(</w:t>
      </w:r>
      <w:r w:rsidR="3B092B75">
        <w:t>4</w:t>
      </w:r>
      <w:r w:rsidR="63A2097E">
        <w:t>)</w:t>
      </w:r>
      <w:r w:rsidR="5BC91805">
        <w:t>,</w:t>
      </w:r>
      <w:r w:rsidR="78F6AEAF">
        <w:t xml:space="preserve"> assumes a value </w:t>
      </w:r>
      <w:r w:rsidR="5A2325B4">
        <w:t xml:space="preserve">equal to </w:t>
      </w:r>
      <w:proofErr w:type="spellStart"/>
      <w:r w:rsidR="7122ECBC" w:rsidRPr="0680406C">
        <w:rPr>
          <w:i/>
          <w:iCs/>
        </w:rPr>
        <w:t>E</w:t>
      </w:r>
      <w:r w:rsidR="7122ECBC" w:rsidRPr="0680406C">
        <w:rPr>
          <w:i/>
          <w:iCs/>
          <w:vertAlign w:val="subscript"/>
        </w:rPr>
        <w:t>cr</w:t>
      </w:r>
      <w:proofErr w:type="spellEnd"/>
      <w:r w:rsidR="031F15B2" w:rsidRPr="0680406C">
        <w:rPr>
          <w:vertAlign w:val="subscript"/>
        </w:rPr>
        <w:t xml:space="preserve"> </w:t>
      </w:r>
      <w:r w:rsidR="031F15B2" w:rsidRPr="131D62C6">
        <w:t xml:space="preserve">(that is a characteristic of the aggregate </w:t>
      </w:r>
      <w:r w:rsidR="002B6153" w:rsidRPr="131D62C6">
        <w:t>toughness limit</w:t>
      </w:r>
      <w:r w:rsidR="031F15B2" w:rsidRPr="131D62C6">
        <w:t>)</w:t>
      </w:r>
      <w:r w:rsidR="78F6AEAF" w:rsidRPr="131D62C6">
        <w:t>.</w:t>
      </w:r>
      <w:r w:rsidR="1887BAD6" w:rsidRPr="131D62C6">
        <w:t xml:space="preserve"> Figure 1 illustrates the approach just outlined.</w:t>
      </w:r>
      <w:r w:rsidR="78F6AEAF" w:rsidRPr="131D62C6">
        <w:t xml:space="preserve"> </w:t>
      </w:r>
      <w:r w:rsidR="3F17AC7F" w:rsidRPr="131D62C6">
        <w:t xml:space="preserve">The breakup frequency follows as the inverse of the average time-lag obtained after </w:t>
      </w:r>
      <w:r w:rsidR="2AFE0701" w:rsidRPr="131D62C6">
        <w:t>tracking</w:t>
      </w:r>
      <w:r w:rsidR="3F17AC7F" w:rsidRPr="131D62C6">
        <w:t xml:space="preserve"> many aggregates</w:t>
      </w:r>
      <w:r w:rsidR="022E7DA0">
        <w:t>.</w:t>
      </w:r>
      <w:r w:rsidR="52F1379B">
        <w:t xml:space="preserve"> F</w:t>
      </w:r>
      <w:r w:rsidR="78F6AEAF">
        <w:t>ormally</w:t>
      </w:r>
      <w:r w:rsidR="346E7DA9">
        <w:t>, this</w:t>
      </w:r>
      <w:r w:rsidR="44822089">
        <w:t xml:space="preserve"> </w:t>
      </w:r>
      <w:r w:rsidR="78F6AEAF">
        <w:t xml:space="preserve">can </w:t>
      </w:r>
      <w:r w:rsidR="137EC523">
        <w:t xml:space="preserve">be </w:t>
      </w:r>
      <w:r w:rsidR="78F6AEAF">
        <w:t>written as:</w:t>
      </w:r>
    </w:p>
    <w:p w14:paraId="040DD6FF" w14:textId="2179F8BD" w:rsidR="675B94FA" w:rsidRDefault="67319D9D" w:rsidP="131D62C6">
      <w:pPr>
        <w:pStyle w:val="CETBodytext"/>
      </w:pPr>
      <w:r>
        <w:rPr>
          <w:noProof/>
        </w:rPr>
        <w:lastRenderedPageBreak/>
        <w:drawing>
          <wp:inline distT="0" distB="0" distL="0" distR="0" wp14:anchorId="1A2EAC5D" wp14:editId="3191FCD0">
            <wp:extent cx="4958954" cy="361590"/>
            <wp:effectExtent l="0" t="0" r="0" b="0"/>
            <wp:docPr id="13966684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958954" cy="361590"/>
                    </a:xfrm>
                    <a:prstGeom prst="rect">
                      <a:avLst/>
                    </a:prstGeom>
                  </pic:spPr>
                </pic:pic>
              </a:graphicData>
            </a:graphic>
          </wp:inline>
        </w:drawing>
      </w:r>
      <w:r w:rsidR="425F8D2F">
        <w:t xml:space="preserve">    </w:t>
      </w:r>
      <w:r w:rsidR="000D4135">
        <w:t xml:space="preserve">        </w:t>
      </w:r>
      <w:r w:rsidR="425F8D2F">
        <w:t xml:space="preserve">     (5)</w:t>
      </w:r>
    </w:p>
    <w:p w14:paraId="50318AE8" w14:textId="7807176E" w:rsidR="3AB8C883" w:rsidRDefault="160D3A4B" w:rsidP="131D62C6">
      <w:pPr>
        <w:pStyle w:val="CETBodytext"/>
      </w:pPr>
      <w:r>
        <w:t>w</w:t>
      </w:r>
      <w:r w:rsidR="3AB8C883">
        <w:t>here</w:t>
      </w:r>
      <w:r w:rsidR="1BEF9E8D">
        <w:t xml:space="preserve"> </w:t>
      </w:r>
      <m:oMath>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σ</m:t>
                </m:r>
              </m:e>
              <m:sub>
                <m:r>
                  <w:rPr>
                    <w:rFonts w:ascii="Cambria Math" w:hAnsi="Cambria Math"/>
                  </w:rPr>
                  <m:t>cr</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cr</m:t>
                </m:r>
              </m:sub>
            </m:sSub>
          </m:e>
        </m:d>
      </m:oMath>
      <w:r w:rsidR="3AB8C883">
        <w:t xml:space="preserve"> </w:t>
      </w:r>
      <w:r w:rsidR="00A91F9D">
        <w:t>is the breakup rate of aggregates characterized by</w:t>
      </w:r>
      <w:r w:rsidR="2737654D">
        <w:t xml:space="preserve"> </w:t>
      </w:r>
      <m:oMath>
        <m:sSub>
          <m:sSubPr>
            <m:ctrlPr>
              <w:rPr>
                <w:rFonts w:ascii="Cambria Math" w:hAnsi="Cambria Math"/>
              </w:rPr>
            </m:ctrlPr>
          </m:sSubPr>
          <m:e>
            <m:r>
              <w:rPr>
                <w:rFonts w:ascii="Cambria Math" w:hAnsi="Cambria Math"/>
              </w:rPr>
              <m:t>σ</m:t>
            </m:r>
          </m:e>
          <m:sub>
            <m:r>
              <w:rPr>
                <w:rFonts w:ascii="Cambria Math" w:hAnsi="Cambria Math"/>
              </w:rPr>
              <m:t>cr</m:t>
            </m:r>
          </m:sub>
        </m:sSub>
      </m:oMath>
      <w:r w:rsidR="5F07A8A8">
        <w:t xml:space="preserve"> </w:t>
      </w:r>
      <w:r w:rsidR="00A91F9D">
        <w:t>and</w:t>
      </w:r>
      <w:r w:rsidR="12B189DC">
        <w:t xml:space="preserve"> </w:t>
      </w:r>
      <m:oMath>
        <m:sSub>
          <m:sSubPr>
            <m:ctrlPr>
              <w:rPr>
                <w:rFonts w:ascii="Cambria Math" w:hAnsi="Cambria Math"/>
              </w:rPr>
            </m:ctrlPr>
          </m:sSubPr>
          <m:e>
            <m:r>
              <w:rPr>
                <w:rFonts w:ascii="Cambria Math" w:hAnsi="Cambria Math"/>
              </w:rPr>
              <m:t>E</m:t>
            </m:r>
          </m:e>
          <m:sub>
            <m:r>
              <w:rPr>
                <w:rFonts w:ascii="Cambria Math" w:hAnsi="Cambria Math"/>
              </w:rPr>
              <m:t>cr</m:t>
            </m:r>
          </m:sub>
        </m:sSub>
      </m:oMath>
      <w:r w:rsidR="7E2E6D92">
        <w:t xml:space="preserve">. Here </w:t>
      </w:r>
      <m:oMath>
        <m:r>
          <w:rPr>
            <w:rFonts w:ascii="Cambria Math" w:hAnsi="Cambria Math"/>
          </w:rPr>
          <m:t>τ</m:t>
        </m:r>
        <m:d>
          <m:dPr>
            <m:ctrlPr>
              <w:rPr>
                <w:rFonts w:ascii="Cambria Math" w:hAnsi="Cambria Math"/>
              </w:rPr>
            </m:ctrlPr>
          </m:dPr>
          <m:e>
            <m:sSub>
              <m:sSubPr>
                <m:ctrlPr>
                  <w:rPr>
                    <w:rFonts w:ascii="Cambria Math" w:hAnsi="Cambria Math"/>
                  </w:rPr>
                </m:ctrlPr>
              </m:sSubPr>
              <m:e>
                <m:r>
                  <w:rPr>
                    <w:rFonts w:ascii="Cambria Math" w:hAnsi="Cambria Math"/>
                  </w:rPr>
                  <m:t>σ</m:t>
                </m:r>
              </m:e>
              <m:sub>
                <m:r>
                  <w:rPr>
                    <w:rFonts w:ascii="Cambria Math" w:hAnsi="Cambria Math"/>
                  </w:rPr>
                  <m:t>cr</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cr</m:t>
                </m:r>
              </m:sub>
            </m:sSub>
          </m:e>
        </m:d>
      </m:oMath>
      <w:r w:rsidR="34049215">
        <w:t xml:space="preserve"> is the time-lag elapsed between the aggregate release in a flow region where </w:t>
      </w:r>
      <m:oMath>
        <m:r>
          <w:rPr>
            <w:rFonts w:ascii="Cambria Math" w:hAnsi="Cambria Math"/>
          </w:rPr>
          <m:t>σ&lt;</m:t>
        </m:r>
        <m:sSub>
          <m:sSubPr>
            <m:ctrlPr>
              <w:rPr>
                <w:rFonts w:ascii="Cambria Math" w:hAnsi="Cambria Math"/>
              </w:rPr>
            </m:ctrlPr>
          </m:sSubPr>
          <m:e>
            <m:r>
              <w:rPr>
                <w:rFonts w:ascii="Cambria Math" w:hAnsi="Cambria Math"/>
              </w:rPr>
              <m:t>σ</m:t>
            </m:r>
          </m:e>
          <m:sub>
            <m:r>
              <w:rPr>
                <w:rFonts w:ascii="Cambria Math" w:hAnsi="Cambria Math"/>
              </w:rPr>
              <m:t>cr</m:t>
            </m:r>
          </m:sub>
        </m:sSub>
      </m:oMath>
      <w:r w:rsidR="17B3F4C4">
        <w:t xml:space="preserve"> </w:t>
      </w:r>
      <w:r w:rsidR="72C338EC">
        <w:t xml:space="preserve">and the first time </w:t>
      </w:r>
      <m:oMath>
        <m:r>
          <w:rPr>
            <w:rFonts w:ascii="Cambria Math" w:hAnsi="Cambria Math"/>
          </w:rPr>
          <m:t>E</m:t>
        </m:r>
        <m:d>
          <m:dPr>
            <m:ctrlPr>
              <w:rPr>
                <w:rFonts w:ascii="Cambria Math" w:hAnsi="Cambria Math"/>
              </w:rPr>
            </m:ctrlPr>
          </m:dPr>
          <m:e>
            <m:r>
              <w:rPr>
                <w:rFonts w:ascii="Cambria Math" w:hAnsi="Cambria Math"/>
              </w:rPr>
              <m:t>τ</m:t>
            </m:r>
          </m:e>
        </m:d>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cr</m:t>
            </m:r>
          </m:sub>
        </m:sSub>
      </m:oMath>
      <w:r w:rsidR="5E5EA62B">
        <w:t xml:space="preserve">. The brackets </w:t>
      </w:r>
      <w:r w:rsidR="5E5EA62B" w:rsidRPr="0680406C">
        <w:rPr>
          <w:color w:val="000000" w:themeColor="text1"/>
          <w:szCs w:val="18"/>
        </w:rPr>
        <w:t xml:space="preserve">⟨.⟩ indicate the ensemble average over the </w:t>
      </w:r>
      <w:proofErr w:type="spellStart"/>
      <w:r w:rsidR="5E5EA62B" w:rsidRPr="0680406C">
        <w:rPr>
          <w:color w:val="000000" w:themeColor="text1"/>
          <w:szCs w:val="18"/>
        </w:rPr>
        <w:t>Lagrangian</w:t>
      </w:r>
      <w:proofErr w:type="spellEnd"/>
      <w:r w:rsidR="5E5EA62B" w:rsidRPr="0680406C">
        <w:rPr>
          <w:color w:val="000000" w:themeColor="text1"/>
          <w:szCs w:val="18"/>
        </w:rPr>
        <w:t xml:space="preserve"> trajectories. We average the results over 128000 trajecto</w:t>
      </w:r>
      <w:r w:rsidR="4BE7BCF6" w:rsidRPr="0680406C">
        <w:rPr>
          <w:color w:val="000000" w:themeColor="text1"/>
          <w:szCs w:val="18"/>
        </w:rPr>
        <w:t xml:space="preserve">ries. </w:t>
      </w:r>
    </w:p>
    <w:p w14:paraId="0945A9DE" w14:textId="753C3272" w:rsidR="5EAE6E2A" w:rsidRDefault="7D6D25F3" w:rsidP="5D879143">
      <w:pPr>
        <w:pStyle w:val="CETTabletitle"/>
        <w:jc w:val="both"/>
      </w:pPr>
      <w:r>
        <w:t>T</w:t>
      </w:r>
      <w:r w:rsidR="5EAE6E2A">
        <w:t xml:space="preserve">able 1: </w:t>
      </w:r>
      <w:r w:rsidR="79E7D49A">
        <w:t>Parameters of the DNS simulation</w:t>
      </w:r>
      <w:r w:rsidR="1EAFAAEA">
        <w:t>:</w:t>
      </w:r>
      <w:r w:rsidR="79E7D49A">
        <w:t xml:space="preserve"> </w:t>
      </w:r>
      <w:r w:rsidR="79E7D49A" w:rsidRPr="0680406C">
        <w:rPr>
          <w:rStyle w:val="CETBodytextCarattere"/>
        </w:rPr>
        <w:t xml:space="preserve">root-mean-square velocity </w:t>
      </w:r>
      <w:proofErr w:type="spellStart"/>
      <w:r w:rsidR="79E7D49A" w:rsidRPr="0680406C">
        <w:rPr>
          <w:rStyle w:val="CETBodytextCarattere"/>
        </w:rPr>
        <w:t>u</w:t>
      </w:r>
      <w:r w:rsidR="36FAD8CF" w:rsidRPr="0680406C">
        <w:rPr>
          <w:rStyle w:val="CETBodytextCarattere"/>
          <w:vertAlign w:val="subscript"/>
        </w:rPr>
        <w:t>rms</w:t>
      </w:r>
      <w:proofErr w:type="spellEnd"/>
      <w:r w:rsidR="79E7D49A" w:rsidRPr="0680406C">
        <w:rPr>
          <w:rStyle w:val="CETBodytextCarattere"/>
        </w:rPr>
        <w:t>, mean energy dissipation</w:t>
      </w:r>
      <w:r w:rsidR="00C323BA" w:rsidRPr="0680406C">
        <w:rPr>
          <w:rStyle w:val="CETBodytextCarattere"/>
        </w:rPr>
        <w:t xml:space="preserve"> rate</w:t>
      </w:r>
      <w:r w:rsidR="79E7D49A" w:rsidRPr="0680406C">
        <w:rPr>
          <w:rStyle w:val="CETBodytextCarattere"/>
        </w:rPr>
        <w:t xml:space="preserve"> ε, kinematic viscosity ν, Kolmogorov scale η = (ν</w:t>
      </w:r>
      <w:r w:rsidR="79E7D49A" w:rsidRPr="0680406C">
        <w:rPr>
          <w:rStyle w:val="CETBodytextCarattere"/>
          <w:vertAlign w:val="superscript"/>
        </w:rPr>
        <w:t>3</w:t>
      </w:r>
      <w:r w:rsidR="79E7D49A" w:rsidRPr="0680406C">
        <w:rPr>
          <w:rStyle w:val="CETBodytextCarattere"/>
        </w:rPr>
        <w:t>/⟨ε⟩)</w:t>
      </w:r>
      <w:r w:rsidR="79E7D49A" w:rsidRPr="0680406C">
        <w:rPr>
          <w:rStyle w:val="CETBodytextCarattere"/>
          <w:vertAlign w:val="superscript"/>
        </w:rPr>
        <w:t>1/4</w:t>
      </w:r>
      <w:r w:rsidR="79E7D49A" w:rsidRPr="0680406C">
        <w:rPr>
          <w:rStyle w:val="CETBodytextCarattere"/>
        </w:rPr>
        <w:t xml:space="preserve"> , integral scale L, Eulerian large-eddy turnover time T</w:t>
      </w:r>
      <w:r w:rsidR="79E7D49A" w:rsidRPr="0680406C">
        <w:rPr>
          <w:rStyle w:val="CETBodytextCarattere"/>
          <w:vertAlign w:val="subscript"/>
        </w:rPr>
        <w:t>E</w:t>
      </w:r>
      <w:r w:rsidR="79E7D49A" w:rsidRPr="0680406C">
        <w:rPr>
          <w:rStyle w:val="CETBodytextCarattere"/>
        </w:rPr>
        <w:t xml:space="preserve"> = L/</w:t>
      </w:r>
      <w:proofErr w:type="spellStart"/>
      <w:r w:rsidR="79E7D49A" w:rsidRPr="0680406C">
        <w:rPr>
          <w:rStyle w:val="CETBodytextCarattere"/>
        </w:rPr>
        <w:t>u</w:t>
      </w:r>
      <w:r w:rsidR="79E7D49A" w:rsidRPr="0680406C">
        <w:rPr>
          <w:rStyle w:val="CETBodytextCarattere"/>
          <w:vertAlign w:val="subscript"/>
        </w:rPr>
        <w:t>rms</w:t>
      </w:r>
      <w:proofErr w:type="spellEnd"/>
      <w:r w:rsidR="79E7D49A" w:rsidRPr="0680406C">
        <w:rPr>
          <w:rStyle w:val="CETBodytextCarattere"/>
        </w:rPr>
        <w:t xml:space="preserve"> , Kolmogorov timescale </w:t>
      </w:r>
      <w:proofErr w:type="spellStart"/>
      <w:r w:rsidR="79E7D49A" w:rsidRPr="0680406C">
        <w:rPr>
          <w:rStyle w:val="CETBodytextCarattere"/>
        </w:rPr>
        <w:t>τ</w:t>
      </w:r>
      <w:r w:rsidR="79E7D49A" w:rsidRPr="0680406C">
        <w:rPr>
          <w:rStyle w:val="CETBodytextCarattere"/>
          <w:vertAlign w:val="subscript"/>
        </w:rPr>
        <w:t>η</w:t>
      </w:r>
      <w:proofErr w:type="spellEnd"/>
      <w:r w:rsidR="79E7D49A" w:rsidRPr="0680406C">
        <w:rPr>
          <w:rStyle w:val="CETBodytextCarattere"/>
        </w:rPr>
        <w:t xml:space="preserve"> = (ν/⟨ε⟩)</w:t>
      </w:r>
      <w:r w:rsidR="164D4B68" w:rsidRPr="0680406C">
        <w:rPr>
          <w:rStyle w:val="CETBodytextCarattere"/>
          <w:vertAlign w:val="superscript"/>
        </w:rPr>
        <w:t>½</w:t>
      </w:r>
      <w:r w:rsidR="4412924A" w:rsidRPr="0680406C">
        <w:rPr>
          <w:rStyle w:val="CETBodytextCarattere"/>
        </w:rPr>
        <w:t xml:space="preserve">, </w:t>
      </w:r>
      <w:proofErr w:type="spellStart"/>
      <w:r w:rsidR="3F6808EB" w:rsidRPr="0680406C">
        <w:rPr>
          <w:rStyle w:val="CETBodytextCarattere"/>
        </w:rPr>
        <w:t>t</w:t>
      </w:r>
      <w:r w:rsidR="614F395B" w:rsidRPr="0680406C">
        <w:rPr>
          <w:rStyle w:val="CETBodytextCarattere"/>
          <w:vertAlign w:val="subscript"/>
        </w:rPr>
        <w:t>run</w:t>
      </w:r>
      <w:proofErr w:type="spellEnd"/>
      <w:r w:rsidR="3F6808EB" w:rsidRPr="0680406C">
        <w:rPr>
          <w:rStyle w:val="CETBodytextCarattere"/>
        </w:rPr>
        <w:t xml:space="preserve"> </w:t>
      </w:r>
      <w:r w:rsidR="3E302E08" w:rsidRPr="0680406C">
        <w:rPr>
          <w:rStyle w:val="CETBodytextCarattere"/>
        </w:rPr>
        <w:t>simulatio</w:t>
      </w:r>
      <w:r w:rsidR="4412924A" w:rsidRPr="0680406C">
        <w:rPr>
          <w:rStyle w:val="CETBodytextCarattere"/>
        </w:rPr>
        <w:t>n time</w:t>
      </w:r>
      <w:r w:rsidR="1EBA7B84" w:rsidRPr="0680406C">
        <w:rPr>
          <w:rStyle w:val="CETBodytextCarattere"/>
        </w:rPr>
        <w:t>.</w:t>
      </w:r>
      <w:r w:rsidR="2BE1E1E0" w:rsidRPr="0680406C">
        <w:rPr>
          <w:rStyle w:val="CETBodytextCarattere"/>
        </w:rPr>
        <w:t xml:space="preserve"> </w:t>
      </w:r>
    </w:p>
    <w:tbl>
      <w:tblPr>
        <w:tblW w:w="8776" w:type="dxa"/>
        <w:tblBorders>
          <w:top w:val="single" w:sz="12" w:space="0" w:color="008000"/>
          <w:bottom w:val="single" w:sz="12" w:space="0" w:color="008000"/>
        </w:tblBorders>
        <w:tblLook w:val="00A0" w:firstRow="1" w:lastRow="0" w:firstColumn="1" w:lastColumn="0" w:noHBand="0" w:noVBand="0"/>
      </w:tblPr>
      <w:tblGrid>
        <w:gridCol w:w="1097"/>
        <w:gridCol w:w="1097"/>
        <w:gridCol w:w="1097"/>
        <w:gridCol w:w="1097"/>
        <w:gridCol w:w="1097"/>
        <w:gridCol w:w="1097"/>
        <w:gridCol w:w="1097"/>
        <w:gridCol w:w="1097"/>
      </w:tblGrid>
      <w:tr w:rsidR="121B2B48" w14:paraId="75BABF45" w14:textId="77777777" w:rsidTr="0680406C">
        <w:trPr>
          <w:trHeight w:val="300"/>
        </w:trPr>
        <w:tc>
          <w:tcPr>
            <w:tcW w:w="1097" w:type="dxa"/>
            <w:tcBorders>
              <w:top w:val="single" w:sz="12" w:space="0" w:color="008000"/>
              <w:bottom w:val="single" w:sz="6" w:space="0" w:color="008000"/>
            </w:tcBorders>
            <w:shd w:val="clear" w:color="auto" w:fill="FFFFFF" w:themeFill="background1"/>
          </w:tcPr>
          <w:p w14:paraId="08A29177" w14:textId="136DE6A9" w:rsidR="121B2B48" w:rsidRDefault="00BB5F1D" w:rsidP="5D879143">
            <w:pPr>
              <w:pStyle w:val="CETBodytext"/>
              <w:jc w:val="left"/>
              <w:rPr>
                <w:color w:val="FF0000"/>
                <w:lang w:val="en-GB"/>
              </w:rPr>
            </w:pPr>
            <w:proofErr w:type="spellStart"/>
            <w:r>
              <w:t>U</w:t>
            </w:r>
            <w:r w:rsidR="0D279C21" w:rsidRPr="5D879143">
              <w:rPr>
                <w:vertAlign w:val="subscript"/>
              </w:rPr>
              <w:t>rms</w:t>
            </w:r>
            <w:proofErr w:type="spellEnd"/>
          </w:p>
        </w:tc>
        <w:tc>
          <w:tcPr>
            <w:tcW w:w="1097" w:type="dxa"/>
            <w:tcBorders>
              <w:top w:val="single" w:sz="12" w:space="0" w:color="008000"/>
              <w:bottom w:val="single" w:sz="6" w:space="0" w:color="008000"/>
            </w:tcBorders>
            <w:shd w:val="clear" w:color="auto" w:fill="FFFFFF" w:themeFill="background1"/>
          </w:tcPr>
          <w:p w14:paraId="621B14EA" w14:textId="17D2E2B8" w:rsidR="121B2B48" w:rsidRDefault="0D279C21" w:rsidP="5D879143">
            <w:pPr>
              <w:pStyle w:val="CETBodytext"/>
              <w:jc w:val="left"/>
            </w:pPr>
            <w:r w:rsidRPr="5D879143">
              <w:rPr>
                <w:i/>
                <w:iCs/>
              </w:rPr>
              <w:t>ε</w:t>
            </w:r>
          </w:p>
        </w:tc>
        <w:tc>
          <w:tcPr>
            <w:tcW w:w="1097" w:type="dxa"/>
            <w:tcBorders>
              <w:top w:val="single" w:sz="12" w:space="0" w:color="008000"/>
              <w:bottom w:val="single" w:sz="6" w:space="0" w:color="008000"/>
            </w:tcBorders>
            <w:shd w:val="clear" w:color="auto" w:fill="FFFFFF" w:themeFill="background1"/>
          </w:tcPr>
          <w:p w14:paraId="33F86000" w14:textId="296336B7" w:rsidR="121B2B48" w:rsidRDefault="0D279C21" w:rsidP="5D879143">
            <w:pPr>
              <w:pStyle w:val="CETBodytext"/>
              <w:ind w:right="-1"/>
              <w:jc w:val="left"/>
            </w:pPr>
            <w:r w:rsidRPr="5D879143">
              <w:rPr>
                <w:i/>
                <w:iCs/>
              </w:rPr>
              <w:t>ν</w:t>
            </w:r>
          </w:p>
        </w:tc>
        <w:tc>
          <w:tcPr>
            <w:tcW w:w="1097" w:type="dxa"/>
            <w:tcBorders>
              <w:top w:val="single" w:sz="12" w:space="0" w:color="008000"/>
              <w:bottom w:val="single" w:sz="6" w:space="0" w:color="008000"/>
            </w:tcBorders>
            <w:shd w:val="clear" w:color="auto" w:fill="FFFFFF" w:themeFill="background1"/>
          </w:tcPr>
          <w:p w14:paraId="18A8C9B2" w14:textId="3E0DB753" w:rsidR="121B2B48" w:rsidRDefault="0D279C21" w:rsidP="5D879143">
            <w:pPr>
              <w:pStyle w:val="CETBodytext"/>
              <w:ind w:right="-1"/>
              <w:jc w:val="left"/>
              <w:rPr>
                <w:i/>
                <w:iCs/>
                <w:lang w:val="en-GB"/>
              </w:rPr>
            </w:pPr>
            <w:r w:rsidRPr="5D879143">
              <w:rPr>
                <w:i/>
                <w:iCs/>
              </w:rPr>
              <w:t>η</w:t>
            </w:r>
          </w:p>
        </w:tc>
        <w:tc>
          <w:tcPr>
            <w:tcW w:w="1097" w:type="dxa"/>
            <w:tcBorders>
              <w:top w:val="single" w:sz="12" w:space="0" w:color="008000"/>
              <w:bottom w:val="single" w:sz="6" w:space="0" w:color="008000"/>
            </w:tcBorders>
            <w:shd w:val="clear" w:color="auto" w:fill="FFFFFF" w:themeFill="background1"/>
          </w:tcPr>
          <w:p w14:paraId="0D9FE4B3" w14:textId="1112BEDC" w:rsidR="121B2B48" w:rsidRDefault="0D279C21" w:rsidP="5D879143">
            <w:pPr>
              <w:pStyle w:val="CETBodytext"/>
              <w:jc w:val="left"/>
              <w:rPr>
                <w:i/>
                <w:iCs/>
                <w:lang w:val="en-GB"/>
              </w:rPr>
            </w:pPr>
            <w:r w:rsidRPr="5D879143">
              <w:rPr>
                <w:i/>
                <w:iCs/>
              </w:rPr>
              <w:t>L</w:t>
            </w:r>
          </w:p>
        </w:tc>
        <w:tc>
          <w:tcPr>
            <w:tcW w:w="1097" w:type="dxa"/>
            <w:tcBorders>
              <w:top w:val="single" w:sz="12" w:space="0" w:color="008000"/>
              <w:bottom w:val="single" w:sz="6" w:space="0" w:color="008000"/>
            </w:tcBorders>
            <w:shd w:val="clear" w:color="auto" w:fill="FFFFFF" w:themeFill="background1"/>
          </w:tcPr>
          <w:p w14:paraId="5A6602E0" w14:textId="62A85810" w:rsidR="121B2B48" w:rsidRDefault="0D279C21" w:rsidP="5D879143">
            <w:pPr>
              <w:pStyle w:val="CETBodytext"/>
              <w:jc w:val="left"/>
              <w:rPr>
                <w:i/>
                <w:iCs/>
                <w:vertAlign w:val="subscript"/>
                <w:lang w:val="en-GB"/>
              </w:rPr>
            </w:pPr>
            <w:r w:rsidRPr="5D879143">
              <w:rPr>
                <w:i/>
                <w:iCs/>
              </w:rPr>
              <w:t>T</w:t>
            </w:r>
            <w:r w:rsidRPr="5D879143">
              <w:rPr>
                <w:i/>
                <w:iCs/>
                <w:vertAlign w:val="subscript"/>
              </w:rPr>
              <w:t>E</w:t>
            </w:r>
          </w:p>
        </w:tc>
        <w:tc>
          <w:tcPr>
            <w:tcW w:w="1097" w:type="dxa"/>
            <w:tcBorders>
              <w:top w:val="single" w:sz="12" w:space="0" w:color="008000"/>
              <w:bottom w:val="single" w:sz="6" w:space="0" w:color="008000"/>
            </w:tcBorders>
            <w:shd w:val="clear" w:color="auto" w:fill="FFFFFF" w:themeFill="background1"/>
          </w:tcPr>
          <w:p w14:paraId="56A6CE3C" w14:textId="4B352E6B" w:rsidR="121B2B48" w:rsidRDefault="141264A7" w:rsidP="5D879143">
            <w:pPr>
              <w:pStyle w:val="CETBodytext"/>
              <w:jc w:val="left"/>
              <w:rPr>
                <w:vertAlign w:val="subscript"/>
                <w:lang w:val="en-GB"/>
              </w:rPr>
            </w:pPr>
            <w:proofErr w:type="spellStart"/>
            <w:r>
              <w:t>τ</w:t>
            </w:r>
            <w:r w:rsidRPr="5D879143">
              <w:rPr>
                <w:vertAlign w:val="subscript"/>
              </w:rPr>
              <w:t>η</w:t>
            </w:r>
            <w:proofErr w:type="spellEnd"/>
          </w:p>
        </w:tc>
        <w:tc>
          <w:tcPr>
            <w:tcW w:w="1097" w:type="dxa"/>
            <w:tcBorders>
              <w:top w:val="single" w:sz="12" w:space="0" w:color="008000"/>
              <w:bottom w:val="single" w:sz="6" w:space="0" w:color="008000"/>
            </w:tcBorders>
            <w:shd w:val="clear" w:color="auto" w:fill="FFFFFF" w:themeFill="background1"/>
          </w:tcPr>
          <w:p w14:paraId="35FE1578" w14:textId="0A996892" w:rsidR="6F102E40" w:rsidRDefault="25D682CF" w:rsidP="0680406C">
            <w:pPr>
              <w:pStyle w:val="CETBodytext"/>
              <w:jc w:val="left"/>
            </w:pPr>
            <w:proofErr w:type="spellStart"/>
            <w:r>
              <w:t>t</w:t>
            </w:r>
            <w:r w:rsidR="5DA58A71" w:rsidRPr="0680406C">
              <w:rPr>
                <w:vertAlign w:val="subscript"/>
              </w:rPr>
              <w:t>run</w:t>
            </w:r>
            <w:proofErr w:type="spellEnd"/>
          </w:p>
        </w:tc>
      </w:tr>
      <w:tr w:rsidR="121B2B48" w14:paraId="442231B7" w14:textId="77777777" w:rsidTr="0680406C">
        <w:trPr>
          <w:trHeight w:val="300"/>
        </w:trPr>
        <w:tc>
          <w:tcPr>
            <w:tcW w:w="1097" w:type="dxa"/>
            <w:shd w:val="clear" w:color="auto" w:fill="FFFFFF" w:themeFill="background1"/>
          </w:tcPr>
          <w:p w14:paraId="6541AD6F" w14:textId="315792CD" w:rsidR="20E3F25B" w:rsidRDefault="20E3F25B" w:rsidP="121B2B48">
            <w:pPr>
              <w:pStyle w:val="CETBodytext"/>
              <w:rPr>
                <w:lang w:val="en-GB"/>
              </w:rPr>
            </w:pPr>
            <w:r w:rsidRPr="121B2B48">
              <w:rPr>
                <w:lang w:val="en-GB"/>
              </w:rPr>
              <w:t>1.4</w:t>
            </w:r>
          </w:p>
        </w:tc>
        <w:tc>
          <w:tcPr>
            <w:tcW w:w="1097" w:type="dxa"/>
            <w:shd w:val="clear" w:color="auto" w:fill="FFFFFF" w:themeFill="background1"/>
          </w:tcPr>
          <w:p w14:paraId="63D3CCF6" w14:textId="2EEB96FA" w:rsidR="20E3F25B" w:rsidRDefault="20E3F25B" w:rsidP="121B2B48">
            <w:pPr>
              <w:pStyle w:val="CETBodytext"/>
              <w:rPr>
                <w:lang w:val="en-GB"/>
              </w:rPr>
            </w:pPr>
            <w:r w:rsidRPr="121B2B48">
              <w:rPr>
                <w:lang w:val="en-GB"/>
              </w:rPr>
              <w:t>0.94</w:t>
            </w:r>
          </w:p>
        </w:tc>
        <w:tc>
          <w:tcPr>
            <w:tcW w:w="1097" w:type="dxa"/>
            <w:shd w:val="clear" w:color="auto" w:fill="FFFFFF" w:themeFill="background1"/>
          </w:tcPr>
          <w:p w14:paraId="3612960B" w14:textId="7BEA262F" w:rsidR="20E3F25B" w:rsidRDefault="20E3F25B" w:rsidP="121B2B48">
            <w:pPr>
              <w:pStyle w:val="CETBodytext"/>
              <w:ind w:right="-1"/>
              <w:rPr>
                <w:rFonts w:cs="Arial"/>
                <w:lang w:val="en-GB"/>
              </w:rPr>
            </w:pPr>
            <w:r w:rsidRPr="121B2B48">
              <w:rPr>
                <w:rFonts w:cs="Arial"/>
                <w:lang w:val="en-GB"/>
              </w:rPr>
              <w:t>0.00205</w:t>
            </w:r>
          </w:p>
        </w:tc>
        <w:tc>
          <w:tcPr>
            <w:tcW w:w="1097" w:type="dxa"/>
            <w:shd w:val="clear" w:color="auto" w:fill="FFFFFF" w:themeFill="background1"/>
          </w:tcPr>
          <w:p w14:paraId="33F067DE" w14:textId="292B8CC6" w:rsidR="20E3F25B" w:rsidRDefault="20E3F25B" w:rsidP="121B2B48">
            <w:pPr>
              <w:pStyle w:val="CETBodytext"/>
              <w:ind w:right="-1"/>
              <w:rPr>
                <w:rFonts w:cs="Arial"/>
                <w:lang w:val="en-GB"/>
              </w:rPr>
            </w:pPr>
            <w:r w:rsidRPr="121B2B48">
              <w:rPr>
                <w:rFonts w:cs="Arial"/>
                <w:lang w:val="en-GB"/>
              </w:rPr>
              <w:t>0.010</w:t>
            </w:r>
          </w:p>
        </w:tc>
        <w:tc>
          <w:tcPr>
            <w:tcW w:w="1097" w:type="dxa"/>
            <w:shd w:val="clear" w:color="auto" w:fill="FFFFFF" w:themeFill="background1"/>
          </w:tcPr>
          <w:p w14:paraId="59516CE2" w14:textId="6BB0CA9C" w:rsidR="121B2B48" w:rsidRDefault="26DC1FF1" w:rsidP="5D879143">
            <w:pPr>
              <w:pStyle w:val="CETBodytext"/>
              <w:jc w:val="left"/>
            </w:pPr>
            <w:r>
              <w:t>π</w:t>
            </w:r>
          </w:p>
        </w:tc>
        <w:tc>
          <w:tcPr>
            <w:tcW w:w="1097" w:type="dxa"/>
            <w:shd w:val="clear" w:color="auto" w:fill="FFFFFF" w:themeFill="background1"/>
          </w:tcPr>
          <w:p w14:paraId="706F3B2D" w14:textId="1E307208" w:rsidR="781ACCD8" w:rsidRDefault="781ACCD8" w:rsidP="121B2B48">
            <w:pPr>
              <w:pStyle w:val="CETBodytext"/>
              <w:rPr>
                <w:rFonts w:cs="Arial"/>
                <w:lang w:val="en-GB"/>
              </w:rPr>
            </w:pPr>
            <w:r w:rsidRPr="121B2B48">
              <w:rPr>
                <w:rFonts w:cs="Arial"/>
                <w:lang w:val="en-GB"/>
              </w:rPr>
              <w:t>2.2</w:t>
            </w:r>
          </w:p>
        </w:tc>
        <w:tc>
          <w:tcPr>
            <w:tcW w:w="1097" w:type="dxa"/>
            <w:shd w:val="clear" w:color="auto" w:fill="FFFFFF" w:themeFill="background1"/>
          </w:tcPr>
          <w:p w14:paraId="19D41540" w14:textId="5CF04437" w:rsidR="781ACCD8" w:rsidRDefault="781ACCD8" w:rsidP="121B2B48">
            <w:pPr>
              <w:pStyle w:val="CETBodytext"/>
              <w:rPr>
                <w:rFonts w:cs="Arial"/>
                <w:lang w:val="en-GB"/>
              </w:rPr>
            </w:pPr>
            <w:r w:rsidRPr="121B2B48">
              <w:rPr>
                <w:rFonts w:cs="Arial"/>
                <w:lang w:val="en-GB"/>
              </w:rPr>
              <w:t>0.047</w:t>
            </w:r>
          </w:p>
        </w:tc>
        <w:tc>
          <w:tcPr>
            <w:tcW w:w="1097" w:type="dxa"/>
            <w:shd w:val="clear" w:color="auto" w:fill="FFFFFF" w:themeFill="background1"/>
          </w:tcPr>
          <w:p w14:paraId="57797158" w14:textId="2C9B2F1E" w:rsidR="0255CE69" w:rsidRDefault="0255CE69" w:rsidP="5D879143">
            <w:pPr>
              <w:pStyle w:val="CETBodytext"/>
              <w:rPr>
                <w:rFonts w:cs="Arial"/>
                <w:lang w:val="en-GB"/>
              </w:rPr>
            </w:pPr>
            <w:r w:rsidRPr="5D879143">
              <w:rPr>
                <w:rFonts w:cs="Arial"/>
                <w:lang w:val="en-GB"/>
              </w:rPr>
              <w:t>13.2</w:t>
            </w:r>
          </w:p>
        </w:tc>
      </w:tr>
    </w:tbl>
    <w:p w14:paraId="146A4783" w14:textId="5CF12B11" w:rsidR="6AAC55E1" w:rsidRDefault="6AAC55E1" w:rsidP="5D879143">
      <w:pPr>
        <w:pStyle w:val="CETBodytext"/>
      </w:pPr>
    </w:p>
    <w:p w14:paraId="2FE25008" w14:textId="6619D8D2" w:rsidR="6AAC55E1" w:rsidRDefault="75B1ACA5" w:rsidP="121B2B48">
      <w:pPr>
        <w:pStyle w:val="CETBodytext"/>
        <w:jc w:val="left"/>
      </w:pPr>
      <w:r>
        <w:rPr>
          <w:noProof/>
        </w:rPr>
        <w:drawing>
          <wp:inline distT="0" distB="0" distL="0" distR="0" wp14:anchorId="52C28250" wp14:editId="0990C6DF">
            <wp:extent cx="3600000" cy="2662500"/>
            <wp:effectExtent l="0" t="0" r="0" b="5080"/>
            <wp:docPr id="8686950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600000" cy="2662500"/>
                    </a:xfrm>
                    <a:prstGeom prst="rect">
                      <a:avLst/>
                    </a:prstGeom>
                  </pic:spPr>
                </pic:pic>
              </a:graphicData>
            </a:graphic>
          </wp:inline>
        </w:drawing>
      </w:r>
    </w:p>
    <w:p w14:paraId="223EF416" w14:textId="246685A3" w:rsidR="121B2B48" w:rsidRPr="00D13AD9" w:rsidRDefault="34C85493" w:rsidP="00D13AD9">
      <w:pPr>
        <w:pStyle w:val="CETCaption"/>
        <w:rPr>
          <w:rStyle w:val="CETCaptionCarattere"/>
          <w:i/>
        </w:rPr>
      </w:pPr>
      <w:r w:rsidRPr="00D13AD9">
        <w:rPr>
          <w:rStyle w:val="CETCaptionCarattere"/>
          <w:i/>
        </w:rPr>
        <w:t>Figure 1: Il</w:t>
      </w:r>
      <w:r w:rsidR="1C5CF483" w:rsidRPr="00D13AD9">
        <w:rPr>
          <w:rStyle w:val="CETCaptionCarattere"/>
          <w:i/>
        </w:rPr>
        <w:t>l</w:t>
      </w:r>
      <w:r w:rsidRPr="00D13AD9">
        <w:rPr>
          <w:rStyle w:val="CETCaptionCarattere"/>
          <w:i/>
        </w:rPr>
        <w:t>ustration of the</w:t>
      </w:r>
      <w:r w:rsidR="03544062" w:rsidRPr="00D13AD9">
        <w:rPr>
          <w:rStyle w:val="CETCaptionCarattere"/>
          <w:i/>
        </w:rPr>
        <w:t xml:space="preserve"> approach used to </w:t>
      </w:r>
      <w:r w:rsidR="550D0BCC" w:rsidRPr="00D13AD9">
        <w:rPr>
          <w:rStyle w:val="CETCaptionCarattere"/>
          <w:i/>
        </w:rPr>
        <w:t>assess the occurrence of ductile breakup.</w:t>
      </w:r>
      <w:r w:rsidR="03544062" w:rsidRPr="00D13AD9">
        <w:rPr>
          <w:rStyle w:val="CETCaptionCarattere"/>
          <w:i/>
        </w:rPr>
        <w:t xml:space="preserve"> </w:t>
      </w:r>
      <w:r w:rsidR="67386AB4" w:rsidRPr="00D13AD9">
        <w:rPr>
          <w:rStyle w:val="CETCaptionCarattere"/>
          <w:i/>
        </w:rPr>
        <w:t xml:space="preserve">Accumulation starts </w:t>
      </w:r>
      <w:r w:rsidR="6C9266AE" w:rsidRPr="00D13AD9">
        <w:rPr>
          <w:rStyle w:val="CETCaptionCarattere"/>
          <w:i/>
        </w:rPr>
        <w:t>after the aggregate experience for the first time a shear stress</w:t>
      </w:r>
      <w:r w:rsidR="67386AB4" w:rsidRPr="00D13AD9">
        <w:rPr>
          <w:rStyle w:val="CETCaptionCarattere"/>
          <w:i/>
        </w:rPr>
        <w:t xml:space="preserve"> σ&gt;</w:t>
      </w:r>
      <w:proofErr w:type="spellStart"/>
      <w:r w:rsidR="67386AB4" w:rsidRPr="00D13AD9">
        <w:rPr>
          <w:rStyle w:val="CETCaptionCarattere"/>
          <w:i/>
        </w:rPr>
        <w:t>σ</w:t>
      </w:r>
      <w:r w:rsidR="67386AB4" w:rsidRPr="00D13AD9">
        <w:rPr>
          <w:rStyle w:val="CETCaptionCarattere"/>
          <w:i/>
          <w:vertAlign w:val="subscript"/>
        </w:rPr>
        <w:t>cr</w:t>
      </w:r>
      <w:proofErr w:type="spellEnd"/>
      <w:r w:rsidR="67386AB4" w:rsidRPr="00D13AD9">
        <w:rPr>
          <w:rStyle w:val="CETCaptionCarattere"/>
          <w:i/>
        </w:rPr>
        <w:t xml:space="preserve">. </w:t>
      </w:r>
      <w:r w:rsidR="03544062" w:rsidRPr="00D13AD9">
        <w:rPr>
          <w:rStyle w:val="CETCaptionCarattere"/>
          <w:i/>
        </w:rPr>
        <w:t xml:space="preserve">Breakup occurs when the energy accumulated exceeds </w:t>
      </w:r>
      <w:r w:rsidR="66FAEFAF" w:rsidRPr="00D13AD9">
        <w:rPr>
          <w:rStyle w:val="CETCaptionCarattere"/>
          <w:i/>
        </w:rPr>
        <w:t>the to</w:t>
      </w:r>
      <w:r w:rsidR="76E6B6DF" w:rsidRPr="00D13AD9">
        <w:rPr>
          <w:rStyle w:val="CETCaptionCarattere"/>
          <w:i/>
        </w:rPr>
        <w:t>u</w:t>
      </w:r>
      <w:r w:rsidR="66FAEFAF" w:rsidRPr="00D13AD9">
        <w:rPr>
          <w:rStyle w:val="CETCaptionCarattere"/>
          <w:i/>
        </w:rPr>
        <w:t xml:space="preserve">ghness limit </w:t>
      </w:r>
      <w:proofErr w:type="spellStart"/>
      <w:r w:rsidR="03544062" w:rsidRPr="00D13AD9">
        <w:rPr>
          <w:rStyle w:val="CETCaptionCarattere"/>
          <w:i/>
        </w:rPr>
        <w:t>E</w:t>
      </w:r>
      <w:r w:rsidR="03544062" w:rsidRPr="00D13AD9">
        <w:rPr>
          <w:rStyle w:val="CETCaptionCarattere"/>
          <w:i/>
          <w:vertAlign w:val="subscript"/>
        </w:rPr>
        <w:t>cr</w:t>
      </w:r>
      <w:proofErr w:type="spellEnd"/>
      <w:r w:rsidR="6F000FA0" w:rsidRPr="00D13AD9">
        <w:rPr>
          <w:rStyle w:val="CETCaptionCarattere"/>
          <w:i/>
        </w:rPr>
        <w:t>.</w:t>
      </w:r>
      <w:r w:rsidR="606C04CF" w:rsidRPr="00D13AD9">
        <w:rPr>
          <w:rStyle w:val="CETCaptionCarattere"/>
          <w:i/>
        </w:rPr>
        <w:t xml:space="preserve"> In the </w:t>
      </w:r>
      <w:r w:rsidR="0D0B10E8" w:rsidRPr="00D13AD9">
        <w:rPr>
          <w:rStyle w:val="CETCaptionCarattere"/>
          <w:i/>
        </w:rPr>
        <w:t>abov</w:t>
      </w:r>
      <w:r w:rsidR="606C04CF" w:rsidRPr="00D13AD9">
        <w:rPr>
          <w:rStyle w:val="CETCaptionCarattere"/>
          <w:i/>
        </w:rPr>
        <w:t>e</w:t>
      </w:r>
      <w:r w:rsidR="0D0B10E8" w:rsidRPr="00D13AD9">
        <w:rPr>
          <w:rStyle w:val="CETCaptionCarattere"/>
          <w:i/>
        </w:rPr>
        <w:t xml:space="preserve"> example</w:t>
      </w:r>
      <w:r w:rsidR="606C04CF" w:rsidRPr="00D13AD9">
        <w:rPr>
          <w:rStyle w:val="CETCaptionCarattere"/>
          <w:i/>
        </w:rPr>
        <w:t xml:space="preserve"> this happens at </w:t>
      </w:r>
      <w:r w:rsidR="467D330D" w:rsidRPr="00D13AD9">
        <w:rPr>
          <w:rStyle w:val="CETCaptionCarattere"/>
          <w:i/>
        </w:rPr>
        <w:t xml:space="preserve">the time </w:t>
      </w:r>
      <m:oMath>
        <m:r>
          <w:rPr>
            <w:rFonts w:ascii="Cambria Math" w:hAnsi="Cambria Math"/>
          </w:rPr>
          <m:t>t</m:t>
        </m:r>
        <m:r>
          <m:rPr>
            <m:lit/>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η</m:t>
            </m:r>
          </m:sub>
        </m:sSub>
        <m:r>
          <w:rPr>
            <w:rFonts w:ascii="Cambria Math" w:hAnsi="Cambria Math"/>
          </w:rPr>
          <m:t>≅195</m:t>
        </m:r>
      </m:oMath>
      <w:r w:rsidR="45864BD9" w:rsidRPr="00D13AD9">
        <w:rPr>
          <w:rStyle w:val="CETCaptionCarattere"/>
          <w:i/>
        </w:rPr>
        <w:t xml:space="preserve"> indicated by the vertical dotted line.</w:t>
      </w:r>
    </w:p>
    <w:p w14:paraId="7FB8FAA0" w14:textId="5BF648B2" w:rsidR="121B2B48" w:rsidRDefault="3FE9A5D4" w:rsidP="00D13AD9">
      <w:pPr>
        <w:pStyle w:val="CETBodytext"/>
        <w:rPr>
          <w:rStyle w:val="CETCaptionCarattere"/>
          <w:i w:val="0"/>
        </w:rPr>
      </w:pPr>
      <w:r w:rsidRPr="0680406C">
        <w:rPr>
          <w:rStyle w:val="CETCaptionCarattere"/>
          <w:i w:val="0"/>
        </w:rPr>
        <w:t xml:space="preserve">In the limit of </w:t>
      </w:r>
      <w:proofErr w:type="spellStart"/>
      <w:r w:rsidRPr="0680406C">
        <w:rPr>
          <w:rStyle w:val="CETCaptionCarattere"/>
        </w:rPr>
        <w:t>E</w:t>
      </w:r>
      <w:r w:rsidR="146A4AB5" w:rsidRPr="0680406C">
        <w:rPr>
          <w:rStyle w:val="CETCaptionCarattere"/>
          <w:i w:val="0"/>
          <w:vertAlign w:val="subscript"/>
        </w:rPr>
        <w:t>cr</w:t>
      </w:r>
      <w:proofErr w:type="spellEnd"/>
      <w:r w:rsidRPr="0680406C">
        <w:rPr>
          <w:rStyle w:val="CETCaptionCarattere"/>
          <w:i w:val="0"/>
        </w:rPr>
        <w:t>=0, i.e.</w:t>
      </w:r>
      <w:r w:rsidR="7C997AC3" w:rsidRPr="0680406C">
        <w:rPr>
          <w:rStyle w:val="CETCaptionCarattere"/>
          <w:i w:val="0"/>
        </w:rPr>
        <w:t>,</w:t>
      </w:r>
      <w:r w:rsidRPr="0680406C">
        <w:rPr>
          <w:rStyle w:val="CETCaptionCarattere"/>
          <w:i w:val="0"/>
        </w:rPr>
        <w:t xml:space="preserve"> for </w:t>
      </w:r>
      <w:r w:rsidRPr="00D13AD9">
        <w:t xml:space="preserve">brittle aggregates, breakup occurs when the aggregate released at </w:t>
      </w:r>
      <w:r w:rsidR="00BB5F1D" w:rsidRPr="00D13AD9">
        <w:t>t</w:t>
      </w:r>
      <w:r w:rsidR="00BB5F1D" w:rsidRPr="004C623B">
        <w:rPr>
          <w:vertAlign w:val="subscript"/>
        </w:rPr>
        <w:t>0</w:t>
      </w:r>
      <w:r w:rsidRPr="00D13AD9">
        <w:t xml:space="preserve"> experiences for the first time a hydrodynamic stress that exceeds the critical stress </w:t>
      </w:r>
      <w:proofErr w:type="spellStart"/>
      <w:r w:rsidR="408ED96D" w:rsidRPr="00D13AD9">
        <w:rPr>
          <w:i/>
          <w:iCs/>
        </w:rPr>
        <w:t>σ</w:t>
      </w:r>
      <w:r w:rsidR="408ED96D" w:rsidRPr="00D13AD9">
        <w:rPr>
          <w:i/>
          <w:iCs/>
          <w:vertAlign w:val="subscript"/>
        </w:rPr>
        <w:t>cr</w:t>
      </w:r>
      <w:proofErr w:type="spellEnd"/>
      <w:r w:rsidRPr="00D13AD9">
        <w:t xml:space="preserve">. This limiting case was investigated </w:t>
      </w:r>
      <w:r w:rsidR="11D14C7D" w:rsidRPr="00D13AD9">
        <w:t xml:space="preserve">by </w:t>
      </w:r>
      <w:proofErr w:type="spellStart"/>
      <w:r w:rsidRPr="00D13AD9">
        <w:t>B</w:t>
      </w:r>
      <w:r w:rsidR="004C623B" w:rsidRPr="004C623B">
        <w:t>ä</w:t>
      </w:r>
      <w:r w:rsidRPr="00D13AD9">
        <w:t>bler</w:t>
      </w:r>
      <w:proofErr w:type="spellEnd"/>
      <w:r w:rsidRPr="00D13AD9">
        <w:t xml:space="preserve"> et al. (2012) who also provide</w:t>
      </w:r>
      <w:r w:rsidR="4B57C39E" w:rsidRPr="00D13AD9">
        <w:t>d</w:t>
      </w:r>
      <w:r w:rsidRPr="00D13AD9">
        <w:t xml:space="preserve"> a closed-form approximation </w:t>
      </w:r>
      <w:r w:rsidR="78CD283A" w:rsidRPr="00D13AD9">
        <w:t>of</w:t>
      </w:r>
      <w:r w:rsidRPr="00D13AD9">
        <w:t xml:space="preserve"> the breakup rate </w:t>
      </w:r>
      <w:r w:rsidR="6BDB3175" w:rsidRPr="00D13AD9">
        <w:t>for</w:t>
      </w:r>
      <w:r w:rsidRPr="00D13AD9">
        <w:t xml:space="preserve"> brittle aggregates, based on an earlier model by Loginov (1986):</w:t>
      </w:r>
    </w:p>
    <w:p w14:paraId="236FBCEB" w14:textId="629B6FC7" w:rsidR="121B2B48" w:rsidRDefault="3FE9A5D4" w:rsidP="00D13AD9">
      <w:pPr>
        <w:pStyle w:val="CETBodytext"/>
        <w:rPr>
          <w:rStyle w:val="CETCaptionCarattere"/>
          <w:i w:val="0"/>
        </w:rPr>
      </w:pPr>
      <w:r>
        <w:rPr>
          <w:noProof/>
        </w:rPr>
        <w:drawing>
          <wp:inline distT="0" distB="0" distL="0" distR="0" wp14:anchorId="2FEBD230" wp14:editId="00A30FC7">
            <wp:extent cx="1851025" cy="582024"/>
            <wp:effectExtent l="0" t="0" r="0" b="0"/>
            <wp:docPr id="2169549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851025" cy="582024"/>
                    </a:xfrm>
                    <a:prstGeom prst="rect">
                      <a:avLst/>
                    </a:prstGeom>
                  </pic:spPr>
                </pic:pic>
              </a:graphicData>
            </a:graphic>
          </wp:inline>
        </w:drawing>
      </w:r>
      <w:r w:rsidR="0FBD0834" w:rsidRPr="131D62C6">
        <w:rPr>
          <w:rStyle w:val="CETCaptionCarattere"/>
          <w:i w:val="0"/>
        </w:rPr>
        <w:t xml:space="preserve"> </w:t>
      </w:r>
      <w:r w:rsidR="3D337037" w:rsidRPr="131D62C6">
        <w:rPr>
          <w:rStyle w:val="CETCaptionCarattere"/>
          <w:i w:val="0"/>
        </w:rPr>
        <w:t xml:space="preserve">             </w:t>
      </w:r>
      <w:r w:rsidR="000D4135">
        <w:rPr>
          <w:rStyle w:val="CETCaptionCarattere"/>
          <w:i w:val="0"/>
        </w:rPr>
        <w:t xml:space="preserve">     </w:t>
      </w:r>
      <w:r w:rsidR="3D337037" w:rsidRPr="131D62C6">
        <w:rPr>
          <w:rStyle w:val="CETCaptionCarattere"/>
          <w:i w:val="0"/>
        </w:rPr>
        <w:t xml:space="preserve">                                                                                                (</w:t>
      </w:r>
      <w:r w:rsidR="1A6E7B5C" w:rsidRPr="131D62C6">
        <w:rPr>
          <w:rStyle w:val="CETCaptionCarattere"/>
          <w:i w:val="0"/>
        </w:rPr>
        <w:t>6</w:t>
      </w:r>
      <w:r w:rsidR="3D337037" w:rsidRPr="131D62C6">
        <w:rPr>
          <w:rStyle w:val="CETCaptionCarattere"/>
          <w:i w:val="0"/>
        </w:rPr>
        <w:t>)</w:t>
      </w:r>
    </w:p>
    <w:p w14:paraId="3CC1A04A" w14:textId="5254177F" w:rsidR="121B2B48" w:rsidRDefault="3FE9A5D4" w:rsidP="00D13AD9">
      <w:pPr>
        <w:pStyle w:val="CETBodytext"/>
        <w:rPr>
          <w:rStyle w:val="CETCaptionCarattere"/>
          <w:i w:val="0"/>
        </w:rPr>
      </w:pPr>
      <w:r w:rsidRPr="0680406C">
        <w:rPr>
          <w:rStyle w:val="CETCaptionCarattere"/>
          <w:i w:val="0"/>
        </w:rPr>
        <w:t>In this expression,</w:t>
      </w:r>
      <w:r w:rsidR="00BB5F1D" w:rsidRPr="0680406C">
        <w:rPr>
          <w:rStyle w:val="CETCaptionCarattere"/>
          <w:i w:val="0"/>
        </w:rPr>
        <w:t xml:space="preserve"> </w:t>
      </w:r>
      <m:oMath>
        <m:sSub>
          <m:sSubPr>
            <m:ctrlPr>
              <w:rPr>
                <w:rFonts w:ascii="Cambria Math" w:hAnsi="Cambria Math"/>
              </w:rPr>
            </m:ctrlPr>
          </m:sSubPr>
          <m:e>
            <m:r>
              <w:rPr>
                <w:rFonts w:ascii="Cambria Math" w:hAnsi="Cambria Math"/>
              </w:rPr>
              <m:t>p</m:t>
            </m:r>
          </m:e>
          <m:sub>
            <m:r>
              <w:rPr>
                <w:rFonts w:ascii="Cambria Math" w:hAnsi="Cambria Math"/>
              </w:rPr>
              <m:t>2</m:t>
            </m:r>
          </m:sub>
        </m:sSub>
        <m:d>
          <m:dPr>
            <m:ctrlPr>
              <w:rPr>
                <w:rFonts w:ascii="Cambria Math" w:hAnsi="Cambria Math"/>
              </w:rPr>
            </m:ctrlPr>
          </m:dPr>
          <m:e>
            <m:r>
              <w:rPr>
                <w:rFonts w:ascii="Cambria Math" w:hAnsi="Cambria Math"/>
              </w:rPr>
              <m:t>σ,</m:t>
            </m:r>
            <m:acc>
              <m:accPr>
                <m:chr m:val="̇"/>
                <m:ctrlPr>
                  <w:rPr>
                    <w:rFonts w:ascii="Cambria Math" w:hAnsi="Cambria Math"/>
                  </w:rPr>
                </m:ctrlPr>
              </m:accPr>
              <m:e>
                <m:r>
                  <w:rPr>
                    <w:rFonts w:ascii="Cambria Math" w:hAnsi="Cambria Math"/>
                  </w:rPr>
                  <m:t>σ</m:t>
                </m:r>
              </m:e>
            </m:acc>
          </m:e>
        </m:d>
      </m:oMath>
      <w:r w:rsidR="089E51D3" w:rsidRPr="0680406C">
        <w:rPr>
          <w:rStyle w:val="CETCaptionCarattere"/>
          <w:i w:val="0"/>
        </w:rPr>
        <w:t xml:space="preserve"> </w:t>
      </w:r>
      <w:r w:rsidRPr="0680406C">
        <w:rPr>
          <w:rStyle w:val="CETCaptionCarattere"/>
          <w:i w:val="0"/>
        </w:rPr>
        <w:t xml:space="preserve">is the joint probability density function (PDF) of the hydrodynamic stress </w:t>
      </w:r>
      <w:r w:rsidR="35402A4E" w:rsidRPr="0680406C">
        <w:rPr>
          <w:rStyle w:val="CETCaptionCarattere"/>
        </w:rPr>
        <w:t>σ</w:t>
      </w:r>
      <w:r w:rsidRPr="0680406C">
        <w:rPr>
          <w:rStyle w:val="CETCaptionCarattere"/>
          <w:i w:val="0"/>
        </w:rPr>
        <w:t xml:space="preserve"> and </w:t>
      </w:r>
      <w:r w:rsidR="28CEDD76" w:rsidRPr="0680406C">
        <w:rPr>
          <w:rStyle w:val="CETCaptionCarattere"/>
          <w:i w:val="0"/>
        </w:rPr>
        <w:t xml:space="preserve">of </w:t>
      </w:r>
      <w:r w:rsidRPr="0680406C">
        <w:rPr>
          <w:rStyle w:val="CETCaptionCarattere"/>
          <w:i w:val="0"/>
        </w:rPr>
        <w:t xml:space="preserve">its time derivative </w:t>
      </w:r>
      <m:oMath>
        <m:acc>
          <m:accPr>
            <m:chr m:val="̇"/>
            <m:ctrlPr>
              <w:rPr>
                <w:rFonts w:ascii="Cambria Math" w:hAnsi="Cambria Math"/>
              </w:rPr>
            </m:ctrlPr>
          </m:accPr>
          <m:e>
            <m:r>
              <w:rPr>
                <w:rFonts w:ascii="Cambria Math" w:hAnsi="Cambria Math"/>
              </w:rPr>
              <m:t>σ</m:t>
            </m:r>
          </m:e>
        </m:acc>
      </m:oMath>
      <w:r w:rsidR="475ED682" w:rsidRPr="0680406C">
        <w:rPr>
          <w:rStyle w:val="CETCaptionCarattere"/>
          <w:i w:val="0"/>
        </w:rPr>
        <w:t xml:space="preserve"> </w:t>
      </w:r>
      <w:r w:rsidRPr="0680406C">
        <w:rPr>
          <w:rStyle w:val="CETCaptionCarattere"/>
          <w:i w:val="0"/>
        </w:rPr>
        <w:t>along the aggregate trajectory</w:t>
      </w:r>
      <w:r w:rsidR="5C474EEB" w:rsidRPr="0680406C">
        <w:rPr>
          <w:rStyle w:val="CETCaptionCarattere"/>
          <w:i w:val="0"/>
        </w:rPr>
        <w:t>,</w:t>
      </w:r>
      <w:r w:rsidRPr="0680406C">
        <w:rPr>
          <w:rStyle w:val="CETCaptionCarattere"/>
          <w:i w:val="0"/>
        </w:rPr>
        <w:t xml:space="preserve"> and </w:t>
      </w:r>
      <w:r w:rsidR="5DE0FD9E" w:rsidRPr="0680406C">
        <w:rPr>
          <w:rStyle w:val="CETCaptionCarattere"/>
        </w:rPr>
        <w:t>p(σ)</w:t>
      </w:r>
      <w:r w:rsidRPr="0680406C">
        <w:rPr>
          <w:rStyle w:val="CETCaptionCarattere"/>
          <w:i w:val="0"/>
        </w:rPr>
        <w:t xml:space="preserve"> is the marginal PDF of the stress </w:t>
      </w:r>
      <w:r w:rsidR="09E5A870" w:rsidRPr="0680406C">
        <w:rPr>
          <w:rStyle w:val="CETCaptionCarattere"/>
        </w:rPr>
        <w:t>σ</w:t>
      </w:r>
      <w:r w:rsidRPr="0680406C">
        <w:rPr>
          <w:rStyle w:val="CETCaptionCarattere"/>
          <w:i w:val="0"/>
        </w:rPr>
        <w:t>. Both</w:t>
      </w:r>
      <w:r w:rsidR="4DC56CE6" w:rsidRPr="0680406C">
        <w:rPr>
          <w:rStyle w:val="CETCaptionCarattere"/>
          <w:i w:val="0"/>
        </w:rPr>
        <w:t xml:space="preserve"> </w:t>
      </w:r>
      <m:oMath>
        <m:sSub>
          <m:sSubPr>
            <m:ctrlPr>
              <w:rPr>
                <w:rFonts w:ascii="Cambria Math" w:hAnsi="Cambria Math"/>
              </w:rPr>
            </m:ctrlPr>
          </m:sSubPr>
          <m:e>
            <m:r>
              <w:rPr>
                <w:rFonts w:ascii="Cambria Math" w:hAnsi="Cambria Math"/>
              </w:rPr>
              <m:t>p</m:t>
            </m:r>
          </m:e>
          <m:sub>
            <m:r>
              <w:rPr>
                <w:rFonts w:ascii="Cambria Math" w:hAnsi="Cambria Math"/>
              </w:rPr>
              <m:t>2</m:t>
            </m:r>
          </m:sub>
        </m:sSub>
        <m:d>
          <m:dPr>
            <m:ctrlPr>
              <w:rPr>
                <w:rFonts w:ascii="Cambria Math" w:hAnsi="Cambria Math"/>
              </w:rPr>
            </m:ctrlPr>
          </m:dPr>
          <m:e>
            <m:r>
              <w:rPr>
                <w:rFonts w:ascii="Cambria Math" w:hAnsi="Cambria Math"/>
              </w:rPr>
              <m:t>σ,</m:t>
            </m:r>
            <m:acc>
              <m:accPr>
                <m:chr m:val="̇"/>
                <m:ctrlPr>
                  <w:rPr>
                    <w:rFonts w:ascii="Cambria Math" w:hAnsi="Cambria Math"/>
                  </w:rPr>
                </m:ctrlPr>
              </m:accPr>
              <m:e>
                <m:r>
                  <w:rPr>
                    <w:rFonts w:ascii="Cambria Math" w:hAnsi="Cambria Math"/>
                  </w:rPr>
                  <m:t>σ</m:t>
                </m:r>
              </m:e>
            </m:acc>
          </m:e>
        </m:d>
      </m:oMath>
      <w:r w:rsidR="3F4C4AB1" w:rsidRPr="0680406C">
        <w:rPr>
          <w:rStyle w:val="CETCaptionCarattere"/>
          <w:i w:val="0"/>
        </w:rPr>
        <w:t xml:space="preserve"> </w:t>
      </w:r>
      <w:r w:rsidRPr="0680406C">
        <w:rPr>
          <w:rStyle w:val="CETCaptionCarattere"/>
          <w:i w:val="0"/>
        </w:rPr>
        <w:t xml:space="preserve">and </w:t>
      </w:r>
      <w:r w:rsidR="4FA56357" w:rsidRPr="0680406C">
        <w:rPr>
          <w:rStyle w:val="CETCaptionCarattere"/>
        </w:rPr>
        <w:t>p(σ)</w:t>
      </w:r>
      <w:r w:rsidRPr="0680406C">
        <w:rPr>
          <w:rStyle w:val="CETCaptionCarattere"/>
          <w:i w:val="0"/>
        </w:rPr>
        <w:t xml:space="preserve"> </w:t>
      </w:r>
      <w:r w:rsidR="00B40A48">
        <w:rPr>
          <w:rStyle w:val="CETCaptionCarattere"/>
          <w:i w:val="0"/>
        </w:rPr>
        <w:t>are</w:t>
      </w:r>
      <w:r w:rsidRPr="0680406C">
        <w:rPr>
          <w:rStyle w:val="CETCaptionCarattere"/>
          <w:i w:val="0"/>
        </w:rPr>
        <w:t xml:space="preserve"> </w:t>
      </w:r>
      <w:r w:rsidR="3E420A81" w:rsidRPr="0680406C">
        <w:rPr>
          <w:rStyle w:val="CETCaptionCarattere"/>
          <w:i w:val="0"/>
        </w:rPr>
        <w:t>computed</w:t>
      </w:r>
      <w:r w:rsidR="00BB5F1D" w:rsidRPr="0680406C">
        <w:rPr>
          <w:rStyle w:val="CETCaptionCarattere"/>
          <w:i w:val="0"/>
        </w:rPr>
        <w:t xml:space="preserve"> </w:t>
      </w:r>
      <w:r w:rsidR="7DD186B6" w:rsidRPr="0680406C">
        <w:rPr>
          <w:rStyle w:val="CETCaptionCarattere"/>
          <w:i w:val="0"/>
        </w:rPr>
        <w:t xml:space="preserve">along aggregate trajectories </w:t>
      </w:r>
      <w:r w:rsidR="426F6D0C" w:rsidRPr="0680406C">
        <w:rPr>
          <w:rStyle w:val="CETCaptionCarattere"/>
          <w:i w:val="0"/>
        </w:rPr>
        <w:t>obtain</w:t>
      </w:r>
      <w:r w:rsidR="60FDD9A7" w:rsidRPr="0680406C">
        <w:rPr>
          <w:rStyle w:val="CETCaptionCarattere"/>
          <w:i w:val="0"/>
        </w:rPr>
        <w:t>ed</w:t>
      </w:r>
      <w:r w:rsidR="7DD186B6" w:rsidRPr="0680406C">
        <w:rPr>
          <w:rStyle w:val="CETCaptionCarattere"/>
          <w:i w:val="0"/>
        </w:rPr>
        <w:t xml:space="preserve"> by </w:t>
      </w:r>
      <w:r w:rsidRPr="0680406C">
        <w:rPr>
          <w:rStyle w:val="CETCaptionCarattere"/>
          <w:i w:val="0"/>
        </w:rPr>
        <w:t>DNS</w:t>
      </w:r>
      <w:r w:rsidR="5D246158" w:rsidRPr="0680406C">
        <w:rPr>
          <w:rStyle w:val="CETCaptionCarattere"/>
          <w:i w:val="0"/>
        </w:rPr>
        <w:t>.</w:t>
      </w:r>
      <w:r w:rsidR="7CDAF9BF" w:rsidRPr="0680406C">
        <w:rPr>
          <w:rStyle w:val="CETCaptionCarattere"/>
          <w:i w:val="0"/>
        </w:rPr>
        <w:t xml:space="preserve"> </w:t>
      </w:r>
    </w:p>
    <w:p w14:paraId="112F595A" w14:textId="0CDF17A1" w:rsidR="00D13AD9" w:rsidRPr="00D13AD9" w:rsidRDefault="00D13AD9" w:rsidP="131D62C6">
      <w:pPr>
        <w:pStyle w:val="Heading1"/>
        <w:rPr>
          <w:bCs/>
        </w:rPr>
      </w:pPr>
      <w:r>
        <w:t>Results</w:t>
      </w:r>
    </w:p>
    <w:p w14:paraId="1F7D4A4A" w14:textId="110F40A3" w:rsidR="00B40A48" w:rsidRDefault="1D77E2A7" w:rsidP="131D62C6">
      <w:pPr>
        <w:pStyle w:val="CETBodytext"/>
        <w:rPr>
          <w:lang w:val="en-GB"/>
        </w:rPr>
      </w:pPr>
      <w:r w:rsidRPr="0680406C">
        <w:rPr>
          <w:lang w:val="en-GB"/>
        </w:rPr>
        <w:t>W</w:t>
      </w:r>
      <w:r w:rsidR="6B9E9322" w:rsidRPr="0680406C">
        <w:rPr>
          <w:lang w:val="en-GB"/>
        </w:rPr>
        <w:t xml:space="preserve">e </w:t>
      </w:r>
      <w:r w:rsidR="40CB9422" w:rsidRPr="0680406C">
        <w:rPr>
          <w:lang w:val="en-GB"/>
        </w:rPr>
        <w:t>compute</w:t>
      </w:r>
      <w:r w:rsidR="6B9E9322" w:rsidRPr="0680406C">
        <w:rPr>
          <w:lang w:val="en-GB"/>
        </w:rPr>
        <w:t xml:space="preserve"> </w:t>
      </w:r>
      <w:r w:rsidR="4313A117" w:rsidRPr="0680406C">
        <w:rPr>
          <w:lang w:val="en-GB"/>
        </w:rPr>
        <w:t xml:space="preserve">first </w:t>
      </w:r>
      <w:r w:rsidR="6B9E9322" w:rsidRPr="0680406C">
        <w:rPr>
          <w:lang w:val="en-GB"/>
        </w:rPr>
        <w:t xml:space="preserve">the </w:t>
      </w:r>
      <w:r w:rsidR="72887234" w:rsidRPr="0680406C">
        <w:rPr>
          <w:lang w:val="en-GB"/>
        </w:rPr>
        <w:t xml:space="preserve">probability density function of the </w:t>
      </w:r>
      <w:r w:rsidR="6B9E9322" w:rsidRPr="0680406C">
        <w:rPr>
          <w:lang w:val="en-GB"/>
        </w:rPr>
        <w:t>energy that is accumulated by the aggregates over the</w:t>
      </w:r>
      <w:r w:rsidR="6D432A2E" w:rsidRPr="0680406C">
        <w:rPr>
          <w:lang w:val="en-GB"/>
        </w:rPr>
        <w:t xml:space="preserve"> whole</w:t>
      </w:r>
      <w:r w:rsidR="6B9E9322" w:rsidRPr="0680406C">
        <w:rPr>
          <w:lang w:val="en-GB"/>
        </w:rPr>
        <w:t xml:space="preserve"> </w:t>
      </w:r>
      <w:r w:rsidR="4260EFDB" w:rsidRPr="0680406C">
        <w:rPr>
          <w:lang w:val="en-GB"/>
        </w:rPr>
        <w:t>length of their trajectories. W</w:t>
      </w:r>
      <w:r w:rsidR="6B9E9322" w:rsidRPr="0680406C">
        <w:rPr>
          <w:lang w:val="en-GB"/>
        </w:rPr>
        <w:t xml:space="preserve">e </w:t>
      </w:r>
      <w:r w:rsidR="1EE0CD07" w:rsidRPr="0680406C">
        <w:rPr>
          <w:lang w:val="en-GB"/>
        </w:rPr>
        <w:t>d</w:t>
      </w:r>
      <w:r w:rsidR="03D39425" w:rsidRPr="0680406C">
        <w:rPr>
          <w:lang w:val="en-GB"/>
        </w:rPr>
        <w:t>o</w:t>
      </w:r>
      <w:r w:rsidR="1EE0CD07" w:rsidRPr="0680406C">
        <w:rPr>
          <w:lang w:val="en-GB"/>
        </w:rPr>
        <w:t xml:space="preserve"> this </w:t>
      </w:r>
      <w:r w:rsidR="51DD2A4E" w:rsidRPr="0680406C">
        <w:rPr>
          <w:lang w:val="en-GB"/>
        </w:rPr>
        <w:t>by assum</w:t>
      </w:r>
      <w:r w:rsidR="137EC9A1" w:rsidRPr="0680406C">
        <w:rPr>
          <w:lang w:val="en-GB"/>
        </w:rPr>
        <w:t>ing</w:t>
      </w:r>
      <w:r w:rsidR="6B9E9322" w:rsidRPr="0680406C">
        <w:rPr>
          <w:lang w:val="en-GB"/>
        </w:rPr>
        <w:t xml:space="preserve"> the aggregates </w:t>
      </w:r>
      <w:r w:rsidR="244181BD" w:rsidRPr="0680406C">
        <w:rPr>
          <w:lang w:val="en-GB"/>
        </w:rPr>
        <w:t xml:space="preserve">to </w:t>
      </w:r>
      <w:r w:rsidR="30A9FFF9" w:rsidRPr="0680406C">
        <w:rPr>
          <w:lang w:val="en-GB"/>
        </w:rPr>
        <w:t xml:space="preserve">start accumulating energy as soon as they experience for the first time a stress larger than a critical threshold </w:t>
      </w:r>
      <w:proofErr w:type="spellStart"/>
      <w:r w:rsidR="30A9FFF9" w:rsidRPr="0680406C">
        <w:rPr>
          <w:i/>
          <w:iCs/>
          <w:lang w:val="en-GB"/>
        </w:rPr>
        <w:t>σ</w:t>
      </w:r>
      <w:r w:rsidR="30A9FFF9" w:rsidRPr="0680406C">
        <w:rPr>
          <w:i/>
          <w:iCs/>
          <w:vertAlign w:val="subscript"/>
          <w:lang w:val="en-GB"/>
        </w:rPr>
        <w:t>cr</w:t>
      </w:r>
      <w:proofErr w:type="spellEnd"/>
      <w:r w:rsidR="00BB5F1D" w:rsidRPr="0680406C">
        <w:rPr>
          <w:lang w:val="en-GB"/>
        </w:rPr>
        <w:t xml:space="preserve">, </w:t>
      </w:r>
      <w:r w:rsidR="6EFB072D" w:rsidRPr="0680406C">
        <w:rPr>
          <w:lang w:val="en-GB"/>
        </w:rPr>
        <w:t xml:space="preserve">and </w:t>
      </w:r>
      <w:r w:rsidR="6DFFF492" w:rsidRPr="0680406C">
        <w:rPr>
          <w:lang w:val="en-GB"/>
        </w:rPr>
        <w:t>by considering them as</w:t>
      </w:r>
      <w:r w:rsidR="6EFB072D" w:rsidRPr="0680406C">
        <w:rPr>
          <w:lang w:val="en-GB"/>
        </w:rPr>
        <w:t xml:space="preserve"> </w:t>
      </w:r>
      <w:r w:rsidR="6B9E9322" w:rsidRPr="0680406C">
        <w:rPr>
          <w:lang w:val="en-GB"/>
        </w:rPr>
        <w:t xml:space="preserve">infinitely strong, i.e. </w:t>
      </w:r>
      <w:r w:rsidR="64FCE8B7" w:rsidRPr="0680406C">
        <w:rPr>
          <w:lang w:val="en-GB"/>
        </w:rPr>
        <w:t>resistant t</w:t>
      </w:r>
      <w:r w:rsidR="24E76D22" w:rsidRPr="0680406C">
        <w:rPr>
          <w:lang w:val="en-GB"/>
        </w:rPr>
        <w:t>o</w:t>
      </w:r>
      <w:r w:rsidR="4ED2AC42" w:rsidRPr="0680406C">
        <w:rPr>
          <w:lang w:val="en-GB"/>
        </w:rPr>
        <w:t xml:space="preserve"> </w:t>
      </w:r>
      <w:r w:rsidR="24E76D22" w:rsidRPr="0680406C">
        <w:rPr>
          <w:lang w:val="en-GB"/>
        </w:rPr>
        <w:t>breakup</w:t>
      </w:r>
      <w:r w:rsidR="4F196E83" w:rsidRPr="0680406C">
        <w:rPr>
          <w:lang w:val="en-GB"/>
        </w:rPr>
        <w:t>.</w:t>
      </w:r>
      <w:r w:rsidR="6B9E9322" w:rsidRPr="0680406C">
        <w:rPr>
          <w:lang w:val="en-GB"/>
        </w:rPr>
        <w:t xml:space="preserve"> </w:t>
      </w:r>
      <w:r w:rsidR="5FBBA40D" w:rsidRPr="0680406C">
        <w:rPr>
          <w:lang w:val="en-GB"/>
        </w:rPr>
        <w:t>In Figure 2 the results of the analysis</w:t>
      </w:r>
      <w:r w:rsidR="7CE6EFB2" w:rsidRPr="0680406C">
        <w:rPr>
          <w:lang w:val="en-GB"/>
        </w:rPr>
        <w:t xml:space="preserve"> </w:t>
      </w:r>
      <w:r w:rsidR="5FBBA40D" w:rsidRPr="0680406C">
        <w:rPr>
          <w:lang w:val="en-GB"/>
        </w:rPr>
        <w:t xml:space="preserve">are reported at varying values of the critical threshold </w:t>
      </w:r>
      <w:proofErr w:type="spellStart"/>
      <w:r w:rsidR="5FBBA40D" w:rsidRPr="0680406C">
        <w:rPr>
          <w:i/>
          <w:iCs/>
          <w:lang w:val="en-GB"/>
        </w:rPr>
        <w:t>σ</w:t>
      </w:r>
      <w:r w:rsidR="5FBBA40D" w:rsidRPr="0680406C">
        <w:rPr>
          <w:i/>
          <w:iCs/>
          <w:vertAlign w:val="subscript"/>
          <w:lang w:val="en-GB"/>
        </w:rPr>
        <w:t>cr</w:t>
      </w:r>
      <w:proofErr w:type="spellEnd"/>
      <w:r w:rsidR="5FBBA40D" w:rsidRPr="0680406C">
        <w:rPr>
          <w:lang w:val="en-GB"/>
        </w:rPr>
        <w:t xml:space="preserve">. </w:t>
      </w:r>
      <w:r w:rsidR="1DEACF4B" w:rsidRPr="0680406C">
        <w:rPr>
          <w:lang w:val="en-GB"/>
        </w:rPr>
        <w:t xml:space="preserve">For a low threshold </w:t>
      </w:r>
      <w:r w:rsidR="3D737B9F" w:rsidRPr="0680406C">
        <w:rPr>
          <w:lang w:val="en-GB"/>
        </w:rPr>
        <w:t>of</w:t>
      </w:r>
      <w:r w:rsidR="1DEACF4B" w:rsidRPr="0680406C">
        <w:rPr>
          <w:lang w:val="en-GB"/>
        </w:rPr>
        <w:t xml:space="preserve"> the </w:t>
      </w:r>
      <w:r w:rsidR="2661322D" w:rsidRPr="0680406C">
        <w:rPr>
          <w:lang w:val="en-GB"/>
        </w:rPr>
        <w:t xml:space="preserve">critical </w:t>
      </w:r>
      <w:r w:rsidR="1DEACF4B" w:rsidRPr="0680406C">
        <w:rPr>
          <w:lang w:val="en-GB"/>
        </w:rPr>
        <w:t xml:space="preserve">hydrodynamic stress, </w:t>
      </w:r>
      <w:r w:rsidR="688C0240" w:rsidRPr="0680406C">
        <w:rPr>
          <w:lang w:val="en-GB"/>
        </w:rPr>
        <w:t>all</w:t>
      </w:r>
      <w:r w:rsidR="00BB5F1D" w:rsidRPr="0680406C">
        <w:rPr>
          <w:lang w:val="en-GB"/>
        </w:rPr>
        <w:t xml:space="preserve"> </w:t>
      </w:r>
      <w:r w:rsidR="56F610A3" w:rsidRPr="0680406C">
        <w:rPr>
          <w:lang w:val="en-GB"/>
        </w:rPr>
        <w:t xml:space="preserve">aggregates accumulate </w:t>
      </w:r>
      <w:r w:rsidR="1DEACF4B" w:rsidRPr="0680406C">
        <w:rPr>
          <w:lang w:val="en-GB"/>
        </w:rPr>
        <w:lastRenderedPageBreak/>
        <w:t xml:space="preserve">energy </w:t>
      </w:r>
      <w:r w:rsidR="75F29193" w:rsidRPr="0680406C">
        <w:rPr>
          <w:lang w:val="en-GB"/>
        </w:rPr>
        <w:t>o</w:t>
      </w:r>
      <w:r w:rsidR="1DEACF4B" w:rsidRPr="0680406C">
        <w:rPr>
          <w:lang w:val="en-GB"/>
        </w:rPr>
        <w:t>ver nearly the entire length of the</w:t>
      </w:r>
      <w:r w:rsidR="06E0199E" w:rsidRPr="0680406C">
        <w:rPr>
          <w:lang w:val="en-GB"/>
        </w:rPr>
        <w:t>ir</w:t>
      </w:r>
      <w:r w:rsidR="1DEACF4B" w:rsidRPr="0680406C">
        <w:rPr>
          <w:lang w:val="en-GB"/>
        </w:rPr>
        <w:t xml:space="preserve"> trajector</w:t>
      </w:r>
      <w:r w:rsidR="3C635AAB" w:rsidRPr="0680406C">
        <w:rPr>
          <w:lang w:val="en-GB"/>
        </w:rPr>
        <w:t>y</w:t>
      </w:r>
      <w:r w:rsidR="1DEACF4B" w:rsidRPr="0680406C">
        <w:rPr>
          <w:lang w:val="en-GB"/>
        </w:rPr>
        <w:t xml:space="preserve">, </w:t>
      </w:r>
      <w:r w:rsidR="00FDB55C" w:rsidRPr="0680406C">
        <w:rPr>
          <w:lang w:val="en-GB"/>
        </w:rPr>
        <w:t>leading to</w:t>
      </w:r>
      <w:r w:rsidR="1DEACF4B" w:rsidRPr="0680406C">
        <w:rPr>
          <w:lang w:val="en-GB"/>
        </w:rPr>
        <w:t xml:space="preserve"> a relatively narrow PDF (b</w:t>
      </w:r>
      <w:r w:rsidR="7BF790B9" w:rsidRPr="0680406C">
        <w:rPr>
          <w:lang w:val="en-GB"/>
        </w:rPr>
        <w:t>l</w:t>
      </w:r>
      <w:r w:rsidR="1DEACF4B" w:rsidRPr="0680406C">
        <w:rPr>
          <w:lang w:val="en-GB"/>
        </w:rPr>
        <w:t xml:space="preserve">ack </w:t>
      </w:r>
      <w:r w:rsidR="468F5C8F" w:rsidRPr="0680406C">
        <w:rPr>
          <w:lang w:val="en-GB"/>
        </w:rPr>
        <w:t xml:space="preserve">and orange curves </w:t>
      </w:r>
      <w:r w:rsidR="1DEACF4B" w:rsidRPr="0680406C">
        <w:rPr>
          <w:lang w:val="en-GB"/>
        </w:rPr>
        <w:t>in Fig</w:t>
      </w:r>
      <w:r w:rsidR="7E4DCF86" w:rsidRPr="0680406C">
        <w:rPr>
          <w:lang w:val="en-GB"/>
        </w:rPr>
        <w:t>ure</w:t>
      </w:r>
      <w:r w:rsidR="1DEACF4B" w:rsidRPr="0680406C">
        <w:rPr>
          <w:lang w:val="en-GB"/>
        </w:rPr>
        <w:t xml:space="preserve"> 2. On the other hand, </w:t>
      </w:r>
      <w:r w:rsidR="6EE8F355" w:rsidRPr="0680406C">
        <w:rPr>
          <w:lang w:val="en-GB"/>
        </w:rPr>
        <w:t>if the critical</w:t>
      </w:r>
      <w:r w:rsidR="1DEACF4B" w:rsidRPr="0680406C">
        <w:rPr>
          <w:lang w:val="en-GB"/>
        </w:rPr>
        <w:t xml:space="preserve"> threshold</w:t>
      </w:r>
      <w:r w:rsidR="2917F13B" w:rsidRPr="0680406C">
        <w:rPr>
          <w:lang w:val="en-GB"/>
        </w:rPr>
        <w:t xml:space="preserve"> is high</w:t>
      </w:r>
      <w:r w:rsidR="1DEACF4B" w:rsidRPr="0680406C">
        <w:rPr>
          <w:lang w:val="en-GB"/>
        </w:rPr>
        <w:t xml:space="preserve">, energy is accumulated only along </w:t>
      </w:r>
      <w:r w:rsidR="11C99FF1" w:rsidRPr="0680406C">
        <w:rPr>
          <w:lang w:val="en-GB"/>
        </w:rPr>
        <w:t xml:space="preserve">the </w:t>
      </w:r>
      <w:r w:rsidR="3967CD6C" w:rsidRPr="0680406C">
        <w:rPr>
          <w:lang w:val="en-GB"/>
        </w:rPr>
        <w:t>few</w:t>
      </w:r>
      <w:r w:rsidR="56828D05" w:rsidRPr="0680406C">
        <w:rPr>
          <w:lang w:val="en-GB"/>
        </w:rPr>
        <w:t xml:space="preserve"> </w:t>
      </w:r>
      <w:r w:rsidR="1DEACF4B" w:rsidRPr="0680406C">
        <w:rPr>
          <w:lang w:val="en-GB"/>
        </w:rPr>
        <w:t>segments of the trajectory whe</w:t>
      </w:r>
      <w:r w:rsidR="72668D43" w:rsidRPr="0680406C">
        <w:rPr>
          <w:lang w:val="en-GB"/>
        </w:rPr>
        <w:t>re</w:t>
      </w:r>
      <w:r w:rsidR="1DEACF4B" w:rsidRPr="0680406C">
        <w:rPr>
          <w:lang w:val="en-GB"/>
        </w:rPr>
        <w:t xml:space="preserve"> </w:t>
      </w:r>
      <w:r w:rsidR="1DEACF4B" w:rsidRPr="0680406C">
        <w:rPr>
          <w:i/>
          <w:iCs/>
          <w:lang w:val="en-GB"/>
        </w:rPr>
        <w:t xml:space="preserve">σ &gt; </w:t>
      </w:r>
      <w:proofErr w:type="spellStart"/>
      <w:r w:rsidR="1DEACF4B" w:rsidRPr="0680406C">
        <w:rPr>
          <w:i/>
          <w:iCs/>
          <w:lang w:val="en-GB"/>
        </w:rPr>
        <w:t>σ</w:t>
      </w:r>
      <w:r w:rsidR="1DEACF4B" w:rsidRPr="0680406C">
        <w:rPr>
          <w:i/>
          <w:iCs/>
          <w:vertAlign w:val="subscript"/>
          <w:lang w:val="en-GB"/>
        </w:rPr>
        <w:t>cr</w:t>
      </w:r>
      <w:proofErr w:type="spellEnd"/>
      <w:r w:rsidR="1DEACF4B" w:rsidRPr="0680406C">
        <w:rPr>
          <w:lang w:val="en-GB"/>
        </w:rPr>
        <w:t xml:space="preserve">. </w:t>
      </w:r>
      <w:r w:rsidR="41F26B48" w:rsidRPr="0680406C">
        <w:rPr>
          <w:lang w:val="en-GB"/>
        </w:rPr>
        <w:t>Due to the turbulent flow variability, t</w:t>
      </w:r>
      <w:r w:rsidR="1DEACF4B" w:rsidRPr="0680406C">
        <w:rPr>
          <w:lang w:val="en-GB"/>
        </w:rPr>
        <w:t xml:space="preserve">he </w:t>
      </w:r>
      <w:r w:rsidR="16053A7C" w:rsidRPr="0680406C">
        <w:rPr>
          <w:lang w:val="en-GB"/>
        </w:rPr>
        <w:t>local value</w:t>
      </w:r>
      <w:r w:rsidR="1DEACF4B" w:rsidRPr="0680406C">
        <w:rPr>
          <w:lang w:val="en-GB"/>
        </w:rPr>
        <w:t xml:space="preserve"> of </w:t>
      </w:r>
      <w:r w:rsidR="1DEACF4B" w:rsidRPr="0680406C">
        <w:rPr>
          <w:i/>
          <w:iCs/>
          <w:lang w:val="en-GB"/>
        </w:rPr>
        <w:t>σ</w:t>
      </w:r>
      <w:r w:rsidR="1DEACF4B" w:rsidRPr="0680406C">
        <w:rPr>
          <w:lang w:val="en-GB"/>
        </w:rPr>
        <w:t xml:space="preserve"> </w:t>
      </w:r>
      <w:r w:rsidR="659F3209" w:rsidRPr="0680406C">
        <w:rPr>
          <w:lang w:val="en-GB"/>
        </w:rPr>
        <w:t xml:space="preserve">and the length </w:t>
      </w:r>
      <w:r w:rsidR="6C99229A" w:rsidRPr="0680406C">
        <w:rPr>
          <w:lang w:val="en-GB"/>
        </w:rPr>
        <w:t>of</w:t>
      </w:r>
      <w:r w:rsidR="1DEACF4B" w:rsidRPr="0680406C">
        <w:rPr>
          <w:lang w:val="en-GB"/>
        </w:rPr>
        <w:t xml:space="preserve"> these segments</w:t>
      </w:r>
      <w:r w:rsidR="67C29C40" w:rsidRPr="0680406C">
        <w:rPr>
          <w:lang w:val="en-GB"/>
        </w:rPr>
        <w:t xml:space="preserve"> </w:t>
      </w:r>
      <w:r w:rsidR="12C2AF62" w:rsidRPr="0680406C">
        <w:rPr>
          <w:lang w:val="en-GB"/>
        </w:rPr>
        <w:t>are strongly varying quantities</w:t>
      </w:r>
      <w:r w:rsidR="1DEACF4B" w:rsidRPr="0680406C">
        <w:rPr>
          <w:lang w:val="en-GB"/>
        </w:rPr>
        <w:t xml:space="preserve">, </w:t>
      </w:r>
      <w:r w:rsidR="7BF31713" w:rsidRPr="0680406C">
        <w:rPr>
          <w:lang w:val="en-GB"/>
        </w:rPr>
        <w:t xml:space="preserve">leading to </w:t>
      </w:r>
      <w:r w:rsidR="56EE8AC4" w:rsidRPr="0680406C">
        <w:rPr>
          <w:lang w:val="en-GB"/>
        </w:rPr>
        <w:t xml:space="preserve">a </w:t>
      </w:r>
      <w:r w:rsidR="1DEACF4B" w:rsidRPr="0680406C">
        <w:rPr>
          <w:lang w:val="en-GB"/>
        </w:rPr>
        <w:t>wider PDF (grey</w:t>
      </w:r>
      <w:r w:rsidR="6DC9EADE" w:rsidRPr="0680406C">
        <w:rPr>
          <w:lang w:val="en-GB"/>
        </w:rPr>
        <w:t xml:space="preserve"> </w:t>
      </w:r>
      <w:r w:rsidR="1DEACF4B" w:rsidRPr="0680406C">
        <w:rPr>
          <w:lang w:val="en-GB"/>
        </w:rPr>
        <w:t>curve). Th</w:t>
      </w:r>
      <w:r w:rsidR="676A7A01" w:rsidRPr="0680406C">
        <w:rPr>
          <w:lang w:val="en-GB"/>
        </w:rPr>
        <w:t xml:space="preserve">e inset </w:t>
      </w:r>
      <w:r w:rsidR="5CC76BD2" w:rsidRPr="0680406C">
        <w:rPr>
          <w:lang w:val="en-GB"/>
        </w:rPr>
        <w:t xml:space="preserve">of Figure 2 </w:t>
      </w:r>
      <w:r w:rsidR="676A7A01" w:rsidRPr="0680406C">
        <w:rPr>
          <w:lang w:val="en-GB"/>
        </w:rPr>
        <w:t>shows the average of the accumulated energy</w:t>
      </w:r>
      <w:r w:rsidR="4C3C7E82" w:rsidRPr="0680406C">
        <w:rPr>
          <w:lang w:val="en-GB"/>
        </w:rPr>
        <w:t>,</w:t>
      </w:r>
      <w:r w:rsidR="676A7A01" w:rsidRPr="0680406C">
        <w:rPr>
          <w:lang w:val="en-GB"/>
        </w:rPr>
        <w:t xml:space="preserve"> which decrease</w:t>
      </w:r>
      <w:r w:rsidR="1B3A4EDC" w:rsidRPr="0680406C">
        <w:rPr>
          <w:lang w:val="en-GB"/>
        </w:rPr>
        <w:t>s</w:t>
      </w:r>
      <w:r w:rsidR="676A7A01" w:rsidRPr="0680406C">
        <w:rPr>
          <w:lang w:val="en-GB"/>
        </w:rPr>
        <w:t xml:space="preserve"> </w:t>
      </w:r>
      <w:r w:rsidR="566E9DB5" w:rsidRPr="0680406C">
        <w:rPr>
          <w:lang w:val="en-GB"/>
        </w:rPr>
        <w:t xml:space="preserve">for increasing </w:t>
      </w:r>
      <w:r w:rsidR="676A7A01" w:rsidRPr="0680406C">
        <w:rPr>
          <w:lang w:val="en-GB"/>
        </w:rPr>
        <w:t>threshold</w:t>
      </w:r>
      <w:r w:rsidR="517B8A4B" w:rsidRPr="0680406C">
        <w:rPr>
          <w:lang w:val="en-GB"/>
        </w:rPr>
        <w:t>s</w:t>
      </w:r>
      <w:r w:rsidR="676A7A01" w:rsidRPr="0680406C">
        <w:rPr>
          <w:lang w:val="en-GB"/>
        </w:rPr>
        <w:t xml:space="preserve">. </w:t>
      </w:r>
    </w:p>
    <w:p w14:paraId="3A846F19" w14:textId="6EFF1778" w:rsidR="78D026BD" w:rsidRDefault="268358B1" w:rsidP="131D62C6">
      <w:pPr>
        <w:pStyle w:val="CETBodytext"/>
      </w:pPr>
      <w:r>
        <w:rPr>
          <w:noProof/>
        </w:rPr>
        <w:drawing>
          <wp:inline distT="0" distB="0" distL="0" distR="0" wp14:anchorId="4DF4BDD3" wp14:editId="761726ED">
            <wp:extent cx="3600000" cy="2342237"/>
            <wp:effectExtent l="0" t="0" r="0" b="0"/>
            <wp:docPr id="5144265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426524"/>
                    <pic:cNvPicPr/>
                  </pic:nvPicPr>
                  <pic:blipFill>
                    <a:blip r:embed="rId17">
                      <a:extLst>
                        <a:ext uri="{28A0092B-C50C-407E-A947-70E740481C1C}">
                          <a14:useLocalDpi xmlns:a14="http://schemas.microsoft.com/office/drawing/2010/main" val="0"/>
                        </a:ext>
                      </a:extLst>
                    </a:blip>
                    <a:srcRect t="1814" r="4166" b="3174"/>
                    <a:stretch>
                      <a:fillRect/>
                    </a:stretch>
                  </pic:blipFill>
                  <pic:spPr>
                    <a:xfrm>
                      <a:off x="0" y="0"/>
                      <a:ext cx="3600000" cy="2342237"/>
                    </a:xfrm>
                    <a:prstGeom prst="rect">
                      <a:avLst/>
                    </a:prstGeom>
                  </pic:spPr>
                </pic:pic>
              </a:graphicData>
            </a:graphic>
          </wp:inline>
        </w:drawing>
      </w:r>
    </w:p>
    <w:p w14:paraId="539175E0" w14:textId="138E3F9B" w:rsidR="00D13AD9" w:rsidRPr="00C77209" w:rsidRDefault="268358B1" w:rsidP="00C77209">
      <w:pPr>
        <w:pStyle w:val="CETCaption"/>
        <w:rPr>
          <w:vertAlign w:val="subscript"/>
        </w:rPr>
      </w:pPr>
      <w:r w:rsidRPr="0680406C">
        <w:t xml:space="preserve">Figure 2: Probability distribution function of the energy E accumulated by aggregates at varying value of the activation stress </w:t>
      </w:r>
      <w:proofErr w:type="spellStart"/>
      <w:r w:rsidRPr="0680406C">
        <w:t>σ</w:t>
      </w:r>
      <w:r w:rsidRPr="0680406C">
        <w:rPr>
          <w:vertAlign w:val="subscript"/>
        </w:rPr>
        <w:t>cr</w:t>
      </w:r>
      <w:proofErr w:type="spellEnd"/>
      <w:r w:rsidRPr="0680406C">
        <w:rPr>
          <w:vertAlign w:val="subscript"/>
        </w:rPr>
        <w:t xml:space="preserve">. </w:t>
      </w:r>
      <w:r w:rsidRPr="0680406C">
        <w:t xml:space="preserve">The critical stress has been made dimensionless by the average stress </w:t>
      </w:r>
      <m:oMath>
        <m:d>
          <m:dPr>
            <m:begChr m:val="⟨"/>
            <m:endChr m:val="⟩"/>
            <m:ctrlPr>
              <w:rPr>
                <w:rFonts w:ascii="Cambria Math" w:hAnsi="Cambria Math"/>
              </w:rPr>
            </m:ctrlPr>
          </m:dPr>
          <m:e>
            <m:r>
              <w:rPr>
                <w:rFonts w:ascii="Cambria Math" w:hAnsi="Cambria Math"/>
              </w:rPr>
              <m:t>σ</m:t>
            </m:r>
          </m:e>
        </m:d>
      </m:oMath>
      <w:r w:rsidRPr="0680406C">
        <w:t xml:space="preserve">. In the inset, the average energy is plotted as a function </w:t>
      </w:r>
      <w:r w:rsidR="004C623B">
        <w:t xml:space="preserve">of </w:t>
      </w:r>
      <w:r w:rsidRPr="0680406C">
        <w:t>the critical stress and normalized by the product between the average stress and the simulation run time.</w:t>
      </w:r>
    </w:p>
    <w:p w14:paraId="48347C80" w14:textId="7313B78F" w:rsidR="78D026BD" w:rsidRDefault="7959B2A2" w:rsidP="131D62C6">
      <w:pPr>
        <w:pStyle w:val="CETBodytext"/>
      </w:pPr>
      <w:r>
        <w:t xml:space="preserve">Figure 3 shows </w:t>
      </w:r>
      <w:r w:rsidR="4BEB9533">
        <w:t xml:space="preserve">the </w:t>
      </w:r>
      <w:r>
        <w:t xml:space="preserve">breakup rate for various values of the </w:t>
      </w:r>
      <w:r w:rsidR="00786BA7">
        <w:t xml:space="preserve">accumulation </w:t>
      </w:r>
      <w:r>
        <w:t xml:space="preserve">energy </w:t>
      </w:r>
      <w:proofErr w:type="spellStart"/>
      <w:r w:rsidRPr="0680406C">
        <w:rPr>
          <w:i/>
          <w:iCs/>
        </w:rPr>
        <w:t>E</w:t>
      </w:r>
      <w:r w:rsidRPr="0680406C">
        <w:rPr>
          <w:vertAlign w:val="subscript"/>
        </w:rPr>
        <w:t>cr</w:t>
      </w:r>
      <w:proofErr w:type="spellEnd"/>
      <w:r>
        <w:t xml:space="preserve"> ne</w:t>
      </w:r>
      <w:r w:rsidR="222D23F1">
        <w:t>eded</w:t>
      </w:r>
      <w:r>
        <w:t xml:space="preserve"> for breakup. The dashed line refers to the case of zero energy, i.e., is the one of brittle aggregates. For these, breakup occurs as soon as they experience the critical stress for the first time. Accordingly, the time lag for breakup is comparably short, and the breakup rate is high. As the threshold for the critical energy increases (i.e., as the aggregates become more tenacious), a longer stage of energy accumulation is necessary, and the breakup rate </w:t>
      </w:r>
      <w:r w:rsidR="40116337">
        <w:t>is lower</w:t>
      </w:r>
      <w:r>
        <w:t xml:space="preserve">. </w:t>
      </w:r>
      <w:r w:rsidR="1C4ABFAF">
        <w:t>However, f</w:t>
      </w:r>
      <w:r w:rsidR="3C6832CE">
        <w:t>or both the brittle and ductile case</w:t>
      </w:r>
      <w:r w:rsidR="60EFCD0A">
        <w:t>s</w:t>
      </w:r>
      <w:r w:rsidR="3C6832CE">
        <w:t xml:space="preserve">, </w:t>
      </w:r>
      <w:r w:rsidR="7913EC44">
        <w:t>when the</w:t>
      </w:r>
      <w:r>
        <w:t xml:space="preserve"> critical stress</w:t>
      </w:r>
      <w:r w:rsidR="5DFA0ECE">
        <w:t xml:space="preserve"> is large</w:t>
      </w:r>
      <w:r>
        <w:t xml:space="preserve">, events where </w:t>
      </w:r>
      <w:r w:rsidRPr="0680406C">
        <w:rPr>
          <w:i/>
          <w:iCs/>
          <w:lang w:val="en-GB"/>
        </w:rPr>
        <w:t>σ</w:t>
      </w:r>
      <w:r>
        <w:t xml:space="preserve"> is larger than </w:t>
      </w:r>
      <w:proofErr w:type="spellStart"/>
      <w:r w:rsidRPr="0680406C">
        <w:rPr>
          <w:i/>
          <w:iCs/>
          <w:lang w:val="en-GB"/>
        </w:rPr>
        <w:t>σ</w:t>
      </w:r>
      <w:r w:rsidRPr="0680406C">
        <w:rPr>
          <w:i/>
          <w:iCs/>
          <w:vertAlign w:val="subscript"/>
          <w:lang w:val="en-GB"/>
        </w:rPr>
        <w:t>cr</w:t>
      </w:r>
      <w:proofErr w:type="spellEnd"/>
      <w:r>
        <w:t xml:space="preserve"> become rare</w:t>
      </w:r>
      <w:r w:rsidR="33DB8115">
        <w:t xml:space="preserve">; </w:t>
      </w:r>
      <w:r w:rsidR="58BDA165">
        <w:t>consequently,</w:t>
      </w:r>
      <w:r w:rsidR="4F17C3D8">
        <w:t xml:space="preserve"> </w:t>
      </w:r>
      <w:r>
        <w:t xml:space="preserve">the breakup </w:t>
      </w:r>
      <w:r w:rsidR="6A1F474B">
        <w:t>rate</w:t>
      </w:r>
      <w:r w:rsidR="210A382F">
        <w:t xml:space="preserve"> </w:t>
      </w:r>
      <w:r w:rsidR="678075EC">
        <w:t>show</w:t>
      </w:r>
      <w:r w:rsidR="7D7C92F4">
        <w:t>s</w:t>
      </w:r>
      <w:r w:rsidR="210A382F">
        <w:t xml:space="preserve"> </w:t>
      </w:r>
      <w:r>
        <w:t>a rapid fall off.</w:t>
      </w:r>
    </w:p>
    <w:p w14:paraId="2EEE7A1E" w14:textId="374C6DD6" w:rsidR="78D026BD" w:rsidRDefault="0AA392E9" w:rsidP="0680406C">
      <w:pPr>
        <w:pStyle w:val="CETBodytext"/>
        <w:rPr>
          <w:lang w:val="en-GB"/>
        </w:rPr>
      </w:pPr>
      <w:r>
        <w:t xml:space="preserve">When the breakup energy </w:t>
      </w:r>
      <w:proofErr w:type="spellStart"/>
      <w:r w:rsidRPr="0680406C">
        <w:rPr>
          <w:i/>
          <w:iCs/>
        </w:rPr>
        <w:t>E</w:t>
      </w:r>
      <w:r w:rsidRPr="0680406C">
        <w:rPr>
          <w:vertAlign w:val="subscript"/>
        </w:rPr>
        <w:t>cr</w:t>
      </w:r>
      <w:proofErr w:type="spellEnd"/>
      <w:r>
        <w:t xml:space="preserve"> is </w:t>
      </w:r>
      <w:r w:rsidR="2816B891">
        <w:t xml:space="preserve">large, </w:t>
      </w:r>
      <w:r w:rsidR="27628761">
        <w:t xml:space="preserve">the </w:t>
      </w:r>
      <w:r w:rsidR="56A23957">
        <w:t>aggregates</w:t>
      </w:r>
      <w:r w:rsidR="27628761">
        <w:t xml:space="preserve"> spend a long time in the flow</w:t>
      </w:r>
      <w:r w:rsidR="0A46B1E0">
        <w:t xml:space="preserve"> </w:t>
      </w:r>
      <w:r w:rsidR="234328C8">
        <w:t xml:space="preserve">accumulating energy </w:t>
      </w:r>
      <w:r w:rsidR="0A46B1E0">
        <w:t>(long compared to the large eddy turn</w:t>
      </w:r>
      <w:r w:rsidR="00786BA7">
        <w:t>-</w:t>
      </w:r>
      <w:r w:rsidR="0A46B1E0" w:rsidRPr="0680406C">
        <w:t xml:space="preserve">over time </w:t>
      </w:r>
      <w:r w:rsidR="0A46B1E0" w:rsidRPr="0680406C">
        <w:rPr>
          <w:i/>
          <w:iCs/>
        </w:rPr>
        <w:t>T</w:t>
      </w:r>
      <w:r w:rsidR="0A46B1E0" w:rsidRPr="0680406C">
        <w:rPr>
          <w:i/>
          <w:iCs/>
          <w:vertAlign w:val="subscript"/>
        </w:rPr>
        <w:t>L</w:t>
      </w:r>
      <w:r w:rsidR="0A46B1E0">
        <w:t>)</w:t>
      </w:r>
      <w:r w:rsidR="612D7204">
        <w:t>, and during</w:t>
      </w:r>
      <w:r w:rsidR="27628761">
        <w:t xml:space="preserve"> </w:t>
      </w:r>
      <w:r w:rsidR="131B397A">
        <w:t>this phase</w:t>
      </w:r>
      <w:r w:rsidR="27628761">
        <w:t xml:space="preserve">, </w:t>
      </w:r>
      <w:r w:rsidR="5BA64720">
        <w:t xml:space="preserve">they </w:t>
      </w:r>
      <w:r w:rsidR="27628761">
        <w:t>sample the whole stress pro</w:t>
      </w:r>
      <w:r w:rsidR="127C97CB">
        <w:t xml:space="preserve">bability </w:t>
      </w:r>
      <w:r w:rsidR="27628761">
        <w:t>space</w:t>
      </w:r>
      <w:r w:rsidR="576E8681">
        <w:t xml:space="preserve">. </w:t>
      </w:r>
      <w:r w:rsidR="23F33B92">
        <w:t>W</w:t>
      </w:r>
      <w:r w:rsidR="576E8681">
        <w:t xml:space="preserve">e </w:t>
      </w:r>
      <w:r w:rsidR="14A8827F">
        <w:t>are willing to use</w:t>
      </w:r>
      <w:r w:rsidR="576E8681">
        <w:t xml:space="preserve"> </w:t>
      </w:r>
      <w:r w:rsidR="4AD9028E">
        <w:t xml:space="preserve">this consideration </w:t>
      </w:r>
      <w:r w:rsidR="300A910E">
        <w:t xml:space="preserve">as </w:t>
      </w:r>
      <w:r w:rsidR="576E8681">
        <w:t xml:space="preserve">the basis for a model </w:t>
      </w:r>
      <w:r w:rsidR="7690E17A">
        <w:t>to describe</w:t>
      </w:r>
      <w:r w:rsidR="26B3CD9F">
        <w:t xml:space="preserve"> the breakup rate</w:t>
      </w:r>
      <w:r w:rsidR="44132054">
        <w:t>:</w:t>
      </w:r>
      <w:r w:rsidR="26B3CD9F">
        <w:t xml:space="preserve"> </w:t>
      </w:r>
      <w:r w:rsidR="00B40A48">
        <w:t>comput</w:t>
      </w:r>
      <w:r w:rsidR="00C166CF">
        <w:t>ing</w:t>
      </w:r>
      <w:r w:rsidR="00B40A48">
        <w:t xml:space="preserve"> the accumulated energy as:</w:t>
      </w:r>
    </w:p>
    <w:p w14:paraId="2B927BAD" w14:textId="0CD4B64D" w:rsidR="78D026BD" w:rsidRDefault="6A03A614" w:rsidP="131D62C6">
      <w:pPr>
        <w:pStyle w:val="CETBodytext"/>
      </w:pPr>
      <w:r>
        <w:rPr>
          <w:noProof/>
        </w:rPr>
        <w:drawing>
          <wp:inline distT="0" distB="0" distL="0" distR="0" wp14:anchorId="07040238" wp14:editId="4077E10C">
            <wp:extent cx="2024733" cy="598984"/>
            <wp:effectExtent l="0" t="0" r="0" b="0"/>
            <wp:docPr id="5902438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024733" cy="598984"/>
                    </a:xfrm>
                    <a:prstGeom prst="rect">
                      <a:avLst/>
                    </a:prstGeom>
                  </pic:spPr>
                </pic:pic>
              </a:graphicData>
            </a:graphic>
          </wp:inline>
        </w:drawing>
      </w:r>
      <w:r w:rsidR="2577FA3E">
        <w:t xml:space="preserve">                 </w:t>
      </w:r>
      <w:r w:rsidR="25D59078">
        <w:t xml:space="preserve"> </w:t>
      </w:r>
      <w:r w:rsidR="2577FA3E">
        <w:t xml:space="preserve">            </w:t>
      </w:r>
      <w:r w:rsidR="000D4135">
        <w:t xml:space="preserve">         </w:t>
      </w:r>
      <w:r w:rsidR="2577FA3E">
        <w:t xml:space="preserve">                                                                </w:t>
      </w:r>
      <w:r w:rsidR="738694DF">
        <w:t xml:space="preserve">     </w:t>
      </w:r>
      <w:r w:rsidR="2577FA3E">
        <w:t xml:space="preserve">     (7)</w:t>
      </w:r>
    </w:p>
    <w:p w14:paraId="4009AB68" w14:textId="1EF42375" w:rsidR="78D026BD" w:rsidRDefault="582656BF" w:rsidP="131D62C6">
      <w:pPr>
        <w:pStyle w:val="CETBodytext"/>
      </w:pPr>
      <w:r>
        <w:t>w</w:t>
      </w:r>
      <w:r w:rsidR="73FC53AB">
        <w:t xml:space="preserve">here </w:t>
      </w:r>
      <m:oMath>
        <m:d>
          <m:dPr>
            <m:begChr m:val="⟨"/>
            <m:endChr m:val="⟩"/>
            <m:ctrlPr>
              <w:rPr>
                <w:rFonts w:ascii="Cambria Math" w:hAnsi="Cambria Math"/>
              </w:rPr>
            </m:ctrlPr>
          </m:dPr>
          <m:e>
            <m:r>
              <w:rPr>
                <w:rFonts w:ascii="Cambria Math" w:hAnsi="Cambria Math"/>
              </w:rPr>
              <m:t>τ</m:t>
            </m:r>
          </m:e>
        </m:d>
      </m:oMath>
      <w:r w:rsidR="73FC53AB">
        <w:t xml:space="preserve"> </w:t>
      </w:r>
      <w:r w:rsidR="063D5852">
        <w:t>is the time lag for breakup (</w:t>
      </w:r>
      <w:r w:rsidR="73FC53AB">
        <w:t xml:space="preserve">much larger than </w:t>
      </w:r>
      <w:r w:rsidR="73FC53AB" w:rsidRPr="0680406C">
        <w:rPr>
          <w:i/>
          <w:iCs/>
        </w:rPr>
        <w:t>T</w:t>
      </w:r>
      <w:r w:rsidR="73FC53AB" w:rsidRPr="0680406C">
        <w:rPr>
          <w:i/>
          <w:iCs/>
          <w:vertAlign w:val="subscript"/>
        </w:rPr>
        <w:t>L</w:t>
      </w:r>
      <w:r w:rsidR="201E2A81" w:rsidRPr="0680406C">
        <w:rPr>
          <w:i/>
          <w:iCs/>
          <w:vertAlign w:val="subscript"/>
        </w:rPr>
        <w:t xml:space="preserve"> </w:t>
      </w:r>
      <w:r w:rsidR="201E2A81" w:rsidRPr="0680406C">
        <w:t>and of comparable duration among the different aggregates)</w:t>
      </w:r>
      <w:r w:rsidR="25FCA40D" w:rsidRPr="131D62C6">
        <w:t>, we can</w:t>
      </w:r>
      <w:r w:rsidR="73FC53AB" w:rsidRPr="131D62C6">
        <w:t xml:space="preserve"> </w:t>
      </w:r>
      <w:r w:rsidR="45E9234F" w:rsidRPr="131D62C6">
        <w:t>s</w:t>
      </w:r>
      <w:r w:rsidR="73FC53AB" w:rsidRPr="131D62C6">
        <w:t>olv</w:t>
      </w:r>
      <w:r w:rsidR="2FFA9ACB" w:rsidRPr="131D62C6">
        <w:t>e</w:t>
      </w:r>
      <w:r w:rsidR="73FC53AB" w:rsidRPr="131D62C6">
        <w:t xml:space="preserve"> Eq(</w:t>
      </w:r>
      <w:r w:rsidR="477C3195" w:rsidRPr="131D62C6">
        <w:t>7</w:t>
      </w:r>
      <w:r w:rsidR="73FC53AB" w:rsidRPr="131D62C6">
        <w:t xml:space="preserve">) for </w:t>
      </w:r>
      <m:oMath>
        <m:d>
          <m:dPr>
            <m:begChr m:val="⟨"/>
            <m:endChr m:val="⟩"/>
            <m:ctrlPr>
              <w:rPr>
                <w:rFonts w:ascii="Cambria Math" w:hAnsi="Cambria Math"/>
              </w:rPr>
            </m:ctrlPr>
          </m:dPr>
          <m:e>
            <m:r>
              <w:rPr>
                <w:rFonts w:ascii="Cambria Math" w:hAnsi="Cambria Math"/>
              </w:rPr>
              <m:t>τ</m:t>
            </m:r>
          </m:e>
        </m:d>
      </m:oMath>
      <w:r w:rsidR="5458DA46" w:rsidRPr="131D62C6">
        <w:t xml:space="preserve"> and</w:t>
      </w:r>
      <w:r w:rsidR="2F938942" w:rsidRPr="131D62C6">
        <w:t xml:space="preserve"> evaluate</w:t>
      </w:r>
      <w:r w:rsidR="2D077F8A" w:rsidRPr="131D62C6">
        <w:t xml:space="preserve"> the breakup rate</w:t>
      </w:r>
      <w:r w:rsidR="55EFA4D7" w:rsidRPr="131D62C6">
        <w:t xml:space="preserve"> as:</w:t>
      </w:r>
      <w:r w:rsidR="2D077F8A" w:rsidRPr="131D62C6">
        <w:t xml:space="preserve"> </w:t>
      </w:r>
    </w:p>
    <w:p w14:paraId="03CC984B" w14:textId="088B0747" w:rsidR="78D026BD" w:rsidRDefault="71CBFFEE" w:rsidP="131D62C6">
      <w:pPr>
        <w:pStyle w:val="CETBodytext"/>
      </w:pPr>
      <w:r>
        <w:rPr>
          <w:noProof/>
        </w:rPr>
        <w:drawing>
          <wp:inline distT="0" distB="0" distL="0" distR="0" wp14:anchorId="65D1188E" wp14:editId="3202EC72">
            <wp:extent cx="2637234" cy="527447"/>
            <wp:effectExtent l="0" t="0" r="0" b="0"/>
            <wp:docPr id="3101159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637234" cy="527447"/>
                    </a:xfrm>
                    <a:prstGeom prst="rect">
                      <a:avLst/>
                    </a:prstGeom>
                  </pic:spPr>
                </pic:pic>
              </a:graphicData>
            </a:graphic>
          </wp:inline>
        </w:drawing>
      </w:r>
      <w:r w:rsidR="78D026BD">
        <w:tab/>
      </w:r>
      <w:r w:rsidR="000D4135">
        <w:t xml:space="preserve">             </w:t>
      </w:r>
      <w:r w:rsidR="78D026BD">
        <w:tab/>
      </w:r>
      <w:r w:rsidR="0907B080">
        <w:t xml:space="preserve">              (8)</w:t>
      </w:r>
    </w:p>
    <w:p w14:paraId="474E11FD" w14:textId="4C1410CE" w:rsidR="78D026BD" w:rsidRDefault="44D577E1" w:rsidP="131D62C6">
      <w:pPr>
        <w:pStyle w:val="CETBodytext"/>
      </w:pPr>
      <w:r>
        <w:t>where</w:t>
      </w:r>
      <w:r w:rsidR="2B4428BD">
        <w:t xml:space="preserve"> p(</w:t>
      </w:r>
      <w:r w:rsidR="57397CE4" w:rsidRPr="0680406C">
        <w:rPr>
          <w:i/>
          <w:iCs/>
        </w:rPr>
        <w:t>σ</w:t>
      </w:r>
      <w:r w:rsidR="2B4428BD">
        <w:t xml:space="preserve">) </w:t>
      </w:r>
      <w:r w:rsidR="5736A7E2">
        <w:t xml:space="preserve">is the PDF of the shear stress, that </w:t>
      </w:r>
      <w:r w:rsidR="2B4428BD">
        <w:t>is plotted in Figure 3b, whereas</w:t>
      </w:r>
      <w:r w:rsidR="42D4EA23">
        <w:t xml:space="preserve"> the prediction of </w:t>
      </w:r>
      <w:r w:rsidR="00786BA7">
        <w:t xml:space="preserve">Eq(8) </w:t>
      </w:r>
      <w:r w:rsidR="42D4EA23">
        <w:t xml:space="preserve">is reported for the highest energy level considered in our simulations </w:t>
      </w:r>
      <w:r w:rsidR="00786BA7">
        <w:t xml:space="preserve">by the solid line </w:t>
      </w:r>
      <w:r w:rsidR="42D4EA23">
        <w:t xml:space="preserve">in Figure 3a. </w:t>
      </w:r>
      <w:r w:rsidR="27AB962F">
        <w:t>T</w:t>
      </w:r>
      <w:r w:rsidR="2F211B8C">
        <w:t>h</w:t>
      </w:r>
      <w:r w:rsidR="27AB962F">
        <w:t xml:space="preserve">e model </w:t>
      </w:r>
      <w:r w:rsidR="11391B3F">
        <w:t xml:space="preserve">correctly </w:t>
      </w:r>
      <w:r w:rsidR="27AB962F">
        <w:t xml:space="preserve">predicts </w:t>
      </w:r>
      <w:r w:rsidR="5AEB95E8">
        <w:t xml:space="preserve">both </w:t>
      </w:r>
      <w:r w:rsidR="09F8EAE9">
        <w:t>t</w:t>
      </w:r>
      <w:r w:rsidR="27AB962F">
        <w:t xml:space="preserve">he plateau </w:t>
      </w:r>
      <w:r w:rsidR="68821BB6">
        <w:t xml:space="preserve">of the breakup rate at small critical stress </w:t>
      </w:r>
      <w:r w:rsidR="27AB962F">
        <w:t>and the fall off</w:t>
      </w:r>
      <w:r w:rsidR="105415BF">
        <w:t xml:space="preserve"> at la</w:t>
      </w:r>
      <w:r w:rsidR="57FFDB81">
        <w:t>rger critical stress</w:t>
      </w:r>
      <w:r w:rsidR="27AB962F">
        <w:t xml:space="preserve">. Deviations can be explained as the trajectories do not sample the whole probability space of </w:t>
      </w:r>
      <w:r w:rsidR="6A424695">
        <w:t xml:space="preserve">the stress. </w:t>
      </w:r>
    </w:p>
    <w:p w14:paraId="45FD4165" w14:textId="6B5F7A5B" w:rsidR="78D026BD" w:rsidRDefault="0E0D607B" w:rsidP="5D879143">
      <w:pPr>
        <w:pStyle w:val="CETCaption"/>
      </w:pPr>
      <w:r>
        <w:rPr>
          <w:noProof/>
        </w:rPr>
        <w:lastRenderedPageBreak/>
        <w:drawing>
          <wp:inline distT="0" distB="0" distL="0" distR="0" wp14:anchorId="10AE63A7" wp14:editId="39F90B9F">
            <wp:extent cx="3437134" cy="2549208"/>
            <wp:effectExtent l="0" t="0" r="0" b="0"/>
            <wp:docPr id="68656285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437134" cy="2549208"/>
                    </a:xfrm>
                    <a:prstGeom prst="rect">
                      <a:avLst/>
                    </a:prstGeom>
                  </pic:spPr>
                </pic:pic>
              </a:graphicData>
            </a:graphic>
          </wp:inline>
        </w:drawing>
      </w:r>
      <w:r w:rsidR="47BCB82D">
        <w:rPr>
          <w:noProof/>
        </w:rPr>
        <w:drawing>
          <wp:inline distT="0" distB="0" distL="0" distR="0" wp14:anchorId="1C84F293" wp14:editId="11DDA3A8">
            <wp:extent cx="1843980" cy="2493270"/>
            <wp:effectExtent l="0" t="0" r="0" b="0"/>
            <wp:docPr id="206340415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843980" cy="2493270"/>
                    </a:xfrm>
                    <a:prstGeom prst="rect">
                      <a:avLst/>
                    </a:prstGeom>
                  </pic:spPr>
                </pic:pic>
              </a:graphicData>
            </a:graphic>
          </wp:inline>
        </w:drawing>
      </w:r>
    </w:p>
    <w:p w14:paraId="7516F7B9" w14:textId="5317E524" w:rsidR="6F1442A9" w:rsidRDefault="6F1442A9" w:rsidP="0680406C">
      <w:pPr>
        <w:pStyle w:val="CETCaption"/>
        <w:rPr>
          <w:rStyle w:val="CETCaptionCarattere"/>
          <w:i/>
          <w:iCs/>
        </w:rPr>
      </w:pPr>
      <w:r w:rsidRPr="0680406C">
        <w:rPr>
          <w:rStyle w:val="CETCaptionCarattere"/>
          <w:i/>
          <w:iCs/>
        </w:rPr>
        <w:t xml:space="preserve">Figure </w:t>
      </w:r>
      <w:r w:rsidR="70D99886" w:rsidRPr="0680406C">
        <w:rPr>
          <w:rStyle w:val="CETCaptionCarattere"/>
          <w:i/>
          <w:iCs/>
        </w:rPr>
        <w:t>3</w:t>
      </w:r>
      <w:r w:rsidRPr="0680406C">
        <w:rPr>
          <w:rStyle w:val="CETCaptionCarattere"/>
          <w:i/>
          <w:iCs/>
        </w:rPr>
        <w:t xml:space="preserve">: </w:t>
      </w:r>
      <w:r w:rsidR="7CCED855" w:rsidRPr="0680406C">
        <w:rPr>
          <w:rStyle w:val="CETCaptionCarattere"/>
          <w:i/>
          <w:iCs/>
        </w:rPr>
        <w:t xml:space="preserve">a) </w:t>
      </w:r>
      <w:r w:rsidRPr="0680406C">
        <w:rPr>
          <w:rStyle w:val="CETCaptionCarattere"/>
          <w:i/>
          <w:iCs/>
        </w:rPr>
        <w:t>Breakup frequency as a function of the critical activation stress. The breakup frequency is made dimensionless by the Kolmogorov length scale of the flow</w:t>
      </w:r>
      <w:r w:rsidR="2754191F" w:rsidRPr="0680406C">
        <w:rPr>
          <w:rStyle w:val="CETCaptionCarattere"/>
          <w:i/>
          <w:iCs/>
        </w:rPr>
        <w:t>, whereas t</w:t>
      </w:r>
      <w:r w:rsidRPr="0680406C">
        <w:rPr>
          <w:rStyle w:val="CETCaptionCarattere"/>
          <w:i/>
          <w:iCs/>
        </w:rPr>
        <w:t xml:space="preserve">he critical stress </w:t>
      </w:r>
      <w:r w:rsidR="4E5EC772" w:rsidRPr="0680406C">
        <w:rPr>
          <w:rStyle w:val="CETCaptionCarattere"/>
          <w:i/>
          <w:iCs/>
        </w:rPr>
        <w:t>is normalized with</w:t>
      </w:r>
      <w:r w:rsidRPr="0680406C">
        <w:rPr>
          <w:rStyle w:val="CETCaptionCarattere"/>
          <w:i/>
          <w:iCs/>
        </w:rPr>
        <w:t xml:space="preserve"> the average stress </w:t>
      </w:r>
      <w:r w:rsidR="2171B4DD" w:rsidRPr="0680406C">
        <w:rPr>
          <w:rStyle w:val="CETCaptionCarattere"/>
          <w:i/>
          <w:iCs/>
        </w:rPr>
        <w:t>in the flow</w:t>
      </w:r>
      <w:r w:rsidRPr="0680406C">
        <w:rPr>
          <w:rStyle w:val="CETCaptionCarattere"/>
          <w:i/>
          <w:iCs/>
        </w:rPr>
        <w:t>. Each data series (symbols) refer</w:t>
      </w:r>
      <w:r w:rsidR="23C50CB8" w:rsidRPr="0680406C">
        <w:rPr>
          <w:rStyle w:val="CETCaptionCarattere"/>
          <w:i/>
          <w:iCs/>
        </w:rPr>
        <w:t>s</w:t>
      </w:r>
      <w:r w:rsidRPr="0680406C">
        <w:rPr>
          <w:rStyle w:val="CETCaptionCarattere"/>
          <w:i/>
          <w:iCs/>
        </w:rPr>
        <w:t xml:space="preserve"> to a different value of the critical energy. The dashed curve refers to brittle </w:t>
      </w:r>
      <w:r w:rsidR="004C623B">
        <w:rPr>
          <w:rStyle w:val="CETCaptionCarattere"/>
          <w:i/>
          <w:iCs/>
        </w:rPr>
        <w:t>aggregates</w:t>
      </w:r>
      <w:r w:rsidRPr="0680406C">
        <w:rPr>
          <w:rStyle w:val="CETCaptionCarattere"/>
          <w:i/>
          <w:iCs/>
        </w:rPr>
        <w:t xml:space="preserve">. </w:t>
      </w:r>
      <w:proofErr w:type="spellStart"/>
      <w:r w:rsidRPr="0680406C">
        <w:rPr>
          <w:rStyle w:val="CETCaptionCarattere"/>
          <w:i/>
          <w:iCs/>
        </w:rPr>
        <w:t>Eq</w:t>
      </w:r>
      <w:proofErr w:type="spellEnd"/>
      <w:r w:rsidR="0D0D221C" w:rsidRPr="0680406C">
        <w:rPr>
          <w:rStyle w:val="CETCaptionCarattere"/>
          <w:i/>
          <w:iCs/>
        </w:rPr>
        <w:t>(</w:t>
      </w:r>
      <w:r w:rsidR="7B74A8FA" w:rsidRPr="0680406C">
        <w:rPr>
          <w:rStyle w:val="CETCaptionCarattere"/>
          <w:i/>
          <w:iCs/>
        </w:rPr>
        <w:t>8</w:t>
      </w:r>
      <w:r w:rsidR="3BDD8566" w:rsidRPr="0680406C">
        <w:rPr>
          <w:rStyle w:val="CETCaptionCarattere"/>
          <w:i/>
          <w:iCs/>
        </w:rPr>
        <w:t>)</w:t>
      </w:r>
      <w:r w:rsidRPr="0680406C">
        <w:rPr>
          <w:rStyle w:val="CETCaptionCarattere"/>
          <w:i/>
          <w:iCs/>
        </w:rPr>
        <w:t xml:space="preserve"> is plotted as a solid curve for the largest energy level investigated.</w:t>
      </w:r>
      <w:r w:rsidR="6811EA9F" w:rsidRPr="0680406C">
        <w:rPr>
          <w:rStyle w:val="CETCaptionCarattere"/>
          <w:i/>
          <w:iCs/>
        </w:rPr>
        <w:t xml:space="preserve"> b) Probability density function of the shear stress</w:t>
      </w:r>
      <w:r w:rsidR="42AD4445" w:rsidRPr="0680406C">
        <w:rPr>
          <w:rStyle w:val="CETCaptionCarattere"/>
          <w:i/>
          <w:iCs/>
        </w:rPr>
        <w:t xml:space="preserve">. </w:t>
      </w:r>
    </w:p>
    <w:p w14:paraId="659A2034" w14:textId="0357CF99" w:rsidR="00D13AD9" w:rsidRDefault="00D13AD9" w:rsidP="00D13AD9">
      <w:pPr>
        <w:pStyle w:val="Heading1"/>
        <w:rPr>
          <w:bCs/>
        </w:rPr>
      </w:pPr>
      <w:r>
        <w:t>Conclusions</w:t>
      </w:r>
    </w:p>
    <w:p w14:paraId="55CF3FA7" w14:textId="64E36DB6" w:rsidR="2FBAD016" w:rsidRDefault="2FBAD016" w:rsidP="131D62C6">
      <w:pPr>
        <w:pStyle w:val="CETBodytext"/>
        <w:rPr>
          <w:lang w:val="en-GB"/>
        </w:rPr>
      </w:pPr>
      <w:r w:rsidRPr="0680406C">
        <w:rPr>
          <w:lang w:val="en-GB"/>
        </w:rPr>
        <w:t>In this work we have studied the ductile breakup of small aggregates in a homogenous isotropic turbulence</w:t>
      </w:r>
      <w:r w:rsidR="0D6869F7" w:rsidRPr="0680406C">
        <w:rPr>
          <w:lang w:val="en-GB"/>
        </w:rPr>
        <w:t xml:space="preserve"> by direct numerical simulations.</w:t>
      </w:r>
      <w:r w:rsidRPr="0680406C">
        <w:rPr>
          <w:lang w:val="en-GB"/>
        </w:rPr>
        <w:t xml:space="preserve"> We have </w:t>
      </w:r>
      <w:r w:rsidR="13E0B308" w:rsidRPr="0680406C">
        <w:rPr>
          <w:lang w:val="en-GB"/>
        </w:rPr>
        <w:t xml:space="preserve">treated aggregates as </w:t>
      </w:r>
      <w:proofErr w:type="spellStart"/>
      <w:r w:rsidR="13E0B308" w:rsidRPr="0680406C">
        <w:rPr>
          <w:lang w:val="en-GB"/>
        </w:rPr>
        <w:t>inertialess</w:t>
      </w:r>
      <w:proofErr w:type="spellEnd"/>
      <w:r w:rsidR="643970A1" w:rsidRPr="0680406C">
        <w:rPr>
          <w:lang w:val="en-GB"/>
        </w:rPr>
        <w:t>,</w:t>
      </w:r>
      <w:r w:rsidR="13E0B308" w:rsidRPr="0680406C">
        <w:rPr>
          <w:lang w:val="en-GB"/>
        </w:rPr>
        <w:t xml:space="preserve"> tracer point-particles and </w:t>
      </w:r>
      <w:r w:rsidR="01EA8D23" w:rsidRPr="0680406C">
        <w:rPr>
          <w:lang w:val="en-GB"/>
        </w:rPr>
        <w:t xml:space="preserve">we have </w:t>
      </w:r>
      <w:r w:rsidR="13E0B308" w:rsidRPr="0680406C">
        <w:rPr>
          <w:lang w:val="en-GB"/>
        </w:rPr>
        <w:t xml:space="preserve">tracked the </w:t>
      </w:r>
      <w:r w:rsidR="54F81ECC" w:rsidRPr="0680406C">
        <w:rPr>
          <w:lang w:val="en-GB"/>
        </w:rPr>
        <w:t>history of s</w:t>
      </w:r>
      <w:r w:rsidR="13E0B308" w:rsidRPr="0680406C">
        <w:rPr>
          <w:lang w:val="en-GB"/>
        </w:rPr>
        <w:t>hear stress</w:t>
      </w:r>
      <w:r w:rsidR="16050BDD" w:rsidRPr="0680406C">
        <w:rPr>
          <w:lang w:val="en-GB"/>
        </w:rPr>
        <w:t xml:space="preserve"> they experience in the flow</w:t>
      </w:r>
      <w:r w:rsidR="3AA85D91" w:rsidRPr="0680406C">
        <w:rPr>
          <w:lang w:val="en-GB"/>
        </w:rPr>
        <w:t xml:space="preserve">. </w:t>
      </w:r>
      <w:r w:rsidR="7C3C361F" w:rsidRPr="0680406C">
        <w:rPr>
          <w:lang w:val="en-GB"/>
        </w:rPr>
        <w:t xml:space="preserve">We are interested in evaluating breakup rates. </w:t>
      </w:r>
      <w:r w:rsidR="3AA85D91" w:rsidRPr="0680406C">
        <w:rPr>
          <w:lang w:val="en-GB"/>
        </w:rPr>
        <w:t xml:space="preserve">We have investigated the scenario in which aggregates </w:t>
      </w:r>
      <w:r w:rsidR="30A5954A" w:rsidRPr="0680406C">
        <w:rPr>
          <w:lang w:val="en-GB"/>
        </w:rPr>
        <w:t>are ductile</w:t>
      </w:r>
      <w:r w:rsidR="445D8E90" w:rsidRPr="0680406C">
        <w:rPr>
          <w:lang w:val="en-GB"/>
        </w:rPr>
        <w:t>, i.e., t</w:t>
      </w:r>
      <w:r w:rsidR="3132D739" w:rsidRPr="0680406C">
        <w:rPr>
          <w:lang w:val="en-GB"/>
        </w:rPr>
        <w:t>hey</w:t>
      </w:r>
      <w:r w:rsidR="30A5954A" w:rsidRPr="0680406C">
        <w:rPr>
          <w:lang w:val="en-GB"/>
        </w:rPr>
        <w:t xml:space="preserve"> </w:t>
      </w:r>
      <w:r w:rsidR="3AA85D91" w:rsidRPr="0680406C">
        <w:rPr>
          <w:lang w:val="en-GB"/>
        </w:rPr>
        <w:t xml:space="preserve">undergo </w:t>
      </w:r>
      <w:r w:rsidR="142A158B" w:rsidRPr="0680406C">
        <w:rPr>
          <w:lang w:val="en-GB"/>
        </w:rPr>
        <w:t xml:space="preserve">breakup </w:t>
      </w:r>
      <w:r w:rsidR="2684A677" w:rsidRPr="0680406C">
        <w:rPr>
          <w:lang w:val="en-GB"/>
        </w:rPr>
        <w:t xml:space="preserve">only </w:t>
      </w:r>
      <w:r w:rsidR="2A6706F7" w:rsidRPr="0680406C">
        <w:rPr>
          <w:lang w:val="en-GB"/>
        </w:rPr>
        <w:t>if the</w:t>
      </w:r>
      <w:r w:rsidR="6E1EA229" w:rsidRPr="0680406C">
        <w:rPr>
          <w:lang w:val="en-GB"/>
        </w:rPr>
        <w:t>y</w:t>
      </w:r>
      <w:r w:rsidR="2A6706F7" w:rsidRPr="0680406C">
        <w:rPr>
          <w:lang w:val="en-GB"/>
        </w:rPr>
        <w:t xml:space="preserve"> experience</w:t>
      </w:r>
      <w:r w:rsidR="6514F93C" w:rsidRPr="0680406C">
        <w:rPr>
          <w:lang w:val="en-GB"/>
        </w:rPr>
        <w:t>,</w:t>
      </w:r>
      <w:r w:rsidR="2A6706F7" w:rsidRPr="0680406C">
        <w:rPr>
          <w:lang w:val="en-GB"/>
        </w:rPr>
        <w:t xml:space="preserve"> a</w:t>
      </w:r>
      <w:r w:rsidR="74E95DB6" w:rsidRPr="0680406C">
        <w:rPr>
          <w:lang w:val="en-GB"/>
        </w:rPr>
        <w:t>t least once</w:t>
      </w:r>
      <w:r w:rsidR="6514F93C" w:rsidRPr="0680406C">
        <w:rPr>
          <w:lang w:val="en-GB"/>
        </w:rPr>
        <w:t>,</w:t>
      </w:r>
      <w:r w:rsidR="74E95DB6" w:rsidRPr="0680406C">
        <w:rPr>
          <w:lang w:val="en-GB"/>
        </w:rPr>
        <w:t xml:space="preserve"> a</w:t>
      </w:r>
      <w:r w:rsidR="2A6706F7" w:rsidRPr="0680406C">
        <w:rPr>
          <w:lang w:val="en-GB"/>
        </w:rPr>
        <w:t xml:space="preserve"> stress</w:t>
      </w:r>
      <w:r w:rsidR="2702E08E" w:rsidRPr="0680406C">
        <w:rPr>
          <w:lang w:val="en-GB"/>
        </w:rPr>
        <w:t xml:space="preserve"> larger than a critical one</w:t>
      </w:r>
      <w:r w:rsidR="3B7F06A4" w:rsidRPr="0680406C">
        <w:rPr>
          <w:lang w:val="en-GB"/>
        </w:rPr>
        <w:t xml:space="preserve"> (which can be thought of as</w:t>
      </w:r>
      <w:r w:rsidR="456A78D3" w:rsidRPr="0680406C">
        <w:rPr>
          <w:lang w:val="en-GB"/>
        </w:rPr>
        <w:t xml:space="preserve"> the </w:t>
      </w:r>
      <w:r w:rsidR="3B7F06A4" w:rsidRPr="0680406C">
        <w:rPr>
          <w:lang w:val="en-GB"/>
        </w:rPr>
        <w:t xml:space="preserve">elastic limit upon which </w:t>
      </w:r>
      <w:r w:rsidR="1C678A25" w:rsidRPr="0680406C">
        <w:rPr>
          <w:lang w:val="en-GB"/>
        </w:rPr>
        <w:t xml:space="preserve">shear </w:t>
      </w:r>
      <w:r w:rsidR="3657E40E" w:rsidRPr="0680406C">
        <w:rPr>
          <w:lang w:val="en-GB"/>
        </w:rPr>
        <w:t>stresses induce irreversible deformation</w:t>
      </w:r>
      <w:r w:rsidR="3B7F06A4" w:rsidRPr="0680406C">
        <w:rPr>
          <w:lang w:val="en-GB"/>
        </w:rPr>
        <w:t>)</w:t>
      </w:r>
      <w:r w:rsidR="2702E08E" w:rsidRPr="0680406C">
        <w:rPr>
          <w:lang w:val="en-GB"/>
        </w:rPr>
        <w:t xml:space="preserve"> and if t</w:t>
      </w:r>
      <w:r w:rsidR="142A158B" w:rsidRPr="0680406C">
        <w:rPr>
          <w:lang w:val="en-GB"/>
        </w:rPr>
        <w:t xml:space="preserve">he energy </w:t>
      </w:r>
      <w:r w:rsidR="4E3D81CB" w:rsidRPr="0680406C">
        <w:rPr>
          <w:lang w:val="en-GB"/>
        </w:rPr>
        <w:t>accumulated</w:t>
      </w:r>
      <w:r w:rsidR="4A8C6455" w:rsidRPr="0680406C">
        <w:rPr>
          <w:lang w:val="en-GB"/>
        </w:rPr>
        <w:t xml:space="preserve"> </w:t>
      </w:r>
      <w:r w:rsidR="4111E306" w:rsidRPr="0680406C">
        <w:rPr>
          <w:lang w:val="en-GB"/>
        </w:rPr>
        <w:t>along the trajector</w:t>
      </w:r>
      <w:r w:rsidR="0B7A37F5" w:rsidRPr="0680406C">
        <w:rPr>
          <w:lang w:val="en-GB"/>
        </w:rPr>
        <w:t>y</w:t>
      </w:r>
      <w:r w:rsidR="4111E306" w:rsidRPr="0680406C">
        <w:rPr>
          <w:lang w:val="en-GB"/>
        </w:rPr>
        <w:t xml:space="preserve"> </w:t>
      </w:r>
      <w:r w:rsidR="75E94292" w:rsidRPr="0680406C">
        <w:rPr>
          <w:lang w:val="en-GB"/>
        </w:rPr>
        <w:t>e</w:t>
      </w:r>
      <w:r w:rsidR="142A158B" w:rsidRPr="0680406C">
        <w:rPr>
          <w:lang w:val="en-GB"/>
        </w:rPr>
        <w:t xml:space="preserve">xceeds a </w:t>
      </w:r>
      <w:r w:rsidR="1109F622" w:rsidRPr="0680406C">
        <w:rPr>
          <w:lang w:val="en-GB"/>
        </w:rPr>
        <w:t xml:space="preserve">critical </w:t>
      </w:r>
      <w:r w:rsidR="3BBA5D77" w:rsidRPr="0680406C">
        <w:rPr>
          <w:lang w:val="en-GB"/>
        </w:rPr>
        <w:t>energ</w:t>
      </w:r>
      <w:r w:rsidR="07D89CEB" w:rsidRPr="0680406C">
        <w:rPr>
          <w:lang w:val="en-GB"/>
        </w:rPr>
        <w:t>y</w:t>
      </w:r>
      <w:r w:rsidR="3BBA5D77" w:rsidRPr="0680406C">
        <w:rPr>
          <w:lang w:val="en-GB"/>
        </w:rPr>
        <w:t xml:space="preserve"> </w:t>
      </w:r>
      <w:r w:rsidR="1109F622" w:rsidRPr="0680406C">
        <w:rPr>
          <w:lang w:val="en-GB"/>
        </w:rPr>
        <w:t xml:space="preserve">threshold </w:t>
      </w:r>
      <w:r w:rsidR="4C44ED14" w:rsidRPr="0680406C">
        <w:rPr>
          <w:lang w:val="en-GB"/>
        </w:rPr>
        <w:t>(</w:t>
      </w:r>
      <w:r w:rsidR="1109F622" w:rsidRPr="0680406C">
        <w:rPr>
          <w:lang w:val="en-GB"/>
        </w:rPr>
        <w:t>which ca</w:t>
      </w:r>
      <w:r w:rsidR="40E65821" w:rsidRPr="0680406C">
        <w:rPr>
          <w:lang w:val="en-GB"/>
        </w:rPr>
        <w:t>n</w:t>
      </w:r>
      <w:r w:rsidR="1109F622" w:rsidRPr="0680406C">
        <w:rPr>
          <w:lang w:val="en-GB"/>
        </w:rPr>
        <w:t xml:space="preserve"> be thought of as the</w:t>
      </w:r>
      <w:r w:rsidR="510A0916" w:rsidRPr="0680406C">
        <w:rPr>
          <w:lang w:val="en-GB"/>
        </w:rPr>
        <w:t xml:space="preserve"> aggregate</w:t>
      </w:r>
      <w:r w:rsidR="17C1617F" w:rsidRPr="0680406C">
        <w:rPr>
          <w:lang w:val="en-GB"/>
        </w:rPr>
        <w:t xml:space="preserve"> toughness limit</w:t>
      </w:r>
      <w:r w:rsidR="3E79C956" w:rsidRPr="0680406C">
        <w:rPr>
          <w:lang w:val="en-GB"/>
        </w:rPr>
        <w:t>)</w:t>
      </w:r>
      <w:r w:rsidR="17C1617F" w:rsidRPr="0680406C">
        <w:rPr>
          <w:lang w:val="en-GB"/>
        </w:rPr>
        <w:t xml:space="preserve">. </w:t>
      </w:r>
      <w:r w:rsidR="5E8F875C" w:rsidRPr="0680406C">
        <w:rPr>
          <w:lang w:val="en-GB"/>
        </w:rPr>
        <w:t xml:space="preserve">Under these </w:t>
      </w:r>
      <w:proofErr w:type="spellStart"/>
      <w:r w:rsidR="5E8F875C" w:rsidRPr="0680406C">
        <w:rPr>
          <w:lang w:val="en-GB"/>
        </w:rPr>
        <w:t>modeling</w:t>
      </w:r>
      <w:proofErr w:type="spellEnd"/>
      <w:r w:rsidR="5E8F875C" w:rsidRPr="0680406C">
        <w:rPr>
          <w:lang w:val="en-GB"/>
        </w:rPr>
        <w:t xml:space="preserve"> conditions, at vanishing energy threshold, the </w:t>
      </w:r>
      <w:r w:rsidR="0A88623C" w:rsidRPr="0680406C">
        <w:rPr>
          <w:lang w:val="en-GB"/>
        </w:rPr>
        <w:t>usual</w:t>
      </w:r>
      <w:r w:rsidR="5E8F875C" w:rsidRPr="0680406C">
        <w:rPr>
          <w:lang w:val="en-GB"/>
        </w:rPr>
        <w:t xml:space="preserve"> mechanism f</w:t>
      </w:r>
      <w:r w:rsidR="7A8EE6F1" w:rsidRPr="0680406C">
        <w:rPr>
          <w:lang w:val="en-GB"/>
        </w:rPr>
        <w:t>or</w:t>
      </w:r>
      <w:r w:rsidR="5E8F875C" w:rsidRPr="0680406C">
        <w:rPr>
          <w:lang w:val="en-GB"/>
        </w:rPr>
        <w:t xml:space="preserve"> </w:t>
      </w:r>
      <w:r w:rsidR="297A534F" w:rsidRPr="0680406C">
        <w:rPr>
          <w:lang w:val="en-GB"/>
        </w:rPr>
        <w:t xml:space="preserve">brittle </w:t>
      </w:r>
      <w:r w:rsidR="5E8F875C" w:rsidRPr="0680406C">
        <w:rPr>
          <w:lang w:val="en-GB"/>
        </w:rPr>
        <w:t xml:space="preserve">breakup is </w:t>
      </w:r>
      <w:r w:rsidR="1926CC82" w:rsidRPr="0680406C">
        <w:rPr>
          <w:lang w:val="en-GB"/>
        </w:rPr>
        <w:t>re</w:t>
      </w:r>
      <w:r w:rsidR="60169A0E" w:rsidRPr="0680406C">
        <w:rPr>
          <w:lang w:val="en-GB"/>
        </w:rPr>
        <w:t>covered</w:t>
      </w:r>
      <w:r w:rsidR="1926CC82" w:rsidRPr="0680406C">
        <w:rPr>
          <w:lang w:val="en-GB"/>
        </w:rPr>
        <w:t>.</w:t>
      </w:r>
      <w:r w:rsidR="13E0B308" w:rsidRPr="0680406C">
        <w:rPr>
          <w:lang w:val="en-GB"/>
        </w:rPr>
        <w:t xml:space="preserve"> </w:t>
      </w:r>
    </w:p>
    <w:p w14:paraId="05959E6E" w14:textId="6A07C296" w:rsidR="519B28C6" w:rsidRDefault="519B28C6" w:rsidP="131D62C6">
      <w:pPr>
        <w:pStyle w:val="CETBodytext"/>
        <w:rPr>
          <w:lang w:val="en-GB"/>
        </w:rPr>
      </w:pPr>
      <w:r w:rsidRPr="131D62C6">
        <w:rPr>
          <w:lang w:val="en-GB"/>
        </w:rPr>
        <w:t xml:space="preserve">We have observed that for large activation </w:t>
      </w:r>
      <w:r w:rsidR="2DA8FC1F" w:rsidRPr="131D62C6">
        <w:rPr>
          <w:lang w:val="en-GB"/>
        </w:rPr>
        <w:t xml:space="preserve">stresses, </w:t>
      </w:r>
      <w:r w:rsidR="00F7860B" w:rsidRPr="131D62C6">
        <w:rPr>
          <w:lang w:val="en-GB"/>
        </w:rPr>
        <w:t xml:space="preserve">the rate of breakup is controlled by </w:t>
      </w:r>
      <w:r w:rsidR="7302A4A2" w:rsidRPr="131D62C6">
        <w:rPr>
          <w:lang w:val="en-GB"/>
        </w:rPr>
        <w:t>the turbulence dynamics</w:t>
      </w:r>
      <w:r w:rsidR="026CCA21" w:rsidRPr="131D62C6">
        <w:rPr>
          <w:lang w:val="en-GB"/>
        </w:rPr>
        <w:t>,</w:t>
      </w:r>
      <w:r w:rsidR="7302A4A2" w:rsidRPr="131D62C6">
        <w:rPr>
          <w:lang w:val="en-GB"/>
        </w:rPr>
        <w:t xml:space="preserve"> and by </w:t>
      </w:r>
      <w:r w:rsidR="2DA8FC1F" w:rsidRPr="131D62C6">
        <w:rPr>
          <w:lang w:val="en-GB"/>
        </w:rPr>
        <w:t xml:space="preserve">the </w:t>
      </w:r>
      <w:r w:rsidR="00697D45" w:rsidRPr="131D62C6">
        <w:rPr>
          <w:lang w:val="en-GB"/>
        </w:rPr>
        <w:t xml:space="preserve">occurrence of </w:t>
      </w:r>
      <w:r w:rsidR="683CF756" w:rsidRPr="131D62C6">
        <w:rPr>
          <w:lang w:val="en-GB"/>
        </w:rPr>
        <w:t xml:space="preserve">the </w:t>
      </w:r>
      <w:r w:rsidR="2DA8FC1F" w:rsidRPr="131D62C6">
        <w:rPr>
          <w:lang w:val="en-GB"/>
        </w:rPr>
        <w:t xml:space="preserve">bursts of the </w:t>
      </w:r>
      <w:r w:rsidR="7A18A2B8" w:rsidRPr="131D62C6">
        <w:rPr>
          <w:lang w:val="en-GB"/>
        </w:rPr>
        <w:t xml:space="preserve">turbulent </w:t>
      </w:r>
      <w:r w:rsidR="2DA8FC1F" w:rsidRPr="131D62C6">
        <w:rPr>
          <w:lang w:val="en-GB"/>
        </w:rPr>
        <w:t>hydrodynamic stress</w:t>
      </w:r>
      <w:r w:rsidR="650D1EAB" w:rsidRPr="131D62C6">
        <w:rPr>
          <w:lang w:val="en-GB"/>
        </w:rPr>
        <w:t xml:space="preserve">. On the other hand, </w:t>
      </w:r>
      <w:r w:rsidR="770600E4" w:rsidRPr="131D62C6">
        <w:rPr>
          <w:lang w:val="en-GB"/>
        </w:rPr>
        <w:t>for small activation stresses</w:t>
      </w:r>
      <w:r w:rsidR="6AC38CFB" w:rsidRPr="131D62C6">
        <w:rPr>
          <w:lang w:val="en-GB"/>
        </w:rPr>
        <w:t>,</w:t>
      </w:r>
      <w:r w:rsidR="2DA8FC1F" w:rsidRPr="131D62C6">
        <w:rPr>
          <w:lang w:val="en-GB"/>
        </w:rPr>
        <w:t xml:space="preserve"> </w:t>
      </w:r>
      <w:r w:rsidR="60064405" w:rsidRPr="131D62C6">
        <w:rPr>
          <w:lang w:val="en-GB"/>
        </w:rPr>
        <w:t>turbulence fluctuations play a minor role</w:t>
      </w:r>
      <w:r w:rsidR="4021867A" w:rsidRPr="131D62C6">
        <w:rPr>
          <w:lang w:val="en-GB"/>
        </w:rPr>
        <w:t>: a</w:t>
      </w:r>
      <w:r w:rsidR="60064405" w:rsidRPr="131D62C6">
        <w:rPr>
          <w:lang w:val="en-GB"/>
        </w:rPr>
        <w:t xml:space="preserve">ggregates constantly accumulate stress along their trajectory and the breakup is independent of the dynamics of the stress and </w:t>
      </w:r>
      <w:r w:rsidR="46F41394" w:rsidRPr="131D62C6">
        <w:rPr>
          <w:lang w:val="en-GB"/>
        </w:rPr>
        <w:t xml:space="preserve">of </w:t>
      </w:r>
      <w:r w:rsidR="60064405" w:rsidRPr="131D62C6">
        <w:rPr>
          <w:lang w:val="en-GB"/>
        </w:rPr>
        <w:t xml:space="preserve">the occurrence of intense turbulent </w:t>
      </w:r>
      <w:r w:rsidR="17DC7400" w:rsidRPr="131D62C6">
        <w:rPr>
          <w:lang w:val="en-GB"/>
        </w:rPr>
        <w:t xml:space="preserve">bursts. </w:t>
      </w:r>
    </w:p>
    <w:p w14:paraId="6E166BB0" w14:textId="3E12104C" w:rsidR="75CED55D" w:rsidRDefault="75CED55D" w:rsidP="131D62C6">
      <w:pPr>
        <w:pStyle w:val="CETBodytext"/>
        <w:rPr>
          <w:lang w:val="en-GB"/>
        </w:rPr>
      </w:pPr>
      <w:r w:rsidRPr="0680406C">
        <w:rPr>
          <w:lang w:val="en-GB"/>
        </w:rPr>
        <w:t>We have also observed that when aggregate</w:t>
      </w:r>
      <w:r w:rsidR="41FD753F" w:rsidRPr="0680406C">
        <w:rPr>
          <w:lang w:val="en-GB"/>
        </w:rPr>
        <w:t>s</w:t>
      </w:r>
      <w:r w:rsidRPr="0680406C">
        <w:rPr>
          <w:lang w:val="en-GB"/>
        </w:rPr>
        <w:t xml:space="preserve"> have </w:t>
      </w:r>
      <w:r w:rsidR="34C8B4AC" w:rsidRPr="0680406C">
        <w:rPr>
          <w:lang w:val="en-GB"/>
        </w:rPr>
        <w:t xml:space="preserve">a </w:t>
      </w:r>
      <w:r w:rsidRPr="0680406C">
        <w:rPr>
          <w:lang w:val="en-GB"/>
        </w:rPr>
        <w:t xml:space="preserve">large </w:t>
      </w:r>
      <w:r w:rsidR="65ED0EC7" w:rsidRPr="0680406C">
        <w:rPr>
          <w:lang w:val="en-GB"/>
        </w:rPr>
        <w:t>toughness limit,</w:t>
      </w:r>
      <w:r w:rsidR="69E13957" w:rsidRPr="0680406C">
        <w:rPr>
          <w:lang w:val="en-GB"/>
        </w:rPr>
        <w:t xml:space="preserve"> </w:t>
      </w:r>
      <w:r w:rsidR="052D4D59" w:rsidRPr="0680406C">
        <w:rPr>
          <w:lang w:val="en-GB"/>
        </w:rPr>
        <w:t>i</w:t>
      </w:r>
      <w:r w:rsidR="69E13957" w:rsidRPr="0680406C">
        <w:rPr>
          <w:lang w:val="en-GB"/>
        </w:rPr>
        <w:t xml:space="preserve">.e., </w:t>
      </w:r>
      <w:r w:rsidR="00A985C0" w:rsidRPr="0680406C">
        <w:rPr>
          <w:lang w:val="en-GB"/>
        </w:rPr>
        <w:t xml:space="preserve">when </w:t>
      </w:r>
      <w:r w:rsidR="492728AD" w:rsidRPr="0680406C">
        <w:rPr>
          <w:lang w:val="en-GB"/>
        </w:rPr>
        <w:t>they have</w:t>
      </w:r>
      <w:r w:rsidR="69E13957" w:rsidRPr="0680406C">
        <w:rPr>
          <w:lang w:val="en-GB"/>
        </w:rPr>
        <w:t xml:space="preserve"> to accumulate large energ</w:t>
      </w:r>
      <w:r w:rsidR="4811621B" w:rsidRPr="0680406C">
        <w:rPr>
          <w:lang w:val="en-GB"/>
        </w:rPr>
        <w:t>ies</w:t>
      </w:r>
      <w:r w:rsidR="69E13957" w:rsidRPr="0680406C">
        <w:rPr>
          <w:lang w:val="en-GB"/>
        </w:rPr>
        <w:t xml:space="preserve"> in order to break, </w:t>
      </w:r>
      <w:r w:rsidR="355A91E2" w:rsidRPr="0680406C">
        <w:rPr>
          <w:lang w:val="en-GB"/>
        </w:rPr>
        <w:t>t</w:t>
      </w:r>
      <w:r w:rsidR="6A505742" w:rsidRPr="0680406C">
        <w:rPr>
          <w:lang w:val="en-GB"/>
        </w:rPr>
        <w:t>he contribution of</w:t>
      </w:r>
      <w:r w:rsidR="7100DFD1" w:rsidRPr="0680406C">
        <w:rPr>
          <w:lang w:val="en-GB"/>
        </w:rPr>
        <w:t xml:space="preserve"> the </w:t>
      </w:r>
      <w:r w:rsidR="5D88CEF9" w:rsidRPr="0680406C">
        <w:rPr>
          <w:lang w:val="en-GB"/>
        </w:rPr>
        <w:t xml:space="preserve">turbulent </w:t>
      </w:r>
      <w:r w:rsidR="7100DFD1" w:rsidRPr="0680406C">
        <w:rPr>
          <w:lang w:val="en-GB"/>
        </w:rPr>
        <w:t>burst</w:t>
      </w:r>
      <w:r w:rsidR="15FBEED6" w:rsidRPr="0680406C">
        <w:rPr>
          <w:lang w:val="en-GB"/>
        </w:rPr>
        <w:t>s</w:t>
      </w:r>
      <w:r w:rsidR="7100DFD1" w:rsidRPr="0680406C">
        <w:rPr>
          <w:lang w:val="en-GB"/>
        </w:rPr>
        <w:t xml:space="preserve"> of hydrodynamic stress </w:t>
      </w:r>
      <w:r w:rsidR="3B2F4B10" w:rsidRPr="0680406C">
        <w:rPr>
          <w:lang w:val="en-GB"/>
        </w:rPr>
        <w:t>become less relevant</w:t>
      </w:r>
      <w:r w:rsidR="13E63BC6" w:rsidRPr="0680406C">
        <w:rPr>
          <w:lang w:val="en-GB"/>
        </w:rPr>
        <w:t xml:space="preserve">, </w:t>
      </w:r>
      <w:r w:rsidR="0A8AD3E8" w:rsidRPr="0680406C">
        <w:rPr>
          <w:lang w:val="en-GB"/>
        </w:rPr>
        <w:t xml:space="preserve">and the occurrence of breakup </w:t>
      </w:r>
      <w:r w:rsidR="44BF1AFE" w:rsidRPr="0680406C">
        <w:rPr>
          <w:lang w:val="en-GB"/>
        </w:rPr>
        <w:t>c</w:t>
      </w:r>
      <w:r w:rsidR="6B323FFD" w:rsidRPr="0680406C">
        <w:rPr>
          <w:lang w:val="en-GB"/>
        </w:rPr>
        <w:t xml:space="preserve">an </w:t>
      </w:r>
      <w:r w:rsidR="74EB37D2" w:rsidRPr="0680406C">
        <w:rPr>
          <w:lang w:val="en-GB"/>
        </w:rPr>
        <w:t xml:space="preserve">be </w:t>
      </w:r>
      <w:r w:rsidR="6B323FFD" w:rsidRPr="0680406C">
        <w:rPr>
          <w:lang w:val="en-GB"/>
        </w:rPr>
        <w:t>predicted</w:t>
      </w:r>
      <w:r w:rsidR="3C84F1A5" w:rsidRPr="0680406C">
        <w:rPr>
          <w:lang w:val="en-GB"/>
        </w:rPr>
        <w:t xml:space="preserve"> by simple </w:t>
      </w:r>
      <w:proofErr w:type="spellStart"/>
      <w:r w:rsidR="3C84F1A5" w:rsidRPr="0680406C">
        <w:rPr>
          <w:lang w:val="en-GB"/>
        </w:rPr>
        <w:t>modeling</w:t>
      </w:r>
      <w:proofErr w:type="spellEnd"/>
      <w:r w:rsidR="42A8FE8B" w:rsidRPr="0680406C">
        <w:rPr>
          <w:lang w:val="en-GB"/>
        </w:rPr>
        <w:t xml:space="preserve"> based on the average properties of the flow</w:t>
      </w:r>
      <w:r w:rsidR="00D30178" w:rsidRPr="0680406C">
        <w:rPr>
          <w:lang w:val="en-GB"/>
        </w:rPr>
        <w:t xml:space="preserve"> (</w:t>
      </w:r>
      <w:proofErr w:type="spellStart"/>
      <w:r w:rsidR="00D30178">
        <w:t>Conchúir</w:t>
      </w:r>
      <w:proofErr w:type="spellEnd"/>
      <w:r w:rsidR="00D30178">
        <w:t xml:space="preserve"> and Zaccone</w:t>
      </w:r>
      <w:r w:rsidR="00565BE6">
        <w:t>,</w:t>
      </w:r>
      <w:r w:rsidR="00D30178">
        <w:t xml:space="preserve"> 2013). </w:t>
      </w:r>
      <w:r w:rsidR="704C7F17" w:rsidRPr="0680406C">
        <w:rPr>
          <w:lang w:val="en-GB"/>
        </w:rPr>
        <w:t xml:space="preserve">On the contrary, </w:t>
      </w:r>
      <w:r w:rsidR="13527DE9" w:rsidRPr="0680406C">
        <w:rPr>
          <w:lang w:val="en-GB"/>
        </w:rPr>
        <w:t>for</w:t>
      </w:r>
      <w:r w:rsidR="704C7F17" w:rsidRPr="0680406C">
        <w:rPr>
          <w:lang w:val="en-GB"/>
        </w:rPr>
        <w:t xml:space="preserve"> brittle aggregates</w:t>
      </w:r>
      <w:r w:rsidR="7C86527C" w:rsidRPr="0680406C">
        <w:rPr>
          <w:lang w:val="en-GB"/>
        </w:rPr>
        <w:t>,</w:t>
      </w:r>
      <w:r w:rsidR="7C68B40B" w:rsidRPr="0680406C">
        <w:rPr>
          <w:lang w:val="en-GB"/>
        </w:rPr>
        <w:t xml:space="preserve"> breakup </w:t>
      </w:r>
      <w:r w:rsidR="47F51F1A" w:rsidRPr="0680406C">
        <w:rPr>
          <w:lang w:val="en-GB"/>
        </w:rPr>
        <w:t xml:space="preserve">is </w:t>
      </w:r>
      <w:r w:rsidR="7C68B40B" w:rsidRPr="0680406C">
        <w:rPr>
          <w:lang w:val="en-GB"/>
        </w:rPr>
        <w:t xml:space="preserve">controlled by turbulent intermittency </w:t>
      </w:r>
      <w:r w:rsidR="11403A75" w:rsidRPr="0680406C">
        <w:rPr>
          <w:lang w:val="en-GB"/>
        </w:rPr>
        <w:t>and occurs at large rates.</w:t>
      </w:r>
      <w:r w:rsidR="1C837963" w:rsidRPr="0680406C">
        <w:rPr>
          <w:lang w:val="en-GB"/>
        </w:rPr>
        <w:t xml:space="preserve"> </w:t>
      </w:r>
      <w:r w:rsidR="1A81BDA9" w:rsidRPr="0680406C">
        <w:rPr>
          <w:lang w:val="en-GB"/>
        </w:rPr>
        <w:t>Finally, o</w:t>
      </w:r>
      <w:r w:rsidR="1C837963" w:rsidRPr="0680406C">
        <w:rPr>
          <w:lang w:val="en-GB"/>
        </w:rPr>
        <w:t xml:space="preserve">ur results </w:t>
      </w:r>
      <w:r w:rsidR="376BFD1D" w:rsidRPr="0680406C">
        <w:rPr>
          <w:lang w:val="en-GB"/>
        </w:rPr>
        <w:t>confirm</w:t>
      </w:r>
      <w:r w:rsidR="1C837963" w:rsidRPr="0680406C">
        <w:rPr>
          <w:lang w:val="en-GB"/>
        </w:rPr>
        <w:t xml:space="preserve"> what was found by </w:t>
      </w:r>
      <w:proofErr w:type="spellStart"/>
      <w:r w:rsidR="1C837963" w:rsidRPr="0680406C">
        <w:rPr>
          <w:lang w:val="en-GB"/>
        </w:rPr>
        <w:t>Marchioli</w:t>
      </w:r>
      <w:proofErr w:type="spellEnd"/>
      <w:r w:rsidR="1C837963" w:rsidRPr="0680406C">
        <w:rPr>
          <w:lang w:val="en-GB"/>
        </w:rPr>
        <w:t xml:space="preserve"> and Soldati (2015) for the breakup of ductile aggregate</w:t>
      </w:r>
      <w:r w:rsidR="73F1D7AB" w:rsidRPr="0680406C">
        <w:rPr>
          <w:lang w:val="en-GB"/>
        </w:rPr>
        <w:t>s</w:t>
      </w:r>
      <w:r w:rsidR="1C837963" w:rsidRPr="0680406C">
        <w:rPr>
          <w:lang w:val="en-GB"/>
        </w:rPr>
        <w:t xml:space="preserve"> </w:t>
      </w:r>
      <w:r w:rsidR="34003BEB" w:rsidRPr="0680406C">
        <w:rPr>
          <w:lang w:val="en-GB"/>
        </w:rPr>
        <w:t>in a bounded flow.</w:t>
      </w:r>
      <w:r w:rsidR="7C68B40B" w:rsidRPr="0680406C">
        <w:rPr>
          <w:lang w:val="en-GB"/>
        </w:rPr>
        <w:t xml:space="preserve"> </w:t>
      </w:r>
    </w:p>
    <w:p w14:paraId="7DFFBF41" w14:textId="3BF2F51E" w:rsidR="00280FAF" w:rsidRPr="00280FAF" w:rsidRDefault="3B15895F" w:rsidP="000D4135">
      <w:pPr>
        <w:pStyle w:val="CETBodytext"/>
        <w:rPr>
          <w:rFonts w:eastAsia="SimSun"/>
        </w:rPr>
        <w:sectPr w:rsidR="00280FAF" w:rsidRPr="00280FAF" w:rsidSect="0077098D">
          <w:type w:val="continuous"/>
          <w:pgSz w:w="11906" w:h="16838" w:code="9"/>
          <w:pgMar w:top="1701" w:right="1418" w:bottom="1701" w:left="1701" w:header="1701" w:footer="0" w:gutter="0"/>
          <w:cols w:space="708"/>
          <w:formProt w:val="0"/>
          <w:titlePg/>
          <w:docGrid w:linePitch="360"/>
        </w:sectPr>
      </w:pPr>
      <w:r w:rsidRPr="131D62C6">
        <w:rPr>
          <w:lang w:val="en-GB"/>
        </w:rPr>
        <w:t>F</w:t>
      </w:r>
      <w:r w:rsidR="605D5A27" w:rsidRPr="131D62C6">
        <w:rPr>
          <w:lang w:val="en-GB"/>
        </w:rPr>
        <w:t>uture</w:t>
      </w:r>
      <w:r w:rsidR="25618940" w:rsidRPr="131D62C6">
        <w:rPr>
          <w:lang w:val="en-GB"/>
        </w:rPr>
        <w:t xml:space="preserve"> efforts </w:t>
      </w:r>
      <w:r w:rsidR="2E3F5C30" w:rsidRPr="131D62C6">
        <w:rPr>
          <w:lang w:val="en-GB"/>
        </w:rPr>
        <w:t>c</w:t>
      </w:r>
      <w:r w:rsidR="25618940" w:rsidRPr="131D62C6">
        <w:rPr>
          <w:lang w:val="en-GB"/>
        </w:rPr>
        <w:t>ould</w:t>
      </w:r>
      <w:r w:rsidR="4B945712" w:rsidRPr="131D62C6">
        <w:rPr>
          <w:lang w:val="en-GB"/>
        </w:rPr>
        <w:t xml:space="preserve"> explore the use of </w:t>
      </w:r>
      <w:r w:rsidR="605D5A27" w:rsidRPr="131D62C6">
        <w:rPr>
          <w:lang w:val="en-GB"/>
        </w:rPr>
        <w:t>breakup rate</w:t>
      </w:r>
      <w:r w:rsidR="6E373DC5" w:rsidRPr="131D62C6">
        <w:rPr>
          <w:lang w:val="en-GB"/>
        </w:rPr>
        <w:t>s</w:t>
      </w:r>
      <w:r w:rsidR="605D5A27" w:rsidRPr="131D62C6">
        <w:rPr>
          <w:lang w:val="en-GB"/>
        </w:rPr>
        <w:t xml:space="preserve"> </w:t>
      </w:r>
      <w:r w:rsidR="0A6ADDDB" w:rsidRPr="131D62C6">
        <w:rPr>
          <w:lang w:val="en-GB"/>
        </w:rPr>
        <w:t>i</w:t>
      </w:r>
      <w:r w:rsidR="4B430DA8" w:rsidRPr="131D62C6">
        <w:rPr>
          <w:lang w:val="en-GB"/>
        </w:rPr>
        <w:t xml:space="preserve">n </w:t>
      </w:r>
      <w:r w:rsidR="605D5A27" w:rsidRPr="131D62C6">
        <w:rPr>
          <w:lang w:val="en-GB"/>
        </w:rPr>
        <w:t>population balance model</w:t>
      </w:r>
      <w:r w:rsidR="497CC2B5" w:rsidRPr="131D62C6">
        <w:rPr>
          <w:lang w:val="en-GB"/>
        </w:rPr>
        <w:t>s</w:t>
      </w:r>
      <w:r w:rsidR="605D5A27" w:rsidRPr="131D62C6">
        <w:rPr>
          <w:lang w:val="en-GB"/>
        </w:rPr>
        <w:t xml:space="preserve"> </w:t>
      </w:r>
      <w:r w:rsidR="0FFC33CB" w:rsidRPr="131D62C6">
        <w:rPr>
          <w:lang w:val="en-GB"/>
        </w:rPr>
        <w:t>t</w:t>
      </w:r>
      <w:r w:rsidR="2728BCCA" w:rsidRPr="131D62C6">
        <w:rPr>
          <w:lang w:val="en-GB"/>
        </w:rPr>
        <w:t>o address the fragmentation dynamics</w:t>
      </w:r>
      <w:r w:rsidR="368D101E" w:rsidRPr="131D62C6">
        <w:rPr>
          <w:lang w:val="en-GB"/>
        </w:rPr>
        <w:t xml:space="preserve"> and the evolution of the particle size distribution</w:t>
      </w:r>
      <w:r w:rsidR="3EB1743D" w:rsidRPr="131D62C6">
        <w:rPr>
          <w:lang w:val="en-GB"/>
        </w:rPr>
        <w:t>, also possibly in the presence</w:t>
      </w:r>
      <w:r w:rsidR="78D4F605" w:rsidRPr="131D62C6">
        <w:rPr>
          <w:lang w:val="en-GB"/>
        </w:rPr>
        <w:t xml:space="preserve"> of</w:t>
      </w:r>
      <w:r w:rsidR="521CFFA2" w:rsidRPr="131D62C6">
        <w:rPr>
          <w:lang w:val="en-GB"/>
        </w:rPr>
        <w:t xml:space="preserve"> concurring aggregation </w:t>
      </w:r>
      <w:r w:rsidR="2D710A3C" w:rsidRPr="131D62C6">
        <w:rPr>
          <w:lang w:val="en-GB"/>
        </w:rPr>
        <w:t>phenomena.</w:t>
      </w:r>
    </w:p>
    <w:p w14:paraId="25ACAF86" w14:textId="38960B6C" w:rsidR="131D62C6" w:rsidRDefault="131D62C6">
      <w:pPr>
        <w:sectPr w:rsidR="131D62C6" w:rsidSect="00200ECB">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B57B36" w:rsidRDefault="00600535" w:rsidP="00600535">
      <w:pPr>
        <w:pStyle w:val="CETAcknowledgementstitle"/>
      </w:pPr>
      <w:r w:rsidRPr="00B57B36">
        <w:t>Acknowledgments</w:t>
      </w:r>
    </w:p>
    <w:p w14:paraId="33F8138F" w14:textId="261A1DE2" w:rsidR="00600535" w:rsidRPr="00B57B36" w:rsidRDefault="008D2069" w:rsidP="00600535">
      <w:pPr>
        <w:pStyle w:val="CETBodytext"/>
        <w:rPr>
          <w:lang w:val="en-GB"/>
        </w:rPr>
      </w:pPr>
      <w:r w:rsidRPr="0680406C">
        <w:rPr>
          <w:lang w:val="en-GB"/>
        </w:rPr>
        <w:t>M.U.B. acknowledges financial support from the Swedish Energy agency (Project N</w:t>
      </w:r>
      <w:r w:rsidR="000D4135">
        <w:rPr>
          <w:lang w:val="en-GB"/>
        </w:rPr>
        <w:t>o</w:t>
      </w:r>
      <w:r w:rsidRPr="0680406C">
        <w:rPr>
          <w:lang w:val="en-GB"/>
        </w:rPr>
        <w:t xml:space="preserve"> P2019-90227). </w:t>
      </w:r>
      <w:r w:rsidR="12E42C28" w:rsidRPr="0680406C">
        <w:rPr>
          <w:lang w:val="en-GB"/>
        </w:rPr>
        <w:t>L. B. received funding from the European Research Council (ERC) under the European Union’s Horizon 2020 research and innovation programme (grant agreement No 882340).</w:t>
      </w:r>
    </w:p>
    <w:p w14:paraId="5DAB4C20" w14:textId="76603A39" w:rsidR="00905887" w:rsidRDefault="00905887" w:rsidP="0680406C">
      <w:pPr>
        <w:tabs>
          <w:tab w:val="clear" w:pos="7100"/>
        </w:tabs>
        <w:spacing w:after="200" w:line="276" w:lineRule="auto"/>
        <w:jc w:val="left"/>
      </w:pPr>
      <w:r>
        <w:br w:type="page"/>
      </w:r>
    </w:p>
    <w:p w14:paraId="6FAA4342" w14:textId="796203AE" w:rsidR="00C52C3C" w:rsidRDefault="61FF2C1A" w:rsidP="131D62C6">
      <w:pPr>
        <w:pStyle w:val="CETReferencetext"/>
        <w:rPr>
          <w:b/>
          <w:bCs/>
        </w:rPr>
      </w:pPr>
      <w:r w:rsidRPr="131D62C6">
        <w:rPr>
          <w:b/>
          <w:bCs/>
        </w:rPr>
        <w:lastRenderedPageBreak/>
        <w:t>References</w:t>
      </w:r>
    </w:p>
    <w:p w14:paraId="750476BB" w14:textId="674D3257" w:rsidR="131D62C6" w:rsidRDefault="131D62C6" w:rsidP="131D62C6">
      <w:pPr>
        <w:pStyle w:val="CETReferencetext"/>
        <w:rPr>
          <w:b/>
          <w:bCs/>
        </w:rPr>
      </w:pPr>
    </w:p>
    <w:p w14:paraId="2011ED3C" w14:textId="1E14AB08" w:rsidR="008D2069" w:rsidRPr="000D4135" w:rsidRDefault="008D2069" w:rsidP="006B4888">
      <w:pPr>
        <w:pStyle w:val="CETReferencetext"/>
        <w:rPr>
          <w:lang w:val="en-US"/>
        </w:rPr>
      </w:pPr>
      <w:proofErr w:type="spellStart"/>
      <w:r>
        <w:t>Andrady</w:t>
      </w:r>
      <w:proofErr w:type="spellEnd"/>
      <w:r>
        <w:t xml:space="preserve"> A.L., 2017, The plastic in microplastics: A review</w:t>
      </w:r>
      <w:r w:rsidR="000D4135">
        <w:t>,</w:t>
      </w:r>
      <w:r>
        <w:t xml:space="preserve"> </w:t>
      </w:r>
      <w:r w:rsidRPr="000D4135">
        <w:rPr>
          <w:lang w:val="en-US"/>
        </w:rPr>
        <w:t>Marine Pollut</w:t>
      </w:r>
      <w:r w:rsidR="000D4135" w:rsidRPr="000D4135">
        <w:rPr>
          <w:lang w:val="en-US"/>
        </w:rPr>
        <w:t>ion</w:t>
      </w:r>
      <w:r w:rsidRPr="000D4135">
        <w:rPr>
          <w:lang w:val="en-US"/>
        </w:rPr>
        <w:t xml:space="preserve"> Bulletin</w:t>
      </w:r>
      <w:r w:rsidR="000D4135" w:rsidRPr="000D4135">
        <w:rPr>
          <w:lang w:val="en-US"/>
        </w:rPr>
        <w:t>,</w:t>
      </w:r>
      <w:r w:rsidRPr="000D4135">
        <w:rPr>
          <w:lang w:val="en-US"/>
        </w:rPr>
        <w:t xml:space="preserve"> 199, 12</w:t>
      </w:r>
      <w:r w:rsidR="000D4135" w:rsidRPr="006B4888">
        <w:t>–</w:t>
      </w:r>
      <w:r w:rsidRPr="000D4135">
        <w:rPr>
          <w:lang w:val="en-US"/>
        </w:rPr>
        <w:t xml:space="preserve">22. </w:t>
      </w:r>
      <w:proofErr w:type="spellStart"/>
      <w:r w:rsidRPr="000D4135">
        <w:rPr>
          <w:lang w:val="en-US"/>
        </w:rPr>
        <w:t>doi</w:t>
      </w:r>
      <w:proofErr w:type="spellEnd"/>
      <w:r w:rsidRPr="000D4135">
        <w:rPr>
          <w:lang w:val="en-US"/>
        </w:rPr>
        <w:t xml:space="preserve">: </w:t>
      </w:r>
      <w:hyperlink r:id="rId22">
        <w:r w:rsidRPr="000D4135">
          <w:rPr>
            <w:rStyle w:val="Hyperlink"/>
            <w:lang w:val="en-US"/>
          </w:rPr>
          <w:t>https://doi.org/10.1016/j.marpolbul.2017.01.082</w:t>
        </w:r>
      </w:hyperlink>
      <w:r w:rsidRPr="000D4135">
        <w:rPr>
          <w:lang w:val="en-US"/>
        </w:rPr>
        <w:t xml:space="preserve"> </w:t>
      </w:r>
    </w:p>
    <w:p w14:paraId="5A13856B" w14:textId="5A70B3AA" w:rsidR="006B4888" w:rsidRPr="000D56D6" w:rsidRDefault="7FABE97A" w:rsidP="006B4888">
      <w:pPr>
        <w:pStyle w:val="CETReferencetext"/>
      </w:pPr>
      <w:proofErr w:type="spellStart"/>
      <w:r>
        <w:t>Bäbler</w:t>
      </w:r>
      <w:proofErr w:type="spellEnd"/>
      <w:r>
        <w:t xml:space="preserve"> M.U., </w:t>
      </w:r>
      <w:proofErr w:type="spellStart"/>
      <w:r>
        <w:t>Biferale</w:t>
      </w:r>
      <w:proofErr w:type="spellEnd"/>
      <w:r>
        <w:t xml:space="preserve"> L., </w:t>
      </w:r>
      <w:proofErr w:type="spellStart"/>
      <w:r>
        <w:t>Lanotte</w:t>
      </w:r>
      <w:proofErr w:type="spellEnd"/>
      <w:r>
        <w:t xml:space="preserve"> A.S.</w:t>
      </w:r>
      <w:r w:rsidR="499CA809">
        <w:t>,</w:t>
      </w:r>
      <w:r>
        <w:t xml:space="preserve"> 2012</w:t>
      </w:r>
      <w:r w:rsidR="700BF3DC">
        <w:t>,</w:t>
      </w:r>
      <w:r>
        <w:t xml:space="preserve"> Breakup of small aggregates driven by turbulent hydrodynamical stress</w:t>
      </w:r>
      <w:r w:rsidR="000D4135">
        <w:t>,</w:t>
      </w:r>
      <w:r>
        <w:t xml:space="preserve"> Phys</w:t>
      </w:r>
      <w:r w:rsidR="000D4135">
        <w:t>ical</w:t>
      </w:r>
      <w:r>
        <w:t xml:space="preserve"> Rev</w:t>
      </w:r>
      <w:r w:rsidR="000D4135">
        <w:t>iew</w:t>
      </w:r>
      <w:r>
        <w:t xml:space="preserve"> E, 85, 025301(R). </w:t>
      </w:r>
      <w:proofErr w:type="spellStart"/>
      <w:r>
        <w:t>doi</w:t>
      </w:r>
      <w:proofErr w:type="spellEnd"/>
      <w:r>
        <w:t>:</w:t>
      </w:r>
      <w:r w:rsidR="73C64CE1">
        <w:t xml:space="preserve"> </w:t>
      </w:r>
      <w:hyperlink r:id="rId23">
        <w:r w:rsidRPr="131D62C6">
          <w:rPr>
            <w:rStyle w:val="Hyperlink"/>
          </w:rPr>
          <w:t>https://doi.org/10.1103/PhysRevE.85.025301</w:t>
        </w:r>
      </w:hyperlink>
      <w:r w:rsidR="51BCEA14">
        <w:t xml:space="preserve"> </w:t>
      </w:r>
      <w:r w:rsidR="0A090D8C">
        <w:t xml:space="preserve"> </w:t>
      </w:r>
    </w:p>
    <w:p w14:paraId="35E60287" w14:textId="0304F521" w:rsidR="576B759B" w:rsidRDefault="576B759B" w:rsidP="131D62C6">
      <w:pPr>
        <w:pStyle w:val="CETReferencetext"/>
      </w:pPr>
      <w:proofErr w:type="spellStart"/>
      <w:r>
        <w:t>B</w:t>
      </w:r>
      <w:r w:rsidR="6105C7A8">
        <w:t>ä</w:t>
      </w:r>
      <w:r>
        <w:t>bler</w:t>
      </w:r>
      <w:proofErr w:type="spellEnd"/>
      <w:r>
        <w:t xml:space="preserve"> M.U., </w:t>
      </w:r>
      <w:proofErr w:type="spellStart"/>
      <w:r>
        <w:t>Biferale</w:t>
      </w:r>
      <w:proofErr w:type="spellEnd"/>
      <w:r>
        <w:t xml:space="preserve"> L., Brandt L., </w:t>
      </w:r>
      <w:proofErr w:type="spellStart"/>
      <w:r>
        <w:t>Feudel</w:t>
      </w:r>
      <w:proofErr w:type="spellEnd"/>
      <w:r>
        <w:t xml:space="preserve"> U., Guseva K., </w:t>
      </w:r>
      <w:proofErr w:type="spellStart"/>
      <w:r>
        <w:t>Lanotte</w:t>
      </w:r>
      <w:proofErr w:type="spellEnd"/>
      <w:r>
        <w:t xml:space="preserve"> A.S., </w:t>
      </w:r>
      <w:proofErr w:type="spellStart"/>
      <w:r>
        <w:t>Marchioli</w:t>
      </w:r>
      <w:proofErr w:type="spellEnd"/>
      <w:r>
        <w:t xml:space="preserve"> C., </w:t>
      </w:r>
      <w:proofErr w:type="spellStart"/>
      <w:r>
        <w:t>Picano</w:t>
      </w:r>
      <w:proofErr w:type="spellEnd"/>
      <w:r>
        <w:t xml:space="preserve"> F., </w:t>
      </w:r>
      <w:proofErr w:type="spellStart"/>
      <w:r>
        <w:t>Sardina</w:t>
      </w:r>
      <w:proofErr w:type="spellEnd"/>
      <w:r>
        <w:t xml:space="preserve"> G., Soldati A., Toschi F.</w:t>
      </w:r>
      <w:r w:rsidR="00565BE6">
        <w:t>,</w:t>
      </w:r>
      <w:r>
        <w:t xml:space="preserve"> 2015, Numerical simulations of aggregate breakup in bounded and unbounded turbulent flows, Journal of Fluid Mechanics</w:t>
      </w:r>
      <w:r w:rsidR="000D4135">
        <w:t>,</w:t>
      </w:r>
      <w:r>
        <w:t xml:space="preserve"> 766, 104</w:t>
      </w:r>
      <w:r w:rsidR="000D4135" w:rsidRPr="006B4888">
        <w:t>–</w:t>
      </w:r>
      <w:r>
        <w:t>128.</w:t>
      </w:r>
      <w:r w:rsidR="3B79C4FA">
        <w:t xml:space="preserve"> do</w:t>
      </w:r>
      <w:proofErr w:type="spellStart"/>
      <w:r w:rsidR="3B79C4FA">
        <w:t>i</w:t>
      </w:r>
      <w:proofErr w:type="spellEnd"/>
      <w:r w:rsidR="3B79C4FA">
        <w:t xml:space="preserve">: </w:t>
      </w:r>
      <w:hyperlink r:id="rId24">
        <w:r w:rsidR="3B79C4FA" w:rsidRPr="131D62C6">
          <w:rPr>
            <w:rStyle w:val="Hyperlink"/>
          </w:rPr>
          <w:t>https://doi.org/10.1017/jfm.2015.13</w:t>
        </w:r>
      </w:hyperlink>
      <w:r w:rsidR="3B79C4FA">
        <w:t xml:space="preserve"> </w:t>
      </w:r>
    </w:p>
    <w:p w14:paraId="7710B38D" w14:textId="6E966EAC" w:rsidR="4888CD78" w:rsidRDefault="4888CD78" w:rsidP="121B2B48">
      <w:pPr>
        <w:pStyle w:val="CETReferencetext"/>
      </w:pPr>
      <w:r w:rsidRPr="000D4135">
        <w:t xml:space="preserve">Bec J., </w:t>
      </w:r>
      <w:proofErr w:type="spellStart"/>
      <w:r w:rsidRPr="000D4135">
        <w:t>Biferale</w:t>
      </w:r>
      <w:proofErr w:type="spellEnd"/>
      <w:r w:rsidRPr="000D4135">
        <w:t xml:space="preserve"> L., </w:t>
      </w:r>
      <w:proofErr w:type="spellStart"/>
      <w:r w:rsidRPr="000D4135">
        <w:t>Lanotte</w:t>
      </w:r>
      <w:proofErr w:type="spellEnd"/>
      <w:r w:rsidRPr="000D4135">
        <w:t xml:space="preserve"> A. S., </w:t>
      </w:r>
      <w:proofErr w:type="spellStart"/>
      <w:r w:rsidRPr="000D4135">
        <w:t>Scagliarini</w:t>
      </w:r>
      <w:proofErr w:type="spellEnd"/>
      <w:r w:rsidRPr="000D4135">
        <w:t xml:space="preserve"> A., Toschi F.</w:t>
      </w:r>
      <w:r w:rsidR="00565BE6" w:rsidRPr="000D4135">
        <w:t>,</w:t>
      </w:r>
      <w:r w:rsidRPr="000D4135">
        <w:t xml:space="preserve"> 2010</w:t>
      </w:r>
      <w:r w:rsidR="00565BE6" w:rsidRPr="000D4135">
        <w:t>,</w:t>
      </w:r>
      <w:r w:rsidRPr="000D4135">
        <w:t xml:space="preserve"> </w:t>
      </w:r>
      <w:r>
        <w:t>Turbulent pair dispersion of inertial particles</w:t>
      </w:r>
      <w:r w:rsidR="000D4135">
        <w:t xml:space="preserve">, </w:t>
      </w:r>
      <w:r>
        <w:t>Journal of Fluid Mechanics, 645, 497</w:t>
      </w:r>
      <w:r w:rsidR="000D4135" w:rsidRPr="006B4888">
        <w:t>–</w:t>
      </w:r>
      <w:r>
        <w:t>528. do</w:t>
      </w:r>
      <w:proofErr w:type="spellStart"/>
      <w:r>
        <w:t>i</w:t>
      </w:r>
      <w:proofErr w:type="spellEnd"/>
      <w:r>
        <w:t>:</w:t>
      </w:r>
      <w:r w:rsidR="464D4D16">
        <w:t xml:space="preserve"> </w:t>
      </w:r>
      <w:hyperlink r:id="rId25">
        <w:r w:rsidRPr="131D62C6">
          <w:rPr>
            <w:rStyle w:val="Hyperlink"/>
          </w:rPr>
          <w:t>https://doi.org/10.1017/S0022112009992783</w:t>
        </w:r>
      </w:hyperlink>
      <w:r w:rsidR="481D90DF">
        <w:t xml:space="preserve"> </w:t>
      </w:r>
      <w:r w:rsidR="18999D71">
        <w:t xml:space="preserve"> </w:t>
      </w:r>
      <w:r w:rsidR="61A3FFBC">
        <w:t xml:space="preserve"> </w:t>
      </w:r>
    </w:p>
    <w:p w14:paraId="197738E7" w14:textId="612B1282" w:rsidR="0DC5475F" w:rsidRDefault="0DC5475F" w:rsidP="1E6AA325">
      <w:pPr>
        <w:pStyle w:val="CETReferencetext"/>
      </w:pPr>
      <w:r w:rsidRPr="000D4135">
        <w:rPr>
          <w:lang w:val="en-US"/>
        </w:rPr>
        <w:t xml:space="preserve">Brandt L., </w:t>
      </w:r>
      <w:proofErr w:type="spellStart"/>
      <w:r w:rsidRPr="000D4135">
        <w:rPr>
          <w:lang w:val="en-US"/>
        </w:rPr>
        <w:t>Coletti</w:t>
      </w:r>
      <w:proofErr w:type="spellEnd"/>
      <w:r w:rsidRPr="000D4135">
        <w:rPr>
          <w:lang w:val="en-US"/>
        </w:rPr>
        <w:t xml:space="preserve"> F.</w:t>
      </w:r>
      <w:r w:rsidR="2C9EC892" w:rsidRPr="000D4135">
        <w:rPr>
          <w:lang w:val="en-US"/>
        </w:rPr>
        <w:t>,</w:t>
      </w:r>
      <w:r w:rsidRPr="000D4135">
        <w:rPr>
          <w:lang w:val="en-US"/>
        </w:rPr>
        <w:t xml:space="preserve"> 2022</w:t>
      </w:r>
      <w:r w:rsidR="62AACBFE" w:rsidRPr="000D4135">
        <w:rPr>
          <w:lang w:val="en-US"/>
        </w:rPr>
        <w:t xml:space="preserve">, </w:t>
      </w:r>
      <w:r w:rsidRPr="000D4135">
        <w:rPr>
          <w:lang w:val="en-US"/>
        </w:rPr>
        <w:t>Particle-laden turbulence: Progress and perspectives</w:t>
      </w:r>
      <w:r w:rsidR="000D4135" w:rsidRPr="000D4135">
        <w:rPr>
          <w:lang w:val="en-US"/>
        </w:rPr>
        <w:t>,</w:t>
      </w:r>
      <w:r w:rsidRPr="000D4135">
        <w:rPr>
          <w:lang w:val="en-US"/>
        </w:rPr>
        <w:t xml:space="preserve"> </w:t>
      </w:r>
      <w:r>
        <w:t>Annual Review of Fluid Mechanics, 54, 159</w:t>
      </w:r>
      <w:r w:rsidR="000D4135" w:rsidRPr="006B4888">
        <w:t>–</w:t>
      </w:r>
      <w:r>
        <w:t>189. do</w:t>
      </w:r>
      <w:proofErr w:type="spellStart"/>
      <w:r>
        <w:t>i</w:t>
      </w:r>
      <w:proofErr w:type="spellEnd"/>
      <w:r>
        <w:t>:</w:t>
      </w:r>
      <w:r w:rsidR="5FC990F8">
        <w:t xml:space="preserve"> </w:t>
      </w:r>
      <w:hyperlink r:id="rId26">
        <w:r w:rsidRPr="131D62C6">
          <w:rPr>
            <w:rStyle w:val="Hyperlink"/>
          </w:rPr>
          <w:t>https://doi.org/10.1146/annurev-fluid-030121-021103</w:t>
        </w:r>
      </w:hyperlink>
      <w:r>
        <w:t xml:space="preserve"> </w:t>
      </w:r>
      <w:r w:rsidR="2C049BAF">
        <w:t xml:space="preserve"> </w:t>
      </w:r>
    </w:p>
    <w:p w14:paraId="73EE57E7" w14:textId="64F5E845" w:rsidR="0DC5475F" w:rsidRDefault="0DC5475F" w:rsidP="1E6AA325">
      <w:pPr>
        <w:pStyle w:val="CETReferencetext"/>
      </w:pPr>
      <w:r>
        <w:t>Breuer M., Khalifa A., 2019, Revisiting and improving models for the breakup of compact dry powder agglomerates in turbulent flows within Eulerian–</w:t>
      </w:r>
      <w:proofErr w:type="spellStart"/>
      <w:r>
        <w:t>Lagrangian</w:t>
      </w:r>
      <w:proofErr w:type="spellEnd"/>
      <w:r>
        <w:t xml:space="preserve"> simulations</w:t>
      </w:r>
      <w:r w:rsidR="000D4135">
        <w:t>,</w:t>
      </w:r>
      <w:r>
        <w:t xml:space="preserve"> Powder Technology, 348, 105</w:t>
      </w:r>
      <w:r w:rsidR="000D4135" w:rsidRPr="006B4888">
        <w:t>–</w:t>
      </w:r>
      <w:r>
        <w:t>125. do</w:t>
      </w:r>
      <w:proofErr w:type="spellStart"/>
      <w:r>
        <w:t>i</w:t>
      </w:r>
      <w:proofErr w:type="spellEnd"/>
      <w:r>
        <w:t>:</w:t>
      </w:r>
      <w:r w:rsidR="2BC6CF07">
        <w:t xml:space="preserve"> </w:t>
      </w:r>
      <w:hyperlink r:id="rId27">
        <w:r w:rsidRPr="0680406C">
          <w:rPr>
            <w:rStyle w:val="Hyperlink"/>
          </w:rPr>
          <w:t>https://doi.org/10.1016/j.powtec.2019.03.009</w:t>
        </w:r>
      </w:hyperlink>
      <w:r w:rsidR="1AF898D9">
        <w:t xml:space="preserve"> </w:t>
      </w:r>
    </w:p>
    <w:p w14:paraId="3D07CFEA" w14:textId="51A11CFE" w:rsidR="00D30178" w:rsidRPr="00D30178" w:rsidRDefault="00D30178" w:rsidP="1E6AA325">
      <w:pPr>
        <w:pStyle w:val="CETReferencetext"/>
      </w:pPr>
      <w:proofErr w:type="spellStart"/>
      <w:r>
        <w:t>Conchúir</w:t>
      </w:r>
      <w:proofErr w:type="spellEnd"/>
      <w:r>
        <w:t xml:space="preserve"> B.O., Zaccone A., 2013, Mechanism of flow-induced biomolecular and colloidal aggregate breakup. Phys</w:t>
      </w:r>
      <w:r w:rsidR="000D4135">
        <w:t>ical</w:t>
      </w:r>
      <w:r>
        <w:t xml:space="preserve"> Rev</w:t>
      </w:r>
      <w:r w:rsidR="000D4135">
        <w:t>iew</w:t>
      </w:r>
      <w:r>
        <w:t xml:space="preserve"> E</w:t>
      </w:r>
      <w:r w:rsidR="000D4135">
        <w:t>,</w:t>
      </w:r>
      <w:r>
        <w:t xml:space="preserve"> 87, 032310. </w:t>
      </w:r>
      <w:proofErr w:type="spellStart"/>
      <w:r w:rsidR="002A6E4D">
        <w:t>doi</w:t>
      </w:r>
      <w:proofErr w:type="spellEnd"/>
      <w:r w:rsidR="002A6E4D">
        <w:t xml:space="preserve">: </w:t>
      </w:r>
      <w:hyperlink r:id="rId28" w:history="1">
        <w:r w:rsidR="002A6E4D" w:rsidRPr="000F077A">
          <w:rPr>
            <w:rStyle w:val="Hyperlink"/>
          </w:rPr>
          <w:t>https://doi.org/10.1103/PhysRevE.87.032310</w:t>
        </w:r>
      </w:hyperlink>
      <w:r w:rsidR="002A6E4D">
        <w:t xml:space="preserve"> </w:t>
      </w:r>
    </w:p>
    <w:p w14:paraId="498DD30F" w14:textId="4BA7D9F4" w:rsidR="008D2069" w:rsidRPr="00D30178" w:rsidRDefault="008D2069" w:rsidP="0680406C">
      <w:pPr>
        <w:pStyle w:val="CETReferencetext"/>
        <w:rPr>
          <w:rFonts w:cs="Arial"/>
          <w:color w:val="222222"/>
          <w:shd w:val="clear" w:color="auto" w:fill="FFFFFF"/>
        </w:rPr>
      </w:pPr>
      <w:r w:rsidRPr="0680406C">
        <w:rPr>
          <w:rFonts w:cs="Arial"/>
          <w:color w:val="222222"/>
          <w:shd w:val="clear" w:color="auto" w:fill="FFFFFF"/>
        </w:rPr>
        <w:t xml:space="preserve">De Bona J., </w:t>
      </w:r>
      <w:proofErr w:type="spellStart"/>
      <w:r w:rsidRPr="0680406C">
        <w:rPr>
          <w:rFonts w:cs="Arial"/>
          <w:color w:val="222222"/>
          <w:shd w:val="clear" w:color="auto" w:fill="FFFFFF"/>
        </w:rPr>
        <w:t>Lanotte</w:t>
      </w:r>
      <w:proofErr w:type="spellEnd"/>
      <w:r w:rsidRPr="0680406C">
        <w:rPr>
          <w:rFonts w:cs="Arial"/>
          <w:color w:val="222222"/>
          <w:shd w:val="clear" w:color="auto" w:fill="FFFFFF"/>
        </w:rPr>
        <w:t xml:space="preserve"> A.S., </w:t>
      </w:r>
      <w:proofErr w:type="spellStart"/>
      <w:r w:rsidRPr="0680406C">
        <w:rPr>
          <w:rFonts w:cs="Arial"/>
          <w:color w:val="222222"/>
          <w:shd w:val="clear" w:color="auto" w:fill="FFFFFF"/>
        </w:rPr>
        <w:t>Vanni</w:t>
      </w:r>
      <w:proofErr w:type="spellEnd"/>
      <w:r w:rsidRPr="0680406C">
        <w:rPr>
          <w:rFonts w:cs="Arial"/>
          <w:color w:val="222222"/>
          <w:shd w:val="clear" w:color="auto" w:fill="FFFFFF"/>
        </w:rPr>
        <w:t xml:space="preserve"> M., 2014, Internal stresses and breakup of rigid isostatic aggregates in homogeneous and isotropic turbulence.</w:t>
      </w:r>
      <w:r w:rsidRPr="0680406C">
        <w:rPr>
          <w:rStyle w:val="apple-converted-space"/>
          <w:rFonts w:cs="Arial"/>
          <w:color w:val="222222"/>
          <w:shd w:val="clear" w:color="auto" w:fill="FFFFFF"/>
        </w:rPr>
        <w:t xml:space="preserve"> </w:t>
      </w:r>
      <w:r w:rsidRPr="0680406C">
        <w:rPr>
          <w:rFonts w:cs="Arial"/>
          <w:color w:val="222222"/>
        </w:rPr>
        <w:t>J</w:t>
      </w:r>
      <w:r w:rsidR="000D4135">
        <w:rPr>
          <w:rFonts w:cs="Arial"/>
          <w:color w:val="222222"/>
        </w:rPr>
        <w:t xml:space="preserve">ournal of </w:t>
      </w:r>
      <w:r w:rsidRPr="0680406C">
        <w:rPr>
          <w:rFonts w:cs="Arial"/>
          <w:color w:val="222222"/>
        </w:rPr>
        <w:t>Fluid Mech</w:t>
      </w:r>
      <w:r w:rsidR="000D4135">
        <w:rPr>
          <w:rFonts w:cs="Arial"/>
          <w:color w:val="222222"/>
        </w:rPr>
        <w:t>anics,</w:t>
      </w:r>
      <w:r w:rsidRPr="0680406C">
        <w:rPr>
          <w:rFonts w:cs="Arial"/>
          <w:color w:val="222222"/>
        </w:rPr>
        <w:t xml:space="preserve"> 755</w:t>
      </w:r>
      <w:r w:rsidRPr="0680406C">
        <w:rPr>
          <w:rFonts w:cs="Arial"/>
          <w:color w:val="222222"/>
          <w:shd w:val="clear" w:color="auto" w:fill="FFFFFF"/>
        </w:rPr>
        <w:t>, 365</w:t>
      </w:r>
      <w:r w:rsidR="000D4135" w:rsidRPr="006B4888">
        <w:t>–</w:t>
      </w:r>
      <w:r w:rsidRPr="0680406C">
        <w:rPr>
          <w:rFonts w:cs="Arial"/>
          <w:color w:val="222222"/>
          <w:shd w:val="clear" w:color="auto" w:fill="FFFFFF"/>
        </w:rPr>
        <w:t>396. do</w:t>
      </w:r>
      <w:proofErr w:type="spellStart"/>
      <w:r w:rsidRPr="0680406C">
        <w:rPr>
          <w:rFonts w:cs="Arial"/>
          <w:color w:val="222222"/>
          <w:shd w:val="clear" w:color="auto" w:fill="FFFFFF"/>
        </w:rPr>
        <w:t>i</w:t>
      </w:r>
      <w:proofErr w:type="spellEnd"/>
      <w:r w:rsidRPr="0680406C">
        <w:rPr>
          <w:rFonts w:cs="Arial"/>
          <w:color w:val="222222"/>
          <w:shd w:val="clear" w:color="auto" w:fill="FFFFFF"/>
        </w:rPr>
        <w:t xml:space="preserve">: </w:t>
      </w:r>
      <w:hyperlink r:id="rId29" w:history="1">
        <w:r w:rsidRPr="0680406C">
          <w:rPr>
            <w:rStyle w:val="Hyperlink"/>
            <w:rFonts w:cs="Arial"/>
            <w:shd w:val="clear" w:color="auto" w:fill="FFFFFF"/>
          </w:rPr>
          <w:t>https://doi.org/10.1017/jfm.2014.421</w:t>
        </w:r>
      </w:hyperlink>
    </w:p>
    <w:p w14:paraId="28C726B4" w14:textId="4917B213" w:rsidR="4C1C6E46" w:rsidRDefault="4C1C6E46" w:rsidP="131D62C6">
      <w:pPr>
        <w:pStyle w:val="CETReferencetext"/>
      </w:pPr>
      <w:r>
        <w:t>Frungieri G., Briesen H.</w:t>
      </w:r>
      <w:r w:rsidR="00565BE6">
        <w:t>,</w:t>
      </w:r>
      <w:r>
        <w:t xml:space="preserve"> 2023, A population balance model for the flow-induced preparation of Pickering emulsions</w:t>
      </w:r>
      <w:r w:rsidR="000D4135">
        <w:t>,</w:t>
      </w:r>
      <w:r>
        <w:t xml:space="preserve"> Chemical Engineering Research and Design, 189, 694</w:t>
      </w:r>
      <w:r w:rsidR="000D4135" w:rsidRPr="006B4888">
        <w:t>–</w:t>
      </w:r>
      <w:r>
        <w:t>706. do</w:t>
      </w:r>
      <w:proofErr w:type="spellStart"/>
      <w:r>
        <w:t>i</w:t>
      </w:r>
      <w:proofErr w:type="spellEnd"/>
      <w:r>
        <w:t xml:space="preserve">: </w:t>
      </w:r>
      <w:hyperlink r:id="rId30">
        <w:r w:rsidRPr="131D62C6">
          <w:rPr>
            <w:rStyle w:val="Hyperlink"/>
          </w:rPr>
          <w:t>https://doi.org/10.1016/j.cherd.2022.11.037</w:t>
        </w:r>
      </w:hyperlink>
      <w:r>
        <w:t xml:space="preserve">  </w:t>
      </w:r>
    </w:p>
    <w:p w14:paraId="1372EDFA" w14:textId="0B6E0302" w:rsidR="03403F7B" w:rsidRDefault="03403F7B" w:rsidP="1E6AA325">
      <w:pPr>
        <w:pStyle w:val="CETReferencetext"/>
      </w:pPr>
      <w:r>
        <w:t xml:space="preserve">Frungieri G., </w:t>
      </w:r>
      <w:proofErr w:type="spellStart"/>
      <w:r>
        <w:t>Vanni</w:t>
      </w:r>
      <w:proofErr w:type="spellEnd"/>
      <w:r>
        <w:t xml:space="preserve"> M., 2021, Aggregation and breakup of colloidal particle aggregates in shear flow: A combined Monte Carlo-</w:t>
      </w:r>
      <w:proofErr w:type="spellStart"/>
      <w:r>
        <w:t>Stokesian</w:t>
      </w:r>
      <w:proofErr w:type="spellEnd"/>
      <w:r>
        <w:t xml:space="preserve"> dynamics approach</w:t>
      </w:r>
      <w:r w:rsidR="000D4135">
        <w:t>,</w:t>
      </w:r>
      <w:r>
        <w:t xml:space="preserve"> Powder Technology, 388, 357</w:t>
      </w:r>
      <w:r w:rsidR="000D4135" w:rsidRPr="006B4888">
        <w:t>–</w:t>
      </w:r>
      <w:r>
        <w:t>370. do</w:t>
      </w:r>
      <w:proofErr w:type="spellStart"/>
      <w:r>
        <w:t>i</w:t>
      </w:r>
      <w:proofErr w:type="spellEnd"/>
      <w:r>
        <w:t>:</w:t>
      </w:r>
      <w:r w:rsidR="34A7292B">
        <w:t xml:space="preserve"> </w:t>
      </w:r>
      <w:hyperlink r:id="rId31">
        <w:r w:rsidRPr="131D62C6">
          <w:rPr>
            <w:rStyle w:val="Hyperlink"/>
          </w:rPr>
          <w:t>https://doi.org/10.1016/j.powtec.2021.04.076</w:t>
        </w:r>
      </w:hyperlink>
      <w:r w:rsidR="38D09C00">
        <w:t xml:space="preserve">  </w:t>
      </w:r>
    </w:p>
    <w:p w14:paraId="33E10C87" w14:textId="745C160C" w:rsidR="59795DF9" w:rsidRDefault="59795DF9" w:rsidP="1E6AA325">
      <w:pPr>
        <w:pStyle w:val="CETReferencetext"/>
      </w:pPr>
      <w:r>
        <w:t xml:space="preserve">Frungieri G., </w:t>
      </w:r>
      <w:proofErr w:type="spellStart"/>
      <w:r>
        <w:t>Boccardo</w:t>
      </w:r>
      <w:proofErr w:type="spellEnd"/>
      <w:r>
        <w:t xml:space="preserve"> G., Buffo A., Karimi-</w:t>
      </w:r>
      <w:proofErr w:type="spellStart"/>
      <w:r>
        <w:t>Varzaneh</w:t>
      </w:r>
      <w:proofErr w:type="spellEnd"/>
      <w:r>
        <w:t xml:space="preserve"> H. A., </w:t>
      </w:r>
      <w:proofErr w:type="spellStart"/>
      <w:r>
        <w:t>Vanni</w:t>
      </w:r>
      <w:proofErr w:type="spellEnd"/>
      <w:r>
        <w:t xml:space="preserve"> M., 2022, CFD-DEM characterization and population balance modelling of a dispersive mixing process</w:t>
      </w:r>
      <w:r w:rsidR="000D4135">
        <w:t>,</w:t>
      </w:r>
      <w:r>
        <w:t xml:space="preserve"> Chemical Engineering Science, 260, 117859. </w:t>
      </w:r>
      <w:proofErr w:type="spellStart"/>
      <w:r>
        <w:t>doi</w:t>
      </w:r>
      <w:proofErr w:type="spellEnd"/>
      <w:r>
        <w:t>:</w:t>
      </w:r>
      <w:r w:rsidR="0006FA99">
        <w:t xml:space="preserve"> </w:t>
      </w:r>
      <w:hyperlink r:id="rId32">
        <w:r w:rsidRPr="131D62C6">
          <w:rPr>
            <w:rStyle w:val="Hyperlink"/>
          </w:rPr>
          <w:t>https://doi.org/10.1016/j.ces.2022.117859</w:t>
        </w:r>
      </w:hyperlink>
      <w:r w:rsidR="4C312F4C">
        <w:t xml:space="preserve"> </w:t>
      </w:r>
    </w:p>
    <w:p w14:paraId="6D2B4F1F" w14:textId="6444A50A" w:rsidR="00F50A5B" w:rsidRPr="00F50A5B" w:rsidRDefault="00F50A5B" w:rsidP="0680406C">
      <w:pPr>
        <w:pStyle w:val="CETReferencetext"/>
      </w:pPr>
      <w:r>
        <w:t xml:space="preserve">Kusters K.A., 1991, </w:t>
      </w:r>
      <w:r w:rsidRPr="0680406C">
        <w:t>The influence of turbulence on aggregation of small particles in agitated vessels</w:t>
      </w:r>
      <w:r w:rsidRPr="0680406C">
        <w:rPr>
          <w:lang w:val="en-US"/>
        </w:rPr>
        <w:t xml:space="preserve">, </w:t>
      </w:r>
      <w:proofErr w:type="spellStart"/>
      <w:r w:rsidRPr="0680406C">
        <w:t>Phd</w:t>
      </w:r>
      <w:proofErr w:type="spellEnd"/>
      <w:r w:rsidRPr="0680406C">
        <w:t xml:space="preserve"> Thesis </w:t>
      </w:r>
      <w:proofErr w:type="spellStart"/>
      <w:r w:rsidRPr="0680406C">
        <w:t>Technische</w:t>
      </w:r>
      <w:proofErr w:type="spellEnd"/>
      <w:r w:rsidRPr="0680406C">
        <w:t xml:space="preserve"> Universiteit Eindhoven. </w:t>
      </w:r>
      <w:proofErr w:type="spellStart"/>
      <w:r w:rsidR="002A6E4D" w:rsidRPr="002A6E4D">
        <w:t>doi</w:t>
      </w:r>
      <w:proofErr w:type="spellEnd"/>
      <w:r w:rsidR="002A6E4D" w:rsidRPr="002A6E4D">
        <w:t xml:space="preserve">: </w:t>
      </w:r>
      <w:hyperlink r:id="rId33" w:history="1">
        <w:r w:rsidR="002A6E4D" w:rsidRPr="000F077A">
          <w:rPr>
            <w:rStyle w:val="Hyperlink"/>
          </w:rPr>
          <w:t>https://doi.org/10.6100/IR362582</w:t>
        </w:r>
      </w:hyperlink>
      <w:r w:rsidR="002A6E4D" w:rsidRPr="002A6E4D">
        <w:t xml:space="preserve"> </w:t>
      </w:r>
      <w:r w:rsidRPr="0680406C">
        <w:t xml:space="preserve"> </w:t>
      </w:r>
    </w:p>
    <w:p w14:paraId="4415ACF0" w14:textId="3B2E626F" w:rsidR="0AC5E743" w:rsidRDefault="0AC5E743" w:rsidP="131D62C6">
      <w:pPr>
        <w:pStyle w:val="CETReferencetext"/>
      </w:pPr>
      <w:proofErr w:type="spellStart"/>
      <w:r>
        <w:t>Lins</w:t>
      </w:r>
      <w:proofErr w:type="spellEnd"/>
      <w:r>
        <w:t xml:space="preserve"> T. F., O’Brien A. M., </w:t>
      </w:r>
      <w:proofErr w:type="spellStart"/>
      <w:r>
        <w:t>Zargartalebi</w:t>
      </w:r>
      <w:proofErr w:type="spellEnd"/>
      <w:r>
        <w:t xml:space="preserve"> M., Sinton D.</w:t>
      </w:r>
      <w:r w:rsidR="00565BE6">
        <w:t>,</w:t>
      </w:r>
      <w:r>
        <w:t xml:space="preserve"> 2022, </w:t>
      </w:r>
      <w:proofErr w:type="spellStart"/>
      <w:r>
        <w:t>Nanoplastic</w:t>
      </w:r>
      <w:proofErr w:type="spellEnd"/>
      <w:r>
        <w:t xml:space="preserve"> state and fate in aquatic environments: multiscale </w:t>
      </w:r>
      <w:proofErr w:type="spellStart"/>
      <w:r>
        <w:t>modeling</w:t>
      </w:r>
      <w:proofErr w:type="spellEnd"/>
      <w:r>
        <w:t>, Environmental Science &amp; Technology</w:t>
      </w:r>
      <w:r w:rsidR="000D4135">
        <w:t>,</w:t>
      </w:r>
      <w:r>
        <w:t xml:space="preserve"> 56, 4017</w:t>
      </w:r>
      <w:r w:rsidR="000D4135" w:rsidRPr="006B4888">
        <w:t>–</w:t>
      </w:r>
      <w:r>
        <w:t>4028. d</w:t>
      </w:r>
      <w:proofErr w:type="spellStart"/>
      <w:r>
        <w:t>oi</w:t>
      </w:r>
      <w:proofErr w:type="spellEnd"/>
      <w:r>
        <w:t xml:space="preserve">: </w:t>
      </w:r>
      <w:hyperlink r:id="rId34">
        <w:r w:rsidRPr="131D62C6">
          <w:rPr>
            <w:rStyle w:val="Hyperlink"/>
          </w:rPr>
          <w:t>https://doi.org/10.1021/acs.est.1c03922</w:t>
        </w:r>
      </w:hyperlink>
      <w:r>
        <w:t xml:space="preserve"> </w:t>
      </w:r>
    </w:p>
    <w:p w14:paraId="072D1C2F" w14:textId="6F4B03E9" w:rsidR="7A24C422" w:rsidRDefault="7A24C422" w:rsidP="5D879143">
      <w:pPr>
        <w:pStyle w:val="CETReferencetext"/>
      </w:pPr>
      <w:r>
        <w:t>Loginov V. I.</w:t>
      </w:r>
      <w:r w:rsidR="00565BE6">
        <w:t>,</w:t>
      </w:r>
      <w:r>
        <w:t xml:space="preserve"> 1986, Dynamics of the process of breakup of a liquid in a turbulent system</w:t>
      </w:r>
      <w:r w:rsidR="000D4135">
        <w:t>,</w:t>
      </w:r>
      <w:r>
        <w:t xml:space="preserve"> Journal of Applied</w:t>
      </w:r>
      <w:r w:rsidR="000D4135">
        <w:t xml:space="preserve"> </w:t>
      </w:r>
      <w:r>
        <w:t xml:space="preserve">Mechanics and Technical Physics, 26, 509. </w:t>
      </w:r>
      <w:proofErr w:type="spellStart"/>
      <w:r>
        <w:t>doi</w:t>
      </w:r>
      <w:proofErr w:type="spellEnd"/>
      <w:r>
        <w:t xml:space="preserve">: </w:t>
      </w:r>
      <w:hyperlink r:id="rId35">
        <w:r w:rsidR="6AA161BD" w:rsidRPr="131D62C6">
          <w:rPr>
            <w:rStyle w:val="Hyperlink"/>
          </w:rPr>
          <w:t>https://doi.org/10.1007/BF01101633</w:t>
        </w:r>
      </w:hyperlink>
      <w:r w:rsidR="3484BF43">
        <w:t xml:space="preserve"> </w:t>
      </w:r>
    </w:p>
    <w:p w14:paraId="3D6E15C8" w14:textId="59C4C4C4" w:rsidR="00F50A5B" w:rsidRPr="000D4135" w:rsidRDefault="00F50A5B" w:rsidP="5D879143">
      <w:pPr>
        <w:pStyle w:val="CETReferencetext"/>
      </w:pPr>
      <w:proofErr w:type="spellStart"/>
      <w:r>
        <w:t>Marchioli</w:t>
      </w:r>
      <w:proofErr w:type="spellEnd"/>
      <w:r>
        <w:t xml:space="preserve"> C., Soldati A., 2015, Turbulent breakage of ductile aggregates</w:t>
      </w:r>
      <w:r w:rsidR="000D4135">
        <w:t>,</w:t>
      </w:r>
      <w:r>
        <w:t xml:space="preserve"> Phys</w:t>
      </w:r>
      <w:r w:rsidR="000D4135">
        <w:t>ical</w:t>
      </w:r>
      <w:r>
        <w:t xml:space="preserve"> Rev</w:t>
      </w:r>
      <w:r w:rsidR="000D4135">
        <w:t>iew</w:t>
      </w:r>
      <w:r>
        <w:t xml:space="preserve"> E</w:t>
      </w:r>
      <w:r w:rsidR="000D4135">
        <w:t>,</w:t>
      </w:r>
      <w:r>
        <w:t xml:space="preserve"> 91, 053003. </w:t>
      </w:r>
      <w:hyperlink r:id="rId36" w:history="1">
        <w:r w:rsidR="00766D36" w:rsidRPr="000D4135">
          <w:rPr>
            <w:rStyle w:val="Hyperlink"/>
          </w:rPr>
          <w:t>https://doi.org/10.1103/PhysRevE.91.053003</w:t>
        </w:r>
      </w:hyperlink>
    </w:p>
    <w:p w14:paraId="67002E1B" w14:textId="02A7FF1B" w:rsidR="00766D36" w:rsidRPr="00766D36" w:rsidRDefault="00766D36" w:rsidP="0680406C">
      <w:pPr>
        <w:pStyle w:val="CETReferencetext"/>
        <w:rPr>
          <w:rStyle w:val="Hyperlink"/>
        </w:rPr>
      </w:pPr>
      <w:proofErr w:type="spellStart"/>
      <w:r w:rsidRPr="0680406C">
        <w:rPr>
          <w:lang w:val="en-US"/>
        </w:rPr>
        <w:t>Saha</w:t>
      </w:r>
      <w:proofErr w:type="spellEnd"/>
      <w:r w:rsidRPr="0680406C">
        <w:rPr>
          <w:lang w:val="en-US"/>
        </w:rPr>
        <w:t xml:space="preserve"> D., </w:t>
      </w:r>
      <w:proofErr w:type="spellStart"/>
      <w:r w:rsidRPr="0680406C">
        <w:rPr>
          <w:lang w:val="en-US"/>
        </w:rPr>
        <w:t>Babler</w:t>
      </w:r>
      <w:proofErr w:type="spellEnd"/>
      <w:r w:rsidRPr="0680406C">
        <w:rPr>
          <w:lang w:val="en-US"/>
        </w:rPr>
        <w:t xml:space="preserve"> M.U., </w:t>
      </w:r>
      <w:proofErr w:type="spellStart"/>
      <w:r w:rsidRPr="0680406C">
        <w:rPr>
          <w:lang w:val="en-US"/>
        </w:rPr>
        <w:t>Holzner</w:t>
      </w:r>
      <w:proofErr w:type="spellEnd"/>
      <w:r w:rsidRPr="0680406C">
        <w:rPr>
          <w:lang w:val="en-US"/>
        </w:rPr>
        <w:t xml:space="preserve"> M., </w:t>
      </w:r>
      <w:proofErr w:type="spellStart"/>
      <w:r w:rsidRPr="0680406C">
        <w:rPr>
          <w:lang w:val="en-US"/>
        </w:rPr>
        <w:t>Soos</w:t>
      </w:r>
      <w:proofErr w:type="spellEnd"/>
      <w:r w:rsidRPr="0680406C">
        <w:rPr>
          <w:lang w:val="en-US"/>
        </w:rPr>
        <w:t xml:space="preserve"> M., </w:t>
      </w:r>
      <w:proofErr w:type="spellStart"/>
      <w:r w:rsidRPr="0680406C">
        <w:rPr>
          <w:lang w:val="en-US"/>
        </w:rPr>
        <w:t>Lüthi</w:t>
      </w:r>
      <w:proofErr w:type="spellEnd"/>
      <w:r w:rsidRPr="0680406C">
        <w:rPr>
          <w:lang w:val="en-US"/>
        </w:rPr>
        <w:t xml:space="preserve"> B., </w:t>
      </w:r>
      <w:proofErr w:type="spellStart"/>
      <w:r w:rsidRPr="0680406C">
        <w:rPr>
          <w:lang w:val="en-US"/>
        </w:rPr>
        <w:t>Liberzon</w:t>
      </w:r>
      <w:proofErr w:type="spellEnd"/>
      <w:r w:rsidRPr="0680406C">
        <w:rPr>
          <w:lang w:val="en-US"/>
        </w:rPr>
        <w:t xml:space="preserve"> A., </w:t>
      </w:r>
      <w:proofErr w:type="spellStart"/>
      <w:r w:rsidRPr="0680406C">
        <w:rPr>
          <w:lang w:val="en-US"/>
        </w:rPr>
        <w:t>Kinzelbach</w:t>
      </w:r>
      <w:proofErr w:type="spellEnd"/>
      <w:r w:rsidRPr="0680406C">
        <w:rPr>
          <w:lang w:val="en-US"/>
        </w:rPr>
        <w:t xml:space="preserve">, W., 2016, </w:t>
      </w:r>
      <w:r>
        <w:t>Breakup of finite-size colloidal aggregates in turbulent flow investigated by three-dimensional (3D) particle tracking velocimetry</w:t>
      </w:r>
      <w:r w:rsidR="000D4135">
        <w:t>,</w:t>
      </w:r>
      <w:r>
        <w:t xml:space="preserve"> Langmuir 32, 55</w:t>
      </w:r>
      <w:r w:rsidR="000D4135" w:rsidRPr="006B4888">
        <w:t>–</w:t>
      </w:r>
      <w:r>
        <w:t xml:space="preserve">65. </w:t>
      </w:r>
      <w:hyperlink r:id="rId37" w:tooltip="DOI URL" w:history="1">
        <w:r w:rsidRPr="0680406C">
          <w:rPr>
            <w:rStyle w:val="Hyperlink"/>
          </w:rPr>
          <w:t>https://doi.org/10.1021/acs.langmuir.5b03804</w:t>
        </w:r>
      </w:hyperlink>
    </w:p>
    <w:p w14:paraId="72914430" w14:textId="1AE2EA65" w:rsidR="1B4EFD5E" w:rsidRDefault="1B4EFD5E" w:rsidP="131D62C6">
      <w:pPr>
        <w:pStyle w:val="CETReferencetext"/>
      </w:pPr>
      <w:r w:rsidRPr="000D4135">
        <w:rPr>
          <w:lang w:val="en-US"/>
        </w:rPr>
        <w:t>Schiele S. A., Meinhardt R., Friedrich T., Briesen H</w:t>
      </w:r>
      <w:r w:rsidR="00565BE6" w:rsidRPr="000D4135">
        <w:rPr>
          <w:lang w:val="en-US"/>
        </w:rPr>
        <w:t>.,</w:t>
      </w:r>
      <w:r w:rsidRPr="000D4135">
        <w:rPr>
          <w:lang w:val="en-US"/>
        </w:rPr>
        <w:t xml:space="preserve"> 2023</w:t>
      </w:r>
      <w:r w:rsidR="00565BE6" w:rsidRPr="000D4135">
        <w:rPr>
          <w:lang w:val="en-US"/>
        </w:rPr>
        <w:t>,</w:t>
      </w:r>
      <w:r w:rsidRPr="000D4135">
        <w:rPr>
          <w:lang w:val="en-US"/>
        </w:rPr>
        <w:t xml:space="preserve"> </w:t>
      </w:r>
      <w:r>
        <w:t>On how non-facetted crystals affect crystallization processes</w:t>
      </w:r>
      <w:r w:rsidR="000D4135">
        <w:t>,</w:t>
      </w:r>
      <w:r>
        <w:t xml:space="preserve"> Chemical Engineering Research and Design, 190, 54</w:t>
      </w:r>
      <w:r w:rsidR="000D4135" w:rsidRPr="006B4888">
        <w:t>–</w:t>
      </w:r>
      <w:r>
        <w:t xml:space="preserve">65. </w:t>
      </w:r>
      <w:proofErr w:type="spellStart"/>
      <w:r>
        <w:t>doi</w:t>
      </w:r>
      <w:proofErr w:type="spellEnd"/>
      <w:r>
        <w:t xml:space="preserve">: </w:t>
      </w:r>
      <w:hyperlink r:id="rId38">
        <w:r w:rsidRPr="0680406C">
          <w:rPr>
            <w:rStyle w:val="Hyperlink"/>
          </w:rPr>
          <w:t>https://doi.org/10.1016/j.cherd.2022.12.012</w:t>
        </w:r>
      </w:hyperlink>
      <w:r>
        <w:t xml:space="preserve"> </w:t>
      </w:r>
    </w:p>
    <w:p w14:paraId="5B7E369D" w14:textId="4F27980F" w:rsidR="76EC082A" w:rsidRDefault="76EC082A" w:rsidP="1E6AA325">
      <w:pPr>
        <w:pStyle w:val="CETReferencetext"/>
      </w:pPr>
      <w:r>
        <w:t xml:space="preserve">Vasquez Giuliano L., Buffo A., </w:t>
      </w:r>
      <w:proofErr w:type="spellStart"/>
      <w:r>
        <w:t>Vanni</w:t>
      </w:r>
      <w:proofErr w:type="spellEnd"/>
      <w:r>
        <w:t xml:space="preserve"> M., Frungieri G., 2023, Micromechanics and strength of agglomerates produced by spray drying</w:t>
      </w:r>
      <w:r w:rsidR="000D4135">
        <w:t>,</w:t>
      </w:r>
      <w:r>
        <w:t xml:space="preserve"> JCIS Open, 9, 100068.</w:t>
      </w:r>
      <w:r w:rsidR="0B570E48">
        <w:t xml:space="preserve"> </w:t>
      </w:r>
      <w:proofErr w:type="spellStart"/>
      <w:r w:rsidR="0B570E48">
        <w:t>doi</w:t>
      </w:r>
      <w:proofErr w:type="spellEnd"/>
      <w:r w:rsidR="0B570E48">
        <w:t xml:space="preserve">: </w:t>
      </w:r>
      <w:hyperlink r:id="rId39">
        <w:r w:rsidR="0B570E48" w:rsidRPr="131D62C6">
          <w:rPr>
            <w:rStyle w:val="Hyperlink"/>
          </w:rPr>
          <w:t>https://doi.org/10.1016/j.jciso.2022.100068</w:t>
        </w:r>
      </w:hyperlink>
      <w:r w:rsidR="0B570E48">
        <w:t xml:space="preserve"> </w:t>
      </w:r>
    </w:p>
    <w:p w14:paraId="4CF1E355" w14:textId="11B91F08" w:rsidR="004628D2" w:rsidRDefault="1F1F127E" w:rsidP="131D62C6">
      <w:pPr>
        <w:pStyle w:val="CETReferencetext"/>
      </w:pPr>
      <w:r>
        <w:t xml:space="preserve">Vasquez Giuliano L., Buffo A., </w:t>
      </w:r>
      <w:proofErr w:type="spellStart"/>
      <w:r>
        <w:t>Vanni</w:t>
      </w:r>
      <w:proofErr w:type="spellEnd"/>
      <w:r>
        <w:t xml:space="preserve"> M., </w:t>
      </w:r>
      <w:proofErr w:type="spellStart"/>
      <w:r>
        <w:t>Lanotte</w:t>
      </w:r>
      <w:proofErr w:type="spellEnd"/>
      <w:r>
        <w:t xml:space="preserve"> A.S., Arima V., Bianco M., </w:t>
      </w:r>
      <w:proofErr w:type="spellStart"/>
      <w:r>
        <w:t>Baldassarre</w:t>
      </w:r>
      <w:proofErr w:type="spellEnd"/>
      <w:r>
        <w:t xml:space="preserve"> F., Frungieri G</w:t>
      </w:r>
      <w:r w:rsidR="00565BE6">
        <w:t>.,</w:t>
      </w:r>
      <w:r>
        <w:t xml:space="preserve"> 2022, Response of shear-activated nanotherapeutic particles in a clot-obstructed blood vessel by CFD-DEM simulations, The Canadian Journal of Chemical Engineering</w:t>
      </w:r>
      <w:r w:rsidR="000D4135">
        <w:t>,</w:t>
      </w:r>
      <w:r>
        <w:t xml:space="preserve"> 100, 3562</w:t>
      </w:r>
      <w:r w:rsidR="000D4135" w:rsidRPr="006B4888">
        <w:t>–</w:t>
      </w:r>
      <w:r>
        <w:t>3574.</w:t>
      </w:r>
      <w:r w:rsidR="2A4F99F8">
        <w:t xml:space="preserve"> d</w:t>
      </w:r>
      <w:proofErr w:type="spellStart"/>
      <w:r w:rsidR="2A4F99F8">
        <w:t>oi</w:t>
      </w:r>
      <w:proofErr w:type="spellEnd"/>
      <w:r w:rsidR="2A4F99F8">
        <w:t xml:space="preserve">: </w:t>
      </w:r>
      <w:hyperlink r:id="rId40">
        <w:r w:rsidR="2A4F99F8" w:rsidRPr="131D62C6">
          <w:rPr>
            <w:rStyle w:val="Hyperlink"/>
          </w:rPr>
          <w:t>https://doi.org/10.1002/cjce.24502</w:t>
        </w:r>
      </w:hyperlink>
      <w:r w:rsidR="2A4F99F8">
        <w:t xml:space="preserve"> </w:t>
      </w:r>
    </w:p>
    <w:p w14:paraId="19C4FC68" w14:textId="3A1F0C17" w:rsidR="004628D2" w:rsidRDefault="004628D2" w:rsidP="131D62C6">
      <w:pPr>
        <w:pStyle w:val="CETBodytext"/>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97E6" w14:textId="77777777" w:rsidR="00F21F71" w:rsidRDefault="00F21F71" w:rsidP="004F5E36">
      <w:r>
        <w:separator/>
      </w:r>
    </w:p>
  </w:endnote>
  <w:endnote w:type="continuationSeparator" w:id="0">
    <w:p w14:paraId="260631B7" w14:textId="77777777" w:rsidR="00F21F71" w:rsidRDefault="00F21F7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E1AE" w14:textId="77777777" w:rsidR="00F21F71" w:rsidRDefault="00F21F71" w:rsidP="004F5E36">
      <w:r>
        <w:separator/>
      </w:r>
    </w:p>
  </w:footnote>
  <w:footnote w:type="continuationSeparator" w:id="0">
    <w:p w14:paraId="50D05AE2" w14:textId="77777777" w:rsidR="00F21F71" w:rsidRDefault="00F21F7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lvl>
    <w:lvl w:ilvl="1">
      <w:start w:val="1"/>
      <w:numFmt w:val="decimal"/>
      <w:pStyle w:val="CETHeading1"/>
      <w:suff w:val="space"/>
      <w:lvlText w:val="%2."/>
      <w:lvlJc w:val="left"/>
      <w:pPr>
        <w:ind w:left="0" w:firstLine="0"/>
      </w:pPr>
    </w:lvl>
    <w:lvl w:ilvl="2">
      <w:start w:val="1"/>
      <w:numFmt w:val="decimal"/>
      <w:pStyle w:val="CETheadingx"/>
      <w:suff w:val="space"/>
      <w:lvlText w:val="%2.%3"/>
      <w:lvlJc w:val="left"/>
      <w:pPr>
        <w:ind w:left="0" w:firstLine="0"/>
      </w:pPr>
    </w:lvl>
    <w:lvl w:ilvl="3">
      <w:start w:val="1"/>
      <w:numFmt w:val="decimal"/>
      <w:pStyle w:val="TableSimple1"/>
      <w:suff w:val="space"/>
      <w:lvlText w:val="%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02373331">
    <w:abstractNumId w:val="10"/>
  </w:num>
  <w:num w:numId="2" w16cid:durableId="1357149093">
    <w:abstractNumId w:val="8"/>
  </w:num>
  <w:num w:numId="3" w16cid:durableId="171605602">
    <w:abstractNumId w:val="3"/>
  </w:num>
  <w:num w:numId="4" w16cid:durableId="1629704830">
    <w:abstractNumId w:val="2"/>
  </w:num>
  <w:num w:numId="5" w16cid:durableId="1468274931">
    <w:abstractNumId w:val="1"/>
  </w:num>
  <w:num w:numId="6" w16cid:durableId="1020162980">
    <w:abstractNumId w:val="0"/>
  </w:num>
  <w:num w:numId="7" w16cid:durableId="1410540735">
    <w:abstractNumId w:val="9"/>
  </w:num>
  <w:num w:numId="8" w16cid:durableId="1696803920">
    <w:abstractNumId w:val="7"/>
  </w:num>
  <w:num w:numId="9" w16cid:durableId="667052876">
    <w:abstractNumId w:val="6"/>
  </w:num>
  <w:num w:numId="10" w16cid:durableId="1651715259">
    <w:abstractNumId w:val="5"/>
  </w:num>
  <w:num w:numId="11" w16cid:durableId="289753268">
    <w:abstractNumId w:val="4"/>
  </w:num>
  <w:num w:numId="12" w16cid:durableId="1720547302">
    <w:abstractNumId w:val="17"/>
  </w:num>
  <w:num w:numId="13" w16cid:durableId="1733311355">
    <w:abstractNumId w:val="12"/>
  </w:num>
  <w:num w:numId="14" w16cid:durableId="1582566869">
    <w:abstractNumId w:val="18"/>
  </w:num>
  <w:num w:numId="15" w16cid:durableId="1667172860">
    <w:abstractNumId w:val="20"/>
  </w:num>
  <w:num w:numId="16" w16cid:durableId="1050493328">
    <w:abstractNumId w:val="19"/>
  </w:num>
  <w:num w:numId="17" w16cid:durableId="381514418">
    <w:abstractNumId w:val="11"/>
  </w:num>
  <w:num w:numId="18" w16cid:durableId="1938249411">
    <w:abstractNumId w:val="12"/>
    <w:lvlOverride w:ilvl="0">
      <w:startOverride w:val="1"/>
    </w:lvlOverride>
  </w:num>
  <w:num w:numId="19" w16cid:durableId="1428043169">
    <w:abstractNumId w:val="16"/>
  </w:num>
  <w:num w:numId="20" w16cid:durableId="225116983">
    <w:abstractNumId w:val="15"/>
  </w:num>
  <w:num w:numId="21" w16cid:durableId="2030598619">
    <w:abstractNumId w:val="14"/>
  </w:num>
  <w:num w:numId="22" w16cid:durableId="20048919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562A9"/>
    <w:rsid w:val="00057C2C"/>
    <w:rsid w:val="00062A9A"/>
    <w:rsid w:val="00065058"/>
    <w:rsid w:val="000692A3"/>
    <w:rsid w:val="0006FA99"/>
    <w:rsid w:val="00086C39"/>
    <w:rsid w:val="0009548E"/>
    <w:rsid w:val="000A03B2"/>
    <w:rsid w:val="000D0268"/>
    <w:rsid w:val="000D34BE"/>
    <w:rsid w:val="000D4135"/>
    <w:rsid w:val="000E102F"/>
    <w:rsid w:val="000E36F1"/>
    <w:rsid w:val="000E3A73"/>
    <w:rsid w:val="000E414A"/>
    <w:rsid w:val="000F02B8"/>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875B9"/>
    <w:rsid w:val="001A2938"/>
    <w:rsid w:val="001A4AF7"/>
    <w:rsid w:val="001B0349"/>
    <w:rsid w:val="001B1E93"/>
    <w:rsid w:val="001B65C1"/>
    <w:rsid w:val="001C684B"/>
    <w:rsid w:val="001D0CFB"/>
    <w:rsid w:val="001D21AF"/>
    <w:rsid w:val="001D53FC"/>
    <w:rsid w:val="001F42A5"/>
    <w:rsid w:val="001F7B9D"/>
    <w:rsid w:val="00201C93"/>
    <w:rsid w:val="002224B4"/>
    <w:rsid w:val="002447EF"/>
    <w:rsid w:val="00251550"/>
    <w:rsid w:val="00263B05"/>
    <w:rsid w:val="0027221A"/>
    <w:rsid w:val="00275B61"/>
    <w:rsid w:val="00280FAF"/>
    <w:rsid w:val="00282656"/>
    <w:rsid w:val="00296B83"/>
    <w:rsid w:val="002A6E4D"/>
    <w:rsid w:val="002B4015"/>
    <w:rsid w:val="002B6153"/>
    <w:rsid w:val="002B78CE"/>
    <w:rsid w:val="002C2FB6"/>
    <w:rsid w:val="002E5FA7"/>
    <w:rsid w:val="002F3309"/>
    <w:rsid w:val="003008CE"/>
    <w:rsid w:val="003009B7"/>
    <w:rsid w:val="00300E56"/>
    <w:rsid w:val="0030152C"/>
    <w:rsid w:val="0030469C"/>
    <w:rsid w:val="00321CA6"/>
    <w:rsid w:val="00323763"/>
    <w:rsid w:val="00323C5F"/>
    <w:rsid w:val="00334C09"/>
    <w:rsid w:val="0035152E"/>
    <w:rsid w:val="003723D4"/>
    <w:rsid w:val="00381905"/>
    <w:rsid w:val="00384CC8"/>
    <w:rsid w:val="003871FD"/>
    <w:rsid w:val="003A1E30"/>
    <w:rsid w:val="003A2829"/>
    <w:rsid w:val="003A4AAD"/>
    <w:rsid w:val="003A7D1C"/>
    <w:rsid w:val="003B304B"/>
    <w:rsid w:val="003B3146"/>
    <w:rsid w:val="003C0D91"/>
    <w:rsid w:val="003F015E"/>
    <w:rsid w:val="00400414"/>
    <w:rsid w:val="0041446B"/>
    <w:rsid w:val="0043EAB7"/>
    <w:rsid w:val="0044071E"/>
    <w:rsid w:val="0044329C"/>
    <w:rsid w:val="00453E24"/>
    <w:rsid w:val="00457456"/>
    <w:rsid w:val="004577FE"/>
    <w:rsid w:val="00457B9C"/>
    <w:rsid w:val="0046164A"/>
    <w:rsid w:val="004628D2"/>
    <w:rsid w:val="00462DCD"/>
    <w:rsid w:val="004648AD"/>
    <w:rsid w:val="004703A9"/>
    <w:rsid w:val="004760DE"/>
    <w:rsid w:val="004763D7"/>
    <w:rsid w:val="00493182"/>
    <w:rsid w:val="004A004E"/>
    <w:rsid w:val="004A24CF"/>
    <w:rsid w:val="004C3D1D"/>
    <w:rsid w:val="004C3D84"/>
    <w:rsid w:val="004C623B"/>
    <w:rsid w:val="004C7913"/>
    <w:rsid w:val="004E4DD6"/>
    <w:rsid w:val="004F32C7"/>
    <w:rsid w:val="004F5E36"/>
    <w:rsid w:val="00507B47"/>
    <w:rsid w:val="00507BEF"/>
    <w:rsid w:val="00507CC9"/>
    <w:rsid w:val="005119A5"/>
    <w:rsid w:val="005278B7"/>
    <w:rsid w:val="00532016"/>
    <w:rsid w:val="005346C8"/>
    <w:rsid w:val="00543E7D"/>
    <w:rsid w:val="005459D7"/>
    <w:rsid w:val="00547A68"/>
    <w:rsid w:val="005531C9"/>
    <w:rsid w:val="00565BE6"/>
    <w:rsid w:val="00570C43"/>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93766"/>
    <w:rsid w:val="00697D45"/>
    <w:rsid w:val="006A3281"/>
    <w:rsid w:val="006B4888"/>
    <w:rsid w:val="006C2E45"/>
    <w:rsid w:val="006C359C"/>
    <w:rsid w:val="006C5579"/>
    <w:rsid w:val="006D6E8B"/>
    <w:rsid w:val="006E737D"/>
    <w:rsid w:val="00713973"/>
    <w:rsid w:val="00720A24"/>
    <w:rsid w:val="00732386"/>
    <w:rsid w:val="0073514D"/>
    <w:rsid w:val="007447F3"/>
    <w:rsid w:val="0075499F"/>
    <w:rsid w:val="007661C8"/>
    <w:rsid w:val="00766D36"/>
    <w:rsid w:val="0077098D"/>
    <w:rsid w:val="00786BA7"/>
    <w:rsid w:val="007931FA"/>
    <w:rsid w:val="007A1FDF"/>
    <w:rsid w:val="007A4861"/>
    <w:rsid w:val="007A7BBA"/>
    <w:rsid w:val="007B0C50"/>
    <w:rsid w:val="007B48F9"/>
    <w:rsid w:val="007C1A43"/>
    <w:rsid w:val="007D0951"/>
    <w:rsid w:val="007E5E53"/>
    <w:rsid w:val="0080013E"/>
    <w:rsid w:val="008060EC"/>
    <w:rsid w:val="00813288"/>
    <w:rsid w:val="008168FC"/>
    <w:rsid w:val="00830996"/>
    <w:rsid w:val="008345F1"/>
    <w:rsid w:val="00865B07"/>
    <w:rsid w:val="008667EA"/>
    <w:rsid w:val="0087637F"/>
    <w:rsid w:val="00878EC0"/>
    <w:rsid w:val="00892AD5"/>
    <w:rsid w:val="008A1512"/>
    <w:rsid w:val="008D0AA4"/>
    <w:rsid w:val="008D2069"/>
    <w:rsid w:val="008D32B9"/>
    <w:rsid w:val="008D433B"/>
    <w:rsid w:val="008D4A16"/>
    <w:rsid w:val="008E566E"/>
    <w:rsid w:val="0090161A"/>
    <w:rsid w:val="00901EB6"/>
    <w:rsid w:val="00904C62"/>
    <w:rsid w:val="00905887"/>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B041A"/>
    <w:rsid w:val="009C37C3"/>
    <w:rsid w:val="009C7C86"/>
    <w:rsid w:val="009D2FF7"/>
    <w:rsid w:val="009E7884"/>
    <w:rsid w:val="009E788A"/>
    <w:rsid w:val="009F0E08"/>
    <w:rsid w:val="009F1339"/>
    <w:rsid w:val="009F1D1B"/>
    <w:rsid w:val="00A02A97"/>
    <w:rsid w:val="00A10D4B"/>
    <w:rsid w:val="00A1763D"/>
    <w:rsid w:val="00A17CEC"/>
    <w:rsid w:val="00A1986C"/>
    <w:rsid w:val="00A27EF0"/>
    <w:rsid w:val="00A42361"/>
    <w:rsid w:val="00A50B20"/>
    <w:rsid w:val="00A51390"/>
    <w:rsid w:val="00A60D13"/>
    <w:rsid w:val="00A7223D"/>
    <w:rsid w:val="00A72745"/>
    <w:rsid w:val="00A76EFC"/>
    <w:rsid w:val="00A85702"/>
    <w:rsid w:val="00A87D50"/>
    <w:rsid w:val="00A91010"/>
    <w:rsid w:val="00A91F9D"/>
    <w:rsid w:val="00A97F29"/>
    <w:rsid w:val="00A985C0"/>
    <w:rsid w:val="00AA702E"/>
    <w:rsid w:val="00AA7D26"/>
    <w:rsid w:val="00AB0964"/>
    <w:rsid w:val="00AB5011"/>
    <w:rsid w:val="00AC7368"/>
    <w:rsid w:val="00AD16B9"/>
    <w:rsid w:val="00AE377D"/>
    <w:rsid w:val="00AF0EBA"/>
    <w:rsid w:val="00B02C8A"/>
    <w:rsid w:val="00B17FBD"/>
    <w:rsid w:val="00B315A6"/>
    <w:rsid w:val="00B31813"/>
    <w:rsid w:val="00B33365"/>
    <w:rsid w:val="00B40A48"/>
    <w:rsid w:val="00B57B36"/>
    <w:rsid w:val="00B57E6F"/>
    <w:rsid w:val="00B8686D"/>
    <w:rsid w:val="00B93F69"/>
    <w:rsid w:val="00BB1DDC"/>
    <w:rsid w:val="00BB5F1D"/>
    <w:rsid w:val="00BC30C9"/>
    <w:rsid w:val="00BD077D"/>
    <w:rsid w:val="00BE3E58"/>
    <w:rsid w:val="00BF65E3"/>
    <w:rsid w:val="00C01616"/>
    <w:rsid w:val="00C0162B"/>
    <w:rsid w:val="00C068ED"/>
    <w:rsid w:val="00C166CF"/>
    <w:rsid w:val="00C22E0C"/>
    <w:rsid w:val="00C323BA"/>
    <w:rsid w:val="00C345B1"/>
    <w:rsid w:val="00C356D7"/>
    <w:rsid w:val="00C40142"/>
    <w:rsid w:val="00C42B73"/>
    <w:rsid w:val="00C52C3C"/>
    <w:rsid w:val="00C57182"/>
    <w:rsid w:val="00C57863"/>
    <w:rsid w:val="00C640AF"/>
    <w:rsid w:val="00C655FD"/>
    <w:rsid w:val="00C75407"/>
    <w:rsid w:val="00C77209"/>
    <w:rsid w:val="00C870A8"/>
    <w:rsid w:val="00C94434"/>
    <w:rsid w:val="00CA0D75"/>
    <w:rsid w:val="00CA1C95"/>
    <w:rsid w:val="00CA5A9C"/>
    <w:rsid w:val="00CC4C20"/>
    <w:rsid w:val="00CD3517"/>
    <w:rsid w:val="00CD5FE2"/>
    <w:rsid w:val="00CE7C68"/>
    <w:rsid w:val="00CED840"/>
    <w:rsid w:val="00D02B4C"/>
    <w:rsid w:val="00D040C4"/>
    <w:rsid w:val="00D129DB"/>
    <w:rsid w:val="00D13AD9"/>
    <w:rsid w:val="00D20AD1"/>
    <w:rsid w:val="00D30178"/>
    <w:rsid w:val="00D46B7E"/>
    <w:rsid w:val="00D57C84"/>
    <w:rsid w:val="00D6057D"/>
    <w:rsid w:val="00D71640"/>
    <w:rsid w:val="00D836C5"/>
    <w:rsid w:val="00D84576"/>
    <w:rsid w:val="00DA1399"/>
    <w:rsid w:val="00DA24C6"/>
    <w:rsid w:val="00DA4D7B"/>
    <w:rsid w:val="00DB47A3"/>
    <w:rsid w:val="00DD271C"/>
    <w:rsid w:val="00DE264A"/>
    <w:rsid w:val="00DF5072"/>
    <w:rsid w:val="00E02D18"/>
    <w:rsid w:val="00E041E7"/>
    <w:rsid w:val="00E23CA1"/>
    <w:rsid w:val="00E409A8"/>
    <w:rsid w:val="00E50C12"/>
    <w:rsid w:val="00E50C3A"/>
    <w:rsid w:val="00E65B91"/>
    <w:rsid w:val="00E7209D"/>
    <w:rsid w:val="00E72EAD"/>
    <w:rsid w:val="00E77223"/>
    <w:rsid w:val="00E8528B"/>
    <w:rsid w:val="00E85B94"/>
    <w:rsid w:val="00E978D0"/>
    <w:rsid w:val="00EA4613"/>
    <w:rsid w:val="00EA7F91"/>
    <w:rsid w:val="00EB1523"/>
    <w:rsid w:val="00EC0E49"/>
    <w:rsid w:val="00EC101F"/>
    <w:rsid w:val="00EC1D9F"/>
    <w:rsid w:val="00ED05D7"/>
    <w:rsid w:val="00EE0131"/>
    <w:rsid w:val="00EE17B0"/>
    <w:rsid w:val="00EF06D9"/>
    <w:rsid w:val="00F21F71"/>
    <w:rsid w:val="00F3049E"/>
    <w:rsid w:val="00F30C64"/>
    <w:rsid w:val="00F32BA2"/>
    <w:rsid w:val="00F32CDB"/>
    <w:rsid w:val="00F50A5B"/>
    <w:rsid w:val="00F565FE"/>
    <w:rsid w:val="00F63A70"/>
    <w:rsid w:val="00F63D8C"/>
    <w:rsid w:val="00F7534E"/>
    <w:rsid w:val="00F7860B"/>
    <w:rsid w:val="00F93EDF"/>
    <w:rsid w:val="00FA1802"/>
    <w:rsid w:val="00FA21D0"/>
    <w:rsid w:val="00FA5F5F"/>
    <w:rsid w:val="00FB2328"/>
    <w:rsid w:val="00FB730C"/>
    <w:rsid w:val="00FC2695"/>
    <w:rsid w:val="00FC3E03"/>
    <w:rsid w:val="00FC3FC1"/>
    <w:rsid w:val="00FDB55C"/>
    <w:rsid w:val="0106A8EA"/>
    <w:rsid w:val="010E0546"/>
    <w:rsid w:val="0180426B"/>
    <w:rsid w:val="01835C1D"/>
    <w:rsid w:val="01870B2F"/>
    <w:rsid w:val="0195072E"/>
    <w:rsid w:val="019C2BEA"/>
    <w:rsid w:val="01ABF26E"/>
    <w:rsid w:val="01B3A057"/>
    <w:rsid w:val="01EA8D23"/>
    <w:rsid w:val="02171502"/>
    <w:rsid w:val="022ABBDA"/>
    <w:rsid w:val="022C122D"/>
    <w:rsid w:val="022E7DA0"/>
    <w:rsid w:val="024DEC64"/>
    <w:rsid w:val="0255CE69"/>
    <w:rsid w:val="0258BC20"/>
    <w:rsid w:val="026CCA21"/>
    <w:rsid w:val="029F75C4"/>
    <w:rsid w:val="02D78FAE"/>
    <w:rsid w:val="02E577FC"/>
    <w:rsid w:val="02E74D1A"/>
    <w:rsid w:val="02EB5621"/>
    <w:rsid w:val="02FBBC30"/>
    <w:rsid w:val="03169F8B"/>
    <w:rsid w:val="031F15B2"/>
    <w:rsid w:val="032A801A"/>
    <w:rsid w:val="0330D78F"/>
    <w:rsid w:val="03403F7B"/>
    <w:rsid w:val="03544062"/>
    <w:rsid w:val="03A8CAE5"/>
    <w:rsid w:val="03B1C0A1"/>
    <w:rsid w:val="03B547B5"/>
    <w:rsid w:val="03C5F008"/>
    <w:rsid w:val="03D39425"/>
    <w:rsid w:val="03D53E1A"/>
    <w:rsid w:val="03FB09FB"/>
    <w:rsid w:val="03FD5B4C"/>
    <w:rsid w:val="0419093A"/>
    <w:rsid w:val="0440D89C"/>
    <w:rsid w:val="0453C48F"/>
    <w:rsid w:val="0473600F"/>
    <w:rsid w:val="047B5DE2"/>
    <w:rsid w:val="04836713"/>
    <w:rsid w:val="0487C64D"/>
    <w:rsid w:val="048FF2B8"/>
    <w:rsid w:val="04B09F2D"/>
    <w:rsid w:val="04BAFCC6"/>
    <w:rsid w:val="04D10B8A"/>
    <w:rsid w:val="04E8BED7"/>
    <w:rsid w:val="04EEBA8C"/>
    <w:rsid w:val="04F9618E"/>
    <w:rsid w:val="05047AD8"/>
    <w:rsid w:val="05181AF4"/>
    <w:rsid w:val="052D4D59"/>
    <w:rsid w:val="0543257C"/>
    <w:rsid w:val="05484F54"/>
    <w:rsid w:val="054EB5C4"/>
    <w:rsid w:val="05597536"/>
    <w:rsid w:val="0596DA5C"/>
    <w:rsid w:val="05A20BA2"/>
    <w:rsid w:val="05D49A2F"/>
    <w:rsid w:val="05D9F8E1"/>
    <w:rsid w:val="0604910E"/>
    <w:rsid w:val="062DACF3"/>
    <w:rsid w:val="06336BD4"/>
    <w:rsid w:val="063D5852"/>
    <w:rsid w:val="063F8943"/>
    <w:rsid w:val="0648590D"/>
    <w:rsid w:val="0674E7ED"/>
    <w:rsid w:val="0680406C"/>
    <w:rsid w:val="06A8B664"/>
    <w:rsid w:val="06E0199E"/>
    <w:rsid w:val="06F60DE0"/>
    <w:rsid w:val="07015BAF"/>
    <w:rsid w:val="070CDEDC"/>
    <w:rsid w:val="070EA4E4"/>
    <w:rsid w:val="07179886"/>
    <w:rsid w:val="071C2C0D"/>
    <w:rsid w:val="074E93F9"/>
    <w:rsid w:val="0770F973"/>
    <w:rsid w:val="0775EA6E"/>
    <w:rsid w:val="07779185"/>
    <w:rsid w:val="078DD782"/>
    <w:rsid w:val="07A9D878"/>
    <w:rsid w:val="07ABC86A"/>
    <w:rsid w:val="07B2FEA4"/>
    <w:rsid w:val="07B4F765"/>
    <w:rsid w:val="07CFF522"/>
    <w:rsid w:val="07D89CEB"/>
    <w:rsid w:val="07F29D88"/>
    <w:rsid w:val="07FDA1DF"/>
    <w:rsid w:val="080B7E3E"/>
    <w:rsid w:val="08427A9F"/>
    <w:rsid w:val="089E51D3"/>
    <w:rsid w:val="08D6C64A"/>
    <w:rsid w:val="08DE7E5A"/>
    <w:rsid w:val="08E988F3"/>
    <w:rsid w:val="08F8FFDB"/>
    <w:rsid w:val="0907B080"/>
    <w:rsid w:val="092AAD34"/>
    <w:rsid w:val="0949848F"/>
    <w:rsid w:val="095213BF"/>
    <w:rsid w:val="09547109"/>
    <w:rsid w:val="09601E6F"/>
    <w:rsid w:val="09654DB5"/>
    <w:rsid w:val="0969B85E"/>
    <w:rsid w:val="096B1A3E"/>
    <w:rsid w:val="097B5C4D"/>
    <w:rsid w:val="0987819F"/>
    <w:rsid w:val="098E6DE9"/>
    <w:rsid w:val="0993D377"/>
    <w:rsid w:val="099484AA"/>
    <w:rsid w:val="09AB3410"/>
    <w:rsid w:val="09D15C22"/>
    <w:rsid w:val="09E5A870"/>
    <w:rsid w:val="09E5E5BC"/>
    <w:rsid w:val="09F8EAE9"/>
    <w:rsid w:val="0A015F89"/>
    <w:rsid w:val="0A059ED6"/>
    <w:rsid w:val="0A090D8C"/>
    <w:rsid w:val="0A3AA472"/>
    <w:rsid w:val="0A46B1E0"/>
    <w:rsid w:val="0A63E388"/>
    <w:rsid w:val="0A6ADDDB"/>
    <w:rsid w:val="0A7296AB"/>
    <w:rsid w:val="0A78373D"/>
    <w:rsid w:val="0A7F8E52"/>
    <w:rsid w:val="0A88623C"/>
    <w:rsid w:val="0A8AD3E8"/>
    <w:rsid w:val="0AA392E9"/>
    <w:rsid w:val="0AC5E743"/>
    <w:rsid w:val="0AF43CF4"/>
    <w:rsid w:val="0AFFDB2F"/>
    <w:rsid w:val="0B06EA9F"/>
    <w:rsid w:val="0B39AC57"/>
    <w:rsid w:val="0B570E48"/>
    <w:rsid w:val="0B7A37F5"/>
    <w:rsid w:val="0B99932B"/>
    <w:rsid w:val="0C0C5BC5"/>
    <w:rsid w:val="0C14079E"/>
    <w:rsid w:val="0C47988F"/>
    <w:rsid w:val="0C752784"/>
    <w:rsid w:val="0CB2FD0F"/>
    <w:rsid w:val="0CB46C41"/>
    <w:rsid w:val="0CBBC1F4"/>
    <w:rsid w:val="0CC60EAB"/>
    <w:rsid w:val="0CD4D96F"/>
    <w:rsid w:val="0CF9CC71"/>
    <w:rsid w:val="0D09FA8A"/>
    <w:rsid w:val="0D0B10E8"/>
    <w:rsid w:val="0D0D221C"/>
    <w:rsid w:val="0D279C21"/>
    <w:rsid w:val="0D5283A9"/>
    <w:rsid w:val="0D62F803"/>
    <w:rsid w:val="0D6869F7"/>
    <w:rsid w:val="0D6BAC06"/>
    <w:rsid w:val="0D753B48"/>
    <w:rsid w:val="0D7A32BA"/>
    <w:rsid w:val="0D83949E"/>
    <w:rsid w:val="0D9250EE"/>
    <w:rsid w:val="0DA86AE6"/>
    <w:rsid w:val="0DC5475F"/>
    <w:rsid w:val="0DE52856"/>
    <w:rsid w:val="0E0D607B"/>
    <w:rsid w:val="0E1DACA1"/>
    <w:rsid w:val="0E24E338"/>
    <w:rsid w:val="0E32C8B4"/>
    <w:rsid w:val="0E374906"/>
    <w:rsid w:val="0E63A032"/>
    <w:rsid w:val="0E66C760"/>
    <w:rsid w:val="0E7EFCC5"/>
    <w:rsid w:val="0EE038EC"/>
    <w:rsid w:val="0EE25F30"/>
    <w:rsid w:val="0F0E1595"/>
    <w:rsid w:val="0F3AB336"/>
    <w:rsid w:val="0F5058BE"/>
    <w:rsid w:val="0F54B848"/>
    <w:rsid w:val="0F75A79A"/>
    <w:rsid w:val="0F9EC94A"/>
    <w:rsid w:val="0FB76530"/>
    <w:rsid w:val="0FBD0834"/>
    <w:rsid w:val="0FEB3B27"/>
    <w:rsid w:val="0FEC7B48"/>
    <w:rsid w:val="0FFC33CB"/>
    <w:rsid w:val="0FFDAF6D"/>
    <w:rsid w:val="0FFEB44E"/>
    <w:rsid w:val="1048A6F2"/>
    <w:rsid w:val="105415BF"/>
    <w:rsid w:val="1060B696"/>
    <w:rsid w:val="10684E05"/>
    <w:rsid w:val="1074BF46"/>
    <w:rsid w:val="107E2F91"/>
    <w:rsid w:val="10CC3688"/>
    <w:rsid w:val="10CEAA3C"/>
    <w:rsid w:val="1109F622"/>
    <w:rsid w:val="1121714E"/>
    <w:rsid w:val="11391B3F"/>
    <w:rsid w:val="113ECA0E"/>
    <w:rsid w:val="11403A75"/>
    <w:rsid w:val="11602D73"/>
    <w:rsid w:val="11875003"/>
    <w:rsid w:val="1199AD5D"/>
    <w:rsid w:val="11A3D5B7"/>
    <w:rsid w:val="11A84A92"/>
    <w:rsid w:val="11C99FF1"/>
    <w:rsid w:val="11CD3D94"/>
    <w:rsid w:val="11D14C7D"/>
    <w:rsid w:val="11D51784"/>
    <w:rsid w:val="11DD759F"/>
    <w:rsid w:val="11E4250B"/>
    <w:rsid w:val="121B2B48"/>
    <w:rsid w:val="1220D77B"/>
    <w:rsid w:val="127C97CB"/>
    <w:rsid w:val="12834922"/>
    <w:rsid w:val="128FAAE4"/>
    <w:rsid w:val="1294075B"/>
    <w:rsid w:val="12B189DC"/>
    <w:rsid w:val="12C2AF62"/>
    <w:rsid w:val="12D5EFC0"/>
    <w:rsid w:val="12E42C28"/>
    <w:rsid w:val="12F5A0FE"/>
    <w:rsid w:val="12F80F12"/>
    <w:rsid w:val="12FE7CF1"/>
    <w:rsid w:val="13091009"/>
    <w:rsid w:val="131B397A"/>
    <w:rsid w:val="131D62C6"/>
    <w:rsid w:val="132AF296"/>
    <w:rsid w:val="13362E88"/>
    <w:rsid w:val="133A241C"/>
    <w:rsid w:val="13527DE9"/>
    <w:rsid w:val="137EC523"/>
    <w:rsid w:val="137EC9A1"/>
    <w:rsid w:val="138F4758"/>
    <w:rsid w:val="13C1C52D"/>
    <w:rsid w:val="13E0B308"/>
    <w:rsid w:val="13E63BC6"/>
    <w:rsid w:val="141264A7"/>
    <w:rsid w:val="142A158B"/>
    <w:rsid w:val="142FF060"/>
    <w:rsid w:val="14425FA3"/>
    <w:rsid w:val="14591210"/>
    <w:rsid w:val="145C5AFC"/>
    <w:rsid w:val="146A4AB5"/>
    <w:rsid w:val="148F2C34"/>
    <w:rsid w:val="149DAD32"/>
    <w:rsid w:val="14A8827F"/>
    <w:rsid w:val="14C9D7C6"/>
    <w:rsid w:val="14D12090"/>
    <w:rsid w:val="14EB8286"/>
    <w:rsid w:val="15151661"/>
    <w:rsid w:val="153D9D37"/>
    <w:rsid w:val="156CC714"/>
    <w:rsid w:val="1597FDC4"/>
    <w:rsid w:val="15A8A18D"/>
    <w:rsid w:val="15AF6A51"/>
    <w:rsid w:val="15B54952"/>
    <w:rsid w:val="15CFBB28"/>
    <w:rsid w:val="15E0A69D"/>
    <w:rsid w:val="15FBEED6"/>
    <w:rsid w:val="16050BDD"/>
    <w:rsid w:val="16053A7C"/>
    <w:rsid w:val="160D3A4B"/>
    <w:rsid w:val="162D41C0"/>
    <w:rsid w:val="163EA177"/>
    <w:rsid w:val="16428DD6"/>
    <w:rsid w:val="1647F4C8"/>
    <w:rsid w:val="164D4B68"/>
    <w:rsid w:val="167039A9"/>
    <w:rsid w:val="16EE9C6B"/>
    <w:rsid w:val="16F54F6E"/>
    <w:rsid w:val="170A4E1E"/>
    <w:rsid w:val="174291B5"/>
    <w:rsid w:val="1777ED5F"/>
    <w:rsid w:val="178432C0"/>
    <w:rsid w:val="1790B2D2"/>
    <w:rsid w:val="1798A058"/>
    <w:rsid w:val="17B3F4C4"/>
    <w:rsid w:val="17C1617F"/>
    <w:rsid w:val="17C2A0A4"/>
    <w:rsid w:val="17C34B8D"/>
    <w:rsid w:val="17DC7400"/>
    <w:rsid w:val="180D953F"/>
    <w:rsid w:val="1810AED8"/>
    <w:rsid w:val="18296755"/>
    <w:rsid w:val="185FFA64"/>
    <w:rsid w:val="188475C5"/>
    <w:rsid w:val="1887BAD6"/>
    <w:rsid w:val="1888DCCF"/>
    <w:rsid w:val="188F45A0"/>
    <w:rsid w:val="18999D71"/>
    <w:rsid w:val="18C2534B"/>
    <w:rsid w:val="18CDBB78"/>
    <w:rsid w:val="18D0C348"/>
    <w:rsid w:val="18D9DBDF"/>
    <w:rsid w:val="1913A03B"/>
    <w:rsid w:val="192315FF"/>
    <w:rsid w:val="1926CC82"/>
    <w:rsid w:val="1942A446"/>
    <w:rsid w:val="194945FE"/>
    <w:rsid w:val="194CB780"/>
    <w:rsid w:val="195E79DE"/>
    <w:rsid w:val="19800F38"/>
    <w:rsid w:val="199170C3"/>
    <w:rsid w:val="19EE6C10"/>
    <w:rsid w:val="1A02CE95"/>
    <w:rsid w:val="1A0E29F7"/>
    <w:rsid w:val="1A267140"/>
    <w:rsid w:val="1A2E361C"/>
    <w:rsid w:val="1A54BA36"/>
    <w:rsid w:val="1A6E7B5C"/>
    <w:rsid w:val="1A6F3D95"/>
    <w:rsid w:val="1A740562"/>
    <w:rsid w:val="1A7EA2DB"/>
    <w:rsid w:val="1A81BDA9"/>
    <w:rsid w:val="1ACA0F6E"/>
    <w:rsid w:val="1ACC3793"/>
    <w:rsid w:val="1AD0411A"/>
    <w:rsid w:val="1AD63085"/>
    <w:rsid w:val="1AE38994"/>
    <w:rsid w:val="1AEA3DE3"/>
    <w:rsid w:val="1AF54BC1"/>
    <w:rsid w:val="1AF898D9"/>
    <w:rsid w:val="1AFA4A3F"/>
    <w:rsid w:val="1B060709"/>
    <w:rsid w:val="1B08CAC9"/>
    <w:rsid w:val="1B0A1ABD"/>
    <w:rsid w:val="1B0E1349"/>
    <w:rsid w:val="1B15FEF9"/>
    <w:rsid w:val="1B2FFA48"/>
    <w:rsid w:val="1B3534E5"/>
    <w:rsid w:val="1B3A4EDC"/>
    <w:rsid w:val="1B3F40B9"/>
    <w:rsid w:val="1B3FC01D"/>
    <w:rsid w:val="1B44AC5F"/>
    <w:rsid w:val="1B484F9A"/>
    <w:rsid w:val="1B4EFD5E"/>
    <w:rsid w:val="1B7DCC3C"/>
    <w:rsid w:val="1B81107A"/>
    <w:rsid w:val="1B88E090"/>
    <w:rsid w:val="1B89750F"/>
    <w:rsid w:val="1BD7BCA8"/>
    <w:rsid w:val="1BE3CC40"/>
    <w:rsid w:val="1BEF3BAD"/>
    <w:rsid w:val="1BEF9E8D"/>
    <w:rsid w:val="1C08C3AB"/>
    <w:rsid w:val="1C1381D5"/>
    <w:rsid w:val="1C223662"/>
    <w:rsid w:val="1C33693C"/>
    <w:rsid w:val="1C4ABFAF"/>
    <w:rsid w:val="1C4E22FB"/>
    <w:rsid w:val="1C53F3DE"/>
    <w:rsid w:val="1C5CF483"/>
    <w:rsid w:val="1C678A25"/>
    <w:rsid w:val="1C68CF10"/>
    <w:rsid w:val="1C837963"/>
    <w:rsid w:val="1C860E44"/>
    <w:rsid w:val="1C9F36A1"/>
    <w:rsid w:val="1CACDD28"/>
    <w:rsid w:val="1CF38E08"/>
    <w:rsid w:val="1CF48029"/>
    <w:rsid w:val="1D098523"/>
    <w:rsid w:val="1D1296D2"/>
    <w:rsid w:val="1D202846"/>
    <w:rsid w:val="1D2CF563"/>
    <w:rsid w:val="1D5374DC"/>
    <w:rsid w:val="1D6237BE"/>
    <w:rsid w:val="1D77E2A7"/>
    <w:rsid w:val="1DB3B372"/>
    <w:rsid w:val="1DB3E226"/>
    <w:rsid w:val="1DEACF4B"/>
    <w:rsid w:val="1DF6E97D"/>
    <w:rsid w:val="1E025F2A"/>
    <w:rsid w:val="1E07E1DC"/>
    <w:rsid w:val="1E1B2A56"/>
    <w:rsid w:val="1E27305C"/>
    <w:rsid w:val="1E31EB01"/>
    <w:rsid w:val="1E406B8B"/>
    <w:rsid w:val="1E6AA325"/>
    <w:rsid w:val="1E8387B4"/>
    <w:rsid w:val="1E902E32"/>
    <w:rsid w:val="1EAFAAEA"/>
    <w:rsid w:val="1EBA7B84"/>
    <w:rsid w:val="1EE0CD07"/>
    <w:rsid w:val="1EEF453D"/>
    <w:rsid w:val="1F01753D"/>
    <w:rsid w:val="1F1ECF91"/>
    <w:rsid w:val="1F1ED3B8"/>
    <w:rsid w:val="1F1F127E"/>
    <w:rsid w:val="1F4F83D3"/>
    <w:rsid w:val="1F58B42D"/>
    <w:rsid w:val="1F68015E"/>
    <w:rsid w:val="1F6C4233"/>
    <w:rsid w:val="1F81ABD1"/>
    <w:rsid w:val="1F82E1BF"/>
    <w:rsid w:val="1FAFDC62"/>
    <w:rsid w:val="1FB6FAB7"/>
    <w:rsid w:val="1FB98B94"/>
    <w:rsid w:val="1FBD1B57"/>
    <w:rsid w:val="1FCDBB62"/>
    <w:rsid w:val="1FD78E52"/>
    <w:rsid w:val="1FE964AE"/>
    <w:rsid w:val="1FF08E39"/>
    <w:rsid w:val="2000B358"/>
    <w:rsid w:val="2002ECBC"/>
    <w:rsid w:val="201E2A81"/>
    <w:rsid w:val="202FA92E"/>
    <w:rsid w:val="2057526F"/>
    <w:rsid w:val="20830957"/>
    <w:rsid w:val="20A81364"/>
    <w:rsid w:val="20E3F25B"/>
    <w:rsid w:val="20FC794E"/>
    <w:rsid w:val="2104B716"/>
    <w:rsid w:val="210A382F"/>
    <w:rsid w:val="210CE126"/>
    <w:rsid w:val="211EB220"/>
    <w:rsid w:val="212E8DCF"/>
    <w:rsid w:val="21420761"/>
    <w:rsid w:val="216E8D4B"/>
    <w:rsid w:val="2171B4DD"/>
    <w:rsid w:val="2177E046"/>
    <w:rsid w:val="218BA71E"/>
    <w:rsid w:val="219A9409"/>
    <w:rsid w:val="21E6349F"/>
    <w:rsid w:val="21FCA1CE"/>
    <w:rsid w:val="2213F964"/>
    <w:rsid w:val="2222EC3C"/>
    <w:rsid w:val="2227DD22"/>
    <w:rsid w:val="222D23F1"/>
    <w:rsid w:val="2241791E"/>
    <w:rsid w:val="225F3420"/>
    <w:rsid w:val="2263C7A7"/>
    <w:rsid w:val="22704651"/>
    <w:rsid w:val="229FA220"/>
    <w:rsid w:val="22C42C05"/>
    <w:rsid w:val="22CCC8D5"/>
    <w:rsid w:val="22DB52FF"/>
    <w:rsid w:val="22DC0B07"/>
    <w:rsid w:val="2305534B"/>
    <w:rsid w:val="230C61DC"/>
    <w:rsid w:val="232A6010"/>
    <w:rsid w:val="2331354E"/>
    <w:rsid w:val="234328C8"/>
    <w:rsid w:val="23660962"/>
    <w:rsid w:val="23779B28"/>
    <w:rsid w:val="23A95B75"/>
    <w:rsid w:val="23C50CB8"/>
    <w:rsid w:val="23DD497F"/>
    <w:rsid w:val="23E66FAB"/>
    <w:rsid w:val="23EE78DC"/>
    <w:rsid w:val="23F33B92"/>
    <w:rsid w:val="23FBCB73"/>
    <w:rsid w:val="23FDBF5D"/>
    <w:rsid w:val="2436E10D"/>
    <w:rsid w:val="244181BD"/>
    <w:rsid w:val="24530653"/>
    <w:rsid w:val="24A12C85"/>
    <w:rsid w:val="24A40EEB"/>
    <w:rsid w:val="24B3611D"/>
    <w:rsid w:val="24E76D22"/>
    <w:rsid w:val="24EB6D75"/>
    <w:rsid w:val="25236A32"/>
    <w:rsid w:val="255E86C1"/>
    <w:rsid w:val="2560B53C"/>
    <w:rsid w:val="25618940"/>
    <w:rsid w:val="25685D9E"/>
    <w:rsid w:val="2577FA3E"/>
    <w:rsid w:val="257BA6DE"/>
    <w:rsid w:val="25862E86"/>
    <w:rsid w:val="25B527C6"/>
    <w:rsid w:val="25C7F5B1"/>
    <w:rsid w:val="25D59078"/>
    <w:rsid w:val="25D682CF"/>
    <w:rsid w:val="25E803C9"/>
    <w:rsid w:val="25FCA40D"/>
    <w:rsid w:val="263A576B"/>
    <w:rsid w:val="263CA7D3"/>
    <w:rsid w:val="264399FA"/>
    <w:rsid w:val="2661322D"/>
    <w:rsid w:val="266CE7FF"/>
    <w:rsid w:val="268358B1"/>
    <w:rsid w:val="2684A677"/>
    <w:rsid w:val="2696C41E"/>
    <w:rsid w:val="26ABA844"/>
    <w:rsid w:val="26B3CD9F"/>
    <w:rsid w:val="26DC1FF1"/>
    <w:rsid w:val="26DEDD90"/>
    <w:rsid w:val="26EE31FA"/>
    <w:rsid w:val="26F24ADB"/>
    <w:rsid w:val="2702E08E"/>
    <w:rsid w:val="2728BCCA"/>
    <w:rsid w:val="2737654D"/>
    <w:rsid w:val="2754191F"/>
    <w:rsid w:val="27611028"/>
    <w:rsid w:val="27628761"/>
    <w:rsid w:val="276F5A7B"/>
    <w:rsid w:val="277BDB69"/>
    <w:rsid w:val="27AB962F"/>
    <w:rsid w:val="27BC324B"/>
    <w:rsid w:val="27DF5ACB"/>
    <w:rsid w:val="2816B891"/>
    <w:rsid w:val="2824AD10"/>
    <w:rsid w:val="282D809B"/>
    <w:rsid w:val="284778A5"/>
    <w:rsid w:val="28560A7E"/>
    <w:rsid w:val="286AC873"/>
    <w:rsid w:val="288E1B3C"/>
    <w:rsid w:val="28AB717E"/>
    <w:rsid w:val="28B1B2BD"/>
    <w:rsid w:val="28CEDD76"/>
    <w:rsid w:val="28EBAB0A"/>
    <w:rsid w:val="2914828B"/>
    <w:rsid w:val="29179A78"/>
    <w:rsid w:val="2917F13B"/>
    <w:rsid w:val="29548009"/>
    <w:rsid w:val="29662B5E"/>
    <w:rsid w:val="297A534F"/>
    <w:rsid w:val="29871831"/>
    <w:rsid w:val="29AEE959"/>
    <w:rsid w:val="29B315B5"/>
    <w:rsid w:val="2A4F99F8"/>
    <w:rsid w:val="2A589AF4"/>
    <w:rsid w:val="2A6706F7"/>
    <w:rsid w:val="2A7EE989"/>
    <w:rsid w:val="2A8AF27A"/>
    <w:rsid w:val="2A9767B3"/>
    <w:rsid w:val="2AA52393"/>
    <w:rsid w:val="2AAB68E9"/>
    <w:rsid w:val="2ABA8C7E"/>
    <w:rsid w:val="2ABB3266"/>
    <w:rsid w:val="2AC152D8"/>
    <w:rsid w:val="2AD4CC6A"/>
    <w:rsid w:val="2AFE0701"/>
    <w:rsid w:val="2B040AC7"/>
    <w:rsid w:val="2B0E7BD1"/>
    <w:rsid w:val="2B0F8B6E"/>
    <w:rsid w:val="2B1B01A5"/>
    <w:rsid w:val="2B42C25B"/>
    <w:rsid w:val="2B4428BD"/>
    <w:rsid w:val="2B5415CB"/>
    <w:rsid w:val="2B64C3C2"/>
    <w:rsid w:val="2BC6CF07"/>
    <w:rsid w:val="2BE1E1E0"/>
    <w:rsid w:val="2BFEFD11"/>
    <w:rsid w:val="2C005B87"/>
    <w:rsid w:val="2C049BAF"/>
    <w:rsid w:val="2C072FF0"/>
    <w:rsid w:val="2C234BCC"/>
    <w:rsid w:val="2C290B17"/>
    <w:rsid w:val="2C390DFA"/>
    <w:rsid w:val="2C5D0DFC"/>
    <w:rsid w:val="2C76548F"/>
    <w:rsid w:val="2C9A4E96"/>
    <w:rsid w:val="2C9EC892"/>
    <w:rsid w:val="2CA0EDCF"/>
    <w:rsid w:val="2CB206E7"/>
    <w:rsid w:val="2CB435A9"/>
    <w:rsid w:val="2CB6B84D"/>
    <w:rsid w:val="2CBFE8BA"/>
    <w:rsid w:val="2CCB19CF"/>
    <w:rsid w:val="2CCFE0AA"/>
    <w:rsid w:val="2CE5C71C"/>
    <w:rsid w:val="2D01C16B"/>
    <w:rsid w:val="2D077F8A"/>
    <w:rsid w:val="2D14EB90"/>
    <w:rsid w:val="2D154936"/>
    <w:rsid w:val="2D710A3C"/>
    <w:rsid w:val="2D7BC89D"/>
    <w:rsid w:val="2D931880"/>
    <w:rsid w:val="2DA15432"/>
    <w:rsid w:val="2DA8FC1F"/>
    <w:rsid w:val="2DACE49C"/>
    <w:rsid w:val="2DC2933C"/>
    <w:rsid w:val="2DD4DE5B"/>
    <w:rsid w:val="2DED817D"/>
    <w:rsid w:val="2DFA4383"/>
    <w:rsid w:val="2E00FB0F"/>
    <w:rsid w:val="2E074F51"/>
    <w:rsid w:val="2E3D9F94"/>
    <w:rsid w:val="2E3F5C30"/>
    <w:rsid w:val="2E4E9C4F"/>
    <w:rsid w:val="2E6ABE4B"/>
    <w:rsid w:val="2E72AE6D"/>
    <w:rsid w:val="2EAA3E77"/>
    <w:rsid w:val="2EB0CD94"/>
    <w:rsid w:val="2EE867FA"/>
    <w:rsid w:val="2EF68A92"/>
    <w:rsid w:val="2EF8A03C"/>
    <w:rsid w:val="2F0960C7"/>
    <w:rsid w:val="2F18924D"/>
    <w:rsid w:val="2F211B8C"/>
    <w:rsid w:val="2F28AB31"/>
    <w:rsid w:val="2F3D2493"/>
    <w:rsid w:val="2F70AEBC"/>
    <w:rsid w:val="2F7FA376"/>
    <w:rsid w:val="2F8FBAF0"/>
    <w:rsid w:val="2F938942"/>
    <w:rsid w:val="2F9579F7"/>
    <w:rsid w:val="2F9AB3E3"/>
    <w:rsid w:val="2FA4B38B"/>
    <w:rsid w:val="2FAC82BA"/>
    <w:rsid w:val="2FBAD016"/>
    <w:rsid w:val="2FC297F9"/>
    <w:rsid w:val="2FFA9ACB"/>
    <w:rsid w:val="300A910E"/>
    <w:rsid w:val="302479FE"/>
    <w:rsid w:val="302B75C9"/>
    <w:rsid w:val="303EE103"/>
    <w:rsid w:val="30547830"/>
    <w:rsid w:val="30A5954A"/>
    <w:rsid w:val="30A9FFF9"/>
    <w:rsid w:val="30B730AC"/>
    <w:rsid w:val="30DED1B0"/>
    <w:rsid w:val="30F2F64F"/>
    <w:rsid w:val="3121C8CA"/>
    <w:rsid w:val="3132D739"/>
    <w:rsid w:val="314A4C9C"/>
    <w:rsid w:val="31675686"/>
    <w:rsid w:val="319A00A0"/>
    <w:rsid w:val="31CCD899"/>
    <w:rsid w:val="31FA29C0"/>
    <w:rsid w:val="321077D0"/>
    <w:rsid w:val="323A591E"/>
    <w:rsid w:val="3290F9B9"/>
    <w:rsid w:val="3296045F"/>
    <w:rsid w:val="32DC3559"/>
    <w:rsid w:val="32EB2DC6"/>
    <w:rsid w:val="331AA523"/>
    <w:rsid w:val="33220D72"/>
    <w:rsid w:val="33548607"/>
    <w:rsid w:val="335ED213"/>
    <w:rsid w:val="336DF9A6"/>
    <w:rsid w:val="338F9E8F"/>
    <w:rsid w:val="33AA33AF"/>
    <w:rsid w:val="33AC0A58"/>
    <w:rsid w:val="33CEEF6A"/>
    <w:rsid w:val="33DB8115"/>
    <w:rsid w:val="33F1986B"/>
    <w:rsid w:val="33FF3685"/>
    <w:rsid w:val="34003BEB"/>
    <w:rsid w:val="34049215"/>
    <w:rsid w:val="340C8A2C"/>
    <w:rsid w:val="3427DDE9"/>
    <w:rsid w:val="34538DEC"/>
    <w:rsid w:val="3457A014"/>
    <w:rsid w:val="346E7DA9"/>
    <w:rsid w:val="3484BF43"/>
    <w:rsid w:val="34858720"/>
    <w:rsid w:val="348E2AC0"/>
    <w:rsid w:val="34A7292B"/>
    <w:rsid w:val="34BEB080"/>
    <w:rsid w:val="34BF478E"/>
    <w:rsid w:val="34C187CD"/>
    <w:rsid w:val="34C85493"/>
    <w:rsid w:val="34C8B4AC"/>
    <w:rsid w:val="34D7D8DD"/>
    <w:rsid w:val="353BD816"/>
    <w:rsid w:val="35402A4E"/>
    <w:rsid w:val="3551BC2E"/>
    <w:rsid w:val="355A91E2"/>
    <w:rsid w:val="356E0314"/>
    <w:rsid w:val="35A85A8D"/>
    <w:rsid w:val="35AC6617"/>
    <w:rsid w:val="35D49968"/>
    <w:rsid w:val="35EAEF23"/>
    <w:rsid w:val="364DA2A3"/>
    <w:rsid w:val="3657E40E"/>
    <w:rsid w:val="36633F86"/>
    <w:rsid w:val="3688EF2D"/>
    <w:rsid w:val="368D101E"/>
    <w:rsid w:val="369D26EF"/>
    <w:rsid w:val="36AB6A16"/>
    <w:rsid w:val="36B5C414"/>
    <w:rsid w:val="36E2E1A3"/>
    <w:rsid w:val="36FAD8CF"/>
    <w:rsid w:val="3710761C"/>
    <w:rsid w:val="37315B96"/>
    <w:rsid w:val="375E28CD"/>
    <w:rsid w:val="3767A5A9"/>
    <w:rsid w:val="376BFD1D"/>
    <w:rsid w:val="37A1B290"/>
    <w:rsid w:val="37B5CA33"/>
    <w:rsid w:val="37D6F963"/>
    <w:rsid w:val="37F146B5"/>
    <w:rsid w:val="37F6E850"/>
    <w:rsid w:val="382363A3"/>
    <w:rsid w:val="384B3B81"/>
    <w:rsid w:val="38647C75"/>
    <w:rsid w:val="3889661D"/>
    <w:rsid w:val="38B3D04D"/>
    <w:rsid w:val="38C982CE"/>
    <w:rsid w:val="38D09C00"/>
    <w:rsid w:val="390AD9D8"/>
    <w:rsid w:val="39179102"/>
    <w:rsid w:val="393B0FDE"/>
    <w:rsid w:val="395D6203"/>
    <w:rsid w:val="3967CD6C"/>
    <w:rsid w:val="3974AF30"/>
    <w:rsid w:val="39914EF6"/>
    <w:rsid w:val="39B24A01"/>
    <w:rsid w:val="39CAEE35"/>
    <w:rsid w:val="39D08C47"/>
    <w:rsid w:val="39E3781D"/>
    <w:rsid w:val="39F7E27C"/>
    <w:rsid w:val="39FB9DB1"/>
    <w:rsid w:val="3A004CD6"/>
    <w:rsid w:val="3A0F57D4"/>
    <w:rsid w:val="3A218135"/>
    <w:rsid w:val="3A270774"/>
    <w:rsid w:val="3A36AE49"/>
    <w:rsid w:val="3A381FD1"/>
    <w:rsid w:val="3A4E9B5D"/>
    <w:rsid w:val="3A56FCE3"/>
    <w:rsid w:val="3A577E41"/>
    <w:rsid w:val="3A5A9A22"/>
    <w:rsid w:val="3A65532F"/>
    <w:rsid w:val="3A655C08"/>
    <w:rsid w:val="3A7D600D"/>
    <w:rsid w:val="3A998648"/>
    <w:rsid w:val="3AA85D91"/>
    <w:rsid w:val="3AB3422C"/>
    <w:rsid w:val="3AB8C883"/>
    <w:rsid w:val="3AE85ED3"/>
    <w:rsid w:val="3B092B75"/>
    <w:rsid w:val="3B11DAD6"/>
    <w:rsid w:val="3B15895F"/>
    <w:rsid w:val="3B2D5F1E"/>
    <w:rsid w:val="3B2F0385"/>
    <w:rsid w:val="3B2F4B10"/>
    <w:rsid w:val="3B484237"/>
    <w:rsid w:val="3B537CF7"/>
    <w:rsid w:val="3B79C4FA"/>
    <w:rsid w:val="3B7F06A4"/>
    <w:rsid w:val="3B8042D6"/>
    <w:rsid w:val="3B851E9D"/>
    <w:rsid w:val="3B88C17F"/>
    <w:rsid w:val="3BA0F7F6"/>
    <w:rsid w:val="3BB672F9"/>
    <w:rsid w:val="3BB7A824"/>
    <w:rsid w:val="3BBA5D77"/>
    <w:rsid w:val="3BDB5224"/>
    <w:rsid w:val="3BDD8566"/>
    <w:rsid w:val="3BDD87AF"/>
    <w:rsid w:val="3BF66A83"/>
    <w:rsid w:val="3C0DFAB0"/>
    <w:rsid w:val="3C360980"/>
    <w:rsid w:val="3C53C009"/>
    <w:rsid w:val="3C635AAB"/>
    <w:rsid w:val="3C6832CE"/>
    <w:rsid w:val="3C6D4C8A"/>
    <w:rsid w:val="3C842F34"/>
    <w:rsid w:val="3C84F1A5"/>
    <w:rsid w:val="3C868DC1"/>
    <w:rsid w:val="3C99D701"/>
    <w:rsid w:val="3CAFC75B"/>
    <w:rsid w:val="3CC85D82"/>
    <w:rsid w:val="3D27F595"/>
    <w:rsid w:val="3D337037"/>
    <w:rsid w:val="3D3525FE"/>
    <w:rsid w:val="3D545C81"/>
    <w:rsid w:val="3D6D1C7B"/>
    <w:rsid w:val="3D72F3A5"/>
    <w:rsid w:val="3D737B9F"/>
    <w:rsid w:val="3D924225"/>
    <w:rsid w:val="3DACC904"/>
    <w:rsid w:val="3DAE4D06"/>
    <w:rsid w:val="3DB91AE6"/>
    <w:rsid w:val="3DCD9420"/>
    <w:rsid w:val="3DD19A77"/>
    <w:rsid w:val="3DD2835E"/>
    <w:rsid w:val="3DECC34B"/>
    <w:rsid w:val="3DEFEA79"/>
    <w:rsid w:val="3E042A82"/>
    <w:rsid w:val="3E08101B"/>
    <w:rsid w:val="3E108664"/>
    <w:rsid w:val="3E1968BB"/>
    <w:rsid w:val="3E302E08"/>
    <w:rsid w:val="3E420A81"/>
    <w:rsid w:val="3E5C12A8"/>
    <w:rsid w:val="3E79C956"/>
    <w:rsid w:val="3EAADD6E"/>
    <w:rsid w:val="3EB1743D"/>
    <w:rsid w:val="3EB6C0FA"/>
    <w:rsid w:val="3F0C98F7"/>
    <w:rsid w:val="3F139D4C"/>
    <w:rsid w:val="3F17AC7F"/>
    <w:rsid w:val="3F217CCF"/>
    <w:rsid w:val="3F28E6EE"/>
    <w:rsid w:val="3F2977BE"/>
    <w:rsid w:val="3F4B01C3"/>
    <w:rsid w:val="3F4C4AB1"/>
    <w:rsid w:val="3F57A890"/>
    <w:rsid w:val="3F6808EB"/>
    <w:rsid w:val="3F68EF7D"/>
    <w:rsid w:val="3F86D286"/>
    <w:rsid w:val="3F88D0E9"/>
    <w:rsid w:val="3F8BBADA"/>
    <w:rsid w:val="3FE9A5D4"/>
    <w:rsid w:val="3FF006EB"/>
    <w:rsid w:val="3FFADED8"/>
    <w:rsid w:val="40116337"/>
    <w:rsid w:val="4019E0B2"/>
    <w:rsid w:val="401DD2AC"/>
    <w:rsid w:val="4021867A"/>
    <w:rsid w:val="408172B7"/>
    <w:rsid w:val="408ED96D"/>
    <w:rsid w:val="40A4FE38"/>
    <w:rsid w:val="40AA9467"/>
    <w:rsid w:val="40B69DC4"/>
    <w:rsid w:val="40CB9422"/>
    <w:rsid w:val="40DEA334"/>
    <w:rsid w:val="40E5B5E3"/>
    <w:rsid w:val="40E65821"/>
    <w:rsid w:val="4111E306"/>
    <w:rsid w:val="4124640D"/>
    <w:rsid w:val="41279550"/>
    <w:rsid w:val="41340DAD"/>
    <w:rsid w:val="414621C3"/>
    <w:rsid w:val="41509361"/>
    <w:rsid w:val="417EFB9D"/>
    <w:rsid w:val="417FC115"/>
    <w:rsid w:val="41B5B113"/>
    <w:rsid w:val="41B83FCF"/>
    <w:rsid w:val="41F26B48"/>
    <w:rsid w:val="41FD753F"/>
    <w:rsid w:val="425F8D2F"/>
    <w:rsid w:val="4260EFDB"/>
    <w:rsid w:val="426F6D0C"/>
    <w:rsid w:val="427FE12A"/>
    <w:rsid w:val="4294102D"/>
    <w:rsid w:val="42A52ADD"/>
    <w:rsid w:val="42A8FE8B"/>
    <w:rsid w:val="42AD4445"/>
    <w:rsid w:val="42CE8EF8"/>
    <w:rsid w:val="42D4EA23"/>
    <w:rsid w:val="42DDEC03"/>
    <w:rsid w:val="4313A117"/>
    <w:rsid w:val="434AE846"/>
    <w:rsid w:val="434FA163"/>
    <w:rsid w:val="43891607"/>
    <w:rsid w:val="439D11BD"/>
    <w:rsid w:val="43E8A87E"/>
    <w:rsid w:val="4412924A"/>
    <w:rsid w:val="44132054"/>
    <w:rsid w:val="4413F5F8"/>
    <w:rsid w:val="4414358D"/>
    <w:rsid w:val="44276981"/>
    <w:rsid w:val="443DDDF7"/>
    <w:rsid w:val="444408E9"/>
    <w:rsid w:val="445A43A9"/>
    <w:rsid w:val="445D8E90"/>
    <w:rsid w:val="4474A70A"/>
    <w:rsid w:val="4474EB74"/>
    <w:rsid w:val="4475491A"/>
    <w:rsid w:val="4480BCCC"/>
    <w:rsid w:val="44822089"/>
    <w:rsid w:val="44A4E8E6"/>
    <w:rsid w:val="44BF1AFE"/>
    <w:rsid w:val="44D2AFA5"/>
    <w:rsid w:val="44D577E1"/>
    <w:rsid w:val="44EC1A96"/>
    <w:rsid w:val="44F197A6"/>
    <w:rsid w:val="44F2834F"/>
    <w:rsid w:val="450C8A03"/>
    <w:rsid w:val="451BC36D"/>
    <w:rsid w:val="4520D231"/>
    <w:rsid w:val="4534DE58"/>
    <w:rsid w:val="4560AE7F"/>
    <w:rsid w:val="456A78D3"/>
    <w:rsid w:val="45718737"/>
    <w:rsid w:val="45749856"/>
    <w:rsid w:val="4582E18F"/>
    <w:rsid w:val="45864BD9"/>
    <w:rsid w:val="4594269D"/>
    <w:rsid w:val="45AE9C33"/>
    <w:rsid w:val="45B54F36"/>
    <w:rsid w:val="45BA4347"/>
    <w:rsid w:val="45E1BF9A"/>
    <w:rsid w:val="45E9234F"/>
    <w:rsid w:val="46081365"/>
    <w:rsid w:val="461992E6"/>
    <w:rsid w:val="4631B03D"/>
    <w:rsid w:val="464C408E"/>
    <w:rsid w:val="464D4D16"/>
    <w:rsid w:val="4654AC0D"/>
    <w:rsid w:val="466491BC"/>
    <w:rsid w:val="467D330D"/>
    <w:rsid w:val="468C0BFB"/>
    <w:rsid w:val="468D6807"/>
    <w:rsid w:val="468F5C8F"/>
    <w:rsid w:val="46900D65"/>
    <w:rsid w:val="46A4EDA3"/>
    <w:rsid w:val="46C587B9"/>
    <w:rsid w:val="46CFC4E9"/>
    <w:rsid w:val="46D78BDE"/>
    <w:rsid w:val="46F1492B"/>
    <w:rsid w:val="46F41394"/>
    <w:rsid w:val="46FC7EE0"/>
    <w:rsid w:val="471BA625"/>
    <w:rsid w:val="474E58F3"/>
    <w:rsid w:val="4750C22C"/>
    <w:rsid w:val="475ED682"/>
    <w:rsid w:val="476647C8"/>
    <w:rsid w:val="47786397"/>
    <w:rsid w:val="477C3195"/>
    <w:rsid w:val="4791E46B"/>
    <w:rsid w:val="47BCB82D"/>
    <w:rsid w:val="47E2B7F2"/>
    <w:rsid w:val="47F51F1A"/>
    <w:rsid w:val="4811621B"/>
    <w:rsid w:val="481D90DF"/>
    <w:rsid w:val="4840BE04"/>
    <w:rsid w:val="48828DC5"/>
    <w:rsid w:val="4888CD78"/>
    <w:rsid w:val="489E9FD0"/>
    <w:rsid w:val="48A052AD"/>
    <w:rsid w:val="48B52C00"/>
    <w:rsid w:val="48EA2954"/>
    <w:rsid w:val="492728AD"/>
    <w:rsid w:val="492FACC3"/>
    <w:rsid w:val="49484A35"/>
    <w:rsid w:val="4948781A"/>
    <w:rsid w:val="495DDEE2"/>
    <w:rsid w:val="495F4024"/>
    <w:rsid w:val="4969A450"/>
    <w:rsid w:val="49701627"/>
    <w:rsid w:val="4972D72B"/>
    <w:rsid w:val="497CC2B5"/>
    <w:rsid w:val="499CA809"/>
    <w:rsid w:val="49B96EE0"/>
    <w:rsid w:val="49CB0CC0"/>
    <w:rsid w:val="49D686BE"/>
    <w:rsid w:val="49DB840C"/>
    <w:rsid w:val="49F2F258"/>
    <w:rsid w:val="4A517D14"/>
    <w:rsid w:val="4A8C6455"/>
    <w:rsid w:val="4A9C0860"/>
    <w:rsid w:val="4AD9028E"/>
    <w:rsid w:val="4AF334F9"/>
    <w:rsid w:val="4B0A3393"/>
    <w:rsid w:val="4B0ACDEF"/>
    <w:rsid w:val="4B18CED3"/>
    <w:rsid w:val="4B1AFB68"/>
    <w:rsid w:val="4B38E6B3"/>
    <w:rsid w:val="4B3CCBBE"/>
    <w:rsid w:val="4B430DA8"/>
    <w:rsid w:val="4B52B0FA"/>
    <w:rsid w:val="4B56D049"/>
    <w:rsid w:val="4B57C39E"/>
    <w:rsid w:val="4B61C4D3"/>
    <w:rsid w:val="4B6EE03F"/>
    <w:rsid w:val="4B945712"/>
    <w:rsid w:val="4B9B9046"/>
    <w:rsid w:val="4BCFF003"/>
    <w:rsid w:val="4BD6A02D"/>
    <w:rsid w:val="4BDE52CC"/>
    <w:rsid w:val="4BE26B7F"/>
    <w:rsid w:val="4BE7BCF6"/>
    <w:rsid w:val="4BEB9533"/>
    <w:rsid w:val="4C1C6E46"/>
    <w:rsid w:val="4C312F4C"/>
    <w:rsid w:val="4C338CD1"/>
    <w:rsid w:val="4C37EFE6"/>
    <w:rsid w:val="4C3C7E82"/>
    <w:rsid w:val="4C44ED14"/>
    <w:rsid w:val="4C5E2C8C"/>
    <w:rsid w:val="4C643433"/>
    <w:rsid w:val="4C688967"/>
    <w:rsid w:val="4C697EA9"/>
    <w:rsid w:val="4C881F86"/>
    <w:rsid w:val="4C88DACC"/>
    <w:rsid w:val="4C8A0D87"/>
    <w:rsid w:val="4C9C54E7"/>
    <w:rsid w:val="4C9D1F95"/>
    <w:rsid w:val="4CB1F922"/>
    <w:rsid w:val="4CB4BD57"/>
    <w:rsid w:val="4CBC00B5"/>
    <w:rsid w:val="4CC33D0A"/>
    <w:rsid w:val="4CC5CBFA"/>
    <w:rsid w:val="4CF544C8"/>
    <w:rsid w:val="4D07226B"/>
    <w:rsid w:val="4D077AF5"/>
    <w:rsid w:val="4D0CB9AB"/>
    <w:rsid w:val="4D142F27"/>
    <w:rsid w:val="4D1B2668"/>
    <w:rsid w:val="4D1BA0E0"/>
    <w:rsid w:val="4D3338FA"/>
    <w:rsid w:val="4D6BC064"/>
    <w:rsid w:val="4D7E3BE0"/>
    <w:rsid w:val="4D86D394"/>
    <w:rsid w:val="4DA1EF76"/>
    <w:rsid w:val="4DC56CE6"/>
    <w:rsid w:val="4E09E377"/>
    <w:rsid w:val="4E23EFE7"/>
    <w:rsid w:val="4E3D81CB"/>
    <w:rsid w:val="4E51F758"/>
    <w:rsid w:val="4E5EC772"/>
    <w:rsid w:val="4E756FAA"/>
    <w:rsid w:val="4E89846C"/>
    <w:rsid w:val="4EA3278C"/>
    <w:rsid w:val="4EAFFF88"/>
    <w:rsid w:val="4EB77141"/>
    <w:rsid w:val="4EBA91AE"/>
    <w:rsid w:val="4ECBC8AE"/>
    <w:rsid w:val="4ECF095B"/>
    <w:rsid w:val="4ED2AC42"/>
    <w:rsid w:val="4EFB3D5B"/>
    <w:rsid w:val="4F0A8171"/>
    <w:rsid w:val="4F17C3D8"/>
    <w:rsid w:val="4F192094"/>
    <w:rsid w:val="4F196E83"/>
    <w:rsid w:val="4F1B1510"/>
    <w:rsid w:val="4F46D21F"/>
    <w:rsid w:val="4F56E834"/>
    <w:rsid w:val="4F691313"/>
    <w:rsid w:val="4F864F0D"/>
    <w:rsid w:val="4FA56357"/>
    <w:rsid w:val="4FAE24C7"/>
    <w:rsid w:val="4FC862B2"/>
    <w:rsid w:val="5033F676"/>
    <w:rsid w:val="506217B4"/>
    <w:rsid w:val="506AD9BC"/>
    <w:rsid w:val="5086FEF3"/>
    <w:rsid w:val="50E2A280"/>
    <w:rsid w:val="50F92F0E"/>
    <w:rsid w:val="510A0916"/>
    <w:rsid w:val="51221D10"/>
    <w:rsid w:val="512B6990"/>
    <w:rsid w:val="513BB5B4"/>
    <w:rsid w:val="51407BA1"/>
    <w:rsid w:val="51643313"/>
    <w:rsid w:val="51797517"/>
    <w:rsid w:val="517B8A4B"/>
    <w:rsid w:val="518D8849"/>
    <w:rsid w:val="51953E3D"/>
    <w:rsid w:val="519A96F8"/>
    <w:rsid w:val="519B28C6"/>
    <w:rsid w:val="51AE5DD8"/>
    <w:rsid w:val="51B78DE6"/>
    <w:rsid w:val="51BCEA14"/>
    <w:rsid w:val="51DD2A4E"/>
    <w:rsid w:val="51EA4113"/>
    <w:rsid w:val="521CFFA2"/>
    <w:rsid w:val="52429027"/>
    <w:rsid w:val="525E9635"/>
    <w:rsid w:val="528A9BF3"/>
    <w:rsid w:val="52AF07CB"/>
    <w:rsid w:val="52B04A9F"/>
    <w:rsid w:val="52DFA38A"/>
    <w:rsid w:val="52E8C163"/>
    <w:rsid w:val="52F0A3EB"/>
    <w:rsid w:val="52F1379B"/>
    <w:rsid w:val="53154578"/>
    <w:rsid w:val="532A8E26"/>
    <w:rsid w:val="53861174"/>
    <w:rsid w:val="53B76202"/>
    <w:rsid w:val="53C0DCD2"/>
    <w:rsid w:val="53C6F361"/>
    <w:rsid w:val="53FAE9E4"/>
    <w:rsid w:val="540C4FD6"/>
    <w:rsid w:val="541B8DDD"/>
    <w:rsid w:val="5440E20B"/>
    <w:rsid w:val="5458DA46"/>
    <w:rsid w:val="549389E2"/>
    <w:rsid w:val="549BD3D5"/>
    <w:rsid w:val="549DF3E6"/>
    <w:rsid w:val="54E80009"/>
    <w:rsid w:val="54F81ECC"/>
    <w:rsid w:val="54FCFCAE"/>
    <w:rsid w:val="550D0BCC"/>
    <w:rsid w:val="55136C56"/>
    <w:rsid w:val="55350070"/>
    <w:rsid w:val="5560603D"/>
    <w:rsid w:val="5562C3C2"/>
    <w:rsid w:val="5575E1FA"/>
    <w:rsid w:val="557D7FB6"/>
    <w:rsid w:val="55A63ACB"/>
    <w:rsid w:val="55B6CA92"/>
    <w:rsid w:val="55EFA4D7"/>
    <w:rsid w:val="562F5A43"/>
    <w:rsid w:val="56675932"/>
    <w:rsid w:val="566E9DB5"/>
    <w:rsid w:val="56828D05"/>
    <w:rsid w:val="5699DC32"/>
    <w:rsid w:val="56A23957"/>
    <w:rsid w:val="56ADEB71"/>
    <w:rsid w:val="56C8EF61"/>
    <w:rsid w:val="56C98871"/>
    <w:rsid w:val="56D3C0CE"/>
    <w:rsid w:val="56E09319"/>
    <w:rsid w:val="56EE8AC4"/>
    <w:rsid w:val="56F610A3"/>
    <w:rsid w:val="56F95EEE"/>
    <w:rsid w:val="572872DA"/>
    <w:rsid w:val="5736A7E2"/>
    <w:rsid w:val="57397CE4"/>
    <w:rsid w:val="576B759B"/>
    <w:rsid w:val="576E8681"/>
    <w:rsid w:val="579F82F0"/>
    <w:rsid w:val="57A86636"/>
    <w:rsid w:val="57B70F67"/>
    <w:rsid w:val="57D35F25"/>
    <w:rsid w:val="57EC4D45"/>
    <w:rsid w:val="57FFDB81"/>
    <w:rsid w:val="58032993"/>
    <w:rsid w:val="582656BF"/>
    <w:rsid w:val="58483561"/>
    <w:rsid w:val="588463F1"/>
    <w:rsid w:val="58BDA165"/>
    <w:rsid w:val="58D9DDBF"/>
    <w:rsid w:val="58E88E61"/>
    <w:rsid w:val="591422C6"/>
    <w:rsid w:val="59490135"/>
    <w:rsid w:val="595FF06D"/>
    <w:rsid w:val="596F44F8"/>
    <w:rsid w:val="59795DF9"/>
    <w:rsid w:val="59B62F13"/>
    <w:rsid w:val="59BE36DB"/>
    <w:rsid w:val="59DB7FF1"/>
    <w:rsid w:val="59DC4F29"/>
    <w:rsid w:val="59E1BE0D"/>
    <w:rsid w:val="5A0B6190"/>
    <w:rsid w:val="5A19A82E"/>
    <w:rsid w:val="5A1E732C"/>
    <w:rsid w:val="5A2325B4"/>
    <w:rsid w:val="5A2D3DF0"/>
    <w:rsid w:val="5A3330D7"/>
    <w:rsid w:val="5AC41087"/>
    <w:rsid w:val="5AEB95E8"/>
    <w:rsid w:val="5AFBC0CE"/>
    <w:rsid w:val="5B048A4A"/>
    <w:rsid w:val="5B2AC801"/>
    <w:rsid w:val="5B407631"/>
    <w:rsid w:val="5B410B9E"/>
    <w:rsid w:val="5B617C4C"/>
    <w:rsid w:val="5B63C42A"/>
    <w:rsid w:val="5BA64720"/>
    <w:rsid w:val="5BBF35F6"/>
    <w:rsid w:val="5BC91805"/>
    <w:rsid w:val="5BCA5863"/>
    <w:rsid w:val="5BD4D8F6"/>
    <w:rsid w:val="5C06E2F4"/>
    <w:rsid w:val="5C117E32"/>
    <w:rsid w:val="5C1A3677"/>
    <w:rsid w:val="5C474EEB"/>
    <w:rsid w:val="5C65358B"/>
    <w:rsid w:val="5C8C0204"/>
    <w:rsid w:val="5C904FB3"/>
    <w:rsid w:val="5C91B58E"/>
    <w:rsid w:val="5CA6E5BA"/>
    <w:rsid w:val="5CC36A72"/>
    <w:rsid w:val="5CC76BD2"/>
    <w:rsid w:val="5CD99362"/>
    <w:rsid w:val="5D171CF1"/>
    <w:rsid w:val="5D246158"/>
    <w:rsid w:val="5D355765"/>
    <w:rsid w:val="5D5B0657"/>
    <w:rsid w:val="5D82A6C5"/>
    <w:rsid w:val="5D879143"/>
    <w:rsid w:val="5D88CEF9"/>
    <w:rsid w:val="5DA58A71"/>
    <w:rsid w:val="5DB43F4E"/>
    <w:rsid w:val="5DCBB3D7"/>
    <w:rsid w:val="5DDB6962"/>
    <w:rsid w:val="5DE0FD9E"/>
    <w:rsid w:val="5DFA0ECE"/>
    <w:rsid w:val="5E180E3D"/>
    <w:rsid w:val="5E1B0E14"/>
    <w:rsid w:val="5E46BD48"/>
    <w:rsid w:val="5E4BAC17"/>
    <w:rsid w:val="5E50B41F"/>
    <w:rsid w:val="5E5EA62B"/>
    <w:rsid w:val="5E8BA4A2"/>
    <w:rsid w:val="5E8F875C"/>
    <w:rsid w:val="5EAE6E2A"/>
    <w:rsid w:val="5EB776E5"/>
    <w:rsid w:val="5EC394D5"/>
    <w:rsid w:val="5ECBFF50"/>
    <w:rsid w:val="5EF1E44F"/>
    <w:rsid w:val="5F07A8A8"/>
    <w:rsid w:val="5F09346B"/>
    <w:rsid w:val="5F23D8C1"/>
    <w:rsid w:val="5F278848"/>
    <w:rsid w:val="5F746276"/>
    <w:rsid w:val="5F769D0A"/>
    <w:rsid w:val="5F777C28"/>
    <w:rsid w:val="5F7D0D4D"/>
    <w:rsid w:val="5F7E9F76"/>
    <w:rsid w:val="5F87958B"/>
    <w:rsid w:val="5F89C6B3"/>
    <w:rsid w:val="5F9A7D19"/>
    <w:rsid w:val="5FAFD65A"/>
    <w:rsid w:val="5FB3DE9E"/>
    <w:rsid w:val="5FB9933E"/>
    <w:rsid w:val="5FBBA40D"/>
    <w:rsid w:val="5FC8E9E6"/>
    <w:rsid w:val="5FC990F8"/>
    <w:rsid w:val="5FCF31F1"/>
    <w:rsid w:val="5FDE2A0F"/>
    <w:rsid w:val="60064405"/>
    <w:rsid w:val="60152BE4"/>
    <w:rsid w:val="6015A630"/>
    <w:rsid w:val="60169A0E"/>
    <w:rsid w:val="6037C3FF"/>
    <w:rsid w:val="6047A694"/>
    <w:rsid w:val="604BA53F"/>
    <w:rsid w:val="605D5A27"/>
    <w:rsid w:val="606C04CF"/>
    <w:rsid w:val="609C7D56"/>
    <w:rsid w:val="60D859ED"/>
    <w:rsid w:val="60EFCD0A"/>
    <w:rsid w:val="60FDD9A7"/>
    <w:rsid w:val="6105C7A8"/>
    <w:rsid w:val="61130A24"/>
    <w:rsid w:val="611A29AE"/>
    <w:rsid w:val="611D5F27"/>
    <w:rsid w:val="6120B4C9"/>
    <w:rsid w:val="6125F456"/>
    <w:rsid w:val="612D7204"/>
    <w:rsid w:val="614954CB"/>
    <w:rsid w:val="614F395B"/>
    <w:rsid w:val="6158B515"/>
    <w:rsid w:val="615BCE26"/>
    <w:rsid w:val="616B0252"/>
    <w:rsid w:val="6177B1DC"/>
    <w:rsid w:val="61855F70"/>
    <w:rsid w:val="619C04CA"/>
    <w:rsid w:val="619E3BC1"/>
    <w:rsid w:val="61A3FFBC"/>
    <w:rsid w:val="61DA3E9E"/>
    <w:rsid w:val="61F6F401"/>
    <w:rsid w:val="61FF2C1A"/>
    <w:rsid w:val="621F2778"/>
    <w:rsid w:val="6239115C"/>
    <w:rsid w:val="624A534D"/>
    <w:rsid w:val="6265CD36"/>
    <w:rsid w:val="6265F487"/>
    <w:rsid w:val="626D7AE2"/>
    <w:rsid w:val="62AACBFE"/>
    <w:rsid w:val="62AED16D"/>
    <w:rsid w:val="62B5FA0F"/>
    <w:rsid w:val="62D2FB14"/>
    <w:rsid w:val="62F48576"/>
    <w:rsid w:val="62FA2608"/>
    <w:rsid w:val="630134C2"/>
    <w:rsid w:val="63062E58"/>
    <w:rsid w:val="630AFCE5"/>
    <w:rsid w:val="631F1D3A"/>
    <w:rsid w:val="637F4756"/>
    <w:rsid w:val="639E586D"/>
    <w:rsid w:val="63A2097E"/>
    <w:rsid w:val="63D6EA66"/>
    <w:rsid w:val="6402F821"/>
    <w:rsid w:val="64061603"/>
    <w:rsid w:val="641F2C35"/>
    <w:rsid w:val="641F8F77"/>
    <w:rsid w:val="643970A1"/>
    <w:rsid w:val="64572AF8"/>
    <w:rsid w:val="64718229"/>
    <w:rsid w:val="64A03F08"/>
    <w:rsid w:val="64A2A314"/>
    <w:rsid w:val="64AF5E15"/>
    <w:rsid w:val="64B21AE3"/>
    <w:rsid w:val="64F756B3"/>
    <w:rsid w:val="64FCE8B7"/>
    <w:rsid w:val="650B01A2"/>
    <w:rsid w:val="650D1EAB"/>
    <w:rsid w:val="6514F93C"/>
    <w:rsid w:val="654607C3"/>
    <w:rsid w:val="6557F79A"/>
    <w:rsid w:val="6578FF9A"/>
    <w:rsid w:val="657B288D"/>
    <w:rsid w:val="658AD59F"/>
    <w:rsid w:val="658E6335"/>
    <w:rsid w:val="659F3209"/>
    <w:rsid w:val="65A4083A"/>
    <w:rsid w:val="65BAFC96"/>
    <w:rsid w:val="65C6E113"/>
    <w:rsid w:val="65E18128"/>
    <w:rsid w:val="65E3A3FA"/>
    <w:rsid w:val="65ED0EC7"/>
    <w:rsid w:val="65F825F9"/>
    <w:rsid w:val="65FC2185"/>
    <w:rsid w:val="661E5456"/>
    <w:rsid w:val="662A3AA2"/>
    <w:rsid w:val="663AD093"/>
    <w:rsid w:val="66996432"/>
    <w:rsid w:val="66D568EA"/>
    <w:rsid w:val="66D5F92F"/>
    <w:rsid w:val="66E44088"/>
    <w:rsid w:val="66FAEFAF"/>
    <w:rsid w:val="66FBD4D9"/>
    <w:rsid w:val="67179DFF"/>
    <w:rsid w:val="672AD5A9"/>
    <w:rsid w:val="67319D9D"/>
    <w:rsid w:val="67386AB4"/>
    <w:rsid w:val="673DA49A"/>
    <w:rsid w:val="674265DA"/>
    <w:rsid w:val="674876ED"/>
    <w:rsid w:val="675B94FA"/>
    <w:rsid w:val="676A7A01"/>
    <w:rsid w:val="6772961D"/>
    <w:rsid w:val="677EE95A"/>
    <w:rsid w:val="678075EC"/>
    <w:rsid w:val="679D5858"/>
    <w:rsid w:val="67C29C40"/>
    <w:rsid w:val="67D6A0F4"/>
    <w:rsid w:val="67D96600"/>
    <w:rsid w:val="67DCF3E1"/>
    <w:rsid w:val="68074E75"/>
    <w:rsid w:val="6811EA9F"/>
    <w:rsid w:val="683CF756"/>
    <w:rsid w:val="686A2506"/>
    <w:rsid w:val="686B49C8"/>
    <w:rsid w:val="6878556E"/>
    <w:rsid w:val="68821BB6"/>
    <w:rsid w:val="68821CF4"/>
    <w:rsid w:val="688C0240"/>
    <w:rsid w:val="689A33A1"/>
    <w:rsid w:val="68A59C6F"/>
    <w:rsid w:val="68F58C9D"/>
    <w:rsid w:val="68FBECDD"/>
    <w:rsid w:val="6909D1A3"/>
    <w:rsid w:val="6924168E"/>
    <w:rsid w:val="693BCB78"/>
    <w:rsid w:val="693D5FD5"/>
    <w:rsid w:val="695B65B6"/>
    <w:rsid w:val="698D05F2"/>
    <w:rsid w:val="699C8412"/>
    <w:rsid w:val="69E13957"/>
    <w:rsid w:val="69FA3BEB"/>
    <w:rsid w:val="6A00B3B9"/>
    <w:rsid w:val="6A03A614"/>
    <w:rsid w:val="6A0B6C49"/>
    <w:rsid w:val="6A1F0CFE"/>
    <w:rsid w:val="6A1F474B"/>
    <w:rsid w:val="6A3C847C"/>
    <w:rsid w:val="6A424695"/>
    <w:rsid w:val="6A505742"/>
    <w:rsid w:val="6A9EB9A2"/>
    <w:rsid w:val="6AA161BD"/>
    <w:rsid w:val="6AAC55E1"/>
    <w:rsid w:val="6AB379D2"/>
    <w:rsid w:val="6AC38CFB"/>
    <w:rsid w:val="6AD9BAF5"/>
    <w:rsid w:val="6B0C17F3"/>
    <w:rsid w:val="6B323FFD"/>
    <w:rsid w:val="6B3E3FF1"/>
    <w:rsid w:val="6B471E00"/>
    <w:rsid w:val="6B5E1B4E"/>
    <w:rsid w:val="6B711E4C"/>
    <w:rsid w:val="6B7A4326"/>
    <w:rsid w:val="6B8B563C"/>
    <w:rsid w:val="6B9E9322"/>
    <w:rsid w:val="6BA2EA8A"/>
    <w:rsid w:val="6BDB3175"/>
    <w:rsid w:val="6BDD4746"/>
    <w:rsid w:val="6BF7F153"/>
    <w:rsid w:val="6BFB4520"/>
    <w:rsid w:val="6C2CDEE3"/>
    <w:rsid w:val="6C51C0BC"/>
    <w:rsid w:val="6C66CF82"/>
    <w:rsid w:val="6C736C3A"/>
    <w:rsid w:val="6C9266AE"/>
    <w:rsid w:val="6C99229A"/>
    <w:rsid w:val="6CA5DAAC"/>
    <w:rsid w:val="6CACD723"/>
    <w:rsid w:val="6CF2E935"/>
    <w:rsid w:val="6D0CEEAD"/>
    <w:rsid w:val="6D432A2E"/>
    <w:rsid w:val="6D76BFBA"/>
    <w:rsid w:val="6D8E7CE5"/>
    <w:rsid w:val="6D9EC4F9"/>
    <w:rsid w:val="6DC8AF44"/>
    <w:rsid w:val="6DC9EADE"/>
    <w:rsid w:val="6DFFF492"/>
    <w:rsid w:val="6E06CF62"/>
    <w:rsid w:val="6E1EA229"/>
    <w:rsid w:val="6E373DC5"/>
    <w:rsid w:val="6E38E1F4"/>
    <w:rsid w:val="6E3A1B24"/>
    <w:rsid w:val="6E3EACD7"/>
    <w:rsid w:val="6E43B8B5"/>
    <w:rsid w:val="6E4ADAD1"/>
    <w:rsid w:val="6E7EBEC2"/>
    <w:rsid w:val="6E8ABD4C"/>
    <w:rsid w:val="6E95BC10"/>
    <w:rsid w:val="6E9BED00"/>
    <w:rsid w:val="6EA8BF0E"/>
    <w:rsid w:val="6ED2A343"/>
    <w:rsid w:val="6EE0CBA9"/>
    <w:rsid w:val="6EE8F355"/>
    <w:rsid w:val="6EFB072D"/>
    <w:rsid w:val="6F000FA0"/>
    <w:rsid w:val="6F102E40"/>
    <w:rsid w:val="6F1442A9"/>
    <w:rsid w:val="6F2A0DB4"/>
    <w:rsid w:val="6F2B7490"/>
    <w:rsid w:val="6F304456"/>
    <w:rsid w:val="6F50B4F3"/>
    <w:rsid w:val="6F5C0CDC"/>
    <w:rsid w:val="6F673093"/>
    <w:rsid w:val="6F6D503B"/>
    <w:rsid w:val="6F8B228B"/>
    <w:rsid w:val="6F92DE83"/>
    <w:rsid w:val="6F9DFA35"/>
    <w:rsid w:val="6FA6F5C5"/>
    <w:rsid w:val="6FBA93BC"/>
    <w:rsid w:val="6FD47EA9"/>
    <w:rsid w:val="6FDB257C"/>
    <w:rsid w:val="6FE477E5"/>
    <w:rsid w:val="700BF3DC"/>
    <w:rsid w:val="703415DA"/>
    <w:rsid w:val="7039D662"/>
    <w:rsid w:val="70448F6F"/>
    <w:rsid w:val="704C7F17"/>
    <w:rsid w:val="704E6B38"/>
    <w:rsid w:val="706D873A"/>
    <w:rsid w:val="706FF53D"/>
    <w:rsid w:val="707408DA"/>
    <w:rsid w:val="7078EBD8"/>
    <w:rsid w:val="707C9C0A"/>
    <w:rsid w:val="7095DE14"/>
    <w:rsid w:val="70D99886"/>
    <w:rsid w:val="7100DFD1"/>
    <w:rsid w:val="7122ECBC"/>
    <w:rsid w:val="713064DC"/>
    <w:rsid w:val="713A735D"/>
    <w:rsid w:val="7142C626"/>
    <w:rsid w:val="71625FCE"/>
    <w:rsid w:val="7176F5DD"/>
    <w:rsid w:val="719C8DD6"/>
    <w:rsid w:val="71A9ACA1"/>
    <w:rsid w:val="71CBFFEE"/>
    <w:rsid w:val="71CF87E1"/>
    <w:rsid w:val="71E7A132"/>
    <w:rsid w:val="71F29D41"/>
    <w:rsid w:val="72186C6B"/>
    <w:rsid w:val="721A1994"/>
    <w:rsid w:val="7224106B"/>
    <w:rsid w:val="72278AA7"/>
    <w:rsid w:val="722865A6"/>
    <w:rsid w:val="7239EC7E"/>
    <w:rsid w:val="724F1407"/>
    <w:rsid w:val="72668D43"/>
    <w:rsid w:val="727729E5"/>
    <w:rsid w:val="72887234"/>
    <w:rsid w:val="72A57DDD"/>
    <w:rsid w:val="72C338EC"/>
    <w:rsid w:val="72DAA48D"/>
    <w:rsid w:val="72DE9687"/>
    <w:rsid w:val="72EEA6CE"/>
    <w:rsid w:val="7302A4A2"/>
    <w:rsid w:val="731296C6"/>
    <w:rsid w:val="73302979"/>
    <w:rsid w:val="7332D833"/>
    <w:rsid w:val="734CC11E"/>
    <w:rsid w:val="73522FE5"/>
    <w:rsid w:val="738694DF"/>
    <w:rsid w:val="73AB85F8"/>
    <w:rsid w:val="73B03D05"/>
    <w:rsid w:val="73C64CE1"/>
    <w:rsid w:val="73C679FA"/>
    <w:rsid w:val="73D79E52"/>
    <w:rsid w:val="73DCE648"/>
    <w:rsid w:val="73F1D7AB"/>
    <w:rsid w:val="73FC53AB"/>
    <w:rsid w:val="742FCFA3"/>
    <w:rsid w:val="743B2F82"/>
    <w:rsid w:val="747A66E8"/>
    <w:rsid w:val="749358C7"/>
    <w:rsid w:val="74B21E57"/>
    <w:rsid w:val="74C6DF78"/>
    <w:rsid w:val="74CBF9DA"/>
    <w:rsid w:val="74E95DB6"/>
    <w:rsid w:val="74EB37D2"/>
    <w:rsid w:val="74FF8836"/>
    <w:rsid w:val="750910AE"/>
    <w:rsid w:val="750D4EC6"/>
    <w:rsid w:val="751D7156"/>
    <w:rsid w:val="751F41F4"/>
    <w:rsid w:val="752112F4"/>
    <w:rsid w:val="75301379"/>
    <w:rsid w:val="75566F37"/>
    <w:rsid w:val="755BB12D"/>
    <w:rsid w:val="75624A5B"/>
    <w:rsid w:val="756B012F"/>
    <w:rsid w:val="757B0DF8"/>
    <w:rsid w:val="758819DC"/>
    <w:rsid w:val="758C339F"/>
    <w:rsid w:val="75A6BD2C"/>
    <w:rsid w:val="75B1ACA5"/>
    <w:rsid w:val="75BA3BCE"/>
    <w:rsid w:val="75CED55D"/>
    <w:rsid w:val="75E94292"/>
    <w:rsid w:val="75F29193"/>
    <w:rsid w:val="760DB1C8"/>
    <w:rsid w:val="761B18B0"/>
    <w:rsid w:val="7621A48E"/>
    <w:rsid w:val="7653A559"/>
    <w:rsid w:val="7660AEF7"/>
    <w:rsid w:val="7690E17A"/>
    <w:rsid w:val="76920902"/>
    <w:rsid w:val="76985166"/>
    <w:rsid w:val="76DA810B"/>
    <w:rsid w:val="76E6B6DF"/>
    <w:rsid w:val="76EC082A"/>
    <w:rsid w:val="76EC65F5"/>
    <w:rsid w:val="76F7818E"/>
    <w:rsid w:val="770600E4"/>
    <w:rsid w:val="772157E2"/>
    <w:rsid w:val="77255E03"/>
    <w:rsid w:val="772EF875"/>
    <w:rsid w:val="7735AF4F"/>
    <w:rsid w:val="777B7DF0"/>
    <w:rsid w:val="77A98229"/>
    <w:rsid w:val="77DEB066"/>
    <w:rsid w:val="78039A9C"/>
    <w:rsid w:val="780709E4"/>
    <w:rsid w:val="780EA4DA"/>
    <w:rsid w:val="781ACCD8"/>
    <w:rsid w:val="7829A6E9"/>
    <w:rsid w:val="783A0F03"/>
    <w:rsid w:val="78512A0B"/>
    <w:rsid w:val="7855F39D"/>
    <w:rsid w:val="78730A08"/>
    <w:rsid w:val="787C7CDA"/>
    <w:rsid w:val="7884864D"/>
    <w:rsid w:val="78850F28"/>
    <w:rsid w:val="78B8B4F9"/>
    <w:rsid w:val="78CD283A"/>
    <w:rsid w:val="78D026BD"/>
    <w:rsid w:val="78D4F605"/>
    <w:rsid w:val="78F6AEAF"/>
    <w:rsid w:val="7913EC44"/>
    <w:rsid w:val="7914BF61"/>
    <w:rsid w:val="791BF8B0"/>
    <w:rsid w:val="791C4206"/>
    <w:rsid w:val="792A2486"/>
    <w:rsid w:val="7959B2A2"/>
    <w:rsid w:val="795FA9D7"/>
    <w:rsid w:val="79609C8F"/>
    <w:rsid w:val="7981F6D6"/>
    <w:rsid w:val="7984A714"/>
    <w:rsid w:val="7992DCF4"/>
    <w:rsid w:val="79E7D49A"/>
    <w:rsid w:val="7A0C9A2A"/>
    <w:rsid w:val="7A0F1CCE"/>
    <w:rsid w:val="7A184D3B"/>
    <w:rsid w:val="7A18A2B8"/>
    <w:rsid w:val="7A24C422"/>
    <w:rsid w:val="7A541552"/>
    <w:rsid w:val="7A5CA4B6"/>
    <w:rsid w:val="7A735932"/>
    <w:rsid w:val="7A89DC90"/>
    <w:rsid w:val="7A8EE6F1"/>
    <w:rsid w:val="7A96DF35"/>
    <w:rsid w:val="7A987BB3"/>
    <w:rsid w:val="7A9B62AE"/>
    <w:rsid w:val="7AACE24B"/>
    <w:rsid w:val="7AFB7A38"/>
    <w:rsid w:val="7AFEB381"/>
    <w:rsid w:val="7B3EAAA6"/>
    <w:rsid w:val="7B652F50"/>
    <w:rsid w:val="7B74A8FA"/>
    <w:rsid w:val="7B76CEA3"/>
    <w:rsid w:val="7B98A0AD"/>
    <w:rsid w:val="7B9CFD75"/>
    <w:rsid w:val="7BBFD718"/>
    <w:rsid w:val="7BC91650"/>
    <w:rsid w:val="7BE74FA5"/>
    <w:rsid w:val="7BF31713"/>
    <w:rsid w:val="7BF790B9"/>
    <w:rsid w:val="7BF8CF26"/>
    <w:rsid w:val="7BFB1587"/>
    <w:rsid w:val="7C0606AD"/>
    <w:rsid w:val="7C104F80"/>
    <w:rsid w:val="7C1FF587"/>
    <w:rsid w:val="7C30343F"/>
    <w:rsid w:val="7C3C361F"/>
    <w:rsid w:val="7C684E29"/>
    <w:rsid w:val="7C68B40B"/>
    <w:rsid w:val="7C8578CD"/>
    <w:rsid w:val="7C86527C"/>
    <w:rsid w:val="7C96C29C"/>
    <w:rsid w:val="7C997AC3"/>
    <w:rsid w:val="7CCED855"/>
    <w:rsid w:val="7CDA7B07"/>
    <w:rsid w:val="7CDAF9BF"/>
    <w:rsid w:val="7CE6EFB2"/>
    <w:rsid w:val="7CEF052C"/>
    <w:rsid w:val="7D427F1C"/>
    <w:rsid w:val="7D4FEDFD"/>
    <w:rsid w:val="7D6D25F3"/>
    <w:rsid w:val="7D6FFF50"/>
    <w:rsid w:val="7D7C92F4"/>
    <w:rsid w:val="7D832006"/>
    <w:rsid w:val="7D909966"/>
    <w:rsid w:val="7DA4F0D3"/>
    <w:rsid w:val="7DBA33A6"/>
    <w:rsid w:val="7DCFB8AE"/>
    <w:rsid w:val="7DD186B6"/>
    <w:rsid w:val="7DDDFD14"/>
    <w:rsid w:val="7DE83084"/>
    <w:rsid w:val="7E2E6D92"/>
    <w:rsid w:val="7E2EB965"/>
    <w:rsid w:val="7E3292FD"/>
    <w:rsid w:val="7E45D221"/>
    <w:rsid w:val="7E4DCF86"/>
    <w:rsid w:val="7E772B26"/>
    <w:rsid w:val="7E7BFF94"/>
    <w:rsid w:val="7E991902"/>
    <w:rsid w:val="7EB0188C"/>
    <w:rsid w:val="7ECE2F10"/>
    <w:rsid w:val="7EEAC914"/>
    <w:rsid w:val="7EEECB9E"/>
    <w:rsid w:val="7F25C0C7"/>
    <w:rsid w:val="7F3BD746"/>
    <w:rsid w:val="7F48ADBF"/>
    <w:rsid w:val="7F88B484"/>
    <w:rsid w:val="7F9FEEEB"/>
    <w:rsid w:val="7FABE97A"/>
    <w:rsid w:val="7FB16962"/>
    <w:rsid w:val="7FBE6B6E"/>
    <w:rsid w:val="7FE47209"/>
    <w:rsid w:val="7FE8554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paragraph" w:styleId="Revision">
    <w:name w:val="Revision"/>
    <w:hidden/>
    <w:uiPriority w:val="99"/>
    <w:semiHidden/>
    <w:rsid w:val="000F02B8"/>
    <w:pPr>
      <w:spacing w:after="0" w:line="240" w:lineRule="auto"/>
    </w:pPr>
    <w:rPr>
      <w:rFonts w:ascii="Arial" w:eastAsia="Times New Roman" w:hAnsi="Arial" w:cs="Times New Roman"/>
      <w:sz w:val="18"/>
      <w:szCs w:val="20"/>
      <w:lang w:val="en-GB"/>
    </w:rPr>
  </w:style>
  <w:style w:type="character" w:styleId="PlaceholderText">
    <w:name w:val="Placeholder Text"/>
    <w:basedOn w:val="DefaultParagraphFont"/>
    <w:uiPriority w:val="99"/>
    <w:semiHidden/>
    <w:rsid w:val="00A91F9D"/>
    <w:rPr>
      <w:color w:val="808080"/>
    </w:rPr>
  </w:style>
  <w:style w:type="character" w:styleId="UnresolvedMention">
    <w:name w:val="Unresolved Mention"/>
    <w:basedOn w:val="DefaultParagraphFont"/>
    <w:uiPriority w:val="99"/>
    <w:semiHidden/>
    <w:unhideWhenUsed/>
    <w:rsid w:val="008D2069"/>
    <w:rPr>
      <w:color w:val="605E5C"/>
      <w:shd w:val="clear" w:color="auto" w:fill="E1DFDD"/>
    </w:rPr>
  </w:style>
  <w:style w:type="character" w:customStyle="1" w:styleId="apple-converted-space">
    <w:name w:val="apple-converted-space"/>
    <w:basedOn w:val="DefaultParagraphFont"/>
    <w:rsid w:val="008D2069"/>
  </w:style>
  <w:style w:type="character" w:styleId="FollowedHyperlink">
    <w:name w:val="FollowedHyperlink"/>
    <w:basedOn w:val="DefaultParagraphFont"/>
    <w:uiPriority w:val="99"/>
    <w:semiHidden/>
    <w:unhideWhenUsed/>
    <w:rsid w:val="00766D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5191">
      <w:bodyDiv w:val="1"/>
      <w:marLeft w:val="0"/>
      <w:marRight w:val="0"/>
      <w:marTop w:val="0"/>
      <w:marBottom w:val="0"/>
      <w:divBdr>
        <w:top w:val="none" w:sz="0" w:space="0" w:color="auto"/>
        <w:left w:val="none" w:sz="0" w:space="0" w:color="auto"/>
        <w:bottom w:val="none" w:sz="0" w:space="0" w:color="auto"/>
        <w:right w:val="none" w:sz="0" w:space="0" w:color="auto"/>
      </w:divBdr>
      <w:divsChild>
        <w:div w:id="924339351">
          <w:marLeft w:val="0"/>
          <w:marRight w:val="0"/>
          <w:marTop w:val="0"/>
          <w:marBottom w:val="0"/>
          <w:divBdr>
            <w:top w:val="none" w:sz="0" w:space="0" w:color="auto"/>
            <w:left w:val="none" w:sz="0" w:space="0" w:color="auto"/>
            <w:bottom w:val="none" w:sz="0" w:space="0" w:color="auto"/>
            <w:right w:val="none" w:sz="0" w:space="0" w:color="auto"/>
          </w:divBdr>
          <w:divsChild>
            <w:div w:id="1236628269">
              <w:marLeft w:val="0"/>
              <w:marRight w:val="0"/>
              <w:marTop w:val="0"/>
              <w:marBottom w:val="0"/>
              <w:divBdr>
                <w:top w:val="none" w:sz="0" w:space="0" w:color="auto"/>
                <w:left w:val="none" w:sz="0" w:space="0" w:color="auto"/>
                <w:bottom w:val="none" w:sz="0" w:space="0" w:color="auto"/>
                <w:right w:val="none" w:sz="0" w:space="0" w:color="auto"/>
              </w:divBdr>
              <w:divsChild>
                <w:div w:id="6518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02550">
      <w:bodyDiv w:val="1"/>
      <w:marLeft w:val="0"/>
      <w:marRight w:val="0"/>
      <w:marTop w:val="0"/>
      <w:marBottom w:val="0"/>
      <w:divBdr>
        <w:top w:val="none" w:sz="0" w:space="0" w:color="auto"/>
        <w:left w:val="none" w:sz="0" w:space="0" w:color="auto"/>
        <w:bottom w:val="none" w:sz="0" w:space="0" w:color="auto"/>
        <w:right w:val="none" w:sz="0" w:space="0" w:color="auto"/>
      </w:divBdr>
      <w:divsChild>
        <w:div w:id="381293698">
          <w:marLeft w:val="0"/>
          <w:marRight w:val="0"/>
          <w:marTop w:val="0"/>
          <w:marBottom w:val="0"/>
          <w:divBdr>
            <w:top w:val="none" w:sz="0" w:space="0" w:color="auto"/>
            <w:left w:val="none" w:sz="0" w:space="0" w:color="auto"/>
            <w:bottom w:val="none" w:sz="0" w:space="0" w:color="auto"/>
            <w:right w:val="none" w:sz="0" w:space="0" w:color="auto"/>
          </w:divBdr>
          <w:divsChild>
            <w:div w:id="966736804">
              <w:marLeft w:val="0"/>
              <w:marRight w:val="0"/>
              <w:marTop w:val="0"/>
              <w:marBottom w:val="0"/>
              <w:divBdr>
                <w:top w:val="none" w:sz="0" w:space="0" w:color="auto"/>
                <w:left w:val="none" w:sz="0" w:space="0" w:color="auto"/>
                <w:bottom w:val="none" w:sz="0" w:space="0" w:color="auto"/>
                <w:right w:val="none" w:sz="0" w:space="0" w:color="auto"/>
              </w:divBdr>
              <w:divsChild>
                <w:div w:id="17268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4834">
      <w:bodyDiv w:val="1"/>
      <w:marLeft w:val="0"/>
      <w:marRight w:val="0"/>
      <w:marTop w:val="0"/>
      <w:marBottom w:val="0"/>
      <w:divBdr>
        <w:top w:val="none" w:sz="0" w:space="0" w:color="auto"/>
        <w:left w:val="none" w:sz="0" w:space="0" w:color="auto"/>
        <w:bottom w:val="none" w:sz="0" w:space="0" w:color="auto"/>
        <w:right w:val="none" w:sz="0" w:space="0" w:color="auto"/>
      </w:divBdr>
      <w:divsChild>
        <w:div w:id="1524241605">
          <w:marLeft w:val="0"/>
          <w:marRight w:val="0"/>
          <w:marTop w:val="0"/>
          <w:marBottom w:val="0"/>
          <w:divBdr>
            <w:top w:val="none" w:sz="0" w:space="0" w:color="auto"/>
            <w:left w:val="none" w:sz="0" w:space="0" w:color="auto"/>
            <w:bottom w:val="none" w:sz="0" w:space="0" w:color="auto"/>
            <w:right w:val="none" w:sz="0" w:space="0" w:color="auto"/>
          </w:divBdr>
          <w:divsChild>
            <w:div w:id="165757205">
              <w:marLeft w:val="0"/>
              <w:marRight w:val="0"/>
              <w:marTop w:val="0"/>
              <w:marBottom w:val="0"/>
              <w:divBdr>
                <w:top w:val="none" w:sz="0" w:space="0" w:color="auto"/>
                <w:left w:val="none" w:sz="0" w:space="0" w:color="auto"/>
                <w:bottom w:val="none" w:sz="0" w:space="0" w:color="auto"/>
                <w:right w:val="none" w:sz="0" w:space="0" w:color="auto"/>
              </w:divBdr>
              <w:divsChild>
                <w:div w:id="41852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24204">
      <w:bodyDiv w:val="1"/>
      <w:marLeft w:val="0"/>
      <w:marRight w:val="0"/>
      <w:marTop w:val="0"/>
      <w:marBottom w:val="0"/>
      <w:divBdr>
        <w:top w:val="none" w:sz="0" w:space="0" w:color="auto"/>
        <w:left w:val="none" w:sz="0" w:space="0" w:color="auto"/>
        <w:bottom w:val="none" w:sz="0" w:space="0" w:color="auto"/>
        <w:right w:val="none" w:sz="0" w:space="0" w:color="auto"/>
      </w:divBdr>
      <w:divsChild>
        <w:div w:id="1782072124">
          <w:marLeft w:val="0"/>
          <w:marRight w:val="0"/>
          <w:marTop w:val="0"/>
          <w:marBottom w:val="0"/>
          <w:divBdr>
            <w:top w:val="none" w:sz="0" w:space="0" w:color="auto"/>
            <w:left w:val="none" w:sz="0" w:space="0" w:color="auto"/>
            <w:bottom w:val="none" w:sz="0" w:space="0" w:color="auto"/>
            <w:right w:val="none" w:sz="0" w:space="0" w:color="auto"/>
          </w:divBdr>
          <w:divsChild>
            <w:div w:id="611670579">
              <w:marLeft w:val="0"/>
              <w:marRight w:val="0"/>
              <w:marTop w:val="0"/>
              <w:marBottom w:val="0"/>
              <w:divBdr>
                <w:top w:val="none" w:sz="0" w:space="0" w:color="auto"/>
                <w:left w:val="none" w:sz="0" w:space="0" w:color="auto"/>
                <w:bottom w:val="none" w:sz="0" w:space="0" w:color="auto"/>
                <w:right w:val="none" w:sz="0" w:space="0" w:color="auto"/>
              </w:divBdr>
              <w:divsChild>
                <w:div w:id="966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doi.org/10.1146/annurev-fluid-030121-021103" TargetMode="External"/><Relationship Id="rId39" Type="http://schemas.openxmlformats.org/officeDocument/2006/relationships/hyperlink" Target="https://doi.org/10.1016/j.jciso.2022.100068" TargetMode="External"/><Relationship Id="rId21" Type="http://schemas.openxmlformats.org/officeDocument/2006/relationships/image" Target="media/image14.png"/><Relationship Id="rId34" Type="http://schemas.openxmlformats.org/officeDocument/2006/relationships/hyperlink" Target="https://doi.org/10.1021/acs.est.1c03922"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doi.org/10.1017/jfm.2014.42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017/jfm.2015.13" TargetMode="External"/><Relationship Id="rId32" Type="http://schemas.openxmlformats.org/officeDocument/2006/relationships/hyperlink" Target="https://doi.org/10.1016/j.ces.2022.117859" TargetMode="External"/><Relationship Id="rId37" Type="http://schemas.openxmlformats.org/officeDocument/2006/relationships/hyperlink" Target="https://doi.org/10.1021/acs.langmuir.5b03804" TargetMode="External"/><Relationship Id="rId40" Type="http://schemas.openxmlformats.org/officeDocument/2006/relationships/hyperlink" Target="https://doi.org/10.1002/cjce.24502"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oi.org/10.1103/PhysRevE.85.025301" TargetMode="External"/><Relationship Id="rId28" Type="http://schemas.openxmlformats.org/officeDocument/2006/relationships/hyperlink" Target="https://doi.org/10.1103/PhysRevE.87.032310" TargetMode="External"/><Relationship Id="rId36" Type="http://schemas.openxmlformats.org/officeDocument/2006/relationships/hyperlink" Target="https://doi.org/10.1103/PhysRevE.91.053003"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doi.org/10.1016/j.powtec.2021.04.07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doi.org/10.1016/j.marpolbul.2017.01.082" TargetMode="External"/><Relationship Id="rId27" Type="http://schemas.openxmlformats.org/officeDocument/2006/relationships/hyperlink" Target="https://doi.org/10.1016/j.powtec.2019.03.009" TargetMode="External"/><Relationship Id="rId30" Type="http://schemas.openxmlformats.org/officeDocument/2006/relationships/hyperlink" Target="https://doi.org/10.1016/j.cherd.2022.11.037" TargetMode="External"/><Relationship Id="rId35" Type="http://schemas.openxmlformats.org/officeDocument/2006/relationships/hyperlink" Target="https://doi.org/10.1007/BF01101633"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oi.org/10.1017/S0022112009992783" TargetMode="External"/><Relationship Id="rId33" Type="http://schemas.openxmlformats.org/officeDocument/2006/relationships/hyperlink" Target="https://doi.org/10.6100/IR362582" TargetMode="External"/><Relationship Id="rId38" Type="http://schemas.openxmlformats.org/officeDocument/2006/relationships/hyperlink" Target="https://doi.org/10.1016/j.cherd.2022.12.01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F8653-3CE7-4571-B3FF-4BEEAD64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3358</Words>
  <Characters>19145</Characters>
  <Application>Microsoft Office Word</Application>
  <DocSecurity>0</DocSecurity>
  <Lines>159</Lines>
  <Paragraphs>44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Graziano  Frungieri</cp:lastModifiedBy>
  <cp:revision>2</cp:revision>
  <cp:lastPrinted>2023-04-07T12:58:00Z</cp:lastPrinted>
  <dcterms:created xsi:type="dcterms:W3CDTF">2023-04-07T14:04:00Z</dcterms:created>
  <dcterms:modified xsi:type="dcterms:W3CDTF">2023-04-07T14:04:00Z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