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ES" w:eastAsia="es-E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ES" w:eastAsia="es-E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 xml:space="preserve">Sauro Pierucci, </w:t>
            </w:r>
            <w:proofErr w:type="spellStart"/>
            <w:r w:rsidRPr="00293D18">
              <w:rPr>
                <w:rFonts w:ascii="Tahoma" w:hAnsi="Tahoma" w:cs="Tahoma"/>
                <w:sz w:val="14"/>
                <w:szCs w:val="14"/>
                <w:shd w:val="clear" w:color="auto" w:fill="FFFFFF"/>
              </w:rPr>
              <w:t>Jiří</w:t>
            </w:r>
            <w:proofErr w:type="spellEnd"/>
            <w:r w:rsidRPr="00293D18">
              <w:rPr>
                <w:rFonts w:ascii="Tahoma" w:hAnsi="Tahoma" w:cs="Tahoma"/>
                <w:sz w:val="14"/>
                <w:szCs w:val="14"/>
                <w:shd w:val="clear" w:color="auto" w:fill="FFFFFF"/>
              </w:rPr>
              <w:t xml:space="preserve"> Jaromír </w:t>
            </w:r>
            <w:proofErr w:type="spellStart"/>
            <w:r w:rsidRPr="00293D18">
              <w:rPr>
                <w:rFonts w:ascii="Tahoma" w:hAnsi="Tahoma" w:cs="Tahoma"/>
                <w:sz w:val="14"/>
                <w:szCs w:val="14"/>
                <w:shd w:val="clear" w:color="auto" w:fill="FFFFFF"/>
              </w:rPr>
              <w:t>Klemeš</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08CBF4B3" w:rsidR="00E978D0" w:rsidRPr="00C33594" w:rsidRDefault="00D94D97" w:rsidP="00E978D0">
      <w:pPr>
        <w:pStyle w:val="CETTitle"/>
        <w:rPr>
          <w:lang w:val="en-US"/>
        </w:rPr>
      </w:pPr>
      <w:r w:rsidRPr="00C33594">
        <w:rPr>
          <w:lang w:val="en-US"/>
        </w:rPr>
        <w:t>CATALYTIC OXIDATION OF VINYL CHLORIDE</w:t>
      </w:r>
      <w:r w:rsidR="009E38E0" w:rsidRPr="00C33594">
        <w:rPr>
          <w:lang w:val="en-US"/>
        </w:rPr>
        <w:br/>
      </w:r>
      <w:r w:rsidRPr="00C33594">
        <w:rPr>
          <w:lang w:val="en-US"/>
        </w:rPr>
        <w:t>OVER SrCO</w:t>
      </w:r>
      <w:r w:rsidRPr="00C33594">
        <w:rPr>
          <w:vertAlign w:val="subscript"/>
          <w:lang w:val="en-US"/>
        </w:rPr>
        <w:t>3</w:t>
      </w:r>
      <w:r w:rsidRPr="00C33594">
        <w:rPr>
          <w:lang w:val="en-US"/>
        </w:rPr>
        <w:t>-Co</w:t>
      </w:r>
      <w:r w:rsidRPr="00C33594">
        <w:rPr>
          <w:vertAlign w:val="subscript"/>
          <w:lang w:val="en-US"/>
        </w:rPr>
        <w:t>3</w:t>
      </w:r>
      <w:r w:rsidRPr="00C33594">
        <w:rPr>
          <w:lang w:val="en-US"/>
        </w:rPr>
        <w:t>O</w:t>
      </w:r>
      <w:r w:rsidRPr="00C33594">
        <w:rPr>
          <w:vertAlign w:val="subscript"/>
          <w:lang w:val="en-US"/>
        </w:rPr>
        <w:t>4</w:t>
      </w:r>
      <w:r w:rsidRPr="00C33594">
        <w:rPr>
          <w:lang w:val="en-US"/>
        </w:rPr>
        <w:t xml:space="preserve"> CATALYSTS:</w:t>
      </w:r>
      <w:r w:rsidR="009E38E0" w:rsidRPr="00C33594">
        <w:rPr>
          <w:lang w:val="en-US"/>
        </w:rPr>
        <w:br/>
      </w:r>
      <w:r w:rsidRPr="00C33594">
        <w:rPr>
          <w:lang w:val="en-US"/>
        </w:rPr>
        <w:t xml:space="preserve">EFFECT OF THE </w:t>
      </w:r>
      <w:proofErr w:type="spellStart"/>
      <w:proofErr w:type="gramStart"/>
      <w:r w:rsidRPr="00C33594">
        <w:rPr>
          <w:lang w:val="en-US"/>
        </w:rPr>
        <w:t>Sr:Co</w:t>
      </w:r>
      <w:proofErr w:type="spellEnd"/>
      <w:proofErr w:type="gramEnd"/>
      <w:r w:rsidRPr="00C33594">
        <w:rPr>
          <w:lang w:val="en-US"/>
        </w:rPr>
        <w:t xml:space="preserve"> MOLAR RATIO</w:t>
      </w:r>
    </w:p>
    <w:p w14:paraId="0488FED2" w14:textId="1DA00787" w:rsidR="00B57E6F" w:rsidRPr="00C33594" w:rsidRDefault="00D94D97" w:rsidP="009D2107">
      <w:pPr>
        <w:pStyle w:val="CETAuthors"/>
        <w:rPr>
          <w:lang w:val="es-ES"/>
        </w:rPr>
      </w:pPr>
      <w:r w:rsidRPr="00C33594">
        <w:rPr>
          <w:lang w:val="es-ES"/>
        </w:rPr>
        <w:t>Amaya Gil-Barbarin</w:t>
      </w:r>
      <w:r w:rsidR="00EA7932" w:rsidRPr="00C33594">
        <w:rPr>
          <w:lang w:val="es-ES"/>
        </w:rPr>
        <w:t>*</w:t>
      </w:r>
      <w:r w:rsidRPr="00C33594">
        <w:rPr>
          <w:lang w:val="es-ES"/>
        </w:rPr>
        <w:t>, José Ignacio Gutiérrez-Ortiz, Rubén López-Fonseca, Beatriz de Rivas</w:t>
      </w:r>
    </w:p>
    <w:p w14:paraId="6B2D21B3" w14:textId="6F0C15BC" w:rsidR="00B57E6F" w:rsidRPr="00C33594" w:rsidRDefault="008F294B" w:rsidP="009D2107">
      <w:pPr>
        <w:pStyle w:val="CETAddress"/>
        <w:rPr>
          <w:lang w:val="en-US"/>
        </w:rPr>
      </w:pPr>
      <w:r w:rsidRPr="00C33594">
        <w:rPr>
          <w:lang w:val="en-US"/>
        </w:rPr>
        <w:t>Chemical Technologies for Environmental Sustainability Group, Department of Chemical Engineering, Faculty of Science and Technology, University of the Basque Country/EHU, PO Box 644, E-48080 Bilbao, Spain</w:t>
      </w:r>
      <w:r w:rsidR="00B57E6F" w:rsidRPr="00C33594">
        <w:rPr>
          <w:lang w:val="en-US"/>
        </w:rPr>
        <w:t xml:space="preserve"> </w:t>
      </w:r>
    </w:p>
    <w:p w14:paraId="73F1267A" w14:textId="795E64C3" w:rsidR="00B57E6F" w:rsidRPr="00C33594" w:rsidRDefault="00B74FDF" w:rsidP="00B57E6F">
      <w:pPr>
        <w:pStyle w:val="CETemail"/>
        <w:rPr>
          <w:rStyle w:val="Collegamentoipertestuale"/>
          <w:color w:val="auto"/>
          <w:lang w:val="en-US"/>
        </w:rPr>
      </w:pPr>
      <w:hyperlink r:id="rId10" w:history="1">
        <w:r w:rsidR="00EA7932" w:rsidRPr="00C33594">
          <w:rPr>
            <w:rStyle w:val="Collegamentoipertestuale"/>
            <w:color w:val="auto"/>
            <w:lang w:val="en-US"/>
          </w:rPr>
          <w:t>amaya.gil@ehu.eus</w:t>
        </w:r>
      </w:hyperlink>
    </w:p>
    <w:p w14:paraId="6B579A5A" w14:textId="0FEE53A1" w:rsidR="00131F63" w:rsidRPr="00C33594" w:rsidRDefault="00D71341" w:rsidP="00131F63">
      <w:pPr>
        <w:pStyle w:val="CETBodytext"/>
      </w:pPr>
      <w:r w:rsidRPr="00C33594">
        <w:t>Co</w:t>
      </w:r>
      <w:r w:rsidRPr="00C33594">
        <w:rPr>
          <w:vertAlign w:val="subscript"/>
        </w:rPr>
        <w:t>3</w:t>
      </w:r>
      <w:r w:rsidRPr="00C33594">
        <w:t>O</w:t>
      </w:r>
      <w:r w:rsidRPr="00C33594">
        <w:rPr>
          <w:vertAlign w:val="subscript"/>
        </w:rPr>
        <w:t>4</w:t>
      </w:r>
      <w:r w:rsidRPr="00C33594">
        <w:t xml:space="preserve"> catalysts modified with SrCO</w:t>
      </w:r>
      <w:r w:rsidRPr="00C33594">
        <w:rPr>
          <w:vertAlign w:val="subscript"/>
        </w:rPr>
        <w:t>3</w:t>
      </w:r>
      <w:r w:rsidRPr="00C33594">
        <w:t xml:space="preserve"> with various </w:t>
      </w:r>
      <w:proofErr w:type="spellStart"/>
      <w:proofErr w:type="gramStart"/>
      <w:r w:rsidRPr="00C33594">
        <w:t>Sr:Co</w:t>
      </w:r>
      <w:proofErr w:type="spellEnd"/>
      <w:proofErr w:type="gramEnd"/>
      <w:r w:rsidRPr="00C33594">
        <w:t xml:space="preserve"> molar ratios were synthesi</w:t>
      </w:r>
      <w:r w:rsidR="006913BF" w:rsidRPr="00C33594">
        <w:t>z</w:t>
      </w:r>
      <w:r w:rsidRPr="00C33594">
        <w:t xml:space="preserve">ed by a co-precipitation method </w:t>
      </w:r>
      <w:r w:rsidR="00A76A93" w:rsidRPr="00C33594">
        <w:t xml:space="preserve">and their </w:t>
      </w:r>
      <w:r w:rsidRPr="00C33594">
        <w:t xml:space="preserve">catalytic </w:t>
      </w:r>
      <w:r w:rsidR="006913BF" w:rsidRPr="00C33594">
        <w:t>behavior</w:t>
      </w:r>
      <w:r w:rsidRPr="00C33594">
        <w:t xml:space="preserve"> </w:t>
      </w:r>
      <w:r w:rsidR="00A76A93" w:rsidRPr="00C33594">
        <w:t>was examined for the</w:t>
      </w:r>
      <w:r w:rsidRPr="00C33594">
        <w:t xml:space="preserve"> gas-phase oxidation of vinyl chloride. The physical-chemical properties of the samples were thoroughly </w:t>
      </w:r>
      <w:r w:rsidR="00A76A93" w:rsidRPr="00C33594">
        <w:t>characteri</w:t>
      </w:r>
      <w:r w:rsidR="006913BF" w:rsidRPr="00C33594">
        <w:t>z</w:t>
      </w:r>
      <w:r w:rsidR="00A76A93" w:rsidRPr="00C33594">
        <w:t xml:space="preserve">ed </w:t>
      </w:r>
      <w:r w:rsidRPr="00C33594">
        <w:t>by means of ICP</w:t>
      </w:r>
      <w:r w:rsidR="00E4071C" w:rsidRPr="00C33594">
        <w:t>-AES</w:t>
      </w:r>
      <w:r w:rsidRPr="00C33594">
        <w:t>, BET measurements, XRD, H</w:t>
      </w:r>
      <w:r w:rsidRPr="00C33594">
        <w:rPr>
          <w:vertAlign w:val="subscript"/>
        </w:rPr>
        <w:t>2</w:t>
      </w:r>
      <w:r w:rsidRPr="00C33594">
        <w:t>-TPR, XPS and SEM-EDX.</w:t>
      </w:r>
      <w:r w:rsidR="00522350" w:rsidRPr="00C33594">
        <w:t xml:space="preserve"> The </w:t>
      </w:r>
      <w:r w:rsidR="00E4071C" w:rsidRPr="00C33594">
        <w:t xml:space="preserve">obtained </w:t>
      </w:r>
      <w:r w:rsidR="00522350" w:rsidRPr="00C33594">
        <w:t xml:space="preserve">results </w:t>
      </w:r>
      <w:r w:rsidR="00E4071C" w:rsidRPr="00C33594">
        <w:t xml:space="preserve">revealed </w:t>
      </w:r>
      <w:r w:rsidR="00522350" w:rsidRPr="00C33594">
        <w:t>that the incorporation of strontium carbonate introduced changes in the textural and structural properties as well as modifications in the surface chemical composition of the catalysts.</w:t>
      </w:r>
      <w:r w:rsidR="00925F9C" w:rsidRPr="00C33594">
        <w:t xml:space="preserve"> The performance of the samples </w:t>
      </w:r>
      <w:r w:rsidR="00E4071C" w:rsidRPr="00C33594">
        <w:t>was found</w:t>
      </w:r>
      <w:r w:rsidR="00925F9C" w:rsidRPr="00C33594">
        <w:t xml:space="preserve"> to be controlled by the concentration of active species on the surface (Co</w:t>
      </w:r>
      <w:r w:rsidR="00925F9C" w:rsidRPr="00C33594">
        <w:rPr>
          <w:vertAlign w:val="superscript"/>
        </w:rPr>
        <w:t>2+</w:t>
      </w:r>
      <w:r w:rsidR="00925F9C" w:rsidRPr="00C33594">
        <w:t>/Co</w:t>
      </w:r>
      <w:r w:rsidR="00925F9C" w:rsidRPr="00C33594">
        <w:rPr>
          <w:vertAlign w:val="superscript"/>
        </w:rPr>
        <w:t>3+</w:t>
      </w:r>
      <w:r w:rsidR="00925F9C" w:rsidRPr="00C33594">
        <w:t xml:space="preserve"> and </w:t>
      </w:r>
      <w:proofErr w:type="spellStart"/>
      <w:r w:rsidR="00925F9C" w:rsidRPr="00C33594">
        <w:t>O</w:t>
      </w:r>
      <w:r w:rsidR="00925F9C" w:rsidRPr="00C33594">
        <w:rPr>
          <w:vertAlign w:val="subscript"/>
        </w:rPr>
        <w:t>ads</w:t>
      </w:r>
      <w:proofErr w:type="spellEnd"/>
      <w:r w:rsidR="00925F9C" w:rsidRPr="00C33594">
        <w:t>/</w:t>
      </w:r>
      <w:proofErr w:type="spellStart"/>
      <w:r w:rsidR="00925F9C" w:rsidRPr="00C33594">
        <w:t>O</w:t>
      </w:r>
      <w:r w:rsidR="00925F9C" w:rsidRPr="00C33594">
        <w:rPr>
          <w:vertAlign w:val="subscript"/>
        </w:rPr>
        <w:t>latt</w:t>
      </w:r>
      <w:proofErr w:type="spellEnd"/>
      <w:r w:rsidR="00F44505" w:rsidRPr="00C33594">
        <w:t xml:space="preserve"> ratios</w:t>
      </w:r>
      <w:r w:rsidR="00925F9C" w:rsidRPr="00C33594">
        <w:t xml:space="preserve">) and the </w:t>
      </w:r>
      <w:r w:rsidR="003F7214" w:rsidRPr="00C33594">
        <w:t>reducibility</w:t>
      </w:r>
      <w:r w:rsidR="00925F9C" w:rsidRPr="00C33594">
        <w:t xml:space="preserve"> of the samples. </w:t>
      </w:r>
      <w:r w:rsidR="003F7214" w:rsidRPr="00C33594">
        <w:t xml:space="preserve">As for the stability of the </w:t>
      </w:r>
      <w:r w:rsidR="00F44505" w:rsidRPr="00C33594">
        <w:t>catalysts</w:t>
      </w:r>
      <w:r w:rsidR="003F7214" w:rsidRPr="00C33594">
        <w:t xml:space="preserve">, clear </w:t>
      </w:r>
      <w:r w:rsidR="00782819" w:rsidRPr="00C33594">
        <w:t xml:space="preserve">evidences </w:t>
      </w:r>
      <w:r w:rsidR="003F7214" w:rsidRPr="00C33594">
        <w:t>of deactivation (more severe when increasing the Sr</w:t>
      </w:r>
      <w:r w:rsidR="00F44505" w:rsidRPr="00C33594">
        <w:t>CO</w:t>
      </w:r>
      <w:r w:rsidR="00F44505" w:rsidRPr="00C33594">
        <w:rPr>
          <w:vertAlign w:val="subscript"/>
        </w:rPr>
        <w:t>3</w:t>
      </w:r>
      <w:r w:rsidR="003F7214" w:rsidRPr="00C33594">
        <w:t xml:space="preserve"> content) were </w:t>
      </w:r>
      <w:r w:rsidR="00782819" w:rsidRPr="00C33594">
        <w:t>noticed</w:t>
      </w:r>
      <w:r w:rsidR="003F7214" w:rsidRPr="00C33594">
        <w:t>, probably caused by the decomposition of the SrCO</w:t>
      </w:r>
      <w:r w:rsidR="003F7214" w:rsidRPr="00C33594">
        <w:rPr>
          <w:vertAlign w:val="subscript"/>
        </w:rPr>
        <w:t>3</w:t>
      </w:r>
      <w:r w:rsidR="003F7214" w:rsidRPr="00C33594">
        <w:t xml:space="preserve"> phase and the formation of SrCl</w:t>
      </w:r>
      <w:r w:rsidR="003F7214" w:rsidRPr="00C33594">
        <w:rPr>
          <w:vertAlign w:val="subscript"/>
        </w:rPr>
        <w:t>2</w:t>
      </w:r>
      <w:r w:rsidR="003F7214" w:rsidRPr="00C33594">
        <w:t xml:space="preserve"> </w:t>
      </w:r>
      <w:r w:rsidR="00782819" w:rsidRPr="00C33594">
        <w:t xml:space="preserve">accompanied by </w:t>
      </w:r>
      <w:r w:rsidR="003F7214" w:rsidRPr="00C33594">
        <w:t xml:space="preserve">a loss of textural properties and active surface oxygen species. </w:t>
      </w:r>
    </w:p>
    <w:p w14:paraId="5DF2301D" w14:textId="0BFE84C8" w:rsidR="009D2107" w:rsidRPr="00C33594" w:rsidRDefault="009D2107" w:rsidP="009D2107">
      <w:pPr>
        <w:pStyle w:val="CETHeading1"/>
      </w:pPr>
      <w:r w:rsidRPr="00C33594">
        <w:t>Introduction</w:t>
      </w:r>
    </w:p>
    <w:p w14:paraId="636941E1" w14:textId="2478B1A6" w:rsidR="009D2107" w:rsidRPr="00C33594" w:rsidRDefault="00D87EDF" w:rsidP="009D2107">
      <w:pPr>
        <w:pStyle w:val="CETBodytext"/>
      </w:pPr>
      <w:r w:rsidRPr="00C33594">
        <w:t>Chlorinated volatile organic compounds (Cl-VOCs) are a large group of compounds characteri</w:t>
      </w:r>
      <w:r w:rsidR="006913BF" w:rsidRPr="00C33594">
        <w:t>z</w:t>
      </w:r>
      <w:r w:rsidRPr="00C33594">
        <w:t xml:space="preserve">ed by low molecular weight, low boiling point and the presence of at least one chlorine atom in their structure. Their release to the atmosphere is </w:t>
      </w:r>
      <w:r w:rsidR="00005A64" w:rsidRPr="00C33594">
        <w:t xml:space="preserve">mainly due to industrial activities. Most of them are employed as intermediates in textile dyeing and printing industries, pharmaceutical industries, electronic equipment manufacturing and fine chemicals industries, among others (He et al., 2019). These </w:t>
      </w:r>
      <w:r w:rsidR="000F0CD1" w:rsidRPr="00C33594">
        <w:t xml:space="preserve">organochlorinated </w:t>
      </w:r>
      <w:r w:rsidR="00005A64" w:rsidRPr="00C33594">
        <w:t xml:space="preserve">compounds </w:t>
      </w:r>
      <w:r w:rsidR="00325BBC" w:rsidRPr="00C33594">
        <w:t xml:space="preserve">are </w:t>
      </w:r>
      <w:r w:rsidRPr="00C33594">
        <w:t xml:space="preserve">responsible </w:t>
      </w:r>
      <w:r w:rsidR="008707AA" w:rsidRPr="00C33594">
        <w:t>for</w:t>
      </w:r>
      <w:r w:rsidRPr="00C33594">
        <w:t xml:space="preserve"> the formation of photochemical smog, depletion of ozone-layer and harmful effects on human health</w:t>
      </w:r>
      <w:r w:rsidR="00D535D3" w:rsidRPr="00C33594">
        <w:t>,</w:t>
      </w:r>
      <w:r w:rsidR="00325BBC" w:rsidRPr="00C33594">
        <w:t xml:space="preserve"> among others,</w:t>
      </w:r>
      <w:r w:rsidR="00D535D3" w:rsidRPr="00C33594">
        <w:t xml:space="preserve"> which together with their stability and inertness make them </w:t>
      </w:r>
      <w:r w:rsidR="008707AA" w:rsidRPr="00C33594">
        <w:t>p</w:t>
      </w:r>
      <w:r w:rsidR="00D535D3" w:rsidRPr="00C33594">
        <w:t xml:space="preserve">ersistent </w:t>
      </w:r>
      <w:r w:rsidR="008707AA" w:rsidRPr="00C33594">
        <w:t>o</w:t>
      </w:r>
      <w:r w:rsidR="00D535D3" w:rsidRPr="00C33594">
        <w:t xml:space="preserve">rganic </w:t>
      </w:r>
      <w:r w:rsidR="008707AA" w:rsidRPr="00C33594">
        <w:t>p</w:t>
      </w:r>
      <w:r w:rsidR="00D535D3" w:rsidRPr="00C33594">
        <w:t>ollutants (Li et al., 2020</w:t>
      </w:r>
      <w:r w:rsidR="0036190C" w:rsidRPr="00C33594">
        <w:t>a</w:t>
      </w:r>
      <w:r w:rsidR="00D535D3" w:rsidRPr="00C33594">
        <w:t>).</w:t>
      </w:r>
    </w:p>
    <w:p w14:paraId="322CD8FF" w14:textId="77777777" w:rsidR="00325BBC" w:rsidRPr="00C33594" w:rsidRDefault="00325BBC" w:rsidP="009D2107">
      <w:pPr>
        <w:pStyle w:val="CETBodytext"/>
      </w:pPr>
    </w:p>
    <w:p w14:paraId="06FFD89C" w14:textId="3F0F19FD" w:rsidR="00E162E7" w:rsidRPr="00C33594" w:rsidRDefault="00E162E7" w:rsidP="009D2107">
      <w:pPr>
        <w:pStyle w:val="CETBodytext"/>
      </w:pPr>
      <w:r w:rsidRPr="00C33594">
        <w:t xml:space="preserve">In view of the magnitude of the problem, governments and public administrations are pushing for the development of technologies that effectively reduce emissions of these pollutants in industrial effluents with minimal economic impact. Among the treatment methods for the control and </w:t>
      </w:r>
      <w:r w:rsidR="008707AA" w:rsidRPr="00C33594">
        <w:t>removal</w:t>
      </w:r>
      <w:r w:rsidRPr="00C33594">
        <w:t xml:space="preserve"> of Cl-VOCs, catalytic oxidation is the preferred strategy considering its high efficiency in the </w:t>
      </w:r>
      <w:r w:rsidR="008707AA" w:rsidRPr="00C33594">
        <w:t>treatment of highly diluted off-gases</w:t>
      </w:r>
      <w:r w:rsidRPr="00C33594">
        <w:t xml:space="preserve"> with low energy consumption and no secondary pollution</w:t>
      </w:r>
      <w:r w:rsidR="00A2220E" w:rsidRPr="00C33594">
        <w:t xml:space="preserve"> </w:t>
      </w:r>
      <w:r w:rsidRPr="00C33594">
        <w:t>(Liu et al., 2021</w:t>
      </w:r>
      <w:r w:rsidR="00CA7F6D" w:rsidRPr="00C33594">
        <w:t>a</w:t>
      </w:r>
      <w:r w:rsidRPr="00C33594">
        <w:t>).</w:t>
      </w:r>
      <w:r w:rsidR="00EA5099" w:rsidRPr="00C33594">
        <w:t xml:space="preserve"> The selection of a suitable catalyst is the </w:t>
      </w:r>
      <w:r w:rsidR="00893B47" w:rsidRPr="00C33594">
        <w:t>principal</w:t>
      </w:r>
      <w:r w:rsidR="00EA5099" w:rsidRPr="00C33594">
        <w:t xml:space="preserve"> operational parameter of this technique. The </w:t>
      </w:r>
      <w:r w:rsidR="00ED3F45" w:rsidRPr="00C33594">
        <w:t>most used</w:t>
      </w:r>
      <w:r w:rsidR="00EA5099" w:rsidRPr="00C33594">
        <w:t xml:space="preserve"> catalysts for this purpose can be classified into three main groups: noble metal catalysts, mixed-metal catalysts and non-noble metal oxide catalysts. Noble metal catalysts </w:t>
      </w:r>
      <w:r w:rsidR="00893B47" w:rsidRPr="00C33594">
        <w:t>perform an outstanding activity in oxidation reactions however they are very expensive and sensitive to chlorine poisoning (Li et al., 2020</w:t>
      </w:r>
      <w:r w:rsidR="0036190C" w:rsidRPr="00C33594">
        <w:t>b</w:t>
      </w:r>
      <w:r w:rsidR="00893B47" w:rsidRPr="00C33594">
        <w:t xml:space="preserve">). Mixed-metal catalysts (Fe-Ce, Mn-Ce, Co-Ce, </w:t>
      </w:r>
      <w:r w:rsidR="00FB19FA" w:rsidRPr="00C33594">
        <w:t xml:space="preserve">or </w:t>
      </w:r>
      <w:r w:rsidR="00893B47" w:rsidRPr="00C33594">
        <w:t>Ce-</w:t>
      </w:r>
      <w:proofErr w:type="spellStart"/>
      <w:r w:rsidR="00893B47" w:rsidRPr="00C33594">
        <w:t>Ti</w:t>
      </w:r>
      <w:proofErr w:type="spellEnd"/>
      <w:r w:rsidR="00893B47" w:rsidRPr="00C33594">
        <w:t>) are complex oxides which contain two or more transition metal oxides.</w:t>
      </w:r>
      <w:r w:rsidR="00325BBC" w:rsidRPr="00C33594">
        <w:t xml:space="preserve"> </w:t>
      </w:r>
      <w:r w:rsidR="00F65B80" w:rsidRPr="00C33594">
        <w:t>The addition of a second metal cation can improve some properties of the catalyst such as its reducibility, a property of particular relevance in VOC oxidation reactions</w:t>
      </w:r>
      <w:r w:rsidR="00A2220E" w:rsidRPr="00C33594">
        <w:t xml:space="preserve"> </w:t>
      </w:r>
      <w:r w:rsidR="00F65B80" w:rsidRPr="00C33594">
        <w:t xml:space="preserve">(Kamal et al., 2016). Finally, non-noble metal oxides have been shown to be more resistant to chlorine poisoning than noble metals and their cost is much lower, making them a very interesting alternative to noble metals catalysts. </w:t>
      </w:r>
      <w:r w:rsidR="00605C06" w:rsidRPr="00C33594">
        <w:t>Along with others, cobalt</w:t>
      </w:r>
      <w:r w:rsidR="006913BF" w:rsidRPr="00C33594">
        <w:t>-</w:t>
      </w:r>
      <w:r w:rsidR="00605C06" w:rsidRPr="00C33594">
        <w:t xml:space="preserve">based catalysts have been employed in a wide range of </w:t>
      </w:r>
      <w:r w:rsidR="00605C06" w:rsidRPr="00C33594">
        <w:lastRenderedPageBreak/>
        <w:t>catalytic process</w:t>
      </w:r>
      <w:r w:rsidR="00ED3F45" w:rsidRPr="00C33594">
        <w:t>es</w:t>
      </w:r>
      <w:r w:rsidR="00605C06" w:rsidRPr="00C33594">
        <w:t xml:space="preserve"> including the oxidation of Cl-VOCs with superior catalytic performance. The catalytic activity of cobalt oxide is related to the crystal phases, oxidation states, oxygen vacancies and reduction ability (weak Co-O bond strength), </w:t>
      </w:r>
      <w:r w:rsidR="0045042C" w:rsidRPr="00C33594">
        <w:t xml:space="preserve">and </w:t>
      </w:r>
      <w:r w:rsidR="00605C06" w:rsidRPr="00C33594">
        <w:t xml:space="preserve">mobile oxygen species inside its </w:t>
      </w:r>
      <w:r w:rsidR="008707AA" w:rsidRPr="00C33594">
        <w:t>lattice</w:t>
      </w:r>
      <w:r w:rsidR="0045042C" w:rsidRPr="00C33594">
        <w:t xml:space="preserve"> (Chen et al., 2022).</w:t>
      </w:r>
      <w:r w:rsidR="008707AA" w:rsidRPr="00C33594">
        <w:t xml:space="preserve"> All</w:t>
      </w:r>
      <w:r w:rsidR="0045042C" w:rsidRPr="00C33594">
        <w:t xml:space="preserve"> these physical-chemical properties are closely related to the preparation method. Therefore, strategies following optimi</w:t>
      </w:r>
      <w:r w:rsidR="006913BF" w:rsidRPr="00C33594">
        <w:t>z</w:t>
      </w:r>
      <w:r w:rsidR="0045042C" w:rsidRPr="00C33594">
        <w:t xml:space="preserve">ed synthesis routes that enhance these properties and/or doping with other metals, generally lead to </w:t>
      </w:r>
      <w:r w:rsidR="00DB7D87" w:rsidRPr="00C33594">
        <w:t>improved</w:t>
      </w:r>
      <w:r w:rsidR="0045042C" w:rsidRPr="00C33594">
        <w:t xml:space="preserve"> catalytic behavior.</w:t>
      </w:r>
      <w:r w:rsidR="00202CA6" w:rsidRPr="00C33594">
        <w:t xml:space="preserve"> </w:t>
      </w:r>
      <w:r w:rsidR="00FB19FA" w:rsidRPr="00C33594">
        <w:t xml:space="preserve">Interestingly, </w:t>
      </w:r>
      <w:r w:rsidR="00202CA6" w:rsidRPr="00C33594">
        <w:t xml:space="preserve">Feng et al., </w:t>
      </w:r>
      <w:r w:rsidR="00ED3F45" w:rsidRPr="00C33594">
        <w:t>(</w:t>
      </w:r>
      <w:r w:rsidR="00202CA6" w:rsidRPr="00C33594">
        <w:t>2018) found that doping a Co/CeO</w:t>
      </w:r>
      <w:r w:rsidR="00202CA6" w:rsidRPr="00C33594">
        <w:rPr>
          <w:vertAlign w:val="subscript"/>
        </w:rPr>
        <w:t>2</w:t>
      </w:r>
      <w:r w:rsidR="00202CA6" w:rsidRPr="00C33594">
        <w:t xml:space="preserve"> with strontium</w:t>
      </w:r>
      <w:r w:rsidR="00210436" w:rsidRPr="00C33594">
        <w:t xml:space="preserve"> </w:t>
      </w:r>
      <w:r w:rsidR="008707AA" w:rsidRPr="00C33594">
        <w:t>promoted</w:t>
      </w:r>
      <w:r w:rsidR="00210436" w:rsidRPr="00C33594">
        <w:t xml:space="preserve"> the reducibility, enlarged the specific surface area, and introduced defects and oxygen vacancies which may improve the catalytic performance of the catalyst in the total oxidation of toluene.</w:t>
      </w:r>
    </w:p>
    <w:p w14:paraId="3B6C0199" w14:textId="39863116" w:rsidR="00210436" w:rsidRPr="00C33594" w:rsidRDefault="00210436" w:rsidP="009D2107">
      <w:pPr>
        <w:pStyle w:val="CETBodytext"/>
      </w:pPr>
    </w:p>
    <w:p w14:paraId="3FCD6436" w14:textId="1EC107B5" w:rsidR="009E11DC" w:rsidRPr="00C33594" w:rsidRDefault="00210436" w:rsidP="009D2107">
      <w:pPr>
        <w:pStyle w:val="CETBodytext"/>
      </w:pPr>
      <w:r w:rsidRPr="00C33594">
        <w:t xml:space="preserve">Thus, the </w:t>
      </w:r>
      <w:r w:rsidR="00E9690F" w:rsidRPr="00C33594">
        <w:t>target</w:t>
      </w:r>
      <w:r w:rsidRPr="00C33594">
        <w:t xml:space="preserve"> of this work </w:t>
      </w:r>
      <w:r w:rsidR="00FB19FA" w:rsidRPr="00C33594">
        <w:t>focuses on</w:t>
      </w:r>
      <w:r w:rsidR="001A0601" w:rsidRPr="00C33594">
        <w:t xml:space="preserve"> examining</w:t>
      </w:r>
      <w:r w:rsidRPr="00C33594">
        <w:t xml:space="preserve"> cobalt oxide catalysts modified with strontium carbonate </w:t>
      </w:r>
      <w:r w:rsidR="001C6172" w:rsidRPr="00C33594">
        <w:t>synthesized</w:t>
      </w:r>
      <w:r w:rsidRPr="00C33594">
        <w:t xml:space="preserve"> </w:t>
      </w:r>
      <w:r w:rsidR="00B46B6B" w:rsidRPr="00C33594">
        <w:t xml:space="preserve">through </w:t>
      </w:r>
      <w:r w:rsidRPr="00C33594">
        <w:t>an optimi</w:t>
      </w:r>
      <w:r w:rsidR="006913BF" w:rsidRPr="00C33594">
        <w:t>z</w:t>
      </w:r>
      <w:r w:rsidRPr="00C33594">
        <w:t xml:space="preserve">ed preparation method based on the Kirkendall effect </w:t>
      </w:r>
      <w:r w:rsidR="00E9690F" w:rsidRPr="00C33594">
        <w:t xml:space="preserve">aimed at obtaining hollow </w:t>
      </w:r>
      <w:r w:rsidR="00B67FCC" w:rsidRPr="00C33594">
        <w:rPr>
          <w:bCs/>
        </w:rPr>
        <w:t>nanotubes</w:t>
      </w:r>
      <w:r w:rsidR="00E9690F" w:rsidRPr="00C33594">
        <w:t>, for the oxidat</w:t>
      </w:r>
      <w:r w:rsidR="001A0601" w:rsidRPr="00C33594">
        <w:t>i</w:t>
      </w:r>
      <w:r w:rsidR="00E9690F" w:rsidRPr="00C33594">
        <w:t xml:space="preserve">ve gas phase removal of </w:t>
      </w:r>
      <w:r w:rsidR="00766BFA" w:rsidRPr="00C33594">
        <w:t xml:space="preserve">trace amounts of </w:t>
      </w:r>
      <w:r w:rsidR="00E9690F" w:rsidRPr="00C33594">
        <w:t>vinyl chloride</w:t>
      </w:r>
      <w:r w:rsidR="00766BFA" w:rsidRPr="00C33594">
        <w:t xml:space="preserve"> (VC)</w:t>
      </w:r>
      <w:r w:rsidR="001A0601" w:rsidRPr="00C33594">
        <w:t xml:space="preserve">, selected as </w:t>
      </w:r>
      <w:r w:rsidR="008707AA" w:rsidRPr="00C33594">
        <w:t xml:space="preserve">a </w:t>
      </w:r>
      <w:r w:rsidR="001A0601" w:rsidRPr="00C33594">
        <w:t xml:space="preserve">model chlorinated compound due to its recalcitrant </w:t>
      </w:r>
      <w:r w:rsidR="00C566E7" w:rsidRPr="00C33594">
        <w:t>character and wide industrial application</w:t>
      </w:r>
      <w:r w:rsidR="001A0601" w:rsidRPr="00C33594">
        <w:t>.</w:t>
      </w:r>
    </w:p>
    <w:p w14:paraId="63A8D5E8" w14:textId="7D1B975C" w:rsidR="009E11DC" w:rsidRPr="00C33594" w:rsidRDefault="009E11DC" w:rsidP="009E11DC">
      <w:pPr>
        <w:pStyle w:val="CETHeading1"/>
      </w:pPr>
      <w:r w:rsidRPr="00C33594">
        <w:t>Experimental</w:t>
      </w:r>
    </w:p>
    <w:p w14:paraId="0E39F15D" w14:textId="44B64A21" w:rsidR="0045042C" w:rsidRPr="00C33594" w:rsidRDefault="009E11DC" w:rsidP="009D2107">
      <w:pPr>
        <w:pStyle w:val="CETBodytext"/>
      </w:pPr>
      <w:r w:rsidRPr="00C33594">
        <w:t xml:space="preserve">Four catalysts </w:t>
      </w:r>
      <w:r w:rsidR="008707AA" w:rsidRPr="00C33594">
        <w:t xml:space="preserve">with varying </w:t>
      </w:r>
      <w:proofErr w:type="spellStart"/>
      <w:r w:rsidR="008707AA" w:rsidRPr="00C33594">
        <w:t>Sr:Co</w:t>
      </w:r>
      <w:proofErr w:type="spellEnd"/>
      <w:r w:rsidR="008707AA" w:rsidRPr="00C33594">
        <w:t xml:space="preserve"> molar ratio (0.1, 0.2, 0.3 and 0.4) </w:t>
      </w:r>
      <w:r w:rsidRPr="00C33594">
        <w:t>have been prepared</w:t>
      </w:r>
      <w:r w:rsidR="00A2220E" w:rsidRPr="00C33594">
        <w:t xml:space="preserve"> </w:t>
      </w:r>
      <w:r w:rsidRPr="00C33594">
        <w:t xml:space="preserve">following a co-precipitation method based on the Kirkendall effect. In a typical procedure, two ethanolic solutions of cobalt acetate tetrahydrate and strontium acetate hemihydrate (Alfa </w:t>
      </w:r>
      <w:proofErr w:type="spellStart"/>
      <w:r w:rsidRPr="00C33594">
        <w:t>Aesar</w:t>
      </w:r>
      <w:proofErr w:type="spellEnd"/>
      <w:r w:rsidRPr="00C33594">
        <w:t xml:space="preserve">) </w:t>
      </w:r>
      <w:r w:rsidR="008707AA" w:rsidRPr="00C33594">
        <w:t>with</w:t>
      </w:r>
      <w:r w:rsidRPr="00C33594">
        <w:t xml:space="preserve"> </w:t>
      </w:r>
      <w:r w:rsidR="00BC7286" w:rsidRPr="00C33594">
        <w:t>adjusted concentrations were mixed with an ethanolic urea solution (VWR Chemicals). The temperature was maintained at 65</w:t>
      </w:r>
      <w:r w:rsidR="00255CD2" w:rsidRPr="00C33594">
        <w:t> </w:t>
      </w:r>
      <w:r w:rsidR="00BC7286" w:rsidRPr="00C33594">
        <w:t xml:space="preserve">ºC under stirring. First, the solution was dark purple, then it turned paler and finally a pink precipitate was </w:t>
      </w:r>
      <w:r w:rsidR="008707AA" w:rsidRPr="00C33594">
        <w:t xml:space="preserve">thoroughly </w:t>
      </w:r>
      <w:r w:rsidR="00BC7286" w:rsidRPr="00C33594">
        <w:t>formed. After an ageing stage of 4</w:t>
      </w:r>
      <w:r w:rsidR="00255CD2" w:rsidRPr="00C33594">
        <w:t> </w:t>
      </w:r>
      <w:r w:rsidR="00BC7286" w:rsidRPr="00C33594">
        <w:t>h at constant temperature (65</w:t>
      </w:r>
      <w:r w:rsidR="00255CD2" w:rsidRPr="00C33594">
        <w:t> </w:t>
      </w:r>
      <w:r w:rsidR="00BC7286" w:rsidRPr="00C33594">
        <w:t>ºC)</w:t>
      </w:r>
      <w:r w:rsidR="00B77B86" w:rsidRPr="00C33594">
        <w:t>, the precipitate was collected by filtration, washed with ethanol and dried at 80</w:t>
      </w:r>
      <w:r w:rsidR="00255CD2" w:rsidRPr="00C33594">
        <w:t> </w:t>
      </w:r>
      <w:r w:rsidR="00B77B86" w:rsidRPr="00C33594">
        <w:t>ºC overnight. Finally, the precursor was calcined under controlled atmosphere (5% O</w:t>
      </w:r>
      <w:r w:rsidR="00B77B86" w:rsidRPr="00C33594">
        <w:rPr>
          <w:vertAlign w:val="subscript"/>
        </w:rPr>
        <w:t>2</w:t>
      </w:r>
      <w:r w:rsidR="00B77B86" w:rsidRPr="00C33594">
        <w:t>/He) at 250</w:t>
      </w:r>
      <w:r w:rsidR="00255CD2" w:rsidRPr="00C33594">
        <w:t> </w:t>
      </w:r>
      <w:r w:rsidR="00B77B86" w:rsidRPr="00C33594">
        <w:t>ºC, cooled down to room temperature and recalcined at 500</w:t>
      </w:r>
      <w:r w:rsidR="00255CD2" w:rsidRPr="00C33594">
        <w:t> </w:t>
      </w:r>
      <w:r w:rsidR="00B77B86" w:rsidRPr="00C33594">
        <w:t>ºC</w:t>
      </w:r>
      <w:r w:rsidR="00675453" w:rsidRPr="00C33594">
        <w:t xml:space="preserve"> during 3 h</w:t>
      </w:r>
      <w:r w:rsidR="00B77B86" w:rsidRPr="00C33594">
        <w:t>. The heating ramps were 0.5 and 1</w:t>
      </w:r>
      <w:r w:rsidR="00255CD2" w:rsidRPr="00C33594">
        <w:t> </w:t>
      </w:r>
      <w:r w:rsidR="00B77B86" w:rsidRPr="00C33594">
        <w:t>ºC min</w:t>
      </w:r>
      <w:r w:rsidR="00B77B86" w:rsidRPr="00C33594">
        <w:rPr>
          <w:vertAlign w:val="superscript"/>
        </w:rPr>
        <w:t>-1</w:t>
      </w:r>
      <w:r w:rsidR="00B77B86" w:rsidRPr="00C33594">
        <w:t xml:space="preserve"> for each calcination step, respectively.</w:t>
      </w:r>
      <w:r w:rsidR="00A706F2" w:rsidRPr="00C33594">
        <w:t xml:space="preserve"> The as</w:t>
      </w:r>
      <w:r w:rsidR="008707AA" w:rsidRPr="00C33594">
        <w:t>-</w:t>
      </w:r>
      <w:r w:rsidR="00A706F2" w:rsidRPr="00C33594">
        <w:t>synthesi</w:t>
      </w:r>
      <w:r w:rsidR="006913BF" w:rsidRPr="00C33594">
        <w:t>z</w:t>
      </w:r>
      <w:r w:rsidR="00A706F2" w:rsidRPr="00C33594">
        <w:t xml:space="preserve">ed catalysts were denoted as </w:t>
      </w:r>
      <w:proofErr w:type="spellStart"/>
      <w:r w:rsidR="00A706F2" w:rsidRPr="00C33594">
        <w:t>SrCox</w:t>
      </w:r>
      <w:proofErr w:type="spellEnd"/>
      <w:r w:rsidR="00A706F2" w:rsidRPr="00C33594">
        <w:t xml:space="preserve">, where x is the </w:t>
      </w:r>
      <w:proofErr w:type="spellStart"/>
      <w:r w:rsidR="00A706F2" w:rsidRPr="00C33594">
        <w:t>Sr:Co</w:t>
      </w:r>
      <w:proofErr w:type="spellEnd"/>
      <w:r w:rsidR="00A706F2" w:rsidRPr="00C33594">
        <w:t xml:space="preserve"> molar ratio.</w:t>
      </w:r>
    </w:p>
    <w:p w14:paraId="0CD5DB79" w14:textId="035164D0" w:rsidR="00B77B86" w:rsidRPr="00C33594" w:rsidRDefault="00B77B86" w:rsidP="009D2107">
      <w:pPr>
        <w:pStyle w:val="CETBodytext"/>
      </w:pPr>
    </w:p>
    <w:p w14:paraId="1559B095" w14:textId="42B86DAF" w:rsidR="00AB50C9" w:rsidRPr="00C33594" w:rsidRDefault="008707AA" w:rsidP="009D2107">
      <w:pPr>
        <w:pStyle w:val="CETBodytext"/>
      </w:pPr>
      <w:r w:rsidRPr="00C33594">
        <w:t>The p</w:t>
      </w:r>
      <w:r w:rsidR="00B77B86" w:rsidRPr="00C33594">
        <w:t>hysical-chemical properties of the synthesi</w:t>
      </w:r>
      <w:r w:rsidR="006913BF" w:rsidRPr="00C33594">
        <w:t>z</w:t>
      </w:r>
      <w:r w:rsidR="00B77B86" w:rsidRPr="00C33594">
        <w:t xml:space="preserve">ed samples were evaluated by means of several </w:t>
      </w:r>
      <w:r w:rsidR="001C6172" w:rsidRPr="00C33594">
        <w:t>characterization</w:t>
      </w:r>
      <w:r w:rsidR="00B77B86" w:rsidRPr="00C33594">
        <w:t xml:space="preserve"> techniques, namely ICP</w:t>
      </w:r>
      <w:r w:rsidR="00675453" w:rsidRPr="00C33594">
        <w:t>-AES</w:t>
      </w:r>
      <w:r w:rsidR="00B77B86" w:rsidRPr="00C33594">
        <w:t>, XRD, BET, SEM</w:t>
      </w:r>
      <w:r w:rsidR="00A2220E" w:rsidRPr="00C33594">
        <w:t>-EDX, XPS</w:t>
      </w:r>
      <w:r w:rsidR="00B77B86" w:rsidRPr="00C33594">
        <w:t xml:space="preserve"> and temperature-programmed techniques. </w:t>
      </w:r>
      <w:r w:rsidR="00994AA9" w:rsidRPr="00C33594">
        <w:t>The catalytic tests were carried out in a tubular fixed-bed reactor with 0.85</w:t>
      </w:r>
      <w:r w:rsidR="00983032" w:rsidRPr="00C33594">
        <w:t> </w:t>
      </w:r>
      <w:r w:rsidR="00994AA9" w:rsidRPr="00C33594">
        <w:t>g of catalyst and a feed of 1,000 ppm of VC at a flow rate of 500 cm</w:t>
      </w:r>
      <w:r w:rsidR="00994AA9" w:rsidRPr="00C33594">
        <w:rPr>
          <w:vertAlign w:val="superscript"/>
        </w:rPr>
        <w:t>3</w:t>
      </w:r>
      <w:r w:rsidR="00994AA9" w:rsidRPr="00C33594">
        <w:t xml:space="preserve"> min</w:t>
      </w:r>
      <w:r w:rsidR="00994AA9" w:rsidRPr="00C33594">
        <w:rPr>
          <w:vertAlign w:val="superscript"/>
        </w:rPr>
        <w:t>-1</w:t>
      </w:r>
      <w:r w:rsidR="00994AA9" w:rsidRPr="00C33594">
        <w:t>, obtaining a gas hourly space velocity of 15,000</w:t>
      </w:r>
      <w:r w:rsidR="00983032" w:rsidRPr="00C33594">
        <w:t> </w:t>
      </w:r>
      <w:r w:rsidR="00994AA9" w:rsidRPr="00C33594">
        <w:t>h</w:t>
      </w:r>
      <w:r w:rsidR="00994AA9" w:rsidRPr="00C33594">
        <w:rPr>
          <w:vertAlign w:val="superscript"/>
        </w:rPr>
        <w:t>-1</w:t>
      </w:r>
      <w:r w:rsidR="00994AA9" w:rsidRPr="00C33594">
        <w:t xml:space="preserve">. The catalytic </w:t>
      </w:r>
      <w:r w:rsidR="00BD5CDC" w:rsidRPr="00C33594">
        <w:t>efficiency</w:t>
      </w:r>
      <w:r w:rsidR="00994AA9" w:rsidRPr="00C33594">
        <w:t xml:space="preserve"> was </w:t>
      </w:r>
      <w:r w:rsidRPr="00C33594">
        <w:t>explored</w:t>
      </w:r>
      <w:r w:rsidR="00994AA9" w:rsidRPr="00C33594">
        <w:t xml:space="preserve"> in the temperature range 150-500</w:t>
      </w:r>
      <w:r w:rsidR="00983032" w:rsidRPr="00C33594">
        <w:t> </w:t>
      </w:r>
      <w:r w:rsidR="00994AA9" w:rsidRPr="00C33594">
        <w:t xml:space="preserve">ºC. The feed and effluent streams were </w:t>
      </w:r>
      <w:r w:rsidR="006913BF" w:rsidRPr="00C33594">
        <w:t>analy</w:t>
      </w:r>
      <w:r w:rsidR="008D7F6B" w:rsidRPr="00C33594">
        <w:t>z</w:t>
      </w:r>
      <w:r w:rsidR="006913BF" w:rsidRPr="00C33594">
        <w:t>ed</w:t>
      </w:r>
      <w:r w:rsidR="00994AA9" w:rsidRPr="00C33594">
        <w:t xml:space="preserve"> by gas chromatography, volumetry and potentiometry.</w:t>
      </w:r>
    </w:p>
    <w:p w14:paraId="74E3BFBC" w14:textId="1BD03F05" w:rsidR="00AB50C9" w:rsidRPr="00C33594" w:rsidRDefault="00AB50C9" w:rsidP="00AB50C9">
      <w:pPr>
        <w:pStyle w:val="CETHeading1"/>
      </w:pPr>
      <w:r w:rsidRPr="00C33594">
        <w:t>Results and discussion</w:t>
      </w:r>
    </w:p>
    <w:p w14:paraId="1F0E6CEC" w14:textId="56593156" w:rsidR="009D4517" w:rsidRPr="00C33594" w:rsidRDefault="009D4517" w:rsidP="009D4517">
      <w:pPr>
        <w:pStyle w:val="CETheadingx"/>
        <w:numPr>
          <w:ilvl w:val="0"/>
          <w:numId w:val="0"/>
        </w:numPr>
      </w:pPr>
      <w:r w:rsidRPr="00C33594">
        <w:t xml:space="preserve">3.1. Physical-chemical </w:t>
      </w:r>
      <w:r w:rsidR="006913BF" w:rsidRPr="00C33594">
        <w:t>characterization</w:t>
      </w:r>
      <w:r w:rsidR="00E57363" w:rsidRPr="00C33594">
        <w:t xml:space="preserve"> </w:t>
      </w:r>
    </w:p>
    <w:p w14:paraId="2D939554" w14:textId="42045CD4" w:rsidR="00545841" w:rsidRPr="00C33594" w:rsidRDefault="00545841" w:rsidP="009D2107">
      <w:pPr>
        <w:pStyle w:val="CETBodytext"/>
      </w:pPr>
      <w:r w:rsidRPr="00C33594">
        <w:t>Prior to characterization, the samples were pelletized to obtain a particle size between 0.08-0.16 mm.</w:t>
      </w:r>
    </w:p>
    <w:p w14:paraId="05E19F21" w14:textId="224D7CDB" w:rsidR="00F44505" w:rsidRPr="00C33594" w:rsidRDefault="00084D4C" w:rsidP="009D2107">
      <w:pPr>
        <w:pStyle w:val="CETBodytext"/>
      </w:pPr>
      <w:r w:rsidRPr="00C33594">
        <w:t>The structural properties of the catalysts were evaluated by X-ray diffraction</w:t>
      </w:r>
      <w:r w:rsidR="00427128" w:rsidRPr="00C33594">
        <w:t xml:space="preserve"> between 5 and 80º at 2</w:t>
      </w:r>
      <w:r w:rsidR="00427128" w:rsidRPr="00C33594">
        <w:rPr>
          <w:rFonts w:cs="Arial"/>
        </w:rPr>
        <w:t>θ</w:t>
      </w:r>
      <w:r w:rsidR="001804C2" w:rsidRPr="00C33594">
        <w:t xml:space="preserve">. The instrument used </w:t>
      </w:r>
      <w:r w:rsidR="00427128" w:rsidRPr="00C33594">
        <w:t xml:space="preserve">was an automatic diffractometer model </w:t>
      </w:r>
      <w:proofErr w:type="spellStart"/>
      <w:r w:rsidR="00427128" w:rsidRPr="00C33594">
        <w:t>X’Pert</w:t>
      </w:r>
      <w:proofErr w:type="spellEnd"/>
      <w:r w:rsidR="00427128" w:rsidRPr="00C33594">
        <w:t xml:space="preserve"> PRO from </w:t>
      </w:r>
      <w:proofErr w:type="spellStart"/>
      <w:r w:rsidR="00427128" w:rsidRPr="00C33594">
        <w:t>PANaltical</w:t>
      </w:r>
      <w:proofErr w:type="spellEnd"/>
      <w:r w:rsidR="00427128" w:rsidRPr="00C33594">
        <w:t xml:space="preserve"> using Cu K</w:t>
      </w:r>
      <w:r w:rsidR="00427128" w:rsidRPr="00C33594">
        <w:rPr>
          <w:rFonts w:cs="Arial"/>
        </w:rPr>
        <w:t>α</w:t>
      </w:r>
      <w:r w:rsidR="00427128" w:rsidRPr="00C33594">
        <w:t xml:space="preserve"> radiation and a Ni filter.</w:t>
      </w:r>
      <w:r w:rsidRPr="00C33594">
        <w:t xml:space="preserve"> The obtained </w:t>
      </w:r>
      <w:r w:rsidR="008707AA" w:rsidRPr="00C33594">
        <w:t>patterns</w:t>
      </w:r>
      <w:r w:rsidRPr="00C33594">
        <w:t xml:space="preserve"> (Figure 1</w:t>
      </w:r>
      <w:r w:rsidR="00342447" w:rsidRPr="00C33594">
        <w:t>a</w:t>
      </w:r>
      <w:r w:rsidRPr="00C33594">
        <w:t>) confirm</w:t>
      </w:r>
      <w:r w:rsidR="00CD020B" w:rsidRPr="00C33594">
        <w:t>ed</w:t>
      </w:r>
      <w:r w:rsidRPr="00C33594">
        <w:t xml:space="preserve"> the coexistence of the two </w:t>
      </w:r>
      <w:r w:rsidR="008707AA" w:rsidRPr="00C33594">
        <w:t xml:space="preserve">oxide </w:t>
      </w:r>
      <w:r w:rsidRPr="00C33594">
        <w:t>phases (Co</w:t>
      </w:r>
      <w:r w:rsidRPr="00C33594">
        <w:rPr>
          <w:vertAlign w:val="subscript"/>
        </w:rPr>
        <w:t>3</w:t>
      </w:r>
      <w:r w:rsidRPr="00C33594">
        <w:t>O</w:t>
      </w:r>
      <w:r w:rsidRPr="00C33594">
        <w:rPr>
          <w:vertAlign w:val="subscript"/>
        </w:rPr>
        <w:t xml:space="preserve">4 </w:t>
      </w:r>
      <w:r w:rsidRPr="00C33594">
        <w:t>and SrCO</w:t>
      </w:r>
      <w:r w:rsidRPr="00C33594">
        <w:rPr>
          <w:vertAlign w:val="subscript"/>
        </w:rPr>
        <w:t>3</w:t>
      </w:r>
      <w:r w:rsidRPr="00C33594">
        <w:t xml:space="preserve">). </w:t>
      </w:r>
      <w:r w:rsidR="008707AA" w:rsidRPr="00C33594">
        <w:t>Thus</w:t>
      </w:r>
      <w:r w:rsidRPr="00C33594">
        <w:t xml:space="preserve">, the diffraction peaks </w:t>
      </w:r>
      <w:r w:rsidR="008707AA" w:rsidRPr="00C33594">
        <w:t>located</w:t>
      </w:r>
      <w:r w:rsidRPr="00C33594">
        <w:t xml:space="preserve"> at 2</w:t>
      </w:r>
      <w:r w:rsidRPr="00C33594">
        <w:rPr>
          <w:rFonts w:cs="Arial"/>
        </w:rPr>
        <w:t>θ</w:t>
      </w:r>
      <w:r w:rsidRPr="00C33594">
        <w:t>=19.2º, 31.3º, 36.9º, 44.8º, 59.4º and 65.2º were characteristic of the cubic Co</w:t>
      </w:r>
      <w:r w:rsidRPr="00C33594">
        <w:rPr>
          <w:vertAlign w:val="subscript"/>
        </w:rPr>
        <w:t>3</w:t>
      </w:r>
      <w:r w:rsidRPr="00C33594">
        <w:t>O</w:t>
      </w:r>
      <w:r w:rsidRPr="00C33594">
        <w:rPr>
          <w:vertAlign w:val="subscript"/>
        </w:rPr>
        <w:t>4</w:t>
      </w:r>
      <w:r w:rsidRPr="00C33594">
        <w:t xml:space="preserve"> spinel structure (ICDD 01-078-1969), while those at 2</w:t>
      </w:r>
      <w:r w:rsidRPr="00C33594">
        <w:rPr>
          <w:rFonts w:cs="Arial"/>
        </w:rPr>
        <w:t>θ</w:t>
      </w:r>
      <w:r w:rsidRPr="00C33594">
        <w:t>=25.2º, 25.8º, 29.6º, 36.6º, 41.5º, 44.1º, 47.7º and 50.2º corresponded to the SrCO</w:t>
      </w:r>
      <w:r w:rsidRPr="00C33594">
        <w:rPr>
          <w:vertAlign w:val="subscript"/>
        </w:rPr>
        <w:t>3</w:t>
      </w:r>
      <w:r w:rsidRPr="00C33594">
        <w:t xml:space="preserve"> phase (ICDD 01-084-1778), which verified that </w:t>
      </w:r>
      <w:r w:rsidR="00A706F2" w:rsidRPr="00C33594">
        <w:t xml:space="preserve">the </w:t>
      </w:r>
      <w:r w:rsidRPr="00C33594">
        <w:t>SrCO</w:t>
      </w:r>
      <w:r w:rsidRPr="00C33594">
        <w:rPr>
          <w:vertAlign w:val="subscript"/>
        </w:rPr>
        <w:t>3</w:t>
      </w:r>
      <w:r w:rsidRPr="00C33594">
        <w:t>-Co</w:t>
      </w:r>
      <w:r w:rsidRPr="00C33594">
        <w:rPr>
          <w:vertAlign w:val="subscript"/>
        </w:rPr>
        <w:t>3</w:t>
      </w:r>
      <w:r w:rsidRPr="00C33594">
        <w:t>O</w:t>
      </w:r>
      <w:r w:rsidRPr="00C33594">
        <w:rPr>
          <w:vertAlign w:val="subscript"/>
        </w:rPr>
        <w:t>4</w:t>
      </w:r>
      <w:r w:rsidRPr="00C33594">
        <w:t xml:space="preserve"> composite catalysts were successfully </w:t>
      </w:r>
      <w:r w:rsidR="001C6172" w:rsidRPr="00C33594">
        <w:t>synthesized</w:t>
      </w:r>
      <w:r w:rsidRPr="00C33594">
        <w:t xml:space="preserve">. </w:t>
      </w:r>
      <w:r w:rsidR="00CD020B" w:rsidRPr="00C33594">
        <w:t>Moreover, n</w:t>
      </w:r>
      <w:r w:rsidR="003C5E3B" w:rsidRPr="00C33594">
        <w:t xml:space="preserve">o other diffraction peaks related to </w:t>
      </w:r>
      <w:proofErr w:type="spellStart"/>
      <w:r w:rsidR="003C5E3B" w:rsidRPr="00C33594">
        <w:t>CoO</w:t>
      </w:r>
      <w:proofErr w:type="spellEnd"/>
      <w:r w:rsidR="003C5E3B" w:rsidRPr="00C33594">
        <w:t xml:space="preserve"> or other impurities (precursor remnants) were detected.</w:t>
      </w:r>
      <w:r w:rsidR="00CD020B" w:rsidRPr="00C33594">
        <w:t xml:space="preserve"> On the other hand, it could be observed that the ratio between the peaks at 2</w:t>
      </w:r>
      <w:r w:rsidR="00CD020B" w:rsidRPr="00C33594">
        <w:rPr>
          <w:rFonts w:cs="Arial"/>
        </w:rPr>
        <w:t>θ</w:t>
      </w:r>
      <w:r w:rsidR="00CD020B" w:rsidRPr="00C33594">
        <w:t xml:space="preserve">=36.9º </w:t>
      </w:r>
      <w:r w:rsidR="00675453" w:rsidRPr="00C33594">
        <w:t>(Co</w:t>
      </w:r>
      <w:r w:rsidR="00675453" w:rsidRPr="00C33594">
        <w:rPr>
          <w:vertAlign w:val="subscript"/>
        </w:rPr>
        <w:t>3</w:t>
      </w:r>
      <w:r w:rsidR="00675453" w:rsidRPr="00C33594">
        <w:t>O</w:t>
      </w:r>
      <w:r w:rsidR="00675453" w:rsidRPr="00C33594">
        <w:rPr>
          <w:vertAlign w:val="subscript"/>
        </w:rPr>
        <w:t>4</w:t>
      </w:r>
      <w:r w:rsidR="00675453" w:rsidRPr="00C33594">
        <w:t xml:space="preserve">) </w:t>
      </w:r>
      <w:r w:rsidR="00CD020B" w:rsidRPr="00C33594">
        <w:t xml:space="preserve">and 25.2º </w:t>
      </w:r>
      <w:r w:rsidR="00675453" w:rsidRPr="00C33594">
        <w:t>(SrCO</w:t>
      </w:r>
      <w:r w:rsidR="00675453" w:rsidRPr="00C33594">
        <w:rPr>
          <w:vertAlign w:val="subscript"/>
        </w:rPr>
        <w:t>3</w:t>
      </w:r>
      <w:r w:rsidR="00675453" w:rsidRPr="00C33594">
        <w:t xml:space="preserve">) </w:t>
      </w:r>
      <w:r w:rsidR="00CD020B" w:rsidRPr="00C33594">
        <w:t xml:space="preserve">decreased as the </w:t>
      </w:r>
      <w:proofErr w:type="spellStart"/>
      <w:r w:rsidR="00CD020B" w:rsidRPr="00C33594">
        <w:t>Sr:Co</w:t>
      </w:r>
      <w:proofErr w:type="spellEnd"/>
      <w:r w:rsidR="00CD020B" w:rsidRPr="00C33594">
        <w:t xml:space="preserve"> molar ratio increased, which confirmed a </w:t>
      </w:r>
      <w:r w:rsidR="00A706F2" w:rsidRPr="00C33594">
        <w:t>raise</w:t>
      </w:r>
      <w:r w:rsidR="00CD020B" w:rsidRPr="00C33594">
        <w:t xml:space="preserve"> of SrCO</w:t>
      </w:r>
      <w:r w:rsidR="00CD020B" w:rsidRPr="00C33594">
        <w:rPr>
          <w:vertAlign w:val="subscript"/>
        </w:rPr>
        <w:t>3</w:t>
      </w:r>
      <w:r w:rsidR="00CD020B" w:rsidRPr="00C33594">
        <w:t xml:space="preserve"> content in the samples.</w:t>
      </w:r>
      <w:r w:rsidR="00A706F2" w:rsidRPr="00C33594">
        <w:t xml:space="preserve"> </w:t>
      </w:r>
      <w:r w:rsidR="00675453" w:rsidRPr="00C33594">
        <w:t>This Sr enrichment was verified by</w:t>
      </w:r>
      <w:r w:rsidR="00A706F2" w:rsidRPr="00C33594">
        <w:t xml:space="preserve"> ICP-AES </w:t>
      </w:r>
      <w:r w:rsidR="00675453" w:rsidRPr="00C33594">
        <w:t>analysis</w:t>
      </w:r>
      <w:r w:rsidR="00A706F2" w:rsidRPr="00C33594">
        <w:t xml:space="preserve">. </w:t>
      </w:r>
      <w:r w:rsidR="008A0905" w:rsidRPr="00C33594">
        <w:t xml:space="preserve">The measurements were performed in a Horiba </w:t>
      </w:r>
      <w:proofErr w:type="spellStart"/>
      <w:r w:rsidR="008A0905" w:rsidRPr="00C33594">
        <w:t>Yobin</w:t>
      </w:r>
      <w:proofErr w:type="spellEnd"/>
      <w:r w:rsidR="008A0905" w:rsidRPr="00C33594">
        <w:t xml:space="preserve"> Yvon </w:t>
      </w:r>
      <w:proofErr w:type="spellStart"/>
      <w:r w:rsidR="008A0905" w:rsidRPr="00C33594">
        <w:t>Activa</w:t>
      </w:r>
      <w:proofErr w:type="spellEnd"/>
      <w:r w:rsidR="008A0905" w:rsidRPr="00C33594">
        <w:t xml:space="preserve"> instrument </w:t>
      </w:r>
      <w:r w:rsidR="002B264F" w:rsidRPr="00C33594">
        <w:t xml:space="preserve">where the samples were previously dissolved in aqua regia. </w:t>
      </w:r>
      <w:r w:rsidR="00A706F2" w:rsidRPr="00C33594">
        <w:t xml:space="preserve">As shown in Table 1, the experimental values were very similar to the nominal ones, except for the SrCo0.3 catalyst, which was </w:t>
      </w:r>
      <w:r w:rsidR="007B2F75" w:rsidRPr="00C33594">
        <w:t>somewhat</w:t>
      </w:r>
      <w:r w:rsidR="00A706F2" w:rsidRPr="00C33594">
        <w:t xml:space="preserve"> higher.</w:t>
      </w:r>
    </w:p>
    <w:p w14:paraId="0B2E503F" w14:textId="2D39AA37" w:rsidR="00B6192F" w:rsidRPr="00C33594" w:rsidRDefault="00F44505" w:rsidP="009D2107">
      <w:pPr>
        <w:pStyle w:val="CETBodytext"/>
      </w:pPr>
      <w:r w:rsidRPr="00C33594">
        <w:t>T</w:t>
      </w:r>
      <w:r w:rsidR="008707AA" w:rsidRPr="00C33594">
        <w:t>he t</w:t>
      </w:r>
      <w:r w:rsidRPr="00C33594">
        <w:t>extural properties of the samples were evaluated by N</w:t>
      </w:r>
      <w:r w:rsidRPr="00C33594">
        <w:rPr>
          <w:vertAlign w:val="subscript"/>
        </w:rPr>
        <w:t>2</w:t>
      </w:r>
      <w:r w:rsidRPr="00C33594">
        <w:t xml:space="preserve"> physisorption</w:t>
      </w:r>
      <w:r w:rsidR="00427128" w:rsidRPr="00C33594">
        <w:t xml:space="preserve"> with a Micromeritics TRISTAR II 3020 instrument. Prior to the analysis the samples were degassed at 200 ºC for 10 h with N</w:t>
      </w:r>
      <w:r w:rsidR="00427128" w:rsidRPr="00C33594">
        <w:rPr>
          <w:vertAlign w:val="subscript"/>
        </w:rPr>
        <w:t>2</w:t>
      </w:r>
      <w:r w:rsidR="00427128" w:rsidRPr="00C33594">
        <w:t xml:space="preserve"> flow.</w:t>
      </w:r>
      <w:r w:rsidR="00736372" w:rsidRPr="00C33594">
        <w:t xml:space="preserve"> The</w:t>
      </w:r>
      <w:r w:rsidRPr="00C33594">
        <w:t xml:space="preserve"> main results are </w:t>
      </w:r>
      <w:r w:rsidR="00736372" w:rsidRPr="00C33594">
        <w:t>summari</w:t>
      </w:r>
      <w:r w:rsidR="008D7F6B" w:rsidRPr="00C33594">
        <w:t>z</w:t>
      </w:r>
      <w:r w:rsidR="00736372" w:rsidRPr="00C33594">
        <w:t xml:space="preserve">ed </w:t>
      </w:r>
      <w:r w:rsidRPr="00C33594">
        <w:t xml:space="preserve">in Table 1. All samples exhibited type IV isotherms with H1 hysteresis loops, indicating that the mesoporous structure was preserved after the strontium addition. Moreover, it could be </w:t>
      </w:r>
      <w:r w:rsidR="008707AA" w:rsidRPr="00C33594">
        <w:t>noticed</w:t>
      </w:r>
      <w:r w:rsidRPr="00C33594">
        <w:t xml:space="preserve"> that as the content of SrCO</w:t>
      </w:r>
      <w:r w:rsidRPr="00C33594">
        <w:rPr>
          <w:vertAlign w:val="subscript"/>
        </w:rPr>
        <w:t>3</w:t>
      </w:r>
      <w:r w:rsidRPr="00C33594">
        <w:t xml:space="preserve"> increased, so did the surface area of the catalysts</w:t>
      </w:r>
      <w:r w:rsidR="00621198" w:rsidRPr="00C33594">
        <w:t xml:space="preserve"> from </w:t>
      </w:r>
      <w:r w:rsidR="00886E7A" w:rsidRPr="00C33594">
        <w:t>1</w:t>
      </w:r>
      <w:r w:rsidR="00621198" w:rsidRPr="00C33594">
        <w:t>9 to 26-32 m</w:t>
      </w:r>
      <w:r w:rsidR="00621198" w:rsidRPr="00C33594">
        <w:rPr>
          <w:vertAlign w:val="superscript"/>
        </w:rPr>
        <w:t>2</w:t>
      </w:r>
      <w:r w:rsidR="00621198" w:rsidRPr="00C33594">
        <w:t> g</w:t>
      </w:r>
      <w:r w:rsidR="00621198" w:rsidRPr="00C33594">
        <w:rPr>
          <w:vertAlign w:val="superscript"/>
        </w:rPr>
        <w:t>-1</w:t>
      </w:r>
      <w:r w:rsidR="00621198" w:rsidRPr="00C33594">
        <w:t>. This observation</w:t>
      </w:r>
      <w:r w:rsidRPr="00C33594">
        <w:t xml:space="preserve"> could be provoked by the introduction of Sr into Co</w:t>
      </w:r>
      <w:r w:rsidRPr="00C33594">
        <w:rPr>
          <w:vertAlign w:val="subscript"/>
        </w:rPr>
        <w:t>3</w:t>
      </w:r>
      <w:r w:rsidRPr="00C33594">
        <w:t>O</w:t>
      </w:r>
      <w:r w:rsidRPr="00C33594">
        <w:rPr>
          <w:vertAlign w:val="subscript"/>
        </w:rPr>
        <w:t>4</w:t>
      </w:r>
      <w:r w:rsidRPr="00C33594">
        <w:t xml:space="preserve"> lattice</w:t>
      </w:r>
      <w:r w:rsidR="00621198" w:rsidRPr="00C33594">
        <w:t>, which</w:t>
      </w:r>
      <w:r w:rsidR="00886E7A" w:rsidRPr="00C33594">
        <w:t xml:space="preserve"> </w:t>
      </w:r>
      <w:r w:rsidRPr="00C33594">
        <w:t xml:space="preserve">could </w:t>
      </w:r>
      <w:r w:rsidR="00621198" w:rsidRPr="00C33594">
        <w:t xml:space="preserve">limit </w:t>
      </w:r>
      <w:r w:rsidRPr="00C33594">
        <w:t>the growth of cobalt nanocrystals in accordance with XRD results</w:t>
      </w:r>
      <w:r w:rsidR="00983032" w:rsidRPr="00C33594">
        <w:t xml:space="preserve"> (9-12 nm for </w:t>
      </w:r>
      <w:proofErr w:type="spellStart"/>
      <w:r w:rsidR="00983032" w:rsidRPr="00C33594">
        <w:t>SrCox</w:t>
      </w:r>
      <w:proofErr w:type="spellEnd"/>
      <w:r w:rsidR="00983032" w:rsidRPr="00C33594">
        <w:t xml:space="preserve"> </w:t>
      </w:r>
      <w:r w:rsidR="00D57BC3" w:rsidRPr="00C33594">
        <w:t xml:space="preserve">oxides </w:t>
      </w:r>
      <w:r w:rsidR="00983032" w:rsidRPr="00C33594">
        <w:t>compared with 22 nm</w:t>
      </w:r>
      <w:r w:rsidR="00C90F60" w:rsidRPr="00C33594">
        <w:t xml:space="preserve"> for the pristine Co</w:t>
      </w:r>
      <w:r w:rsidR="00C90F60" w:rsidRPr="00C33594">
        <w:rPr>
          <w:vertAlign w:val="subscript"/>
        </w:rPr>
        <w:t>3</w:t>
      </w:r>
      <w:r w:rsidR="00C90F60" w:rsidRPr="00C33594">
        <w:t>O</w:t>
      </w:r>
      <w:r w:rsidR="00C90F60" w:rsidRPr="00C33594">
        <w:rPr>
          <w:vertAlign w:val="subscript"/>
        </w:rPr>
        <w:t>4</w:t>
      </w:r>
      <w:r w:rsidR="00C90F60" w:rsidRPr="00C33594">
        <w:t xml:space="preserve"> sample</w:t>
      </w:r>
      <w:r w:rsidR="00983032" w:rsidRPr="00C33594">
        <w:t>)</w:t>
      </w:r>
      <w:r w:rsidRPr="00C33594">
        <w:t xml:space="preserve">. </w:t>
      </w:r>
      <w:r w:rsidR="00621198" w:rsidRPr="00C33594">
        <w:t>A s</w:t>
      </w:r>
      <w:r w:rsidRPr="00C33594">
        <w:t xml:space="preserve">imilar </w:t>
      </w:r>
      <w:r w:rsidR="008707AA" w:rsidRPr="00C33594">
        <w:t>finding</w:t>
      </w:r>
      <w:r w:rsidRPr="00C33594">
        <w:t xml:space="preserve"> was </w:t>
      </w:r>
      <w:r w:rsidR="00621198" w:rsidRPr="00C33594">
        <w:t xml:space="preserve">reported </w:t>
      </w:r>
      <w:r w:rsidRPr="00C33594">
        <w:t xml:space="preserve">by Feng et al., (2018) when </w:t>
      </w:r>
      <w:r w:rsidR="00621198" w:rsidRPr="00C33594">
        <w:t>doping CeO</w:t>
      </w:r>
      <w:r w:rsidR="00621198" w:rsidRPr="00C33594">
        <w:rPr>
          <w:vertAlign w:val="subscript"/>
        </w:rPr>
        <w:t>2</w:t>
      </w:r>
      <w:r w:rsidR="00621198" w:rsidRPr="00C33594">
        <w:t xml:space="preserve"> with Sr</w:t>
      </w:r>
      <w:r w:rsidRPr="00C33594">
        <w:t>.</w:t>
      </w:r>
    </w:p>
    <w:p w14:paraId="79F78DC6" w14:textId="4E797ACB" w:rsidR="000A64FE" w:rsidRPr="00C33594" w:rsidRDefault="000A64FE" w:rsidP="000A64FE">
      <w:pPr>
        <w:pStyle w:val="CETTabletitle"/>
        <w:rPr>
          <w:lang w:val="en-US"/>
        </w:rPr>
      </w:pPr>
      <w:r w:rsidRPr="00C33594">
        <w:rPr>
          <w:lang w:val="en-US"/>
        </w:rPr>
        <w:lastRenderedPageBreak/>
        <w:t xml:space="preserve">Table 1. Physical-chemical properties </w:t>
      </w:r>
      <w:r w:rsidR="007E3D8B" w:rsidRPr="00C33594">
        <w:rPr>
          <w:lang w:val="en-US"/>
        </w:rPr>
        <w:t xml:space="preserve">and activity data in the catalytic oxidation of VC </w:t>
      </w:r>
      <w:r w:rsidRPr="00C33594">
        <w:rPr>
          <w:lang w:val="en-US"/>
        </w:rPr>
        <w:t>o</w:t>
      </w:r>
      <w:r w:rsidR="007E3D8B" w:rsidRPr="00C33594">
        <w:rPr>
          <w:lang w:val="en-US"/>
        </w:rPr>
        <w:t>ver</w:t>
      </w:r>
      <w:r w:rsidRPr="00C33594">
        <w:rPr>
          <w:lang w:val="en-US"/>
        </w:rPr>
        <w:t xml:space="preserve"> the SrCO</w:t>
      </w:r>
      <w:r w:rsidRPr="00C33594">
        <w:rPr>
          <w:vertAlign w:val="subscript"/>
          <w:lang w:val="en-US"/>
        </w:rPr>
        <w:t>3</w:t>
      </w:r>
      <w:r w:rsidRPr="00C33594">
        <w:rPr>
          <w:lang w:val="en-US"/>
        </w:rPr>
        <w:t>-Co</w:t>
      </w:r>
      <w:r w:rsidRPr="00C33594">
        <w:rPr>
          <w:vertAlign w:val="subscript"/>
          <w:lang w:val="en-US"/>
        </w:rPr>
        <w:t>3</w:t>
      </w:r>
      <w:r w:rsidRPr="00C33594">
        <w:rPr>
          <w:lang w:val="en-US"/>
        </w:rPr>
        <w:t>O</w:t>
      </w:r>
      <w:r w:rsidRPr="00C33594">
        <w:rPr>
          <w:vertAlign w:val="subscript"/>
          <w:lang w:val="en-US"/>
        </w:rPr>
        <w:t>4</w:t>
      </w:r>
      <w:r w:rsidRPr="00C33594">
        <w:rPr>
          <w:lang w:val="en-US"/>
        </w:rPr>
        <w:t xml:space="preserve"> composite catalysts.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76"/>
        <w:gridCol w:w="695"/>
        <w:gridCol w:w="521"/>
        <w:gridCol w:w="597"/>
        <w:gridCol w:w="417"/>
        <w:gridCol w:w="577"/>
        <w:gridCol w:w="1071"/>
        <w:gridCol w:w="698"/>
        <w:gridCol w:w="86"/>
        <w:gridCol w:w="871"/>
        <w:gridCol w:w="607"/>
        <w:gridCol w:w="564"/>
        <w:gridCol w:w="564"/>
        <w:gridCol w:w="545"/>
      </w:tblGrid>
      <w:tr w:rsidR="00C33594" w:rsidRPr="00C33594" w14:paraId="33EB0D85" w14:textId="7D2DAF36" w:rsidTr="00C33594">
        <w:trPr>
          <w:trHeight w:val="201"/>
        </w:trPr>
        <w:tc>
          <w:tcPr>
            <w:tcW w:w="976" w:type="dxa"/>
            <w:vMerge w:val="restart"/>
            <w:tcBorders>
              <w:top w:val="single" w:sz="12" w:space="0" w:color="008000"/>
            </w:tcBorders>
            <w:shd w:val="clear" w:color="auto" w:fill="FFFFFF"/>
            <w:vAlign w:val="center"/>
          </w:tcPr>
          <w:p w14:paraId="2906E057" w14:textId="77777777" w:rsidR="007E3D8B" w:rsidRPr="00C33594" w:rsidRDefault="007E3D8B" w:rsidP="00C33594">
            <w:pPr>
              <w:pStyle w:val="CETBodytext"/>
              <w:jc w:val="center"/>
            </w:pPr>
            <w:r w:rsidRPr="00C33594">
              <w:t>Catalyst</w:t>
            </w:r>
          </w:p>
        </w:tc>
        <w:tc>
          <w:tcPr>
            <w:tcW w:w="695" w:type="dxa"/>
            <w:vMerge w:val="restart"/>
            <w:tcBorders>
              <w:top w:val="single" w:sz="12" w:space="0" w:color="008000"/>
            </w:tcBorders>
            <w:shd w:val="clear" w:color="auto" w:fill="FFFFFF"/>
            <w:vAlign w:val="center"/>
          </w:tcPr>
          <w:p w14:paraId="07D92361" w14:textId="77777777" w:rsidR="007E3D8B" w:rsidRPr="00C33594" w:rsidRDefault="007E3D8B" w:rsidP="00C33594">
            <w:pPr>
              <w:pStyle w:val="CETBodytext"/>
              <w:jc w:val="center"/>
            </w:pPr>
            <w:proofErr w:type="spellStart"/>
            <w:r w:rsidRPr="00C33594">
              <w:t>Sr:Co</w:t>
            </w:r>
            <w:proofErr w:type="spellEnd"/>
            <w:r w:rsidRPr="00C33594">
              <w:t xml:space="preserve"> ratio (ICP-AES)</w:t>
            </w:r>
          </w:p>
        </w:tc>
        <w:tc>
          <w:tcPr>
            <w:tcW w:w="521" w:type="dxa"/>
            <w:vMerge w:val="restart"/>
            <w:tcBorders>
              <w:top w:val="single" w:sz="12" w:space="0" w:color="008000"/>
            </w:tcBorders>
            <w:shd w:val="clear" w:color="auto" w:fill="FFFFFF"/>
            <w:vAlign w:val="center"/>
          </w:tcPr>
          <w:p w14:paraId="302EF570" w14:textId="77777777" w:rsidR="007E3D8B" w:rsidRPr="00C33594" w:rsidRDefault="007E3D8B" w:rsidP="00C33594">
            <w:pPr>
              <w:pStyle w:val="CETBodytext"/>
              <w:jc w:val="center"/>
              <w:rPr>
                <w:vertAlign w:val="superscript"/>
              </w:rPr>
            </w:pPr>
            <w:r w:rsidRPr="00C33594">
              <w:t>S</w:t>
            </w:r>
            <w:r w:rsidRPr="00C33594">
              <w:rPr>
                <w:vertAlign w:val="subscript"/>
              </w:rPr>
              <w:t>BET</w:t>
            </w:r>
            <w:r w:rsidRPr="00C33594">
              <w:t>, m</w:t>
            </w:r>
            <w:r w:rsidRPr="00C33594">
              <w:rPr>
                <w:vertAlign w:val="superscript"/>
              </w:rPr>
              <w:t>2</w:t>
            </w:r>
            <w:r w:rsidRPr="00C33594">
              <w:t xml:space="preserve"> g</w:t>
            </w:r>
            <w:r w:rsidRPr="00C33594">
              <w:rPr>
                <w:vertAlign w:val="superscript"/>
              </w:rPr>
              <w:t>-1</w:t>
            </w:r>
          </w:p>
        </w:tc>
        <w:tc>
          <w:tcPr>
            <w:tcW w:w="597" w:type="dxa"/>
            <w:vMerge w:val="restart"/>
            <w:tcBorders>
              <w:top w:val="single" w:sz="12" w:space="0" w:color="008000"/>
            </w:tcBorders>
            <w:shd w:val="clear" w:color="auto" w:fill="FFFFFF"/>
            <w:vAlign w:val="center"/>
          </w:tcPr>
          <w:p w14:paraId="148AA22E" w14:textId="77777777" w:rsidR="007E3D8B" w:rsidRPr="00C33594" w:rsidRDefault="007E3D8B" w:rsidP="00C33594">
            <w:pPr>
              <w:pStyle w:val="CETBodytext"/>
              <w:ind w:right="-1"/>
              <w:jc w:val="center"/>
              <w:rPr>
                <w:rFonts w:cs="Arial"/>
                <w:szCs w:val="18"/>
              </w:rPr>
            </w:pPr>
            <w:proofErr w:type="spellStart"/>
            <w:r w:rsidRPr="00C33594">
              <w:rPr>
                <w:rFonts w:cs="Arial"/>
                <w:szCs w:val="18"/>
              </w:rPr>
              <w:t>V</w:t>
            </w:r>
            <w:r w:rsidRPr="00C33594">
              <w:rPr>
                <w:rFonts w:cs="Arial"/>
                <w:szCs w:val="18"/>
                <w:vertAlign w:val="subscript"/>
              </w:rPr>
              <w:t>pore</w:t>
            </w:r>
            <w:proofErr w:type="spellEnd"/>
            <w:r w:rsidRPr="00C33594">
              <w:rPr>
                <w:rFonts w:cs="Arial"/>
                <w:szCs w:val="18"/>
              </w:rPr>
              <w:t>, cm</w:t>
            </w:r>
            <w:r w:rsidRPr="00C33594">
              <w:rPr>
                <w:rFonts w:cs="Arial"/>
                <w:szCs w:val="18"/>
                <w:vertAlign w:val="superscript"/>
              </w:rPr>
              <w:t>3</w:t>
            </w:r>
            <w:r w:rsidRPr="00C33594">
              <w:rPr>
                <w:rFonts w:cs="Arial"/>
                <w:szCs w:val="18"/>
              </w:rPr>
              <w:t xml:space="preserve"> g</w:t>
            </w:r>
            <w:r w:rsidRPr="00C33594">
              <w:rPr>
                <w:rFonts w:cs="Arial"/>
                <w:szCs w:val="18"/>
                <w:vertAlign w:val="superscript"/>
              </w:rPr>
              <w:t>-1</w:t>
            </w:r>
          </w:p>
        </w:tc>
        <w:tc>
          <w:tcPr>
            <w:tcW w:w="417" w:type="dxa"/>
            <w:vMerge w:val="restart"/>
            <w:tcBorders>
              <w:top w:val="single" w:sz="12" w:space="0" w:color="008000"/>
            </w:tcBorders>
            <w:shd w:val="clear" w:color="auto" w:fill="FFFFFF"/>
            <w:vAlign w:val="center"/>
          </w:tcPr>
          <w:p w14:paraId="257C860B" w14:textId="21890765" w:rsidR="007E3D8B" w:rsidRPr="00C33594" w:rsidRDefault="007E3D8B" w:rsidP="00C33594">
            <w:pPr>
              <w:pStyle w:val="CETBodytext"/>
              <w:ind w:right="-1"/>
              <w:jc w:val="center"/>
              <w:rPr>
                <w:rFonts w:cs="Arial"/>
                <w:szCs w:val="18"/>
              </w:rPr>
            </w:pPr>
            <w:proofErr w:type="spellStart"/>
            <w:r w:rsidRPr="00C33594">
              <w:rPr>
                <w:rFonts w:cs="Arial"/>
                <w:szCs w:val="18"/>
              </w:rPr>
              <w:t>d</w:t>
            </w:r>
            <w:r w:rsidRPr="00C33594">
              <w:rPr>
                <w:rFonts w:cs="Arial"/>
                <w:szCs w:val="18"/>
                <w:vertAlign w:val="subscript"/>
              </w:rPr>
              <w:t>pore</w:t>
            </w:r>
            <w:proofErr w:type="spellEnd"/>
            <w:r w:rsidRPr="00C33594">
              <w:rPr>
                <w:rFonts w:cs="Arial"/>
                <w:szCs w:val="18"/>
              </w:rPr>
              <w:t>,</w:t>
            </w:r>
          </w:p>
          <w:p w14:paraId="352F2AD7" w14:textId="77777777" w:rsidR="007E3D8B" w:rsidRPr="00C33594" w:rsidRDefault="007E3D8B" w:rsidP="00C33594">
            <w:pPr>
              <w:pStyle w:val="CETBodytext"/>
              <w:ind w:right="-1"/>
              <w:jc w:val="center"/>
              <w:rPr>
                <w:rFonts w:cs="Arial"/>
                <w:szCs w:val="18"/>
              </w:rPr>
            </w:pPr>
            <w:r w:rsidRPr="00C33594">
              <w:rPr>
                <w:rFonts w:cs="Arial"/>
                <w:szCs w:val="18"/>
              </w:rPr>
              <w:t>Å</w:t>
            </w:r>
          </w:p>
        </w:tc>
        <w:tc>
          <w:tcPr>
            <w:tcW w:w="577" w:type="dxa"/>
            <w:vMerge w:val="restart"/>
            <w:tcBorders>
              <w:top w:val="single" w:sz="12" w:space="0" w:color="008000"/>
            </w:tcBorders>
            <w:shd w:val="clear" w:color="auto" w:fill="FFFFFF"/>
            <w:vAlign w:val="center"/>
          </w:tcPr>
          <w:p w14:paraId="6D8B4196" w14:textId="77777777" w:rsidR="007E3D8B" w:rsidRPr="00C33594" w:rsidRDefault="00B74FDF" w:rsidP="00C33594">
            <w:pPr>
              <w:pStyle w:val="CETBodytext"/>
              <w:ind w:right="-1"/>
              <w:jc w:val="center"/>
              <w:rPr>
                <w:rFonts w:cs="Arial"/>
                <w:szCs w:val="18"/>
              </w:rPr>
            </w:pPr>
            <m:oMath>
              <m:sSub>
                <m:sSubPr>
                  <m:ctrlPr>
                    <w:rPr>
                      <w:rFonts w:ascii="Cambria Math" w:hAnsi="Cambria Math" w:cs="Arial"/>
                      <w:i/>
                      <w:szCs w:val="18"/>
                    </w:rPr>
                  </m:ctrlPr>
                </m:sSubPr>
                <m:e>
                  <m:r>
                    <m:rPr>
                      <m:nor/>
                    </m:rPr>
                    <w:rPr>
                      <w:rFonts w:cs="Arial"/>
                      <w:szCs w:val="18"/>
                    </w:rPr>
                    <m:t>D</m:t>
                  </m:r>
                </m:e>
                <m:sub>
                  <m:sSub>
                    <m:sSubPr>
                      <m:ctrlPr>
                        <w:rPr>
                          <w:rFonts w:ascii="Cambria Math" w:hAnsi="Cambria Math" w:cs="Arial"/>
                          <w:i/>
                          <w:szCs w:val="18"/>
                        </w:rPr>
                      </m:ctrlPr>
                    </m:sSubPr>
                    <m:e>
                      <m:r>
                        <m:rPr>
                          <m:nor/>
                        </m:rPr>
                        <w:rPr>
                          <w:rFonts w:cs="Arial"/>
                          <w:szCs w:val="18"/>
                        </w:rPr>
                        <m:t>Co</m:t>
                      </m:r>
                    </m:e>
                    <m:sub>
                      <m:r>
                        <m:rPr>
                          <m:nor/>
                        </m:rPr>
                        <w:rPr>
                          <w:rFonts w:cs="Arial"/>
                          <w:szCs w:val="18"/>
                        </w:rPr>
                        <m:t>3</m:t>
                      </m:r>
                    </m:sub>
                  </m:sSub>
                  <m:sSub>
                    <m:sSubPr>
                      <m:ctrlPr>
                        <w:rPr>
                          <w:rFonts w:ascii="Cambria Math" w:hAnsi="Cambria Math" w:cs="Arial"/>
                          <w:i/>
                          <w:szCs w:val="18"/>
                        </w:rPr>
                      </m:ctrlPr>
                    </m:sSubPr>
                    <m:e>
                      <m:r>
                        <m:rPr>
                          <m:nor/>
                        </m:rPr>
                        <w:rPr>
                          <w:rFonts w:cs="Arial"/>
                          <w:szCs w:val="18"/>
                        </w:rPr>
                        <m:t>O</m:t>
                      </m:r>
                    </m:e>
                    <m:sub>
                      <m:r>
                        <m:rPr>
                          <m:nor/>
                        </m:rPr>
                        <w:rPr>
                          <w:rFonts w:cs="Arial"/>
                          <w:szCs w:val="18"/>
                        </w:rPr>
                        <m:t>4</m:t>
                      </m:r>
                    </m:sub>
                  </m:sSub>
                </m:sub>
              </m:sSub>
            </m:oMath>
            <w:r w:rsidR="007E3D8B" w:rsidRPr="00C33594">
              <w:rPr>
                <w:rFonts w:cs="Arial"/>
                <w:szCs w:val="18"/>
              </w:rPr>
              <w:t>, nm</w:t>
            </w:r>
          </w:p>
        </w:tc>
        <w:tc>
          <w:tcPr>
            <w:tcW w:w="1071" w:type="dxa"/>
            <w:vMerge w:val="restart"/>
            <w:tcBorders>
              <w:top w:val="single" w:sz="12" w:space="0" w:color="008000"/>
            </w:tcBorders>
            <w:shd w:val="clear" w:color="auto" w:fill="FFFFFF"/>
            <w:vAlign w:val="center"/>
          </w:tcPr>
          <w:p w14:paraId="125FFC46" w14:textId="77777777" w:rsidR="007E3D8B" w:rsidRPr="00C33594" w:rsidRDefault="007E3D8B" w:rsidP="00C33594">
            <w:pPr>
              <w:pStyle w:val="CETBodytext"/>
              <w:ind w:right="-1"/>
              <w:jc w:val="center"/>
              <w:rPr>
                <w:rFonts w:cs="Arial"/>
                <w:szCs w:val="18"/>
              </w:rPr>
            </w:pPr>
            <w:r w:rsidRPr="00C33594">
              <w:rPr>
                <w:rFonts w:cs="Arial"/>
                <w:szCs w:val="18"/>
              </w:rPr>
              <w:t>H</w:t>
            </w:r>
            <w:r w:rsidRPr="00C33594">
              <w:rPr>
                <w:rFonts w:cs="Arial"/>
                <w:szCs w:val="18"/>
                <w:vertAlign w:val="subscript"/>
              </w:rPr>
              <w:t>2</w:t>
            </w:r>
            <w:r w:rsidRPr="00C33594">
              <w:rPr>
                <w:rFonts w:cs="Arial"/>
                <w:szCs w:val="18"/>
              </w:rPr>
              <w:t xml:space="preserve"> consumption, mmol g</w:t>
            </w:r>
            <w:r w:rsidRPr="00C33594">
              <w:rPr>
                <w:rFonts w:cs="Arial"/>
                <w:szCs w:val="18"/>
                <w:vertAlign w:val="superscript"/>
              </w:rPr>
              <w:t>-1</w:t>
            </w:r>
          </w:p>
        </w:tc>
        <w:tc>
          <w:tcPr>
            <w:tcW w:w="1655" w:type="dxa"/>
            <w:gridSpan w:val="3"/>
            <w:tcBorders>
              <w:top w:val="single" w:sz="12" w:space="0" w:color="008000"/>
              <w:bottom w:val="single" w:sz="6" w:space="0" w:color="008000"/>
            </w:tcBorders>
            <w:shd w:val="clear" w:color="auto" w:fill="FFFFFF"/>
            <w:vAlign w:val="center"/>
          </w:tcPr>
          <w:p w14:paraId="075DC8BF" w14:textId="77777777" w:rsidR="007E3D8B" w:rsidRPr="00C33594" w:rsidRDefault="007E3D8B" w:rsidP="00C33594">
            <w:pPr>
              <w:pStyle w:val="CETBodytext"/>
              <w:ind w:right="-1"/>
              <w:jc w:val="center"/>
              <w:rPr>
                <w:rFonts w:cs="Arial"/>
                <w:szCs w:val="18"/>
              </w:rPr>
            </w:pPr>
            <w:r w:rsidRPr="00C33594">
              <w:rPr>
                <w:rFonts w:cs="Arial"/>
                <w:szCs w:val="18"/>
              </w:rPr>
              <w:t>XPS</w:t>
            </w:r>
          </w:p>
        </w:tc>
        <w:tc>
          <w:tcPr>
            <w:tcW w:w="1171" w:type="dxa"/>
            <w:gridSpan w:val="2"/>
            <w:tcBorders>
              <w:top w:val="single" w:sz="12" w:space="0" w:color="008000"/>
              <w:bottom w:val="single" w:sz="6" w:space="0" w:color="008000"/>
            </w:tcBorders>
            <w:shd w:val="clear" w:color="auto" w:fill="FFFFFF"/>
            <w:vAlign w:val="center"/>
          </w:tcPr>
          <w:p w14:paraId="7B9D8AF7" w14:textId="01BE971A" w:rsidR="007E3D8B" w:rsidRPr="00C33594" w:rsidRDefault="007E3D8B" w:rsidP="00C33594">
            <w:pPr>
              <w:pStyle w:val="CETBodytext"/>
              <w:ind w:right="-1"/>
              <w:jc w:val="center"/>
              <w:rPr>
                <w:rFonts w:cs="Arial"/>
                <w:szCs w:val="18"/>
              </w:rPr>
            </w:pPr>
            <w:r w:rsidRPr="00C33594">
              <w:rPr>
                <w:rFonts w:cs="Arial"/>
                <w:szCs w:val="18"/>
              </w:rPr>
              <w:t>1</w:t>
            </w:r>
            <w:r w:rsidRPr="00C33594">
              <w:rPr>
                <w:rFonts w:cs="Arial"/>
                <w:szCs w:val="18"/>
                <w:vertAlign w:val="superscript"/>
              </w:rPr>
              <w:t>st</w:t>
            </w:r>
            <w:r w:rsidRPr="00C33594">
              <w:rPr>
                <w:rFonts w:cs="Arial"/>
                <w:szCs w:val="18"/>
              </w:rPr>
              <w:t xml:space="preserve"> cycle</w:t>
            </w:r>
          </w:p>
        </w:tc>
        <w:tc>
          <w:tcPr>
            <w:tcW w:w="1109" w:type="dxa"/>
            <w:gridSpan w:val="2"/>
            <w:tcBorders>
              <w:top w:val="single" w:sz="12" w:space="0" w:color="008000"/>
              <w:bottom w:val="single" w:sz="6" w:space="0" w:color="008000"/>
            </w:tcBorders>
            <w:shd w:val="clear" w:color="auto" w:fill="FFFFFF"/>
            <w:vAlign w:val="center"/>
          </w:tcPr>
          <w:p w14:paraId="5CA7B130" w14:textId="18791DFF" w:rsidR="007E3D8B" w:rsidRPr="00C33594" w:rsidRDefault="007E3D8B" w:rsidP="00C33594">
            <w:pPr>
              <w:pStyle w:val="CETBodytext"/>
              <w:ind w:right="-1"/>
              <w:jc w:val="center"/>
              <w:rPr>
                <w:rFonts w:cs="Arial"/>
                <w:szCs w:val="18"/>
              </w:rPr>
            </w:pPr>
            <w:r w:rsidRPr="00C33594">
              <w:rPr>
                <w:rFonts w:cs="Arial"/>
                <w:szCs w:val="18"/>
              </w:rPr>
              <w:t>2</w:t>
            </w:r>
            <w:r w:rsidRPr="00C33594">
              <w:rPr>
                <w:rFonts w:cs="Arial"/>
                <w:szCs w:val="18"/>
                <w:vertAlign w:val="superscript"/>
              </w:rPr>
              <w:t>nd</w:t>
            </w:r>
            <w:r w:rsidRPr="00C33594">
              <w:rPr>
                <w:rFonts w:cs="Arial"/>
                <w:szCs w:val="18"/>
              </w:rPr>
              <w:t xml:space="preserve"> cycle</w:t>
            </w:r>
          </w:p>
        </w:tc>
      </w:tr>
      <w:tr w:rsidR="00C33594" w:rsidRPr="00C33594" w14:paraId="3E10A565" w14:textId="284560F8" w:rsidTr="00C33594">
        <w:trPr>
          <w:trHeight w:val="200"/>
        </w:trPr>
        <w:tc>
          <w:tcPr>
            <w:tcW w:w="976" w:type="dxa"/>
            <w:vMerge/>
            <w:tcBorders>
              <w:bottom w:val="single" w:sz="6" w:space="0" w:color="008000"/>
            </w:tcBorders>
            <w:shd w:val="clear" w:color="auto" w:fill="FFFFFF"/>
            <w:vAlign w:val="center"/>
          </w:tcPr>
          <w:p w14:paraId="5B7281C1" w14:textId="77777777" w:rsidR="007E3D8B" w:rsidRPr="00C33594" w:rsidRDefault="007E3D8B" w:rsidP="00C33594">
            <w:pPr>
              <w:pStyle w:val="CETBodytext"/>
              <w:jc w:val="center"/>
            </w:pPr>
          </w:p>
        </w:tc>
        <w:tc>
          <w:tcPr>
            <w:tcW w:w="695" w:type="dxa"/>
            <w:vMerge/>
            <w:tcBorders>
              <w:bottom w:val="single" w:sz="6" w:space="0" w:color="008000"/>
            </w:tcBorders>
            <w:shd w:val="clear" w:color="auto" w:fill="FFFFFF"/>
            <w:vAlign w:val="center"/>
          </w:tcPr>
          <w:p w14:paraId="52E8AC2B" w14:textId="77777777" w:rsidR="007E3D8B" w:rsidRPr="00C33594" w:rsidRDefault="007E3D8B" w:rsidP="00C33594">
            <w:pPr>
              <w:pStyle w:val="CETBodytext"/>
              <w:jc w:val="center"/>
            </w:pPr>
          </w:p>
        </w:tc>
        <w:tc>
          <w:tcPr>
            <w:tcW w:w="521" w:type="dxa"/>
            <w:vMerge/>
            <w:tcBorders>
              <w:bottom w:val="single" w:sz="6" w:space="0" w:color="008000"/>
            </w:tcBorders>
            <w:shd w:val="clear" w:color="auto" w:fill="FFFFFF"/>
            <w:vAlign w:val="center"/>
          </w:tcPr>
          <w:p w14:paraId="4321CC68" w14:textId="77777777" w:rsidR="007E3D8B" w:rsidRPr="00C33594" w:rsidRDefault="007E3D8B" w:rsidP="00C33594">
            <w:pPr>
              <w:pStyle w:val="CETBodytext"/>
              <w:jc w:val="center"/>
            </w:pPr>
          </w:p>
        </w:tc>
        <w:tc>
          <w:tcPr>
            <w:tcW w:w="597" w:type="dxa"/>
            <w:vMerge/>
            <w:tcBorders>
              <w:bottom w:val="single" w:sz="6" w:space="0" w:color="008000"/>
            </w:tcBorders>
            <w:shd w:val="clear" w:color="auto" w:fill="FFFFFF"/>
            <w:vAlign w:val="center"/>
          </w:tcPr>
          <w:p w14:paraId="02AB8302" w14:textId="77777777" w:rsidR="007E3D8B" w:rsidRPr="00C33594" w:rsidRDefault="007E3D8B" w:rsidP="00C33594">
            <w:pPr>
              <w:pStyle w:val="CETBodytext"/>
              <w:ind w:right="-1"/>
              <w:jc w:val="center"/>
              <w:rPr>
                <w:rFonts w:cs="Arial"/>
                <w:szCs w:val="18"/>
              </w:rPr>
            </w:pPr>
          </w:p>
        </w:tc>
        <w:tc>
          <w:tcPr>
            <w:tcW w:w="417" w:type="dxa"/>
            <w:vMerge/>
            <w:tcBorders>
              <w:bottom w:val="single" w:sz="6" w:space="0" w:color="008000"/>
            </w:tcBorders>
            <w:shd w:val="clear" w:color="auto" w:fill="FFFFFF"/>
            <w:vAlign w:val="center"/>
          </w:tcPr>
          <w:p w14:paraId="08CD934F" w14:textId="77777777" w:rsidR="007E3D8B" w:rsidRPr="00C33594" w:rsidRDefault="007E3D8B" w:rsidP="00C33594">
            <w:pPr>
              <w:pStyle w:val="CETBodytext"/>
              <w:ind w:right="-1"/>
              <w:jc w:val="center"/>
              <w:rPr>
                <w:rFonts w:cs="Arial"/>
                <w:szCs w:val="18"/>
              </w:rPr>
            </w:pPr>
          </w:p>
        </w:tc>
        <w:tc>
          <w:tcPr>
            <w:tcW w:w="577" w:type="dxa"/>
            <w:vMerge/>
            <w:tcBorders>
              <w:bottom w:val="single" w:sz="6" w:space="0" w:color="008000"/>
            </w:tcBorders>
            <w:shd w:val="clear" w:color="auto" w:fill="FFFFFF"/>
            <w:vAlign w:val="center"/>
          </w:tcPr>
          <w:p w14:paraId="5198FE4A" w14:textId="77777777" w:rsidR="007E3D8B" w:rsidRPr="00C33594" w:rsidRDefault="007E3D8B" w:rsidP="00C33594">
            <w:pPr>
              <w:pStyle w:val="CETBodytext"/>
              <w:ind w:right="-1"/>
              <w:jc w:val="center"/>
              <w:rPr>
                <w:rFonts w:cs="Arial"/>
                <w:szCs w:val="18"/>
              </w:rPr>
            </w:pPr>
          </w:p>
        </w:tc>
        <w:tc>
          <w:tcPr>
            <w:tcW w:w="1071" w:type="dxa"/>
            <w:vMerge/>
            <w:tcBorders>
              <w:bottom w:val="single" w:sz="6" w:space="0" w:color="008000"/>
            </w:tcBorders>
            <w:shd w:val="clear" w:color="auto" w:fill="FFFFFF"/>
            <w:vAlign w:val="center"/>
          </w:tcPr>
          <w:p w14:paraId="75603D61" w14:textId="77777777" w:rsidR="007E3D8B" w:rsidRPr="00C33594" w:rsidRDefault="007E3D8B" w:rsidP="00C33594">
            <w:pPr>
              <w:pStyle w:val="CETBodytext"/>
              <w:ind w:right="-1"/>
              <w:jc w:val="center"/>
              <w:rPr>
                <w:rFonts w:cs="Arial"/>
                <w:szCs w:val="18"/>
              </w:rPr>
            </w:pPr>
          </w:p>
        </w:tc>
        <w:tc>
          <w:tcPr>
            <w:tcW w:w="784" w:type="dxa"/>
            <w:gridSpan w:val="2"/>
            <w:tcBorders>
              <w:top w:val="single" w:sz="12" w:space="0" w:color="008000"/>
              <w:bottom w:val="single" w:sz="6" w:space="0" w:color="008000"/>
            </w:tcBorders>
            <w:shd w:val="clear" w:color="auto" w:fill="FFFFFF"/>
            <w:vAlign w:val="center"/>
          </w:tcPr>
          <w:p w14:paraId="73020B8C" w14:textId="77777777" w:rsidR="00C33594" w:rsidRDefault="007E3D8B" w:rsidP="00C33594">
            <w:pPr>
              <w:pStyle w:val="CETBodytext"/>
              <w:ind w:right="-1"/>
              <w:jc w:val="center"/>
              <w:rPr>
                <w:rFonts w:cs="Arial"/>
                <w:szCs w:val="18"/>
              </w:rPr>
            </w:pPr>
            <w:r w:rsidRPr="00C33594">
              <w:rPr>
                <w:rFonts w:cs="Arial"/>
                <w:szCs w:val="18"/>
              </w:rPr>
              <w:t>Co</w:t>
            </w:r>
            <w:r w:rsidRPr="00C33594">
              <w:rPr>
                <w:rFonts w:cs="Arial"/>
                <w:szCs w:val="18"/>
                <w:vertAlign w:val="superscript"/>
              </w:rPr>
              <w:t>2+</w:t>
            </w:r>
            <w:r w:rsidRPr="00C33594">
              <w:rPr>
                <w:rFonts w:cs="Arial"/>
                <w:szCs w:val="18"/>
              </w:rPr>
              <w:t>/</w:t>
            </w:r>
          </w:p>
          <w:p w14:paraId="081FA15C" w14:textId="3EF90A04" w:rsidR="007E3D8B" w:rsidRPr="00C33594" w:rsidRDefault="007E3D8B" w:rsidP="00C33594">
            <w:pPr>
              <w:pStyle w:val="CETBodytext"/>
              <w:ind w:right="-1"/>
              <w:jc w:val="center"/>
              <w:rPr>
                <w:rFonts w:cs="Arial"/>
                <w:szCs w:val="18"/>
              </w:rPr>
            </w:pPr>
            <w:r w:rsidRPr="00C33594">
              <w:rPr>
                <w:rFonts w:cs="Arial"/>
                <w:szCs w:val="18"/>
              </w:rPr>
              <w:t>Co</w:t>
            </w:r>
            <w:r w:rsidRPr="00C33594">
              <w:rPr>
                <w:rFonts w:cs="Arial"/>
                <w:szCs w:val="18"/>
                <w:vertAlign w:val="superscript"/>
              </w:rPr>
              <w:t>3+</w:t>
            </w:r>
          </w:p>
        </w:tc>
        <w:tc>
          <w:tcPr>
            <w:tcW w:w="871" w:type="dxa"/>
            <w:tcBorders>
              <w:top w:val="single" w:sz="12" w:space="0" w:color="008000"/>
              <w:bottom w:val="single" w:sz="6" w:space="0" w:color="008000"/>
            </w:tcBorders>
            <w:shd w:val="clear" w:color="auto" w:fill="FFFFFF"/>
            <w:vAlign w:val="center"/>
          </w:tcPr>
          <w:p w14:paraId="0662DDFA" w14:textId="77777777" w:rsidR="00C33594" w:rsidRDefault="007E3D8B" w:rsidP="00C33594">
            <w:pPr>
              <w:pStyle w:val="CETBodytext"/>
              <w:ind w:right="-1"/>
              <w:jc w:val="center"/>
              <w:rPr>
                <w:rFonts w:cs="Arial"/>
                <w:szCs w:val="18"/>
              </w:rPr>
            </w:pPr>
            <w:proofErr w:type="spellStart"/>
            <w:r w:rsidRPr="00C33594">
              <w:rPr>
                <w:rFonts w:cs="Arial"/>
                <w:szCs w:val="18"/>
              </w:rPr>
              <w:t>O</w:t>
            </w:r>
            <w:r w:rsidRPr="00C33594">
              <w:rPr>
                <w:rFonts w:cs="Arial"/>
                <w:szCs w:val="18"/>
                <w:vertAlign w:val="subscript"/>
              </w:rPr>
              <w:t>ads</w:t>
            </w:r>
            <w:proofErr w:type="spellEnd"/>
            <w:r w:rsidRPr="00C33594">
              <w:rPr>
                <w:rFonts w:cs="Arial"/>
                <w:szCs w:val="18"/>
              </w:rPr>
              <w:t>/</w:t>
            </w:r>
          </w:p>
          <w:p w14:paraId="407E0849" w14:textId="308200BB" w:rsidR="007E3D8B" w:rsidRPr="00C33594" w:rsidRDefault="007E3D8B" w:rsidP="00C33594">
            <w:pPr>
              <w:pStyle w:val="CETBodytext"/>
              <w:ind w:right="-1"/>
              <w:jc w:val="center"/>
              <w:rPr>
                <w:rFonts w:cs="Arial"/>
                <w:szCs w:val="18"/>
                <w:vertAlign w:val="subscript"/>
              </w:rPr>
            </w:pPr>
            <w:proofErr w:type="spellStart"/>
            <w:r w:rsidRPr="00C33594">
              <w:rPr>
                <w:rFonts w:cs="Arial"/>
                <w:szCs w:val="18"/>
              </w:rPr>
              <w:t>O</w:t>
            </w:r>
            <w:r w:rsidRPr="00C33594">
              <w:rPr>
                <w:rFonts w:cs="Arial"/>
                <w:szCs w:val="18"/>
                <w:vertAlign w:val="subscript"/>
              </w:rPr>
              <w:t>latt</w:t>
            </w:r>
            <w:proofErr w:type="spellEnd"/>
          </w:p>
        </w:tc>
        <w:tc>
          <w:tcPr>
            <w:tcW w:w="607" w:type="dxa"/>
            <w:tcBorders>
              <w:top w:val="single" w:sz="12" w:space="0" w:color="008000"/>
              <w:bottom w:val="single" w:sz="6" w:space="0" w:color="008000"/>
            </w:tcBorders>
            <w:shd w:val="clear" w:color="auto" w:fill="FFFFFF"/>
            <w:vAlign w:val="center"/>
          </w:tcPr>
          <w:p w14:paraId="54CB7FF5" w14:textId="20ED6B96" w:rsidR="00C33594" w:rsidRDefault="007E3D8B" w:rsidP="00C33594">
            <w:pPr>
              <w:pStyle w:val="CETBodytext"/>
              <w:ind w:right="-1"/>
              <w:jc w:val="center"/>
              <w:rPr>
                <w:rFonts w:cs="Arial"/>
                <w:szCs w:val="18"/>
              </w:rPr>
            </w:pPr>
            <w:r w:rsidRPr="00C33594">
              <w:rPr>
                <w:rFonts w:cs="Arial"/>
                <w:szCs w:val="18"/>
              </w:rPr>
              <w:t>T</w:t>
            </w:r>
            <w:r w:rsidRPr="00C33594">
              <w:rPr>
                <w:rFonts w:cs="Arial"/>
                <w:szCs w:val="18"/>
                <w:vertAlign w:val="subscript"/>
              </w:rPr>
              <w:t>50</w:t>
            </w:r>
            <w:r w:rsidRPr="00C33594">
              <w:rPr>
                <w:rFonts w:cs="Arial"/>
                <w:szCs w:val="18"/>
              </w:rPr>
              <w:t>,</w:t>
            </w:r>
          </w:p>
          <w:p w14:paraId="2EC4B1C8" w14:textId="19EA83B5" w:rsidR="007E3D8B" w:rsidRPr="00C33594" w:rsidRDefault="007E3D8B" w:rsidP="00C33594">
            <w:pPr>
              <w:pStyle w:val="CETBodytext"/>
              <w:ind w:right="-1"/>
              <w:jc w:val="center"/>
              <w:rPr>
                <w:rFonts w:cs="Arial"/>
                <w:szCs w:val="18"/>
              </w:rPr>
            </w:pPr>
            <w:r w:rsidRPr="00C33594">
              <w:rPr>
                <w:rFonts w:cs="Arial"/>
                <w:szCs w:val="18"/>
              </w:rPr>
              <w:t>ºC</w:t>
            </w:r>
          </w:p>
        </w:tc>
        <w:tc>
          <w:tcPr>
            <w:tcW w:w="564" w:type="dxa"/>
            <w:tcBorders>
              <w:top w:val="single" w:sz="12" w:space="0" w:color="008000"/>
              <w:bottom w:val="single" w:sz="6" w:space="0" w:color="008000"/>
            </w:tcBorders>
            <w:shd w:val="clear" w:color="auto" w:fill="FFFFFF"/>
            <w:vAlign w:val="center"/>
          </w:tcPr>
          <w:p w14:paraId="6BC1787D" w14:textId="4F450E51" w:rsidR="00C33594" w:rsidRDefault="007E3D8B" w:rsidP="00C33594">
            <w:pPr>
              <w:pStyle w:val="CETBodytext"/>
              <w:ind w:right="-1"/>
              <w:jc w:val="center"/>
              <w:rPr>
                <w:rFonts w:cs="Arial"/>
                <w:szCs w:val="18"/>
              </w:rPr>
            </w:pPr>
            <w:r w:rsidRPr="00C33594">
              <w:rPr>
                <w:rFonts w:cs="Arial"/>
                <w:szCs w:val="18"/>
              </w:rPr>
              <w:t>T</w:t>
            </w:r>
            <w:r w:rsidRPr="00C33594">
              <w:rPr>
                <w:rFonts w:cs="Arial"/>
                <w:szCs w:val="18"/>
                <w:vertAlign w:val="subscript"/>
              </w:rPr>
              <w:t>90</w:t>
            </w:r>
            <w:r w:rsidRPr="00C33594">
              <w:rPr>
                <w:rFonts w:cs="Arial"/>
                <w:szCs w:val="18"/>
              </w:rPr>
              <w:t>,</w:t>
            </w:r>
          </w:p>
          <w:p w14:paraId="3D41497C" w14:textId="1DF8C59A" w:rsidR="007E3D8B" w:rsidRPr="00C33594" w:rsidRDefault="007E3D8B" w:rsidP="00C33594">
            <w:pPr>
              <w:pStyle w:val="CETBodytext"/>
              <w:ind w:right="-1"/>
              <w:jc w:val="center"/>
              <w:rPr>
                <w:rFonts w:cs="Arial"/>
                <w:szCs w:val="18"/>
              </w:rPr>
            </w:pPr>
            <w:r w:rsidRPr="00C33594">
              <w:rPr>
                <w:rFonts w:cs="Arial"/>
                <w:szCs w:val="18"/>
              </w:rPr>
              <w:t>ºC</w:t>
            </w:r>
          </w:p>
        </w:tc>
        <w:tc>
          <w:tcPr>
            <w:tcW w:w="564" w:type="dxa"/>
            <w:tcBorders>
              <w:top w:val="single" w:sz="12" w:space="0" w:color="008000"/>
              <w:bottom w:val="single" w:sz="6" w:space="0" w:color="008000"/>
            </w:tcBorders>
            <w:shd w:val="clear" w:color="auto" w:fill="FFFFFF"/>
            <w:vAlign w:val="center"/>
          </w:tcPr>
          <w:p w14:paraId="2137BF07" w14:textId="27431571" w:rsidR="00C33594" w:rsidRDefault="007E3D8B" w:rsidP="00C33594">
            <w:pPr>
              <w:pStyle w:val="CETBodytext"/>
              <w:ind w:right="-1"/>
              <w:jc w:val="center"/>
              <w:rPr>
                <w:rFonts w:cs="Arial"/>
                <w:szCs w:val="18"/>
              </w:rPr>
            </w:pPr>
            <w:r w:rsidRPr="00C33594">
              <w:rPr>
                <w:rFonts w:cs="Arial"/>
                <w:szCs w:val="18"/>
              </w:rPr>
              <w:t>T</w:t>
            </w:r>
            <w:r w:rsidRPr="00C33594">
              <w:rPr>
                <w:rFonts w:cs="Arial"/>
                <w:szCs w:val="18"/>
                <w:vertAlign w:val="subscript"/>
              </w:rPr>
              <w:t>50</w:t>
            </w:r>
            <w:r w:rsidRPr="00C33594">
              <w:rPr>
                <w:rFonts w:cs="Arial"/>
                <w:szCs w:val="18"/>
              </w:rPr>
              <w:t>,</w:t>
            </w:r>
          </w:p>
          <w:p w14:paraId="180C08D8" w14:textId="7838418D" w:rsidR="007E3D8B" w:rsidRPr="00C33594" w:rsidRDefault="007E3D8B" w:rsidP="00C33594">
            <w:pPr>
              <w:pStyle w:val="CETBodytext"/>
              <w:ind w:right="-1"/>
              <w:jc w:val="center"/>
              <w:rPr>
                <w:rFonts w:cs="Arial"/>
                <w:szCs w:val="18"/>
              </w:rPr>
            </w:pPr>
            <w:r w:rsidRPr="00C33594">
              <w:rPr>
                <w:rFonts w:cs="Arial"/>
                <w:szCs w:val="18"/>
              </w:rPr>
              <w:t>ºC</w:t>
            </w:r>
          </w:p>
        </w:tc>
        <w:tc>
          <w:tcPr>
            <w:tcW w:w="545" w:type="dxa"/>
            <w:tcBorders>
              <w:top w:val="single" w:sz="12" w:space="0" w:color="008000"/>
              <w:bottom w:val="single" w:sz="6" w:space="0" w:color="008000"/>
            </w:tcBorders>
            <w:shd w:val="clear" w:color="auto" w:fill="FFFFFF"/>
            <w:vAlign w:val="center"/>
          </w:tcPr>
          <w:p w14:paraId="38B8B874" w14:textId="77777777" w:rsidR="00C33594" w:rsidRDefault="007E3D8B" w:rsidP="00C33594">
            <w:pPr>
              <w:pStyle w:val="CETBodytext"/>
              <w:ind w:right="-1"/>
              <w:jc w:val="center"/>
              <w:rPr>
                <w:rFonts w:cs="Arial"/>
                <w:szCs w:val="18"/>
              </w:rPr>
            </w:pPr>
            <w:r w:rsidRPr="00C33594">
              <w:rPr>
                <w:rFonts w:cs="Arial"/>
                <w:szCs w:val="18"/>
              </w:rPr>
              <w:t>T</w:t>
            </w:r>
            <w:r w:rsidRPr="00C33594">
              <w:rPr>
                <w:rFonts w:cs="Arial"/>
                <w:szCs w:val="18"/>
                <w:vertAlign w:val="subscript"/>
              </w:rPr>
              <w:t>90</w:t>
            </w:r>
            <w:r w:rsidRPr="00C33594">
              <w:rPr>
                <w:rFonts w:cs="Arial"/>
                <w:szCs w:val="18"/>
              </w:rPr>
              <w:t>,</w:t>
            </w:r>
          </w:p>
          <w:p w14:paraId="08A5DE77" w14:textId="539A45A0" w:rsidR="007E3D8B" w:rsidRPr="00C33594" w:rsidRDefault="007E3D8B" w:rsidP="00C33594">
            <w:pPr>
              <w:pStyle w:val="CETBodytext"/>
              <w:ind w:right="-1"/>
              <w:jc w:val="center"/>
              <w:rPr>
                <w:rFonts w:cs="Arial"/>
                <w:szCs w:val="18"/>
              </w:rPr>
            </w:pPr>
            <w:r w:rsidRPr="00C33594">
              <w:rPr>
                <w:rFonts w:cs="Arial"/>
                <w:szCs w:val="18"/>
              </w:rPr>
              <w:t>ºC</w:t>
            </w:r>
          </w:p>
        </w:tc>
      </w:tr>
      <w:tr w:rsidR="00C33594" w:rsidRPr="00C33594" w14:paraId="57B6A082" w14:textId="5E5442EF" w:rsidTr="00C33594">
        <w:tc>
          <w:tcPr>
            <w:tcW w:w="976" w:type="dxa"/>
            <w:shd w:val="clear" w:color="auto" w:fill="FFFFFF"/>
          </w:tcPr>
          <w:p w14:paraId="1FA5FB78" w14:textId="77777777" w:rsidR="007809B2" w:rsidRPr="00C33594" w:rsidRDefault="007809B2" w:rsidP="007809B2">
            <w:pPr>
              <w:pStyle w:val="CETBodytext"/>
              <w:jc w:val="center"/>
            </w:pPr>
            <w:r w:rsidRPr="00C33594">
              <w:t>Co</w:t>
            </w:r>
            <w:r w:rsidRPr="00C33594">
              <w:rPr>
                <w:vertAlign w:val="subscript"/>
              </w:rPr>
              <w:t>3</w:t>
            </w:r>
            <w:r w:rsidRPr="00C33594">
              <w:t>O</w:t>
            </w:r>
            <w:r w:rsidRPr="00C33594">
              <w:rPr>
                <w:vertAlign w:val="subscript"/>
              </w:rPr>
              <w:t>4</w:t>
            </w:r>
          </w:p>
        </w:tc>
        <w:tc>
          <w:tcPr>
            <w:tcW w:w="695" w:type="dxa"/>
            <w:shd w:val="clear" w:color="auto" w:fill="FFFFFF"/>
          </w:tcPr>
          <w:p w14:paraId="3DACF406" w14:textId="77777777" w:rsidR="007809B2" w:rsidRPr="00C33594" w:rsidRDefault="007809B2" w:rsidP="007809B2">
            <w:pPr>
              <w:pStyle w:val="CETBodytext"/>
              <w:jc w:val="center"/>
            </w:pPr>
            <w:r w:rsidRPr="00C33594">
              <w:t>-</w:t>
            </w:r>
          </w:p>
        </w:tc>
        <w:tc>
          <w:tcPr>
            <w:tcW w:w="521" w:type="dxa"/>
            <w:shd w:val="clear" w:color="auto" w:fill="FFFFFF"/>
          </w:tcPr>
          <w:p w14:paraId="2F1A6452" w14:textId="77777777" w:rsidR="007809B2" w:rsidRPr="00C33594" w:rsidRDefault="007809B2" w:rsidP="007809B2">
            <w:pPr>
              <w:pStyle w:val="CETBodytext"/>
              <w:jc w:val="center"/>
            </w:pPr>
            <w:r w:rsidRPr="00C33594">
              <w:t>19</w:t>
            </w:r>
          </w:p>
        </w:tc>
        <w:tc>
          <w:tcPr>
            <w:tcW w:w="597" w:type="dxa"/>
            <w:shd w:val="clear" w:color="auto" w:fill="FFFFFF"/>
          </w:tcPr>
          <w:p w14:paraId="228764F9" w14:textId="77777777" w:rsidR="007809B2" w:rsidRPr="00C33594" w:rsidRDefault="007809B2" w:rsidP="007809B2">
            <w:pPr>
              <w:pStyle w:val="CETBodytext"/>
              <w:ind w:right="-1"/>
              <w:jc w:val="center"/>
              <w:rPr>
                <w:rFonts w:cs="Arial"/>
                <w:szCs w:val="18"/>
              </w:rPr>
            </w:pPr>
            <w:r w:rsidRPr="00C33594">
              <w:rPr>
                <w:rFonts w:cs="Arial"/>
                <w:szCs w:val="18"/>
              </w:rPr>
              <w:t>0.05</w:t>
            </w:r>
          </w:p>
        </w:tc>
        <w:tc>
          <w:tcPr>
            <w:tcW w:w="417" w:type="dxa"/>
            <w:shd w:val="clear" w:color="auto" w:fill="FFFFFF"/>
          </w:tcPr>
          <w:p w14:paraId="3F396D5D" w14:textId="77777777" w:rsidR="007809B2" w:rsidRPr="00C33594" w:rsidRDefault="007809B2" w:rsidP="007809B2">
            <w:pPr>
              <w:pStyle w:val="CETBodytext"/>
              <w:ind w:right="-1"/>
              <w:jc w:val="center"/>
              <w:rPr>
                <w:rFonts w:cs="Arial"/>
                <w:szCs w:val="18"/>
              </w:rPr>
            </w:pPr>
            <w:r w:rsidRPr="00C33594">
              <w:rPr>
                <w:rFonts w:cs="Arial"/>
                <w:szCs w:val="18"/>
              </w:rPr>
              <w:t>200</w:t>
            </w:r>
          </w:p>
        </w:tc>
        <w:tc>
          <w:tcPr>
            <w:tcW w:w="577" w:type="dxa"/>
            <w:shd w:val="clear" w:color="auto" w:fill="FFFFFF"/>
          </w:tcPr>
          <w:p w14:paraId="19255883" w14:textId="77777777" w:rsidR="007809B2" w:rsidRPr="00C33594" w:rsidRDefault="007809B2" w:rsidP="007809B2">
            <w:pPr>
              <w:pStyle w:val="CETBodytext"/>
              <w:ind w:right="-1"/>
              <w:jc w:val="center"/>
              <w:rPr>
                <w:rFonts w:cs="Arial"/>
                <w:szCs w:val="18"/>
              </w:rPr>
            </w:pPr>
            <w:r w:rsidRPr="00C33594">
              <w:rPr>
                <w:rFonts w:cs="Arial"/>
                <w:szCs w:val="18"/>
              </w:rPr>
              <w:t>22</w:t>
            </w:r>
          </w:p>
        </w:tc>
        <w:tc>
          <w:tcPr>
            <w:tcW w:w="1071" w:type="dxa"/>
            <w:shd w:val="clear" w:color="auto" w:fill="FFFFFF"/>
          </w:tcPr>
          <w:p w14:paraId="48C15741" w14:textId="77777777" w:rsidR="007809B2" w:rsidRPr="00C33594" w:rsidRDefault="007809B2" w:rsidP="007809B2">
            <w:pPr>
              <w:pStyle w:val="CETBodytext"/>
              <w:ind w:right="-1"/>
              <w:jc w:val="center"/>
              <w:rPr>
                <w:rFonts w:cs="Arial"/>
                <w:szCs w:val="18"/>
              </w:rPr>
            </w:pPr>
            <w:r w:rsidRPr="00C33594">
              <w:rPr>
                <w:rFonts w:cs="Arial"/>
                <w:szCs w:val="18"/>
              </w:rPr>
              <w:t>16.6</w:t>
            </w:r>
          </w:p>
        </w:tc>
        <w:tc>
          <w:tcPr>
            <w:tcW w:w="698" w:type="dxa"/>
            <w:shd w:val="clear" w:color="auto" w:fill="FFFFFF"/>
          </w:tcPr>
          <w:p w14:paraId="3C3D4543" w14:textId="77777777" w:rsidR="007809B2" w:rsidRPr="00C33594" w:rsidRDefault="007809B2" w:rsidP="007809B2">
            <w:pPr>
              <w:pStyle w:val="CETBodytext"/>
              <w:ind w:right="-1"/>
              <w:jc w:val="center"/>
              <w:rPr>
                <w:rFonts w:cs="Arial"/>
                <w:szCs w:val="18"/>
              </w:rPr>
            </w:pPr>
            <w:r w:rsidRPr="00C33594">
              <w:rPr>
                <w:rFonts w:cs="Arial"/>
                <w:szCs w:val="18"/>
              </w:rPr>
              <w:t>0.64</w:t>
            </w:r>
          </w:p>
        </w:tc>
        <w:tc>
          <w:tcPr>
            <w:tcW w:w="957" w:type="dxa"/>
            <w:gridSpan w:val="2"/>
            <w:shd w:val="clear" w:color="auto" w:fill="FFFFFF"/>
          </w:tcPr>
          <w:p w14:paraId="1596DD5B" w14:textId="77777777" w:rsidR="007809B2" w:rsidRPr="00C33594" w:rsidRDefault="007809B2" w:rsidP="007809B2">
            <w:pPr>
              <w:pStyle w:val="CETBodytext"/>
              <w:ind w:right="-1"/>
              <w:jc w:val="center"/>
              <w:rPr>
                <w:rFonts w:cs="Arial"/>
                <w:szCs w:val="18"/>
              </w:rPr>
            </w:pPr>
            <w:r w:rsidRPr="00C33594">
              <w:rPr>
                <w:rFonts w:cs="Arial"/>
                <w:szCs w:val="18"/>
              </w:rPr>
              <w:t>0.63</w:t>
            </w:r>
          </w:p>
        </w:tc>
        <w:tc>
          <w:tcPr>
            <w:tcW w:w="607" w:type="dxa"/>
            <w:shd w:val="clear" w:color="auto" w:fill="FFFFFF"/>
          </w:tcPr>
          <w:p w14:paraId="41F1F6A4" w14:textId="7C637F58" w:rsidR="007809B2" w:rsidRPr="00C33594" w:rsidRDefault="007809B2" w:rsidP="007809B2">
            <w:pPr>
              <w:pStyle w:val="CETBodytext"/>
              <w:ind w:right="-1"/>
              <w:jc w:val="center"/>
              <w:rPr>
                <w:rFonts w:cs="Arial"/>
                <w:szCs w:val="18"/>
              </w:rPr>
            </w:pPr>
            <w:r w:rsidRPr="00C33594">
              <w:t>255</w:t>
            </w:r>
          </w:p>
        </w:tc>
        <w:tc>
          <w:tcPr>
            <w:tcW w:w="564" w:type="dxa"/>
            <w:shd w:val="clear" w:color="auto" w:fill="FFFFFF"/>
          </w:tcPr>
          <w:p w14:paraId="60E18AF9" w14:textId="10195F76" w:rsidR="007809B2" w:rsidRPr="00C33594" w:rsidRDefault="007809B2" w:rsidP="007809B2">
            <w:pPr>
              <w:pStyle w:val="CETBodytext"/>
              <w:ind w:right="-1"/>
              <w:jc w:val="center"/>
              <w:rPr>
                <w:rFonts w:cs="Arial"/>
                <w:szCs w:val="18"/>
              </w:rPr>
            </w:pPr>
            <w:r w:rsidRPr="00C33594">
              <w:t>285</w:t>
            </w:r>
          </w:p>
        </w:tc>
        <w:tc>
          <w:tcPr>
            <w:tcW w:w="564" w:type="dxa"/>
            <w:shd w:val="clear" w:color="auto" w:fill="FFFFFF"/>
          </w:tcPr>
          <w:p w14:paraId="79BEC7CB" w14:textId="386FFB86" w:rsidR="007809B2" w:rsidRPr="00C33594" w:rsidRDefault="007809B2" w:rsidP="007809B2">
            <w:pPr>
              <w:pStyle w:val="CETBodytext"/>
              <w:ind w:right="-1"/>
              <w:jc w:val="center"/>
              <w:rPr>
                <w:rFonts w:cs="Arial"/>
                <w:szCs w:val="18"/>
              </w:rPr>
            </w:pPr>
            <w:r w:rsidRPr="00C33594">
              <w:t>265</w:t>
            </w:r>
          </w:p>
        </w:tc>
        <w:tc>
          <w:tcPr>
            <w:tcW w:w="545" w:type="dxa"/>
            <w:shd w:val="clear" w:color="auto" w:fill="FFFFFF"/>
          </w:tcPr>
          <w:p w14:paraId="6198C482" w14:textId="3B110C5C" w:rsidR="007809B2" w:rsidRPr="00C33594" w:rsidRDefault="007809B2" w:rsidP="007809B2">
            <w:pPr>
              <w:pStyle w:val="CETBodytext"/>
              <w:ind w:right="-1"/>
              <w:jc w:val="center"/>
              <w:rPr>
                <w:rFonts w:cs="Arial"/>
                <w:szCs w:val="18"/>
              </w:rPr>
            </w:pPr>
            <w:r w:rsidRPr="00C33594">
              <w:t>305</w:t>
            </w:r>
          </w:p>
        </w:tc>
      </w:tr>
      <w:tr w:rsidR="00C33594" w:rsidRPr="00C33594" w14:paraId="443693F2" w14:textId="3CB78877" w:rsidTr="00C33594">
        <w:tc>
          <w:tcPr>
            <w:tcW w:w="976" w:type="dxa"/>
            <w:shd w:val="clear" w:color="auto" w:fill="FFFFFF"/>
          </w:tcPr>
          <w:p w14:paraId="14387AC3" w14:textId="77777777" w:rsidR="007809B2" w:rsidRPr="00C33594" w:rsidRDefault="007809B2" w:rsidP="007809B2">
            <w:pPr>
              <w:pStyle w:val="CETBodytext"/>
              <w:jc w:val="center"/>
            </w:pPr>
            <w:r w:rsidRPr="00C33594">
              <w:t>SrCo0.1</w:t>
            </w:r>
          </w:p>
        </w:tc>
        <w:tc>
          <w:tcPr>
            <w:tcW w:w="695" w:type="dxa"/>
            <w:shd w:val="clear" w:color="auto" w:fill="FFFFFF"/>
          </w:tcPr>
          <w:p w14:paraId="55CA5505" w14:textId="77777777" w:rsidR="007809B2" w:rsidRPr="00C33594" w:rsidRDefault="007809B2" w:rsidP="007809B2">
            <w:pPr>
              <w:pStyle w:val="CETBodytext"/>
              <w:jc w:val="center"/>
            </w:pPr>
            <w:r w:rsidRPr="00C33594">
              <w:t>0.12</w:t>
            </w:r>
          </w:p>
        </w:tc>
        <w:tc>
          <w:tcPr>
            <w:tcW w:w="521" w:type="dxa"/>
            <w:shd w:val="clear" w:color="auto" w:fill="FFFFFF"/>
          </w:tcPr>
          <w:p w14:paraId="4E2C73E9" w14:textId="77777777" w:rsidR="007809B2" w:rsidRPr="00C33594" w:rsidRDefault="007809B2" w:rsidP="007809B2">
            <w:pPr>
              <w:pStyle w:val="CETBodytext"/>
              <w:jc w:val="center"/>
            </w:pPr>
            <w:r w:rsidRPr="00C33594">
              <w:t>21</w:t>
            </w:r>
          </w:p>
        </w:tc>
        <w:tc>
          <w:tcPr>
            <w:tcW w:w="597" w:type="dxa"/>
            <w:shd w:val="clear" w:color="auto" w:fill="FFFFFF"/>
          </w:tcPr>
          <w:p w14:paraId="1A679C58" w14:textId="77777777" w:rsidR="007809B2" w:rsidRPr="00C33594" w:rsidRDefault="007809B2" w:rsidP="007809B2">
            <w:pPr>
              <w:pStyle w:val="CETBodytext"/>
              <w:ind w:right="-1"/>
              <w:jc w:val="center"/>
              <w:rPr>
                <w:rFonts w:cs="Arial"/>
                <w:szCs w:val="18"/>
              </w:rPr>
            </w:pPr>
            <w:r w:rsidRPr="00C33594">
              <w:rPr>
                <w:rFonts w:cs="Arial"/>
                <w:szCs w:val="18"/>
              </w:rPr>
              <w:t>0.06</w:t>
            </w:r>
          </w:p>
        </w:tc>
        <w:tc>
          <w:tcPr>
            <w:tcW w:w="417" w:type="dxa"/>
            <w:shd w:val="clear" w:color="auto" w:fill="FFFFFF"/>
          </w:tcPr>
          <w:p w14:paraId="13E5A8A0" w14:textId="77777777" w:rsidR="007809B2" w:rsidRPr="00C33594" w:rsidRDefault="007809B2" w:rsidP="007809B2">
            <w:pPr>
              <w:pStyle w:val="CETBodytext"/>
              <w:ind w:right="-1"/>
              <w:jc w:val="center"/>
              <w:rPr>
                <w:rFonts w:cs="Arial"/>
                <w:szCs w:val="18"/>
              </w:rPr>
            </w:pPr>
            <w:r w:rsidRPr="00C33594">
              <w:rPr>
                <w:rFonts w:cs="Arial"/>
                <w:szCs w:val="18"/>
              </w:rPr>
              <w:t>140</w:t>
            </w:r>
          </w:p>
        </w:tc>
        <w:tc>
          <w:tcPr>
            <w:tcW w:w="577" w:type="dxa"/>
            <w:shd w:val="clear" w:color="auto" w:fill="FFFFFF"/>
          </w:tcPr>
          <w:p w14:paraId="6C82AEA1" w14:textId="77777777" w:rsidR="007809B2" w:rsidRPr="00C33594" w:rsidRDefault="007809B2" w:rsidP="007809B2">
            <w:pPr>
              <w:pStyle w:val="CETBodytext"/>
              <w:ind w:right="-1"/>
              <w:jc w:val="center"/>
              <w:rPr>
                <w:rFonts w:cs="Arial"/>
                <w:szCs w:val="18"/>
              </w:rPr>
            </w:pPr>
            <w:r w:rsidRPr="00C33594">
              <w:rPr>
                <w:rFonts w:cs="Arial"/>
                <w:szCs w:val="18"/>
              </w:rPr>
              <w:t>10</w:t>
            </w:r>
          </w:p>
        </w:tc>
        <w:tc>
          <w:tcPr>
            <w:tcW w:w="1071" w:type="dxa"/>
            <w:shd w:val="clear" w:color="auto" w:fill="FFFFFF"/>
          </w:tcPr>
          <w:p w14:paraId="6C7252A4" w14:textId="77777777" w:rsidR="007809B2" w:rsidRPr="00C33594" w:rsidRDefault="007809B2" w:rsidP="007809B2">
            <w:pPr>
              <w:pStyle w:val="CETBodytext"/>
              <w:ind w:right="-1"/>
              <w:jc w:val="center"/>
              <w:rPr>
                <w:rFonts w:cs="Arial"/>
                <w:szCs w:val="18"/>
              </w:rPr>
            </w:pPr>
            <w:r w:rsidRPr="00C33594">
              <w:rPr>
                <w:rFonts w:cs="Arial"/>
                <w:szCs w:val="18"/>
              </w:rPr>
              <w:t>13.1</w:t>
            </w:r>
          </w:p>
        </w:tc>
        <w:tc>
          <w:tcPr>
            <w:tcW w:w="698" w:type="dxa"/>
            <w:shd w:val="clear" w:color="auto" w:fill="FFFFFF"/>
          </w:tcPr>
          <w:p w14:paraId="78D95D07" w14:textId="77777777" w:rsidR="007809B2" w:rsidRPr="00C33594" w:rsidRDefault="007809B2" w:rsidP="007809B2">
            <w:pPr>
              <w:pStyle w:val="CETBodytext"/>
              <w:ind w:right="-1"/>
              <w:jc w:val="center"/>
              <w:rPr>
                <w:rFonts w:cs="Arial"/>
                <w:szCs w:val="18"/>
              </w:rPr>
            </w:pPr>
            <w:r w:rsidRPr="00C33594">
              <w:rPr>
                <w:rFonts w:cs="Arial"/>
                <w:szCs w:val="18"/>
              </w:rPr>
              <w:t>0.59</w:t>
            </w:r>
          </w:p>
        </w:tc>
        <w:tc>
          <w:tcPr>
            <w:tcW w:w="957" w:type="dxa"/>
            <w:gridSpan w:val="2"/>
            <w:shd w:val="clear" w:color="auto" w:fill="FFFFFF"/>
          </w:tcPr>
          <w:p w14:paraId="45D2D4B2" w14:textId="77777777" w:rsidR="007809B2" w:rsidRPr="00C33594" w:rsidRDefault="007809B2" w:rsidP="007809B2">
            <w:pPr>
              <w:pStyle w:val="CETBodytext"/>
              <w:ind w:right="-1"/>
              <w:jc w:val="center"/>
              <w:rPr>
                <w:rFonts w:cs="Arial"/>
                <w:szCs w:val="18"/>
              </w:rPr>
            </w:pPr>
            <w:r w:rsidRPr="00C33594">
              <w:rPr>
                <w:rFonts w:cs="Arial"/>
                <w:szCs w:val="18"/>
              </w:rPr>
              <w:t>0.65</w:t>
            </w:r>
          </w:p>
        </w:tc>
        <w:tc>
          <w:tcPr>
            <w:tcW w:w="607" w:type="dxa"/>
            <w:shd w:val="clear" w:color="auto" w:fill="FFFFFF"/>
          </w:tcPr>
          <w:p w14:paraId="3AB8C21F" w14:textId="1814069B" w:rsidR="007809B2" w:rsidRPr="00C33594" w:rsidRDefault="007809B2" w:rsidP="007809B2">
            <w:pPr>
              <w:pStyle w:val="CETBodytext"/>
              <w:ind w:right="-1"/>
              <w:jc w:val="center"/>
              <w:rPr>
                <w:rFonts w:cs="Arial"/>
                <w:szCs w:val="18"/>
              </w:rPr>
            </w:pPr>
            <w:r w:rsidRPr="00C33594">
              <w:t>260</w:t>
            </w:r>
          </w:p>
        </w:tc>
        <w:tc>
          <w:tcPr>
            <w:tcW w:w="564" w:type="dxa"/>
            <w:shd w:val="clear" w:color="auto" w:fill="FFFFFF"/>
          </w:tcPr>
          <w:p w14:paraId="7B4AD156" w14:textId="534E3256" w:rsidR="007809B2" w:rsidRPr="00C33594" w:rsidRDefault="007809B2" w:rsidP="007809B2">
            <w:pPr>
              <w:pStyle w:val="CETBodytext"/>
              <w:ind w:right="-1"/>
              <w:jc w:val="center"/>
              <w:rPr>
                <w:rFonts w:cs="Arial"/>
                <w:szCs w:val="18"/>
              </w:rPr>
            </w:pPr>
            <w:r w:rsidRPr="00C33594">
              <w:t>350</w:t>
            </w:r>
          </w:p>
        </w:tc>
        <w:tc>
          <w:tcPr>
            <w:tcW w:w="564" w:type="dxa"/>
            <w:shd w:val="clear" w:color="auto" w:fill="FFFFFF"/>
          </w:tcPr>
          <w:p w14:paraId="35FC8B3A" w14:textId="79EDF8C3" w:rsidR="007809B2" w:rsidRPr="00C33594" w:rsidRDefault="007809B2" w:rsidP="007809B2">
            <w:pPr>
              <w:pStyle w:val="CETBodytext"/>
              <w:ind w:right="-1"/>
              <w:jc w:val="center"/>
              <w:rPr>
                <w:rFonts w:cs="Arial"/>
                <w:szCs w:val="18"/>
              </w:rPr>
            </w:pPr>
            <w:r w:rsidRPr="00C33594">
              <w:t>300</w:t>
            </w:r>
          </w:p>
        </w:tc>
        <w:tc>
          <w:tcPr>
            <w:tcW w:w="545" w:type="dxa"/>
            <w:shd w:val="clear" w:color="auto" w:fill="FFFFFF"/>
          </w:tcPr>
          <w:p w14:paraId="67FB23E1" w14:textId="396D43C8" w:rsidR="007809B2" w:rsidRPr="00C33594" w:rsidRDefault="007809B2" w:rsidP="007809B2">
            <w:pPr>
              <w:pStyle w:val="CETBodytext"/>
              <w:ind w:right="-1"/>
              <w:jc w:val="center"/>
              <w:rPr>
                <w:rFonts w:cs="Arial"/>
                <w:szCs w:val="18"/>
              </w:rPr>
            </w:pPr>
            <w:r w:rsidRPr="00C33594">
              <w:t>355</w:t>
            </w:r>
          </w:p>
        </w:tc>
      </w:tr>
      <w:tr w:rsidR="00C33594" w:rsidRPr="00C33594" w14:paraId="14AE7256" w14:textId="289C6919" w:rsidTr="00C33594">
        <w:tc>
          <w:tcPr>
            <w:tcW w:w="976" w:type="dxa"/>
            <w:shd w:val="clear" w:color="auto" w:fill="FFFFFF"/>
          </w:tcPr>
          <w:p w14:paraId="7CD6783D" w14:textId="77777777" w:rsidR="007809B2" w:rsidRPr="00C33594" w:rsidRDefault="007809B2" w:rsidP="007809B2">
            <w:pPr>
              <w:pStyle w:val="CETBodytext"/>
              <w:jc w:val="center"/>
            </w:pPr>
            <w:r w:rsidRPr="00C33594">
              <w:t>SrCo0.2</w:t>
            </w:r>
          </w:p>
        </w:tc>
        <w:tc>
          <w:tcPr>
            <w:tcW w:w="695" w:type="dxa"/>
            <w:shd w:val="clear" w:color="auto" w:fill="FFFFFF"/>
          </w:tcPr>
          <w:p w14:paraId="4ACFA762" w14:textId="77777777" w:rsidR="007809B2" w:rsidRPr="00C33594" w:rsidRDefault="007809B2" w:rsidP="007809B2">
            <w:pPr>
              <w:pStyle w:val="CETBodytext"/>
              <w:jc w:val="center"/>
            </w:pPr>
            <w:r w:rsidRPr="00C33594">
              <w:t>0.24</w:t>
            </w:r>
          </w:p>
        </w:tc>
        <w:tc>
          <w:tcPr>
            <w:tcW w:w="521" w:type="dxa"/>
            <w:shd w:val="clear" w:color="auto" w:fill="FFFFFF"/>
          </w:tcPr>
          <w:p w14:paraId="1B5531BF" w14:textId="77777777" w:rsidR="007809B2" w:rsidRPr="00C33594" w:rsidRDefault="007809B2" w:rsidP="007809B2">
            <w:pPr>
              <w:pStyle w:val="CETBodytext"/>
              <w:jc w:val="center"/>
            </w:pPr>
            <w:r w:rsidRPr="00C33594">
              <w:t>19</w:t>
            </w:r>
          </w:p>
        </w:tc>
        <w:tc>
          <w:tcPr>
            <w:tcW w:w="597" w:type="dxa"/>
            <w:shd w:val="clear" w:color="auto" w:fill="FFFFFF"/>
          </w:tcPr>
          <w:p w14:paraId="2E622961" w14:textId="77777777" w:rsidR="007809B2" w:rsidRPr="00C33594" w:rsidRDefault="007809B2" w:rsidP="007809B2">
            <w:pPr>
              <w:pStyle w:val="CETBodytext"/>
              <w:ind w:right="-1"/>
              <w:jc w:val="center"/>
              <w:rPr>
                <w:rFonts w:cs="Arial"/>
                <w:szCs w:val="18"/>
              </w:rPr>
            </w:pPr>
            <w:r w:rsidRPr="00C33594">
              <w:rPr>
                <w:rFonts w:cs="Arial"/>
                <w:szCs w:val="18"/>
              </w:rPr>
              <w:t>0.05</w:t>
            </w:r>
          </w:p>
        </w:tc>
        <w:tc>
          <w:tcPr>
            <w:tcW w:w="417" w:type="dxa"/>
            <w:shd w:val="clear" w:color="auto" w:fill="FFFFFF"/>
          </w:tcPr>
          <w:p w14:paraId="06DA4289" w14:textId="77777777" w:rsidR="007809B2" w:rsidRPr="00C33594" w:rsidRDefault="007809B2" w:rsidP="007809B2">
            <w:pPr>
              <w:pStyle w:val="CETBodytext"/>
              <w:ind w:right="-1"/>
              <w:jc w:val="center"/>
              <w:rPr>
                <w:rFonts w:cs="Arial"/>
                <w:szCs w:val="18"/>
              </w:rPr>
            </w:pPr>
            <w:r w:rsidRPr="00C33594">
              <w:rPr>
                <w:rFonts w:cs="Arial"/>
                <w:szCs w:val="18"/>
              </w:rPr>
              <w:t>140</w:t>
            </w:r>
          </w:p>
        </w:tc>
        <w:tc>
          <w:tcPr>
            <w:tcW w:w="577" w:type="dxa"/>
            <w:shd w:val="clear" w:color="auto" w:fill="FFFFFF"/>
          </w:tcPr>
          <w:p w14:paraId="7E374281" w14:textId="77777777" w:rsidR="007809B2" w:rsidRPr="00C33594" w:rsidRDefault="007809B2" w:rsidP="007809B2">
            <w:pPr>
              <w:pStyle w:val="CETBodytext"/>
              <w:ind w:right="-1"/>
              <w:jc w:val="center"/>
              <w:rPr>
                <w:rFonts w:cs="Arial"/>
                <w:szCs w:val="18"/>
              </w:rPr>
            </w:pPr>
            <w:r w:rsidRPr="00C33594">
              <w:rPr>
                <w:rFonts w:cs="Arial"/>
                <w:szCs w:val="18"/>
              </w:rPr>
              <w:t>10</w:t>
            </w:r>
          </w:p>
        </w:tc>
        <w:tc>
          <w:tcPr>
            <w:tcW w:w="1071" w:type="dxa"/>
            <w:shd w:val="clear" w:color="auto" w:fill="FFFFFF"/>
          </w:tcPr>
          <w:p w14:paraId="28FF4CAB" w14:textId="77777777" w:rsidR="007809B2" w:rsidRPr="00C33594" w:rsidRDefault="007809B2" w:rsidP="007809B2">
            <w:pPr>
              <w:pStyle w:val="CETBodytext"/>
              <w:ind w:right="-1"/>
              <w:jc w:val="center"/>
              <w:rPr>
                <w:rFonts w:cs="Arial"/>
                <w:szCs w:val="18"/>
              </w:rPr>
            </w:pPr>
            <w:r w:rsidRPr="00C33594">
              <w:rPr>
                <w:rFonts w:cs="Arial"/>
                <w:szCs w:val="18"/>
              </w:rPr>
              <w:t>11.3</w:t>
            </w:r>
          </w:p>
        </w:tc>
        <w:tc>
          <w:tcPr>
            <w:tcW w:w="698" w:type="dxa"/>
            <w:shd w:val="clear" w:color="auto" w:fill="FFFFFF"/>
          </w:tcPr>
          <w:p w14:paraId="652D150F" w14:textId="77777777" w:rsidR="007809B2" w:rsidRPr="00C33594" w:rsidRDefault="007809B2" w:rsidP="007809B2">
            <w:pPr>
              <w:pStyle w:val="CETBodytext"/>
              <w:ind w:right="-1"/>
              <w:jc w:val="center"/>
              <w:rPr>
                <w:rFonts w:cs="Arial"/>
                <w:szCs w:val="18"/>
              </w:rPr>
            </w:pPr>
            <w:r w:rsidRPr="00C33594">
              <w:rPr>
                <w:rFonts w:cs="Arial"/>
                <w:szCs w:val="18"/>
              </w:rPr>
              <w:t>0.85</w:t>
            </w:r>
          </w:p>
        </w:tc>
        <w:tc>
          <w:tcPr>
            <w:tcW w:w="957" w:type="dxa"/>
            <w:gridSpan w:val="2"/>
            <w:shd w:val="clear" w:color="auto" w:fill="FFFFFF"/>
          </w:tcPr>
          <w:p w14:paraId="0D8DD198" w14:textId="77777777" w:rsidR="007809B2" w:rsidRPr="00C33594" w:rsidRDefault="007809B2" w:rsidP="007809B2">
            <w:pPr>
              <w:pStyle w:val="CETBodytext"/>
              <w:ind w:right="-1"/>
              <w:jc w:val="center"/>
              <w:rPr>
                <w:rFonts w:cs="Arial"/>
                <w:szCs w:val="18"/>
              </w:rPr>
            </w:pPr>
            <w:r w:rsidRPr="00C33594">
              <w:rPr>
                <w:rFonts w:cs="Arial"/>
                <w:szCs w:val="18"/>
              </w:rPr>
              <w:t>1.25</w:t>
            </w:r>
          </w:p>
        </w:tc>
        <w:tc>
          <w:tcPr>
            <w:tcW w:w="607" w:type="dxa"/>
            <w:shd w:val="clear" w:color="auto" w:fill="FFFFFF"/>
          </w:tcPr>
          <w:p w14:paraId="0FF5C6CB" w14:textId="2FCE1BB6" w:rsidR="007809B2" w:rsidRPr="00C33594" w:rsidRDefault="007809B2" w:rsidP="007809B2">
            <w:pPr>
              <w:pStyle w:val="CETBodytext"/>
              <w:ind w:right="-1"/>
              <w:jc w:val="center"/>
              <w:rPr>
                <w:rFonts w:cs="Arial"/>
                <w:szCs w:val="18"/>
              </w:rPr>
            </w:pPr>
            <w:r w:rsidRPr="00C33594">
              <w:t>220</w:t>
            </w:r>
          </w:p>
        </w:tc>
        <w:tc>
          <w:tcPr>
            <w:tcW w:w="564" w:type="dxa"/>
            <w:shd w:val="clear" w:color="auto" w:fill="FFFFFF"/>
          </w:tcPr>
          <w:p w14:paraId="41207B2B" w14:textId="1109D69C" w:rsidR="007809B2" w:rsidRPr="00C33594" w:rsidRDefault="007809B2" w:rsidP="007809B2">
            <w:pPr>
              <w:pStyle w:val="CETBodytext"/>
              <w:ind w:right="-1"/>
              <w:jc w:val="center"/>
              <w:rPr>
                <w:rFonts w:cs="Arial"/>
                <w:szCs w:val="18"/>
              </w:rPr>
            </w:pPr>
            <w:r w:rsidRPr="00C33594">
              <w:t>245</w:t>
            </w:r>
          </w:p>
        </w:tc>
        <w:tc>
          <w:tcPr>
            <w:tcW w:w="564" w:type="dxa"/>
            <w:shd w:val="clear" w:color="auto" w:fill="FFFFFF"/>
          </w:tcPr>
          <w:p w14:paraId="2FBDC0E9" w14:textId="417AC8B5" w:rsidR="007809B2" w:rsidRPr="00C33594" w:rsidRDefault="007809B2" w:rsidP="007809B2">
            <w:pPr>
              <w:pStyle w:val="CETBodytext"/>
              <w:ind w:right="-1"/>
              <w:jc w:val="center"/>
              <w:rPr>
                <w:rFonts w:cs="Arial"/>
                <w:szCs w:val="18"/>
              </w:rPr>
            </w:pPr>
            <w:r w:rsidRPr="00C33594">
              <w:t>295</w:t>
            </w:r>
          </w:p>
        </w:tc>
        <w:tc>
          <w:tcPr>
            <w:tcW w:w="545" w:type="dxa"/>
            <w:shd w:val="clear" w:color="auto" w:fill="FFFFFF"/>
          </w:tcPr>
          <w:p w14:paraId="1378AF50" w14:textId="1E729DC6" w:rsidR="007809B2" w:rsidRPr="00C33594" w:rsidRDefault="007809B2" w:rsidP="007809B2">
            <w:pPr>
              <w:pStyle w:val="CETBodytext"/>
              <w:ind w:right="-1"/>
              <w:jc w:val="center"/>
              <w:rPr>
                <w:rFonts w:cs="Arial"/>
                <w:szCs w:val="18"/>
              </w:rPr>
            </w:pPr>
            <w:r w:rsidRPr="00C33594">
              <w:t>330</w:t>
            </w:r>
          </w:p>
        </w:tc>
      </w:tr>
      <w:tr w:rsidR="00C33594" w:rsidRPr="00C33594" w14:paraId="761177EB" w14:textId="17EA51A1" w:rsidTr="00C33594">
        <w:tc>
          <w:tcPr>
            <w:tcW w:w="976" w:type="dxa"/>
            <w:shd w:val="clear" w:color="auto" w:fill="FFFFFF"/>
          </w:tcPr>
          <w:p w14:paraId="036516FA" w14:textId="77777777" w:rsidR="007809B2" w:rsidRPr="00C33594" w:rsidRDefault="007809B2" w:rsidP="007809B2">
            <w:pPr>
              <w:pStyle w:val="CETBodytext"/>
              <w:jc w:val="center"/>
            </w:pPr>
            <w:r w:rsidRPr="00C33594">
              <w:t>SrCo0.3</w:t>
            </w:r>
          </w:p>
        </w:tc>
        <w:tc>
          <w:tcPr>
            <w:tcW w:w="695" w:type="dxa"/>
            <w:shd w:val="clear" w:color="auto" w:fill="FFFFFF"/>
          </w:tcPr>
          <w:p w14:paraId="582F1E1B" w14:textId="77777777" w:rsidR="007809B2" w:rsidRPr="00C33594" w:rsidRDefault="007809B2" w:rsidP="007809B2">
            <w:pPr>
              <w:pStyle w:val="CETBodytext"/>
              <w:jc w:val="center"/>
            </w:pPr>
            <w:r w:rsidRPr="00C33594">
              <w:t>0.38</w:t>
            </w:r>
          </w:p>
        </w:tc>
        <w:tc>
          <w:tcPr>
            <w:tcW w:w="521" w:type="dxa"/>
            <w:shd w:val="clear" w:color="auto" w:fill="FFFFFF"/>
          </w:tcPr>
          <w:p w14:paraId="22A2CEDF" w14:textId="77777777" w:rsidR="007809B2" w:rsidRPr="00C33594" w:rsidRDefault="007809B2" w:rsidP="007809B2">
            <w:pPr>
              <w:pStyle w:val="CETBodytext"/>
              <w:jc w:val="center"/>
            </w:pPr>
            <w:r w:rsidRPr="00C33594">
              <w:t>26</w:t>
            </w:r>
          </w:p>
        </w:tc>
        <w:tc>
          <w:tcPr>
            <w:tcW w:w="597" w:type="dxa"/>
            <w:shd w:val="clear" w:color="auto" w:fill="FFFFFF"/>
          </w:tcPr>
          <w:p w14:paraId="5AE70B6A" w14:textId="77777777" w:rsidR="007809B2" w:rsidRPr="00C33594" w:rsidRDefault="007809B2" w:rsidP="007809B2">
            <w:pPr>
              <w:pStyle w:val="CETBodytext"/>
              <w:ind w:right="-1"/>
              <w:jc w:val="center"/>
              <w:rPr>
                <w:rFonts w:cs="Arial"/>
                <w:szCs w:val="18"/>
              </w:rPr>
            </w:pPr>
            <w:r w:rsidRPr="00C33594">
              <w:rPr>
                <w:rFonts w:cs="Arial"/>
                <w:szCs w:val="18"/>
              </w:rPr>
              <w:t>0.07</w:t>
            </w:r>
          </w:p>
        </w:tc>
        <w:tc>
          <w:tcPr>
            <w:tcW w:w="417" w:type="dxa"/>
            <w:shd w:val="clear" w:color="auto" w:fill="FFFFFF"/>
          </w:tcPr>
          <w:p w14:paraId="6CADC982" w14:textId="77777777" w:rsidR="007809B2" w:rsidRPr="00C33594" w:rsidRDefault="007809B2" w:rsidP="007809B2">
            <w:pPr>
              <w:pStyle w:val="CETBodytext"/>
              <w:ind w:right="-1"/>
              <w:jc w:val="center"/>
              <w:rPr>
                <w:rFonts w:cs="Arial"/>
                <w:szCs w:val="18"/>
              </w:rPr>
            </w:pPr>
            <w:r w:rsidRPr="00C33594">
              <w:rPr>
                <w:rFonts w:cs="Arial"/>
                <w:szCs w:val="18"/>
              </w:rPr>
              <w:t>150</w:t>
            </w:r>
          </w:p>
        </w:tc>
        <w:tc>
          <w:tcPr>
            <w:tcW w:w="577" w:type="dxa"/>
            <w:shd w:val="clear" w:color="auto" w:fill="FFFFFF"/>
          </w:tcPr>
          <w:p w14:paraId="62185E8F" w14:textId="77777777" w:rsidR="007809B2" w:rsidRPr="00C33594" w:rsidRDefault="007809B2" w:rsidP="007809B2">
            <w:pPr>
              <w:pStyle w:val="CETBodytext"/>
              <w:ind w:right="-1"/>
              <w:jc w:val="center"/>
              <w:rPr>
                <w:rFonts w:cs="Arial"/>
                <w:szCs w:val="18"/>
              </w:rPr>
            </w:pPr>
            <w:r w:rsidRPr="00C33594">
              <w:rPr>
                <w:rFonts w:cs="Arial"/>
                <w:szCs w:val="18"/>
              </w:rPr>
              <w:t>12</w:t>
            </w:r>
          </w:p>
        </w:tc>
        <w:tc>
          <w:tcPr>
            <w:tcW w:w="1071" w:type="dxa"/>
            <w:shd w:val="clear" w:color="auto" w:fill="FFFFFF"/>
          </w:tcPr>
          <w:p w14:paraId="5BF08829" w14:textId="77777777" w:rsidR="007809B2" w:rsidRPr="00C33594" w:rsidRDefault="007809B2" w:rsidP="007809B2">
            <w:pPr>
              <w:pStyle w:val="CETBodytext"/>
              <w:ind w:right="-1"/>
              <w:jc w:val="center"/>
              <w:rPr>
                <w:rFonts w:cs="Arial"/>
                <w:szCs w:val="18"/>
              </w:rPr>
            </w:pPr>
            <w:r w:rsidRPr="00C33594">
              <w:rPr>
                <w:rFonts w:cs="Arial"/>
                <w:szCs w:val="18"/>
              </w:rPr>
              <w:t>9.5</w:t>
            </w:r>
          </w:p>
        </w:tc>
        <w:tc>
          <w:tcPr>
            <w:tcW w:w="698" w:type="dxa"/>
            <w:shd w:val="clear" w:color="auto" w:fill="FFFFFF"/>
          </w:tcPr>
          <w:p w14:paraId="35A48288" w14:textId="77777777" w:rsidR="007809B2" w:rsidRPr="00C33594" w:rsidRDefault="007809B2" w:rsidP="007809B2">
            <w:pPr>
              <w:pStyle w:val="CETBodytext"/>
              <w:ind w:right="-1"/>
              <w:jc w:val="center"/>
              <w:rPr>
                <w:rFonts w:cs="Arial"/>
                <w:szCs w:val="18"/>
              </w:rPr>
            </w:pPr>
            <w:r w:rsidRPr="00C33594">
              <w:rPr>
                <w:rFonts w:cs="Arial"/>
                <w:szCs w:val="18"/>
              </w:rPr>
              <w:t>0.78</w:t>
            </w:r>
          </w:p>
        </w:tc>
        <w:tc>
          <w:tcPr>
            <w:tcW w:w="957" w:type="dxa"/>
            <w:gridSpan w:val="2"/>
            <w:shd w:val="clear" w:color="auto" w:fill="FFFFFF"/>
          </w:tcPr>
          <w:p w14:paraId="03307BFE" w14:textId="77777777" w:rsidR="007809B2" w:rsidRPr="00C33594" w:rsidRDefault="007809B2" w:rsidP="007809B2">
            <w:pPr>
              <w:pStyle w:val="CETBodytext"/>
              <w:ind w:right="-1"/>
              <w:jc w:val="center"/>
              <w:rPr>
                <w:rFonts w:cs="Arial"/>
                <w:szCs w:val="18"/>
              </w:rPr>
            </w:pPr>
            <w:r w:rsidRPr="00C33594">
              <w:rPr>
                <w:rFonts w:cs="Arial"/>
                <w:szCs w:val="18"/>
              </w:rPr>
              <w:t>1.02</w:t>
            </w:r>
          </w:p>
        </w:tc>
        <w:tc>
          <w:tcPr>
            <w:tcW w:w="607" w:type="dxa"/>
            <w:shd w:val="clear" w:color="auto" w:fill="FFFFFF"/>
          </w:tcPr>
          <w:p w14:paraId="76CBBD28" w14:textId="2E1B7C7D" w:rsidR="007809B2" w:rsidRPr="00C33594" w:rsidRDefault="007809B2" w:rsidP="007809B2">
            <w:pPr>
              <w:pStyle w:val="CETBodytext"/>
              <w:ind w:right="-1"/>
              <w:jc w:val="center"/>
              <w:rPr>
                <w:rFonts w:cs="Arial"/>
                <w:szCs w:val="18"/>
              </w:rPr>
            </w:pPr>
            <w:r w:rsidRPr="00C33594">
              <w:t>230</w:t>
            </w:r>
          </w:p>
        </w:tc>
        <w:tc>
          <w:tcPr>
            <w:tcW w:w="564" w:type="dxa"/>
            <w:shd w:val="clear" w:color="auto" w:fill="FFFFFF"/>
          </w:tcPr>
          <w:p w14:paraId="305603A4" w14:textId="6F838CCB" w:rsidR="007809B2" w:rsidRPr="00C33594" w:rsidRDefault="007809B2" w:rsidP="007809B2">
            <w:pPr>
              <w:pStyle w:val="CETBodytext"/>
              <w:ind w:right="-1"/>
              <w:jc w:val="center"/>
              <w:rPr>
                <w:rFonts w:cs="Arial"/>
                <w:szCs w:val="18"/>
              </w:rPr>
            </w:pPr>
            <w:r w:rsidRPr="00C33594">
              <w:t>275</w:t>
            </w:r>
          </w:p>
        </w:tc>
        <w:tc>
          <w:tcPr>
            <w:tcW w:w="564" w:type="dxa"/>
            <w:shd w:val="clear" w:color="auto" w:fill="FFFFFF"/>
          </w:tcPr>
          <w:p w14:paraId="26531D72" w14:textId="24BD293B" w:rsidR="007809B2" w:rsidRPr="00C33594" w:rsidRDefault="007809B2" w:rsidP="007809B2">
            <w:pPr>
              <w:pStyle w:val="CETBodytext"/>
              <w:ind w:right="-1"/>
              <w:jc w:val="center"/>
              <w:rPr>
                <w:rFonts w:cs="Arial"/>
                <w:szCs w:val="18"/>
              </w:rPr>
            </w:pPr>
            <w:r w:rsidRPr="00C33594">
              <w:t>315</w:t>
            </w:r>
          </w:p>
        </w:tc>
        <w:tc>
          <w:tcPr>
            <w:tcW w:w="545" w:type="dxa"/>
            <w:shd w:val="clear" w:color="auto" w:fill="FFFFFF"/>
          </w:tcPr>
          <w:p w14:paraId="134A3E7F" w14:textId="07E37C0D" w:rsidR="007809B2" w:rsidRPr="00C33594" w:rsidRDefault="007809B2" w:rsidP="007809B2">
            <w:pPr>
              <w:pStyle w:val="CETBodytext"/>
              <w:ind w:right="-1"/>
              <w:jc w:val="center"/>
              <w:rPr>
                <w:rFonts w:cs="Arial"/>
                <w:szCs w:val="18"/>
              </w:rPr>
            </w:pPr>
            <w:r w:rsidRPr="00C33594">
              <w:t>375</w:t>
            </w:r>
          </w:p>
        </w:tc>
      </w:tr>
      <w:tr w:rsidR="00C33594" w:rsidRPr="00C33594" w14:paraId="491440A2" w14:textId="224C39AC" w:rsidTr="00C33594">
        <w:tc>
          <w:tcPr>
            <w:tcW w:w="976" w:type="dxa"/>
            <w:shd w:val="clear" w:color="auto" w:fill="FFFFFF"/>
          </w:tcPr>
          <w:p w14:paraId="17325881" w14:textId="77777777" w:rsidR="007809B2" w:rsidRPr="00C33594" w:rsidRDefault="007809B2" w:rsidP="007809B2">
            <w:pPr>
              <w:pStyle w:val="CETBodytext"/>
              <w:ind w:right="-1"/>
              <w:jc w:val="center"/>
              <w:rPr>
                <w:rFonts w:cs="Arial"/>
                <w:szCs w:val="18"/>
              </w:rPr>
            </w:pPr>
            <w:r w:rsidRPr="00C33594">
              <w:rPr>
                <w:rFonts w:cs="Arial"/>
                <w:szCs w:val="18"/>
              </w:rPr>
              <w:t>SrCo0.4</w:t>
            </w:r>
          </w:p>
        </w:tc>
        <w:tc>
          <w:tcPr>
            <w:tcW w:w="695" w:type="dxa"/>
            <w:shd w:val="clear" w:color="auto" w:fill="FFFFFF"/>
          </w:tcPr>
          <w:p w14:paraId="017A0716" w14:textId="77777777" w:rsidR="007809B2" w:rsidRPr="00C33594" w:rsidRDefault="007809B2" w:rsidP="007809B2">
            <w:pPr>
              <w:pStyle w:val="CETBodytext"/>
              <w:ind w:right="-1"/>
              <w:jc w:val="center"/>
              <w:rPr>
                <w:rFonts w:cs="Arial"/>
                <w:szCs w:val="18"/>
              </w:rPr>
            </w:pPr>
            <w:r w:rsidRPr="00C33594">
              <w:rPr>
                <w:rFonts w:cs="Arial"/>
                <w:szCs w:val="18"/>
              </w:rPr>
              <w:t>0.44</w:t>
            </w:r>
          </w:p>
        </w:tc>
        <w:tc>
          <w:tcPr>
            <w:tcW w:w="521" w:type="dxa"/>
            <w:shd w:val="clear" w:color="auto" w:fill="FFFFFF"/>
          </w:tcPr>
          <w:p w14:paraId="416E8FA3" w14:textId="77777777" w:rsidR="007809B2" w:rsidRPr="00C33594" w:rsidRDefault="007809B2" w:rsidP="007809B2">
            <w:pPr>
              <w:pStyle w:val="CETBodytext"/>
              <w:ind w:right="-1"/>
              <w:jc w:val="center"/>
              <w:rPr>
                <w:rFonts w:cs="Arial"/>
                <w:szCs w:val="18"/>
              </w:rPr>
            </w:pPr>
            <w:r w:rsidRPr="00C33594">
              <w:rPr>
                <w:rFonts w:cs="Arial"/>
                <w:szCs w:val="18"/>
              </w:rPr>
              <w:t>32</w:t>
            </w:r>
          </w:p>
        </w:tc>
        <w:tc>
          <w:tcPr>
            <w:tcW w:w="597" w:type="dxa"/>
            <w:shd w:val="clear" w:color="auto" w:fill="FFFFFF"/>
          </w:tcPr>
          <w:p w14:paraId="49894658" w14:textId="77777777" w:rsidR="007809B2" w:rsidRPr="00C33594" w:rsidRDefault="007809B2" w:rsidP="007809B2">
            <w:pPr>
              <w:pStyle w:val="CETBodytext"/>
              <w:ind w:right="-1"/>
              <w:jc w:val="center"/>
              <w:rPr>
                <w:rFonts w:cs="Arial"/>
                <w:szCs w:val="18"/>
              </w:rPr>
            </w:pPr>
            <w:r w:rsidRPr="00C33594">
              <w:rPr>
                <w:rFonts w:cs="Arial"/>
                <w:szCs w:val="18"/>
              </w:rPr>
              <w:t>0.08</w:t>
            </w:r>
          </w:p>
        </w:tc>
        <w:tc>
          <w:tcPr>
            <w:tcW w:w="417" w:type="dxa"/>
            <w:shd w:val="clear" w:color="auto" w:fill="FFFFFF"/>
          </w:tcPr>
          <w:p w14:paraId="325C7303" w14:textId="77777777" w:rsidR="007809B2" w:rsidRPr="00C33594" w:rsidRDefault="007809B2" w:rsidP="007809B2">
            <w:pPr>
              <w:pStyle w:val="CETBodytext"/>
              <w:ind w:right="-1"/>
              <w:jc w:val="center"/>
              <w:rPr>
                <w:rFonts w:cs="Arial"/>
                <w:szCs w:val="18"/>
              </w:rPr>
            </w:pPr>
            <w:r w:rsidRPr="00C33594">
              <w:rPr>
                <w:rFonts w:cs="Arial"/>
                <w:szCs w:val="18"/>
              </w:rPr>
              <w:t>140</w:t>
            </w:r>
          </w:p>
        </w:tc>
        <w:tc>
          <w:tcPr>
            <w:tcW w:w="577" w:type="dxa"/>
            <w:shd w:val="clear" w:color="auto" w:fill="FFFFFF"/>
          </w:tcPr>
          <w:p w14:paraId="1FB51A26" w14:textId="77777777" w:rsidR="007809B2" w:rsidRPr="00C33594" w:rsidRDefault="007809B2" w:rsidP="007809B2">
            <w:pPr>
              <w:pStyle w:val="CETBodytext"/>
              <w:ind w:right="-1"/>
              <w:jc w:val="center"/>
              <w:rPr>
                <w:rFonts w:cs="Arial"/>
                <w:szCs w:val="18"/>
              </w:rPr>
            </w:pPr>
            <w:r w:rsidRPr="00C33594">
              <w:rPr>
                <w:rFonts w:cs="Arial"/>
                <w:szCs w:val="18"/>
              </w:rPr>
              <w:t>9</w:t>
            </w:r>
          </w:p>
        </w:tc>
        <w:tc>
          <w:tcPr>
            <w:tcW w:w="1071" w:type="dxa"/>
            <w:shd w:val="clear" w:color="auto" w:fill="FFFFFF"/>
          </w:tcPr>
          <w:p w14:paraId="01B8F867" w14:textId="77777777" w:rsidR="007809B2" w:rsidRPr="00C33594" w:rsidRDefault="007809B2" w:rsidP="007809B2">
            <w:pPr>
              <w:pStyle w:val="CETBodytext"/>
              <w:ind w:right="-1"/>
              <w:jc w:val="center"/>
              <w:rPr>
                <w:rFonts w:cs="Arial"/>
                <w:szCs w:val="18"/>
              </w:rPr>
            </w:pPr>
            <w:r w:rsidRPr="00C33594">
              <w:rPr>
                <w:rFonts w:cs="Arial"/>
                <w:szCs w:val="18"/>
              </w:rPr>
              <w:t>8.2</w:t>
            </w:r>
          </w:p>
        </w:tc>
        <w:tc>
          <w:tcPr>
            <w:tcW w:w="698" w:type="dxa"/>
            <w:shd w:val="clear" w:color="auto" w:fill="FFFFFF"/>
          </w:tcPr>
          <w:p w14:paraId="301E3DAB" w14:textId="77777777" w:rsidR="007809B2" w:rsidRPr="00C33594" w:rsidRDefault="007809B2" w:rsidP="007809B2">
            <w:pPr>
              <w:pStyle w:val="CETBodytext"/>
              <w:ind w:right="-1"/>
              <w:jc w:val="center"/>
              <w:rPr>
                <w:rFonts w:cs="Arial"/>
                <w:szCs w:val="18"/>
              </w:rPr>
            </w:pPr>
            <w:r w:rsidRPr="00C33594">
              <w:rPr>
                <w:rFonts w:cs="Arial"/>
                <w:szCs w:val="18"/>
              </w:rPr>
              <w:t>0.89</w:t>
            </w:r>
          </w:p>
        </w:tc>
        <w:tc>
          <w:tcPr>
            <w:tcW w:w="957" w:type="dxa"/>
            <w:gridSpan w:val="2"/>
            <w:shd w:val="clear" w:color="auto" w:fill="FFFFFF"/>
          </w:tcPr>
          <w:p w14:paraId="13309015" w14:textId="77777777" w:rsidR="007809B2" w:rsidRPr="00C33594" w:rsidRDefault="007809B2" w:rsidP="007809B2">
            <w:pPr>
              <w:pStyle w:val="CETBodytext"/>
              <w:ind w:right="-1"/>
              <w:jc w:val="center"/>
              <w:rPr>
                <w:rFonts w:cs="Arial"/>
                <w:szCs w:val="18"/>
              </w:rPr>
            </w:pPr>
            <w:r w:rsidRPr="00C33594">
              <w:rPr>
                <w:rFonts w:cs="Arial"/>
                <w:szCs w:val="18"/>
              </w:rPr>
              <w:t>1.25</w:t>
            </w:r>
          </w:p>
        </w:tc>
        <w:tc>
          <w:tcPr>
            <w:tcW w:w="607" w:type="dxa"/>
            <w:shd w:val="clear" w:color="auto" w:fill="FFFFFF"/>
          </w:tcPr>
          <w:p w14:paraId="59690128" w14:textId="3D1ABA5E" w:rsidR="007809B2" w:rsidRPr="00C33594" w:rsidRDefault="007809B2" w:rsidP="007809B2">
            <w:pPr>
              <w:pStyle w:val="CETBodytext"/>
              <w:ind w:right="-1"/>
              <w:jc w:val="center"/>
              <w:rPr>
                <w:rFonts w:cs="Arial"/>
                <w:szCs w:val="18"/>
              </w:rPr>
            </w:pPr>
            <w:r w:rsidRPr="00C33594">
              <w:rPr>
                <w:rFonts w:cs="Arial"/>
                <w:szCs w:val="18"/>
              </w:rPr>
              <w:t>225</w:t>
            </w:r>
          </w:p>
        </w:tc>
        <w:tc>
          <w:tcPr>
            <w:tcW w:w="564" w:type="dxa"/>
            <w:shd w:val="clear" w:color="auto" w:fill="FFFFFF"/>
          </w:tcPr>
          <w:p w14:paraId="375226A8" w14:textId="456C721A" w:rsidR="007809B2" w:rsidRPr="00C33594" w:rsidRDefault="007809B2" w:rsidP="007809B2">
            <w:pPr>
              <w:pStyle w:val="CETBodytext"/>
              <w:ind w:right="-1"/>
              <w:jc w:val="center"/>
              <w:rPr>
                <w:rFonts w:cs="Arial"/>
                <w:szCs w:val="18"/>
              </w:rPr>
            </w:pPr>
            <w:r w:rsidRPr="00C33594">
              <w:rPr>
                <w:rFonts w:cs="Arial"/>
                <w:szCs w:val="18"/>
              </w:rPr>
              <w:t>250</w:t>
            </w:r>
          </w:p>
        </w:tc>
        <w:tc>
          <w:tcPr>
            <w:tcW w:w="564" w:type="dxa"/>
            <w:shd w:val="clear" w:color="auto" w:fill="FFFFFF"/>
          </w:tcPr>
          <w:p w14:paraId="67B61FE5" w14:textId="6C6233FF" w:rsidR="007809B2" w:rsidRPr="00C33594" w:rsidRDefault="007809B2" w:rsidP="007809B2">
            <w:pPr>
              <w:pStyle w:val="CETBodytext"/>
              <w:ind w:right="-1"/>
              <w:jc w:val="center"/>
              <w:rPr>
                <w:rFonts w:cs="Arial"/>
                <w:szCs w:val="18"/>
              </w:rPr>
            </w:pPr>
            <w:r w:rsidRPr="00C33594">
              <w:rPr>
                <w:rFonts w:cs="Arial"/>
                <w:szCs w:val="18"/>
              </w:rPr>
              <w:t>315</w:t>
            </w:r>
          </w:p>
        </w:tc>
        <w:tc>
          <w:tcPr>
            <w:tcW w:w="545" w:type="dxa"/>
            <w:shd w:val="clear" w:color="auto" w:fill="FFFFFF"/>
          </w:tcPr>
          <w:p w14:paraId="614D436A" w14:textId="0E71B4B3" w:rsidR="007809B2" w:rsidRPr="00C33594" w:rsidRDefault="007809B2" w:rsidP="007809B2">
            <w:pPr>
              <w:pStyle w:val="CETBodytext"/>
              <w:ind w:right="-1"/>
              <w:jc w:val="center"/>
              <w:rPr>
                <w:rFonts w:cs="Arial"/>
                <w:szCs w:val="18"/>
              </w:rPr>
            </w:pPr>
            <w:r w:rsidRPr="00C33594">
              <w:rPr>
                <w:rFonts w:cs="Arial"/>
                <w:szCs w:val="18"/>
              </w:rPr>
              <w:t>350</w:t>
            </w:r>
          </w:p>
        </w:tc>
      </w:tr>
    </w:tbl>
    <w:p w14:paraId="11C4004B" w14:textId="00A9C4E6" w:rsidR="007809B2" w:rsidRPr="00C33594" w:rsidRDefault="007809B2" w:rsidP="00325A54">
      <w:pPr>
        <w:pStyle w:val="CETBodytext"/>
      </w:pPr>
      <w:r w:rsidRPr="00C33594">
        <w:t xml:space="preserve">* </w:t>
      </w:r>
      <w:r w:rsidRPr="00C33594">
        <w:rPr>
          <w:noProof/>
        </w:rPr>
        <w:t xml:space="preserve">After performing 3 </w:t>
      </w:r>
      <w:r w:rsidR="00EE02AD" w:rsidRPr="00C33594">
        <w:rPr>
          <w:noProof/>
        </w:rPr>
        <w:t xml:space="preserve">catalytic </w:t>
      </w:r>
      <w:r w:rsidRPr="00C33594">
        <w:rPr>
          <w:noProof/>
        </w:rPr>
        <w:t xml:space="preserve">tests on each sample the standard deviation has been set at </w:t>
      </w:r>
      <w:r w:rsidRPr="00C33594">
        <w:rPr>
          <w:rFonts w:cs="Arial"/>
          <w:szCs w:val="18"/>
          <w:shd w:val="clear" w:color="auto" w:fill="FFFFFF"/>
        </w:rPr>
        <w:t>±</w:t>
      </w:r>
      <w:r w:rsidRPr="00C33594">
        <w:rPr>
          <w:noProof/>
        </w:rPr>
        <w:t xml:space="preserve"> 4ºC at low T (conversion &lt; 50%) and </w:t>
      </w:r>
      <w:r w:rsidRPr="00C33594">
        <w:rPr>
          <w:rFonts w:cs="Arial"/>
          <w:szCs w:val="18"/>
          <w:shd w:val="clear" w:color="auto" w:fill="FFFFFF"/>
        </w:rPr>
        <w:t>±</w:t>
      </w:r>
      <w:r w:rsidRPr="00C33594">
        <w:rPr>
          <w:noProof/>
        </w:rPr>
        <w:t xml:space="preserve"> 2ºC at high T (conversion &gt; 50%)</w:t>
      </w:r>
      <w:r w:rsidR="00EE02AD" w:rsidRPr="00C33594">
        <w:rPr>
          <w:noProof/>
        </w:rPr>
        <w:t>.</w:t>
      </w:r>
    </w:p>
    <w:p w14:paraId="048475A8" w14:textId="587B6AFB" w:rsidR="00325A54" w:rsidRPr="00C33594" w:rsidRDefault="00342447" w:rsidP="00325A54">
      <w:pPr>
        <w:pStyle w:val="CETBodytext"/>
      </w:pPr>
      <w:r w:rsidRPr="00C33594">
        <w:rPr>
          <w:noProof/>
        </w:rPr>
        <w:drawing>
          <wp:inline distT="0" distB="0" distL="0" distR="0" wp14:anchorId="281EE49F" wp14:editId="45611904">
            <wp:extent cx="3869157" cy="270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9157" cy="2700000"/>
                    </a:xfrm>
                    <a:prstGeom prst="rect">
                      <a:avLst/>
                    </a:prstGeom>
                    <a:noFill/>
                    <a:ln>
                      <a:noFill/>
                    </a:ln>
                  </pic:spPr>
                </pic:pic>
              </a:graphicData>
            </a:graphic>
          </wp:inline>
        </w:drawing>
      </w:r>
    </w:p>
    <w:p w14:paraId="72286801" w14:textId="794C707D" w:rsidR="00A05E67" w:rsidRPr="00C33594" w:rsidRDefault="00B6192F" w:rsidP="00325A54">
      <w:pPr>
        <w:pStyle w:val="CETCaption"/>
        <w:rPr>
          <w:lang w:val="en-US"/>
        </w:rPr>
      </w:pPr>
      <w:r w:rsidRPr="00C33594">
        <w:rPr>
          <w:lang w:val="en-US"/>
        </w:rPr>
        <w:t xml:space="preserve">Figure 1. XRD diffractograms </w:t>
      </w:r>
      <w:r w:rsidR="00361689" w:rsidRPr="00C33594">
        <w:rPr>
          <w:lang w:val="en-US"/>
        </w:rPr>
        <w:t>and H</w:t>
      </w:r>
      <w:r w:rsidR="00361689" w:rsidRPr="00C33594">
        <w:rPr>
          <w:vertAlign w:val="subscript"/>
          <w:lang w:val="en-US"/>
        </w:rPr>
        <w:t>2</w:t>
      </w:r>
      <w:r w:rsidR="00361689" w:rsidRPr="00C33594">
        <w:rPr>
          <w:lang w:val="en-US"/>
        </w:rPr>
        <w:t xml:space="preserve">-TPR profiles </w:t>
      </w:r>
      <w:r w:rsidRPr="00C33594">
        <w:rPr>
          <w:lang w:val="en-US"/>
        </w:rPr>
        <w:t xml:space="preserve">of the </w:t>
      </w:r>
      <w:r w:rsidR="00361689" w:rsidRPr="00C33594">
        <w:rPr>
          <w:lang w:val="en-US"/>
        </w:rPr>
        <w:t>SrCO</w:t>
      </w:r>
      <w:r w:rsidR="00361689" w:rsidRPr="00C33594">
        <w:rPr>
          <w:vertAlign w:val="subscript"/>
          <w:lang w:val="en-US"/>
        </w:rPr>
        <w:t>3</w:t>
      </w:r>
      <w:r w:rsidR="00361689" w:rsidRPr="00C33594">
        <w:rPr>
          <w:lang w:val="en-US"/>
        </w:rPr>
        <w:t>-Co</w:t>
      </w:r>
      <w:r w:rsidR="00361689" w:rsidRPr="00C33594">
        <w:rPr>
          <w:vertAlign w:val="subscript"/>
          <w:lang w:val="en-US"/>
        </w:rPr>
        <w:t>3</w:t>
      </w:r>
      <w:r w:rsidR="00361689" w:rsidRPr="00C33594">
        <w:rPr>
          <w:lang w:val="en-US"/>
        </w:rPr>
        <w:t>O</w:t>
      </w:r>
      <w:r w:rsidR="00361689" w:rsidRPr="00C33594">
        <w:rPr>
          <w:vertAlign w:val="subscript"/>
          <w:lang w:val="en-US"/>
        </w:rPr>
        <w:t>4</w:t>
      </w:r>
      <w:r w:rsidR="00361689" w:rsidRPr="00C33594">
        <w:rPr>
          <w:lang w:val="en-US"/>
        </w:rPr>
        <w:t xml:space="preserve"> composite catalysts</w:t>
      </w:r>
      <w:r w:rsidRPr="00C33594">
        <w:rPr>
          <w:lang w:val="en-US"/>
        </w:rPr>
        <w:t xml:space="preserve">. </w:t>
      </w:r>
    </w:p>
    <w:p w14:paraId="50D965DB" w14:textId="57814513" w:rsidR="00F44505" w:rsidRPr="00C33594" w:rsidRDefault="00D15826" w:rsidP="00D216C4">
      <w:pPr>
        <w:pStyle w:val="CETBodytext"/>
      </w:pPr>
      <w:r w:rsidRPr="00C33594">
        <w:t xml:space="preserve">The </w:t>
      </w:r>
      <w:r w:rsidR="00880F2D" w:rsidRPr="00C33594">
        <w:t>redox behavior</w:t>
      </w:r>
      <w:r w:rsidRPr="00C33594">
        <w:t xml:space="preserve"> of catalysts in oxidation reactions is </w:t>
      </w:r>
      <w:r w:rsidR="00316EBD" w:rsidRPr="00C33594">
        <w:t xml:space="preserve">closely </w:t>
      </w:r>
      <w:r w:rsidRPr="00C33594">
        <w:t xml:space="preserve">related to </w:t>
      </w:r>
      <w:r w:rsidR="00316EBD" w:rsidRPr="00C33594">
        <w:t xml:space="preserve">their </w:t>
      </w:r>
      <w:r w:rsidRPr="00C33594">
        <w:t xml:space="preserve">catalytic </w:t>
      </w:r>
      <w:r w:rsidR="00CF5D75" w:rsidRPr="00C33594">
        <w:t>performance</w:t>
      </w:r>
      <w:r w:rsidRPr="00C33594">
        <w:t xml:space="preserve">. Furthermore, </w:t>
      </w:r>
      <w:r w:rsidR="008707AA" w:rsidRPr="00C33594">
        <w:t>it is widely accepted</w:t>
      </w:r>
      <w:r w:rsidRPr="00C33594">
        <w:t xml:space="preserve"> that unsaturated C=C bonds, as in the case of vinyl chloride, a</w:t>
      </w:r>
      <w:r w:rsidR="006F5853" w:rsidRPr="00C33594">
        <w:t xml:space="preserve">re difficult to </w:t>
      </w:r>
      <w:r w:rsidR="00362FA4" w:rsidRPr="00C33594">
        <w:t>dissociate</w:t>
      </w:r>
      <w:r w:rsidR="006F5853" w:rsidRPr="00C33594">
        <w:t xml:space="preserve"> and oxidi</w:t>
      </w:r>
      <w:r w:rsidR="008D7F6B" w:rsidRPr="00C33594">
        <w:t>z</w:t>
      </w:r>
      <w:r w:rsidR="006F5853" w:rsidRPr="00C33594">
        <w:t xml:space="preserve">e over catalysts with poor </w:t>
      </w:r>
      <w:r w:rsidR="00880F2D" w:rsidRPr="00C33594">
        <w:t>reducibility</w:t>
      </w:r>
      <w:r w:rsidR="00A2220E" w:rsidRPr="00C33594">
        <w:t xml:space="preserve"> </w:t>
      </w:r>
      <w:r w:rsidR="00841D64" w:rsidRPr="00C33594">
        <w:t>(Dai et al., 2019).</w:t>
      </w:r>
      <w:r w:rsidR="00362FA4" w:rsidRPr="00C33594">
        <w:t xml:space="preserve"> </w:t>
      </w:r>
      <w:r w:rsidR="00316EBD" w:rsidRPr="00C33594">
        <w:t xml:space="preserve">The </w:t>
      </w:r>
      <w:r w:rsidR="00880F2D" w:rsidRPr="00C33594">
        <w:t>redox properties</w:t>
      </w:r>
      <w:r w:rsidR="00362FA4" w:rsidRPr="00C33594">
        <w:t xml:space="preserve"> of the prepared catalysts </w:t>
      </w:r>
      <w:r w:rsidR="00880F2D" w:rsidRPr="00C33594">
        <w:t>were</w:t>
      </w:r>
      <w:r w:rsidR="00362FA4" w:rsidRPr="00C33594">
        <w:t xml:space="preserve"> evaluated by temperature-programmed reduction with hydrogen (H</w:t>
      </w:r>
      <w:r w:rsidR="00362FA4" w:rsidRPr="00C33594">
        <w:rPr>
          <w:vertAlign w:val="subscript"/>
        </w:rPr>
        <w:t>2</w:t>
      </w:r>
      <w:r w:rsidR="00362FA4" w:rsidRPr="00C33594">
        <w:t>-TPR)</w:t>
      </w:r>
      <w:r w:rsidR="00427128" w:rsidRPr="00C33594">
        <w:t xml:space="preserve"> </w:t>
      </w:r>
      <w:r w:rsidR="00DC5FB9" w:rsidRPr="00C33594">
        <w:t xml:space="preserve">from room temperature to 500 ºC </w:t>
      </w:r>
      <w:r w:rsidR="00427128" w:rsidRPr="00C33594">
        <w:t xml:space="preserve">on a Micromeritics </w:t>
      </w:r>
      <w:proofErr w:type="spellStart"/>
      <w:r w:rsidR="00427128" w:rsidRPr="00C33594">
        <w:t>Autochem</w:t>
      </w:r>
      <w:proofErr w:type="spellEnd"/>
      <w:r w:rsidR="00427128" w:rsidRPr="00C33594">
        <w:t xml:space="preserve"> 2920 instrument equipped with a TCD detector</w:t>
      </w:r>
      <w:r w:rsidR="00DC5FB9" w:rsidRPr="00C33594">
        <w:t xml:space="preserve">. </w:t>
      </w:r>
      <w:r w:rsidR="00316EBD" w:rsidRPr="00C33594">
        <w:t xml:space="preserve">It is </w:t>
      </w:r>
      <w:r w:rsidR="008707AA" w:rsidRPr="00C33594">
        <w:t xml:space="preserve">known </w:t>
      </w:r>
      <w:r w:rsidR="00316EBD" w:rsidRPr="00C33594">
        <w:t>that</w:t>
      </w:r>
      <w:r w:rsidR="007E496F" w:rsidRPr="00C33594">
        <w:t xml:space="preserve"> Co</w:t>
      </w:r>
      <w:r w:rsidR="007E496F" w:rsidRPr="00C33594">
        <w:rPr>
          <w:vertAlign w:val="subscript"/>
        </w:rPr>
        <w:t>3</w:t>
      </w:r>
      <w:r w:rsidR="007E496F" w:rsidRPr="00C33594">
        <w:t>O</w:t>
      </w:r>
      <w:r w:rsidR="007E496F" w:rsidRPr="00C33594">
        <w:rPr>
          <w:vertAlign w:val="subscript"/>
        </w:rPr>
        <w:t>4</w:t>
      </w:r>
      <w:r w:rsidR="007E496F" w:rsidRPr="00C33594">
        <w:t xml:space="preserve"> </w:t>
      </w:r>
      <w:r w:rsidR="00316EBD" w:rsidRPr="00C33594">
        <w:t xml:space="preserve">typically </w:t>
      </w:r>
      <w:r w:rsidR="007E496F" w:rsidRPr="00C33594">
        <w:t>follow</w:t>
      </w:r>
      <w:r w:rsidR="00316EBD" w:rsidRPr="00C33594">
        <w:t>s</w:t>
      </w:r>
      <w:r w:rsidR="007E496F" w:rsidRPr="00C33594">
        <w:t xml:space="preserve"> a two-step reduction process; first</w:t>
      </w:r>
      <w:r w:rsidR="0017125F" w:rsidRPr="00C33594">
        <w:t>,</w:t>
      </w:r>
      <w:r w:rsidR="007E496F" w:rsidRPr="00C33594">
        <w:t xml:space="preserve"> Co</w:t>
      </w:r>
      <w:r w:rsidR="007E496F" w:rsidRPr="00C33594">
        <w:rPr>
          <w:vertAlign w:val="superscript"/>
        </w:rPr>
        <w:t>3+</w:t>
      </w:r>
      <w:r w:rsidR="007E496F" w:rsidRPr="00C33594">
        <w:t xml:space="preserve"> species present in the mixed oxide are reduced to Co</w:t>
      </w:r>
      <w:r w:rsidR="007E496F" w:rsidRPr="00C33594">
        <w:rPr>
          <w:vertAlign w:val="superscript"/>
        </w:rPr>
        <w:t>2+</w:t>
      </w:r>
      <w:r w:rsidR="007E496F" w:rsidRPr="00C33594">
        <w:t xml:space="preserve"> followed by the reduction of these to metallic cobalt (González-Prior et al., 2018).</w:t>
      </w:r>
      <w:r w:rsidR="00D216C4" w:rsidRPr="00C33594">
        <w:t xml:space="preserve"> The </w:t>
      </w:r>
      <w:r w:rsidR="00316EBD" w:rsidRPr="00C33594">
        <w:t xml:space="preserve">corresponding </w:t>
      </w:r>
      <w:r w:rsidR="00D216C4" w:rsidRPr="00C33594">
        <w:t xml:space="preserve">reduction profiles of the </w:t>
      </w:r>
      <w:proofErr w:type="spellStart"/>
      <w:r w:rsidR="00316EBD" w:rsidRPr="00C33594">
        <w:t>SrCox</w:t>
      </w:r>
      <w:proofErr w:type="spellEnd"/>
      <w:r w:rsidR="00316EBD" w:rsidRPr="00C33594">
        <w:t xml:space="preserve"> samples, along with the profile of pure Co</w:t>
      </w:r>
      <w:r w:rsidR="00316EBD" w:rsidRPr="00C33594">
        <w:rPr>
          <w:vertAlign w:val="subscript"/>
        </w:rPr>
        <w:t>3</w:t>
      </w:r>
      <w:r w:rsidR="00316EBD" w:rsidRPr="00C33594">
        <w:t>O</w:t>
      </w:r>
      <w:r w:rsidR="00316EBD" w:rsidRPr="00C33594">
        <w:rPr>
          <w:vertAlign w:val="subscript"/>
        </w:rPr>
        <w:t>4</w:t>
      </w:r>
      <w:r w:rsidR="00316EBD" w:rsidRPr="00C33594">
        <w:t xml:space="preserve"> oxide, </w:t>
      </w:r>
      <w:r w:rsidR="00D216C4" w:rsidRPr="00C33594">
        <w:t xml:space="preserve">are </w:t>
      </w:r>
      <w:r w:rsidR="00316EBD" w:rsidRPr="00C33594">
        <w:t xml:space="preserve">compared </w:t>
      </w:r>
      <w:r w:rsidR="00D216C4" w:rsidRPr="00C33594">
        <w:t xml:space="preserve">in Figure </w:t>
      </w:r>
      <w:r w:rsidR="00361689" w:rsidRPr="00C33594">
        <w:t>1</w:t>
      </w:r>
      <w:r w:rsidR="00342447" w:rsidRPr="00C33594">
        <w:t>b</w:t>
      </w:r>
      <w:r w:rsidR="00D216C4" w:rsidRPr="00C33594">
        <w:t xml:space="preserve">. </w:t>
      </w:r>
      <w:r w:rsidR="008707AA" w:rsidRPr="00C33594">
        <w:t>Notable</w:t>
      </w:r>
      <w:r w:rsidR="00D216C4" w:rsidRPr="00C33594">
        <w:t xml:space="preserve"> differences in the shape of the reduction profiles were </w:t>
      </w:r>
      <w:r w:rsidR="004F2FC6" w:rsidRPr="00C33594">
        <w:t xml:space="preserve">evident </w:t>
      </w:r>
      <w:r w:rsidR="00D216C4" w:rsidRPr="00C33594">
        <w:t xml:space="preserve">as a function of the Sr content. While </w:t>
      </w:r>
      <w:r w:rsidR="004F2FC6" w:rsidRPr="00C33594">
        <w:t xml:space="preserve">in the case of </w:t>
      </w:r>
      <w:r w:rsidR="00D216C4" w:rsidRPr="00C33594">
        <w:t xml:space="preserve">the </w:t>
      </w:r>
      <w:r w:rsidR="004F2FC6" w:rsidRPr="00C33594">
        <w:t xml:space="preserve">blank </w:t>
      </w:r>
      <w:r w:rsidR="00D216C4" w:rsidRPr="00C33594">
        <w:t>Co</w:t>
      </w:r>
      <w:r w:rsidR="00D216C4" w:rsidRPr="00C33594">
        <w:rPr>
          <w:vertAlign w:val="subscript"/>
        </w:rPr>
        <w:t>3</w:t>
      </w:r>
      <w:r w:rsidR="00D216C4" w:rsidRPr="00C33594">
        <w:t>O</w:t>
      </w:r>
      <w:r w:rsidR="00D216C4" w:rsidRPr="00C33594">
        <w:rPr>
          <w:vertAlign w:val="subscript"/>
        </w:rPr>
        <w:t>4</w:t>
      </w:r>
      <w:r w:rsidR="00D216C4" w:rsidRPr="00C33594">
        <w:t xml:space="preserve"> catalyst, two more or less discernible peaks associated with the </w:t>
      </w:r>
      <w:r w:rsidR="00DC2552" w:rsidRPr="00C33594">
        <w:t xml:space="preserve">sequential </w:t>
      </w:r>
      <w:r w:rsidR="00D216C4" w:rsidRPr="00C33594">
        <w:t>reduction of Co</w:t>
      </w:r>
      <w:r w:rsidR="00D216C4" w:rsidRPr="00C33594">
        <w:rPr>
          <w:vertAlign w:val="superscript"/>
        </w:rPr>
        <w:t>3+</w:t>
      </w:r>
      <w:r w:rsidR="00D216C4" w:rsidRPr="00C33594">
        <w:t xml:space="preserve"> to Co</w:t>
      </w:r>
      <w:r w:rsidR="00D216C4" w:rsidRPr="00C33594">
        <w:rPr>
          <w:vertAlign w:val="superscript"/>
        </w:rPr>
        <w:t>2+</w:t>
      </w:r>
      <w:r w:rsidR="00D216C4" w:rsidRPr="00C33594">
        <w:t xml:space="preserve"> and Co</w:t>
      </w:r>
      <w:r w:rsidR="00D216C4" w:rsidRPr="00C33594">
        <w:rPr>
          <w:vertAlign w:val="superscript"/>
        </w:rPr>
        <w:t>2+</w:t>
      </w:r>
      <w:r w:rsidR="00D216C4" w:rsidRPr="00C33594">
        <w:t xml:space="preserve"> to Co</w:t>
      </w:r>
      <w:r w:rsidR="00D216C4" w:rsidRPr="00C33594">
        <w:rPr>
          <w:vertAlign w:val="superscript"/>
        </w:rPr>
        <w:t>0</w:t>
      </w:r>
      <w:r w:rsidR="00D216C4" w:rsidRPr="00C33594">
        <w:t xml:space="preserve"> were observed at 260 and 330</w:t>
      </w:r>
      <w:r w:rsidR="00AA7A34" w:rsidRPr="00C33594">
        <w:t> </w:t>
      </w:r>
      <w:r w:rsidR="00D216C4" w:rsidRPr="00C33594">
        <w:t xml:space="preserve">ºC, respectively, the sample with a </w:t>
      </w:r>
      <w:proofErr w:type="spellStart"/>
      <w:r w:rsidR="00D216C4" w:rsidRPr="00C33594">
        <w:t>Sr:Co</w:t>
      </w:r>
      <w:proofErr w:type="spellEnd"/>
      <w:r w:rsidR="00D216C4" w:rsidRPr="00C33594">
        <w:t xml:space="preserve">=0.1 molar ratio </w:t>
      </w:r>
      <w:r w:rsidR="005B341D" w:rsidRPr="00C33594">
        <w:t>exhibited</w:t>
      </w:r>
      <w:r w:rsidR="00D216C4" w:rsidRPr="00C33594">
        <w:t xml:space="preserve"> two major reduction peaks at </w:t>
      </w:r>
      <w:r w:rsidR="00AA7A34" w:rsidRPr="00C33594">
        <w:t xml:space="preserve">305 </w:t>
      </w:r>
      <w:r w:rsidR="00D216C4" w:rsidRPr="00C33594">
        <w:t xml:space="preserve">and </w:t>
      </w:r>
      <w:r w:rsidR="00AA7A34" w:rsidRPr="00C33594">
        <w:t>400 </w:t>
      </w:r>
      <w:r w:rsidR="00D216C4" w:rsidRPr="00C33594">
        <w:t xml:space="preserve">ºC with two shoulders at </w:t>
      </w:r>
      <w:r w:rsidR="009F470D" w:rsidRPr="00C33594">
        <w:t xml:space="preserve">260 </w:t>
      </w:r>
      <w:r w:rsidR="00D216C4" w:rsidRPr="00C33594">
        <w:t xml:space="preserve">and </w:t>
      </w:r>
      <w:r w:rsidR="009F470D" w:rsidRPr="00C33594">
        <w:t>350 </w:t>
      </w:r>
      <w:r w:rsidR="00D216C4" w:rsidRPr="00C33594">
        <w:t>ºC. As the SrCO</w:t>
      </w:r>
      <w:r w:rsidR="00D216C4" w:rsidRPr="00C33594">
        <w:rPr>
          <w:vertAlign w:val="subscript"/>
        </w:rPr>
        <w:t>3</w:t>
      </w:r>
      <w:r w:rsidR="00D216C4" w:rsidRPr="00C33594">
        <w:t xml:space="preserve"> content of the samples increased, this second peak </w:t>
      </w:r>
      <w:r w:rsidR="009F470D" w:rsidRPr="00C33594">
        <w:t xml:space="preserve">at 400 ºC was less visible </w:t>
      </w:r>
      <w:r w:rsidR="00D216C4" w:rsidRPr="00C33594">
        <w:t xml:space="preserve">and disappeared for </w:t>
      </w:r>
      <w:proofErr w:type="spellStart"/>
      <w:r w:rsidR="00D216C4" w:rsidRPr="00C33594">
        <w:t>Sr:Co</w:t>
      </w:r>
      <w:proofErr w:type="spellEnd"/>
      <w:r w:rsidR="00D216C4" w:rsidRPr="00C33594">
        <w:t xml:space="preserve"> molar ratios higher than 0.3. These results suggest that the addition of large </w:t>
      </w:r>
      <w:r w:rsidR="00D54017" w:rsidRPr="00C33594">
        <w:t xml:space="preserve">quantities </w:t>
      </w:r>
      <w:r w:rsidR="00D216C4" w:rsidRPr="00C33594">
        <w:t xml:space="preserve">of Sr </w:t>
      </w:r>
      <w:r w:rsidR="001C6172" w:rsidRPr="00C33594">
        <w:t>favored</w:t>
      </w:r>
      <w:r w:rsidR="00D216C4" w:rsidRPr="00C33594">
        <w:t xml:space="preserve"> the reduction of cobalt oxide by decreasing the temperature of the reduction peaks</w:t>
      </w:r>
      <w:r w:rsidR="00D54017" w:rsidRPr="00C33594">
        <w:t xml:space="preserve"> with a shift of about </w:t>
      </w:r>
      <w:r w:rsidR="001C7A38" w:rsidRPr="00C33594">
        <w:t xml:space="preserve">15 </w:t>
      </w:r>
      <w:r w:rsidR="00D54017" w:rsidRPr="00C33594">
        <w:t xml:space="preserve">ºC. Conversely, </w:t>
      </w:r>
      <w:r w:rsidR="00D216C4" w:rsidRPr="00C33594">
        <w:t xml:space="preserve">the </w:t>
      </w:r>
      <w:r w:rsidR="00D54017" w:rsidRPr="00C33594">
        <w:t>incorporation of</w:t>
      </w:r>
      <w:r w:rsidR="00D216C4" w:rsidRPr="00C33594">
        <w:t xml:space="preserve"> </w:t>
      </w:r>
      <w:r w:rsidR="00D54017" w:rsidRPr="00C33594">
        <w:t xml:space="preserve">trace </w:t>
      </w:r>
      <w:r w:rsidR="00D216C4" w:rsidRPr="00C33594">
        <w:t xml:space="preserve">amounts of Sr worsened the </w:t>
      </w:r>
      <w:r w:rsidR="005B341D" w:rsidRPr="00C33594">
        <w:t xml:space="preserve">overall </w:t>
      </w:r>
      <w:r w:rsidR="00D216C4" w:rsidRPr="00C33594">
        <w:t>reduction of the samples, possibly due to a strong chemical interaction between Sr and Co</w:t>
      </w:r>
      <w:r w:rsidR="00D216C4" w:rsidRPr="00C33594">
        <w:rPr>
          <w:vertAlign w:val="subscript"/>
        </w:rPr>
        <w:t>3</w:t>
      </w:r>
      <w:r w:rsidR="00D216C4" w:rsidRPr="00C33594">
        <w:t>O</w:t>
      </w:r>
      <w:r w:rsidR="00D216C4" w:rsidRPr="00C33594">
        <w:rPr>
          <w:vertAlign w:val="subscript"/>
        </w:rPr>
        <w:t>4</w:t>
      </w:r>
      <w:r w:rsidR="00D216C4" w:rsidRPr="00C33594">
        <w:t xml:space="preserve"> that strengthened the Co-O bonds, making it difficult to split them and consequently the reduction of Co</w:t>
      </w:r>
      <w:r w:rsidR="00D216C4" w:rsidRPr="00C33594">
        <w:rPr>
          <w:vertAlign w:val="subscript"/>
        </w:rPr>
        <w:t>3</w:t>
      </w:r>
      <w:r w:rsidR="00D216C4" w:rsidRPr="00C33594">
        <w:t>O</w:t>
      </w:r>
      <w:r w:rsidR="00D216C4" w:rsidRPr="00C33594">
        <w:rPr>
          <w:vertAlign w:val="subscript"/>
        </w:rPr>
        <w:t>4</w:t>
      </w:r>
      <w:r w:rsidR="00D216C4" w:rsidRPr="00C33594">
        <w:t xml:space="preserve"> (Li et al., 2018).</w:t>
      </w:r>
      <w:r w:rsidR="00D413D6" w:rsidRPr="00C33594">
        <w:t xml:space="preserve"> T</w:t>
      </w:r>
      <w:r w:rsidR="0010016F" w:rsidRPr="00C33594">
        <w:t xml:space="preserve">he hydrogen consumption of each sample </w:t>
      </w:r>
      <w:r w:rsidR="00140FEF" w:rsidRPr="00C33594">
        <w:t>is shown in T</w:t>
      </w:r>
      <w:r w:rsidR="00D413D6" w:rsidRPr="00C33594">
        <w:t>able 1. As expected, it decrease</w:t>
      </w:r>
      <w:r w:rsidR="00F44D86" w:rsidRPr="00C33594">
        <w:t>d</w:t>
      </w:r>
      <w:r w:rsidR="00D413D6" w:rsidRPr="00C33594">
        <w:t xml:space="preserve"> as the </w:t>
      </w:r>
      <w:proofErr w:type="spellStart"/>
      <w:proofErr w:type="gramStart"/>
      <w:r w:rsidR="00D413D6" w:rsidRPr="00C33594">
        <w:t>Sr:Co</w:t>
      </w:r>
      <w:proofErr w:type="spellEnd"/>
      <w:proofErr w:type="gramEnd"/>
      <w:r w:rsidR="00D413D6" w:rsidRPr="00C33594">
        <w:t xml:space="preserve"> molar ratio increase</w:t>
      </w:r>
      <w:r w:rsidR="00F44D86" w:rsidRPr="00C33594">
        <w:t>d</w:t>
      </w:r>
      <w:r w:rsidR="00D413D6" w:rsidRPr="00C33594">
        <w:t xml:space="preserve"> and in all cases </w:t>
      </w:r>
      <w:r w:rsidR="00BB3170" w:rsidRPr="00C33594">
        <w:t>it virtually coincided with that theoretically expected for the actual Co</w:t>
      </w:r>
      <w:r w:rsidR="00BB3170" w:rsidRPr="00C33594">
        <w:rPr>
          <w:vertAlign w:val="subscript"/>
        </w:rPr>
        <w:t>3</w:t>
      </w:r>
      <w:r w:rsidR="00BB3170" w:rsidRPr="00C33594">
        <w:t>O</w:t>
      </w:r>
      <w:r w:rsidR="00BB3170" w:rsidRPr="00C33594">
        <w:rPr>
          <w:vertAlign w:val="subscript"/>
        </w:rPr>
        <w:t>4</w:t>
      </w:r>
      <w:r w:rsidR="00BB3170" w:rsidRPr="00C33594">
        <w:t xml:space="preserve"> content of each sample, as determined by ICP-AES</w:t>
      </w:r>
      <w:r w:rsidR="001C7A38" w:rsidRPr="00C33594">
        <w:t>.</w:t>
      </w:r>
    </w:p>
    <w:p w14:paraId="446166C0" w14:textId="77777777" w:rsidR="00F44505" w:rsidRPr="00C33594" w:rsidRDefault="00F44505" w:rsidP="00F44505">
      <w:pPr>
        <w:pStyle w:val="CETBodytext"/>
      </w:pPr>
    </w:p>
    <w:p w14:paraId="431C49DA" w14:textId="654E6F75" w:rsidR="00F44505" w:rsidRPr="00C33594" w:rsidRDefault="00F44505" w:rsidP="00D216C4">
      <w:pPr>
        <w:pStyle w:val="CETBodytext"/>
      </w:pPr>
      <w:r w:rsidRPr="00C33594">
        <w:lastRenderedPageBreak/>
        <w:t xml:space="preserve">The surface composition and chemical state of the </w:t>
      </w:r>
      <w:r w:rsidR="00352581" w:rsidRPr="00C33594">
        <w:t>composite</w:t>
      </w:r>
      <w:r w:rsidRPr="00C33594">
        <w:t xml:space="preserve"> catalysts were evaluated by means of XPS analysis </w:t>
      </w:r>
      <w:r w:rsidR="00352581" w:rsidRPr="00C33594">
        <w:t xml:space="preserve">in view of the key role played by </w:t>
      </w:r>
      <w:r w:rsidRPr="00C33594">
        <w:t>surface Co</w:t>
      </w:r>
      <w:r w:rsidRPr="00C33594">
        <w:rPr>
          <w:vertAlign w:val="superscript"/>
        </w:rPr>
        <w:t>2+</w:t>
      </w:r>
      <w:r w:rsidRPr="00C33594">
        <w:t xml:space="preserve"> and </w:t>
      </w:r>
      <w:proofErr w:type="spellStart"/>
      <w:r w:rsidRPr="00C33594">
        <w:t>O</w:t>
      </w:r>
      <w:r w:rsidRPr="00C33594">
        <w:rPr>
          <w:vertAlign w:val="subscript"/>
        </w:rPr>
        <w:t>ads</w:t>
      </w:r>
      <w:proofErr w:type="spellEnd"/>
      <w:r w:rsidRPr="00C33594">
        <w:t xml:space="preserve"> species in oxidation reactions (Zhang et al., 2021). </w:t>
      </w:r>
      <w:r w:rsidR="00DC5FB9" w:rsidRPr="00C33594">
        <w:t>These measurements were performed on a Kratos AXIS Supra spectrometer using a 120 W Al K</w:t>
      </w:r>
      <w:r w:rsidR="00DC5FB9" w:rsidRPr="00C33594">
        <w:rPr>
          <w:rFonts w:cs="Arial"/>
        </w:rPr>
        <w:t>α</w:t>
      </w:r>
      <w:r w:rsidR="00DC5FB9" w:rsidRPr="00C33594">
        <w:t xml:space="preserve"> monochromatic radiation source with a pass energy of 160 eV for the general survey and 20 eV for the specific spectra. </w:t>
      </w:r>
      <w:r w:rsidR="005B341D" w:rsidRPr="00C33594">
        <w:t xml:space="preserve">The </w:t>
      </w:r>
      <w:r w:rsidRPr="00C33594">
        <w:t>Co2p</w:t>
      </w:r>
      <w:r w:rsidRPr="00C33594">
        <w:rPr>
          <w:vertAlign w:val="subscript"/>
        </w:rPr>
        <w:t>3/2</w:t>
      </w:r>
      <w:r w:rsidRPr="00C33594">
        <w:t xml:space="preserve"> XPS profile (</w:t>
      </w:r>
      <w:r w:rsidR="00361689" w:rsidRPr="00C33594">
        <w:t>Figure 2</w:t>
      </w:r>
      <w:r w:rsidR="00342447" w:rsidRPr="00C33594">
        <w:t>a</w:t>
      </w:r>
      <w:r w:rsidRPr="00C33594">
        <w:t>) could be deconvoluted into five peaks. Co</w:t>
      </w:r>
      <w:r w:rsidRPr="00C33594">
        <w:rPr>
          <w:vertAlign w:val="superscript"/>
        </w:rPr>
        <w:t>3+</w:t>
      </w:r>
      <w:r w:rsidRPr="00C33594">
        <w:t xml:space="preserve"> species in octahedral sites were represented by the peak at 779.0</w:t>
      </w:r>
      <w:r w:rsidR="00183C4E" w:rsidRPr="00C33594">
        <w:t> </w:t>
      </w:r>
      <w:r w:rsidRPr="00C33594">
        <w:t>eV, meanwhile the peak at 780.1</w:t>
      </w:r>
      <w:r w:rsidR="00183C4E" w:rsidRPr="00C33594">
        <w:t> </w:t>
      </w:r>
      <w:r w:rsidRPr="00C33594">
        <w:t>eV was ascribed to surface Co</w:t>
      </w:r>
      <w:r w:rsidRPr="00C33594">
        <w:rPr>
          <w:vertAlign w:val="superscript"/>
        </w:rPr>
        <w:t>2+</w:t>
      </w:r>
      <w:r w:rsidRPr="00C33594">
        <w:t xml:space="preserve"> species </w:t>
      </w:r>
      <w:r w:rsidR="00163732" w:rsidRPr="00C33594">
        <w:t xml:space="preserve">in </w:t>
      </w:r>
      <w:r w:rsidRPr="00C33594">
        <w:t>tetrahedral sites. The other three contributions at 781.5, 784.8 and 789.3</w:t>
      </w:r>
      <w:r w:rsidR="00183C4E" w:rsidRPr="00C33594">
        <w:t> </w:t>
      </w:r>
      <w:r w:rsidR="00163732" w:rsidRPr="00C33594">
        <w:t xml:space="preserve">eV </w:t>
      </w:r>
      <w:r w:rsidRPr="00C33594">
        <w:t xml:space="preserve">were attributed to </w:t>
      </w:r>
      <w:proofErr w:type="spellStart"/>
      <w:r w:rsidRPr="00C33594">
        <w:t>CoO</w:t>
      </w:r>
      <w:proofErr w:type="spellEnd"/>
      <w:r w:rsidRPr="00C33594">
        <w:t xml:space="preserve"> species and shake-up satellites of </w:t>
      </w:r>
      <w:proofErr w:type="spellStart"/>
      <w:r w:rsidRPr="00C33594">
        <w:t>CoO</w:t>
      </w:r>
      <w:proofErr w:type="spellEnd"/>
      <w:r w:rsidRPr="00C33594">
        <w:t xml:space="preserve"> and Co</w:t>
      </w:r>
      <w:r w:rsidRPr="00C33594">
        <w:rPr>
          <w:vertAlign w:val="subscript"/>
        </w:rPr>
        <w:t>3</w:t>
      </w:r>
      <w:r w:rsidRPr="00C33594">
        <w:t>O</w:t>
      </w:r>
      <w:r w:rsidRPr="00C33594">
        <w:rPr>
          <w:vertAlign w:val="subscript"/>
        </w:rPr>
        <w:t>4</w:t>
      </w:r>
      <w:r w:rsidRPr="00C33594">
        <w:t xml:space="preserve">, respectively. </w:t>
      </w:r>
      <w:r w:rsidR="00183C4E" w:rsidRPr="00C33594">
        <w:t>On the other hand</w:t>
      </w:r>
      <w:r w:rsidRPr="00C33594">
        <w:t>, the O1s spectra could be decomposed into four peaks corresponding to several types of surface oxygen species with different chemical states</w:t>
      </w:r>
      <w:r w:rsidR="00AA200A" w:rsidRPr="00C33594">
        <w:t xml:space="preserve"> (Figure 2</w:t>
      </w:r>
      <w:r w:rsidR="00342447" w:rsidRPr="00C33594">
        <w:t>b</w:t>
      </w:r>
      <w:r w:rsidR="00AA200A" w:rsidRPr="00C33594">
        <w:t>)</w:t>
      </w:r>
      <w:r w:rsidRPr="00C33594">
        <w:t>. The bands at 529.3 and 530.8</w:t>
      </w:r>
      <w:r w:rsidR="00183C4E" w:rsidRPr="00C33594">
        <w:t> </w:t>
      </w:r>
      <w:r w:rsidRPr="00C33594">
        <w:t>eV were correlated to lattice and adsorbed oxygen species, whereas the peaks at 531.7 and 533.1</w:t>
      </w:r>
      <w:r w:rsidR="00183C4E" w:rsidRPr="00C33594">
        <w:t> </w:t>
      </w:r>
      <w:r w:rsidRPr="00C33594">
        <w:t xml:space="preserve">eV were attributed with the presence of adsorbed carbonates and water. It should be noted that the </w:t>
      </w:r>
      <w:r w:rsidR="00183C4E" w:rsidRPr="00C33594">
        <w:t xml:space="preserve">contribution of the </w:t>
      </w:r>
      <w:r w:rsidRPr="00C33594">
        <w:t>signal at 531.7</w:t>
      </w:r>
      <w:r w:rsidR="00183C4E" w:rsidRPr="00C33594">
        <w:t> </w:t>
      </w:r>
      <w:r w:rsidRPr="00C33594">
        <w:t xml:space="preserve">eV </w:t>
      </w:r>
      <w:r w:rsidR="00183C4E" w:rsidRPr="00C33594">
        <w:t>was increasingly larger</w:t>
      </w:r>
      <w:r w:rsidRPr="00C33594">
        <w:t xml:space="preserve"> as the SrCO</w:t>
      </w:r>
      <w:r w:rsidRPr="00C33594">
        <w:rPr>
          <w:vertAlign w:val="subscript"/>
        </w:rPr>
        <w:t>3</w:t>
      </w:r>
      <w:r w:rsidRPr="00C33594">
        <w:t xml:space="preserve"> content in the samples increased</w:t>
      </w:r>
      <w:r w:rsidR="005B341D" w:rsidRPr="00C33594">
        <w:t xml:space="preserve">, in coherence with a </w:t>
      </w:r>
      <w:r w:rsidR="001C6172" w:rsidRPr="00C33594">
        <w:t>favored</w:t>
      </w:r>
      <w:r w:rsidR="005B341D" w:rsidRPr="00C33594">
        <w:t xml:space="preserve"> presence of Sr as evidenced by</w:t>
      </w:r>
      <w:r w:rsidR="00183C4E" w:rsidRPr="00C33594">
        <w:t xml:space="preserve"> the </w:t>
      </w:r>
      <w:r w:rsidRPr="00C33594">
        <w:t>Sr3d spectra</w:t>
      </w:r>
      <w:r w:rsidR="00AA200A" w:rsidRPr="00C33594">
        <w:t xml:space="preserve"> (not shown)</w:t>
      </w:r>
      <w:r w:rsidRPr="00C33594">
        <w:t xml:space="preserve">. Table 1 </w:t>
      </w:r>
      <w:r w:rsidR="00AF0791" w:rsidRPr="00C33594">
        <w:t>summari</w:t>
      </w:r>
      <w:r w:rsidR="008D7F6B" w:rsidRPr="00C33594">
        <w:t>z</w:t>
      </w:r>
      <w:r w:rsidR="00AF0791" w:rsidRPr="00C33594">
        <w:t xml:space="preserve">es </w:t>
      </w:r>
      <w:r w:rsidRPr="00C33594">
        <w:t>the Co</w:t>
      </w:r>
      <w:r w:rsidRPr="00C33594">
        <w:rPr>
          <w:vertAlign w:val="superscript"/>
        </w:rPr>
        <w:t>2+</w:t>
      </w:r>
      <w:r w:rsidRPr="00C33594">
        <w:t>/Co</w:t>
      </w:r>
      <w:r w:rsidRPr="00C33594">
        <w:rPr>
          <w:vertAlign w:val="superscript"/>
        </w:rPr>
        <w:t>3+</w:t>
      </w:r>
      <w:r w:rsidRPr="00C33594">
        <w:t xml:space="preserve"> and </w:t>
      </w:r>
      <w:proofErr w:type="spellStart"/>
      <w:r w:rsidRPr="00C33594">
        <w:t>O</w:t>
      </w:r>
      <w:r w:rsidRPr="00C33594">
        <w:rPr>
          <w:vertAlign w:val="subscript"/>
        </w:rPr>
        <w:t>ads</w:t>
      </w:r>
      <w:proofErr w:type="spellEnd"/>
      <w:r w:rsidRPr="00C33594">
        <w:t>/</w:t>
      </w:r>
      <w:proofErr w:type="spellStart"/>
      <w:r w:rsidRPr="00C33594">
        <w:t>O</w:t>
      </w:r>
      <w:r w:rsidRPr="00C33594">
        <w:rPr>
          <w:vertAlign w:val="subscript"/>
        </w:rPr>
        <w:t>latt</w:t>
      </w:r>
      <w:proofErr w:type="spellEnd"/>
      <w:r w:rsidRPr="00C33594">
        <w:t xml:space="preserve"> molar ratios</w:t>
      </w:r>
      <w:r w:rsidR="001804C2" w:rsidRPr="00C33594">
        <w:t>, estimated by integrating the areas of the XPS peaks,</w:t>
      </w:r>
      <w:r w:rsidRPr="00C33594">
        <w:t xml:space="preserve"> for the composite catalyst</w:t>
      </w:r>
      <w:r w:rsidR="001804C2" w:rsidRPr="00C33594">
        <w:t xml:space="preserve">s. </w:t>
      </w:r>
      <w:r w:rsidRPr="00C33594">
        <w:t>A direct relationship between the concentration of Co</w:t>
      </w:r>
      <w:r w:rsidRPr="00C33594">
        <w:rPr>
          <w:vertAlign w:val="superscript"/>
        </w:rPr>
        <w:t>2+</w:t>
      </w:r>
      <w:r w:rsidRPr="00C33594">
        <w:t xml:space="preserve"> and the population of adsorbed oxygen species (</w:t>
      </w:r>
      <w:proofErr w:type="spellStart"/>
      <w:r w:rsidRPr="00C33594">
        <w:t>O</w:t>
      </w:r>
      <w:r w:rsidRPr="00C33594">
        <w:rPr>
          <w:vertAlign w:val="subscript"/>
        </w:rPr>
        <w:t>ads</w:t>
      </w:r>
      <w:proofErr w:type="spellEnd"/>
      <w:r w:rsidRPr="00C33594">
        <w:t xml:space="preserve">) could be </w:t>
      </w:r>
      <w:r w:rsidR="000676B5" w:rsidRPr="00C33594">
        <w:t>e</w:t>
      </w:r>
      <w:r w:rsidRPr="00C33594">
        <w:t xml:space="preserve">stablished, which in </w:t>
      </w:r>
      <w:r w:rsidR="005B341D" w:rsidRPr="00C33594">
        <w:t>turn</w:t>
      </w:r>
      <w:r w:rsidRPr="00C33594">
        <w:t xml:space="preserve"> is related to the generation of oxygen defects. Therefore, a higher value in the Co</w:t>
      </w:r>
      <w:r w:rsidRPr="00C33594">
        <w:rPr>
          <w:vertAlign w:val="superscript"/>
        </w:rPr>
        <w:t>2+</w:t>
      </w:r>
      <w:r w:rsidRPr="00C33594">
        <w:t>/Co</w:t>
      </w:r>
      <w:r w:rsidRPr="00C33594">
        <w:rPr>
          <w:vertAlign w:val="superscript"/>
        </w:rPr>
        <w:t>3+</w:t>
      </w:r>
      <w:r w:rsidRPr="00C33594">
        <w:t xml:space="preserve"> ratio with respect to the theoretical value of 0.5 could </w:t>
      </w:r>
      <w:r w:rsidR="005B341D" w:rsidRPr="00C33594">
        <w:t>result in</w:t>
      </w:r>
      <w:r w:rsidRPr="00C33594">
        <w:t xml:space="preserve"> a higher catalytic activity.</w:t>
      </w:r>
    </w:p>
    <w:p w14:paraId="33BC3BDD" w14:textId="26CF4C8F" w:rsidR="00325A54" w:rsidRPr="00C33594" w:rsidRDefault="00477E80" w:rsidP="00325A54">
      <w:pPr>
        <w:pStyle w:val="CETBodytext"/>
      </w:pPr>
      <w:r w:rsidRPr="00C33594">
        <w:rPr>
          <w:noProof/>
        </w:rPr>
        <w:drawing>
          <wp:inline distT="0" distB="0" distL="0" distR="0" wp14:anchorId="0BE64706" wp14:editId="781BFF6D">
            <wp:extent cx="4127102" cy="2880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7102" cy="2880000"/>
                    </a:xfrm>
                    <a:prstGeom prst="rect">
                      <a:avLst/>
                    </a:prstGeom>
                    <a:noFill/>
                    <a:ln>
                      <a:noFill/>
                    </a:ln>
                  </pic:spPr>
                </pic:pic>
              </a:graphicData>
            </a:graphic>
          </wp:inline>
        </w:drawing>
      </w:r>
    </w:p>
    <w:p w14:paraId="00405023" w14:textId="73B9A357" w:rsidR="00714774" w:rsidRPr="00C33594" w:rsidRDefault="00D413D6" w:rsidP="00325A54">
      <w:pPr>
        <w:pStyle w:val="CETBodytext"/>
      </w:pPr>
      <w:r w:rsidRPr="00C33594">
        <w:t xml:space="preserve">Figure 2. </w:t>
      </w:r>
      <w:r w:rsidR="00361689" w:rsidRPr="00C33594">
        <w:t>XPS</w:t>
      </w:r>
      <w:r w:rsidRPr="00C33594">
        <w:t xml:space="preserve"> profiles of the </w:t>
      </w:r>
      <w:r w:rsidR="000126C9" w:rsidRPr="00C33594">
        <w:t>SrCO</w:t>
      </w:r>
      <w:r w:rsidR="000126C9" w:rsidRPr="00C33594">
        <w:rPr>
          <w:vertAlign w:val="subscript"/>
        </w:rPr>
        <w:t>3</w:t>
      </w:r>
      <w:r w:rsidR="000126C9" w:rsidRPr="00C33594">
        <w:t>-Co</w:t>
      </w:r>
      <w:r w:rsidR="000126C9" w:rsidRPr="00C33594">
        <w:rPr>
          <w:vertAlign w:val="subscript"/>
        </w:rPr>
        <w:t>3</w:t>
      </w:r>
      <w:r w:rsidR="000126C9" w:rsidRPr="00C33594">
        <w:t>O</w:t>
      </w:r>
      <w:r w:rsidR="000126C9" w:rsidRPr="00C33594">
        <w:rPr>
          <w:vertAlign w:val="subscript"/>
        </w:rPr>
        <w:t>4</w:t>
      </w:r>
      <w:r w:rsidR="000126C9" w:rsidRPr="00C33594">
        <w:t xml:space="preserve"> composite catalysts</w:t>
      </w:r>
      <w:r w:rsidRPr="00C33594">
        <w:t>.</w:t>
      </w:r>
    </w:p>
    <w:p w14:paraId="52DCAD1A" w14:textId="2F8F3345" w:rsidR="00E1791A" w:rsidRPr="00C33594" w:rsidRDefault="009D4517" w:rsidP="009D4517">
      <w:pPr>
        <w:pStyle w:val="CETheadingx"/>
        <w:numPr>
          <w:ilvl w:val="0"/>
          <w:numId w:val="0"/>
        </w:numPr>
      </w:pPr>
      <w:r w:rsidRPr="00C33594">
        <w:t xml:space="preserve">3.2. Catalytic </w:t>
      </w:r>
      <w:r w:rsidR="008D7F6B" w:rsidRPr="00C33594">
        <w:t>behavior</w:t>
      </w:r>
      <w:r w:rsidRPr="00C33594">
        <w:t xml:space="preserve"> of the SrCO</w:t>
      </w:r>
      <w:r w:rsidRPr="00C33594">
        <w:rPr>
          <w:vertAlign w:val="subscript"/>
        </w:rPr>
        <w:t>3</w:t>
      </w:r>
      <w:r w:rsidRPr="00C33594">
        <w:t>-Co</w:t>
      </w:r>
      <w:r w:rsidRPr="00C33594">
        <w:rPr>
          <w:vertAlign w:val="subscript"/>
        </w:rPr>
        <w:t>3</w:t>
      </w:r>
      <w:r w:rsidRPr="00C33594">
        <w:t>O</w:t>
      </w:r>
      <w:r w:rsidRPr="00C33594">
        <w:rPr>
          <w:vertAlign w:val="subscript"/>
        </w:rPr>
        <w:t>4</w:t>
      </w:r>
      <w:r w:rsidRPr="00C33594">
        <w:t xml:space="preserve"> </w:t>
      </w:r>
      <w:r w:rsidR="000126C9" w:rsidRPr="00C33594">
        <w:t xml:space="preserve">composite </w:t>
      </w:r>
      <w:r w:rsidRPr="00C33594">
        <w:t>catalysts</w:t>
      </w:r>
    </w:p>
    <w:p w14:paraId="0E2B0473" w14:textId="4164D4A1" w:rsidR="00032A1D" w:rsidRPr="00C33594" w:rsidRDefault="003E7195" w:rsidP="00F44D86">
      <w:pPr>
        <w:pStyle w:val="CETBodytext"/>
        <w:rPr>
          <w:rFonts w:cs="Arial"/>
          <w:szCs w:val="18"/>
        </w:rPr>
      </w:pPr>
      <w:r w:rsidRPr="00C33594">
        <w:t xml:space="preserve">The catalytic </w:t>
      </w:r>
      <w:r w:rsidR="000126C9" w:rsidRPr="00C33594">
        <w:t>performance</w:t>
      </w:r>
      <w:r w:rsidRPr="00C33594">
        <w:t xml:space="preserve"> of the samples was evaluated by means of the light-off curves </w:t>
      </w:r>
      <w:r w:rsidR="00A87F69" w:rsidRPr="00C33594">
        <w:t>between 150 and 500</w:t>
      </w:r>
      <w:r w:rsidR="001777A5" w:rsidRPr="00C33594">
        <w:t> </w:t>
      </w:r>
      <w:r w:rsidR="00A87F69" w:rsidRPr="00C33594">
        <w:t xml:space="preserve">ºC </w:t>
      </w:r>
      <w:r w:rsidR="00D4599F" w:rsidRPr="00C33594">
        <w:t>which are presented in Figure 3.</w:t>
      </w:r>
      <w:r w:rsidRPr="00C33594">
        <w:t xml:space="preserve"> </w:t>
      </w:r>
      <w:r w:rsidR="00D4599F" w:rsidRPr="00C33594">
        <w:t xml:space="preserve">Moreover, </w:t>
      </w:r>
      <w:r w:rsidRPr="00C33594">
        <w:t>the corresponding values of T</w:t>
      </w:r>
      <w:r w:rsidRPr="00C33594">
        <w:rPr>
          <w:vertAlign w:val="subscript"/>
        </w:rPr>
        <w:t>50</w:t>
      </w:r>
      <w:r w:rsidRPr="00C33594">
        <w:t xml:space="preserve"> and T</w:t>
      </w:r>
      <w:r w:rsidRPr="00C33594">
        <w:rPr>
          <w:vertAlign w:val="subscript"/>
        </w:rPr>
        <w:t>90</w:t>
      </w:r>
      <w:r w:rsidRPr="00C33594">
        <w:t xml:space="preserve"> </w:t>
      </w:r>
      <w:r w:rsidR="00D4599F" w:rsidRPr="00C33594">
        <w:t>are summarized</w:t>
      </w:r>
      <w:r w:rsidRPr="00C33594">
        <w:t xml:space="preserve"> </w:t>
      </w:r>
      <w:r w:rsidR="00325A54" w:rsidRPr="00C33594">
        <w:t xml:space="preserve">in </w:t>
      </w:r>
      <w:r w:rsidRPr="00C33594">
        <w:t xml:space="preserve">Table </w:t>
      </w:r>
      <w:r w:rsidR="007809B2" w:rsidRPr="00C33594">
        <w:t>1</w:t>
      </w:r>
      <w:r w:rsidRPr="00C33594">
        <w:t xml:space="preserve">. </w:t>
      </w:r>
      <w:r w:rsidR="004C6E7E" w:rsidRPr="00C33594">
        <w:t>The b</w:t>
      </w:r>
      <w:r w:rsidRPr="00C33594">
        <w:t>are Co</w:t>
      </w:r>
      <w:r w:rsidRPr="00C33594">
        <w:rPr>
          <w:vertAlign w:val="subscript"/>
        </w:rPr>
        <w:t>3</w:t>
      </w:r>
      <w:r w:rsidRPr="00C33594">
        <w:t>O</w:t>
      </w:r>
      <w:r w:rsidRPr="00C33594">
        <w:rPr>
          <w:vertAlign w:val="subscript"/>
        </w:rPr>
        <w:t>4</w:t>
      </w:r>
      <w:r w:rsidRPr="00C33594">
        <w:t xml:space="preserve"> catalyst resulted highly active in the catalytic oxidation of VC</w:t>
      </w:r>
      <w:r w:rsidR="008F3D38" w:rsidRPr="00C33594">
        <w:t xml:space="preserve">, </w:t>
      </w:r>
      <w:r w:rsidRPr="00C33594">
        <w:t>with T</w:t>
      </w:r>
      <w:r w:rsidRPr="00C33594">
        <w:rPr>
          <w:vertAlign w:val="subscript"/>
        </w:rPr>
        <w:t>50</w:t>
      </w:r>
      <w:r w:rsidRPr="00C33594">
        <w:t xml:space="preserve"> and T</w:t>
      </w:r>
      <w:r w:rsidRPr="00C33594">
        <w:rPr>
          <w:vertAlign w:val="subscript"/>
        </w:rPr>
        <w:t>90</w:t>
      </w:r>
      <w:r w:rsidRPr="00C33594">
        <w:t xml:space="preserve"> values of 255 and </w:t>
      </w:r>
      <w:r w:rsidR="00B977E1" w:rsidRPr="00C33594">
        <w:t>285 </w:t>
      </w:r>
      <w:r w:rsidRPr="00C33594">
        <w:t>ºC</w:t>
      </w:r>
      <w:r w:rsidR="008F3D38" w:rsidRPr="00C33594">
        <w:t>,</w:t>
      </w:r>
      <w:r w:rsidR="007722ED" w:rsidRPr="00C33594">
        <w:t xml:space="preserve"> </w:t>
      </w:r>
      <w:r w:rsidR="00A32F26" w:rsidRPr="00C33594">
        <w:t xml:space="preserve">since the thermal decomposition </w:t>
      </w:r>
      <w:r w:rsidR="007722ED" w:rsidRPr="00C33594">
        <w:t>in the absence of any catalyst</w:t>
      </w:r>
      <w:r w:rsidR="00A32F26" w:rsidRPr="00C33594">
        <w:t xml:space="preserve"> </w:t>
      </w:r>
      <w:r w:rsidR="004E65E4" w:rsidRPr="00C33594">
        <w:t>was lower than 50% at 550</w:t>
      </w:r>
      <w:r w:rsidR="00D75D4E" w:rsidRPr="00C33594">
        <w:t> </w:t>
      </w:r>
      <w:r w:rsidR="004E65E4" w:rsidRPr="00C33594">
        <w:t xml:space="preserve">°C. </w:t>
      </w:r>
      <w:r w:rsidR="00A87F69" w:rsidRPr="00C33594">
        <w:t xml:space="preserve">After the incorporation of strontium carbonate, the catalytic </w:t>
      </w:r>
      <w:r w:rsidR="00257008" w:rsidRPr="00C33594">
        <w:t xml:space="preserve">efficiency </w:t>
      </w:r>
      <w:r w:rsidR="00A87F69" w:rsidRPr="00C33594">
        <w:t xml:space="preserve">of the samples was </w:t>
      </w:r>
      <w:r w:rsidR="000126C9" w:rsidRPr="00C33594">
        <w:t xml:space="preserve">appreciably </w:t>
      </w:r>
      <w:r w:rsidR="00A87F69" w:rsidRPr="00C33594">
        <w:t>boosted in the following order: SrCo0.2 &gt; SrCo0.4 &gt; SrCo0.3 &gt; SrCo0.1</w:t>
      </w:r>
      <w:r w:rsidR="007A5EFE" w:rsidRPr="00C33594">
        <w:t>.</w:t>
      </w:r>
      <w:r w:rsidR="00A87F69" w:rsidRPr="00C33594">
        <w:t xml:space="preserve"> </w:t>
      </w:r>
      <w:r w:rsidR="00257008" w:rsidRPr="00C33594">
        <w:t xml:space="preserve">This decrease in </w:t>
      </w:r>
      <w:r w:rsidR="00A87F69" w:rsidRPr="00C33594">
        <w:t>T</w:t>
      </w:r>
      <w:r w:rsidR="00A87F69" w:rsidRPr="00C33594">
        <w:rPr>
          <w:vertAlign w:val="subscript"/>
        </w:rPr>
        <w:t>50</w:t>
      </w:r>
      <w:r w:rsidR="00A87F69" w:rsidRPr="00C33594">
        <w:t xml:space="preserve"> values </w:t>
      </w:r>
      <w:r w:rsidR="00257008" w:rsidRPr="00C33594">
        <w:t xml:space="preserve">was </w:t>
      </w:r>
      <w:r w:rsidR="00A87F69" w:rsidRPr="00C33594">
        <w:t xml:space="preserve">in fairly good agreement with </w:t>
      </w:r>
      <w:r w:rsidR="0073103A" w:rsidRPr="00C33594">
        <w:t xml:space="preserve">the </w:t>
      </w:r>
      <w:r w:rsidR="00A87F69" w:rsidRPr="00C33594">
        <w:t>Co</w:t>
      </w:r>
      <w:r w:rsidR="00A87F69" w:rsidRPr="00C33594">
        <w:rPr>
          <w:vertAlign w:val="superscript"/>
        </w:rPr>
        <w:t>2+</w:t>
      </w:r>
      <w:r w:rsidR="00A87F69" w:rsidRPr="00C33594">
        <w:t>/Co</w:t>
      </w:r>
      <w:r w:rsidR="00A87F69" w:rsidRPr="00C33594">
        <w:rPr>
          <w:vertAlign w:val="superscript"/>
        </w:rPr>
        <w:t>3+</w:t>
      </w:r>
      <w:r w:rsidR="00A87F69" w:rsidRPr="00C33594">
        <w:t xml:space="preserve"> </w:t>
      </w:r>
      <w:r w:rsidR="00272AD4" w:rsidRPr="00C33594">
        <w:t xml:space="preserve">and </w:t>
      </w:r>
      <w:proofErr w:type="spellStart"/>
      <w:r w:rsidR="00272AD4" w:rsidRPr="00C33594">
        <w:t>O</w:t>
      </w:r>
      <w:r w:rsidR="00272AD4" w:rsidRPr="00C33594">
        <w:rPr>
          <w:vertAlign w:val="subscript"/>
        </w:rPr>
        <w:t>ads</w:t>
      </w:r>
      <w:proofErr w:type="spellEnd"/>
      <w:r w:rsidR="00272AD4" w:rsidRPr="00C33594">
        <w:t>/</w:t>
      </w:r>
      <w:proofErr w:type="spellStart"/>
      <w:r w:rsidR="00272AD4" w:rsidRPr="00C33594">
        <w:t>O</w:t>
      </w:r>
      <w:r w:rsidR="00272AD4" w:rsidRPr="00C33594">
        <w:rPr>
          <w:vertAlign w:val="subscript"/>
        </w:rPr>
        <w:t>latt</w:t>
      </w:r>
      <w:proofErr w:type="spellEnd"/>
      <w:r w:rsidR="00272AD4" w:rsidRPr="00C33594">
        <w:t xml:space="preserve"> </w:t>
      </w:r>
      <w:r w:rsidR="0073103A" w:rsidRPr="00C33594">
        <w:t xml:space="preserve">molar </w:t>
      </w:r>
      <w:r w:rsidR="00A87F69" w:rsidRPr="00C33594">
        <w:t>ratio</w:t>
      </w:r>
      <w:r w:rsidR="00272AD4" w:rsidRPr="00C33594">
        <w:t>s</w:t>
      </w:r>
      <w:r w:rsidR="00A87F69" w:rsidRPr="00C33594">
        <w:t xml:space="preserve"> </w:t>
      </w:r>
      <w:r w:rsidR="0073103A" w:rsidRPr="00C33594">
        <w:t xml:space="preserve">evidenced </w:t>
      </w:r>
      <w:r w:rsidR="00A87F69" w:rsidRPr="00C33594">
        <w:t>by XPS</w:t>
      </w:r>
      <w:r w:rsidR="00272AD4" w:rsidRPr="00C33594">
        <w:t xml:space="preserve"> (Figure 4)</w:t>
      </w:r>
      <w:r w:rsidR="00A87F69" w:rsidRPr="00C33594">
        <w:t>.</w:t>
      </w:r>
      <w:r w:rsidR="009D4517" w:rsidRPr="00C33594">
        <w:t xml:space="preserve"> </w:t>
      </w:r>
      <w:r w:rsidR="00257008" w:rsidRPr="00C33594">
        <w:t xml:space="preserve">Thus, </w:t>
      </w:r>
      <w:r w:rsidR="00257008" w:rsidRPr="00C33594">
        <w:rPr>
          <w:rFonts w:cs="Arial"/>
          <w:szCs w:val="18"/>
        </w:rPr>
        <w:t>t</w:t>
      </w:r>
      <w:r w:rsidR="009D4517" w:rsidRPr="00C33594">
        <w:rPr>
          <w:rFonts w:cs="Arial"/>
          <w:szCs w:val="18"/>
        </w:rPr>
        <w:t xml:space="preserve">he catalyst with a molar ratio </w:t>
      </w:r>
      <w:proofErr w:type="spellStart"/>
      <w:r w:rsidR="009D4517" w:rsidRPr="00C33594">
        <w:rPr>
          <w:rFonts w:cs="Arial"/>
          <w:szCs w:val="18"/>
        </w:rPr>
        <w:t>Sr:Co</w:t>
      </w:r>
      <w:proofErr w:type="spellEnd"/>
      <w:r w:rsidR="009D4517" w:rsidRPr="00C33594">
        <w:rPr>
          <w:rFonts w:cs="Arial"/>
          <w:szCs w:val="18"/>
        </w:rPr>
        <w:t xml:space="preserve">=0.1 </w:t>
      </w:r>
      <w:r w:rsidR="00257008" w:rsidRPr="00C33594">
        <w:rPr>
          <w:rFonts w:cs="Arial"/>
          <w:szCs w:val="18"/>
        </w:rPr>
        <w:t xml:space="preserve">showed </w:t>
      </w:r>
      <w:r w:rsidR="009D4517" w:rsidRPr="00C33594">
        <w:rPr>
          <w:rFonts w:cs="Arial"/>
          <w:szCs w:val="18"/>
        </w:rPr>
        <w:t>a better catalytic behavior than the bare Co</w:t>
      </w:r>
      <w:r w:rsidR="009D4517" w:rsidRPr="00C33594">
        <w:rPr>
          <w:rFonts w:cs="Arial"/>
          <w:szCs w:val="18"/>
          <w:vertAlign w:val="subscript"/>
        </w:rPr>
        <w:t>3</w:t>
      </w:r>
      <w:r w:rsidR="009D4517" w:rsidRPr="00C33594">
        <w:rPr>
          <w:rFonts w:cs="Arial"/>
          <w:szCs w:val="18"/>
        </w:rPr>
        <w:t>O</w:t>
      </w:r>
      <w:r w:rsidR="009D4517" w:rsidRPr="00C33594">
        <w:rPr>
          <w:rFonts w:cs="Arial"/>
          <w:szCs w:val="18"/>
          <w:vertAlign w:val="subscript"/>
        </w:rPr>
        <w:t>4</w:t>
      </w:r>
      <w:r w:rsidR="009D4517" w:rsidRPr="00C33594">
        <w:rPr>
          <w:rFonts w:cs="Arial"/>
          <w:szCs w:val="18"/>
        </w:rPr>
        <w:t xml:space="preserve"> catalyst in the temperature range 150-250 ºC. However, above 250</w:t>
      </w:r>
      <w:r w:rsidR="00257008" w:rsidRPr="00C33594">
        <w:rPr>
          <w:rFonts w:cs="Arial"/>
          <w:szCs w:val="18"/>
        </w:rPr>
        <w:t> </w:t>
      </w:r>
      <w:r w:rsidR="009D4517" w:rsidRPr="00C33594">
        <w:rPr>
          <w:rFonts w:cs="Arial"/>
          <w:szCs w:val="18"/>
        </w:rPr>
        <w:t xml:space="preserve">ºC a flattening of the conversion curve occurred, which may be due to catalyst deactivation caused by the adsorption of Cl species produced during VC decomposition. </w:t>
      </w:r>
      <w:r w:rsidR="007A5EFE" w:rsidRPr="00C33594">
        <w:rPr>
          <w:rFonts w:cs="Arial"/>
          <w:szCs w:val="18"/>
        </w:rPr>
        <w:t>Similarly</w:t>
      </w:r>
      <w:r w:rsidR="009D4517" w:rsidRPr="00C33594">
        <w:rPr>
          <w:rFonts w:cs="Arial"/>
          <w:szCs w:val="18"/>
        </w:rPr>
        <w:t xml:space="preserve">, for SrCo0.2 and SrCo0.3 catalysts, catalytic activity suffered a decrease (more severe when the molar ratio </w:t>
      </w:r>
      <w:proofErr w:type="spellStart"/>
      <w:r w:rsidR="009D4517" w:rsidRPr="00C33594">
        <w:rPr>
          <w:rFonts w:cs="Arial"/>
          <w:szCs w:val="18"/>
        </w:rPr>
        <w:t>Sr:Co</w:t>
      </w:r>
      <w:proofErr w:type="spellEnd"/>
      <w:r w:rsidR="009D4517" w:rsidRPr="00C33594">
        <w:rPr>
          <w:rFonts w:cs="Arial"/>
          <w:szCs w:val="18"/>
        </w:rPr>
        <w:t xml:space="preserve"> was 0.3) in the temperature ranges 300-325 ºC and 300-375 ºC, respectively</w:t>
      </w:r>
      <w:r w:rsidR="007A5EFE" w:rsidRPr="00C33594">
        <w:rPr>
          <w:rFonts w:cs="Arial"/>
          <w:szCs w:val="18"/>
        </w:rPr>
        <w:t xml:space="preserve"> </w:t>
      </w:r>
      <w:r w:rsidR="00F83BC2" w:rsidRPr="00C33594">
        <w:rPr>
          <w:rFonts w:cs="Arial"/>
          <w:szCs w:val="18"/>
        </w:rPr>
        <w:t>(Liu et al., 2021</w:t>
      </w:r>
      <w:r w:rsidR="00CA7F6D" w:rsidRPr="00C33594">
        <w:rPr>
          <w:rFonts w:cs="Arial"/>
          <w:szCs w:val="18"/>
        </w:rPr>
        <w:t>b</w:t>
      </w:r>
      <w:r w:rsidR="00F83BC2" w:rsidRPr="00C33594">
        <w:rPr>
          <w:rFonts w:cs="Arial"/>
          <w:szCs w:val="18"/>
        </w:rPr>
        <w:t>)</w:t>
      </w:r>
      <w:r w:rsidR="009D4517" w:rsidRPr="00C33594">
        <w:rPr>
          <w:rFonts w:cs="Arial"/>
          <w:szCs w:val="18"/>
        </w:rPr>
        <w:t>.</w:t>
      </w:r>
    </w:p>
    <w:p w14:paraId="5FA2B141" w14:textId="7B8CF2BE" w:rsidR="00325A54" w:rsidRPr="00C33594" w:rsidRDefault="00325A54" w:rsidP="00325A54">
      <w:pPr>
        <w:pStyle w:val="CETBodytext"/>
      </w:pPr>
    </w:p>
    <w:p w14:paraId="5542FB23" w14:textId="5B05C71C" w:rsidR="00A2220E" w:rsidRPr="00C33594" w:rsidRDefault="00A2220E" w:rsidP="00A2220E">
      <w:pPr>
        <w:pStyle w:val="CETBodytext"/>
      </w:pPr>
      <w:r w:rsidRPr="00C33594">
        <w:t xml:space="preserve">Together with </w:t>
      </w:r>
      <w:r w:rsidR="00257008" w:rsidRPr="00C33594">
        <w:t xml:space="preserve">a notable </w:t>
      </w:r>
      <w:r w:rsidRPr="00C33594">
        <w:t>activity, high selectivity is desirable in chlorinated VOCs oxidation reactions, that is, avoid</w:t>
      </w:r>
      <w:r w:rsidR="00257008" w:rsidRPr="00C33594">
        <w:t>i</w:t>
      </w:r>
      <w:r w:rsidR="00AB74F4" w:rsidRPr="00C33594">
        <w:t>ng</w:t>
      </w:r>
      <w:r w:rsidRPr="00C33594">
        <w:t xml:space="preserve"> the generation of by-products sometimes more harmful than the initial pollutant. In </w:t>
      </w:r>
      <w:r w:rsidR="008F3D38" w:rsidRPr="00C33594">
        <w:t>VC</w:t>
      </w:r>
      <w:r w:rsidRPr="00C33594">
        <w:t xml:space="preserve"> oxidation over </w:t>
      </w:r>
      <w:r w:rsidR="004E09D8" w:rsidRPr="00C33594">
        <w:t xml:space="preserve">the pristine </w:t>
      </w:r>
      <w:r w:rsidRPr="00C33594">
        <w:t>Co</w:t>
      </w:r>
      <w:r w:rsidRPr="00C33594">
        <w:rPr>
          <w:vertAlign w:val="subscript"/>
        </w:rPr>
        <w:t>3</w:t>
      </w:r>
      <w:r w:rsidRPr="00C33594">
        <w:t>O</w:t>
      </w:r>
      <w:r w:rsidRPr="00C33594">
        <w:rPr>
          <w:vertAlign w:val="subscript"/>
        </w:rPr>
        <w:t>4</w:t>
      </w:r>
      <w:r w:rsidRPr="00C33594">
        <w:t xml:space="preserve"> catalyst the main </w:t>
      </w:r>
      <w:r w:rsidR="004E09D8" w:rsidRPr="00C33594">
        <w:t xml:space="preserve">detected </w:t>
      </w:r>
      <w:r w:rsidRPr="00C33594">
        <w:t>by-products were tetrachloromethane, trichloromethane, cis-1,2-dichloroethylene and to a lesser extent dichloromethane and trans-1,2-dichloroethylene. After the incorporation of SrCO</w:t>
      </w:r>
      <w:r w:rsidRPr="00C33594">
        <w:rPr>
          <w:vertAlign w:val="subscript"/>
        </w:rPr>
        <w:t>3</w:t>
      </w:r>
      <w:r w:rsidRPr="00C33594">
        <w:t xml:space="preserve">, the formation of chlorinated by-products was considerably reduced. This could be due to the </w:t>
      </w:r>
      <w:r w:rsidRPr="00C33594">
        <w:lastRenderedPageBreak/>
        <w:t xml:space="preserve">preference of Cl for Sr atoms, which protected cobalt from chlorination and </w:t>
      </w:r>
      <w:r w:rsidR="004E09D8" w:rsidRPr="00C33594">
        <w:t>resulted in a lower</w:t>
      </w:r>
      <w:r w:rsidRPr="00C33594">
        <w:t xml:space="preserve"> chlorinated by-products generation (Lin et al., 2021). </w:t>
      </w:r>
      <w:r w:rsidR="004E09D8" w:rsidRPr="00C33594">
        <w:t>In fact</w:t>
      </w:r>
      <w:r w:rsidRPr="00C33594">
        <w:t>, among the SrCO</w:t>
      </w:r>
      <w:r w:rsidRPr="00C33594">
        <w:rPr>
          <w:vertAlign w:val="subscript"/>
        </w:rPr>
        <w:t>3</w:t>
      </w:r>
      <w:r w:rsidRPr="00C33594">
        <w:t>-modified samples the SrCo0.1 catalyst produced the highest amount of by-products.</w:t>
      </w:r>
    </w:p>
    <w:p w14:paraId="07B476B6" w14:textId="6B1514B6" w:rsidR="00426423" w:rsidRPr="00C33594" w:rsidRDefault="00426423" w:rsidP="00A2220E">
      <w:pPr>
        <w:pStyle w:val="CETBodytext"/>
      </w:pPr>
      <w:r w:rsidRPr="00C33594">
        <w:rPr>
          <w:noProof/>
        </w:rPr>
        <w:drawing>
          <wp:inline distT="0" distB="0" distL="0" distR="0" wp14:anchorId="37400CFB" wp14:editId="102E1AA0">
            <wp:extent cx="3559626" cy="2484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9626" cy="2484000"/>
                    </a:xfrm>
                    <a:prstGeom prst="rect">
                      <a:avLst/>
                    </a:prstGeom>
                    <a:noFill/>
                    <a:ln>
                      <a:noFill/>
                    </a:ln>
                  </pic:spPr>
                </pic:pic>
              </a:graphicData>
            </a:graphic>
          </wp:inline>
        </w:drawing>
      </w:r>
    </w:p>
    <w:p w14:paraId="00921302" w14:textId="45C3BEAF" w:rsidR="00426423" w:rsidRPr="00C33594" w:rsidRDefault="00426423" w:rsidP="00426423">
      <w:pPr>
        <w:pStyle w:val="CETCaption"/>
        <w:rPr>
          <w:lang w:val="en-US"/>
        </w:rPr>
      </w:pPr>
      <w:r w:rsidRPr="00C33594">
        <w:rPr>
          <w:lang w:val="en-US"/>
        </w:rPr>
        <w:t>Figure 3. Light-off curves of the oxidation of VC over the SrCO</w:t>
      </w:r>
      <w:r w:rsidRPr="00C33594">
        <w:rPr>
          <w:vertAlign w:val="subscript"/>
          <w:lang w:val="en-US"/>
        </w:rPr>
        <w:t>3</w:t>
      </w:r>
      <w:r w:rsidRPr="00C33594">
        <w:rPr>
          <w:lang w:val="en-US"/>
        </w:rPr>
        <w:t>-Co</w:t>
      </w:r>
      <w:r w:rsidRPr="00C33594">
        <w:rPr>
          <w:vertAlign w:val="subscript"/>
          <w:lang w:val="en-US"/>
        </w:rPr>
        <w:t>3</w:t>
      </w:r>
      <w:r w:rsidRPr="00C33594">
        <w:rPr>
          <w:lang w:val="en-US"/>
        </w:rPr>
        <w:t>O</w:t>
      </w:r>
      <w:r w:rsidRPr="00C33594">
        <w:rPr>
          <w:vertAlign w:val="subscript"/>
          <w:lang w:val="en-US"/>
        </w:rPr>
        <w:t>4</w:t>
      </w:r>
      <w:r w:rsidRPr="00C33594">
        <w:rPr>
          <w:lang w:val="en-US"/>
        </w:rPr>
        <w:t xml:space="preserve"> composite catalysts: a) 1</w:t>
      </w:r>
      <w:r w:rsidRPr="00C33594">
        <w:rPr>
          <w:vertAlign w:val="superscript"/>
          <w:lang w:val="en-US"/>
        </w:rPr>
        <w:t>st</w:t>
      </w:r>
      <w:r w:rsidRPr="00C33594">
        <w:rPr>
          <w:lang w:val="en-US"/>
        </w:rPr>
        <w:t xml:space="preserve"> cycle, b) 2</w:t>
      </w:r>
      <w:r w:rsidRPr="00C33594">
        <w:rPr>
          <w:vertAlign w:val="superscript"/>
          <w:lang w:val="en-US"/>
        </w:rPr>
        <w:t>nd</w:t>
      </w:r>
      <w:r w:rsidRPr="00C33594">
        <w:rPr>
          <w:lang w:val="en-US"/>
        </w:rPr>
        <w:t xml:space="preserve"> cycle.</w:t>
      </w:r>
    </w:p>
    <w:p w14:paraId="390B0639" w14:textId="45C26EDB" w:rsidR="00A2220E" w:rsidRPr="00C33594" w:rsidRDefault="00B85C1D" w:rsidP="00272AD4">
      <w:pPr>
        <w:pStyle w:val="CETBodytext"/>
      </w:pPr>
      <w:r w:rsidRPr="00C33594">
        <w:rPr>
          <w:noProof/>
        </w:rPr>
        <w:drawing>
          <wp:inline distT="0" distB="0" distL="0" distR="0" wp14:anchorId="121A25D2" wp14:editId="3A3AAB48">
            <wp:extent cx="2682624" cy="2232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2624" cy="2232000"/>
                    </a:xfrm>
                    <a:prstGeom prst="rect">
                      <a:avLst/>
                    </a:prstGeom>
                    <a:noFill/>
                    <a:ln>
                      <a:noFill/>
                    </a:ln>
                  </pic:spPr>
                </pic:pic>
              </a:graphicData>
            </a:graphic>
          </wp:inline>
        </w:drawing>
      </w:r>
    </w:p>
    <w:p w14:paraId="06FAD50D" w14:textId="04AC5D00" w:rsidR="00D4454D" w:rsidRPr="00C33594" w:rsidRDefault="00D4454D" w:rsidP="00ED7C2B">
      <w:pPr>
        <w:pStyle w:val="CETCaption"/>
        <w:rPr>
          <w:lang w:val="en-US"/>
        </w:rPr>
      </w:pPr>
      <w:r w:rsidRPr="00C33594">
        <w:rPr>
          <w:lang w:val="en-US"/>
        </w:rPr>
        <w:t xml:space="preserve">Figure 4. Relationship </w:t>
      </w:r>
      <w:r w:rsidR="000126C9" w:rsidRPr="00C33594">
        <w:rPr>
          <w:lang w:val="en-US"/>
        </w:rPr>
        <w:t>among</w:t>
      </w:r>
      <w:r w:rsidRPr="00C33594">
        <w:rPr>
          <w:lang w:val="en-US"/>
        </w:rPr>
        <w:t xml:space="preserve"> Co</w:t>
      </w:r>
      <w:r w:rsidRPr="00C33594">
        <w:rPr>
          <w:vertAlign w:val="superscript"/>
          <w:lang w:val="en-US"/>
        </w:rPr>
        <w:t>2+</w:t>
      </w:r>
      <w:r w:rsidRPr="00C33594">
        <w:rPr>
          <w:lang w:val="en-US"/>
        </w:rPr>
        <w:t>/Co</w:t>
      </w:r>
      <w:r w:rsidRPr="00C33594">
        <w:rPr>
          <w:vertAlign w:val="superscript"/>
          <w:lang w:val="en-US"/>
        </w:rPr>
        <w:t>3+</w:t>
      </w:r>
      <w:r w:rsidR="000126C9" w:rsidRPr="00C33594">
        <w:rPr>
          <w:lang w:val="en-US"/>
        </w:rPr>
        <w:t xml:space="preserve">, </w:t>
      </w:r>
      <w:proofErr w:type="spellStart"/>
      <w:r w:rsidRPr="00C33594">
        <w:rPr>
          <w:lang w:val="en-US"/>
        </w:rPr>
        <w:t>O</w:t>
      </w:r>
      <w:r w:rsidRPr="00C33594">
        <w:rPr>
          <w:vertAlign w:val="subscript"/>
          <w:lang w:val="en-US"/>
        </w:rPr>
        <w:t>ads</w:t>
      </w:r>
      <w:proofErr w:type="spellEnd"/>
      <w:r w:rsidRPr="00C33594">
        <w:rPr>
          <w:lang w:val="en-US"/>
        </w:rPr>
        <w:t>/</w:t>
      </w:r>
      <w:proofErr w:type="spellStart"/>
      <w:r w:rsidRPr="00C33594">
        <w:rPr>
          <w:lang w:val="en-US"/>
        </w:rPr>
        <w:t>O</w:t>
      </w:r>
      <w:r w:rsidRPr="00C33594">
        <w:rPr>
          <w:vertAlign w:val="subscript"/>
          <w:lang w:val="en-US"/>
        </w:rPr>
        <w:t>latt</w:t>
      </w:r>
      <w:proofErr w:type="spellEnd"/>
      <w:r w:rsidRPr="00C33594">
        <w:rPr>
          <w:vertAlign w:val="subscript"/>
          <w:lang w:val="en-US"/>
        </w:rPr>
        <w:t xml:space="preserve"> </w:t>
      </w:r>
      <w:r w:rsidRPr="00C33594">
        <w:rPr>
          <w:lang w:val="en-US"/>
        </w:rPr>
        <w:t>molar ratios and T</w:t>
      </w:r>
      <w:r w:rsidRPr="00C33594">
        <w:rPr>
          <w:vertAlign w:val="subscript"/>
          <w:lang w:val="en-US"/>
        </w:rPr>
        <w:t>50</w:t>
      </w:r>
      <w:r w:rsidRPr="00C33594">
        <w:rPr>
          <w:lang w:val="en-US"/>
        </w:rPr>
        <w:t xml:space="preserve"> value</w:t>
      </w:r>
      <w:r w:rsidR="00BD71CC" w:rsidRPr="00C33594">
        <w:rPr>
          <w:lang w:val="en-US"/>
        </w:rPr>
        <w:t>s</w:t>
      </w:r>
      <w:r w:rsidRPr="00C33594">
        <w:rPr>
          <w:lang w:val="en-US"/>
        </w:rPr>
        <w:t xml:space="preserve">. </w:t>
      </w:r>
    </w:p>
    <w:p w14:paraId="77E6A360" w14:textId="437395DD" w:rsidR="00ED7C2B" w:rsidRPr="00C33594" w:rsidRDefault="002B6A48" w:rsidP="00ED7C2B">
      <w:pPr>
        <w:pStyle w:val="CETBodytext"/>
      </w:pPr>
      <w:r w:rsidRPr="00C33594">
        <w:t xml:space="preserve">In view of the </w:t>
      </w:r>
      <w:r w:rsidR="00ED7C2B" w:rsidRPr="00C33594">
        <w:t xml:space="preserve">behavior exhibited by the catalysts during </w:t>
      </w:r>
      <w:r w:rsidRPr="00C33594">
        <w:t xml:space="preserve">a </w:t>
      </w:r>
      <w:r w:rsidR="00ED7C2B" w:rsidRPr="00C33594">
        <w:t>second reaction cycle, all the oxides modified with strontium carbonate showed signs of deactivation</w:t>
      </w:r>
      <w:r w:rsidR="00821438" w:rsidRPr="00C33594">
        <w:t xml:space="preserve"> (T</w:t>
      </w:r>
      <w:r w:rsidR="00821438" w:rsidRPr="00C33594">
        <w:rPr>
          <w:vertAlign w:val="subscript"/>
        </w:rPr>
        <w:t>50</w:t>
      </w:r>
      <w:r w:rsidR="00821438" w:rsidRPr="00C33594">
        <w:t xml:space="preserve"> values increased between 40 and 90 ºC)</w:t>
      </w:r>
      <w:r w:rsidR="00ED7C2B" w:rsidRPr="00C33594">
        <w:t>, which became more severe as the Sr content of the sample increased. The post-reaction samples were characteri</w:t>
      </w:r>
      <w:r w:rsidR="008D7F6B" w:rsidRPr="00C33594">
        <w:t>z</w:t>
      </w:r>
      <w:r w:rsidR="00ED7C2B" w:rsidRPr="00C33594">
        <w:t xml:space="preserve">ed by X-ray </w:t>
      </w:r>
      <w:r w:rsidR="0057613F" w:rsidRPr="00C33594">
        <w:t>diffraction</w:t>
      </w:r>
      <w:r w:rsidR="00BD71CC" w:rsidRPr="00C33594">
        <w:t>.</w:t>
      </w:r>
      <w:r w:rsidR="00AB74F4" w:rsidRPr="00C33594">
        <w:t xml:space="preserve"> </w:t>
      </w:r>
      <w:r w:rsidR="00BD71CC" w:rsidRPr="00C33594">
        <w:t xml:space="preserve">It </w:t>
      </w:r>
      <w:r w:rsidR="00ED7C2B" w:rsidRPr="00C33594">
        <w:t xml:space="preserve">was observed that the </w:t>
      </w:r>
      <w:r w:rsidR="00D363BD" w:rsidRPr="00C33594">
        <w:t>SrCO</w:t>
      </w:r>
      <w:r w:rsidR="00D363BD" w:rsidRPr="00C33594">
        <w:rPr>
          <w:vertAlign w:val="subscript"/>
        </w:rPr>
        <w:t>3</w:t>
      </w:r>
      <w:r w:rsidR="00ED7C2B" w:rsidRPr="00C33594">
        <w:t xml:space="preserve"> </w:t>
      </w:r>
      <w:r w:rsidR="00193365" w:rsidRPr="00C33594">
        <w:t xml:space="preserve">was </w:t>
      </w:r>
      <w:r w:rsidR="00ED7C2B" w:rsidRPr="00C33594">
        <w:t xml:space="preserve">transformed into </w:t>
      </w:r>
      <w:r w:rsidR="00D363BD" w:rsidRPr="00C33594">
        <w:t>SrCl</w:t>
      </w:r>
      <w:r w:rsidR="00D363BD" w:rsidRPr="00C33594">
        <w:rPr>
          <w:vertAlign w:val="subscript"/>
        </w:rPr>
        <w:t>2</w:t>
      </w:r>
      <w:r w:rsidR="00193365" w:rsidRPr="00C33594">
        <w:t xml:space="preserve"> after two consecutive reaction cycles</w:t>
      </w:r>
      <w:r w:rsidR="00ED7C2B" w:rsidRPr="00C33594">
        <w:t xml:space="preserve">. This surface chlorination was as well confirmed by </w:t>
      </w:r>
      <w:r w:rsidR="00096C70" w:rsidRPr="00C33594">
        <w:t xml:space="preserve">XPS and </w:t>
      </w:r>
      <w:r w:rsidR="00ED7C2B" w:rsidRPr="00C33594">
        <w:t>SEM-EDX.</w:t>
      </w:r>
      <w:r w:rsidR="00193365" w:rsidRPr="00C33594">
        <w:t xml:space="preserve"> </w:t>
      </w:r>
      <w:r w:rsidR="006640F0" w:rsidRPr="00C33594">
        <w:t xml:space="preserve">SEM-EDX analyses were obtained on a JEOL JSM-6400 scanning electron microscope coupled to an INCA EDX detector at 20 kV, 1nA and 10 mm. </w:t>
      </w:r>
      <w:r w:rsidR="00193365" w:rsidRPr="00C33594">
        <w:t>The results revealed a chlorine content in the samples between 6-18 wt.%</w:t>
      </w:r>
      <w:r w:rsidR="00D363BD" w:rsidRPr="00C33594">
        <w:t xml:space="preserve">, </w:t>
      </w:r>
      <w:r w:rsidR="00193365" w:rsidRPr="00C33594">
        <w:t xml:space="preserve">close to the expected for a </w:t>
      </w:r>
      <w:r w:rsidR="00D363BD" w:rsidRPr="00C33594">
        <w:t>stoichiometric</w:t>
      </w:r>
      <w:r w:rsidR="00193365" w:rsidRPr="00C33594">
        <w:t xml:space="preserve"> strontium chloride phase. </w:t>
      </w:r>
      <w:r w:rsidR="00ED7C2B" w:rsidRPr="00C33594">
        <w:t xml:space="preserve">Along with this phase transformation, </w:t>
      </w:r>
      <w:r w:rsidR="00193365" w:rsidRPr="00C33594">
        <w:t xml:space="preserve">the </w:t>
      </w:r>
      <w:r w:rsidR="00ED7C2B" w:rsidRPr="00C33594">
        <w:t xml:space="preserve">crystallite size also enlarged, and the surface area dramatically decreased. Thus, it could be deduced that catalysts deactivation could be due to </w:t>
      </w:r>
      <w:r w:rsidR="00096C70" w:rsidRPr="00C33594">
        <w:t xml:space="preserve">surface </w:t>
      </w:r>
      <w:r w:rsidR="00ED7C2B" w:rsidRPr="00C33594">
        <w:t xml:space="preserve">chlorination coupled with </w:t>
      </w:r>
      <w:r w:rsidR="00BD71CC" w:rsidRPr="00C33594">
        <w:t xml:space="preserve">a </w:t>
      </w:r>
      <w:r w:rsidR="00ED7C2B" w:rsidRPr="00C33594">
        <w:t>loss of textural properties.</w:t>
      </w:r>
      <w:r w:rsidR="00BD71CC" w:rsidRPr="00C33594">
        <w:t xml:space="preserve"> Globally, the results derived from this study concluded that although Sr addition was highly efficient for potentially promoting the oxidation ability of Co</w:t>
      </w:r>
      <w:r w:rsidR="00BD71CC" w:rsidRPr="00C33594">
        <w:rPr>
          <w:vertAlign w:val="subscript"/>
        </w:rPr>
        <w:t>3</w:t>
      </w:r>
      <w:r w:rsidR="00BD71CC" w:rsidRPr="00C33594">
        <w:t>O</w:t>
      </w:r>
      <w:r w:rsidR="00BD71CC" w:rsidRPr="00C33594">
        <w:rPr>
          <w:vertAlign w:val="subscript"/>
        </w:rPr>
        <w:t>4</w:t>
      </w:r>
      <w:r w:rsidR="00BD71CC" w:rsidRPr="00C33594">
        <w:t>,</w:t>
      </w:r>
      <w:r w:rsidR="00426423" w:rsidRPr="00C33594">
        <w:t xml:space="preserve"> </w:t>
      </w:r>
      <w:r w:rsidR="00BD71CC" w:rsidRPr="00C33594">
        <w:t>the simultaneously enhanced affinity for chlorine species limit the use of these Sr-Co composites for chlorinated VOCs</w:t>
      </w:r>
      <w:r w:rsidR="00AB74F4" w:rsidRPr="00C33594">
        <w:t xml:space="preserve"> oxidation</w:t>
      </w:r>
      <w:r w:rsidR="00BD71CC" w:rsidRPr="00C33594">
        <w:t>.</w:t>
      </w:r>
    </w:p>
    <w:p w14:paraId="272147DA" w14:textId="100D77FE" w:rsidR="009E63A2" w:rsidRPr="00C33594" w:rsidRDefault="00874DA7" w:rsidP="00874DA7">
      <w:pPr>
        <w:pStyle w:val="CETHeading1"/>
      </w:pPr>
      <w:r w:rsidRPr="00C33594">
        <w:lastRenderedPageBreak/>
        <w:t>Conclusions</w:t>
      </w:r>
    </w:p>
    <w:p w14:paraId="6FC10EEE" w14:textId="05F662BE" w:rsidR="001508F1" w:rsidRPr="00C33594" w:rsidRDefault="001508F1" w:rsidP="001508F1">
      <w:pPr>
        <w:pStyle w:val="CETBodytext"/>
      </w:pPr>
      <w:r w:rsidRPr="00C33594">
        <w:t>A series of SrCO</w:t>
      </w:r>
      <w:r w:rsidRPr="00C33594">
        <w:rPr>
          <w:vertAlign w:val="subscript"/>
        </w:rPr>
        <w:t>3</w:t>
      </w:r>
      <w:r w:rsidRPr="00C33594">
        <w:t>-Co</w:t>
      </w:r>
      <w:r w:rsidRPr="00C33594">
        <w:rPr>
          <w:vertAlign w:val="subscript"/>
        </w:rPr>
        <w:t>3</w:t>
      </w:r>
      <w:r w:rsidRPr="00C33594">
        <w:t>O</w:t>
      </w:r>
      <w:r w:rsidRPr="00C33594">
        <w:rPr>
          <w:vertAlign w:val="subscript"/>
        </w:rPr>
        <w:t>4</w:t>
      </w:r>
      <w:r w:rsidRPr="00C33594">
        <w:t xml:space="preserve"> catalysts with different </w:t>
      </w:r>
      <w:proofErr w:type="spellStart"/>
      <w:proofErr w:type="gramStart"/>
      <w:r w:rsidRPr="00C33594">
        <w:t>Sr:Co</w:t>
      </w:r>
      <w:proofErr w:type="spellEnd"/>
      <w:proofErr w:type="gramEnd"/>
      <w:r w:rsidRPr="00C33594">
        <w:t xml:space="preserve"> molar ratios were prepared following a co-precipitation route. The synthesi</w:t>
      </w:r>
      <w:r w:rsidR="00AC4D2B" w:rsidRPr="00C33594">
        <w:t>z</w:t>
      </w:r>
      <w:r w:rsidRPr="00C33594">
        <w:t>ed samples were thoroughly characteri</w:t>
      </w:r>
      <w:r w:rsidR="00AC4D2B" w:rsidRPr="00C33594">
        <w:t>z</w:t>
      </w:r>
      <w:r w:rsidRPr="00C33594">
        <w:t>ed (N</w:t>
      </w:r>
      <w:r w:rsidRPr="00C33594">
        <w:rPr>
          <w:vertAlign w:val="subscript"/>
        </w:rPr>
        <w:t>2</w:t>
      </w:r>
      <w:r w:rsidRPr="00C33594">
        <w:t xml:space="preserve"> physisorption, ICP</w:t>
      </w:r>
      <w:r w:rsidR="00AB74F4" w:rsidRPr="00C33594">
        <w:t>-AES</w:t>
      </w:r>
      <w:r w:rsidRPr="00C33594">
        <w:t>, XRD, SEM-EDX, H</w:t>
      </w:r>
      <w:r w:rsidRPr="00C33594">
        <w:rPr>
          <w:vertAlign w:val="subscript"/>
        </w:rPr>
        <w:t>2</w:t>
      </w:r>
      <w:r w:rsidRPr="00C33594">
        <w:t>-TPR</w:t>
      </w:r>
      <w:r w:rsidR="00306CCA" w:rsidRPr="00C33594">
        <w:t xml:space="preserve"> and </w:t>
      </w:r>
      <w:r w:rsidRPr="00C33594">
        <w:t xml:space="preserve">XPS) and evaluated for </w:t>
      </w:r>
      <w:r w:rsidR="00B02374" w:rsidRPr="00C33594">
        <w:t xml:space="preserve">the </w:t>
      </w:r>
      <w:r w:rsidRPr="00C33594">
        <w:t xml:space="preserve">complete oxidation of </w:t>
      </w:r>
      <w:r w:rsidR="00C4120A" w:rsidRPr="00C33594">
        <w:t>vinyl chloride</w:t>
      </w:r>
      <w:r w:rsidRPr="00C33594">
        <w:t xml:space="preserve">. It has been </w:t>
      </w:r>
      <w:r w:rsidR="00A94447" w:rsidRPr="00C33594">
        <w:t>found</w:t>
      </w:r>
      <w:r w:rsidRPr="00C33594">
        <w:t xml:space="preserve"> that the incorporation of SrCO</w:t>
      </w:r>
      <w:r w:rsidRPr="00C33594">
        <w:rPr>
          <w:vertAlign w:val="subscript"/>
        </w:rPr>
        <w:t>3</w:t>
      </w:r>
      <w:r w:rsidRPr="00C33594">
        <w:t xml:space="preserve"> improved textural and structural properties of the catalysts owing to the introduction of Sr into Co</w:t>
      </w:r>
      <w:r w:rsidRPr="00C33594">
        <w:rPr>
          <w:vertAlign w:val="subscript"/>
        </w:rPr>
        <w:t>3</w:t>
      </w:r>
      <w:r w:rsidRPr="00C33594">
        <w:t>O</w:t>
      </w:r>
      <w:r w:rsidRPr="00C33594">
        <w:rPr>
          <w:vertAlign w:val="subscript"/>
        </w:rPr>
        <w:t>4</w:t>
      </w:r>
      <w:r w:rsidRPr="00C33594">
        <w:t xml:space="preserve"> lattice restraining its crystallization.</w:t>
      </w:r>
      <w:r w:rsidR="009B3A4E" w:rsidRPr="00C33594">
        <w:t xml:space="preserve"> Moreover, the introduction of strontium led to changes in the composition of the Co</w:t>
      </w:r>
      <w:r w:rsidR="009B3A4E" w:rsidRPr="00C33594">
        <w:rPr>
          <w:vertAlign w:val="subscript"/>
        </w:rPr>
        <w:t>3</w:t>
      </w:r>
      <w:r w:rsidR="009B3A4E" w:rsidRPr="00C33594">
        <w:t>O</w:t>
      </w:r>
      <w:r w:rsidR="009B3A4E" w:rsidRPr="00C33594">
        <w:rPr>
          <w:vertAlign w:val="subscript"/>
        </w:rPr>
        <w:t>4</w:t>
      </w:r>
      <w:r w:rsidR="009B3A4E" w:rsidRPr="00C33594">
        <w:t xml:space="preserve"> surface, generating more Co</w:t>
      </w:r>
      <w:r w:rsidR="009B3A4E" w:rsidRPr="00C33594">
        <w:rPr>
          <w:vertAlign w:val="superscript"/>
        </w:rPr>
        <w:t>2+</w:t>
      </w:r>
      <w:r w:rsidR="009B3A4E" w:rsidRPr="00C33594">
        <w:t xml:space="preserve"> and </w:t>
      </w:r>
      <w:proofErr w:type="spellStart"/>
      <w:r w:rsidR="009B3A4E" w:rsidRPr="00C33594">
        <w:t>O</w:t>
      </w:r>
      <w:r w:rsidR="009B3A4E" w:rsidRPr="00C33594">
        <w:rPr>
          <w:vertAlign w:val="subscript"/>
        </w:rPr>
        <w:t>ads</w:t>
      </w:r>
      <w:proofErr w:type="spellEnd"/>
      <w:r w:rsidR="009B3A4E" w:rsidRPr="00C33594">
        <w:t xml:space="preserve"> species, highly desirable in oxidation reactions. </w:t>
      </w:r>
      <w:r w:rsidR="006E6AC2" w:rsidRPr="00C33594">
        <w:t>In fact</w:t>
      </w:r>
      <w:r w:rsidR="007E4800" w:rsidRPr="00C33594">
        <w:t>,</w:t>
      </w:r>
      <w:r w:rsidR="005D0E86" w:rsidRPr="00C33594">
        <w:t xml:space="preserve"> the activity data</w:t>
      </w:r>
      <w:r w:rsidR="006E6AC2" w:rsidRPr="00C33594">
        <w:t xml:space="preserve"> seemed to be </w:t>
      </w:r>
      <w:r w:rsidR="00B02374" w:rsidRPr="00C33594">
        <w:t xml:space="preserve">governed </w:t>
      </w:r>
      <w:r w:rsidR="006E6AC2" w:rsidRPr="00C33594">
        <w:t xml:space="preserve">by the population of active surface species. On the other hand, </w:t>
      </w:r>
      <w:r w:rsidR="00B02374" w:rsidRPr="00C33594">
        <w:t xml:space="preserve">the promoted </w:t>
      </w:r>
      <w:r w:rsidR="006E6AC2" w:rsidRPr="00C33594">
        <w:t>redox ability also played a determining role in VC oxidation</w:t>
      </w:r>
      <w:r w:rsidR="00AC7E9A" w:rsidRPr="00C33594">
        <w:t>. SrCo0.1 sample exhibited poor redox properties which resulted in the formation of many incomplete oxidation by-products leading to catalyst deactivation.</w:t>
      </w:r>
      <w:r w:rsidR="00C4120A" w:rsidRPr="00C33594">
        <w:t xml:space="preserve"> As for the stability of the samples, clear </w:t>
      </w:r>
      <w:r w:rsidR="00B02374" w:rsidRPr="00C33594">
        <w:t xml:space="preserve">evidences </w:t>
      </w:r>
      <w:r w:rsidR="00C4120A" w:rsidRPr="00C33594">
        <w:t>of deactivation</w:t>
      </w:r>
      <w:r w:rsidR="00437D2A" w:rsidRPr="00C33594">
        <w:t xml:space="preserve"> (more severe when increasing the Sr content)</w:t>
      </w:r>
      <w:r w:rsidR="00C4120A" w:rsidRPr="00C33594">
        <w:t xml:space="preserve"> were observed in consecutive reaction cycles.</w:t>
      </w:r>
      <w:r w:rsidR="004D44F0" w:rsidRPr="00C33594">
        <w:t xml:space="preserve"> </w:t>
      </w:r>
      <w:r w:rsidR="00437D2A" w:rsidRPr="00C33594">
        <w:t>An exhaustive characteri</w:t>
      </w:r>
      <w:r w:rsidR="00AC4D2B" w:rsidRPr="00C33594">
        <w:t>z</w:t>
      </w:r>
      <w:r w:rsidR="00437D2A" w:rsidRPr="00C33594">
        <w:t>ation of the post-reaction samples confirmed the decomposition of the SrCO</w:t>
      </w:r>
      <w:r w:rsidR="00437D2A" w:rsidRPr="00C33594">
        <w:rPr>
          <w:vertAlign w:val="subscript"/>
        </w:rPr>
        <w:t>3</w:t>
      </w:r>
      <w:r w:rsidR="00437D2A" w:rsidRPr="00C33594">
        <w:t xml:space="preserve"> phase and the formation of SrCl</w:t>
      </w:r>
      <w:r w:rsidR="00437D2A" w:rsidRPr="00C33594">
        <w:rPr>
          <w:vertAlign w:val="subscript"/>
        </w:rPr>
        <w:t>2</w:t>
      </w:r>
      <w:r w:rsidR="00437D2A" w:rsidRPr="00C33594">
        <w:t xml:space="preserve"> (inactive) </w:t>
      </w:r>
      <w:r w:rsidR="00B02374" w:rsidRPr="00C33594">
        <w:t>associated with</w:t>
      </w:r>
      <w:r w:rsidR="00437D2A" w:rsidRPr="00C33594">
        <w:t xml:space="preserve"> a loss of textural properties and active surface oxygen species. </w:t>
      </w:r>
    </w:p>
    <w:p w14:paraId="1F259285" w14:textId="6200B852" w:rsidR="00874DA7" w:rsidRPr="00C33594" w:rsidRDefault="00874DA7" w:rsidP="00874DA7">
      <w:pPr>
        <w:pStyle w:val="CETAcknowledgementstitle"/>
        <w:rPr>
          <w:lang w:val="en-US"/>
        </w:rPr>
      </w:pPr>
      <w:r w:rsidRPr="00C33594">
        <w:rPr>
          <w:lang w:val="en-US"/>
        </w:rPr>
        <w:t>Acknowledgments</w:t>
      </w:r>
    </w:p>
    <w:p w14:paraId="062068D7" w14:textId="78511ABD" w:rsidR="00874DA7" w:rsidRPr="00C33594" w:rsidRDefault="00874DA7" w:rsidP="00874DA7">
      <w:pPr>
        <w:pStyle w:val="CETBodytext"/>
      </w:pPr>
      <w:r w:rsidRPr="00C33594">
        <w:t xml:space="preserve">This research was funded by the Spanish Ministry of Science and Innovation (PID2019-107105RB-I00 AEI/FEDER, UE and PDC2022-133897-I00), the Basque Government (IT1509-22), and the University of the Basque Country UPV/EHU (PIF18/185). The authors are grateful for the technical and personal support provided by </w:t>
      </w:r>
      <w:proofErr w:type="spellStart"/>
      <w:r w:rsidRPr="00C33594">
        <w:t>SGIker</w:t>
      </w:r>
      <w:proofErr w:type="spellEnd"/>
      <w:r w:rsidRPr="00C33594">
        <w:t xml:space="preserve"> (UPV/EHU)</w:t>
      </w:r>
      <w:r w:rsidR="00D363BD" w:rsidRPr="00C33594">
        <w:t>, and</w:t>
      </w:r>
      <w:r w:rsidRPr="00C33594">
        <w:t xml:space="preserve"> by the National Facility ELECMI ICTS, node “Advanced Microscopy Laboratory” at the University of Zaragoza.</w:t>
      </w:r>
    </w:p>
    <w:p w14:paraId="1F250420" w14:textId="7898597A" w:rsidR="00874DA7" w:rsidRPr="00C33594" w:rsidRDefault="00874DA7" w:rsidP="00874DA7">
      <w:pPr>
        <w:pStyle w:val="CETReference"/>
        <w:rPr>
          <w:lang w:val="en-US"/>
        </w:rPr>
      </w:pPr>
      <w:r w:rsidRPr="00C33594">
        <w:rPr>
          <w:lang w:val="en-US"/>
        </w:rPr>
        <w:t>References</w:t>
      </w:r>
    </w:p>
    <w:p w14:paraId="63DE28FE" w14:textId="77777777" w:rsidR="00C4198A" w:rsidRPr="00C33594" w:rsidRDefault="00C4198A" w:rsidP="00C4198A">
      <w:pPr>
        <w:pStyle w:val="CETReferencetext"/>
        <w:rPr>
          <w:rFonts w:cs="Arial"/>
          <w:szCs w:val="18"/>
          <w:lang w:val="en-US"/>
        </w:rPr>
      </w:pPr>
      <w:r w:rsidRPr="00C33594">
        <w:rPr>
          <w:rFonts w:cs="Arial"/>
          <w:szCs w:val="18"/>
          <w:lang w:val="en-US"/>
        </w:rPr>
        <w:t xml:space="preserve">Chen X, Yu S., Liu W., Zhang S., Liu S., Feng Y., Zhang X., 2022, Recent advance on cobalt-based oxide catalyst for the catalytic removal of volatile organic compounds: A review, Resources Chemicals and Materials, 1, 27-46. </w:t>
      </w:r>
    </w:p>
    <w:p w14:paraId="5CD77E19" w14:textId="77777777" w:rsidR="00C4198A" w:rsidRPr="00C33594" w:rsidRDefault="00C4198A" w:rsidP="00C4198A">
      <w:pPr>
        <w:pStyle w:val="CETReferencetext"/>
        <w:rPr>
          <w:rFonts w:cs="Arial"/>
          <w:szCs w:val="18"/>
          <w:lang w:val="en-US"/>
        </w:rPr>
      </w:pPr>
      <w:r w:rsidRPr="00C33594">
        <w:rPr>
          <w:rStyle w:val="Rimandonotadichiusura"/>
          <w:rFonts w:cs="Arial"/>
          <w:szCs w:val="18"/>
          <w:vertAlign w:val="baseline"/>
          <w:lang w:val="en-US"/>
        </w:rPr>
        <w:t>Dai Q., Wu J., Deng W., Hu J., Wu Q., Guo L., Sun W., Zhan W., Wang X.,</w:t>
      </w:r>
      <w:r w:rsidRPr="00C33594">
        <w:rPr>
          <w:rFonts w:cs="Arial"/>
          <w:szCs w:val="18"/>
          <w:lang w:val="en-US"/>
        </w:rPr>
        <w:t xml:space="preserve"> 2019, Comparative studies of P/CeO</w:t>
      </w:r>
      <w:r w:rsidRPr="00C33594">
        <w:rPr>
          <w:rFonts w:cs="Arial"/>
          <w:szCs w:val="18"/>
          <w:vertAlign w:val="subscript"/>
          <w:lang w:val="en-US"/>
        </w:rPr>
        <w:t>2</w:t>
      </w:r>
      <w:r w:rsidRPr="00C33594">
        <w:rPr>
          <w:rFonts w:cs="Arial"/>
          <w:szCs w:val="18"/>
          <w:lang w:val="en-US"/>
        </w:rPr>
        <w:t xml:space="preserve"> and Ru/CeO</w:t>
      </w:r>
      <w:r w:rsidRPr="00C33594">
        <w:rPr>
          <w:rFonts w:cs="Arial"/>
          <w:szCs w:val="18"/>
          <w:vertAlign w:val="subscript"/>
          <w:lang w:val="en-US"/>
        </w:rPr>
        <w:t>2</w:t>
      </w:r>
      <w:r w:rsidRPr="00C33594">
        <w:rPr>
          <w:rFonts w:cs="Arial"/>
          <w:szCs w:val="18"/>
          <w:lang w:val="en-US"/>
        </w:rPr>
        <w:t xml:space="preserve"> catalysts for catalytic combustion of dichloromethane: From effects of H</w:t>
      </w:r>
      <w:r w:rsidRPr="00C33594">
        <w:rPr>
          <w:rFonts w:cs="Arial"/>
          <w:szCs w:val="18"/>
          <w:vertAlign w:val="subscript"/>
          <w:lang w:val="en-US"/>
        </w:rPr>
        <w:t>2</w:t>
      </w:r>
      <w:r w:rsidRPr="00C33594">
        <w:rPr>
          <w:rFonts w:cs="Arial"/>
          <w:szCs w:val="18"/>
          <w:lang w:val="en-US"/>
        </w:rPr>
        <w:t>O to distribution of chlorinated by-products,</w:t>
      </w:r>
      <w:r w:rsidRPr="00C33594">
        <w:rPr>
          <w:rStyle w:val="Rimandonotadichiusura"/>
          <w:rFonts w:cs="Arial"/>
          <w:szCs w:val="18"/>
          <w:vertAlign w:val="baseline"/>
          <w:lang w:val="en-US"/>
        </w:rPr>
        <w:t xml:space="preserve"> Appl</w:t>
      </w:r>
      <w:r w:rsidRPr="00C33594">
        <w:rPr>
          <w:rFonts w:cs="Arial"/>
          <w:szCs w:val="18"/>
          <w:lang w:val="en-US"/>
        </w:rPr>
        <w:t>ied</w:t>
      </w:r>
      <w:r w:rsidRPr="00C33594">
        <w:rPr>
          <w:rStyle w:val="Rimandonotadichiusura"/>
          <w:rFonts w:cs="Arial"/>
          <w:szCs w:val="18"/>
          <w:vertAlign w:val="baseline"/>
          <w:lang w:val="en-US"/>
        </w:rPr>
        <w:t xml:space="preserve"> Catal</w:t>
      </w:r>
      <w:r w:rsidRPr="00C33594">
        <w:rPr>
          <w:rFonts w:cs="Arial"/>
          <w:szCs w:val="18"/>
          <w:lang w:val="en-US"/>
        </w:rPr>
        <w:t>ysis</w:t>
      </w:r>
      <w:r w:rsidRPr="00C33594">
        <w:rPr>
          <w:rStyle w:val="Rimandonotadichiusura"/>
          <w:rFonts w:cs="Arial"/>
          <w:szCs w:val="18"/>
          <w:vertAlign w:val="baseline"/>
          <w:lang w:val="en-US"/>
        </w:rPr>
        <w:t xml:space="preserve"> B</w:t>
      </w:r>
      <w:r w:rsidRPr="00C33594">
        <w:rPr>
          <w:rFonts w:cs="Arial"/>
          <w:szCs w:val="18"/>
          <w:lang w:val="en-US"/>
        </w:rPr>
        <w:t xml:space="preserve">: </w:t>
      </w:r>
      <w:r w:rsidRPr="00C33594">
        <w:rPr>
          <w:rStyle w:val="Rimandonotadichiusura"/>
          <w:rFonts w:cs="Arial"/>
          <w:szCs w:val="18"/>
          <w:vertAlign w:val="baseline"/>
          <w:lang w:val="en-US"/>
        </w:rPr>
        <w:t>Environmental,</w:t>
      </w:r>
      <w:r w:rsidRPr="00C33594">
        <w:rPr>
          <w:rFonts w:cs="Arial"/>
          <w:szCs w:val="18"/>
          <w:lang w:val="en-US"/>
        </w:rPr>
        <w:t xml:space="preserve"> 249, 9-18. </w:t>
      </w:r>
    </w:p>
    <w:p w14:paraId="520D7F84" w14:textId="77777777" w:rsidR="00C4198A" w:rsidRPr="00C33594" w:rsidRDefault="00C4198A" w:rsidP="00C4198A">
      <w:pPr>
        <w:pStyle w:val="CETReferencetext"/>
        <w:rPr>
          <w:rFonts w:cs="Arial"/>
          <w:szCs w:val="18"/>
          <w:lang w:val="en-US"/>
        </w:rPr>
      </w:pPr>
      <w:r w:rsidRPr="00C33594">
        <w:rPr>
          <w:rFonts w:cs="Arial"/>
          <w:szCs w:val="18"/>
          <w:lang w:val="en-US"/>
        </w:rPr>
        <w:t>Feng X., Guo J., Wen X., Xu M., Chu Y., Yuan S., 2018, Enhancing performance of Co/CeO</w:t>
      </w:r>
      <w:r w:rsidRPr="00C33594">
        <w:rPr>
          <w:rFonts w:cs="Arial"/>
          <w:szCs w:val="18"/>
          <w:vertAlign w:val="subscript"/>
          <w:lang w:val="en-US"/>
        </w:rPr>
        <w:t>2</w:t>
      </w:r>
      <w:r w:rsidRPr="00C33594">
        <w:rPr>
          <w:rFonts w:cs="Arial"/>
          <w:szCs w:val="18"/>
          <w:lang w:val="en-US"/>
        </w:rPr>
        <w:t xml:space="preserve"> catalyst by Sr doping for catalytic combustion of toluene, Applied Surface Science, 445, 145-153.</w:t>
      </w:r>
    </w:p>
    <w:p w14:paraId="6AE1BD26" w14:textId="77777777" w:rsidR="00C4198A" w:rsidRPr="00C33594" w:rsidRDefault="00C4198A" w:rsidP="00C4198A">
      <w:pPr>
        <w:pStyle w:val="CETReferencetext"/>
        <w:rPr>
          <w:rFonts w:cs="Arial"/>
          <w:szCs w:val="18"/>
          <w:lang w:val="en-US"/>
        </w:rPr>
      </w:pPr>
      <w:r w:rsidRPr="00C33594">
        <w:rPr>
          <w:rFonts w:cs="Arial"/>
          <w:szCs w:val="18"/>
          <w:lang w:val="en-US"/>
        </w:rPr>
        <w:t xml:space="preserve">González-Prior J., López-Fonseca R., Gutiérrez-Ortiz J.I., de Rivas B., 2018, Catalytic removal of chlorinated compounds over ordered mesoporous cobalt oxides </w:t>
      </w:r>
      <w:proofErr w:type="spellStart"/>
      <w:r w:rsidRPr="00C33594">
        <w:rPr>
          <w:rFonts w:cs="Arial"/>
          <w:szCs w:val="18"/>
          <w:lang w:val="en-US"/>
        </w:rPr>
        <w:t>synthesised</w:t>
      </w:r>
      <w:proofErr w:type="spellEnd"/>
      <w:r w:rsidRPr="00C33594">
        <w:rPr>
          <w:rFonts w:cs="Arial"/>
          <w:szCs w:val="18"/>
          <w:lang w:val="en-US"/>
        </w:rPr>
        <w:t xml:space="preserve"> by hard-templating, Applied Catalysis B: Environmental, 222, 9-17.</w:t>
      </w:r>
    </w:p>
    <w:p w14:paraId="71223E9B" w14:textId="77777777" w:rsidR="00C4198A" w:rsidRPr="00C33594" w:rsidRDefault="00C4198A" w:rsidP="00C4198A">
      <w:pPr>
        <w:pStyle w:val="CETReferencetext"/>
        <w:rPr>
          <w:rFonts w:cs="Arial"/>
          <w:szCs w:val="18"/>
          <w:lang w:val="en-US"/>
        </w:rPr>
      </w:pPr>
      <w:r w:rsidRPr="00C33594">
        <w:rPr>
          <w:rFonts w:cs="Arial"/>
          <w:szCs w:val="18"/>
          <w:lang w:val="en-US"/>
        </w:rPr>
        <w:t xml:space="preserve">He C., Cheng J., Zhang X., Douthwaite M., Pattisson S., Hao Z., 2019, Recent advances in the catalytic oxidation of volatile organic compounds: A review based on pollutant sorts and sources, Chemical Reviews, 119, 4471-4568. </w:t>
      </w:r>
    </w:p>
    <w:p w14:paraId="49C8BE6A" w14:textId="77777777" w:rsidR="00C4198A" w:rsidRPr="00C33594" w:rsidRDefault="00C4198A" w:rsidP="00C4198A">
      <w:pPr>
        <w:pStyle w:val="CETReferencetext"/>
        <w:rPr>
          <w:rFonts w:cs="Arial"/>
          <w:szCs w:val="18"/>
          <w:lang w:val="en-US"/>
        </w:rPr>
      </w:pPr>
      <w:r w:rsidRPr="00C33594">
        <w:rPr>
          <w:rFonts w:cs="Arial"/>
          <w:szCs w:val="18"/>
          <w:lang w:val="en-US"/>
        </w:rPr>
        <w:t xml:space="preserve">Kamal M.S., Razzak S.A., Hossain M.M., 2016, Catalytic oxidation of volatile organic compounds (VOCs) – A review, Atmospheric Environment, 140, 117-134. </w:t>
      </w:r>
    </w:p>
    <w:p w14:paraId="353DB6F5" w14:textId="693894BE" w:rsidR="00C4198A" w:rsidRPr="00C33594" w:rsidRDefault="00C4198A" w:rsidP="00C4198A">
      <w:pPr>
        <w:pStyle w:val="CETReferencetext"/>
        <w:rPr>
          <w:rFonts w:cs="Arial"/>
          <w:szCs w:val="18"/>
          <w:lang w:val="en-US"/>
        </w:rPr>
      </w:pPr>
      <w:r w:rsidRPr="00C33594">
        <w:rPr>
          <w:rStyle w:val="Rimandonotadichiusura"/>
          <w:rFonts w:cs="Arial"/>
          <w:szCs w:val="18"/>
          <w:vertAlign w:val="baseline"/>
          <w:lang w:val="en-US"/>
        </w:rPr>
        <w:t xml:space="preserve">Li </w:t>
      </w:r>
      <w:r w:rsidRPr="00C33594">
        <w:rPr>
          <w:rFonts w:cs="Arial"/>
          <w:szCs w:val="18"/>
          <w:lang w:val="en-US"/>
        </w:rPr>
        <w:t>J.</w:t>
      </w:r>
      <w:r w:rsidRPr="00C33594">
        <w:rPr>
          <w:rStyle w:val="Rimandonotadichiusura"/>
          <w:rFonts w:cs="Arial"/>
          <w:szCs w:val="18"/>
          <w:vertAlign w:val="baseline"/>
          <w:lang w:val="en-US"/>
        </w:rPr>
        <w:t xml:space="preserve">, Hou </w:t>
      </w:r>
      <w:r w:rsidRPr="00C33594">
        <w:rPr>
          <w:rFonts w:cs="Arial"/>
          <w:szCs w:val="18"/>
          <w:lang w:val="en-US"/>
        </w:rPr>
        <w:t>Y.</w:t>
      </w:r>
      <w:r w:rsidRPr="00C33594">
        <w:rPr>
          <w:rStyle w:val="Rimandonotadichiusura"/>
          <w:rFonts w:cs="Arial"/>
          <w:szCs w:val="18"/>
          <w:vertAlign w:val="baseline"/>
          <w:lang w:val="en-US"/>
        </w:rPr>
        <w:t xml:space="preserve">, Song </w:t>
      </w:r>
      <w:r w:rsidRPr="00C33594">
        <w:rPr>
          <w:rFonts w:cs="Arial"/>
          <w:szCs w:val="18"/>
          <w:lang w:val="en-US"/>
        </w:rPr>
        <w:t>Z.</w:t>
      </w:r>
      <w:r w:rsidRPr="00C33594">
        <w:rPr>
          <w:rStyle w:val="Rimandonotadichiusura"/>
          <w:rFonts w:cs="Arial"/>
          <w:szCs w:val="18"/>
          <w:vertAlign w:val="baseline"/>
          <w:lang w:val="en-US"/>
        </w:rPr>
        <w:t xml:space="preserve">, Liu </w:t>
      </w:r>
      <w:r w:rsidRPr="00C33594">
        <w:rPr>
          <w:rFonts w:cs="Arial"/>
          <w:szCs w:val="18"/>
          <w:lang w:val="en-US"/>
        </w:rPr>
        <w:t>C.</w:t>
      </w:r>
      <w:r w:rsidRPr="00C33594">
        <w:rPr>
          <w:rStyle w:val="Rimandonotadichiusura"/>
          <w:rFonts w:cs="Arial"/>
          <w:szCs w:val="18"/>
          <w:vertAlign w:val="baseline"/>
          <w:lang w:val="en-US"/>
        </w:rPr>
        <w:t xml:space="preserve">, Dong </w:t>
      </w:r>
      <w:r w:rsidRPr="00C33594">
        <w:rPr>
          <w:rFonts w:cs="Arial"/>
          <w:szCs w:val="18"/>
          <w:lang w:val="en-US"/>
        </w:rPr>
        <w:t>W.</w:t>
      </w:r>
      <w:r w:rsidRPr="00C33594">
        <w:rPr>
          <w:rStyle w:val="Rimandonotadichiusura"/>
          <w:rFonts w:cs="Arial"/>
          <w:szCs w:val="18"/>
          <w:vertAlign w:val="baseline"/>
          <w:lang w:val="en-US"/>
        </w:rPr>
        <w:t>, Zhang</w:t>
      </w:r>
      <w:r w:rsidRPr="00C33594">
        <w:rPr>
          <w:rFonts w:cs="Arial"/>
          <w:szCs w:val="18"/>
          <w:lang w:val="en-US"/>
        </w:rPr>
        <w:t xml:space="preserve"> C.</w:t>
      </w:r>
      <w:r w:rsidRPr="00C33594">
        <w:rPr>
          <w:rStyle w:val="Rimandonotadichiusura"/>
          <w:rFonts w:cs="Arial"/>
          <w:szCs w:val="18"/>
          <w:vertAlign w:val="baseline"/>
          <w:lang w:val="en-US"/>
        </w:rPr>
        <w:t>,</w:t>
      </w:r>
      <w:r w:rsidRPr="00C33594">
        <w:rPr>
          <w:rFonts w:cs="Arial"/>
          <w:szCs w:val="18"/>
          <w:lang w:val="en-US"/>
        </w:rPr>
        <w:t xml:space="preserve"> </w:t>
      </w:r>
      <w:r w:rsidRPr="00C33594">
        <w:rPr>
          <w:rStyle w:val="Rimandonotadichiusura"/>
          <w:rFonts w:cs="Arial"/>
          <w:szCs w:val="18"/>
          <w:vertAlign w:val="baseline"/>
          <w:lang w:val="en-US"/>
        </w:rPr>
        <w:t xml:space="preserve">Yang </w:t>
      </w:r>
      <w:r w:rsidRPr="00C33594">
        <w:rPr>
          <w:rFonts w:cs="Arial"/>
          <w:szCs w:val="18"/>
          <w:lang w:val="en-US"/>
        </w:rPr>
        <w:t>Y.</w:t>
      </w:r>
      <w:r w:rsidRPr="00C33594">
        <w:rPr>
          <w:rStyle w:val="Rimandonotadichiusura"/>
          <w:rFonts w:cs="Arial"/>
          <w:szCs w:val="18"/>
          <w:vertAlign w:val="baseline"/>
          <w:lang w:val="en-US"/>
        </w:rPr>
        <w:t xml:space="preserve">, </w:t>
      </w:r>
      <w:r w:rsidRPr="00C33594">
        <w:rPr>
          <w:rFonts w:cs="Arial"/>
          <w:szCs w:val="18"/>
          <w:lang w:val="en-US"/>
        </w:rPr>
        <w:t>Li</w:t>
      </w:r>
      <w:r w:rsidRPr="00C33594">
        <w:rPr>
          <w:rStyle w:val="Rimandonotadichiusura"/>
          <w:rFonts w:cs="Arial"/>
          <w:szCs w:val="18"/>
          <w:vertAlign w:val="baseline"/>
          <w:lang w:val="en-US"/>
        </w:rPr>
        <w:t xml:space="preserve"> Y., </w:t>
      </w:r>
      <w:r w:rsidR="006F61C8" w:rsidRPr="00C33594">
        <w:rPr>
          <w:rFonts w:cs="Arial"/>
          <w:szCs w:val="18"/>
          <w:lang w:val="en-US"/>
        </w:rPr>
        <w:t xml:space="preserve">2018, </w:t>
      </w:r>
      <w:r w:rsidRPr="00C33594">
        <w:rPr>
          <w:rFonts w:cs="Arial"/>
          <w:szCs w:val="18"/>
          <w:lang w:val="en-US"/>
        </w:rPr>
        <w:t>Chemical and structural effects of strontium on iron-based Fischer-</w:t>
      </w:r>
      <w:proofErr w:type="spellStart"/>
      <w:r w:rsidRPr="00C33594">
        <w:rPr>
          <w:rFonts w:cs="Arial"/>
          <w:szCs w:val="18"/>
          <w:lang w:val="en-US"/>
        </w:rPr>
        <w:t>Tropsch</w:t>
      </w:r>
      <w:proofErr w:type="spellEnd"/>
      <w:r w:rsidRPr="00C33594">
        <w:rPr>
          <w:rFonts w:cs="Arial"/>
          <w:szCs w:val="18"/>
          <w:lang w:val="en-US"/>
        </w:rPr>
        <w:t xml:space="preserve"> synthesis catalysts, </w:t>
      </w:r>
      <w:r w:rsidRPr="00C33594">
        <w:rPr>
          <w:rStyle w:val="Rimandonotadichiusura"/>
          <w:rFonts w:cs="Arial"/>
          <w:szCs w:val="18"/>
          <w:vertAlign w:val="baseline"/>
          <w:lang w:val="en-US"/>
        </w:rPr>
        <w:t>M</w:t>
      </w:r>
      <w:r w:rsidRPr="00C33594">
        <w:rPr>
          <w:rFonts w:cs="Arial"/>
          <w:szCs w:val="18"/>
          <w:lang w:val="en-US"/>
        </w:rPr>
        <w:t>olecular Catalysis</w:t>
      </w:r>
      <w:r w:rsidRPr="00C33594">
        <w:rPr>
          <w:rStyle w:val="Rimandonotadichiusura"/>
          <w:rFonts w:cs="Arial"/>
          <w:szCs w:val="18"/>
          <w:vertAlign w:val="baseline"/>
          <w:lang w:val="en-US"/>
        </w:rPr>
        <w:t>, 449</w:t>
      </w:r>
      <w:r w:rsidRPr="00C33594">
        <w:rPr>
          <w:rFonts w:cs="Arial"/>
          <w:szCs w:val="18"/>
          <w:lang w:val="en-US"/>
        </w:rPr>
        <w:t>,</w:t>
      </w:r>
      <w:r w:rsidRPr="00C33594">
        <w:rPr>
          <w:rStyle w:val="Rimandonotadichiusura"/>
          <w:rFonts w:cs="Arial"/>
          <w:szCs w:val="18"/>
          <w:vertAlign w:val="baseline"/>
          <w:lang w:val="en-US"/>
        </w:rPr>
        <w:t xml:space="preserve"> 1-7.</w:t>
      </w:r>
    </w:p>
    <w:p w14:paraId="1BA0B5AA" w14:textId="061A5D7C" w:rsidR="00C4198A" w:rsidRPr="00C33594" w:rsidRDefault="00C4198A" w:rsidP="00C4198A">
      <w:pPr>
        <w:pStyle w:val="CETReferencetext"/>
        <w:rPr>
          <w:rFonts w:cs="Arial"/>
          <w:szCs w:val="18"/>
          <w:lang w:val="en-US"/>
        </w:rPr>
      </w:pPr>
      <w:r w:rsidRPr="00C33594">
        <w:rPr>
          <w:rFonts w:cs="Arial"/>
          <w:szCs w:val="18"/>
          <w:lang w:val="en-US"/>
        </w:rPr>
        <w:t>Li T., Li H., Li C., 2020</w:t>
      </w:r>
      <w:r w:rsidR="0036190C" w:rsidRPr="00C33594">
        <w:rPr>
          <w:rFonts w:cs="Arial"/>
          <w:szCs w:val="18"/>
          <w:lang w:val="en-US"/>
        </w:rPr>
        <w:t>a</w:t>
      </w:r>
      <w:r w:rsidRPr="00C33594">
        <w:rPr>
          <w:rFonts w:cs="Arial"/>
          <w:szCs w:val="18"/>
          <w:lang w:val="en-US"/>
        </w:rPr>
        <w:t>, A review and perspective of recent research in biological treatment applied in removal of chlorinated volatile organic compounds from waste air, Chemosphere, 250, 126338.</w:t>
      </w:r>
    </w:p>
    <w:p w14:paraId="7F65FA5E" w14:textId="45B53985" w:rsidR="00C4198A" w:rsidRPr="00C33594" w:rsidRDefault="00C4198A" w:rsidP="00C4198A">
      <w:pPr>
        <w:pStyle w:val="CETReferencetext"/>
        <w:rPr>
          <w:rFonts w:cs="Arial"/>
          <w:szCs w:val="18"/>
          <w:lang w:val="en-US"/>
        </w:rPr>
      </w:pPr>
      <w:r w:rsidRPr="00C33594">
        <w:rPr>
          <w:rFonts w:cs="Arial"/>
          <w:szCs w:val="18"/>
          <w:lang w:val="en-US"/>
        </w:rPr>
        <w:t>Li C., Zhao Y., Song H., Li H., 2020</w:t>
      </w:r>
      <w:r w:rsidR="0036190C" w:rsidRPr="00C33594">
        <w:rPr>
          <w:rFonts w:cs="Arial"/>
          <w:szCs w:val="18"/>
          <w:lang w:val="en-US"/>
        </w:rPr>
        <w:t>b</w:t>
      </w:r>
      <w:r w:rsidRPr="00C33594">
        <w:rPr>
          <w:rFonts w:cs="Arial"/>
          <w:szCs w:val="18"/>
          <w:lang w:val="en-US"/>
        </w:rPr>
        <w:t xml:space="preserve">, A review on recent advances in catalytic combustion of chlorinated volatile organic compounds, Journal of Chemical Technology and Biotechnology, 95, 2069-2082. </w:t>
      </w:r>
    </w:p>
    <w:p w14:paraId="0642F086" w14:textId="77777777" w:rsidR="00C4198A" w:rsidRPr="00C33594" w:rsidRDefault="00C4198A" w:rsidP="00C4198A">
      <w:pPr>
        <w:pStyle w:val="CETReferencetext"/>
        <w:rPr>
          <w:rStyle w:val="Rimandonotadichiusura"/>
          <w:rFonts w:cs="Arial"/>
          <w:szCs w:val="18"/>
          <w:vertAlign w:val="baseline"/>
          <w:lang w:val="en-US"/>
        </w:rPr>
      </w:pPr>
      <w:r w:rsidRPr="00C33594">
        <w:rPr>
          <w:rStyle w:val="Rimandonotadichiusura"/>
          <w:rFonts w:cs="Arial"/>
          <w:szCs w:val="18"/>
          <w:vertAlign w:val="baseline"/>
          <w:lang w:val="en-US"/>
        </w:rPr>
        <w:t xml:space="preserve">Lin </w:t>
      </w:r>
      <w:r w:rsidRPr="00C33594">
        <w:rPr>
          <w:rFonts w:cs="Arial"/>
          <w:szCs w:val="18"/>
          <w:lang w:val="en-US"/>
        </w:rPr>
        <w:t>F.</w:t>
      </w:r>
      <w:r w:rsidRPr="00C33594">
        <w:rPr>
          <w:rStyle w:val="Rimandonotadichiusura"/>
          <w:rFonts w:cs="Arial"/>
          <w:szCs w:val="18"/>
          <w:vertAlign w:val="baseline"/>
          <w:lang w:val="en-US"/>
        </w:rPr>
        <w:t xml:space="preserve">, Zhang </w:t>
      </w:r>
      <w:r w:rsidRPr="00C33594">
        <w:rPr>
          <w:rFonts w:cs="Arial"/>
          <w:szCs w:val="18"/>
          <w:lang w:val="en-US"/>
        </w:rPr>
        <w:t>Z.</w:t>
      </w:r>
      <w:r w:rsidRPr="00C33594">
        <w:rPr>
          <w:rStyle w:val="Rimandonotadichiusura"/>
          <w:rFonts w:cs="Arial"/>
          <w:szCs w:val="18"/>
          <w:vertAlign w:val="baseline"/>
          <w:lang w:val="en-US"/>
        </w:rPr>
        <w:t xml:space="preserve">, Li </w:t>
      </w:r>
      <w:r w:rsidRPr="00C33594">
        <w:rPr>
          <w:rFonts w:cs="Arial"/>
          <w:szCs w:val="18"/>
          <w:lang w:val="en-US"/>
        </w:rPr>
        <w:t>N.</w:t>
      </w:r>
      <w:r w:rsidRPr="00C33594">
        <w:rPr>
          <w:rStyle w:val="Rimandonotadichiusura"/>
          <w:rFonts w:cs="Arial"/>
          <w:szCs w:val="18"/>
          <w:vertAlign w:val="baseline"/>
          <w:lang w:val="en-US"/>
        </w:rPr>
        <w:t xml:space="preserve">, Yan </w:t>
      </w:r>
      <w:r w:rsidRPr="00C33594">
        <w:rPr>
          <w:rFonts w:cs="Arial"/>
          <w:szCs w:val="18"/>
          <w:lang w:val="en-US"/>
        </w:rPr>
        <w:t>B.</w:t>
      </w:r>
      <w:r w:rsidRPr="00C33594">
        <w:rPr>
          <w:rStyle w:val="Rimandonotadichiusura"/>
          <w:rFonts w:cs="Arial"/>
          <w:szCs w:val="18"/>
          <w:vertAlign w:val="baseline"/>
          <w:lang w:val="en-US"/>
        </w:rPr>
        <w:t xml:space="preserve">, He </w:t>
      </w:r>
      <w:r w:rsidRPr="00C33594">
        <w:rPr>
          <w:rFonts w:cs="Arial"/>
          <w:szCs w:val="18"/>
          <w:lang w:val="en-US"/>
        </w:rPr>
        <w:t>C.</w:t>
      </w:r>
      <w:r w:rsidRPr="00C33594">
        <w:rPr>
          <w:rStyle w:val="Rimandonotadichiusura"/>
          <w:rFonts w:cs="Arial"/>
          <w:szCs w:val="18"/>
          <w:vertAlign w:val="baseline"/>
          <w:lang w:val="en-US"/>
        </w:rPr>
        <w:t xml:space="preserve">, Hao </w:t>
      </w:r>
      <w:r w:rsidRPr="00C33594">
        <w:rPr>
          <w:rFonts w:cs="Arial"/>
          <w:szCs w:val="18"/>
          <w:lang w:val="en-US"/>
        </w:rPr>
        <w:t>Z.</w:t>
      </w:r>
      <w:r w:rsidRPr="00C33594">
        <w:rPr>
          <w:rStyle w:val="Rimandonotadichiusura"/>
          <w:rFonts w:cs="Arial"/>
          <w:szCs w:val="18"/>
          <w:vertAlign w:val="baseline"/>
          <w:lang w:val="en-US"/>
        </w:rPr>
        <w:t xml:space="preserve">, Chen </w:t>
      </w:r>
      <w:r w:rsidRPr="00C33594">
        <w:rPr>
          <w:rFonts w:cs="Arial"/>
          <w:szCs w:val="18"/>
          <w:lang w:val="en-US"/>
        </w:rPr>
        <w:t>G.</w:t>
      </w:r>
      <w:r w:rsidRPr="00C33594">
        <w:rPr>
          <w:rStyle w:val="Rimandonotadichiusura"/>
          <w:rFonts w:cs="Arial"/>
          <w:szCs w:val="18"/>
          <w:vertAlign w:val="baseline"/>
          <w:lang w:val="en-US"/>
        </w:rPr>
        <w:t xml:space="preserve">, </w:t>
      </w:r>
      <w:r w:rsidRPr="00C33594">
        <w:rPr>
          <w:rFonts w:cs="Arial"/>
          <w:szCs w:val="18"/>
          <w:lang w:val="en-US"/>
        </w:rPr>
        <w:t xml:space="preserve">2021, How to achieve complete elimination of Cl-VOCs: A critical review on byproducts formation and inhibition strategies during catalytic oxidation, </w:t>
      </w:r>
      <w:r w:rsidRPr="00C33594">
        <w:rPr>
          <w:rStyle w:val="Rimandonotadichiusura"/>
          <w:rFonts w:cs="Arial"/>
          <w:szCs w:val="18"/>
          <w:vertAlign w:val="baseline"/>
          <w:lang w:val="en-US"/>
        </w:rPr>
        <w:t>Chem</w:t>
      </w:r>
      <w:r w:rsidRPr="00C33594">
        <w:rPr>
          <w:rFonts w:cs="Arial"/>
          <w:szCs w:val="18"/>
          <w:lang w:val="en-US"/>
        </w:rPr>
        <w:t>ical</w:t>
      </w:r>
      <w:r w:rsidRPr="00C33594">
        <w:rPr>
          <w:rStyle w:val="Rimandonotadichiusura"/>
          <w:rFonts w:cs="Arial"/>
          <w:szCs w:val="18"/>
          <w:vertAlign w:val="baseline"/>
          <w:lang w:val="en-US"/>
        </w:rPr>
        <w:t xml:space="preserve"> Eng</w:t>
      </w:r>
      <w:r w:rsidRPr="00C33594">
        <w:rPr>
          <w:rFonts w:cs="Arial"/>
          <w:szCs w:val="18"/>
          <w:lang w:val="en-US"/>
        </w:rPr>
        <w:t>ineering</w:t>
      </w:r>
      <w:r w:rsidRPr="00C33594">
        <w:rPr>
          <w:rStyle w:val="Rimandonotadichiusura"/>
          <w:rFonts w:cs="Arial"/>
          <w:szCs w:val="18"/>
          <w:vertAlign w:val="baseline"/>
          <w:lang w:val="en-US"/>
        </w:rPr>
        <w:t xml:space="preserve"> J</w:t>
      </w:r>
      <w:r w:rsidRPr="00C33594">
        <w:rPr>
          <w:rFonts w:cs="Arial"/>
          <w:szCs w:val="18"/>
          <w:lang w:val="en-US"/>
        </w:rPr>
        <w:t>ournal</w:t>
      </w:r>
      <w:r w:rsidRPr="00C33594">
        <w:rPr>
          <w:rStyle w:val="Rimandonotadichiusura"/>
          <w:rFonts w:cs="Arial"/>
          <w:szCs w:val="18"/>
          <w:vertAlign w:val="baseline"/>
          <w:lang w:val="en-US"/>
        </w:rPr>
        <w:t>, 404</w:t>
      </w:r>
      <w:r w:rsidRPr="00C33594">
        <w:rPr>
          <w:rFonts w:cs="Arial"/>
          <w:szCs w:val="18"/>
          <w:lang w:val="en-US"/>
        </w:rPr>
        <w:t>,</w:t>
      </w:r>
      <w:r w:rsidRPr="00C33594">
        <w:rPr>
          <w:rStyle w:val="Rimandonotadichiusura"/>
          <w:rFonts w:cs="Arial"/>
          <w:szCs w:val="18"/>
          <w:vertAlign w:val="baseline"/>
          <w:lang w:val="en-US"/>
        </w:rPr>
        <w:t xml:space="preserve"> 126534.</w:t>
      </w:r>
      <w:r w:rsidRPr="00C33594">
        <w:rPr>
          <w:rFonts w:cs="Arial"/>
          <w:szCs w:val="18"/>
          <w:lang w:val="en-US"/>
        </w:rPr>
        <w:t xml:space="preserve"> </w:t>
      </w:r>
    </w:p>
    <w:p w14:paraId="5111E845" w14:textId="543DF689" w:rsidR="00C4198A" w:rsidRPr="00C33594" w:rsidRDefault="00C4198A" w:rsidP="00C4198A">
      <w:pPr>
        <w:pStyle w:val="CETReferencetext"/>
        <w:rPr>
          <w:rFonts w:cs="Arial"/>
          <w:szCs w:val="18"/>
          <w:lang w:val="en-US"/>
        </w:rPr>
      </w:pPr>
      <w:r w:rsidRPr="00C33594">
        <w:rPr>
          <w:rFonts w:cs="Arial"/>
          <w:szCs w:val="18"/>
          <w:lang w:val="en-US"/>
        </w:rPr>
        <w:t>Liu H., Li X., Dai Q., Zhao H., Chai G., Guo Y., Guo Y., Wang L., Zhan W., 2021</w:t>
      </w:r>
      <w:r w:rsidR="00CA7F6D" w:rsidRPr="00C33594">
        <w:rPr>
          <w:rFonts w:cs="Arial"/>
          <w:szCs w:val="18"/>
          <w:lang w:val="en-US"/>
        </w:rPr>
        <w:t>a</w:t>
      </w:r>
      <w:r w:rsidRPr="00C33594">
        <w:rPr>
          <w:rFonts w:cs="Arial"/>
          <w:szCs w:val="18"/>
          <w:lang w:val="en-US"/>
        </w:rPr>
        <w:t>, Catalytic oxidation of chlorinated volatile organic compounds over Mn-</w:t>
      </w:r>
      <w:proofErr w:type="spellStart"/>
      <w:r w:rsidRPr="00C33594">
        <w:rPr>
          <w:rFonts w:cs="Arial"/>
          <w:szCs w:val="18"/>
          <w:lang w:val="en-US"/>
        </w:rPr>
        <w:t>Ti</w:t>
      </w:r>
      <w:proofErr w:type="spellEnd"/>
      <w:r w:rsidRPr="00C33594">
        <w:rPr>
          <w:rFonts w:cs="Arial"/>
          <w:szCs w:val="18"/>
          <w:lang w:val="en-US"/>
        </w:rPr>
        <w:t xml:space="preserve"> composite oxides catalysts: Elucidating the influence of surface acidity, Applied Catalysis B: Environmental, 282, 119577. </w:t>
      </w:r>
    </w:p>
    <w:p w14:paraId="3708839F" w14:textId="6827BBA3" w:rsidR="00C4198A" w:rsidRPr="00C33594" w:rsidRDefault="00C4198A" w:rsidP="00C4198A">
      <w:pPr>
        <w:pStyle w:val="CETReferencetext"/>
        <w:rPr>
          <w:rFonts w:cs="Arial"/>
          <w:szCs w:val="18"/>
          <w:lang w:val="en-US"/>
        </w:rPr>
      </w:pPr>
      <w:r w:rsidRPr="00C33594">
        <w:rPr>
          <w:rFonts w:cs="Arial"/>
          <w:szCs w:val="18"/>
          <w:lang w:val="en-US"/>
        </w:rPr>
        <w:t>Liu H., Shen K., Zhao H., Jiang Y., Guo Y., Guo Y., Wang L., Zhan W., 2021</w:t>
      </w:r>
      <w:r w:rsidR="00CA7F6D" w:rsidRPr="00C33594">
        <w:rPr>
          <w:rFonts w:cs="Arial"/>
          <w:szCs w:val="18"/>
          <w:lang w:val="en-US"/>
        </w:rPr>
        <w:t>b</w:t>
      </w:r>
      <w:r w:rsidRPr="00C33594">
        <w:rPr>
          <w:rFonts w:cs="Arial"/>
          <w:szCs w:val="18"/>
          <w:lang w:val="en-US"/>
        </w:rPr>
        <w:t>, A new strategy to improve catalytic activity for chlorinated volatile organic compounds oxidation over cobalt oxide: Introduction of strontium carbonate, Journal of the Indian Chemical Society, 98, 100116.</w:t>
      </w:r>
    </w:p>
    <w:p w14:paraId="232BE966" w14:textId="5DA149C0" w:rsidR="00C4198A" w:rsidRDefault="00C4198A" w:rsidP="00C4198A">
      <w:pPr>
        <w:pStyle w:val="CETReferencetext"/>
        <w:rPr>
          <w:rFonts w:cs="Arial"/>
          <w:szCs w:val="18"/>
          <w:lang w:val="en-US"/>
        </w:rPr>
      </w:pPr>
      <w:r w:rsidRPr="00C33594">
        <w:rPr>
          <w:rFonts w:cs="Arial"/>
          <w:szCs w:val="18"/>
          <w:lang w:val="en-US"/>
        </w:rPr>
        <w:t>Zhang L., Huang S., Deng W., Yang D., Tang Q., Zhu S., Guo L., 2021, Dichloromethane catalytic combustion over Co</w:t>
      </w:r>
      <w:r w:rsidRPr="00C33594">
        <w:rPr>
          <w:rFonts w:cs="Arial"/>
          <w:szCs w:val="18"/>
          <w:vertAlign w:val="subscript"/>
          <w:lang w:val="en-US"/>
        </w:rPr>
        <w:t>3</w:t>
      </w:r>
      <w:r w:rsidRPr="00C33594">
        <w:rPr>
          <w:rFonts w:cs="Arial"/>
          <w:szCs w:val="18"/>
          <w:lang w:val="en-US"/>
        </w:rPr>
        <w:t>O</w:t>
      </w:r>
      <w:r w:rsidRPr="00C33594">
        <w:rPr>
          <w:rFonts w:cs="Arial"/>
          <w:szCs w:val="18"/>
          <w:vertAlign w:val="subscript"/>
          <w:lang w:val="en-US"/>
        </w:rPr>
        <w:t>4</w:t>
      </w:r>
      <w:r w:rsidRPr="00C33594">
        <w:rPr>
          <w:rFonts w:cs="Arial"/>
          <w:szCs w:val="18"/>
          <w:lang w:val="en-US"/>
        </w:rPr>
        <w:t xml:space="preserve"> catalysts supported on MFI type zeolites, Microporous and Mesoporous Materials, 312, 110599.</w:t>
      </w:r>
    </w:p>
    <w:p w14:paraId="0F973EBE" w14:textId="384EB965" w:rsidR="00C86459" w:rsidRDefault="00C86459" w:rsidP="00C4198A">
      <w:pPr>
        <w:pStyle w:val="CETReferencetext"/>
        <w:rPr>
          <w:rFonts w:cs="Arial"/>
          <w:szCs w:val="18"/>
          <w:lang w:val="en-US"/>
        </w:rPr>
      </w:pPr>
      <w:bookmarkStart w:id="0" w:name="_GoBack"/>
      <w:bookmarkEnd w:id="0"/>
    </w:p>
    <w:sectPr w:rsidR="00C8645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1D070" w14:textId="77777777" w:rsidR="00B74FDF" w:rsidRDefault="00B74FDF" w:rsidP="004F5E36">
      <w:r>
        <w:separator/>
      </w:r>
    </w:p>
  </w:endnote>
  <w:endnote w:type="continuationSeparator" w:id="0">
    <w:p w14:paraId="17191DC7" w14:textId="77777777" w:rsidR="00B74FDF" w:rsidRDefault="00B74FD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AD2A8" w14:textId="77777777" w:rsidR="00B74FDF" w:rsidRDefault="00B74FDF" w:rsidP="004F5E36">
      <w:r>
        <w:separator/>
      </w:r>
    </w:p>
  </w:footnote>
  <w:footnote w:type="continuationSeparator" w:id="0">
    <w:p w14:paraId="27B3742C" w14:textId="77777777" w:rsidR="00B74FDF" w:rsidRDefault="00B74FD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3DB5CFF"/>
    <w:multiLevelType w:val="hybridMultilevel"/>
    <w:tmpl w:val="88EEB97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64"/>
    <w:rsid w:val="000117CB"/>
    <w:rsid w:val="000126C9"/>
    <w:rsid w:val="0003148D"/>
    <w:rsid w:val="00031EEC"/>
    <w:rsid w:val="00032A1D"/>
    <w:rsid w:val="00046D89"/>
    <w:rsid w:val="00051566"/>
    <w:rsid w:val="000562A9"/>
    <w:rsid w:val="00062A9A"/>
    <w:rsid w:val="00065058"/>
    <w:rsid w:val="000676B5"/>
    <w:rsid w:val="00084D4C"/>
    <w:rsid w:val="00086C39"/>
    <w:rsid w:val="00094E27"/>
    <w:rsid w:val="00096C70"/>
    <w:rsid w:val="000A03B2"/>
    <w:rsid w:val="000A1BFA"/>
    <w:rsid w:val="000A64FE"/>
    <w:rsid w:val="000B00C7"/>
    <w:rsid w:val="000D0268"/>
    <w:rsid w:val="000D34BE"/>
    <w:rsid w:val="000E102F"/>
    <w:rsid w:val="000E36F1"/>
    <w:rsid w:val="000E3A73"/>
    <w:rsid w:val="000E414A"/>
    <w:rsid w:val="000F093C"/>
    <w:rsid w:val="000F0CD1"/>
    <w:rsid w:val="000F787B"/>
    <w:rsid w:val="0010016F"/>
    <w:rsid w:val="00107853"/>
    <w:rsid w:val="0012091F"/>
    <w:rsid w:val="00126BC2"/>
    <w:rsid w:val="001308B6"/>
    <w:rsid w:val="0013121F"/>
    <w:rsid w:val="00131F63"/>
    <w:rsid w:val="00131FE6"/>
    <w:rsid w:val="0013263F"/>
    <w:rsid w:val="001331DF"/>
    <w:rsid w:val="00134DE4"/>
    <w:rsid w:val="0014034D"/>
    <w:rsid w:val="00140FEF"/>
    <w:rsid w:val="00144D16"/>
    <w:rsid w:val="001508F1"/>
    <w:rsid w:val="00150E59"/>
    <w:rsid w:val="00152A0F"/>
    <w:rsid w:val="00152DE3"/>
    <w:rsid w:val="00163732"/>
    <w:rsid w:val="00164CF9"/>
    <w:rsid w:val="001667A6"/>
    <w:rsid w:val="0017125F"/>
    <w:rsid w:val="001777A5"/>
    <w:rsid w:val="001804C2"/>
    <w:rsid w:val="00181449"/>
    <w:rsid w:val="00183C4E"/>
    <w:rsid w:val="00183E76"/>
    <w:rsid w:val="00184AD6"/>
    <w:rsid w:val="00193365"/>
    <w:rsid w:val="001A0601"/>
    <w:rsid w:val="001A4AF7"/>
    <w:rsid w:val="001B0349"/>
    <w:rsid w:val="001B1E93"/>
    <w:rsid w:val="001B65C1"/>
    <w:rsid w:val="001C6172"/>
    <w:rsid w:val="001C684B"/>
    <w:rsid w:val="001C7391"/>
    <w:rsid w:val="001C7A38"/>
    <w:rsid w:val="001D0CFB"/>
    <w:rsid w:val="001D0E16"/>
    <w:rsid w:val="001D21AF"/>
    <w:rsid w:val="001D53FC"/>
    <w:rsid w:val="001F2F11"/>
    <w:rsid w:val="001F42A5"/>
    <w:rsid w:val="001F572E"/>
    <w:rsid w:val="001F7B9D"/>
    <w:rsid w:val="00201C93"/>
    <w:rsid w:val="00202CA6"/>
    <w:rsid w:val="00210436"/>
    <w:rsid w:val="002128F1"/>
    <w:rsid w:val="002224B4"/>
    <w:rsid w:val="002340C0"/>
    <w:rsid w:val="00234B85"/>
    <w:rsid w:val="00237F7B"/>
    <w:rsid w:val="002447EF"/>
    <w:rsid w:val="00251550"/>
    <w:rsid w:val="00255CD2"/>
    <w:rsid w:val="00257008"/>
    <w:rsid w:val="00263B05"/>
    <w:rsid w:val="0027221A"/>
    <w:rsid w:val="00272AD4"/>
    <w:rsid w:val="00275B61"/>
    <w:rsid w:val="00276963"/>
    <w:rsid w:val="00280FAF"/>
    <w:rsid w:val="00282656"/>
    <w:rsid w:val="00296B83"/>
    <w:rsid w:val="002A4776"/>
    <w:rsid w:val="002B264F"/>
    <w:rsid w:val="002B4015"/>
    <w:rsid w:val="002B6A48"/>
    <w:rsid w:val="002B78CE"/>
    <w:rsid w:val="002C2FB6"/>
    <w:rsid w:val="002C5517"/>
    <w:rsid w:val="002C5F33"/>
    <w:rsid w:val="002D1E6D"/>
    <w:rsid w:val="002D7476"/>
    <w:rsid w:val="002E5351"/>
    <w:rsid w:val="002E5FA7"/>
    <w:rsid w:val="002F3309"/>
    <w:rsid w:val="003008CE"/>
    <w:rsid w:val="003009B7"/>
    <w:rsid w:val="00300E56"/>
    <w:rsid w:val="0030152C"/>
    <w:rsid w:val="0030469C"/>
    <w:rsid w:val="00306CCA"/>
    <w:rsid w:val="00310A38"/>
    <w:rsid w:val="00316EBD"/>
    <w:rsid w:val="00321CA6"/>
    <w:rsid w:val="00323763"/>
    <w:rsid w:val="00323C5F"/>
    <w:rsid w:val="00325A54"/>
    <w:rsid w:val="00325BBC"/>
    <w:rsid w:val="00330B81"/>
    <w:rsid w:val="00334C09"/>
    <w:rsid w:val="003352D8"/>
    <w:rsid w:val="00336CF4"/>
    <w:rsid w:val="00340092"/>
    <w:rsid w:val="00342447"/>
    <w:rsid w:val="00352581"/>
    <w:rsid w:val="00361689"/>
    <w:rsid w:val="0036190C"/>
    <w:rsid w:val="00362FA4"/>
    <w:rsid w:val="003723D4"/>
    <w:rsid w:val="00381905"/>
    <w:rsid w:val="00384CC8"/>
    <w:rsid w:val="003871FD"/>
    <w:rsid w:val="00397633"/>
    <w:rsid w:val="003A1E30"/>
    <w:rsid w:val="003A2829"/>
    <w:rsid w:val="003A7D1C"/>
    <w:rsid w:val="003B304B"/>
    <w:rsid w:val="003B3146"/>
    <w:rsid w:val="003C5E3B"/>
    <w:rsid w:val="003E7195"/>
    <w:rsid w:val="003F015E"/>
    <w:rsid w:val="003F7214"/>
    <w:rsid w:val="0040005A"/>
    <w:rsid w:val="00400414"/>
    <w:rsid w:val="00412B95"/>
    <w:rsid w:val="0041446B"/>
    <w:rsid w:val="00426423"/>
    <w:rsid w:val="00427128"/>
    <w:rsid w:val="00437D2A"/>
    <w:rsid w:val="0044071E"/>
    <w:rsid w:val="0044186B"/>
    <w:rsid w:val="0044329C"/>
    <w:rsid w:val="0045042C"/>
    <w:rsid w:val="00453E24"/>
    <w:rsid w:val="00457456"/>
    <w:rsid w:val="004577FE"/>
    <w:rsid w:val="00457B9C"/>
    <w:rsid w:val="0046164A"/>
    <w:rsid w:val="004628D2"/>
    <w:rsid w:val="00462DCD"/>
    <w:rsid w:val="004648AD"/>
    <w:rsid w:val="004703A9"/>
    <w:rsid w:val="004760DE"/>
    <w:rsid w:val="004763D7"/>
    <w:rsid w:val="00477E80"/>
    <w:rsid w:val="00481419"/>
    <w:rsid w:val="004A004E"/>
    <w:rsid w:val="004A24CF"/>
    <w:rsid w:val="004C216C"/>
    <w:rsid w:val="004C216D"/>
    <w:rsid w:val="004C3D1D"/>
    <w:rsid w:val="004C3D84"/>
    <w:rsid w:val="004C6E7E"/>
    <w:rsid w:val="004C7913"/>
    <w:rsid w:val="004D44F0"/>
    <w:rsid w:val="004E09D8"/>
    <w:rsid w:val="004E4DD6"/>
    <w:rsid w:val="004E65E4"/>
    <w:rsid w:val="004F2FC6"/>
    <w:rsid w:val="004F5E36"/>
    <w:rsid w:val="00507B47"/>
    <w:rsid w:val="00507BEF"/>
    <w:rsid w:val="00507CC9"/>
    <w:rsid w:val="005119A5"/>
    <w:rsid w:val="00522350"/>
    <w:rsid w:val="005278B7"/>
    <w:rsid w:val="005300CC"/>
    <w:rsid w:val="00532016"/>
    <w:rsid w:val="005346C8"/>
    <w:rsid w:val="0054198D"/>
    <w:rsid w:val="00543E7D"/>
    <w:rsid w:val="00545841"/>
    <w:rsid w:val="00547A68"/>
    <w:rsid w:val="005531C9"/>
    <w:rsid w:val="00566D37"/>
    <w:rsid w:val="00570C43"/>
    <w:rsid w:val="005755ED"/>
    <w:rsid w:val="0057613F"/>
    <w:rsid w:val="005A6AE9"/>
    <w:rsid w:val="005B2110"/>
    <w:rsid w:val="005B341D"/>
    <w:rsid w:val="005B61E6"/>
    <w:rsid w:val="005C77E1"/>
    <w:rsid w:val="005D0E86"/>
    <w:rsid w:val="005D668A"/>
    <w:rsid w:val="005D698A"/>
    <w:rsid w:val="005D6A2F"/>
    <w:rsid w:val="005E1A82"/>
    <w:rsid w:val="005E794C"/>
    <w:rsid w:val="005F0A28"/>
    <w:rsid w:val="005F0E5E"/>
    <w:rsid w:val="00600535"/>
    <w:rsid w:val="00605C06"/>
    <w:rsid w:val="00610CD6"/>
    <w:rsid w:val="00612E00"/>
    <w:rsid w:val="00620DEE"/>
    <w:rsid w:val="00621198"/>
    <w:rsid w:val="00621F92"/>
    <w:rsid w:val="0062280A"/>
    <w:rsid w:val="00625639"/>
    <w:rsid w:val="00631B33"/>
    <w:rsid w:val="006344B1"/>
    <w:rsid w:val="0064184D"/>
    <w:rsid w:val="006422CC"/>
    <w:rsid w:val="00660E3E"/>
    <w:rsid w:val="00662E74"/>
    <w:rsid w:val="006640F0"/>
    <w:rsid w:val="00675453"/>
    <w:rsid w:val="00677118"/>
    <w:rsid w:val="00680C23"/>
    <w:rsid w:val="0068347A"/>
    <w:rsid w:val="0068773D"/>
    <w:rsid w:val="006913BF"/>
    <w:rsid w:val="00692A6C"/>
    <w:rsid w:val="00693766"/>
    <w:rsid w:val="006A3281"/>
    <w:rsid w:val="006B4888"/>
    <w:rsid w:val="006C151F"/>
    <w:rsid w:val="006C2E45"/>
    <w:rsid w:val="006C359C"/>
    <w:rsid w:val="006C5579"/>
    <w:rsid w:val="006D6E8B"/>
    <w:rsid w:val="006E4DC1"/>
    <w:rsid w:val="006E6AC2"/>
    <w:rsid w:val="006E737D"/>
    <w:rsid w:val="006F5853"/>
    <w:rsid w:val="006F61C8"/>
    <w:rsid w:val="00703008"/>
    <w:rsid w:val="00713973"/>
    <w:rsid w:val="00714774"/>
    <w:rsid w:val="00720A24"/>
    <w:rsid w:val="007232F1"/>
    <w:rsid w:val="00730290"/>
    <w:rsid w:val="0073103A"/>
    <w:rsid w:val="00732386"/>
    <w:rsid w:val="0073514D"/>
    <w:rsid w:val="0073593A"/>
    <w:rsid w:val="00736372"/>
    <w:rsid w:val="00737C6F"/>
    <w:rsid w:val="007447F3"/>
    <w:rsid w:val="007510A1"/>
    <w:rsid w:val="00751BDD"/>
    <w:rsid w:val="0075499F"/>
    <w:rsid w:val="007661C8"/>
    <w:rsid w:val="00766BFA"/>
    <w:rsid w:val="0077098D"/>
    <w:rsid w:val="007722ED"/>
    <w:rsid w:val="007809B2"/>
    <w:rsid w:val="00782819"/>
    <w:rsid w:val="007931FA"/>
    <w:rsid w:val="007A4861"/>
    <w:rsid w:val="007A5EFE"/>
    <w:rsid w:val="007A7BBA"/>
    <w:rsid w:val="007B0C50"/>
    <w:rsid w:val="007B2F75"/>
    <w:rsid w:val="007B48F9"/>
    <w:rsid w:val="007C1A43"/>
    <w:rsid w:val="007D0951"/>
    <w:rsid w:val="007E03FE"/>
    <w:rsid w:val="007E3D8B"/>
    <w:rsid w:val="007E4800"/>
    <w:rsid w:val="007E496F"/>
    <w:rsid w:val="0080013E"/>
    <w:rsid w:val="00803BBE"/>
    <w:rsid w:val="00811319"/>
    <w:rsid w:val="00813288"/>
    <w:rsid w:val="008168FC"/>
    <w:rsid w:val="00821438"/>
    <w:rsid w:val="00830996"/>
    <w:rsid w:val="008345F1"/>
    <w:rsid w:val="00841D64"/>
    <w:rsid w:val="00865B07"/>
    <w:rsid w:val="008667EA"/>
    <w:rsid w:val="008707AA"/>
    <w:rsid w:val="00874842"/>
    <w:rsid w:val="00874DA7"/>
    <w:rsid w:val="0087637F"/>
    <w:rsid w:val="00880F2D"/>
    <w:rsid w:val="00886E7A"/>
    <w:rsid w:val="00892AD5"/>
    <w:rsid w:val="00893B47"/>
    <w:rsid w:val="008A0905"/>
    <w:rsid w:val="008A1512"/>
    <w:rsid w:val="008D32B9"/>
    <w:rsid w:val="008D433B"/>
    <w:rsid w:val="008D4A16"/>
    <w:rsid w:val="008D7F6B"/>
    <w:rsid w:val="008E2EA0"/>
    <w:rsid w:val="008E566E"/>
    <w:rsid w:val="008F294B"/>
    <w:rsid w:val="008F3D38"/>
    <w:rsid w:val="0090110C"/>
    <w:rsid w:val="0090161A"/>
    <w:rsid w:val="00901EB6"/>
    <w:rsid w:val="00904C62"/>
    <w:rsid w:val="00921B4D"/>
    <w:rsid w:val="00922BA8"/>
    <w:rsid w:val="00924DAC"/>
    <w:rsid w:val="00925F9C"/>
    <w:rsid w:val="009266C5"/>
    <w:rsid w:val="00927058"/>
    <w:rsid w:val="00942750"/>
    <w:rsid w:val="009434D4"/>
    <w:rsid w:val="009450CE"/>
    <w:rsid w:val="009459BB"/>
    <w:rsid w:val="00947179"/>
    <w:rsid w:val="0095164B"/>
    <w:rsid w:val="00954090"/>
    <w:rsid w:val="00955307"/>
    <w:rsid w:val="009573E7"/>
    <w:rsid w:val="00963E05"/>
    <w:rsid w:val="00964A45"/>
    <w:rsid w:val="00967843"/>
    <w:rsid w:val="00967D54"/>
    <w:rsid w:val="00971028"/>
    <w:rsid w:val="00972BDB"/>
    <w:rsid w:val="00983032"/>
    <w:rsid w:val="00992251"/>
    <w:rsid w:val="00993B84"/>
    <w:rsid w:val="00994AA9"/>
    <w:rsid w:val="00996483"/>
    <w:rsid w:val="00996F5A"/>
    <w:rsid w:val="009B041A"/>
    <w:rsid w:val="009B3A4E"/>
    <w:rsid w:val="009C37C3"/>
    <w:rsid w:val="009C7C86"/>
    <w:rsid w:val="009D2107"/>
    <w:rsid w:val="009D23C6"/>
    <w:rsid w:val="009D2FF7"/>
    <w:rsid w:val="009D4517"/>
    <w:rsid w:val="009E11DC"/>
    <w:rsid w:val="009E38E0"/>
    <w:rsid w:val="009E4307"/>
    <w:rsid w:val="009E63A2"/>
    <w:rsid w:val="009E7884"/>
    <w:rsid w:val="009E788A"/>
    <w:rsid w:val="009F0E08"/>
    <w:rsid w:val="009F470D"/>
    <w:rsid w:val="00A05E67"/>
    <w:rsid w:val="00A11AF1"/>
    <w:rsid w:val="00A1763D"/>
    <w:rsid w:val="00A17CEC"/>
    <w:rsid w:val="00A2220E"/>
    <w:rsid w:val="00A27EF0"/>
    <w:rsid w:val="00A32F26"/>
    <w:rsid w:val="00A42361"/>
    <w:rsid w:val="00A50B20"/>
    <w:rsid w:val="00A51390"/>
    <w:rsid w:val="00A60D13"/>
    <w:rsid w:val="00A70340"/>
    <w:rsid w:val="00A706F2"/>
    <w:rsid w:val="00A7223D"/>
    <w:rsid w:val="00A72745"/>
    <w:rsid w:val="00A76A93"/>
    <w:rsid w:val="00A76EFC"/>
    <w:rsid w:val="00A77CB0"/>
    <w:rsid w:val="00A87D50"/>
    <w:rsid w:val="00A87F69"/>
    <w:rsid w:val="00A91010"/>
    <w:rsid w:val="00A94447"/>
    <w:rsid w:val="00A97F29"/>
    <w:rsid w:val="00AA200A"/>
    <w:rsid w:val="00AA702E"/>
    <w:rsid w:val="00AA7A34"/>
    <w:rsid w:val="00AA7D26"/>
    <w:rsid w:val="00AB0964"/>
    <w:rsid w:val="00AB5011"/>
    <w:rsid w:val="00AB50C9"/>
    <w:rsid w:val="00AB74F4"/>
    <w:rsid w:val="00AC4D2B"/>
    <w:rsid w:val="00AC7368"/>
    <w:rsid w:val="00AC7E9A"/>
    <w:rsid w:val="00AD16B9"/>
    <w:rsid w:val="00AE377D"/>
    <w:rsid w:val="00AE3890"/>
    <w:rsid w:val="00AE43FE"/>
    <w:rsid w:val="00AE6B70"/>
    <w:rsid w:val="00AF0791"/>
    <w:rsid w:val="00AF0EBA"/>
    <w:rsid w:val="00B02374"/>
    <w:rsid w:val="00B02C8A"/>
    <w:rsid w:val="00B1373A"/>
    <w:rsid w:val="00B17FBD"/>
    <w:rsid w:val="00B307D9"/>
    <w:rsid w:val="00B30895"/>
    <w:rsid w:val="00B315A6"/>
    <w:rsid w:val="00B31813"/>
    <w:rsid w:val="00B33365"/>
    <w:rsid w:val="00B36381"/>
    <w:rsid w:val="00B46B6B"/>
    <w:rsid w:val="00B57B36"/>
    <w:rsid w:val="00B57E6F"/>
    <w:rsid w:val="00B6192F"/>
    <w:rsid w:val="00B67FCC"/>
    <w:rsid w:val="00B74FDF"/>
    <w:rsid w:val="00B77B86"/>
    <w:rsid w:val="00B80ECD"/>
    <w:rsid w:val="00B8489E"/>
    <w:rsid w:val="00B85C1D"/>
    <w:rsid w:val="00B8686D"/>
    <w:rsid w:val="00B93F69"/>
    <w:rsid w:val="00B977E1"/>
    <w:rsid w:val="00BA215D"/>
    <w:rsid w:val="00BA7ADF"/>
    <w:rsid w:val="00BB1DDC"/>
    <w:rsid w:val="00BB3170"/>
    <w:rsid w:val="00BC30C9"/>
    <w:rsid w:val="00BC7286"/>
    <w:rsid w:val="00BD077D"/>
    <w:rsid w:val="00BD5CDC"/>
    <w:rsid w:val="00BD71CC"/>
    <w:rsid w:val="00BE3E58"/>
    <w:rsid w:val="00BF689A"/>
    <w:rsid w:val="00C01616"/>
    <w:rsid w:val="00C0162B"/>
    <w:rsid w:val="00C05C3E"/>
    <w:rsid w:val="00C068ED"/>
    <w:rsid w:val="00C22E0C"/>
    <w:rsid w:val="00C26BF5"/>
    <w:rsid w:val="00C33594"/>
    <w:rsid w:val="00C345B1"/>
    <w:rsid w:val="00C40142"/>
    <w:rsid w:val="00C4120A"/>
    <w:rsid w:val="00C4198A"/>
    <w:rsid w:val="00C52C3C"/>
    <w:rsid w:val="00C566E7"/>
    <w:rsid w:val="00C57182"/>
    <w:rsid w:val="00C57863"/>
    <w:rsid w:val="00C640AF"/>
    <w:rsid w:val="00C655FD"/>
    <w:rsid w:val="00C738C2"/>
    <w:rsid w:val="00C75407"/>
    <w:rsid w:val="00C86459"/>
    <w:rsid w:val="00C870A8"/>
    <w:rsid w:val="00C90F60"/>
    <w:rsid w:val="00C94434"/>
    <w:rsid w:val="00CA0D75"/>
    <w:rsid w:val="00CA1C95"/>
    <w:rsid w:val="00CA5A9C"/>
    <w:rsid w:val="00CA7F6D"/>
    <w:rsid w:val="00CA7F7F"/>
    <w:rsid w:val="00CB67D9"/>
    <w:rsid w:val="00CC4C20"/>
    <w:rsid w:val="00CC5C64"/>
    <w:rsid w:val="00CD020B"/>
    <w:rsid w:val="00CD3517"/>
    <w:rsid w:val="00CD5FE2"/>
    <w:rsid w:val="00CD6757"/>
    <w:rsid w:val="00CE2371"/>
    <w:rsid w:val="00CE7C68"/>
    <w:rsid w:val="00CF5D75"/>
    <w:rsid w:val="00D02B4C"/>
    <w:rsid w:val="00D040C4"/>
    <w:rsid w:val="00D15826"/>
    <w:rsid w:val="00D20AD1"/>
    <w:rsid w:val="00D216C4"/>
    <w:rsid w:val="00D363BD"/>
    <w:rsid w:val="00D413D6"/>
    <w:rsid w:val="00D4454D"/>
    <w:rsid w:val="00D4599F"/>
    <w:rsid w:val="00D46B7E"/>
    <w:rsid w:val="00D50195"/>
    <w:rsid w:val="00D535D3"/>
    <w:rsid w:val="00D54017"/>
    <w:rsid w:val="00D57BC3"/>
    <w:rsid w:val="00D57C84"/>
    <w:rsid w:val="00D6057D"/>
    <w:rsid w:val="00D61576"/>
    <w:rsid w:val="00D71341"/>
    <w:rsid w:val="00D71640"/>
    <w:rsid w:val="00D75D4E"/>
    <w:rsid w:val="00D836C5"/>
    <w:rsid w:val="00D84576"/>
    <w:rsid w:val="00D87EDF"/>
    <w:rsid w:val="00D94D97"/>
    <w:rsid w:val="00DA1399"/>
    <w:rsid w:val="00DA24C6"/>
    <w:rsid w:val="00DA4D7B"/>
    <w:rsid w:val="00DB7D87"/>
    <w:rsid w:val="00DC2552"/>
    <w:rsid w:val="00DC5FB9"/>
    <w:rsid w:val="00DD271C"/>
    <w:rsid w:val="00DE264A"/>
    <w:rsid w:val="00DF5072"/>
    <w:rsid w:val="00E02D18"/>
    <w:rsid w:val="00E041E7"/>
    <w:rsid w:val="00E053AC"/>
    <w:rsid w:val="00E15A47"/>
    <w:rsid w:val="00E162E7"/>
    <w:rsid w:val="00E1791A"/>
    <w:rsid w:val="00E20279"/>
    <w:rsid w:val="00E23CA1"/>
    <w:rsid w:val="00E35A31"/>
    <w:rsid w:val="00E4071C"/>
    <w:rsid w:val="00E409A8"/>
    <w:rsid w:val="00E50C12"/>
    <w:rsid w:val="00E54F77"/>
    <w:rsid w:val="00E57363"/>
    <w:rsid w:val="00E65B91"/>
    <w:rsid w:val="00E7209D"/>
    <w:rsid w:val="00E72EAD"/>
    <w:rsid w:val="00E77223"/>
    <w:rsid w:val="00E8528B"/>
    <w:rsid w:val="00E85B94"/>
    <w:rsid w:val="00E90C24"/>
    <w:rsid w:val="00E968E7"/>
    <w:rsid w:val="00E9690F"/>
    <w:rsid w:val="00E978D0"/>
    <w:rsid w:val="00EA4613"/>
    <w:rsid w:val="00EA5099"/>
    <w:rsid w:val="00EA7786"/>
    <w:rsid w:val="00EA7932"/>
    <w:rsid w:val="00EA7F91"/>
    <w:rsid w:val="00EB1523"/>
    <w:rsid w:val="00EC0E49"/>
    <w:rsid w:val="00EC101F"/>
    <w:rsid w:val="00EC1D9F"/>
    <w:rsid w:val="00ED3F45"/>
    <w:rsid w:val="00ED4276"/>
    <w:rsid w:val="00ED7C2B"/>
    <w:rsid w:val="00EE0131"/>
    <w:rsid w:val="00EE02AD"/>
    <w:rsid w:val="00EE17B0"/>
    <w:rsid w:val="00EF06D9"/>
    <w:rsid w:val="00F04AC8"/>
    <w:rsid w:val="00F3049E"/>
    <w:rsid w:val="00F30C64"/>
    <w:rsid w:val="00F32BA2"/>
    <w:rsid w:val="00F32CDB"/>
    <w:rsid w:val="00F44505"/>
    <w:rsid w:val="00F44D86"/>
    <w:rsid w:val="00F565FE"/>
    <w:rsid w:val="00F63A70"/>
    <w:rsid w:val="00F63D8C"/>
    <w:rsid w:val="00F65B80"/>
    <w:rsid w:val="00F678A4"/>
    <w:rsid w:val="00F7534E"/>
    <w:rsid w:val="00F83BC2"/>
    <w:rsid w:val="00F93EDF"/>
    <w:rsid w:val="00F961CE"/>
    <w:rsid w:val="00FA1802"/>
    <w:rsid w:val="00FA21D0"/>
    <w:rsid w:val="00FA5F5F"/>
    <w:rsid w:val="00FB0493"/>
    <w:rsid w:val="00FB19FA"/>
    <w:rsid w:val="00FB730C"/>
    <w:rsid w:val="00FC2292"/>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Mencinsinresolver1">
    <w:name w:val="Mención sin resolver1"/>
    <w:basedOn w:val="Carpredefinitoparagrafo"/>
    <w:uiPriority w:val="99"/>
    <w:semiHidden/>
    <w:unhideWhenUsed/>
    <w:rsid w:val="008F294B"/>
    <w:rPr>
      <w:color w:val="605E5C"/>
      <w:shd w:val="clear" w:color="auto" w:fill="E1DFDD"/>
    </w:rPr>
  </w:style>
  <w:style w:type="character" w:styleId="Testosegnaposto">
    <w:name w:val="Placeholder Text"/>
    <w:basedOn w:val="Carpredefinitoparagrafo"/>
    <w:uiPriority w:val="99"/>
    <w:semiHidden/>
    <w:rsid w:val="00A05E67"/>
    <w:rPr>
      <w:color w:val="808080"/>
    </w:rPr>
  </w:style>
  <w:style w:type="character" w:styleId="Rimandonotadichiusura">
    <w:name w:val="endnote reference"/>
    <w:basedOn w:val="Carpredefinitoparagrafo"/>
    <w:uiPriority w:val="99"/>
    <w:semiHidden/>
    <w:unhideWhenUsed/>
    <w:rsid w:val="00C4198A"/>
    <w:rPr>
      <w:vertAlign w:val="superscript"/>
    </w:rPr>
  </w:style>
  <w:style w:type="paragraph" w:styleId="Nessunaspaziatura">
    <w:name w:val="No Spacing"/>
    <w:uiPriority w:val="1"/>
    <w:qFormat/>
    <w:rsid w:val="00C4198A"/>
    <w:pPr>
      <w:tabs>
        <w:tab w:val="right" w:pos="7100"/>
      </w:tabs>
      <w:spacing w:after="0" w:line="240" w:lineRule="auto"/>
      <w:jc w:val="both"/>
    </w:pPr>
    <w:rPr>
      <w:rFonts w:ascii="Arial" w:eastAsia="Times New Roman" w:hAnsi="Arial" w:cs="Times New Roman"/>
      <w:sz w:val="18"/>
      <w:szCs w:val="20"/>
      <w:lang w:val="en-GB"/>
    </w:rPr>
  </w:style>
  <w:style w:type="paragraph" w:styleId="Revisione">
    <w:name w:val="Revision"/>
    <w:hidden/>
    <w:uiPriority w:val="99"/>
    <w:semiHidden/>
    <w:rsid w:val="002D7476"/>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47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maya.gil@ehu.eu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33720-E4B5-4263-9ECF-C04C29DC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3419</Words>
  <Characters>19490</Characters>
  <Application>Microsoft Office Word</Application>
  <DocSecurity>0</DocSecurity>
  <Lines>162</Lines>
  <Paragraphs>45</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15</cp:revision>
  <cp:lastPrinted>2015-05-12T18:31:00Z</cp:lastPrinted>
  <dcterms:created xsi:type="dcterms:W3CDTF">2023-03-15T08:29:00Z</dcterms:created>
  <dcterms:modified xsi:type="dcterms:W3CDTF">2023-05-04T13:04:00Z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