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6091561"/>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4788EB7" w:rsidR="00E978D0" w:rsidRPr="00B57B36" w:rsidRDefault="00433092" w:rsidP="00E978D0">
      <w:pPr>
        <w:pStyle w:val="CETTitle"/>
      </w:pPr>
      <w:r>
        <w:t>Power-to-methanol process plant performances under uncertainty : economic and environmental criticalities</w:t>
      </w:r>
    </w:p>
    <w:p w14:paraId="0488FED2" w14:textId="4988B3BD" w:rsidR="00B57E6F" w:rsidRPr="00E639AE" w:rsidRDefault="00433092" w:rsidP="00B57E6F">
      <w:pPr>
        <w:pStyle w:val="CETAuthors"/>
        <w:rPr>
          <w:lang w:val="it-IT"/>
        </w:rPr>
      </w:pPr>
      <w:r w:rsidRPr="00E639AE">
        <w:rPr>
          <w:lang w:val="it-IT"/>
        </w:rPr>
        <w:t>Alessandro Di Pretoro</w:t>
      </w:r>
      <w:r w:rsidRPr="00E639AE">
        <w:rPr>
          <w:vertAlign w:val="superscript"/>
          <w:lang w:val="it-IT"/>
        </w:rPr>
        <w:t>a</w:t>
      </w:r>
      <w:r w:rsidR="00B57E6F" w:rsidRPr="00E639AE">
        <w:rPr>
          <w:vertAlign w:val="superscript"/>
          <w:lang w:val="it-IT"/>
        </w:rPr>
        <w:t>,</w:t>
      </w:r>
      <w:r w:rsidR="00B57E6F" w:rsidRPr="00E639AE">
        <w:rPr>
          <w:lang w:val="it-IT"/>
        </w:rPr>
        <w:t xml:space="preserve">*, </w:t>
      </w:r>
      <w:r w:rsidR="00E93B92" w:rsidRPr="00E639AE">
        <w:rPr>
          <w:lang w:val="it-IT"/>
        </w:rPr>
        <w:t>Antonio Silvetti</w:t>
      </w:r>
      <w:r w:rsidR="00E93B92" w:rsidRPr="00E639AE">
        <w:rPr>
          <w:vertAlign w:val="superscript"/>
          <w:lang w:val="it-IT"/>
        </w:rPr>
        <w:t>b</w:t>
      </w:r>
      <w:r w:rsidR="00E93B92" w:rsidRPr="00E639AE">
        <w:rPr>
          <w:lang w:val="it-IT"/>
        </w:rPr>
        <w:t>, Maria</w:t>
      </w:r>
      <w:r w:rsidR="00E639AE" w:rsidRPr="00E639AE">
        <w:rPr>
          <w:lang w:val="it-IT"/>
        </w:rPr>
        <w:t xml:space="preserve"> </w:t>
      </w:r>
      <w:r w:rsidR="00E639AE">
        <w:rPr>
          <w:lang w:val="it-IT"/>
        </w:rPr>
        <w:t>C</w:t>
      </w:r>
      <w:r w:rsidR="00E93B92" w:rsidRPr="00E639AE">
        <w:rPr>
          <w:lang w:val="it-IT"/>
        </w:rPr>
        <w:t>ristina Annesini</w:t>
      </w:r>
      <w:r w:rsidR="00E93B92" w:rsidRPr="00E639AE">
        <w:rPr>
          <w:vertAlign w:val="superscript"/>
          <w:lang w:val="it-IT"/>
        </w:rPr>
        <w:t>b</w:t>
      </w:r>
    </w:p>
    <w:p w14:paraId="69038423" w14:textId="2464825B" w:rsidR="00433092" w:rsidRPr="007A3F1C" w:rsidRDefault="00433092" w:rsidP="00433092">
      <w:pPr>
        <w:pStyle w:val="CETAddress"/>
        <w:rPr>
          <w:lang w:val="fr-FR"/>
        </w:rPr>
      </w:pPr>
      <w:r w:rsidRPr="007A3F1C">
        <w:rPr>
          <w:vertAlign w:val="superscript"/>
          <w:lang w:val="fr-FR"/>
        </w:rPr>
        <w:t>a</w:t>
      </w:r>
      <w:r w:rsidR="007A3F1C" w:rsidRPr="0091592E">
        <w:rPr>
          <w:lang w:val="fr-FR"/>
        </w:rPr>
        <w:t>Laboratoire de Génie Chimique, Université de Toulouse, CNRS/INP/UPS, Toulouse, France</w:t>
      </w:r>
    </w:p>
    <w:p w14:paraId="6B2D21B3" w14:textId="2165CCF4" w:rsidR="00B57E6F" w:rsidRPr="00B57B36" w:rsidRDefault="00433092" w:rsidP="00B57E6F">
      <w:pPr>
        <w:pStyle w:val="CETAddress"/>
      </w:pPr>
      <w:r>
        <w:rPr>
          <w:vertAlign w:val="superscript"/>
        </w:rPr>
        <w:t>b</w:t>
      </w:r>
      <w:r w:rsidRPr="00433092">
        <w:t>Department of Chemical Engineering, Materials &amp; Environment, University of Rome “La Sapienza”, Via Eudossiana 18, 00184 Roma, Italy</w:t>
      </w:r>
      <w:r w:rsidR="00B57E6F" w:rsidRPr="00B57B36">
        <w:t xml:space="preserve"> </w:t>
      </w:r>
    </w:p>
    <w:p w14:paraId="73F1267A" w14:textId="4029D875" w:rsidR="00B57E6F" w:rsidRPr="00433092" w:rsidRDefault="00000000" w:rsidP="00B57E6F">
      <w:pPr>
        <w:pStyle w:val="CETemail"/>
      </w:pPr>
      <w:hyperlink r:id="rId10" w:history="1">
        <w:r w:rsidR="00433092" w:rsidRPr="00433092">
          <w:rPr>
            <w:rStyle w:val="Collegamentoipertestuale"/>
          </w:rPr>
          <w:t>alessandro.dipretoro@ensiacet.fr</w:t>
        </w:r>
      </w:hyperlink>
      <w:r w:rsidR="00433092" w:rsidRPr="00433092">
        <w:t xml:space="preserve"> </w:t>
      </w:r>
    </w:p>
    <w:p w14:paraId="6893AF25" w14:textId="2F8E634D" w:rsidR="00E93B92" w:rsidRPr="00EF06D9" w:rsidRDefault="00E93B92" w:rsidP="00E93B92">
      <w:pPr>
        <w:pStyle w:val="CETBodytext"/>
        <w:rPr>
          <w:b/>
        </w:rPr>
      </w:pPr>
      <w:r w:rsidRPr="00E93B92">
        <w:rPr>
          <w:lang w:val="en-GB"/>
        </w:rPr>
        <w:t>The main goal of the current chemical and energy industry is to define innovative solutions and methodologies to meet the UE target concerning CO</w:t>
      </w:r>
      <w:r w:rsidRPr="00E639AE">
        <w:rPr>
          <w:vertAlign w:val="subscript"/>
          <w:lang w:val="en-GB"/>
        </w:rPr>
        <w:t>2</w:t>
      </w:r>
      <w:r w:rsidRPr="00E93B92">
        <w:rPr>
          <w:lang w:val="en-GB"/>
        </w:rPr>
        <w:t xml:space="preserve"> net zero emissions for 2050</w:t>
      </w:r>
      <w:r w:rsidR="009C4E2B" w:rsidRPr="009C4E2B">
        <w:rPr>
          <w:lang w:val="en-GB"/>
        </w:rPr>
        <w:t xml:space="preserve"> </w:t>
      </w:r>
      <w:r w:rsidR="009C4E2B">
        <w:rPr>
          <w:lang w:val="en-GB"/>
        </w:rPr>
        <w:t>or even negative in a long term perspective</w:t>
      </w:r>
      <w:r w:rsidRPr="00E93B92">
        <w:rPr>
          <w:lang w:val="en-GB"/>
        </w:rPr>
        <w:t xml:space="preserve">. In order to achieve this goal, </w:t>
      </w:r>
      <w:r w:rsidR="00295C51">
        <w:rPr>
          <w:lang w:val="en-GB"/>
        </w:rPr>
        <w:t xml:space="preserve">during the last years </w:t>
      </w:r>
      <w:r w:rsidRPr="00E93B92">
        <w:rPr>
          <w:lang w:val="en-GB"/>
        </w:rPr>
        <w:t>the combined he</w:t>
      </w:r>
      <w:r w:rsidR="00295C51">
        <w:rPr>
          <w:lang w:val="en-GB"/>
        </w:rPr>
        <w:t xml:space="preserve">at </w:t>
      </w:r>
      <w:r w:rsidRPr="00E93B92">
        <w:rPr>
          <w:lang w:val="en-GB"/>
        </w:rPr>
        <w:t>power and chemical</w:t>
      </w:r>
      <w:r w:rsidR="00295C51">
        <w:rPr>
          <w:lang w:val="en-GB"/>
        </w:rPr>
        <w:t xml:space="preserve"> </w:t>
      </w:r>
      <w:r w:rsidRPr="00E93B92">
        <w:rPr>
          <w:lang w:val="en-GB"/>
        </w:rPr>
        <w:t>(HPC) generation in chemical processes</w:t>
      </w:r>
      <w:r w:rsidR="00295C51">
        <w:rPr>
          <w:lang w:val="en-GB"/>
        </w:rPr>
        <w:t xml:space="preserve"> </w:t>
      </w:r>
      <w:r w:rsidRPr="00E93B92">
        <w:rPr>
          <w:lang w:val="en-GB"/>
        </w:rPr>
        <w:t>proved to be rather effective. However, although the use of renewables and bio</w:t>
      </w:r>
      <w:r w:rsidR="00295C51">
        <w:rPr>
          <w:lang w:val="en-GB"/>
        </w:rPr>
        <w:t>-</w:t>
      </w:r>
      <w:r w:rsidRPr="00E93B92">
        <w:rPr>
          <w:lang w:val="en-GB"/>
        </w:rPr>
        <w:t xml:space="preserve">based materials allows to considerably reduce the </w:t>
      </w:r>
      <w:r w:rsidR="00295C51">
        <w:rPr>
          <w:lang w:val="en-GB"/>
        </w:rPr>
        <w:t xml:space="preserve">processes </w:t>
      </w:r>
      <w:r w:rsidRPr="00E93B92">
        <w:rPr>
          <w:lang w:val="en-GB"/>
        </w:rPr>
        <w:t xml:space="preserve">environmental impact, their nature is characterized by uncertainties </w:t>
      </w:r>
      <w:r w:rsidR="00295C51">
        <w:rPr>
          <w:lang w:val="en-GB"/>
        </w:rPr>
        <w:t xml:space="preserve">both </w:t>
      </w:r>
      <w:r w:rsidRPr="00E93B92">
        <w:rPr>
          <w:lang w:val="en-GB"/>
        </w:rPr>
        <w:t>in terms of availability and properties over the years seasons. In case these upstream deviations become relevant, the energy required to mitigate the disturbances should still be drawn by the electricity grid. In most of the countries, the electricity immitted in the grid is seldom obtained by renewable energy source</w:t>
      </w:r>
      <w:r w:rsidR="00295C51">
        <w:rPr>
          <w:lang w:val="en-GB"/>
        </w:rPr>
        <w:t>s</w:t>
      </w:r>
      <w:r w:rsidRPr="00E93B92">
        <w:rPr>
          <w:lang w:val="en-GB"/>
        </w:rPr>
        <w:t xml:space="preserve"> since it has the purpose to be stable and constantly available within a certain demand range. As a consequence, the process, whose </w:t>
      </w:r>
      <w:r w:rsidR="00295C51">
        <w:rPr>
          <w:lang w:val="en-GB"/>
        </w:rPr>
        <w:t>initial</w:t>
      </w:r>
      <w:r w:rsidRPr="00E93B92">
        <w:rPr>
          <w:lang w:val="en-GB"/>
        </w:rPr>
        <w:t xml:space="preserve"> purpose was to consume CO</w:t>
      </w:r>
      <w:r w:rsidRPr="00E639AE">
        <w:rPr>
          <w:vertAlign w:val="subscript"/>
          <w:lang w:val="en-GB"/>
        </w:rPr>
        <w:t>2</w:t>
      </w:r>
      <w:r w:rsidRPr="00E93B92">
        <w:rPr>
          <w:lang w:val="en-GB"/>
        </w:rPr>
        <w:t>, is actually a positive emission system due to the energy consumption aimed at compensating perturbations.</w:t>
      </w:r>
      <w:r w:rsidR="00D137D6">
        <w:rPr>
          <w:lang w:val="en-GB"/>
        </w:rPr>
        <w:t xml:space="preserve"> </w:t>
      </w:r>
      <w:r w:rsidRPr="00E93B92">
        <w:rPr>
          <w:lang w:val="en-GB"/>
        </w:rPr>
        <w:t>In the light of these premises, in this research work the analysis of a power-to-methanol process under uncertainty is carried out according to the flexibility indexes based methodology proposed by Di Pretoro et al</w:t>
      </w:r>
      <w:r w:rsidR="00294A50">
        <w:rPr>
          <w:lang w:val="en-GB"/>
        </w:rPr>
        <w:t>.</w:t>
      </w:r>
      <w:r w:rsidR="00F47E61">
        <w:rPr>
          <w:lang w:val="en-GB"/>
        </w:rPr>
        <w:t xml:space="preserve"> (2019)</w:t>
      </w:r>
      <w:r w:rsidRPr="00E93B92">
        <w:rPr>
          <w:lang w:val="en-GB"/>
        </w:rPr>
        <w:t>. The system is composed by an electrolysis section aimed at the production of green hydrogen and a cogeneration power plant fed by biomasses that provides CO</w:t>
      </w:r>
      <w:r w:rsidRPr="00E639AE">
        <w:rPr>
          <w:vertAlign w:val="subscript"/>
          <w:lang w:val="en-GB"/>
        </w:rPr>
        <w:t>2</w:t>
      </w:r>
      <w:r w:rsidRPr="00E93B92">
        <w:rPr>
          <w:lang w:val="en-GB"/>
        </w:rPr>
        <w:t xml:space="preserve"> for the methanol synthesis. Based on the characterization of the uncertainty related to the variable biomass nature over the year seasons and to renewable energy availability, this particular approach allows to quantify the system performances </w:t>
      </w:r>
      <w:r w:rsidR="00295C51">
        <w:rPr>
          <w:lang w:val="en-GB"/>
        </w:rPr>
        <w:t>under</w:t>
      </w:r>
      <w:r w:rsidRPr="00E93B92">
        <w:rPr>
          <w:lang w:val="en-GB"/>
        </w:rPr>
        <w:t xml:space="preserve"> of external perturbation in terms of costs and emissions for a given methanol demand. The obtained results provide a quantitative analysis of the power-to-methanol process behaviour and permits to synthesize the system flexibility by means of a single index and to correlate it with investment and operating costs as well as with the Greenhouse Warming Potential. This methodology enables then the decision maker to have more conscious expectations about the designed plant and could be used in further studies to adapt the system design to the expected deviation in order to have a more flexible process.</w:t>
      </w:r>
      <w:bookmarkStart w:id="1" w:name="_Hlk495475023"/>
    </w:p>
    <w:bookmarkEnd w:id="1"/>
    <w:p w14:paraId="476B2F2E" w14:textId="580EB2E7" w:rsidR="00600535" w:rsidRPr="00B57B36" w:rsidRDefault="00E93B92" w:rsidP="00600535">
      <w:pPr>
        <w:pStyle w:val="CETHeading1"/>
        <w:rPr>
          <w:lang w:val="en-GB"/>
        </w:rPr>
      </w:pPr>
      <w:r>
        <w:rPr>
          <w:lang w:val="en-GB"/>
        </w:rPr>
        <w:t>In</w:t>
      </w:r>
      <w:r w:rsidR="00600535" w:rsidRPr="00B57B36">
        <w:rPr>
          <w:lang w:val="en-GB"/>
        </w:rPr>
        <w:t>troduction</w:t>
      </w:r>
    </w:p>
    <w:p w14:paraId="17ABD883" w14:textId="3D63A053" w:rsidR="005C1107" w:rsidRDefault="007B73E8" w:rsidP="00600535">
      <w:pPr>
        <w:pStyle w:val="CETBodytext"/>
        <w:rPr>
          <w:lang w:val="en-GB"/>
        </w:rPr>
      </w:pPr>
      <w:r>
        <w:rPr>
          <w:lang w:val="en-GB"/>
        </w:rPr>
        <w:t xml:space="preserve">Nowadays, </w:t>
      </w:r>
      <w:r w:rsidR="009C4E2B">
        <w:rPr>
          <w:lang w:val="en-GB"/>
        </w:rPr>
        <w:t xml:space="preserve">one of the major </w:t>
      </w:r>
      <w:r>
        <w:rPr>
          <w:lang w:val="en-GB"/>
        </w:rPr>
        <w:t>issue</w:t>
      </w:r>
      <w:r w:rsidR="009C4E2B">
        <w:rPr>
          <w:lang w:val="en-GB"/>
        </w:rPr>
        <w:t>s</w:t>
      </w:r>
      <w:r>
        <w:rPr>
          <w:lang w:val="en-GB"/>
        </w:rPr>
        <w:t xml:space="preserve"> of the European Union is carbon neutrality.</w:t>
      </w:r>
      <w:r w:rsidR="008E52B0">
        <w:rPr>
          <w:lang w:val="en-GB"/>
        </w:rPr>
        <w:t xml:space="preserve"> For </w:t>
      </w:r>
      <w:r w:rsidR="009C4E2B">
        <w:rPr>
          <w:lang w:val="en-GB"/>
        </w:rPr>
        <w:t>t</w:t>
      </w:r>
      <w:r w:rsidR="008E52B0">
        <w:rPr>
          <w:lang w:val="en-GB"/>
        </w:rPr>
        <w:t xml:space="preserve">his purpose, a set of actions </w:t>
      </w:r>
      <w:r w:rsidR="009C4E2B">
        <w:rPr>
          <w:lang w:val="en-GB"/>
        </w:rPr>
        <w:t>concerning</w:t>
      </w:r>
      <w:r w:rsidR="008E52B0">
        <w:rPr>
          <w:lang w:val="en-GB"/>
        </w:rPr>
        <w:t xml:space="preserve"> transportation, energy, environment and industrial policies have been taken in order to reduce the </w:t>
      </w:r>
      <w:r w:rsidR="008F69A1">
        <w:rPr>
          <w:lang w:val="en-GB"/>
        </w:rPr>
        <w:t>equivalent CO</w:t>
      </w:r>
      <w:r w:rsidR="008F69A1" w:rsidRPr="008F69A1">
        <w:rPr>
          <w:vertAlign w:val="subscript"/>
          <w:lang w:val="en-GB"/>
        </w:rPr>
        <w:t>2</w:t>
      </w:r>
      <w:r w:rsidR="008F69A1">
        <w:rPr>
          <w:lang w:val="en-GB"/>
        </w:rPr>
        <w:t xml:space="preserve"> emissions by 55%</w:t>
      </w:r>
      <w:r w:rsidR="003153D8">
        <w:rPr>
          <w:lang w:val="en-GB"/>
        </w:rPr>
        <w:t xml:space="preserve"> (European Council, 2019)</w:t>
      </w:r>
      <w:r w:rsidR="008F69A1">
        <w:rPr>
          <w:lang w:val="en-GB"/>
        </w:rPr>
        <w:t xml:space="preserve">. In order to enhance the energy transition, major modifications </w:t>
      </w:r>
      <w:r w:rsidR="009C4E2B">
        <w:rPr>
          <w:lang w:val="en-GB"/>
        </w:rPr>
        <w:t>from multiple p</w:t>
      </w:r>
      <w:r w:rsidR="008F69A1">
        <w:rPr>
          <w:lang w:val="en-GB"/>
        </w:rPr>
        <w:t>erspective</w:t>
      </w:r>
      <w:r w:rsidR="009C4E2B">
        <w:rPr>
          <w:lang w:val="en-GB"/>
        </w:rPr>
        <w:t>s</w:t>
      </w:r>
      <w:r w:rsidR="008F69A1">
        <w:rPr>
          <w:lang w:val="en-GB"/>
        </w:rPr>
        <w:t xml:space="preserve"> are required. A first approach is based on the </w:t>
      </w:r>
      <w:r w:rsidR="009C4E2B">
        <w:rPr>
          <w:lang w:val="en-GB"/>
        </w:rPr>
        <w:t xml:space="preserve">captured </w:t>
      </w:r>
      <w:r w:rsidR="008F69A1">
        <w:rPr>
          <w:lang w:val="en-GB"/>
        </w:rPr>
        <w:t>CO</w:t>
      </w:r>
      <w:r w:rsidR="008F69A1" w:rsidRPr="008F69A1">
        <w:rPr>
          <w:vertAlign w:val="subscript"/>
          <w:lang w:val="en-GB"/>
        </w:rPr>
        <w:t>2</w:t>
      </w:r>
      <w:r w:rsidR="009C4E2B">
        <w:rPr>
          <w:lang w:val="en-GB"/>
        </w:rPr>
        <w:t xml:space="preserve"> reuse</w:t>
      </w:r>
      <w:r w:rsidR="008F69A1">
        <w:rPr>
          <w:lang w:val="en-GB"/>
        </w:rPr>
        <w:t xml:space="preserve"> as </w:t>
      </w:r>
      <w:r w:rsidR="009C4E2B">
        <w:rPr>
          <w:lang w:val="en-GB"/>
        </w:rPr>
        <w:t xml:space="preserve">an </w:t>
      </w:r>
      <w:r w:rsidR="008F69A1">
        <w:rPr>
          <w:lang w:val="en-GB"/>
        </w:rPr>
        <w:t xml:space="preserve">exploitable raw material to produce </w:t>
      </w:r>
      <w:r w:rsidR="009C4E2B">
        <w:rPr>
          <w:lang w:val="en-GB"/>
        </w:rPr>
        <w:t xml:space="preserve">higher added value </w:t>
      </w:r>
      <w:r w:rsidR="008F69A1">
        <w:rPr>
          <w:lang w:val="en-GB"/>
        </w:rPr>
        <w:t xml:space="preserve">molecules for the market. This strategy </w:t>
      </w:r>
      <w:r w:rsidR="002C42F2">
        <w:rPr>
          <w:lang w:val="en-GB"/>
        </w:rPr>
        <w:t>allows both to reduce emissions and to take advantage from a molecule that is usually considered as a waste product.</w:t>
      </w:r>
      <w:r w:rsidR="00344EAA">
        <w:rPr>
          <w:lang w:val="en-GB"/>
        </w:rPr>
        <w:t xml:space="preserve"> </w:t>
      </w:r>
      <w:r w:rsidR="002C42F2">
        <w:rPr>
          <w:lang w:val="en-GB"/>
        </w:rPr>
        <w:t xml:space="preserve">A </w:t>
      </w:r>
      <w:r w:rsidR="005C1107">
        <w:rPr>
          <w:lang w:val="en-GB"/>
        </w:rPr>
        <w:t>second</w:t>
      </w:r>
      <w:r w:rsidR="002C42F2">
        <w:rPr>
          <w:lang w:val="en-GB"/>
        </w:rPr>
        <w:t xml:space="preserve"> option is to employ sustainable raw materials, such as biomasses, as feedstock for chemical processes that are usually fed by oil derived chemicals</w:t>
      </w:r>
      <w:r w:rsidR="005C1107">
        <w:rPr>
          <w:lang w:val="en-GB"/>
        </w:rPr>
        <w:t xml:space="preserve"> since they are a natural storage of carbon based molecules.</w:t>
      </w:r>
      <w:r w:rsidR="004E7CEE">
        <w:rPr>
          <w:lang w:val="en-GB"/>
        </w:rPr>
        <w:t xml:space="preserve"> </w:t>
      </w:r>
      <w:r w:rsidR="005C1107">
        <w:rPr>
          <w:lang w:val="en-GB"/>
        </w:rPr>
        <w:t xml:space="preserve">Then, from the energy side, the use of renewables could have a considerable impact on the sustainability of both industrial processes and transportation emissions when dealing with E-fuels. Solar and wind power could be in fact exploited to provide the required duties in terms of heat and electricity to industrial processes and power plants that are conventionally fed by </w:t>
      </w:r>
      <w:r w:rsidR="009C4E2B">
        <w:rPr>
          <w:lang w:val="en-GB"/>
        </w:rPr>
        <w:t xml:space="preserve">energy deriving from </w:t>
      </w:r>
      <w:r w:rsidR="005C1107">
        <w:rPr>
          <w:lang w:val="en-GB"/>
        </w:rPr>
        <w:t xml:space="preserve">fossil fuels such as methane or oil combustion to provide thermal duties, </w:t>
      </w:r>
      <w:r w:rsidR="009C4E2B">
        <w:rPr>
          <w:lang w:val="en-GB"/>
        </w:rPr>
        <w:t xml:space="preserve">for the steam </w:t>
      </w:r>
      <w:r w:rsidR="005C1107">
        <w:rPr>
          <w:lang w:val="en-GB"/>
        </w:rPr>
        <w:t>generat</w:t>
      </w:r>
      <w:r w:rsidR="009C4E2B">
        <w:rPr>
          <w:lang w:val="en-GB"/>
        </w:rPr>
        <w:t>ion</w:t>
      </w:r>
      <w:r w:rsidR="005C1107">
        <w:rPr>
          <w:lang w:val="en-GB"/>
        </w:rPr>
        <w:t xml:space="preserve"> </w:t>
      </w:r>
      <w:r w:rsidR="009C4E2B">
        <w:rPr>
          <w:lang w:val="en-GB"/>
        </w:rPr>
        <w:t>in</w:t>
      </w:r>
      <w:r w:rsidR="005C1107">
        <w:rPr>
          <w:lang w:val="en-GB"/>
        </w:rPr>
        <w:t xml:space="preserve"> chemical plants or electricity to be sent to the power grid.</w:t>
      </w:r>
      <w:r w:rsidR="00344EAA">
        <w:rPr>
          <w:lang w:val="en-GB"/>
        </w:rPr>
        <w:t xml:space="preserve"> </w:t>
      </w:r>
      <w:r w:rsidR="005C1107">
        <w:rPr>
          <w:lang w:val="en-GB"/>
        </w:rPr>
        <w:t xml:space="preserve">In </w:t>
      </w:r>
      <w:r w:rsidR="005C1107">
        <w:rPr>
          <w:lang w:val="en-GB"/>
        </w:rPr>
        <w:lastRenderedPageBreak/>
        <w:t xml:space="preserve">this perspective, the most sustainable E-fuel is hydrogen and </w:t>
      </w:r>
      <w:r w:rsidR="009C4E2B">
        <w:rPr>
          <w:lang w:val="en-GB"/>
        </w:rPr>
        <w:t xml:space="preserve">electrolysis is </w:t>
      </w:r>
      <w:r w:rsidR="005C1107">
        <w:rPr>
          <w:lang w:val="en-GB"/>
        </w:rPr>
        <w:t xml:space="preserve">the greenest way to produce </w:t>
      </w:r>
      <w:r w:rsidR="009C4E2B">
        <w:rPr>
          <w:lang w:val="en-GB"/>
        </w:rPr>
        <w:t xml:space="preserve">it if </w:t>
      </w:r>
      <w:r w:rsidR="006203F2">
        <w:rPr>
          <w:lang w:val="en-GB"/>
        </w:rPr>
        <w:t xml:space="preserve">renewables </w:t>
      </w:r>
      <w:r w:rsidR="009C4E2B">
        <w:rPr>
          <w:lang w:val="en-GB"/>
        </w:rPr>
        <w:t xml:space="preserve">are used </w:t>
      </w:r>
      <w:r w:rsidR="006203F2">
        <w:rPr>
          <w:lang w:val="en-GB"/>
        </w:rPr>
        <w:t>as source of electricity. The main inconvenient of this approach comes from the economic side since electrolysers have non-negligible costs and the sustainability of a process is of a comparable importance with respect to its profitability.</w:t>
      </w:r>
    </w:p>
    <w:p w14:paraId="746730E2" w14:textId="1A712F55" w:rsidR="006203F2" w:rsidRDefault="003153D8" w:rsidP="00344EAA">
      <w:pPr>
        <w:pStyle w:val="CETBodytext"/>
      </w:pPr>
      <w:r>
        <w:rPr>
          <w:lang w:val="en-GB"/>
        </w:rPr>
        <w:t>Nevertheless</w:t>
      </w:r>
      <w:r w:rsidR="006203F2">
        <w:rPr>
          <w:lang w:val="en-GB"/>
        </w:rPr>
        <w:t>, even whether technologies are sufficiently developed to ensure affordable costs and emissions, there’s still one issue related to renewables concerning the</w:t>
      </w:r>
      <w:r w:rsidR="009C4E2B">
        <w:rPr>
          <w:lang w:val="en-GB"/>
        </w:rPr>
        <w:t>ir</w:t>
      </w:r>
      <w:r w:rsidR="006203F2">
        <w:rPr>
          <w:lang w:val="en-GB"/>
        </w:rPr>
        <w:t xml:space="preserve"> difficult</w:t>
      </w:r>
      <w:r w:rsidR="009C4E2B">
        <w:rPr>
          <w:lang w:val="en-GB"/>
        </w:rPr>
        <w:t>y</w:t>
      </w:r>
      <w:r w:rsidR="006203F2">
        <w:rPr>
          <w:lang w:val="en-GB"/>
        </w:rPr>
        <w:t xml:space="preserve"> to be stored. </w:t>
      </w:r>
      <w:r w:rsidR="008F1944">
        <w:rPr>
          <w:lang w:val="en-GB"/>
        </w:rPr>
        <w:t xml:space="preserve">For this purpose, </w:t>
      </w:r>
      <w:r w:rsidR="009C4E2B">
        <w:rPr>
          <w:lang w:val="en-GB"/>
        </w:rPr>
        <w:t>a</w:t>
      </w:r>
      <w:r w:rsidR="008F1944">
        <w:rPr>
          <w:lang w:val="en-GB"/>
        </w:rPr>
        <w:t xml:space="preserve"> new approach of the energy industry is based on the exploitation of chemicals as energy storage. As already mentioned, hydrogen is one of the most</w:t>
      </w:r>
      <w:r w:rsidR="009C4E2B">
        <w:rPr>
          <w:lang w:val="en-GB"/>
        </w:rPr>
        <w:t xml:space="preserve"> valuable ones</w:t>
      </w:r>
      <w:r w:rsidR="008F1944">
        <w:rPr>
          <w:lang w:val="en-GB"/>
        </w:rPr>
        <w:t>. However, at standard conditions, hydrogen is a gas</w:t>
      </w:r>
      <w:r w:rsidR="00344EAA">
        <w:rPr>
          <w:lang w:val="en-GB"/>
        </w:rPr>
        <w:t xml:space="preserve"> and</w:t>
      </w:r>
      <w:r w:rsidR="008F1944">
        <w:rPr>
          <w:lang w:val="en-GB"/>
        </w:rPr>
        <w:t>, in order to have a relevant energy density</w:t>
      </w:r>
      <w:r w:rsidR="00344EAA">
        <w:rPr>
          <w:lang w:val="en-GB"/>
        </w:rPr>
        <w:t>,</w:t>
      </w:r>
      <w:r w:rsidR="008F1944">
        <w:rPr>
          <w:lang w:val="en-GB"/>
        </w:rPr>
        <w:t xml:space="preserve"> it needs to be compressed. </w:t>
      </w:r>
      <w:r w:rsidR="00344EAA">
        <w:rPr>
          <w:lang w:val="en-GB"/>
        </w:rPr>
        <w:t>Thus</w:t>
      </w:r>
      <w:r w:rsidR="008F1944">
        <w:rPr>
          <w:lang w:val="en-GB"/>
        </w:rPr>
        <w:t>, more practical options have been identified in chemicals such as methanol, ethanol or dimethyl ether. Among them</w:t>
      </w:r>
      <w:r w:rsidR="000A2EBD">
        <w:rPr>
          <w:lang w:val="en-GB"/>
        </w:rPr>
        <w:t xml:space="preserve">, methanol has seen </w:t>
      </w:r>
      <w:r w:rsidR="008F1944">
        <w:rPr>
          <w:lang w:val="en-GB"/>
        </w:rPr>
        <w:t xml:space="preserve">particular </w:t>
      </w:r>
      <w:r w:rsidR="000A2EBD">
        <w:rPr>
          <w:lang w:val="en-GB"/>
        </w:rPr>
        <w:t xml:space="preserve">attention as energy vector due both to its versatility as intermediate chemical and </w:t>
      </w:r>
      <w:r w:rsidR="00302D78">
        <w:rPr>
          <w:lang w:val="en-GB"/>
        </w:rPr>
        <w:t xml:space="preserve">to its possible reconversion into </w:t>
      </w:r>
      <w:r w:rsidR="008F1944">
        <w:rPr>
          <w:lang w:val="en-GB"/>
        </w:rPr>
        <w:t xml:space="preserve">a high value </w:t>
      </w:r>
      <w:r w:rsidR="00302D78">
        <w:rPr>
          <w:lang w:val="en-GB"/>
        </w:rPr>
        <w:t xml:space="preserve">energy </w:t>
      </w:r>
      <w:r w:rsidR="008F1944">
        <w:rPr>
          <w:lang w:val="en-GB"/>
        </w:rPr>
        <w:t>source as a fuel.</w:t>
      </w:r>
      <w:r w:rsidR="006A56D6">
        <w:rPr>
          <w:lang w:val="en-GB"/>
        </w:rPr>
        <w:t xml:space="preserve"> Nowadays, the power-to-methanol plant layout, better described in Section 2, is one of the most interesting design choice</w:t>
      </w:r>
      <w:r w:rsidR="00F47E61">
        <w:rPr>
          <w:lang w:val="en-GB"/>
        </w:rPr>
        <w:t>s</w:t>
      </w:r>
      <w:r w:rsidR="006A56D6">
        <w:rPr>
          <w:lang w:val="en-GB"/>
        </w:rPr>
        <w:t xml:space="preserve"> to couple chemical</w:t>
      </w:r>
      <w:r w:rsidR="00344EAA">
        <w:rPr>
          <w:lang w:val="en-GB"/>
        </w:rPr>
        <w:t>s</w:t>
      </w:r>
      <w:r w:rsidR="006A56D6">
        <w:rPr>
          <w:lang w:val="en-GB"/>
        </w:rPr>
        <w:t xml:space="preserve"> and energy according to the sustainability standards the </w:t>
      </w:r>
      <w:r w:rsidR="00344EAA">
        <w:rPr>
          <w:lang w:val="en-GB"/>
        </w:rPr>
        <w:t>EU</w:t>
      </w:r>
      <w:r w:rsidR="006A56D6">
        <w:rPr>
          <w:lang w:val="en-GB"/>
        </w:rPr>
        <w:t xml:space="preserve"> and the worldwide industrial sector aim at.</w:t>
      </w:r>
      <w:r w:rsidR="00344EAA">
        <w:rPr>
          <w:lang w:val="en-GB"/>
        </w:rPr>
        <w:t xml:space="preserve"> </w:t>
      </w:r>
      <w:r w:rsidR="006A56D6">
        <w:t xml:space="preserve">Anyways, being this configuration based on the exploitation of </w:t>
      </w:r>
      <w:r w:rsidR="009C4E2B">
        <w:t xml:space="preserve">both </w:t>
      </w:r>
      <w:r w:rsidR="006A56D6">
        <w:t>biomasses and renewable</w:t>
      </w:r>
      <w:r w:rsidR="00344EAA">
        <w:t>s</w:t>
      </w:r>
      <w:r w:rsidR="006A56D6">
        <w:t xml:space="preserve">, </w:t>
      </w:r>
      <w:r w:rsidR="00D63238">
        <w:t>the design under nominal operating conditions is not sufficient to assess the actual performances</w:t>
      </w:r>
      <w:r w:rsidR="00344EAA">
        <w:t>.</w:t>
      </w:r>
      <w:r w:rsidR="00D63238">
        <w:t xml:space="preserve"> Due to variability of both raw material</w:t>
      </w:r>
      <w:r w:rsidR="00344EAA">
        <w:t>s</w:t>
      </w:r>
      <w:r w:rsidR="00D63238">
        <w:t xml:space="preserve"> and the energy source, uncertainty needs to be taken into account in terms of productivity, economic as well as sustainability performances. That is why, we present a flexibility analysis </w:t>
      </w:r>
      <w:r w:rsidR="00344EAA">
        <w:t xml:space="preserve">for </w:t>
      </w:r>
      <w:r w:rsidR="00D63238">
        <w:t>a power-to-methanol</w:t>
      </w:r>
      <w:r w:rsidR="00344EAA" w:rsidRPr="00344EAA">
        <w:t xml:space="preserve"> </w:t>
      </w:r>
      <w:r w:rsidR="00344EAA">
        <w:t>simplified scheme</w:t>
      </w:r>
      <w:r w:rsidR="00D63238">
        <w:t xml:space="preserve"> case study to evaluate the impact of perturbations on the plant </w:t>
      </w:r>
      <w:proofErr w:type="spellStart"/>
      <w:r w:rsidR="00D63238">
        <w:t>behaviour</w:t>
      </w:r>
      <w:proofErr w:type="spellEnd"/>
      <w:r w:rsidR="00D63238">
        <w:t xml:space="preserve"> both from a qualitative and a quantitative point of view.</w:t>
      </w:r>
    </w:p>
    <w:p w14:paraId="571967BB" w14:textId="7EA5B795" w:rsidR="001939F7" w:rsidRDefault="001939F7" w:rsidP="001939F7">
      <w:pPr>
        <w:pStyle w:val="CETHeading1"/>
        <w:rPr>
          <w:lang w:val="en-GB"/>
        </w:rPr>
      </w:pPr>
      <w:r>
        <w:rPr>
          <w:lang w:val="en-GB"/>
        </w:rPr>
        <w:t>The “power-to-methanol” case study</w:t>
      </w:r>
    </w:p>
    <w:p w14:paraId="3680D8B3" w14:textId="758D7032" w:rsidR="008B1670" w:rsidRDefault="008B1670" w:rsidP="008B1670">
      <w:pPr>
        <w:pStyle w:val="CETBodytext"/>
        <w:rPr>
          <w:lang w:val="en-GB"/>
        </w:rPr>
      </w:pPr>
      <w:r>
        <w:rPr>
          <w:lang w:val="en-GB"/>
        </w:rPr>
        <w:t>The selected case study for this research is a power-to-methanol process plant whose simplified scheme is reported in Figure 1.</w:t>
      </w:r>
      <w:r w:rsidR="001D7656">
        <w:rPr>
          <w:lang w:val="en-GB"/>
        </w:rPr>
        <w:t xml:space="preserve"> In particular, the energy plant is fed by biomasses while the renewable energy section </w:t>
      </w:r>
      <w:proofErr w:type="spellStart"/>
      <w:r w:rsidR="00485420">
        <w:rPr>
          <w:lang w:val="en-GB"/>
        </w:rPr>
        <w:t>tha</w:t>
      </w:r>
      <w:proofErr w:type="spellEnd"/>
      <w:r w:rsidR="00485420">
        <w:rPr>
          <w:lang w:val="en-GB"/>
        </w:rPr>
        <w:t xml:space="preserve"> was </w:t>
      </w:r>
      <w:r w:rsidR="001D7656">
        <w:rPr>
          <w:lang w:val="en-GB"/>
        </w:rPr>
        <w:t xml:space="preserve">taken into account in this work </w:t>
      </w:r>
      <w:r w:rsidR="00485420">
        <w:rPr>
          <w:lang w:val="en-GB"/>
        </w:rPr>
        <w:t xml:space="preserve">only </w:t>
      </w:r>
      <w:r w:rsidR="001D7656">
        <w:rPr>
          <w:lang w:val="en-GB"/>
        </w:rPr>
        <w:t>concerns solar power.</w:t>
      </w:r>
      <w:r w:rsidR="00AE01A1">
        <w:rPr>
          <w:lang w:val="en-GB"/>
        </w:rPr>
        <w:t xml:space="preserve"> The </w:t>
      </w:r>
      <w:r w:rsidR="00485420">
        <w:rPr>
          <w:lang w:val="en-GB"/>
        </w:rPr>
        <w:t>case study</w:t>
      </w:r>
      <w:r w:rsidR="00AE01A1">
        <w:rPr>
          <w:lang w:val="en-GB"/>
        </w:rPr>
        <w:t xml:space="preserve"> plant is a 4MW power plant </w:t>
      </w:r>
      <w:r w:rsidR="00485420">
        <w:rPr>
          <w:lang w:val="en-GB"/>
        </w:rPr>
        <w:t xml:space="preserve">to design that would be </w:t>
      </w:r>
      <w:r w:rsidR="00AE01A1">
        <w:rPr>
          <w:lang w:val="en-GB"/>
        </w:rPr>
        <w:t xml:space="preserve">located in Lazio </w:t>
      </w:r>
      <w:r w:rsidR="00485420">
        <w:rPr>
          <w:lang w:val="en-GB"/>
        </w:rPr>
        <w:t xml:space="preserve">and </w:t>
      </w:r>
      <w:r w:rsidR="00AE01A1">
        <w:rPr>
          <w:lang w:val="en-GB"/>
        </w:rPr>
        <w:t>whose detailed properties in terms of process parameters and uncertain variables are better described in the following subsections.</w:t>
      </w:r>
    </w:p>
    <w:p w14:paraId="72E6C18C" w14:textId="2A794187" w:rsidR="008B1670" w:rsidRPr="00B57B36" w:rsidRDefault="00CC3E6C" w:rsidP="008B1670">
      <w:pPr>
        <w:pStyle w:val="CETCaption"/>
        <w:jc w:val="center"/>
      </w:pPr>
      <w:r>
        <w:rPr>
          <w:noProof/>
        </w:rPr>
        <w:drawing>
          <wp:inline distT="0" distB="0" distL="0" distR="0" wp14:anchorId="08D39869" wp14:editId="7B6E6D35">
            <wp:extent cx="5579487" cy="1997075"/>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a:stretch>
                      <a:fillRect/>
                    </a:stretch>
                  </pic:blipFill>
                  <pic:spPr>
                    <a:xfrm>
                      <a:off x="0" y="0"/>
                      <a:ext cx="5579487" cy="1997075"/>
                    </a:xfrm>
                    <a:prstGeom prst="rect">
                      <a:avLst/>
                    </a:prstGeom>
                  </pic:spPr>
                </pic:pic>
              </a:graphicData>
            </a:graphic>
          </wp:inline>
        </w:drawing>
      </w:r>
    </w:p>
    <w:p w14:paraId="6BB3FC66" w14:textId="409DD997" w:rsidR="008B1670" w:rsidRPr="008B1670" w:rsidRDefault="008B1670" w:rsidP="00B56462">
      <w:pPr>
        <w:pStyle w:val="CETCaption"/>
      </w:pPr>
      <w:r w:rsidRPr="00BD077D">
        <w:rPr>
          <w:rStyle w:val="CETCaptionCarattere"/>
          <w:i/>
        </w:rPr>
        <w:t xml:space="preserve">Figure 1: </w:t>
      </w:r>
      <w:r>
        <w:rPr>
          <w:rStyle w:val="CETCaptionCarattere"/>
          <w:i/>
        </w:rPr>
        <w:t>Power-to-methanol plant simplified scheme</w:t>
      </w:r>
    </w:p>
    <w:p w14:paraId="4301E34C" w14:textId="4AB7E7AD" w:rsidR="004C0EEE" w:rsidRDefault="004C0EEE" w:rsidP="004C0EEE">
      <w:pPr>
        <w:pStyle w:val="CETheadingx"/>
      </w:pPr>
      <w:r>
        <w:t>Process variables</w:t>
      </w:r>
    </w:p>
    <w:p w14:paraId="7298AA2C" w14:textId="61CD16ED" w:rsidR="004E7CEE" w:rsidRDefault="004C0EEE" w:rsidP="004E7CEE">
      <w:pPr>
        <w:pStyle w:val="CETBodytext"/>
      </w:pPr>
      <w:r>
        <w:t>The plant design is performed</w:t>
      </w:r>
      <w:r w:rsidR="00E36C64">
        <w:t xml:space="preserve"> with a </w:t>
      </w:r>
      <w:r>
        <w:t>two</w:t>
      </w:r>
      <w:r w:rsidR="00E36C64">
        <w:t>-</w:t>
      </w:r>
      <w:r>
        <w:t xml:space="preserve">step </w:t>
      </w:r>
      <w:r w:rsidR="00E36C64">
        <w:t>approach</w:t>
      </w:r>
      <w:r>
        <w:t xml:space="preserve">. The first </w:t>
      </w:r>
      <w:r w:rsidR="00E36C64">
        <w:t>phase</w:t>
      </w:r>
      <w:r>
        <w:t xml:space="preserve"> is </w:t>
      </w:r>
      <w:r w:rsidR="008B1670">
        <w:t>related to the energy section of the plant</w:t>
      </w:r>
      <w:r w:rsidR="00B56462">
        <w:t xml:space="preserve"> and both thermal and mass balances are performed </w:t>
      </w:r>
      <w:r w:rsidR="006A7914">
        <w:t xml:space="preserve">via </w:t>
      </w:r>
      <w:proofErr w:type="spellStart"/>
      <w:r w:rsidR="006A7914">
        <w:t>Matlab</w:t>
      </w:r>
      <w:proofErr w:type="spellEnd"/>
      <w:r w:rsidR="006A7914">
        <w:t xml:space="preserve"> calculations according to the selected process parameters that, for this case study, </w:t>
      </w:r>
      <w:r w:rsidR="00B56462">
        <w:t>are provided in Table 1.</w:t>
      </w:r>
      <w:r w:rsidR="006A7914">
        <w:t xml:space="preserve"> </w:t>
      </w:r>
      <w:r w:rsidR="004E7CEE">
        <w:t xml:space="preserve">Then, the reaction section is simulated by means of Pro II process simulator </w:t>
      </w:r>
      <w:r w:rsidR="00E36C64">
        <w:t xml:space="preserve">over a wide range of temperature and pressure </w:t>
      </w:r>
      <w:r w:rsidR="004E7CEE">
        <w:t xml:space="preserve">in order to </w:t>
      </w:r>
      <w:r w:rsidR="00E36C64">
        <w:t>detect</w:t>
      </w:r>
      <w:r w:rsidR="004E7CEE">
        <w:t xml:space="preserve"> the optimal </w:t>
      </w:r>
      <w:r w:rsidR="00E36C64">
        <w:t xml:space="preserve">reactor </w:t>
      </w:r>
      <w:r w:rsidR="004E7CEE">
        <w:t xml:space="preserve">operating conditions </w:t>
      </w:r>
      <w:r w:rsidR="001520BA">
        <w:t>in terms of</w:t>
      </w:r>
      <w:r w:rsidR="004E7CEE">
        <w:t xml:space="preserve"> conversion</w:t>
      </w:r>
      <w:r w:rsidR="001520BA">
        <w:t xml:space="preserve"> and the relative </w:t>
      </w:r>
      <w:r w:rsidR="004E7CEE">
        <w:t xml:space="preserve">methanol productivity as well as the required </w:t>
      </w:r>
      <w:r w:rsidR="00E36C64">
        <w:t xml:space="preserve">process </w:t>
      </w:r>
      <w:r w:rsidR="004E7CEE">
        <w:t xml:space="preserve">duties. In particular, after a preliminary thermodynamic analysis with the </w:t>
      </w:r>
      <w:r w:rsidR="00E36C64">
        <w:t>given feed</w:t>
      </w:r>
      <w:r w:rsidR="004E7CEE">
        <w:t xml:space="preserve"> hydrogen to carbon dioxide ratio, the selected temperature and pressure for this case study are 200 °C and 50 atm.</w:t>
      </w:r>
      <w:r w:rsidR="00E36C64">
        <w:t xml:space="preserve"> </w:t>
      </w:r>
      <w:r w:rsidR="004E7CEE">
        <w:t>At last, the net income concerning the net electricity power provided to the grid and the methanol productivity are calculated accounting for the specific cost values equal to 0.</w:t>
      </w:r>
      <w:r w:rsidR="00182F92">
        <w:t>172</w:t>
      </w:r>
      <w:r w:rsidR="004E7CEE">
        <w:t xml:space="preserve"> €/kWh </w:t>
      </w:r>
      <w:r w:rsidR="00C161A6">
        <w:t xml:space="preserve">(IEA, 2019) </w:t>
      </w:r>
      <w:r w:rsidR="004E7CEE">
        <w:t>and 0.</w:t>
      </w:r>
      <w:r w:rsidR="00C161A6">
        <w:t>306</w:t>
      </w:r>
      <w:r w:rsidR="004E7CEE">
        <w:t xml:space="preserve"> €/kg</w:t>
      </w:r>
      <w:r w:rsidR="00C161A6">
        <w:t xml:space="preserve"> (Methanol Institute, 2022) </w:t>
      </w:r>
      <w:r w:rsidR="004E7CEE">
        <w:t>respectively.</w:t>
      </w:r>
    </w:p>
    <w:p w14:paraId="2726CA0E" w14:textId="470E793C" w:rsidR="003800EB" w:rsidRPr="00B57B36" w:rsidRDefault="003800EB" w:rsidP="003800EB">
      <w:pPr>
        <w:pStyle w:val="CETTabletitle"/>
      </w:pPr>
      <w:r w:rsidRPr="00B57B36">
        <w:lastRenderedPageBreak/>
        <w:t xml:space="preserve">Table 1: </w:t>
      </w:r>
      <w:r>
        <w:t>Process</w:t>
      </w:r>
      <w:r w:rsidR="003C6D90">
        <w:t xml:space="preserve"> </w:t>
      </w:r>
      <w:r w:rsidR="006075AE">
        <w:t xml:space="preserve">and uncertain* </w:t>
      </w:r>
      <w:r>
        <w:t>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36"/>
        <w:gridCol w:w="908"/>
        <w:gridCol w:w="836"/>
        <w:gridCol w:w="892"/>
        <w:gridCol w:w="1108"/>
        <w:gridCol w:w="1093"/>
        <w:gridCol w:w="1093"/>
      </w:tblGrid>
      <w:tr w:rsidR="006075AE" w:rsidRPr="00B57B36" w14:paraId="17B9E6DF" w14:textId="70F2F1BB" w:rsidTr="006075AE">
        <w:tc>
          <w:tcPr>
            <w:tcW w:w="2636" w:type="dxa"/>
            <w:tcBorders>
              <w:top w:val="single" w:sz="12" w:space="0" w:color="008000"/>
              <w:bottom w:val="single" w:sz="6" w:space="0" w:color="008000"/>
            </w:tcBorders>
            <w:shd w:val="clear" w:color="auto" w:fill="FFFFFF"/>
          </w:tcPr>
          <w:p w14:paraId="162242F2" w14:textId="6D46A1D8" w:rsidR="006075AE" w:rsidRPr="00B57B36" w:rsidRDefault="006075AE" w:rsidP="00A84F63">
            <w:pPr>
              <w:pStyle w:val="CETBodytext"/>
              <w:rPr>
                <w:lang w:val="en-GB"/>
              </w:rPr>
            </w:pPr>
            <w:r>
              <w:rPr>
                <w:lang w:val="en-GB"/>
              </w:rPr>
              <w:t>Variable</w:t>
            </w:r>
          </w:p>
        </w:tc>
        <w:tc>
          <w:tcPr>
            <w:tcW w:w="908" w:type="dxa"/>
            <w:tcBorders>
              <w:top w:val="single" w:sz="12" w:space="0" w:color="008000"/>
              <w:bottom w:val="single" w:sz="6" w:space="0" w:color="008000"/>
            </w:tcBorders>
            <w:shd w:val="clear" w:color="auto" w:fill="FFFFFF"/>
          </w:tcPr>
          <w:p w14:paraId="3B6EF8CF" w14:textId="36409BEB" w:rsidR="006075AE" w:rsidRPr="00B57B36" w:rsidRDefault="006075AE" w:rsidP="00A84F63">
            <w:pPr>
              <w:pStyle w:val="CETBodytext"/>
              <w:rPr>
                <w:lang w:val="en-GB"/>
              </w:rPr>
            </w:pPr>
            <w:r>
              <w:rPr>
                <w:lang w:val="en-GB"/>
              </w:rPr>
              <w:t>Symbol</w:t>
            </w:r>
          </w:p>
        </w:tc>
        <w:tc>
          <w:tcPr>
            <w:tcW w:w="836" w:type="dxa"/>
            <w:tcBorders>
              <w:top w:val="single" w:sz="12" w:space="0" w:color="008000"/>
              <w:bottom w:val="single" w:sz="6" w:space="0" w:color="008000"/>
            </w:tcBorders>
            <w:shd w:val="clear" w:color="auto" w:fill="FFFFFF"/>
          </w:tcPr>
          <w:p w14:paraId="2B4BEE33" w14:textId="786CB709" w:rsidR="006075AE" w:rsidRPr="00B57B36" w:rsidRDefault="006075AE" w:rsidP="00A84F63">
            <w:pPr>
              <w:pStyle w:val="CETBodytext"/>
              <w:rPr>
                <w:lang w:val="en-GB"/>
              </w:rPr>
            </w:pPr>
            <w:r>
              <w:rPr>
                <w:lang w:val="en-GB"/>
              </w:rPr>
              <w:t>Value</w:t>
            </w:r>
          </w:p>
        </w:tc>
        <w:tc>
          <w:tcPr>
            <w:tcW w:w="892" w:type="dxa"/>
            <w:tcBorders>
              <w:top w:val="single" w:sz="12" w:space="0" w:color="008000"/>
              <w:bottom w:val="single" w:sz="6" w:space="0" w:color="008000"/>
            </w:tcBorders>
            <w:shd w:val="clear" w:color="auto" w:fill="FFFFFF"/>
          </w:tcPr>
          <w:p w14:paraId="1AFDDB91" w14:textId="0CF60F17" w:rsidR="006075AE" w:rsidRPr="00B57B36" w:rsidRDefault="006075AE" w:rsidP="006075AE">
            <w:pPr>
              <w:pStyle w:val="CETBodytext"/>
              <w:ind w:left="3" w:right="-1" w:hanging="3"/>
              <w:rPr>
                <w:rFonts w:cs="Arial"/>
                <w:szCs w:val="18"/>
                <w:lang w:val="en-GB"/>
              </w:rPr>
            </w:pPr>
            <w:r>
              <w:rPr>
                <w:rFonts w:cs="Arial"/>
                <w:szCs w:val="18"/>
                <w:lang w:val="en-GB"/>
              </w:rPr>
              <w:t>Unit</w:t>
            </w:r>
          </w:p>
        </w:tc>
        <w:tc>
          <w:tcPr>
            <w:tcW w:w="1108" w:type="dxa"/>
            <w:tcBorders>
              <w:top w:val="single" w:sz="12" w:space="0" w:color="008000"/>
              <w:bottom w:val="single" w:sz="6" w:space="0" w:color="008000"/>
            </w:tcBorders>
            <w:shd w:val="clear" w:color="auto" w:fill="FFFFFF"/>
          </w:tcPr>
          <w:p w14:paraId="4AE4DA7B" w14:textId="42BFBA71" w:rsidR="006075AE" w:rsidRDefault="006075AE" w:rsidP="00A84F63">
            <w:pPr>
              <w:pStyle w:val="CETBodytext"/>
              <w:ind w:right="-1"/>
              <w:rPr>
                <w:rFonts w:cs="Arial"/>
                <w:szCs w:val="18"/>
                <w:lang w:val="en-GB"/>
              </w:rPr>
            </w:pPr>
            <w:r>
              <w:rPr>
                <w:rFonts w:cs="Arial"/>
                <w:szCs w:val="18"/>
                <w:lang w:val="en-GB"/>
              </w:rPr>
              <w:t>Min value</w:t>
            </w:r>
          </w:p>
        </w:tc>
        <w:tc>
          <w:tcPr>
            <w:tcW w:w="1093" w:type="dxa"/>
            <w:tcBorders>
              <w:top w:val="single" w:sz="12" w:space="0" w:color="008000"/>
              <w:bottom w:val="single" w:sz="6" w:space="0" w:color="008000"/>
            </w:tcBorders>
            <w:shd w:val="clear" w:color="auto" w:fill="FFFFFF"/>
          </w:tcPr>
          <w:p w14:paraId="70A152B7" w14:textId="57680E06" w:rsidR="006075AE" w:rsidRDefault="006075AE" w:rsidP="00A84F63">
            <w:pPr>
              <w:pStyle w:val="CETBodytext"/>
              <w:ind w:right="-1"/>
              <w:rPr>
                <w:rFonts w:cs="Arial"/>
                <w:szCs w:val="18"/>
                <w:lang w:val="en-GB"/>
              </w:rPr>
            </w:pPr>
            <w:r>
              <w:rPr>
                <w:rFonts w:cs="Arial"/>
                <w:szCs w:val="18"/>
                <w:lang w:val="en-GB"/>
              </w:rPr>
              <w:t>Max value</w:t>
            </w:r>
          </w:p>
        </w:tc>
        <w:tc>
          <w:tcPr>
            <w:tcW w:w="1093" w:type="dxa"/>
            <w:tcBorders>
              <w:top w:val="single" w:sz="12" w:space="0" w:color="008000"/>
              <w:bottom w:val="single" w:sz="6" w:space="0" w:color="008000"/>
            </w:tcBorders>
            <w:shd w:val="clear" w:color="auto" w:fill="FFFFFF"/>
          </w:tcPr>
          <w:p w14:paraId="33308221" w14:textId="29E9EB05" w:rsidR="006075AE" w:rsidRDefault="006075AE" w:rsidP="00A84F63">
            <w:pPr>
              <w:pStyle w:val="CETBodytext"/>
              <w:ind w:right="-1"/>
              <w:rPr>
                <w:rFonts w:cs="Arial"/>
                <w:szCs w:val="18"/>
                <w:lang w:val="en-GB"/>
              </w:rPr>
            </w:pPr>
            <w:r>
              <w:rPr>
                <w:rFonts w:cs="Arial"/>
                <w:szCs w:val="18"/>
                <w:lang w:val="en-GB"/>
              </w:rPr>
              <w:t>Discretization</w:t>
            </w:r>
          </w:p>
        </w:tc>
      </w:tr>
      <w:tr w:rsidR="006075AE" w:rsidRPr="00B57B36" w14:paraId="0481A477" w14:textId="66FCF4BE" w:rsidTr="006075AE">
        <w:tc>
          <w:tcPr>
            <w:tcW w:w="2636" w:type="dxa"/>
            <w:shd w:val="clear" w:color="auto" w:fill="FFFFFF"/>
          </w:tcPr>
          <w:p w14:paraId="51DABE52" w14:textId="0BCFFE43" w:rsidR="006075AE" w:rsidRPr="00B57B36" w:rsidRDefault="006075AE" w:rsidP="004B3DCE">
            <w:pPr>
              <w:pStyle w:val="CETBodytext"/>
              <w:rPr>
                <w:lang w:val="en-GB"/>
              </w:rPr>
            </w:pPr>
            <w:r>
              <w:rPr>
                <w:rFonts w:cs="Arial"/>
                <w:szCs w:val="18"/>
                <w:lang w:val="en-GB"/>
              </w:rPr>
              <w:t>Biomass combustion heat*</w:t>
            </w:r>
          </w:p>
        </w:tc>
        <w:tc>
          <w:tcPr>
            <w:tcW w:w="908" w:type="dxa"/>
            <w:shd w:val="clear" w:color="auto" w:fill="FFFFFF"/>
          </w:tcPr>
          <w:p w14:paraId="4FC42A4D" w14:textId="4C5C2A51" w:rsidR="006075AE" w:rsidRPr="00B57B36" w:rsidRDefault="006075AE" w:rsidP="004B3DCE">
            <w:pPr>
              <w:pStyle w:val="CETBodytext"/>
              <w:rPr>
                <w:lang w:val="en-GB"/>
              </w:rPr>
            </w:pPr>
            <w:r>
              <w:rPr>
                <w:lang w:val="en-GB"/>
              </w:rPr>
              <w:t>H</w:t>
            </w:r>
            <w:r w:rsidRPr="002B204D">
              <w:rPr>
                <w:vertAlign w:val="subscript"/>
                <w:lang w:val="en-GB"/>
              </w:rPr>
              <w:t>b</w:t>
            </w:r>
          </w:p>
        </w:tc>
        <w:tc>
          <w:tcPr>
            <w:tcW w:w="836" w:type="dxa"/>
            <w:shd w:val="clear" w:color="auto" w:fill="FFFFFF"/>
          </w:tcPr>
          <w:p w14:paraId="3397B5FF" w14:textId="4D2D8A19" w:rsidR="006075AE" w:rsidRPr="00B57B36" w:rsidRDefault="006075AE" w:rsidP="004B3DCE">
            <w:pPr>
              <w:pStyle w:val="CETBodytext"/>
              <w:rPr>
                <w:lang w:val="en-GB"/>
              </w:rPr>
            </w:pPr>
            <w:r>
              <w:rPr>
                <w:lang w:val="en-GB"/>
              </w:rPr>
              <w:t>10 000</w:t>
            </w:r>
          </w:p>
        </w:tc>
        <w:tc>
          <w:tcPr>
            <w:tcW w:w="892" w:type="dxa"/>
            <w:shd w:val="clear" w:color="auto" w:fill="FFFFFF"/>
          </w:tcPr>
          <w:p w14:paraId="5E2DD24C" w14:textId="0034CECF" w:rsidR="006075AE" w:rsidRPr="00B57B36" w:rsidRDefault="006075AE" w:rsidP="004B3DCE">
            <w:pPr>
              <w:pStyle w:val="CETBodytext"/>
              <w:ind w:right="-1"/>
              <w:rPr>
                <w:rFonts w:cs="Arial"/>
                <w:szCs w:val="18"/>
                <w:lang w:val="en-GB"/>
              </w:rPr>
            </w:pPr>
            <w:r>
              <w:rPr>
                <w:rFonts w:cs="Arial"/>
                <w:szCs w:val="18"/>
                <w:lang w:val="en-GB"/>
              </w:rPr>
              <w:t>kJ/kg</w:t>
            </w:r>
          </w:p>
        </w:tc>
        <w:tc>
          <w:tcPr>
            <w:tcW w:w="1108" w:type="dxa"/>
            <w:shd w:val="clear" w:color="auto" w:fill="FFFFFF"/>
          </w:tcPr>
          <w:p w14:paraId="03B80DE1" w14:textId="512EF7CD" w:rsidR="006075AE" w:rsidRDefault="006075AE" w:rsidP="004B3DCE">
            <w:pPr>
              <w:pStyle w:val="CETBodytext"/>
              <w:ind w:right="-1"/>
              <w:rPr>
                <w:rFonts w:cs="Arial"/>
                <w:szCs w:val="18"/>
                <w:lang w:val="en-GB"/>
              </w:rPr>
            </w:pPr>
            <w:r>
              <w:rPr>
                <w:rFonts w:cs="Arial"/>
                <w:szCs w:val="18"/>
                <w:lang w:val="en-GB"/>
              </w:rPr>
              <w:t>7 000</w:t>
            </w:r>
          </w:p>
        </w:tc>
        <w:tc>
          <w:tcPr>
            <w:tcW w:w="1093" w:type="dxa"/>
            <w:shd w:val="clear" w:color="auto" w:fill="FFFFFF"/>
          </w:tcPr>
          <w:p w14:paraId="2F034A0B" w14:textId="6FB51918" w:rsidR="006075AE" w:rsidRDefault="006075AE" w:rsidP="004B3DCE">
            <w:pPr>
              <w:pStyle w:val="CETBodytext"/>
              <w:ind w:right="-1"/>
              <w:rPr>
                <w:rFonts w:cs="Arial"/>
                <w:szCs w:val="18"/>
                <w:lang w:val="en-GB"/>
              </w:rPr>
            </w:pPr>
            <w:r>
              <w:rPr>
                <w:rFonts w:cs="Arial"/>
                <w:szCs w:val="18"/>
                <w:lang w:val="en-GB"/>
              </w:rPr>
              <w:t>13 000</w:t>
            </w:r>
          </w:p>
        </w:tc>
        <w:tc>
          <w:tcPr>
            <w:tcW w:w="1093" w:type="dxa"/>
            <w:shd w:val="clear" w:color="auto" w:fill="FFFFFF"/>
          </w:tcPr>
          <w:p w14:paraId="1146052D" w14:textId="01115D81" w:rsidR="006075AE" w:rsidRDefault="006075AE" w:rsidP="004B3DCE">
            <w:pPr>
              <w:pStyle w:val="CETBodytext"/>
              <w:ind w:right="-1"/>
              <w:rPr>
                <w:rFonts w:cs="Arial"/>
                <w:szCs w:val="18"/>
                <w:lang w:val="en-GB"/>
              </w:rPr>
            </w:pPr>
            <w:r>
              <w:rPr>
                <w:rFonts w:cs="Arial"/>
                <w:szCs w:val="18"/>
                <w:lang w:val="en-GB"/>
              </w:rPr>
              <w:t>150</w:t>
            </w:r>
          </w:p>
        </w:tc>
      </w:tr>
      <w:tr w:rsidR="006075AE" w:rsidRPr="00B57B36" w14:paraId="2D3633DE" w14:textId="46415541" w:rsidTr="006075AE">
        <w:tc>
          <w:tcPr>
            <w:tcW w:w="2636" w:type="dxa"/>
            <w:shd w:val="clear" w:color="auto" w:fill="FFFFFF"/>
          </w:tcPr>
          <w:p w14:paraId="786790AA" w14:textId="455A1499" w:rsidR="006075AE" w:rsidRDefault="006075AE" w:rsidP="00C512DE">
            <w:pPr>
              <w:pStyle w:val="CETBodytext"/>
              <w:rPr>
                <w:rFonts w:cs="Arial"/>
                <w:szCs w:val="18"/>
                <w:lang w:val="en-GB"/>
              </w:rPr>
            </w:pPr>
            <w:r>
              <w:rPr>
                <w:rFonts w:cs="Arial"/>
                <w:szCs w:val="18"/>
                <w:lang w:val="en-GB"/>
              </w:rPr>
              <w:t>Biomass specific emissions*</w:t>
            </w:r>
          </w:p>
        </w:tc>
        <w:tc>
          <w:tcPr>
            <w:tcW w:w="908" w:type="dxa"/>
            <w:shd w:val="clear" w:color="auto" w:fill="FFFFFF"/>
          </w:tcPr>
          <w:p w14:paraId="3825CE9B" w14:textId="1DACBFD9" w:rsidR="006075AE" w:rsidRPr="00B57B36" w:rsidRDefault="006075AE" w:rsidP="00C512DE">
            <w:pPr>
              <w:pStyle w:val="CETBodytext"/>
              <w:rPr>
                <w:lang w:val="en-GB"/>
              </w:rPr>
            </w:pPr>
            <w:r>
              <w:rPr>
                <w:lang w:val="en-GB"/>
              </w:rPr>
              <w:t>E</w:t>
            </w:r>
            <w:r w:rsidRPr="002B204D">
              <w:rPr>
                <w:vertAlign w:val="subscript"/>
                <w:lang w:val="en-GB"/>
              </w:rPr>
              <w:t>b</w:t>
            </w:r>
          </w:p>
        </w:tc>
        <w:tc>
          <w:tcPr>
            <w:tcW w:w="836" w:type="dxa"/>
            <w:shd w:val="clear" w:color="auto" w:fill="FFFFFF"/>
          </w:tcPr>
          <w:p w14:paraId="1D73EC19" w14:textId="4CBBA0B9" w:rsidR="006075AE" w:rsidRPr="00B57B36" w:rsidRDefault="006075AE" w:rsidP="00C512DE">
            <w:pPr>
              <w:pStyle w:val="CETBodytext"/>
              <w:rPr>
                <w:lang w:val="en-GB"/>
              </w:rPr>
            </w:pPr>
            <w:r>
              <w:rPr>
                <w:lang w:val="en-GB"/>
              </w:rPr>
              <w:t>1.83</w:t>
            </w:r>
          </w:p>
        </w:tc>
        <w:tc>
          <w:tcPr>
            <w:tcW w:w="892" w:type="dxa"/>
            <w:shd w:val="clear" w:color="auto" w:fill="FFFFFF"/>
          </w:tcPr>
          <w:p w14:paraId="0335421E" w14:textId="2F0E7317" w:rsidR="006075AE" w:rsidRDefault="006075AE" w:rsidP="00C512DE">
            <w:pPr>
              <w:pStyle w:val="CETBodytext"/>
              <w:ind w:right="-1"/>
              <w:rPr>
                <w:rFonts w:cs="Arial"/>
                <w:szCs w:val="18"/>
                <w:lang w:val="en-GB"/>
              </w:rPr>
            </w:pPr>
            <w:proofErr w:type="spellStart"/>
            <w:r>
              <w:rPr>
                <w:rFonts w:cs="Arial"/>
                <w:szCs w:val="18"/>
                <w:lang w:val="en-GB"/>
              </w:rPr>
              <w:t>kg</w:t>
            </w:r>
            <w:r w:rsidRPr="004B3DCE">
              <w:rPr>
                <w:rFonts w:cs="Arial"/>
                <w:szCs w:val="18"/>
                <w:vertAlign w:val="subscript"/>
                <w:lang w:val="en-GB"/>
              </w:rPr>
              <w:t>eq</w:t>
            </w:r>
            <w:proofErr w:type="spellEnd"/>
            <w:r>
              <w:rPr>
                <w:rFonts w:cs="Arial"/>
                <w:szCs w:val="18"/>
                <w:lang w:val="en-GB"/>
              </w:rPr>
              <w:t>/kg</w:t>
            </w:r>
          </w:p>
        </w:tc>
        <w:tc>
          <w:tcPr>
            <w:tcW w:w="1108" w:type="dxa"/>
            <w:shd w:val="clear" w:color="auto" w:fill="FFFFFF"/>
          </w:tcPr>
          <w:p w14:paraId="6095B0A4" w14:textId="659BF3A3" w:rsidR="006075AE" w:rsidRDefault="006075AE" w:rsidP="00C512DE">
            <w:pPr>
              <w:pStyle w:val="CETBodytext"/>
              <w:ind w:right="-1"/>
              <w:rPr>
                <w:rFonts w:cs="Arial"/>
                <w:szCs w:val="18"/>
                <w:lang w:val="en-GB"/>
              </w:rPr>
            </w:pPr>
            <w:r>
              <w:rPr>
                <w:rFonts w:cs="Arial"/>
                <w:szCs w:val="18"/>
                <w:lang w:val="en-GB"/>
              </w:rPr>
              <w:t>1.4</w:t>
            </w:r>
          </w:p>
        </w:tc>
        <w:tc>
          <w:tcPr>
            <w:tcW w:w="1093" w:type="dxa"/>
            <w:shd w:val="clear" w:color="auto" w:fill="FFFFFF"/>
          </w:tcPr>
          <w:p w14:paraId="22E127A9" w14:textId="73AF7894" w:rsidR="006075AE" w:rsidRDefault="006075AE" w:rsidP="00C512DE">
            <w:pPr>
              <w:pStyle w:val="CETBodytext"/>
              <w:ind w:right="-1"/>
              <w:rPr>
                <w:rFonts w:cs="Arial"/>
                <w:szCs w:val="18"/>
                <w:lang w:val="en-GB"/>
              </w:rPr>
            </w:pPr>
            <w:r>
              <w:rPr>
                <w:rFonts w:cs="Arial"/>
                <w:szCs w:val="18"/>
                <w:lang w:val="en-GB"/>
              </w:rPr>
              <w:t>2.2</w:t>
            </w:r>
          </w:p>
        </w:tc>
        <w:tc>
          <w:tcPr>
            <w:tcW w:w="1093" w:type="dxa"/>
            <w:shd w:val="clear" w:color="auto" w:fill="FFFFFF"/>
          </w:tcPr>
          <w:p w14:paraId="53708A82" w14:textId="3B1ADBA8" w:rsidR="006075AE" w:rsidRDefault="006075AE" w:rsidP="00C512DE">
            <w:pPr>
              <w:pStyle w:val="CETBodytext"/>
              <w:ind w:right="-1"/>
              <w:rPr>
                <w:rFonts w:cs="Arial"/>
                <w:szCs w:val="18"/>
                <w:lang w:val="en-GB"/>
              </w:rPr>
            </w:pPr>
            <w:r>
              <w:rPr>
                <w:rFonts w:cs="Arial"/>
                <w:szCs w:val="18"/>
                <w:lang w:val="en-GB"/>
              </w:rPr>
              <w:t>0.0183</w:t>
            </w:r>
          </w:p>
        </w:tc>
      </w:tr>
      <w:tr w:rsidR="006075AE" w:rsidRPr="00B57B36" w14:paraId="7D9AF267" w14:textId="1F7E8CA6" w:rsidTr="006075AE">
        <w:tc>
          <w:tcPr>
            <w:tcW w:w="2636" w:type="dxa"/>
            <w:shd w:val="clear" w:color="auto" w:fill="FFFFFF"/>
          </w:tcPr>
          <w:p w14:paraId="7C8F1536" w14:textId="117ECEAB" w:rsidR="006075AE" w:rsidRPr="00B57B36" w:rsidRDefault="006075AE" w:rsidP="004B3DCE">
            <w:pPr>
              <w:pStyle w:val="CETBodytext"/>
              <w:ind w:right="-1"/>
              <w:rPr>
                <w:rFonts w:cs="Arial"/>
                <w:szCs w:val="18"/>
                <w:lang w:val="en-GB"/>
              </w:rPr>
            </w:pPr>
            <w:r>
              <w:rPr>
                <w:rFonts w:cs="Arial"/>
                <w:szCs w:val="18"/>
                <w:lang w:val="en-GB"/>
              </w:rPr>
              <w:t>Cogeneration efficiency</w:t>
            </w:r>
          </w:p>
        </w:tc>
        <w:tc>
          <w:tcPr>
            <w:tcW w:w="908" w:type="dxa"/>
            <w:shd w:val="clear" w:color="auto" w:fill="FFFFFF"/>
          </w:tcPr>
          <w:p w14:paraId="182DAA5C" w14:textId="45E6EDD6" w:rsidR="006075AE" w:rsidRPr="00B57B36" w:rsidRDefault="006075AE" w:rsidP="004B3DCE">
            <w:pPr>
              <w:pStyle w:val="CETBodytext"/>
              <w:ind w:right="-1"/>
              <w:rPr>
                <w:rFonts w:cs="Arial"/>
                <w:szCs w:val="18"/>
                <w:lang w:val="en-GB"/>
              </w:rPr>
            </w:pPr>
            <w:proofErr w:type="spellStart"/>
            <w:r>
              <w:rPr>
                <w:rFonts w:ascii="Times New Roman" w:hAnsi="Times New Roman"/>
                <w:szCs w:val="18"/>
                <w:lang w:val="en-GB"/>
              </w:rPr>
              <w:t>η</w:t>
            </w:r>
            <w:r w:rsidRPr="002B204D">
              <w:rPr>
                <w:rFonts w:ascii="Times New Roman" w:hAnsi="Times New Roman"/>
                <w:szCs w:val="18"/>
                <w:vertAlign w:val="subscript"/>
                <w:lang w:val="en-GB"/>
              </w:rPr>
              <w:t>e</w:t>
            </w:r>
            <w:proofErr w:type="spellEnd"/>
          </w:p>
        </w:tc>
        <w:tc>
          <w:tcPr>
            <w:tcW w:w="836" w:type="dxa"/>
            <w:shd w:val="clear" w:color="auto" w:fill="FFFFFF"/>
          </w:tcPr>
          <w:p w14:paraId="2AED5B12" w14:textId="60909392" w:rsidR="006075AE" w:rsidRPr="00B57B36" w:rsidRDefault="006075AE" w:rsidP="004B3DCE">
            <w:pPr>
              <w:pStyle w:val="CETBodytext"/>
              <w:ind w:right="-1"/>
              <w:rPr>
                <w:rFonts w:cs="Arial"/>
                <w:szCs w:val="18"/>
                <w:lang w:val="en-GB"/>
              </w:rPr>
            </w:pPr>
            <w:r>
              <w:rPr>
                <w:rFonts w:cs="Arial"/>
                <w:szCs w:val="18"/>
                <w:lang w:val="en-GB"/>
              </w:rPr>
              <w:t>40</w:t>
            </w:r>
          </w:p>
        </w:tc>
        <w:tc>
          <w:tcPr>
            <w:tcW w:w="892" w:type="dxa"/>
            <w:shd w:val="clear" w:color="auto" w:fill="FFFFFF"/>
          </w:tcPr>
          <w:p w14:paraId="6ECB9E99" w14:textId="257A3FC7" w:rsidR="006075AE" w:rsidRPr="00B57B36" w:rsidRDefault="006075AE" w:rsidP="004B3DCE">
            <w:pPr>
              <w:pStyle w:val="CETBodytext"/>
              <w:ind w:right="-1"/>
              <w:rPr>
                <w:rFonts w:cs="Arial"/>
                <w:szCs w:val="18"/>
                <w:lang w:val="en-GB"/>
              </w:rPr>
            </w:pPr>
            <w:r>
              <w:rPr>
                <w:rFonts w:cs="Arial"/>
                <w:szCs w:val="18"/>
                <w:lang w:val="en-GB"/>
              </w:rPr>
              <w:t>%</w:t>
            </w:r>
          </w:p>
        </w:tc>
        <w:tc>
          <w:tcPr>
            <w:tcW w:w="1108" w:type="dxa"/>
            <w:shd w:val="clear" w:color="auto" w:fill="FFFFFF"/>
          </w:tcPr>
          <w:p w14:paraId="2F7CF67B" w14:textId="3001D9A1" w:rsidR="006075AE" w:rsidRDefault="006075AE" w:rsidP="004B3DCE">
            <w:pPr>
              <w:pStyle w:val="CETBodytext"/>
              <w:ind w:right="-1"/>
              <w:rPr>
                <w:rFonts w:cs="Arial"/>
                <w:szCs w:val="18"/>
                <w:lang w:val="en-GB"/>
              </w:rPr>
            </w:pPr>
          </w:p>
        </w:tc>
        <w:tc>
          <w:tcPr>
            <w:tcW w:w="1093" w:type="dxa"/>
            <w:shd w:val="clear" w:color="auto" w:fill="FFFFFF"/>
          </w:tcPr>
          <w:p w14:paraId="527AC96D" w14:textId="308F9A2E" w:rsidR="006075AE" w:rsidRDefault="006075AE" w:rsidP="004B3DCE">
            <w:pPr>
              <w:pStyle w:val="CETBodytext"/>
              <w:ind w:right="-1"/>
              <w:rPr>
                <w:rFonts w:cs="Arial"/>
                <w:szCs w:val="18"/>
                <w:lang w:val="en-GB"/>
              </w:rPr>
            </w:pPr>
          </w:p>
        </w:tc>
        <w:tc>
          <w:tcPr>
            <w:tcW w:w="1093" w:type="dxa"/>
            <w:shd w:val="clear" w:color="auto" w:fill="FFFFFF"/>
          </w:tcPr>
          <w:p w14:paraId="54E6739A" w14:textId="36782588" w:rsidR="006075AE" w:rsidRDefault="006075AE" w:rsidP="004B3DCE">
            <w:pPr>
              <w:pStyle w:val="CETBodytext"/>
              <w:ind w:right="-1"/>
              <w:rPr>
                <w:rFonts w:cs="Arial"/>
                <w:szCs w:val="18"/>
                <w:lang w:val="en-GB"/>
              </w:rPr>
            </w:pPr>
          </w:p>
        </w:tc>
      </w:tr>
      <w:tr w:rsidR="006075AE" w:rsidRPr="00B57B36" w14:paraId="525C5B2E" w14:textId="27EDB6BC" w:rsidTr="006075AE">
        <w:tc>
          <w:tcPr>
            <w:tcW w:w="2636" w:type="dxa"/>
            <w:shd w:val="clear" w:color="auto" w:fill="FFFFFF"/>
          </w:tcPr>
          <w:p w14:paraId="20F75F54" w14:textId="29DE807B" w:rsidR="006075AE" w:rsidRPr="00B57B36" w:rsidRDefault="006075AE" w:rsidP="004B3DCE">
            <w:pPr>
              <w:pStyle w:val="CETBodytext"/>
              <w:ind w:right="-1"/>
              <w:rPr>
                <w:rFonts w:cs="Arial"/>
                <w:szCs w:val="18"/>
                <w:lang w:val="en-GB"/>
              </w:rPr>
            </w:pPr>
            <w:r>
              <w:rPr>
                <w:rFonts w:cs="Arial"/>
                <w:szCs w:val="18"/>
                <w:lang w:val="en-GB"/>
              </w:rPr>
              <w:t>CO</w:t>
            </w:r>
            <w:r w:rsidRPr="0010098D">
              <w:rPr>
                <w:rFonts w:cs="Arial"/>
                <w:szCs w:val="18"/>
                <w:vertAlign w:val="subscript"/>
                <w:lang w:val="en-GB"/>
              </w:rPr>
              <w:t>2</w:t>
            </w:r>
            <w:r>
              <w:rPr>
                <w:rFonts w:cs="Arial"/>
                <w:szCs w:val="18"/>
                <w:lang w:val="en-GB"/>
              </w:rPr>
              <w:t xml:space="preserve"> capture efficiency*</w:t>
            </w:r>
          </w:p>
        </w:tc>
        <w:tc>
          <w:tcPr>
            <w:tcW w:w="908" w:type="dxa"/>
            <w:shd w:val="clear" w:color="auto" w:fill="FFFFFF"/>
          </w:tcPr>
          <w:p w14:paraId="4D10E2F2" w14:textId="537FF8EF" w:rsidR="006075AE" w:rsidRPr="00B57B36" w:rsidRDefault="006075AE" w:rsidP="004B3DCE">
            <w:pPr>
              <w:pStyle w:val="CETBodytext"/>
              <w:ind w:right="-1"/>
              <w:rPr>
                <w:rFonts w:cs="Arial"/>
                <w:szCs w:val="18"/>
                <w:lang w:val="en-GB"/>
              </w:rPr>
            </w:pPr>
            <w:proofErr w:type="spellStart"/>
            <w:r>
              <w:rPr>
                <w:rFonts w:ascii="Times New Roman" w:hAnsi="Times New Roman"/>
                <w:szCs w:val="18"/>
                <w:lang w:val="en-GB"/>
              </w:rPr>
              <w:t>η</w:t>
            </w:r>
            <w:r w:rsidRPr="002B204D">
              <w:rPr>
                <w:rFonts w:ascii="Times New Roman" w:hAnsi="Times New Roman"/>
                <w:szCs w:val="18"/>
                <w:vertAlign w:val="subscript"/>
                <w:lang w:val="en-GB"/>
              </w:rPr>
              <w:t>c</w:t>
            </w:r>
            <w:proofErr w:type="spellEnd"/>
          </w:p>
        </w:tc>
        <w:tc>
          <w:tcPr>
            <w:tcW w:w="836" w:type="dxa"/>
            <w:shd w:val="clear" w:color="auto" w:fill="FFFFFF"/>
          </w:tcPr>
          <w:p w14:paraId="1BDF380E" w14:textId="5D1D5008" w:rsidR="006075AE" w:rsidRPr="00B57B36" w:rsidRDefault="006075AE" w:rsidP="004B3DCE">
            <w:pPr>
              <w:pStyle w:val="CETBodytext"/>
              <w:ind w:right="-1"/>
              <w:rPr>
                <w:rFonts w:cs="Arial"/>
                <w:szCs w:val="18"/>
                <w:lang w:val="en-GB"/>
              </w:rPr>
            </w:pPr>
            <w:r>
              <w:rPr>
                <w:rFonts w:cs="Arial"/>
                <w:szCs w:val="18"/>
                <w:lang w:val="en-GB"/>
              </w:rPr>
              <w:t>90</w:t>
            </w:r>
          </w:p>
        </w:tc>
        <w:tc>
          <w:tcPr>
            <w:tcW w:w="892" w:type="dxa"/>
            <w:shd w:val="clear" w:color="auto" w:fill="FFFFFF"/>
          </w:tcPr>
          <w:p w14:paraId="5D763844" w14:textId="34A31A0E" w:rsidR="006075AE" w:rsidRPr="00B57B36" w:rsidRDefault="006075AE" w:rsidP="004B3DCE">
            <w:pPr>
              <w:pStyle w:val="CETBodytext"/>
              <w:ind w:right="-1"/>
              <w:rPr>
                <w:rFonts w:cs="Arial"/>
                <w:szCs w:val="18"/>
                <w:lang w:val="en-GB"/>
              </w:rPr>
            </w:pPr>
            <w:r>
              <w:rPr>
                <w:rFonts w:cs="Arial"/>
                <w:szCs w:val="18"/>
                <w:lang w:val="en-GB"/>
              </w:rPr>
              <w:t>%</w:t>
            </w:r>
          </w:p>
        </w:tc>
        <w:tc>
          <w:tcPr>
            <w:tcW w:w="1108" w:type="dxa"/>
            <w:shd w:val="clear" w:color="auto" w:fill="FFFFFF"/>
          </w:tcPr>
          <w:p w14:paraId="2FB54B2C" w14:textId="686C90C8" w:rsidR="006075AE" w:rsidRDefault="006075AE" w:rsidP="004B3DCE">
            <w:pPr>
              <w:pStyle w:val="CETBodytext"/>
              <w:ind w:right="-1"/>
              <w:rPr>
                <w:rFonts w:cs="Arial"/>
                <w:szCs w:val="18"/>
                <w:lang w:val="en-GB"/>
              </w:rPr>
            </w:pPr>
            <w:r>
              <w:rPr>
                <w:rFonts w:cs="Arial"/>
                <w:szCs w:val="18"/>
                <w:lang w:val="en-GB"/>
              </w:rPr>
              <w:t>70</w:t>
            </w:r>
          </w:p>
        </w:tc>
        <w:tc>
          <w:tcPr>
            <w:tcW w:w="1093" w:type="dxa"/>
            <w:shd w:val="clear" w:color="auto" w:fill="FFFFFF"/>
          </w:tcPr>
          <w:p w14:paraId="28310D5D" w14:textId="55432D02" w:rsidR="006075AE" w:rsidRDefault="006075AE" w:rsidP="004B3DCE">
            <w:pPr>
              <w:pStyle w:val="CETBodytext"/>
              <w:ind w:right="-1"/>
              <w:rPr>
                <w:rFonts w:cs="Arial"/>
                <w:szCs w:val="18"/>
                <w:lang w:val="en-GB"/>
              </w:rPr>
            </w:pPr>
            <w:r>
              <w:rPr>
                <w:rFonts w:cs="Arial"/>
                <w:szCs w:val="18"/>
                <w:lang w:val="en-GB"/>
              </w:rPr>
              <w:t>100</w:t>
            </w:r>
          </w:p>
        </w:tc>
        <w:tc>
          <w:tcPr>
            <w:tcW w:w="1093" w:type="dxa"/>
            <w:shd w:val="clear" w:color="auto" w:fill="FFFFFF"/>
          </w:tcPr>
          <w:p w14:paraId="65881154" w14:textId="6A61D784" w:rsidR="006075AE" w:rsidRDefault="006075AE" w:rsidP="004B3DCE">
            <w:pPr>
              <w:pStyle w:val="CETBodytext"/>
              <w:ind w:right="-1"/>
              <w:rPr>
                <w:rFonts w:cs="Arial"/>
                <w:szCs w:val="18"/>
                <w:lang w:val="en-GB"/>
              </w:rPr>
            </w:pPr>
            <w:r>
              <w:rPr>
                <w:rFonts w:cs="Arial"/>
                <w:szCs w:val="18"/>
                <w:lang w:val="en-GB"/>
              </w:rPr>
              <w:t>7.5</w:t>
            </w:r>
          </w:p>
        </w:tc>
      </w:tr>
      <w:tr w:rsidR="006075AE" w:rsidRPr="00B57B36" w14:paraId="01DBFB99" w14:textId="300DA4D9" w:rsidTr="006075AE">
        <w:tc>
          <w:tcPr>
            <w:tcW w:w="2636" w:type="dxa"/>
            <w:shd w:val="clear" w:color="auto" w:fill="FFFFFF"/>
          </w:tcPr>
          <w:p w14:paraId="27028C8B" w14:textId="5DD226E6" w:rsidR="006075AE" w:rsidRDefault="006075AE" w:rsidP="004B3DCE">
            <w:pPr>
              <w:pStyle w:val="CETBodytext"/>
              <w:ind w:right="-1"/>
              <w:rPr>
                <w:rFonts w:cs="Arial"/>
                <w:szCs w:val="18"/>
                <w:lang w:val="en-GB"/>
              </w:rPr>
            </w:pPr>
            <w:r>
              <w:rPr>
                <w:rFonts w:cs="Arial"/>
                <w:szCs w:val="18"/>
                <w:lang w:val="en-GB"/>
              </w:rPr>
              <w:t>H</w:t>
            </w:r>
            <w:r w:rsidRPr="0010098D">
              <w:rPr>
                <w:rFonts w:cs="Arial"/>
                <w:szCs w:val="18"/>
                <w:vertAlign w:val="subscript"/>
                <w:lang w:val="en-GB"/>
              </w:rPr>
              <w:t>2</w:t>
            </w:r>
            <w:r>
              <w:rPr>
                <w:rFonts w:cs="Arial"/>
                <w:szCs w:val="18"/>
                <w:lang w:val="en-GB"/>
              </w:rPr>
              <w:t>/CO</w:t>
            </w:r>
            <w:r w:rsidRPr="0010098D">
              <w:rPr>
                <w:rFonts w:cs="Arial"/>
                <w:szCs w:val="18"/>
                <w:vertAlign w:val="subscript"/>
                <w:lang w:val="en-GB"/>
              </w:rPr>
              <w:t>2</w:t>
            </w:r>
            <w:r>
              <w:rPr>
                <w:rFonts w:cs="Arial"/>
                <w:szCs w:val="18"/>
                <w:lang w:val="en-GB"/>
              </w:rPr>
              <w:t xml:space="preserve"> ratio</w:t>
            </w:r>
          </w:p>
        </w:tc>
        <w:tc>
          <w:tcPr>
            <w:tcW w:w="908" w:type="dxa"/>
            <w:shd w:val="clear" w:color="auto" w:fill="FFFFFF"/>
          </w:tcPr>
          <w:p w14:paraId="27D67D26" w14:textId="57775B9C" w:rsidR="006075AE" w:rsidRDefault="006075AE" w:rsidP="004B3DCE">
            <w:pPr>
              <w:pStyle w:val="CETBodytext"/>
              <w:ind w:right="-1"/>
              <w:rPr>
                <w:rFonts w:cs="Arial"/>
                <w:szCs w:val="18"/>
                <w:lang w:val="en-GB"/>
              </w:rPr>
            </w:pPr>
            <w:r>
              <w:rPr>
                <w:rFonts w:cs="Arial"/>
                <w:szCs w:val="18"/>
                <w:lang w:val="en-GB"/>
              </w:rPr>
              <w:t>r</w:t>
            </w:r>
          </w:p>
        </w:tc>
        <w:tc>
          <w:tcPr>
            <w:tcW w:w="836" w:type="dxa"/>
            <w:shd w:val="clear" w:color="auto" w:fill="FFFFFF"/>
          </w:tcPr>
          <w:p w14:paraId="6A8BEDAC" w14:textId="3035CED8" w:rsidR="006075AE" w:rsidRDefault="006075AE" w:rsidP="004B3DCE">
            <w:pPr>
              <w:pStyle w:val="CETBodytext"/>
              <w:ind w:right="-1"/>
              <w:rPr>
                <w:rFonts w:cs="Arial"/>
                <w:szCs w:val="18"/>
                <w:lang w:val="en-GB"/>
              </w:rPr>
            </w:pPr>
            <w:r>
              <w:rPr>
                <w:rFonts w:cs="Arial"/>
                <w:szCs w:val="18"/>
                <w:lang w:val="en-GB"/>
              </w:rPr>
              <w:t>3</w:t>
            </w:r>
          </w:p>
        </w:tc>
        <w:tc>
          <w:tcPr>
            <w:tcW w:w="892" w:type="dxa"/>
            <w:shd w:val="clear" w:color="auto" w:fill="FFFFFF"/>
          </w:tcPr>
          <w:p w14:paraId="1529DBA5" w14:textId="1B4D0505" w:rsidR="006075AE" w:rsidRDefault="006075AE" w:rsidP="004B3DCE">
            <w:pPr>
              <w:pStyle w:val="CETBodytext"/>
              <w:ind w:right="-1"/>
              <w:rPr>
                <w:rFonts w:cs="Arial"/>
                <w:szCs w:val="18"/>
                <w:lang w:val="en-GB"/>
              </w:rPr>
            </w:pPr>
            <w:r>
              <w:rPr>
                <w:rFonts w:cs="Arial"/>
                <w:szCs w:val="18"/>
                <w:lang w:val="en-GB"/>
              </w:rPr>
              <w:t>/</w:t>
            </w:r>
          </w:p>
        </w:tc>
        <w:tc>
          <w:tcPr>
            <w:tcW w:w="1108" w:type="dxa"/>
            <w:shd w:val="clear" w:color="auto" w:fill="FFFFFF"/>
          </w:tcPr>
          <w:p w14:paraId="130D6A9E" w14:textId="77777777" w:rsidR="006075AE" w:rsidRDefault="006075AE" w:rsidP="004B3DCE">
            <w:pPr>
              <w:pStyle w:val="CETBodytext"/>
              <w:ind w:right="-1"/>
              <w:rPr>
                <w:rFonts w:cs="Arial"/>
                <w:szCs w:val="18"/>
                <w:lang w:val="en-GB"/>
              </w:rPr>
            </w:pPr>
          </w:p>
        </w:tc>
        <w:tc>
          <w:tcPr>
            <w:tcW w:w="1093" w:type="dxa"/>
            <w:shd w:val="clear" w:color="auto" w:fill="FFFFFF"/>
          </w:tcPr>
          <w:p w14:paraId="62A76A44" w14:textId="77777777" w:rsidR="006075AE" w:rsidRDefault="006075AE" w:rsidP="004B3DCE">
            <w:pPr>
              <w:pStyle w:val="CETBodytext"/>
              <w:ind w:right="-1"/>
              <w:rPr>
                <w:rFonts w:cs="Arial"/>
                <w:szCs w:val="18"/>
                <w:lang w:val="en-GB"/>
              </w:rPr>
            </w:pPr>
          </w:p>
        </w:tc>
        <w:tc>
          <w:tcPr>
            <w:tcW w:w="1093" w:type="dxa"/>
            <w:shd w:val="clear" w:color="auto" w:fill="FFFFFF"/>
          </w:tcPr>
          <w:p w14:paraId="1679F0CD" w14:textId="77777777" w:rsidR="006075AE" w:rsidRDefault="006075AE" w:rsidP="004B3DCE">
            <w:pPr>
              <w:pStyle w:val="CETBodytext"/>
              <w:ind w:right="-1"/>
              <w:rPr>
                <w:rFonts w:cs="Arial"/>
                <w:szCs w:val="18"/>
                <w:lang w:val="en-GB"/>
              </w:rPr>
            </w:pPr>
          </w:p>
        </w:tc>
      </w:tr>
      <w:tr w:rsidR="006075AE" w:rsidRPr="00B57B36" w14:paraId="191EBAFA" w14:textId="5F17A563" w:rsidTr="006075AE">
        <w:tc>
          <w:tcPr>
            <w:tcW w:w="2636" w:type="dxa"/>
            <w:shd w:val="clear" w:color="auto" w:fill="FFFFFF"/>
          </w:tcPr>
          <w:p w14:paraId="7E0D36DC" w14:textId="11F9AE3F" w:rsidR="006075AE" w:rsidRDefault="006075AE" w:rsidP="004B3DCE">
            <w:pPr>
              <w:pStyle w:val="CETBodytext"/>
              <w:ind w:right="-1"/>
              <w:rPr>
                <w:rFonts w:cs="Arial"/>
                <w:szCs w:val="18"/>
                <w:lang w:val="en-GB"/>
              </w:rPr>
            </w:pPr>
            <w:r>
              <w:rPr>
                <w:rFonts w:cs="Arial"/>
                <w:szCs w:val="18"/>
                <w:lang w:val="en-GB"/>
              </w:rPr>
              <w:t>Electrolysis energy consumption</w:t>
            </w:r>
          </w:p>
        </w:tc>
        <w:tc>
          <w:tcPr>
            <w:tcW w:w="908" w:type="dxa"/>
            <w:shd w:val="clear" w:color="auto" w:fill="FFFFFF"/>
          </w:tcPr>
          <w:p w14:paraId="5BFE8CD5" w14:textId="5255EC3F" w:rsidR="006075AE" w:rsidRDefault="006075AE" w:rsidP="004B3DCE">
            <w:pPr>
              <w:pStyle w:val="CETBodytext"/>
              <w:ind w:right="-1"/>
              <w:rPr>
                <w:rFonts w:cs="Arial"/>
                <w:szCs w:val="18"/>
                <w:lang w:val="en-GB"/>
              </w:rPr>
            </w:pPr>
            <w:r>
              <w:rPr>
                <w:rFonts w:cs="Arial"/>
                <w:szCs w:val="18"/>
                <w:lang w:val="en-GB"/>
              </w:rPr>
              <w:t>E</w:t>
            </w:r>
            <w:r w:rsidRPr="002B204D">
              <w:rPr>
                <w:rFonts w:cs="Arial"/>
                <w:szCs w:val="18"/>
                <w:vertAlign w:val="subscript"/>
                <w:lang w:val="en-GB"/>
              </w:rPr>
              <w:t>el</w:t>
            </w:r>
          </w:p>
        </w:tc>
        <w:tc>
          <w:tcPr>
            <w:tcW w:w="836" w:type="dxa"/>
            <w:shd w:val="clear" w:color="auto" w:fill="FFFFFF"/>
          </w:tcPr>
          <w:p w14:paraId="4F6DAB68" w14:textId="0A9F57AD" w:rsidR="006075AE" w:rsidRDefault="006075AE" w:rsidP="004B3DCE">
            <w:pPr>
              <w:pStyle w:val="CETBodytext"/>
              <w:ind w:right="-1"/>
              <w:rPr>
                <w:rFonts w:cs="Arial"/>
                <w:szCs w:val="18"/>
                <w:lang w:val="en-GB"/>
              </w:rPr>
            </w:pPr>
            <w:r>
              <w:rPr>
                <w:rFonts w:cs="Arial"/>
                <w:szCs w:val="18"/>
                <w:lang w:val="en-GB"/>
              </w:rPr>
              <w:t>50</w:t>
            </w:r>
          </w:p>
        </w:tc>
        <w:tc>
          <w:tcPr>
            <w:tcW w:w="892" w:type="dxa"/>
            <w:shd w:val="clear" w:color="auto" w:fill="FFFFFF"/>
          </w:tcPr>
          <w:p w14:paraId="3D55A16E" w14:textId="329E6CCC" w:rsidR="006075AE" w:rsidRDefault="006075AE" w:rsidP="004B3DCE">
            <w:pPr>
              <w:pStyle w:val="CETBodytext"/>
              <w:ind w:right="-1"/>
              <w:rPr>
                <w:rFonts w:cs="Arial"/>
                <w:szCs w:val="18"/>
                <w:lang w:val="en-GB"/>
              </w:rPr>
            </w:pPr>
            <w:r>
              <w:rPr>
                <w:rFonts w:cs="Arial"/>
                <w:szCs w:val="18"/>
                <w:lang w:val="en-GB"/>
              </w:rPr>
              <w:t>kWh/kgH</w:t>
            </w:r>
            <w:r w:rsidRPr="003C6D90">
              <w:rPr>
                <w:rFonts w:cs="Arial"/>
                <w:szCs w:val="18"/>
                <w:vertAlign w:val="subscript"/>
                <w:lang w:val="en-GB"/>
              </w:rPr>
              <w:t>2</w:t>
            </w:r>
          </w:p>
        </w:tc>
        <w:tc>
          <w:tcPr>
            <w:tcW w:w="1108" w:type="dxa"/>
            <w:shd w:val="clear" w:color="auto" w:fill="FFFFFF"/>
          </w:tcPr>
          <w:p w14:paraId="5119156A" w14:textId="77777777" w:rsidR="006075AE" w:rsidRDefault="006075AE" w:rsidP="004B3DCE">
            <w:pPr>
              <w:pStyle w:val="CETBodytext"/>
              <w:ind w:right="-1"/>
              <w:rPr>
                <w:rFonts w:cs="Arial"/>
                <w:szCs w:val="18"/>
                <w:lang w:val="en-GB"/>
              </w:rPr>
            </w:pPr>
          </w:p>
        </w:tc>
        <w:tc>
          <w:tcPr>
            <w:tcW w:w="1093" w:type="dxa"/>
            <w:shd w:val="clear" w:color="auto" w:fill="FFFFFF"/>
          </w:tcPr>
          <w:p w14:paraId="044E6F8D" w14:textId="77777777" w:rsidR="006075AE" w:rsidRDefault="006075AE" w:rsidP="004B3DCE">
            <w:pPr>
              <w:pStyle w:val="CETBodytext"/>
              <w:ind w:right="-1"/>
              <w:rPr>
                <w:rFonts w:cs="Arial"/>
                <w:szCs w:val="18"/>
                <w:lang w:val="en-GB"/>
              </w:rPr>
            </w:pPr>
          </w:p>
        </w:tc>
        <w:tc>
          <w:tcPr>
            <w:tcW w:w="1093" w:type="dxa"/>
            <w:shd w:val="clear" w:color="auto" w:fill="FFFFFF"/>
          </w:tcPr>
          <w:p w14:paraId="2930BAA8" w14:textId="77777777" w:rsidR="006075AE" w:rsidRDefault="006075AE" w:rsidP="004B3DCE">
            <w:pPr>
              <w:pStyle w:val="CETBodytext"/>
              <w:ind w:right="-1"/>
              <w:rPr>
                <w:rFonts w:cs="Arial"/>
                <w:szCs w:val="18"/>
                <w:lang w:val="en-GB"/>
              </w:rPr>
            </w:pPr>
          </w:p>
        </w:tc>
      </w:tr>
      <w:tr w:rsidR="006075AE" w:rsidRPr="00B57B36" w14:paraId="090CD3C8" w14:textId="4D7583E4" w:rsidTr="006075AE">
        <w:tc>
          <w:tcPr>
            <w:tcW w:w="2636" w:type="dxa"/>
            <w:shd w:val="clear" w:color="auto" w:fill="FFFFFF"/>
          </w:tcPr>
          <w:p w14:paraId="11B157E5" w14:textId="2BD51DA1" w:rsidR="006075AE" w:rsidRPr="00B57B36" w:rsidRDefault="006075AE" w:rsidP="004B3DCE">
            <w:pPr>
              <w:pStyle w:val="CETBodytext"/>
              <w:ind w:right="-1"/>
              <w:rPr>
                <w:rFonts w:cs="Arial"/>
                <w:szCs w:val="18"/>
                <w:lang w:val="en-GB"/>
              </w:rPr>
            </w:pPr>
            <w:r>
              <w:rPr>
                <w:rFonts w:cs="Arial"/>
                <w:szCs w:val="18"/>
                <w:lang w:val="en-GB"/>
              </w:rPr>
              <w:t>Photovoltaic power*</w:t>
            </w:r>
          </w:p>
        </w:tc>
        <w:tc>
          <w:tcPr>
            <w:tcW w:w="908" w:type="dxa"/>
            <w:shd w:val="clear" w:color="auto" w:fill="FFFFFF"/>
          </w:tcPr>
          <w:p w14:paraId="5B859FF7" w14:textId="7C19760D" w:rsidR="006075AE" w:rsidRPr="00B57B36" w:rsidRDefault="006075AE" w:rsidP="004B3DCE">
            <w:pPr>
              <w:pStyle w:val="CETBodytext"/>
              <w:ind w:right="-1"/>
              <w:rPr>
                <w:rFonts w:cs="Arial"/>
                <w:szCs w:val="18"/>
                <w:lang w:val="en-GB"/>
              </w:rPr>
            </w:pPr>
            <w:r>
              <w:rPr>
                <w:rFonts w:cs="Arial"/>
                <w:szCs w:val="18"/>
                <w:lang w:val="en-GB"/>
              </w:rPr>
              <w:t>P</w:t>
            </w:r>
            <w:r w:rsidRPr="002B204D">
              <w:rPr>
                <w:rFonts w:cs="Arial"/>
                <w:szCs w:val="18"/>
                <w:vertAlign w:val="subscript"/>
                <w:lang w:val="en-GB"/>
              </w:rPr>
              <w:t>p</w:t>
            </w:r>
          </w:p>
        </w:tc>
        <w:tc>
          <w:tcPr>
            <w:tcW w:w="836" w:type="dxa"/>
            <w:shd w:val="clear" w:color="auto" w:fill="FFFFFF"/>
          </w:tcPr>
          <w:p w14:paraId="3056B447" w14:textId="02204973" w:rsidR="006075AE" w:rsidRPr="00B57B36" w:rsidRDefault="006075AE" w:rsidP="004B3DCE">
            <w:pPr>
              <w:pStyle w:val="CETBodytext"/>
              <w:ind w:right="-1"/>
              <w:rPr>
                <w:rFonts w:cs="Arial"/>
                <w:szCs w:val="18"/>
                <w:lang w:val="en-GB"/>
              </w:rPr>
            </w:pPr>
            <w:r>
              <w:rPr>
                <w:rFonts w:cs="Arial"/>
                <w:szCs w:val="18"/>
                <w:lang w:val="en-GB"/>
              </w:rPr>
              <w:t>44</w:t>
            </w:r>
          </w:p>
        </w:tc>
        <w:tc>
          <w:tcPr>
            <w:tcW w:w="892" w:type="dxa"/>
            <w:shd w:val="clear" w:color="auto" w:fill="FFFFFF"/>
          </w:tcPr>
          <w:p w14:paraId="094ED0B4" w14:textId="5843C850" w:rsidR="006075AE" w:rsidRPr="00B57B36" w:rsidRDefault="006075AE" w:rsidP="004B3DCE">
            <w:pPr>
              <w:pStyle w:val="CETBodytext"/>
              <w:ind w:right="-1"/>
              <w:rPr>
                <w:rFonts w:cs="Arial"/>
                <w:szCs w:val="18"/>
                <w:lang w:val="en-GB"/>
              </w:rPr>
            </w:pPr>
            <w:r>
              <w:rPr>
                <w:rFonts w:cs="Arial"/>
                <w:szCs w:val="18"/>
                <w:lang w:val="en-GB"/>
              </w:rPr>
              <w:t>MW</w:t>
            </w:r>
          </w:p>
        </w:tc>
        <w:tc>
          <w:tcPr>
            <w:tcW w:w="1108" w:type="dxa"/>
            <w:shd w:val="clear" w:color="auto" w:fill="FFFFFF"/>
          </w:tcPr>
          <w:p w14:paraId="186225F1" w14:textId="45CD79FB" w:rsidR="006075AE" w:rsidRDefault="006075AE" w:rsidP="004B3DCE">
            <w:pPr>
              <w:pStyle w:val="CETBodytext"/>
              <w:ind w:right="-1"/>
              <w:rPr>
                <w:rFonts w:cs="Arial"/>
                <w:szCs w:val="18"/>
                <w:lang w:val="en-GB"/>
              </w:rPr>
            </w:pPr>
            <w:r>
              <w:rPr>
                <w:rFonts w:cs="Arial"/>
                <w:szCs w:val="18"/>
                <w:lang w:val="en-GB"/>
              </w:rPr>
              <w:t>26.4</w:t>
            </w:r>
          </w:p>
        </w:tc>
        <w:tc>
          <w:tcPr>
            <w:tcW w:w="1093" w:type="dxa"/>
            <w:shd w:val="clear" w:color="auto" w:fill="FFFFFF"/>
          </w:tcPr>
          <w:p w14:paraId="13AEAF84" w14:textId="5D080DB0" w:rsidR="006075AE" w:rsidRDefault="006075AE" w:rsidP="004B3DCE">
            <w:pPr>
              <w:pStyle w:val="CETBodytext"/>
              <w:ind w:right="-1"/>
              <w:rPr>
                <w:rFonts w:cs="Arial"/>
                <w:szCs w:val="18"/>
                <w:lang w:val="en-GB"/>
              </w:rPr>
            </w:pPr>
            <w:r>
              <w:rPr>
                <w:rFonts w:cs="Arial"/>
                <w:szCs w:val="18"/>
                <w:lang w:val="en-GB"/>
              </w:rPr>
              <w:t>61.6</w:t>
            </w:r>
          </w:p>
        </w:tc>
        <w:tc>
          <w:tcPr>
            <w:tcW w:w="1093" w:type="dxa"/>
            <w:shd w:val="clear" w:color="auto" w:fill="FFFFFF"/>
          </w:tcPr>
          <w:p w14:paraId="305198E5" w14:textId="3ACB67E7" w:rsidR="006075AE" w:rsidRDefault="006075AE" w:rsidP="004B3DCE">
            <w:pPr>
              <w:pStyle w:val="CETBodytext"/>
              <w:ind w:right="-1"/>
              <w:rPr>
                <w:rFonts w:cs="Arial"/>
                <w:szCs w:val="18"/>
                <w:lang w:val="en-GB"/>
              </w:rPr>
            </w:pPr>
            <w:r>
              <w:rPr>
                <w:rFonts w:cs="Arial"/>
                <w:szCs w:val="18"/>
                <w:lang w:val="en-GB"/>
              </w:rPr>
              <w:t>0.44</w:t>
            </w:r>
          </w:p>
        </w:tc>
      </w:tr>
      <w:tr w:rsidR="006075AE" w:rsidRPr="00B57B36" w14:paraId="27BA5D38" w14:textId="45636594" w:rsidTr="006075AE">
        <w:tc>
          <w:tcPr>
            <w:tcW w:w="2636" w:type="dxa"/>
            <w:shd w:val="clear" w:color="auto" w:fill="FFFFFF"/>
          </w:tcPr>
          <w:p w14:paraId="64595CDE" w14:textId="33FBBB8D" w:rsidR="006075AE" w:rsidRPr="00B57B36" w:rsidRDefault="006075AE" w:rsidP="004B3DCE">
            <w:pPr>
              <w:pStyle w:val="CETBodytext"/>
              <w:ind w:right="-1"/>
              <w:rPr>
                <w:rFonts w:cs="Arial"/>
                <w:szCs w:val="18"/>
                <w:lang w:val="en-GB"/>
              </w:rPr>
            </w:pPr>
            <w:r>
              <w:rPr>
                <w:lang w:val="en-GB"/>
              </w:rPr>
              <w:t>Plant nominal power</w:t>
            </w:r>
          </w:p>
        </w:tc>
        <w:tc>
          <w:tcPr>
            <w:tcW w:w="908" w:type="dxa"/>
            <w:shd w:val="clear" w:color="auto" w:fill="FFFFFF"/>
          </w:tcPr>
          <w:p w14:paraId="534C9760" w14:textId="68A26E3E" w:rsidR="006075AE" w:rsidRPr="00B57B36" w:rsidRDefault="006075AE" w:rsidP="004B3DCE">
            <w:pPr>
              <w:pStyle w:val="CETBodytext"/>
              <w:ind w:right="-1"/>
              <w:rPr>
                <w:rFonts w:cs="Arial"/>
                <w:szCs w:val="18"/>
                <w:lang w:val="en-GB"/>
              </w:rPr>
            </w:pPr>
            <w:r>
              <w:rPr>
                <w:lang w:val="en-GB"/>
              </w:rPr>
              <w:t>P</w:t>
            </w:r>
            <w:r w:rsidRPr="002B204D">
              <w:rPr>
                <w:vertAlign w:val="subscript"/>
                <w:lang w:val="en-GB"/>
              </w:rPr>
              <w:t>e</w:t>
            </w:r>
          </w:p>
        </w:tc>
        <w:tc>
          <w:tcPr>
            <w:tcW w:w="836" w:type="dxa"/>
            <w:shd w:val="clear" w:color="auto" w:fill="FFFFFF"/>
          </w:tcPr>
          <w:p w14:paraId="3C5818D7" w14:textId="2E10F3FF" w:rsidR="006075AE" w:rsidRPr="00B57B36" w:rsidRDefault="006075AE" w:rsidP="004B3DCE">
            <w:pPr>
              <w:pStyle w:val="CETBodytext"/>
              <w:ind w:right="-1"/>
              <w:rPr>
                <w:rFonts w:cs="Arial"/>
                <w:szCs w:val="18"/>
                <w:lang w:val="en-GB"/>
              </w:rPr>
            </w:pPr>
            <w:r>
              <w:rPr>
                <w:lang w:val="en-GB"/>
              </w:rPr>
              <w:t>4</w:t>
            </w:r>
          </w:p>
        </w:tc>
        <w:tc>
          <w:tcPr>
            <w:tcW w:w="892" w:type="dxa"/>
            <w:shd w:val="clear" w:color="auto" w:fill="FFFFFF"/>
          </w:tcPr>
          <w:p w14:paraId="1ABDB737" w14:textId="5B6D57D9" w:rsidR="006075AE" w:rsidRPr="00B57B36" w:rsidRDefault="006075AE" w:rsidP="004B3DCE">
            <w:pPr>
              <w:pStyle w:val="CETBodytext"/>
              <w:ind w:right="-1"/>
              <w:rPr>
                <w:rFonts w:cs="Arial"/>
                <w:szCs w:val="18"/>
                <w:lang w:val="en-GB"/>
              </w:rPr>
            </w:pPr>
            <w:r>
              <w:rPr>
                <w:rFonts w:cs="Arial"/>
                <w:szCs w:val="18"/>
                <w:lang w:val="en-GB"/>
              </w:rPr>
              <w:t>MW</w:t>
            </w:r>
          </w:p>
        </w:tc>
        <w:tc>
          <w:tcPr>
            <w:tcW w:w="1108" w:type="dxa"/>
            <w:shd w:val="clear" w:color="auto" w:fill="FFFFFF"/>
          </w:tcPr>
          <w:p w14:paraId="716EE9DB" w14:textId="77777777" w:rsidR="006075AE" w:rsidRDefault="006075AE" w:rsidP="004B3DCE">
            <w:pPr>
              <w:pStyle w:val="CETBodytext"/>
              <w:ind w:right="-1"/>
              <w:rPr>
                <w:rFonts w:cs="Arial"/>
                <w:szCs w:val="18"/>
                <w:lang w:val="en-GB"/>
              </w:rPr>
            </w:pPr>
          </w:p>
        </w:tc>
        <w:tc>
          <w:tcPr>
            <w:tcW w:w="1093" w:type="dxa"/>
            <w:shd w:val="clear" w:color="auto" w:fill="FFFFFF"/>
          </w:tcPr>
          <w:p w14:paraId="46E7C837" w14:textId="77777777" w:rsidR="006075AE" w:rsidRDefault="006075AE" w:rsidP="004B3DCE">
            <w:pPr>
              <w:pStyle w:val="CETBodytext"/>
              <w:ind w:right="-1"/>
              <w:rPr>
                <w:rFonts w:cs="Arial"/>
                <w:szCs w:val="18"/>
                <w:lang w:val="en-GB"/>
              </w:rPr>
            </w:pPr>
          </w:p>
        </w:tc>
        <w:tc>
          <w:tcPr>
            <w:tcW w:w="1093" w:type="dxa"/>
            <w:shd w:val="clear" w:color="auto" w:fill="FFFFFF"/>
          </w:tcPr>
          <w:p w14:paraId="113CB72F" w14:textId="77777777" w:rsidR="006075AE" w:rsidRDefault="006075AE" w:rsidP="004B3DCE">
            <w:pPr>
              <w:pStyle w:val="CETBodytext"/>
              <w:ind w:right="-1"/>
              <w:rPr>
                <w:rFonts w:cs="Arial"/>
                <w:szCs w:val="18"/>
                <w:lang w:val="en-GB"/>
              </w:rPr>
            </w:pPr>
          </w:p>
        </w:tc>
      </w:tr>
    </w:tbl>
    <w:p w14:paraId="7C7F9302" w14:textId="7AA3A0E4" w:rsidR="00D96070" w:rsidRDefault="00D96070" w:rsidP="004C0EEE">
      <w:pPr>
        <w:pStyle w:val="CETBodytext"/>
      </w:pPr>
    </w:p>
    <w:p w14:paraId="4B5F33C3" w14:textId="1319D442" w:rsidR="004C0EEE" w:rsidRDefault="004C0EEE" w:rsidP="004C0EEE">
      <w:pPr>
        <w:pStyle w:val="CETheadingx"/>
      </w:pPr>
      <w:r>
        <w:t>Uncertain variables</w:t>
      </w:r>
    </w:p>
    <w:p w14:paraId="7F50AA5D" w14:textId="6E037A12" w:rsidR="00FB6FCB" w:rsidRDefault="004C0EEE" w:rsidP="004C0EEE">
      <w:pPr>
        <w:pStyle w:val="CETBodytext"/>
        <w:rPr>
          <w:lang w:val="en-GB"/>
        </w:rPr>
      </w:pPr>
      <w:r>
        <w:rPr>
          <w:lang w:val="en-GB"/>
        </w:rPr>
        <w:t xml:space="preserve">As concerns the </w:t>
      </w:r>
      <w:r w:rsidR="00FB6FCB">
        <w:rPr>
          <w:lang w:val="en-GB"/>
        </w:rPr>
        <w:t xml:space="preserve">uncertain parameters to be modified during the flexibility analysis, </w:t>
      </w:r>
      <w:r w:rsidR="003C6D90">
        <w:rPr>
          <w:lang w:val="en-GB"/>
        </w:rPr>
        <w:t xml:space="preserve">four of them have been selected as listed in Table </w:t>
      </w:r>
      <w:r w:rsidR="008B1F25">
        <w:rPr>
          <w:lang w:val="en-GB"/>
        </w:rPr>
        <w:t>1</w:t>
      </w:r>
      <w:r w:rsidR="003C6D90">
        <w:rPr>
          <w:lang w:val="en-GB"/>
        </w:rPr>
        <w:t xml:space="preserve"> </w:t>
      </w:r>
      <w:r w:rsidR="00FB6FCB">
        <w:rPr>
          <w:lang w:val="en-GB"/>
        </w:rPr>
        <w:t>according to their variation range</w:t>
      </w:r>
      <w:r w:rsidR="001A056B">
        <w:rPr>
          <w:lang w:val="en-GB"/>
        </w:rPr>
        <w:t xml:space="preserve"> and discretization step</w:t>
      </w:r>
      <w:r w:rsidR="00FB6FCB">
        <w:rPr>
          <w:lang w:val="en-GB"/>
        </w:rPr>
        <w:t>.</w:t>
      </w:r>
    </w:p>
    <w:p w14:paraId="650D59BB" w14:textId="7985E90F" w:rsidR="003C6D90" w:rsidRDefault="00D137D6" w:rsidP="004C0EEE">
      <w:pPr>
        <w:pStyle w:val="CETBodytext"/>
        <w:rPr>
          <w:lang w:val="en-GB"/>
        </w:rPr>
      </w:pPr>
      <w:r>
        <w:rPr>
          <w:lang w:val="en-GB"/>
        </w:rPr>
        <w:t xml:space="preserve">In particular the biomass properties variability is related to its nature that depends both on the year seasons and on the specific feedstock selected for the cogeneration sections. </w:t>
      </w:r>
      <w:r w:rsidR="001A056B">
        <w:rPr>
          <w:lang w:val="en-GB"/>
        </w:rPr>
        <w:t>The solar power as well can vary over the years seasons according to the values for Rome obtained thanks to the model UNI 8477/1. Finally, the CO</w:t>
      </w:r>
      <w:r w:rsidR="001A056B" w:rsidRPr="001A056B">
        <w:rPr>
          <w:vertAlign w:val="subscript"/>
          <w:lang w:val="en-GB"/>
        </w:rPr>
        <w:t>2</w:t>
      </w:r>
      <w:r w:rsidR="001A056B">
        <w:rPr>
          <w:lang w:val="en-GB"/>
        </w:rPr>
        <w:t xml:space="preserve"> capture performances could vary due to inherent perturbation of the absorption section.</w:t>
      </w:r>
    </w:p>
    <w:p w14:paraId="68D26B83" w14:textId="73C8385E" w:rsidR="00600535" w:rsidRPr="00B57B36" w:rsidRDefault="001939F7" w:rsidP="00600535">
      <w:pPr>
        <w:pStyle w:val="CETHeading1"/>
        <w:rPr>
          <w:lang w:val="en-GB"/>
        </w:rPr>
      </w:pPr>
      <w:r>
        <w:rPr>
          <w:lang w:val="en-GB"/>
        </w:rPr>
        <w:t>Methodology</w:t>
      </w:r>
    </w:p>
    <w:p w14:paraId="05961615" w14:textId="32A047ED" w:rsidR="007F6F41" w:rsidRDefault="000E5B38" w:rsidP="001939F7">
      <w:pPr>
        <w:pStyle w:val="CETBodytext"/>
      </w:pPr>
      <w:r>
        <w:t>In th</w:t>
      </w:r>
      <w:r w:rsidR="001520BA">
        <w:t xml:space="preserve">e next subsections </w:t>
      </w:r>
      <w:r>
        <w:t xml:space="preserve">both the power-to-methanol plant design and the flexibility analysis </w:t>
      </w:r>
      <w:r w:rsidR="001520BA">
        <w:t>will be</w:t>
      </w:r>
      <w:r>
        <w:t xml:space="preserve"> discussed in detail. In particular, the analysis is performed by coupling a </w:t>
      </w:r>
      <w:proofErr w:type="spellStart"/>
      <w:r>
        <w:t>Matlab</w:t>
      </w:r>
      <w:proofErr w:type="spellEnd"/>
      <w:r>
        <w:t xml:space="preserve"> code with </w:t>
      </w:r>
      <w:r w:rsidR="00E929DD">
        <w:t>the Pro II process</w:t>
      </w:r>
      <w:r>
        <w:t xml:space="preserve"> simulation.</w:t>
      </w:r>
      <w:r w:rsidR="007F6F41">
        <w:t xml:space="preserve"> The former software is used to generate the uncertain parameter discretization and to perform preliminary calculations required to provide the input data that </w:t>
      </w:r>
      <w:r w:rsidR="00E929DD">
        <w:t xml:space="preserve">are then </w:t>
      </w:r>
      <w:r w:rsidR="007F6F41">
        <w:t>exploited by the process simulator to calculate results over the uncertain domain</w:t>
      </w:r>
      <w:r w:rsidR="004F1ED4">
        <w:t>.</w:t>
      </w:r>
    </w:p>
    <w:p w14:paraId="2055A071" w14:textId="234644AF" w:rsidR="001939F7" w:rsidRDefault="000E5B38" w:rsidP="001939F7">
      <w:pPr>
        <w:pStyle w:val="CETheadingx"/>
        <w:numPr>
          <w:ilvl w:val="2"/>
          <w:numId w:val="23"/>
        </w:numPr>
      </w:pPr>
      <w:r>
        <w:t>Plant design and simulation</w:t>
      </w:r>
    </w:p>
    <w:p w14:paraId="399029A7" w14:textId="0197966B" w:rsidR="00690836" w:rsidRDefault="007F6F41" w:rsidP="00E17D51">
      <w:pPr>
        <w:pStyle w:val="CETBodytext"/>
      </w:pPr>
      <w:r>
        <w:t xml:space="preserve">The plant design is </w:t>
      </w:r>
      <w:r w:rsidR="001D559D">
        <w:t xml:space="preserve">performed in two </w:t>
      </w:r>
      <w:r w:rsidR="00690836">
        <w:t>phases</w:t>
      </w:r>
      <w:r w:rsidR="001D559D">
        <w:t xml:space="preserve"> with different degree</w:t>
      </w:r>
      <w:r w:rsidR="00690836">
        <w:t>s</w:t>
      </w:r>
      <w:r w:rsidR="001D559D">
        <w:t xml:space="preserve"> of accuracy. The first part is </w:t>
      </w:r>
      <w:r w:rsidR="008D2CA5">
        <w:t xml:space="preserve">calculated via </w:t>
      </w:r>
      <w:proofErr w:type="spellStart"/>
      <w:r w:rsidR="008D2CA5">
        <w:t>Matlab</w:t>
      </w:r>
      <w:proofErr w:type="spellEnd"/>
      <w:r w:rsidR="004F1ED4">
        <w:t xml:space="preserve"> </w:t>
      </w:r>
      <w:r w:rsidR="00690836">
        <w:t xml:space="preserve">and </w:t>
      </w:r>
      <w:r w:rsidR="004F1ED4">
        <w:t>exploit</w:t>
      </w:r>
      <w:r w:rsidR="00690836">
        <w:t>s</w:t>
      </w:r>
      <w:r w:rsidR="004F1ED4">
        <w:t xml:space="preserve"> mass and energy balances. Given the power of the plant and the biomass specific heat, the feed flowrate is </w:t>
      </w:r>
      <w:r w:rsidR="00152BBB">
        <w:t>evalu</w:t>
      </w:r>
      <w:r w:rsidR="004F1ED4">
        <w:t>ated and, thus, the amount of CO</w:t>
      </w:r>
      <w:r w:rsidR="004F1ED4" w:rsidRPr="004F1ED4">
        <w:rPr>
          <w:vertAlign w:val="subscript"/>
        </w:rPr>
        <w:t>2</w:t>
      </w:r>
      <w:r w:rsidR="004F1ED4">
        <w:t xml:space="preserve"> that is captured can be quantified. After that, the stoichiometric amount of hydrogen is assessed and the required electrolys</w:t>
      </w:r>
      <w:r w:rsidR="00E929DD">
        <w:t>is</w:t>
      </w:r>
      <w:r w:rsidR="004F1ED4">
        <w:t xml:space="preserve"> energy consumption is </w:t>
      </w:r>
      <w:r w:rsidR="00152BBB">
        <w:t>obtained</w:t>
      </w:r>
      <w:r w:rsidR="004F1ED4">
        <w:t xml:space="preserve"> as a consequence.</w:t>
      </w:r>
      <w:r w:rsidR="00690836">
        <w:t xml:space="preserve"> All required model equations are listed here below:</w:t>
      </w:r>
    </w:p>
    <w:tbl>
      <w:tblPr>
        <w:tblW w:w="5000" w:type="pct"/>
        <w:tblLook w:val="04A0" w:firstRow="1" w:lastRow="0" w:firstColumn="1" w:lastColumn="0" w:noHBand="0" w:noVBand="1"/>
      </w:tblPr>
      <w:tblGrid>
        <w:gridCol w:w="7983"/>
        <w:gridCol w:w="804"/>
      </w:tblGrid>
      <w:tr w:rsidR="00690836" w14:paraId="4D8F3D8B" w14:textId="77777777" w:rsidTr="002C5119">
        <w:tc>
          <w:tcPr>
            <w:tcW w:w="7983" w:type="dxa"/>
            <w:vAlign w:val="center"/>
            <w:hideMark/>
          </w:tcPr>
          <w:p w14:paraId="605C74B2" w14:textId="19A5D601" w:rsidR="00690836" w:rsidRDefault="00000000" w:rsidP="00BB6F4D">
            <w:pPr>
              <w:pStyle w:val="CETEquation"/>
            </w:pPr>
            <m:oMathPara>
              <m:oMathParaPr>
                <m:jc m:val="left"/>
              </m:oMathParaPr>
              <m:oMath>
                <m:sSub>
                  <m:sSubPr>
                    <m:ctrlPr>
                      <w:rPr>
                        <w:rFonts w:ascii="Cambria Math" w:hAnsi="Cambria Math"/>
                        <w:lang w:val="en-US"/>
                      </w:rPr>
                    </m:ctrlPr>
                  </m:sSubPr>
                  <m:e>
                    <m:r>
                      <w:rPr>
                        <w:rFonts w:ascii="Cambria Math" w:eastAsia="Calibri" w:hAnsi="Cambria Math"/>
                        <w:lang w:val="en-US"/>
                      </w:rPr>
                      <m:t>F</m:t>
                    </m:r>
                  </m:e>
                  <m:sub>
                    <m:r>
                      <w:rPr>
                        <w:rFonts w:ascii="Cambria Math" w:eastAsia="Calibri" w:hAnsi="Cambria Math"/>
                        <w:lang w:val="en-US"/>
                      </w:rPr>
                      <m:t>b</m:t>
                    </m:r>
                  </m:sub>
                </m:sSub>
                <m:r>
                  <m:rPr>
                    <m:sty m:val="p"/>
                  </m:rPr>
                  <w:rPr>
                    <w:rFonts w:ascii="Cambria Math" w:eastAsia="Calibri" w:hAnsi="Cambria Math"/>
                    <w:lang w:val="en-US"/>
                  </w:rPr>
                  <m:t>=</m:t>
                </m:r>
                <m:f>
                  <m:fPr>
                    <m:ctrlPr>
                      <w:rPr>
                        <w:rFonts w:ascii="Cambria Math" w:eastAsia="Calibri" w:hAnsi="Cambria Math"/>
                        <w:i/>
                        <w:iCs/>
                        <w:lang w:val="en-US"/>
                      </w:rPr>
                    </m:ctrlPr>
                  </m:fPr>
                  <m:num>
                    <m:sSub>
                      <m:sSubPr>
                        <m:ctrlPr>
                          <w:rPr>
                            <w:rFonts w:ascii="Cambria Math" w:eastAsia="Calibri" w:hAnsi="Cambria Math"/>
                            <w:i/>
                            <w:iCs/>
                            <w:lang w:val="en-US"/>
                          </w:rPr>
                        </m:ctrlPr>
                      </m:sSubPr>
                      <m:e>
                        <m:r>
                          <w:rPr>
                            <w:rFonts w:ascii="Cambria Math" w:eastAsia="Calibri" w:hAnsi="Cambria Math"/>
                            <w:lang w:val="en-US"/>
                          </w:rPr>
                          <m:t>P</m:t>
                        </m:r>
                      </m:e>
                      <m:sub>
                        <m:r>
                          <w:rPr>
                            <w:rFonts w:ascii="Cambria Math" w:eastAsia="Calibri" w:hAnsi="Cambria Math"/>
                            <w:lang w:val="en-US"/>
                          </w:rPr>
                          <m:t>e</m:t>
                        </m:r>
                      </m:sub>
                    </m:sSub>
                  </m:num>
                  <m:den>
                    <m:sSub>
                      <m:sSubPr>
                        <m:ctrlPr>
                          <w:rPr>
                            <w:rFonts w:ascii="Cambria Math" w:eastAsia="Calibri" w:hAnsi="Cambria Math"/>
                            <w:i/>
                            <w:iCs/>
                            <w:lang w:val="en-US"/>
                          </w:rPr>
                        </m:ctrlPr>
                      </m:sSubPr>
                      <m:e>
                        <m:r>
                          <w:rPr>
                            <w:rFonts w:ascii="Cambria Math" w:eastAsia="Calibri" w:hAnsi="Cambria Math"/>
                            <w:lang w:val="en-US"/>
                          </w:rPr>
                          <m:t>η</m:t>
                        </m:r>
                      </m:e>
                      <m:sub>
                        <m:r>
                          <w:rPr>
                            <w:rFonts w:ascii="Cambria Math" w:eastAsia="Calibri" w:hAnsi="Cambria Math"/>
                            <w:lang w:val="en-US"/>
                          </w:rPr>
                          <m:t>e</m:t>
                        </m:r>
                      </m:sub>
                    </m:sSub>
                    <m:r>
                      <w:rPr>
                        <w:rFonts w:ascii="Cambria Math" w:eastAsia="Calibri" w:hAnsi="Cambria Math"/>
                        <w:lang w:val="en-US"/>
                      </w:rPr>
                      <m:t>⋅</m:t>
                    </m:r>
                    <m:sSub>
                      <m:sSubPr>
                        <m:ctrlPr>
                          <w:rPr>
                            <w:rFonts w:ascii="Cambria Math" w:eastAsia="Calibri" w:hAnsi="Cambria Math"/>
                            <w:i/>
                            <w:iCs/>
                            <w:lang w:val="en-US"/>
                          </w:rPr>
                        </m:ctrlPr>
                      </m:sSubPr>
                      <m:e>
                        <m:r>
                          <w:rPr>
                            <w:rFonts w:ascii="Cambria Math" w:eastAsia="Calibri" w:hAnsi="Cambria Math"/>
                            <w:lang w:val="en-US"/>
                          </w:rPr>
                          <m:t>H</m:t>
                        </m:r>
                      </m:e>
                      <m:sub>
                        <m:r>
                          <w:rPr>
                            <w:rFonts w:ascii="Cambria Math" w:eastAsia="Calibri" w:hAnsi="Cambria Math"/>
                            <w:lang w:val="en-US"/>
                          </w:rPr>
                          <m:t>b</m:t>
                        </m:r>
                      </m:sub>
                    </m:sSub>
                  </m:den>
                </m:f>
              </m:oMath>
            </m:oMathPara>
          </w:p>
        </w:tc>
        <w:tc>
          <w:tcPr>
            <w:tcW w:w="804" w:type="dxa"/>
            <w:vAlign w:val="center"/>
            <w:hideMark/>
          </w:tcPr>
          <w:p w14:paraId="55F5B0DF" w14:textId="77777777" w:rsidR="00690836" w:rsidRDefault="00690836" w:rsidP="00BB6F4D">
            <w:pPr>
              <w:pStyle w:val="CETEquation"/>
              <w:jc w:val="right"/>
            </w:pPr>
            <w:r>
              <w:t>(1)</w:t>
            </w:r>
          </w:p>
        </w:tc>
      </w:tr>
      <w:tr w:rsidR="00690836" w14:paraId="0185EB62" w14:textId="77777777" w:rsidTr="002C5119">
        <w:tc>
          <w:tcPr>
            <w:tcW w:w="7983" w:type="dxa"/>
            <w:vAlign w:val="center"/>
            <w:hideMark/>
          </w:tcPr>
          <w:p w14:paraId="0B38D1DE" w14:textId="3545BF99" w:rsidR="00690836" w:rsidRDefault="00000000" w:rsidP="00BB6F4D">
            <w:pPr>
              <w:pStyle w:val="CETEquation"/>
              <w:rPr>
                <w:rFonts w:eastAsia="Calibri"/>
              </w:rPr>
            </w:pPr>
            <m:oMathPara>
              <m:oMathParaPr>
                <m:jc m:val="left"/>
              </m:oMathParaP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C</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2</m:t>
                        </m:r>
                      </m:sub>
                    </m:sSub>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η</m:t>
                    </m:r>
                  </m:e>
                  <m:sub>
                    <m:r>
                      <w:rPr>
                        <w:rFonts w:ascii="Cambria Math" w:eastAsia="Calibri" w:hAnsi="Cambria Math"/>
                      </w:rPr>
                      <m:t>c</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b</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b</m:t>
                    </m:r>
                  </m:sub>
                </m:sSub>
              </m:oMath>
            </m:oMathPara>
          </w:p>
        </w:tc>
        <w:tc>
          <w:tcPr>
            <w:tcW w:w="804" w:type="dxa"/>
            <w:vAlign w:val="center"/>
            <w:hideMark/>
          </w:tcPr>
          <w:p w14:paraId="1DD7F95B" w14:textId="77777777" w:rsidR="00690836" w:rsidRDefault="00690836" w:rsidP="00BB6F4D">
            <w:pPr>
              <w:pStyle w:val="CETEquation"/>
              <w:jc w:val="right"/>
            </w:pPr>
            <w:r>
              <w:t>(2)</w:t>
            </w:r>
          </w:p>
        </w:tc>
      </w:tr>
      <w:tr w:rsidR="00690836" w14:paraId="0C696EF5" w14:textId="77777777" w:rsidTr="002C5119">
        <w:tc>
          <w:tcPr>
            <w:tcW w:w="7983" w:type="dxa"/>
            <w:vAlign w:val="center"/>
            <w:hideMark/>
          </w:tcPr>
          <w:p w14:paraId="09A3C17B" w14:textId="4EDDB11C" w:rsidR="00690836" w:rsidRDefault="00000000" w:rsidP="00BB6F4D">
            <w:pPr>
              <w:pStyle w:val="CETEquation"/>
              <w:rPr>
                <w:rFonts w:ascii="F15" w:eastAsia="Calibri" w:hAnsi="F15" w:cs="F15"/>
                <w:lang w:val="en-US"/>
              </w:rPr>
            </w:pPr>
            <m:oMathPara>
              <m:oMathParaPr>
                <m:jc m:val="left"/>
              </m:oMathParaPr>
              <m:oMath>
                <m:sSub>
                  <m:sSubPr>
                    <m:ctrlPr>
                      <w:rPr>
                        <w:rFonts w:ascii="Cambria Math" w:eastAsia="Calibri" w:hAnsi="Cambria Math"/>
                        <w:i/>
                        <w:lang w:val="en-US"/>
                      </w:rPr>
                    </m:ctrlPr>
                  </m:sSubPr>
                  <m:e>
                    <m:r>
                      <w:rPr>
                        <w:rFonts w:ascii="Cambria Math" w:eastAsia="Calibri" w:hAnsi="Cambria Math"/>
                        <w:lang w:val="en-US"/>
                      </w:rPr>
                      <m:t>F</m:t>
                    </m:r>
                  </m:e>
                  <m:sub>
                    <m:sSub>
                      <m:sSubPr>
                        <m:ctrlPr>
                          <w:rPr>
                            <w:rFonts w:ascii="Cambria Math" w:eastAsia="Calibri" w:hAnsi="Cambria Math"/>
                            <w:i/>
                            <w:lang w:val="en-US"/>
                          </w:rPr>
                        </m:ctrlPr>
                      </m:sSubPr>
                      <m:e>
                        <m:r>
                          <w:rPr>
                            <w:rFonts w:ascii="Cambria Math" w:eastAsia="Calibri" w:hAnsi="Cambria Math"/>
                            <w:lang w:val="en-US"/>
                          </w:rPr>
                          <m:t>H</m:t>
                        </m:r>
                      </m:e>
                      <m:sub>
                        <m:r>
                          <w:rPr>
                            <w:rFonts w:ascii="Cambria Math" w:eastAsia="Calibri" w:hAnsi="Cambria Math"/>
                            <w:lang w:val="en-US"/>
                          </w:rPr>
                          <m:t>2</m:t>
                        </m:r>
                      </m:sub>
                    </m:sSub>
                  </m:sub>
                </m:sSub>
                <m:r>
                  <m:rPr>
                    <m:sty m:val="p"/>
                  </m:rPr>
                  <w:rPr>
                    <w:rFonts w:ascii="Cambria Math" w:eastAsia="Calibri" w:hAnsi="Cambria Math"/>
                    <w:lang w:val="en-US"/>
                  </w:rPr>
                  <m:t>=</m:t>
                </m:r>
                <m:r>
                  <w:rPr>
                    <w:rFonts w:ascii="Cambria Math" w:eastAsia="Calibri" w:hAnsi="Cambria Math"/>
                    <w:lang w:val="en-US"/>
                  </w:rPr>
                  <m:t>r⋅</m:t>
                </m:r>
                <m:sSub>
                  <m:sSubPr>
                    <m:ctrlPr>
                      <w:rPr>
                        <w:rFonts w:ascii="Cambria Math" w:eastAsia="Calibri" w:hAnsi="Cambria Math"/>
                        <w:i/>
                        <w:lang w:val="en-US"/>
                      </w:rPr>
                    </m:ctrlPr>
                  </m:sSubPr>
                  <m:e>
                    <m:r>
                      <w:rPr>
                        <w:rFonts w:ascii="Cambria Math" w:eastAsia="Calibri" w:hAnsi="Cambria Math"/>
                        <w:lang w:val="en-US"/>
                      </w:rPr>
                      <m:t>F</m:t>
                    </m:r>
                  </m:e>
                  <m:sub>
                    <m:r>
                      <w:rPr>
                        <w:rFonts w:ascii="Cambria Math" w:eastAsia="Calibri" w:hAnsi="Cambria Math"/>
                        <w:lang w:val="en-US"/>
                      </w:rPr>
                      <m:t>C</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2</m:t>
                        </m:r>
                      </m:sub>
                    </m:sSub>
                  </m:sub>
                </m:sSub>
              </m:oMath>
            </m:oMathPara>
          </w:p>
        </w:tc>
        <w:tc>
          <w:tcPr>
            <w:tcW w:w="804" w:type="dxa"/>
            <w:vAlign w:val="center"/>
            <w:hideMark/>
          </w:tcPr>
          <w:p w14:paraId="6A424BF9" w14:textId="77777777" w:rsidR="00690836" w:rsidRDefault="00690836" w:rsidP="00BB6F4D">
            <w:pPr>
              <w:pStyle w:val="CETEquation"/>
              <w:jc w:val="right"/>
            </w:pPr>
            <w:r>
              <w:t>(3)</w:t>
            </w:r>
          </w:p>
        </w:tc>
      </w:tr>
      <w:tr w:rsidR="00690836" w14:paraId="38488657" w14:textId="77777777" w:rsidTr="002C5119">
        <w:tc>
          <w:tcPr>
            <w:tcW w:w="7983" w:type="dxa"/>
            <w:vAlign w:val="center"/>
            <w:hideMark/>
          </w:tcPr>
          <w:p w14:paraId="43D2608E" w14:textId="2389E9C1" w:rsidR="00690836" w:rsidRDefault="00000000" w:rsidP="00BB6F4D">
            <w:pPr>
              <w:pStyle w:val="CETEquation"/>
              <w:rPr>
                <w:rFonts w:ascii="F15" w:eastAsia="Calibri" w:hAnsi="F15" w:cs="F15"/>
                <w:lang w:val="en-US"/>
              </w:rPr>
            </w:pPr>
            <m:oMathPara>
              <m:oMathParaPr>
                <m:jc m:val="left"/>
              </m:oMathParaPr>
              <m:oMath>
                <m:sSub>
                  <m:sSubPr>
                    <m:ctrlPr>
                      <w:rPr>
                        <w:rFonts w:ascii="Cambria Math" w:eastAsia="Calibri" w:hAnsi="Cambria Math" w:cs="F15"/>
                        <w:i/>
                        <w:lang w:val="en-US"/>
                      </w:rPr>
                    </m:ctrlPr>
                  </m:sSubPr>
                  <m:e>
                    <m:r>
                      <w:rPr>
                        <w:rFonts w:ascii="Cambria Math" w:eastAsia="Calibri" w:hAnsi="Cambria Math" w:cs="F15"/>
                        <w:lang w:val="en-US"/>
                      </w:rPr>
                      <m:t>P</m:t>
                    </m:r>
                  </m:e>
                  <m:sub>
                    <m:r>
                      <w:rPr>
                        <w:rFonts w:ascii="Cambria Math" w:eastAsia="Calibri" w:hAnsi="Cambria Math" w:cs="F15"/>
                        <w:lang w:val="en-US"/>
                      </w:rPr>
                      <m:t>el</m:t>
                    </m:r>
                  </m:sub>
                </m:sSub>
                <m:r>
                  <w:rPr>
                    <w:rFonts w:ascii="Cambria Math" w:eastAsia="Calibri" w:hAnsi="Cambria Math" w:cs="F15"/>
                    <w:lang w:val="en-US"/>
                  </w:rPr>
                  <m:t>=</m:t>
                </m:r>
                <m:sSub>
                  <m:sSubPr>
                    <m:ctrlPr>
                      <w:rPr>
                        <w:rFonts w:ascii="Cambria Math" w:eastAsia="Calibri" w:hAnsi="Cambria Math" w:cs="F15"/>
                        <w:i/>
                        <w:lang w:val="en-US"/>
                      </w:rPr>
                    </m:ctrlPr>
                  </m:sSubPr>
                  <m:e>
                    <m:r>
                      <w:rPr>
                        <w:rFonts w:ascii="Cambria Math" w:eastAsia="Calibri" w:hAnsi="Cambria Math" w:cs="F15"/>
                        <w:lang w:val="en-US"/>
                      </w:rPr>
                      <m:t>F</m:t>
                    </m:r>
                  </m:e>
                  <m:sub>
                    <m:sSub>
                      <m:sSubPr>
                        <m:ctrlPr>
                          <w:rPr>
                            <w:rFonts w:ascii="Cambria Math" w:eastAsia="Calibri" w:hAnsi="Cambria Math" w:cs="F15"/>
                            <w:i/>
                            <w:lang w:val="en-US"/>
                          </w:rPr>
                        </m:ctrlPr>
                      </m:sSubPr>
                      <m:e>
                        <m:r>
                          <w:rPr>
                            <w:rFonts w:ascii="Cambria Math" w:eastAsia="Calibri" w:hAnsi="Cambria Math" w:cs="F15"/>
                            <w:lang w:val="en-US"/>
                          </w:rPr>
                          <m:t>H</m:t>
                        </m:r>
                      </m:e>
                      <m:sub>
                        <m:r>
                          <w:rPr>
                            <w:rFonts w:ascii="Cambria Math" w:eastAsia="Calibri" w:hAnsi="Cambria Math" w:cs="F15"/>
                            <w:lang w:val="en-US"/>
                          </w:rPr>
                          <m:t>2</m:t>
                        </m:r>
                      </m:sub>
                    </m:sSub>
                  </m:sub>
                </m:sSub>
                <m:r>
                  <w:rPr>
                    <w:rFonts w:ascii="Cambria Math" w:eastAsia="Calibri" w:hAnsi="Cambria Math" w:cs="F15"/>
                    <w:lang w:val="en-US"/>
                  </w:rPr>
                  <m:t>⋅</m:t>
                </m:r>
                <m:sSub>
                  <m:sSubPr>
                    <m:ctrlPr>
                      <w:rPr>
                        <w:rFonts w:ascii="Cambria Math" w:eastAsia="Calibri" w:hAnsi="Cambria Math" w:cs="F15"/>
                        <w:i/>
                        <w:lang w:val="en-US"/>
                      </w:rPr>
                    </m:ctrlPr>
                  </m:sSubPr>
                  <m:e>
                    <m:r>
                      <w:rPr>
                        <w:rFonts w:ascii="Cambria Math" w:eastAsia="Calibri" w:hAnsi="Cambria Math" w:cs="F15"/>
                        <w:lang w:val="en-US"/>
                      </w:rPr>
                      <m:t>E</m:t>
                    </m:r>
                  </m:e>
                  <m:sub>
                    <m:r>
                      <w:rPr>
                        <w:rFonts w:ascii="Cambria Math" w:eastAsia="Calibri" w:hAnsi="Cambria Math" w:cs="F15"/>
                        <w:lang w:val="en-US"/>
                      </w:rPr>
                      <m:t>el</m:t>
                    </m:r>
                  </m:sub>
                </m:sSub>
              </m:oMath>
            </m:oMathPara>
          </w:p>
        </w:tc>
        <w:tc>
          <w:tcPr>
            <w:tcW w:w="804" w:type="dxa"/>
            <w:vAlign w:val="center"/>
            <w:hideMark/>
          </w:tcPr>
          <w:p w14:paraId="78CF0039" w14:textId="77777777" w:rsidR="00690836" w:rsidRDefault="00690836" w:rsidP="00BB6F4D">
            <w:pPr>
              <w:pStyle w:val="CETEquation"/>
              <w:jc w:val="right"/>
            </w:pPr>
            <w:r>
              <w:t>(4)</w:t>
            </w:r>
          </w:p>
        </w:tc>
      </w:tr>
    </w:tbl>
    <w:p w14:paraId="0FF8BFAF" w14:textId="51CAC852" w:rsidR="001939F7" w:rsidRDefault="00CA1660" w:rsidP="00E17D51">
      <w:pPr>
        <w:pStyle w:val="CETBodytext"/>
      </w:pPr>
      <w:r>
        <w:t>T</w:t>
      </w:r>
      <w:r w:rsidR="001D559D">
        <w:t>herefore, the</w:t>
      </w:r>
      <w:r w:rsidR="00892C70">
        <w:t xml:space="preserve"> obtained data </w:t>
      </w:r>
      <w:r w:rsidR="004F1ED4">
        <w:t xml:space="preserve">for process feed </w:t>
      </w:r>
      <w:r w:rsidR="00892C70">
        <w:t xml:space="preserve">are </w:t>
      </w:r>
      <w:r w:rsidR="004F1ED4">
        <w:t xml:space="preserve">sent to the </w:t>
      </w:r>
      <w:r w:rsidR="00690836">
        <w:t xml:space="preserve">Pro II </w:t>
      </w:r>
      <w:r w:rsidR="00892C70">
        <w:t>to simulate</w:t>
      </w:r>
      <w:r w:rsidR="001D559D">
        <w:t xml:space="preserve"> </w:t>
      </w:r>
      <w:r w:rsidR="00892C70">
        <w:t xml:space="preserve">the </w:t>
      </w:r>
      <w:r w:rsidR="001D559D">
        <w:t>reaction section</w:t>
      </w:r>
      <w:r w:rsidR="001939F7">
        <w:t>.</w:t>
      </w:r>
      <w:r w:rsidR="00E17D51">
        <w:t xml:space="preserve"> </w:t>
      </w:r>
      <w:r w:rsidR="00D75C78">
        <w:t xml:space="preserve">One aspect of critical importance for the </w:t>
      </w:r>
      <w:r w:rsidR="00105A34">
        <w:t>process development is the maximum conversion (</w:t>
      </w:r>
      <w:proofErr w:type="spellStart"/>
      <w:r w:rsidR="00105A34">
        <w:t>i.e</w:t>
      </w:r>
      <w:proofErr w:type="spellEnd"/>
      <w:r w:rsidR="00105A34">
        <w:t xml:space="preserve"> the conversion at the equilibrium) </w:t>
      </w:r>
      <w:r w:rsidR="00D75C78">
        <w:t>achieved at the outlet of</w:t>
      </w:r>
      <w:r w:rsidR="00105A34">
        <w:t xml:space="preserve"> the reactor and, in this work</w:t>
      </w:r>
      <w:r w:rsidR="00876B35">
        <w:t>,</w:t>
      </w:r>
      <w:r w:rsidR="00105A34">
        <w:t xml:space="preserve"> the Gibbs free energy minimization method</w:t>
      </w:r>
      <w:r w:rsidR="00876B35">
        <w:t xml:space="preserve"> (i.e. Gibbs reactor model in PROII)</w:t>
      </w:r>
      <w:r w:rsidR="00105A34">
        <w:t xml:space="preserve"> is used </w:t>
      </w:r>
      <w:r w:rsidR="00B96B01">
        <w:t>for</w:t>
      </w:r>
      <w:r w:rsidR="00105A34">
        <w:t xml:space="preserve"> the evaluation of equilibrium conditions. In particular, </w:t>
      </w:r>
      <w:r w:rsidR="00876B35">
        <w:t>it is assumed that the component</w:t>
      </w:r>
      <w:r w:rsidR="00B96B01">
        <w:t>s</w:t>
      </w:r>
      <w:r w:rsidR="00876B35">
        <w:t xml:space="preserve"> in the system are  CO</w:t>
      </w:r>
      <w:r w:rsidR="00876B35" w:rsidRPr="00D75C78">
        <w:rPr>
          <w:vertAlign w:val="subscript"/>
        </w:rPr>
        <w:t>2</w:t>
      </w:r>
      <w:r w:rsidR="00876B35">
        <w:t>, H</w:t>
      </w:r>
      <w:r w:rsidR="00876B35" w:rsidRPr="00D75C78">
        <w:rPr>
          <w:vertAlign w:val="subscript"/>
        </w:rPr>
        <w:t>2</w:t>
      </w:r>
      <w:r w:rsidR="00876B35">
        <w:t xml:space="preserve">, methanol, </w:t>
      </w:r>
      <w:r w:rsidR="00B96B01">
        <w:t xml:space="preserve">water </w:t>
      </w:r>
      <w:r w:rsidR="00876B35">
        <w:t xml:space="preserve">and </w:t>
      </w:r>
      <w:r w:rsidR="00B96B01">
        <w:t>CO</w:t>
      </w:r>
      <w:r w:rsidR="00D75C78">
        <w:t>;</w:t>
      </w:r>
      <w:r w:rsidR="00876B35">
        <w:t xml:space="preserve"> in this way also the methanol synthesis from CO and the reverse</w:t>
      </w:r>
      <w:r w:rsidR="00B96B01">
        <w:t>-</w:t>
      </w:r>
      <w:r w:rsidR="00876B35">
        <w:t>water gas shift</w:t>
      </w:r>
      <w:r w:rsidR="00B96B01">
        <w:t>,</w:t>
      </w:r>
      <w:r w:rsidR="00876B35">
        <w:t xml:space="preserve"> which can occur in the reactor</w:t>
      </w:r>
      <w:r w:rsidR="00B96B01">
        <w:t>,</w:t>
      </w:r>
      <w:r w:rsidR="00876B35">
        <w:t xml:space="preserve"> are accounted for</w:t>
      </w:r>
      <w:r w:rsidR="00E17D51">
        <w:t>. After the reactor</w:t>
      </w:r>
      <w:r w:rsidR="00690836">
        <w:t>,</w:t>
      </w:r>
      <w:r w:rsidR="00E17D51">
        <w:t xml:space="preserve"> a preliminary flash</w:t>
      </w:r>
      <w:r w:rsidR="00690836">
        <w:t xml:space="preserve"> unit</w:t>
      </w:r>
      <w:r w:rsidR="00E17D51">
        <w:t xml:space="preserve"> is used to recover and recycle part of the unreacted gases while the liquid phase is sent to a further </w:t>
      </w:r>
      <w:r w:rsidR="00D75C78">
        <w:t>purification</w:t>
      </w:r>
      <w:r w:rsidR="00E17D51">
        <w:t xml:space="preserve"> section to obtain methanol at the </w:t>
      </w:r>
      <w:r w:rsidR="00D75C78">
        <w:t>requ</w:t>
      </w:r>
      <w:r w:rsidR="00E17D51">
        <w:t xml:space="preserve">ired composition to meet the market standards. </w:t>
      </w:r>
      <w:r w:rsidR="00FD1B04">
        <w:t xml:space="preserve">The output parameters of the simulation are the duty consumption and the methanol productivity that are sent back to </w:t>
      </w:r>
      <w:proofErr w:type="spellStart"/>
      <w:r w:rsidR="00FD1B04">
        <w:t>Matlab</w:t>
      </w:r>
      <w:proofErr w:type="spellEnd"/>
      <w:r w:rsidR="00FD1B04">
        <w:t xml:space="preserve"> in order to perform the economic part related to the flexibility assessment.</w:t>
      </w:r>
    </w:p>
    <w:p w14:paraId="54DE4BA1" w14:textId="5A9ECC65" w:rsidR="001939F7" w:rsidRDefault="000E5B38" w:rsidP="001939F7">
      <w:pPr>
        <w:pStyle w:val="CETheadingx"/>
        <w:numPr>
          <w:ilvl w:val="2"/>
          <w:numId w:val="23"/>
        </w:numPr>
      </w:pPr>
      <w:r>
        <w:t>Uncertainty</w:t>
      </w:r>
    </w:p>
    <w:p w14:paraId="09FB140F" w14:textId="6A7E5773" w:rsidR="002C5119" w:rsidRDefault="001D559D" w:rsidP="00C72CAA">
      <w:pPr>
        <w:pStyle w:val="CETBodytext"/>
        <w:rPr>
          <w:rFonts w:eastAsia="Calibri" w:cs="Arial"/>
          <w:szCs w:val="18"/>
        </w:rPr>
      </w:pPr>
      <w:r>
        <w:rPr>
          <w:lang w:val="en-GB"/>
        </w:rPr>
        <w:t xml:space="preserve">As concerns the part of flexibility analysis, </w:t>
      </w:r>
      <w:r w:rsidR="00C72CAA">
        <w:rPr>
          <w:lang w:val="en-GB"/>
        </w:rPr>
        <w:t xml:space="preserve">it has been </w:t>
      </w:r>
      <w:r w:rsidR="00C72CAA">
        <w:t>performed  by means of the flexibility index (F</w:t>
      </w:r>
      <w:r w:rsidR="00C72CAA">
        <w:rPr>
          <w:vertAlign w:val="subscript"/>
        </w:rPr>
        <w:t>SG</w:t>
      </w:r>
      <w:r w:rsidR="00C72CAA">
        <w:t xml:space="preserve">) proposed by </w:t>
      </w:r>
      <w:proofErr w:type="spellStart"/>
      <w:r w:rsidR="00C72CAA">
        <w:t>Swaney</w:t>
      </w:r>
      <w:proofErr w:type="spellEnd"/>
      <w:r w:rsidR="00C72CAA">
        <w:t xml:space="preserve"> and Grossmann (1985). It is </w:t>
      </w:r>
      <w:r w:rsidR="00D52105">
        <w:t xml:space="preserve">a deterministic index, i.e. it is based on the magnitude of the deviation considering all perturbations equally probable, and it is </w:t>
      </w:r>
      <w:r w:rsidR="00C72CAA">
        <w:t xml:space="preserve">defined as the maximum fraction of the expected </w:t>
      </w:r>
      <w:r w:rsidR="00C72CAA">
        <w:lastRenderedPageBreak/>
        <w:t>deviation that can be accommodated by the syste</w:t>
      </w:r>
      <w:r w:rsidR="008B1E31">
        <w:t>m. From a graphical point of view, it</w:t>
      </w:r>
      <w:r w:rsidR="008B1E31" w:rsidRPr="00C72CAA">
        <w:rPr>
          <w:rFonts w:eastAsia="Calibri" w:cs="Arial"/>
          <w:szCs w:val="18"/>
        </w:rPr>
        <w:t xml:space="preserve"> represents the minimum among the maximum fractions of the hyperrectangle sides' lengths that is bounded by the feasible zone </w:t>
      </w:r>
      <w:r w:rsidR="008B1E31">
        <w:rPr>
          <w:rFonts w:eastAsia="Calibri" w:cs="Arial"/>
          <w:szCs w:val="18"/>
        </w:rPr>
        <w:t xml:space="preserve">as shown in </w:t>
      </w:r>
      <w:r w:rsidR="008B1E31" w:rsidRPr="00C72CAA">
        <w:rPr>
          <w:rFonts w:eastAsia="Calibri" w:cs="Arial"/>
          <w:szCs w:val="18"/>
        </w:rPr>
        <w:t xml:space="preserve">Figure </w:t>
      </w:r>
      <w:r w:rsidR="008B1E31">
        <w:rPr>
          <w:rFonts w:eastAsia="Calibri" w:cs="Arial"/>
          <w:szCs w:val="18"/>
        </w:rPr>
        <w:t>2</w:t>
      </w:r>
      <w:r w:rsidR="008B1E31" w:rsidRPr="00C72CAA">
        <w:rPr>
          <w:rFonts w:eastAsia="Calibri" w:cs="Arial"/>
          <w:szCs w:val="18"/>
        </w:rPr>
        <w:t>.</w:t>
      </w:r>
    </w:p>
    <w:p w14:paraId="76944365" w14:textId="147DAA38" w:rsidR="00C72CAA" w:rsidRDefault="008B1E31" w:rsidP="00C72CAA">
      <w:pPr>
        <w:pStyle w:val="CETBodytext"/>
        <w:rPr>
          <w:rFonts w:ascii="F15" w:eastAsia="Calibri" w:hAnsi="F15" w:cs="F15"/>
          <w:sz w:val="20"/>
        </w:rPr>
      </w:pPr>
      <w:r>
        <w:rPr>
          <w:rFonts w:eastAsia="Calibri" w:cs="Arial"/>
          <w:szCs w:val="18"/>
        </w:rPr>
        <w:t xml:space="preserve">From a mathematical perspective, its </w:t>
      </w:r>
      <w:r w:rsidR="00C72CAA" w:rsidRPr="00C72CAA">
        <w:rPr>
          <w:rFonts w:eastAsia="Calibri" w:cs="Arial"/>
          <w:szCs w:val="18"/>
        </w:rPr>
        <w:t>formulation is given by:</w:t>
      </w:r>
    </w:p>
    <w:tbl>
      <w:tblPr>
        <w:tblW w:w="5000" w:type="pct"/>
        <w:tblLook w:val="04A0" w:firstRow="1" w:lastRow="0" w:firstColumn="1" w:lastColumn="0" w:noHBand="0" w:noVBand="1"/>
      </w:tblPr>
      <w:tblGrid>
        <w:gridCol w:w="7986"/>
        <w:gridCol w:w="801"/>
      </w:tblGrid>
      <w:tr w:rsidR="00C72CAA" w14:paraId="764849D9" w14:textId="77777777" w:rsidTr="00C72CAA">
        <w:tc>
          <w:tcPr>
            <w:tcW w:w="8188" w:type="dxa"/>
            <w:vAlign w:val="center"/>
            <w:hideMark/>
          </w:tcPr>
          <w:p w14:paraId="30EA6F68" w14:textId="77777777" w:rsidR="00C72CAA" w:rsidRDefault="00000000">
            <w:pPr>
              <w:pStyle w:val="CETEquation"/>
            </w:pPr>
            <m:oMathPara>
              <m:oMathParaPr>
                <m:jc m:val="left"/>
              </m:oMathParaPr>
              <m:oMath>
                <m:sSub>
                  <m:sSubPr>
                    <m:ctrlPr>
                      <w:rPr>
                        <w:rFonts w:ascii="Cambria Math" w:hAnsi="Cambria Math"/>
                        <w:lang w:val="en-US"/>
                      </w:rPr>
                    </m:ctrlPr>
                  </m:sSubPr>
                  <m:e>
                    <m:r>
                      <w:rPr>
                        <w:rFonts w:ascii="Cambria Math" w:eastAsia="Calibri" w:hAnsi="Cambria Math"/>
                        <w:lang w:val="en-US"/>
                      </w:rPr>
                      <m:t>F</m:t>
                    </m:r>
                  </m:e>
                  <m:sub>
                    <m:r>
                      <w:rPr>
                        <w:rFonts w:ascii="Cambria Math" w:eastAsia="Calibri" w:hAnsi="Cambria Math"/>
                        <w:lang w:val="en-US"/>
                      </w:rPr>
                      <m:t>SG</m:t>
                    </m:r>
                  </m:sub>
                </m:sSub>
                <m:r>
                  <m:rPr>
                    <m:sty m:val="p"/>
                  </m:rPr>
                  <w:rPr>
                    <w:rFonts w:ascii="Cambria Math" w:eastAsia="Calibri" w:hAnsi="Cambria Math"/>
                    <w:lang w:val="en-US"/>
                  </w:rPr>
                  <m:t>=</m:t>
                </m:r>
                <m:func>
                  <m:funcPr>
                    <m:ctrlPr>
                      <w:rPr>
                        <w:rFonts w:ascii="Cambria Math" w:eastAsia="SimSun" w:hAnsi="Cambria Math"/>
                        <w:lang w:val="en-US"/>
                      </w:rPr>
                    </m:ctrlPr>
                  </m:funcPr>
                  <m:fName>
                    <m:limLow>
                      <m:limLowPr>
                        <m:ctrlPr>
                          <w:rPr>
                            <w:rFonts w:ascii="Cambria Math" w:eastAsia="SimSun" w:hAnsi="Cambria Math"/>
                            <w:lang w:val="en-US"/>
                          </w:rPr>
                        </m:ctrlPr>
                      </m:limLowPr>
                      <m:e>
                        <m:r>
                          <m:rPr>
                            <m:sty m:val="p"/>
                          </m:rPr>
                          <w:rPr>
                            <w:rFonts w:ascii="Cambria Math" w:hAnsi="Cambria Math"/>
                          </w:rPr>
                          <m:t>max</m:t>
                        </m:r>
                      </m:e>
                      <m:lim/>
                    </m:limLow>
                  </m:fName>
                  <m:e>
                    <m:r>
                      <w:rPr>
                        <w:rFonts w:ascii="Cambria Math" w:eastAsia="SimSun" w:hAnsi="Cambria Math"/>
                        <w:lang w:val="en-US"/>
                      </w:rPr>
                      <m:t>δ</m:t>
                    </m:r>
                  </m:e>
                </m:func>
              </m:oMath>
            </m:oMathPara>
          </w:p>
        </w:tc>
        <w:tc>
          <w:tcPr>
            <w:tcW w:w="815" w:type="dxa"/>
            <w:vAlign w:val="center"/>
            <w:hideMark/>
          </w:tcPr>
          <w:p w14:paraId="2CC0AA0C" w14:textId="5033CD38" w:rsidR="00C72CAA" w:rsidRDefault="00C72CAA">
            <w:pPr>
              <w:pStyle w:val="CETEquation"/>
              <w:jc w:val="right"/>
            </w:pPr>
            <w:r>
              <w:t>(</w:t>
            </w:r>
            <w:r w:rsidR="005B4059">
              <w:t>5</w:t>
            </w:r>
            <w:r>
              <w:t>)</w:t>
            </w:r>
          </w:p>
        </w:tc>
      </w:tr>
      <w:tr w:rsidR="00C72CAA" w14:paraId="45501A59" w14:textId="77777777" w:rsidTr="00C72CAA">
        <w:tc>
          <w:tcPr>
            <w:tcW w:w="8188" w:type="dxa"/>
            <w:vAlign w:val="center"/>
            <w:hideMark/>
          </w:tcPr>
          <w:p w14:paraId="4E461293" w14:textId="77777777" w:rsidR="00C72CAA" w:rsidRDefault="00C72CAA">
            <w:pPr>
              <w:pStyle w:val="CETEquation"/>
              <w:rPr>
                <w:rFonts w:eastAsia="Calibri"/>
              </w:rPr>
            </w:pPr>
            <m:oMathPara>
              <m:oMathParaPr>
                <m:jc m:val="left"/>
              </m:oMathParaPr>
              <m:oMath>
                <m:r>
                  <w:rPr>
                    <w:rFonts w:ascii="Cambria Math" w:eastAsia="Calibri" w:hAnsi="Cambria Math"/>
                    <w:lang w:val="en-US"/>
                  </w:rPr>
                  <m:t>s</m:t>
                </m:r>
                <m:r>
                  <m:rPr>
                    <m:sty m:val="p"/>
                  </m:rPr>
                  <w:rPr>
                    <w:rFonts w:ascii="Cambria Math" w:eastAsia="Calibri" w:hAnsi="Cambria Math"/>
                    <w:lang w:val="en-US"/>
                  </w:rPr>
                  <m:t>.</m:t>
                </m:r>
                <m:r>
                  <w:rPr>
                    <w:rFonts w:ascii="Cambria Math" w:eastAsia="Calibri" w:hAnsi="Cambria Math"/>
                    <w:lang w:val="en-US"/>
                  </w:rPr>
                  <m:t>t</m:t>
                </m:r>
                <m:r>
                  <m:rPr>
                    <m:sty m:val="p"/>
                  </m:rPr>
                  <w:rPr>
                    <w:rFonts w:ascii="Cambria Math" w:eastAsia="Calibri"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eastAsia="Calibri" w:hAnsi="Cambria Math"/>
                          </w:rPr>
                          <m:t>max</m:t>
                        </m:r>
                      </m:e>
                      <m:lim>
                        <m:r>
                          <w:rPr>
                            <w:rFonts w:ascii="Cambria Math" w:eastAsia="Calibri" w:hAnsi="Cambria Math"/>
                            <w:lang w:val="en-US"/>
                          </w:rPr>
                          <m:t>θ</m:t>
                        </m:r>
                        <m:r>
                          <m:rPr>
                            <m:sty m:val="p"/>
                          </m:rPr>
                          <w:rPr>
                            <w:rFonts w:ascii="Cambria Math" w:eastAsia="Calibri" w:hAnsi="Cambria Math"/>
                            <w:lang w:val="en-US"/>
                          </w:rPr>
                          <m:t>∈</m:t>
                        </m:r>
                        <m:r>
                          <w:rPr>
                            <w:rFonts w:ascii="Cambria Math" w:eastAsia="Calibri" w:hAnsi="Cambria Math"/>
                            <w:lang w:val="en-US"/>
                          </w:rPr>
                          <m:t>T</m:t>
                        </m:r>
                        <m:r>
                          <m:rPr>
                            <m:sty m:val="p"/>
                          </m:rPr>
                          <w:rPr>
                            <w:rFonts w:ascii="Cambria Math" w:eastAsia="Calibri" w:hAnsi="Cambria Math"/>
                            <w:lang w:val="en-US"/>
                          </w:rPr>
                          <m:t>(</m:t>
                        </m:r>
                        <m:r>
                          <w:rPr>
                            <w:rFonts w:ascii="Cambria Math" w:eastAsia="Calibri" w:hAnsi="Cambria Math"/>
                            <w:lang w:val="en-US"/>
                          </w:rPr>
                          <m:t>δ</m:t>
                        </m:r>
                        <m:r>
                          <m:rPr>
                            <m:sty m:val="p"/>
                          </m:rPr>
                          <w:rPr>
                            <w:rFonts w:ascii="Cambria Math" w:eastAsia="Calibri" w:hAnsi="Cambria Math"/>
                            <w:lang w:val="en-US"/>
                          </w:rPr>
                          <m:t>)</m:t>
                        </m:r>
                      </m:lim>
                    </m:limLow>
                  </m:fName>
                  <m:e/>
                </m:func>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eastAsia="Calibri" w:hAnsi="Cambria Math"/>
                          </w:rPr>
                          <m:t>min</m:t>
                        </m:r>
                      </m:e>
                      <m:lim>
                        <m:r>
                          <w:rPr>
                            <w:rFonts w:ascii="Cambria Math" w:eastAsia="Calibri" w:hAnsi="Cambria Math"/>
                            <w:lang w:val="en-US"/>
                          </w:rPr>
                          <m:t>z</m:t>
                        </m:r>
                      </m:lim>
                    </m:limLow>
                  </m:fName>
                  <m:e/>
                </m:func>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eastAsia="Calibri" w:hAnsi="Cambria Math"/>
                          </w:rPr>
                          <m:t>max</m:t>
                        </m:r>
                      </m:e>
                      <m:lim>
                        <m:r>
                          <w:rPr>
                            <w:rFonts w:ascii="Cambria Math" w:eastAsia="Calibri" w:hAnsi="Cambria Math"/>
                            <w:lang w:val="en-US"/>
                          </w:rPr>
                          <m:t>j</m:t>
                        </m:r>
                        <m:r>
                          <m:rPr>
                            <m:sty m:val="p"/>
                          </m:rPr>
                          <w:rPr>
                            <w:rFonts w:ascii="Cambria Math" w:eastAsia="Calibri" w:hAnsi="Cambria Math"/>
                            <w:lang w:val="en-US"/>
                          </w:rPr>
                          <m:t>∈</m:t>
                        </m:r>
                        <m:r>
                          <w:rPr>
                            <w:rFonts w:ascii="Cambria Math" w:eastAsia="Calibri" w:hAnsi="Cambria Math"/>
                            <w:lang w:val="en-US"/>
                          </w:rPr>
                          <m:t>J</m:t>
                        </m:r>
                      </m:lim>
                    </m:limLow>
                  </m:fName>
                  <m:e>
                    <m:sSub>
                      <m:sSubPr>
                        <m:ctrlPr>
                          <w:rPr>
                            <w:rFonts w:ascii="Cambria Math" w:hAnsi="Cambria Math"/>
                            <w:lang w:val="en-US"/>
                          </w:rPr>
                        </m:ctrlPr>
                      </m:sSubPr>
                      <m:e>
                        <m:r>
                          <w:rPr>
                            <w:rFonts w:ascii="Cambria Math" w:eastAsia="Calibri" w:hAnsi="Cambria Math"/>
                            <w:lang w:val="en-US"/>
                          </w:rPr>
                          <m:t>f</m:t>
                        </m:r>
                      </m:e>
                      <m:sub>
                        <m:r>
                          <w:rPr>
                            <w:rFonts w:ascii="Cambria Math" w:eastAsia="Calibri" w:hAnsi="Cambria Math"/>
                            <w:lang w:val="en-US"/>
                          </w:rPr>
                          <m:t>j</m:t>
                        </m:r>
                      </m:sub>
                    </m:sSub>
                    <m:r>
                      <m:rPr>
                        <m:sty m:val="p"/>
                      </m:rPr>
                      <w:rPr>
                        <w:rFonts w:ascii="Cambria Math" w:eastAsia="Calibri" w:hAnsi="Cambria Math"/>
                        <w:lang w:val="en-US"/>
                      </w:rPr>
                      <m:t>(</m:t>
                    </m:r>
                    <m:r>
                      <w:rPr>
                        <w:rFonts w:ascii="Cambria Math" w:eastAsia="Calibri" w:hAnsi="Cambria Math"/>
                        <w:lang w:val="en-US"/>
                      </w:rPr>
                      <m:t>d</m:t>
                    </m:r>
                    <m:r>
                      <m:rPr>
                        <m:sty m:val="p"/>
                      </m:rPr>
                      <w:rPr>
                        <w:rFonts w:ascii="Cambria Math" w:eastAsia="Calibri" w:hAnsi="Cambria Math"/>
                        <w:lang w:val="en-US"/>
                      </w:rPr>
                      <m:t>,</m:t>
                    </m:r>
                    <m:r>
                      <w:rPr>
                        <w:rFonts w:ascii="Cambria Math" w:eastAsia="Calibri" w:hAnsi="Cambria Math"/>
                        <w:lang w:val="en-US"/>
                      </w:rPr>
                      <m:t>z</m:t>
                    </m:r>
                    <m:r>
                      <m:rPr>
                        <m:sty m:val="p"/>
                      </m:rPr>
                      <w:rPr>
                        <w:rFonts w:ascii="Cambria Math" w:eastAsia="Calibri" w:hAnsi="Cambria Math"/>
                        <w:lang w:val="en-US"/>
                      </w:rPr>
                      <m:t>,</m:t>
                    </m:r>
                    <m:r>
                      <w:rPr>
                        <w:rFonts w:ascii="Cambria Math" w:eastAsia="Calibri" w:hAnsi="Cambria Math"/>
                        <w:lang w:val="en-US"/>
                      </w:rPr>
                      <m:t>θ</m:t>
                    </m:r>
                    <m:r>
                      <m:rPr>
                        <m:sty m:val="p"/>
                      </m:rPr>
                      <w:rPr>
                        <w:rFonts w:ascii="Cambria Math" w:eastAsia="Calibri" w:hAnsi="Cambria Math"/>
                        <w:lang w:val="en-US"/>
                      </w:rPr>
                      <m:t>)≤0</m:t>
                    </m:r>
                  </m:e>
                </m:func>
              </m:oMath>
            </m:oMathPara>
          </w:p>
        </w:tc>
        <w:tc>
          <w:tcPr>
            <w:tcW w:w="815" w:type="dxa"/>
            <w:vAlign w:val="center"/>
            <w:hideMark/>
          </w:tcPr>
          <w:p w14:paraId="71437E45" w14:textId="46C74C6C" w:rsidR="00C72CAA" w:rsidRDefault="00C72CAA">
            <w:pPr>
              <w:pStyle w:val="CETEquation"/>
              <w:jc w:val="right"/>
            </w:pPr>
            <w:r>
              <w:t>(</w:t>
            </w:r>
            <w:r w:rsidR="005B4059">
              <w:t>6</w:t>
            </w:r>
            <w:r>
              <w:t>)</w:t>
            </w:r>
          </w:p>
        </w:tc>
      </w:tr>
      <w:tr w:rsidR="00C72CAA" w14:paraId="22DA7E0B" w14:textId="77777777" w:rsidTr="00C72CAA">
        <w:tc>
          <w:tcPr>
            <w:tcW w:w="8188" w:type="dxa"/>
            <w:vAlign w:val="center"/>
            <w:hideMark/>
          </w:tcPr>
          <w:p w14:paraId="2D0F96C9" w14:textId="77777777" w:rsidR="00C72CAA" w:rsidRDefault="00C72CAA">
            <w:pPr>
              <w:pStyle w:val="CETEquation"/>
              <w:rPr>
                <w:rFonts w:ascii="F15" w:eastAsia="Calibri" w:hAnsi="F15" w:cs="F15"/>
                <w:lang w:val="en-US"/>
              </w:rPr>
            </w:pPr>
            <m:oMathPara>
              <m:oMathParaPr>
                <m:jc m:val="left"/>
              </m:oMathParaPr>
              <m:oMath>
                <m:r>
                  <w:rPr>
                    <w:rFonts w:ascii="Cambria Math" w:eastAsia="Calibri" w:hAnsi="Cambria Math"/>
                    <w:lang w:val="en-US"/>
                  </w:rPr>
                  <m:t>s</m:t>
                </m:r>
                <m:r>
                  <m:rPr>
                    <m:sty m:val="p"/>
                  </m:rPr>
                  <w:rPr>
                    <w:rFonts w:ascii="Cambria Math" w:eastAsia="Calibri" w:hAnsi="Cambria Math"/>
                    <w:lang w:val="en-US"/>
                  </w:rPr>
                  <m:t>.</m:t>
                </m:r>
                <m:r>
                  <w:rPr>
                    <w:rFonts w:ascii="Cambria Math" w:eastAsia="Calibri" w:hAnsi="Cambria Math"/>
                    <w:lang w:val="en-US"/>
                  </w:rPr>
                  <m:t>t</m:t>
                </m:r>
                <m:r>
                  <m:rPr>
                    <m:sty m:val="p"/>
                  </m:rPr>
                  <w:rPr>
                    <w:rFonts w:ascii="Cambria Math" w:eastAsia="Calibri" w:hAnsi="Cambria Math"/>
                    <w:lang w:val="en-US"/>
                  </w:rPr>
                  <m:t>.</m:t>
                </m:r>
                <m:r>
                  <w:rPr>
                    <w:rFonts w:ascii="Cambria Math" w:eastAsia="Calibri" w:hAnsi="Cambria Math"/>
                    <w:lang w:val="en-US"/>
                  </w:rPr>
                  <m:t>χ</m:t>
                </m:r>
                <m:r>
                  <m:rPr>
                    <m:sty m:val="p"/>
                  </m:rPr>
                  <w:rPr>
                    <w:rFonts w:ascii="Cambria Math" w:eastAsia="Calibri" w:hAnsi="Cambria Math"/>
                    <w:lang w:val="en-US"/>
                  </w:rPr>
                  <m:t>(</m:t>
                </m:r>
                <m:r>
                  <w:rPr>
                    <w:rFonts w:ascii="Cambria Math" w:eastAsia="Calibri" w:hAnsi="Cambria Math"/>
                    <w:lang w:val="en-US"/>
                  </w:rPr>
                  <m:t>d</m:t>
                </m:r>
                <m:r>
                  <m:rPr>
                    <m:sty m:val="p"/>
                  </m:rPr>
                  <w:rPr>
                    <w:rFonts w:ascii="Cambria Math" w:eastAsia="Calibri" w:hAnsi="Cambria Math"/>
                    <w:lang w:val="en-US"/>
                  </w:rPr>
                  <m:t>)=</m:t>
                </m:r>
                <m:r>
                  <w:rPr>
                    <w:rFonts w:ascii="Cambria Math" w:eastAsia="Calibri" w:hAnsi="Cambria Math"/>
                    <w:lang w:val="en-US"/>
                  </w:rPr>
                  <m:t>h</m:t>
                </m:r>
                <m:d>
                  <m:dPr>
                    <m:ctrlPr>
                      <w:rPr>
                        <w:rFonts w:ascii="Cambria Math" w:hAnsi="Cambria Math"/>
                        <w:lang w:val="en-US"/>
                      </w:rPr>
                    </m:ctrlPr>
                  </m:dPr>
                  <m:e>
                    <m:r>
                      <w:rPr>
                        <w:rFonts w:ascii="Cambria Math" w:eastAsia="Calibri" w:hAnsi="Cambria Math"/>
                        <w:lang w:val="en-US"/>
                      </w:rPr>
                      <m:t>d</m:t>
                    </m:r>
                    <m:r>
                      <m:rPr>
                        <m:sty m:val="p"/>
                      </m:rPr>
                      <w:rPr>
                        <w:rFonts w:ascii="Cambria Math" w:eastAsia="Calibri" w:hAnsi="Cambria Math"/>
                        <w:lang w:val="en-US"/>
                      </w:rPr>
                      <m:t>,</m:t>
                    </m:r>
                    <m:r>
                      <w:rPr>
                        <w:rFonts w:ascii="Cambria Math" w:eastAsia="Calibri" w:hAnsi="Cambria Math"/>
                        <w:lang w:val="en-US"/>
                      </w:rPr>
                      <m:t>z</m:t>
                    </m:r>
                    <m:r>
                      <m:rPr>
                        <m:sty m:val="p"/>
                      </m:rPr>
                      <w:rPr>
                        <w:rFonts w:ascii="Cambria Math" w:eastAsia="Calibri" w:hAnsi="Cambria Math"/>
                        <w:lang w:val="en-US"/>
                      </w:rPr>
                      <m:t>,</m:t>
                    </m:r>
                    <m:r>
                      <w:rPr>
                        <w:rFonts w:ascii="Cambria Math" w:eastAsia="Calibri" w:hAnsi="Cambria Math"/>
                        <w:lang w:val="en-US"/>
                      </w:rPr>
                      <m:t>θ</m:t>
                    </m:r>
                  </m:e>
                </m:d>
                <m:r>
                  <m:rPr>
                    <m:sty m:val="p"/>
                  </m:rPr>
                  <w:rPr>
                    <w:rFonts w:ascii="Cambria Math" w:eastAsia="Calibri" w:hAnsi="Cambria Math"/>
                    <w:lang w:val="en-US"/>
                  </w:rPr>
                  <m:t>=0</m:t>
                </m:r>
              </m:oMath>
            </m:oMathPara>
          </w:p>
        </w:tc>
        <w:tc>
          <w:tcPr>
            <w:tcW w:w="815" w:type="dxa"/>
            <w:vAlign w:val="center"/>
            <w:hideMark/>
          </w:tcPr>
          <w:p w14:paraId="4A185750" w14:textId="2D8E5B51" w:rsidR="00C72CAA" w:rsidRDefault="00C72CAA">
            <w:pPr>
              <w:pStyle w:val="CETEquation"/>
              <w:jc w:val="right"/>
            </w:pPr>
            <w:r>
              <w:t>(</w:t>
            </w:r>
            <w:r w:rsidR="005B4059">
              <w:t>7</w:t>
            </w:r>
            <w:r>
              <w:t>)</w:t>
            </w:r>
          </w:p>
        </w:tc>
      </w:tr>
      <w:tr w:rsidR="00C72CAA" w14:paraId="791DADF5" w14:textId="77777777" w:rsidTr="00C72CAA">
        <w:tc>
          <w:tcPr>
            <w:tcW w:w="8188" w:type="dxa"/>
            <w:vAlign w:val="center"/>
            <w:hideMark/>
          </w:tcPr>
          <w:p w14:paraId="332227A4" w14:textId="24B76320" w:rsidR="00C72CAA" w:rsidRPr="002C5119" w:rsidRDefault="002C5119">
            <w:pPr>
              <w:pStyle w:val="CETEquation"/>
              <w:rPr>
                <w:rFonts w:ascii="F15" w:eastAsia="Calibri" w:hAnsi="F15" w:cs="F15"/>
                <w:i/>
                <w:iCs/>
                <w:lang w:val="en-US"/>
              </w:rPr>
            </w:pPr>
            <m:oMathPara>
              <m:oMathParaPr>
                <m:jc m:val="left"/>
              </m:oMathParaPr>
              <m:oMath>
                <m:r>
                  <w:rPr>
                    <w:rFonts w:ascii="Cambria Math" w:eastAsia="Calibri" w:hAnsi="Cambria Math"/>
                    <w:lang w:val="en-US"/>
                  </w:rPr>
                  <m:t>δ≥0</m:t>
                </m:r>
              </m:oMath>
            </m:oMathPara>
          </w:p>
        </w:tc>
        <w:tc>
          <w:tcPr>
            <w:tcW w:w="815" w:type="dxa"/>
            <w:vAlign w:val="center"/>
            <w:hideMark/>
          </w:tcPr>
          <w:p w14:paraId="40578888" w14:textId="6A5FED60" w:rsidR="00C72CAA" w:rsidRDefault="00C72CAA">
            <w:pPr>
              <w:pStyle w:val="CETEquation"/>
              <w:jc w:val="right"/>
            </w:pPr>
            <w:r>
              <w:t>(</w:t>
            </w:r>
            <w:r w:rsidR="005B4059">
              <w:t>8</w:t>
            </w:r>
            <w:r>
              <w:t>)</w:t>
            </w:r>
          </w:p>
        </w:tc>
      </w:tr>
      <w:tr w:rsidR="00C72CAA" w14:paraId="33DB50B3" w14:textId="77777777" w:rsidTr="00C72CAA">
        <w:tc>
          <w:tcPr>
            <w:tcW w:w="8188" w:type="dxa"/>
            <w:vAlign w:val="center"/>
            <w:hideMark/>
          </w:tcPr>
          <w:p w14:paraId="02A78712" w14:textId="77777777" w:rsidR="00C72CAA" w:rsidRDefault="00C72CAA">
            <w:pPr>
              <w:pStyle w:val="CETEquation"/>
              <w:rPr>
                <w:rFonts w:ascii="F15" w:eastAsia="Calibri" w:hAnsi="F15" w:cs="F15"/>
                <w:lang w:val="en-US"/>
              </w:rPr>
            </w:pPr>
            <m:oMathPara>
              <m:oMathParaPr>
                <m:jc m:val="left"/>
              </m:oMathParaPr>
              <m:oMath>
                <m:r>
                  <w:rPr>
                    <w:rFonts w:ascii="Cambria Math" w:eastAsia="Calibri" w:hAnsi="Cambria Math"/>
                  </w:rPr>
                  <m:t>T</m:t>
                </m:r>
                <m:d>
                  <m:dPr>
                    <m:ctrlPr>
                      <w:rPr>
                        <w:rFonts w:ascii="Cambria Math" w:hAnsi="Cambria Math"/>
                      </w:rPr>
                    </m:ctrlPr>
                  </m:dPr>
                  <m:e>
                    <m:r>
                      <w:rPr>
                        <w:rFonts w:ascii="Cambria Math" w:eastAsia="Calibri" w:hAnsi="Cambria Math"/>
                      </w:rPr>
                      <m:t>δ</m:t>
                    </m:r>
                  </m:e>
                </m:d>
                <m:r>
                  <m:rPr>
                    <m:sty m:val="p"/>
                  </m:rPr>
                  <w:rPr>
                    <w:rFonts w:ascii="Cambria Math" w:eastAsia="Calibri" w:hAnsi="Cambria Math"/>
                    <w:lang w:val="en-US"/>
                  </w:rPr>
                  <m:t>=</m:t>
                </m:r>
                <m:r>
                  <m:rPr>
                    <m:sty m:val="p"/>
                  </m:rPr>
                  <w:rPr>
                    <w:rFonts w:ascii="Cambria Math" w:eastAsia="Calibri" w:hAnsi="Cambria Math"/>
                  </w:rPr>
                  <m:t>{</m:t>
                </m:r>
                <m:r>
                  <w:rPr>
                    <w:rFonts w:ascii="Cambria Math" w:eastAsia="Calibri" w:hAnsi="Cambria Math"/>
                  </w:rPr>
                  <m:t>θ</m:t>
                </m:r>
                <m:r>
                  <m:rPr>
                    <m:sty m:val="p"/>
                  </m:rPr>
                  <w:rPr>
                    <w:rFonts w:ascii="Cambria Math" w:eastAsia="Calibri" w:hAnsi="Cambria Math"/>
                  </w:rPr>
                  <m:t>|</m:t>
                </m:r>
                <m:sSup>
                  <m:sSupPr>
                    <m:ctrlPr>
                      <w:rPr>
                        <w:rFonts w:ascii="Cambria Math" w:hAnsi="Cambria Math"/>
                        <w:lang w:val="en-US"/>
                      </w:rPr>
                    </m:ctrlPr>
                  </m:sSupPr>
                  <m:e>
                    <m:r>
                      <w:rPr>
                        <w:rFonts w:ascii="Cambria Math" w:eastAsia="Calibri" w:hAnsi="Cambria Math"/>
                      </w:rPr>
                      <m:t>θ</m:t>
                    </m:r>
                  </m:e>
                  <m:sup>
                    <m:r>
                      <w:rPr>
                        <w:rFonts w:ascii="Cambria Math" w:eastAsia="Calibri" w:hAnsi="Cambria Math"/>
                      </w:rPr>
                      <m:t>N</m:t>
                    </m:r>
                  </m:sup>
                </m:sSup>
                <m:r>
                  <m:rPr>
                    <m:sty m:val="p"/>
                  </m:rPr>
                  <w:rPr>
                    <w:rFonts w:ascii="Cambria Math" w:eastAsia="Calibri" w:hAnsi="Cambria Math"/>
                  </w:rPr>
                  <m:t>-</m:t>
                </m:r>
                <m:r>
                  <w:rPr>
                    <w:rFonts w:ascii="Cambria Math" w:eastAsia="Calibri" w:hAnsi="Cambria Math"/>
                  </w:rPr>
                  <m:t>δ</m:t>
                </m:r>
                <m:r>
                  <m:rPr>
                    <m:sty m:val="p"/>
                  </m:rPr>
                  <w:rPr>
                    <w:rFonts w:ascii="Cambria Math" w:eastAsia="Calibri" w:hAnsi="Cambria Math"/>
                  </w:rPr>
                  <m:t>*∆</m:t>
                </m:r>
                <m:sSup>
                  <m:sSupPr>
                    <m:ctrlPr>
                      <w:rPr>
                        <w:rFonts w:ascii="Cambria Math" w:hAnsi="Cambria Math"/>
                        <w:lang w:val="en-US"/>
                      </w:rPr>
                    </m:ctrlPr>
                  </m:sSupPr>
                  <m:e>
                    <m:r>
                      <w:rPr>
                        <w:rFonts w:ascii="Cambria Math" w:eastAsia="Calibri" w:hAnsi="Cambria Math"/>
                      </w:rPr>
                      <m:t>θ</m:t>
                    </m:r>
                  </m:e>
                  <m:sup>
                    <m:r>
                      <m:rPr>
                        <m:sty m:val="p"/>
                      </m:rPr>
                      <w:rPr>
                        <w:rFonts w:ascii="Cambria Math" w:eastAsia="Calibri" w:hAnsi="Cambria Math"/>
                      </w:rPr>
                      <m:t>-</m:t>
                    </m:r>
                  </m:sup>
                </m:sSup>
                <m:r>
                  <m:rPr>
                    <m:sty m:val="p"/>
                  </m:rPr>
                  <w:rPr>
                    <w:rFonts w:ascii="Cambria Math" w:eastAsia="Calibri" w:hAnsi="Cambria Math"/>
                  </w:rPr>
                  <m:t>≤</m:t>
                </m:r>
                <m:r>
                  <w:rPr>
                    <w:rFonts w:ascii="Cambria Math" w:eastAsia="Calibri" w:hAnsi="Cambria Math"/>
                  </w:rPr>
                  <m:t>θ</m:t>
                </m:r>
                <m:r>
                  <m:rPr>
                    <m:sty m:val="p"/>
                  </m:rPr>
                  <w:rPr>
                    <w:rFonts w:ascii="Cambria Math" w:eastAsia="Calibri" w:hAnsi="Cambria Math"/>
                  </w:rPr>
                  <m:t>≤</m:t>
                </m:r>
                <m:sSup>
                  <m:sSupPr>
                    <m:ctrlPr>
                      <w:rPr>
                        <w:rFonts w:ascii="Cambria Math" w:hAnsi="Cambria Math"/>
                        <w:lang w:val="en-US"/>
                      </w:rPr>
                    </m:ctrlPr>
                  </m:sSupPr>
                  <m:e>
                    <m:r>
                      <w:rPr>
                        <w:rFonts w:ascii="Cambria Math" w:eastAsia="Calibri" w:hAnsi="Cambria Math"/>
                      </w:rPr>
                      <m:t>θ</m:t>
                    </m:r>
                  </m:e>
                  <m:sup>
                    <m:r>
                      <w:rPr>
                        <w:rFonts w:ascii="Cambria Math" w:eastAsia="Calibri" w:hAnsi="Cambria Math"/>
                      </w:rPr>
                      <m:t>N</m:t>
                    </m:r>
                  </m:sup>
                </m:sSup>
                <m:r>
                  <m:rPr>
                    <m:sty m:val="p"/>
                  </m:rPr>
                  <w:rPr>
                    <w:rFonts w:ascii="Cambria Math" w:eastAsia="Calibri" w:hAnsi="Cambria Math"/>
                  </w:rPr>
                  <m:t>+</m:t>
                </m:r>
                <m:r>
                  <w:rPr>
                    <w:rFonts w:ascii="Cambria Math" w:eastAsia="Calibri" w:hAnsi="Cambria Math"/>
                  </w:rPr>
                  <m:t>δ</m:t>
                </m:r>
                <m:r>
                  <m:rPr>
                    <m:sty m:val="p"/>
                  </m:rPr>
                  <w:rPr>
                    <w:rFonts w:ascii="Cambria Math" w:eastAsia="Calibri" w:hAnsi="Cambria Math"/>
                  </w:rPr>
                  <m:t>*∆</m:t>
                </m:r>
                <m:sSup>
                  <m:sSupPr>
                    <m:ctrlPr>
                      <w:rPr>
                        <w:rFonts w:ascii="Cambria Math" w:hAnsi="Cambria Math"/>
                        <w:lang w:val="en-US"/>
                      </w:rPr>
                    </m:ctrlPr>
                  </m:sSupPr>
                  <m:e>
                    <m:r>
                      <w:rPr>
                        <w:rFonts w:ascii="Cambria Math" w:eastAsia="Calibri" w:hAnsi="Cambria Math"/>
                      </w:rPr>
                      <m:t>θ</m:t>
                    </m:r>
                  </m:e>
                  <m:sup>
                    <m:r>
                      <m:rPr>
                        <m:sty m:val="p"/>
                      </m:rPr>
                      <w:rPr>
                        <w:rFonts w:ascii="Cambria Math" w:eastAsia="Calibri" w:hAnsi="Cambria Math"/>
                      </w:rPr>
                      <m:t>+</m:t>
                    </m:r>
                  </m:sup>
                </m:sSup>
                <m:r>
                  <m:rPr>
                    <m:sty m:val="p"/>
                  </m:rPr>
                  <w:rPr>
                    <w:rFonts w:ascii="Cambria Math" w:eastAsia="Calibri" w:hAnsi="Cambria Math"/>
                  </w:rPr>
                  <m:t>}</m:t>
                </m:r>
              </m:oMath>
            </m:oMathPara>
          </w:p>
        </w:tc>
        <w:tc>
          <w:tcPr>
            <w:tcW w:w="815" w:type="dxa"/>
            <w:vAlign w:val="center"/>
            <w:hideMark/>
          </w:tcPr>
          <w:p w14:paraId="6FF562C7" w14:textId="2BD44169" w:rsidR="00C72CAA" w:rsidRDefault="00C72CAA">
            <w:pPr>
              <w:pStyle w:val="CETEquation"/>
              <w:jc w:val="right"/>
            </w:pPr>
            <w:r>
              <w:t>(</w:t>
            </w:r>
            <w:r w:rsidR="005B4059">
              <w:t>9</w:t>
            </w:r>
            <w:r>
              <w:t>)</w:t>
            </w:r>
          </w:p>
        </w:tc>
      </w:tr>
    </w:tbl>
    <w:p w14:paraId="0C05BD55" w14:textId="0D724AD3" w:rsidR="00C72CAA" w:rsidRDefault="00C72CAA" w:rsidP="009B3AC1">
      <w:pPr>
        <w:pStyle w:val="CETBodytext"/>
        <w:rPr>
          <w:rFonts w:eastAsia="Calibri" w:cs="Arial"/>
          <w:szCs w:val="18"/>
        </w:rPr>
      </w:pPr>
      <w:r>
        <w:t xml:space="preserve">where </w:t>
      </w:r>
      <w:r w:rsidRPr="002C5119">
        <w:rPr>
          <w:rFonts w:cs="Arial"/>
        </w:rPr>
        <w:t>θ</w:t>
      </w:r>
      <w:r>
        <w:t xml:space="preserve"> represents the uncertain parameters, d the design variables, z the control variables, f the feasibility </w:t>
      </w:r>
      <w:bookmarkStart w:id="2" w:name="_Hlk1686807"/>
      <w:r>
        <w:t xml:space="preserve">region and </w:t>
      </w:r>
      <w:r>
        <w:rPr>
          <w:rFonts w:cs="Arial"/>
        </w:rPr>
        <w:t xml:space="preserve">δ the </w:t>
      </w:r>
      <w:r w:rsidR="002C5119">
        <w:rPr>
          <w:rFonts w:cs="Arial"/>
        </w:rPr>
        <w:t xml:space="preserve">scale factor </w:t>
      </w:r>
      <w:r>
        <w:rPr>
          <w:rFonts w:cs="Arial"/>
        </w:rPr>
        <w:t>defining the hyperrectangle T.</w:t>
      </w:r>
      <w:r w:rsidR="002C5119">
        <w:rPr>
          <w:rFonts w:cs="Arial"/>
        </w:rPr>
        <w:t xml:space="preserve"> </w:t>
      </w:r>
      <w:bookmarkEnd w:id="2"/>
    </w:p>
    <w:p w14:paraId="3A7093D3" w14:textId="77777777" w:rsidR="009B3AC1" w:rsidRPr="009B3AC1" w:rsidRDefault="009B3AC1" w:rsidP="009B3AC1">
      <w:pPr>
        <w:pStyle w:val="CETBodytext"/>
        <w:rPr>
          <w:rFonts w:eastAsia="Calibri" w:cs="Arial"/>
          <w:szCs w:val="18"/>
        </w:rPr>
      </w:pPr>
    </w:p>
    <w:p w14:paraId="533D1BAD" w14:textId="77777777" w:rsidR="00C72CAA" w:rsidRDefault="00C72CAA" w:rsidP="00C72CAA">
      <w:pPr>
        <w:pStyle w:val="CETBodytext"/>
        <w:jc w:val="left"/>
        <w:rPr>
          <w:lang w:val="en-GB"/>
        </w:rPr>
      </w:pPr>
      <w:r>
        <w:rPr>
          <w:noProof/>
          <w:lang w:val="fr-FR" w:eastAsia="fr-FR"/>
        </w:rPr>
        <w:drawing>
          <wp:inline distT="0" distB="0" distL="0" distR="0" wp14:anchorId="58F176EF" wp14:editId="426C88AA">
            <wp:extent cx="260985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2114550"/>
                    </a:xfrm>
                    <a:prstGeom prst="rect">
                      <a:avLst/>
                    </a:prstGeom>
                    <a:noFill/>
                    <a:ln>
                      <a:noFill/>
                    </a:ln>
                  </pic:spPr>
                </pic:pic>
              </a:graphicData>
            </a:graphic>
          </wp:inline>
        </w:drawing>
      </w:r>
    </w:p>
    <w:p w14:paraId="6A5BA5B8" w14:textId="4C9A5DB8" w:rsidR="00C72CAA" w:rsidRDefault="00C72CAA" w:rsidP="00C72CAA">
      <w:pPr>
        <w:pStyle w:val="CETCaption"/>
      </w:pPr>
      <w:r>
        <w:t xml:space="preserve">Figure </w:t>
      </w:r>
      <w:r w:rsidR="009B3AC1">
        <w:t>2</w:t>
      </w:r>
      <w:r>
        <w:t xml:space="preserve">: </w:t>
      </w:r>
      <w:proofErr w:type="spellStart"/>
      <w:r>
        <w:t>Swaney</w:t>
      </w:r>
      <w:proofErr w:type="spellEnd"/>
      <w:r>
        <w:t xml:space="preserve"> and Grossmann flexibility index</w:t>
      </w:r>
    </w:p>
    <w:p w14:paraId="189BDF74" w14:textId="1CBBB807" w:rsidR="00467918" w:rsidRDefault="0019348F" w:rsidP="001939F7">
      <w:pPr>
        <w:pStyle w:val="CETBodytext"/>
        <w:rPr>
          <w:lang w:val="en-GB"/>
        </w:rPr>
      </w:pPr>
      <w:r>
        <w:rPr>
          <w:lang w:val="en-GB"/>
        </w:rPr>
        <w:t xml:space="preserve">It is worth remarking that, in this research work, we solve the flexible design problem. This means that the process system costs, in this case operating expenses, are calculated on the basis of the perturbed process conditions and the value associated with the index is the most restrictive constraint that should be afforded to ensure the operation feasibility for any deviation of the region inscribed in the hyperrectangle characterized by a side size equal to </w:t>
      </w:r>
      <w:proofErr w:type="spellStart"/>
      <w:r>
        <w:rPr>
          <w:lang w:val="en-GB"/>
        </w:rPr>
        <w:t>F</w:t>
      </w:r>
      <w:r w:rsidRPr="0019348F">
        <w:rPr>
          <w:vertAlign w:val="subscript"/>
          <w:lang w:val="en-GB"/>
        </w:rPr>
        <w:t>sg</w:t>
      </w:r>
      <w:proofErr w:type="spellEnd"/>
      <w:r>
        <w:rPr>
          <w:lang w:val="en-GB"/>
        </w:rPr>
        <w:t>.</w:t>
      </w:r>
      <w:r w:rsidR="00E929DD">
        <w:rPr>
          <w:lang w:val="en-GB"/>
        </w:rPr>
        <w:t xml:space="preserve"> </w:t>
      </w:r>
      <w:r w:rsidR="00A500CE">
        <w:rPr>
          <w:lang w:val="en-GB"/>
        </w:rPr>
        <w:t>Once the flexibility analysis is carried out over the entire uncertain domain</w:t>
      </w:r>
      <w:r w:rsidR="006A7914">
        <w:rPr>
          <w:lang w:val="en-GB"/>
        </w:rPr>
        <w:t xml:space="preserve"> as reported in Table 2</w:t>
      </w:r>
      <w:r w:rsidR="00A500CE">
        <w:rPr>
          <w:lang w:val="en-GB"/>
        </w:rPr>
        <w:t xml:space="preserve">, the parameters corresponding to each value of the </w:t>
      </w:r>
      <w:r w:rsidR="00A500CE">
        <w:t>F</w:t>
      </w:r>
      <w:r w:rsidR="00A500CE">
        <w:rPr>
          <w:vertAlign w:val="subscript"/>
        </w:rPr>
        <w:t>SG</w:t>
      </w:r>
      <w:r w:rsidR="00A500CE">
        <w:t xml:space="preserve"> index can be exploited </w:t>
      </w:r>
      <w:r w:rsidR="00973F1C">
        <w:t>to calculate the corresponding income. According to the methodology proposed by Di Pretoro et al. (2019) an economic vs. flexibility plot can then be used to summarize the results as explained in the next section.</w:t>
      </w:r>
    </w:p>
    <w:p w14:paraId="710298D6" w14:textId="1F0115A7" w:rsidR="008008BD" w:rsidRPr="00B57B36" w:rsidRDefault="008008BD" w:rsidP="008008BD">
      <w:pPr>
        <w:pStyle w:val="CETHeading1"/>
        <w:rPr>
          <w:lang w:val="en-GB"/>
        </w:rPr>
      </w:pPr>
      <w:r>
        <w:rPr>
          <w:lang w:val="en-GB"/>
        </w:rPr>
        <w:t>Results</w:t>
      </w:r>
    </w:p>
    <w:p w14:paraId="0D9E28DA" w14:textId="4D0EA669" w:rsidR="00E929DD" w:rsidRDefault="00E929DD" w:rsidP="00E929DD">
      <w:pPr>
        <w:pStyle w:val="CETBodytext"/>
      </w:pPr>
      <w:r>
        <w:t>T</w:t>
      </w:r>
      <w:r w:rsidR="00DF68E5">
        <w:t xml:space="preserve">he </w:t>
      </w:r>
      <w:r>
        <w:t xml:space="preserve">entire </w:t>
      </w:r>
      <w:r w:rsidR="00DF68E5">
        <w:t xml:space="preserve">simulation was performed </w:t>
      </w:r>
      <w:r w:rsidR="00BA4B92">
        <w:t>under</w:t>
      </w:r>
      <w:r w:rsidR="00DF68E5">
        <w:t xml:space="preserve"> nominal case conditions</w:t>
      </w:r>
      <w:r>
        <w:t xml:space="preserve"> first</w:t>
      </w:r>
      <w:r w:rsidR="00DF68E5">
        <w:t>. The most relevant values</w:t>
      </w:r>
      <w:r w:rsidR="00BA4B92">
        <w:t xml:space="preserve"> </w:t>
      </w:r>
      <w:r w:rsidR="00DF68E5">
        <w:t>among the obtained results</w:t>
      </w:r>
      <w:r w:rsidR="00BA4B92">
        <w:t>,</w:t>
      </w:r>
      <w:r w:rsidR="00BA4B92" w:rsidRPr="00BA4B92">
        <w:t xml:space="preserve"> </w:t>
      </w:r>
      <w:r w:rsidR="00BA4B92">
        <w:t>that will be useful for the next step, are listed in Table 2.</w:t>
      </w:r>
    </w:p>
    <w:p w14:paraId="46606387" w14:textId="77777777" w:rsidR="002C5119" w:rsidRPr="00B57B36" w:rsidRDefault="002C5119" w:rsidP="002C5119">
      <w:pPr>
        <w:pStyle w:val="CETTabletitle"/>
      </w:pPr>
      <w:r w:rsidRPr="00B57B36">
        <w:t xml:space="preserve">Table </w:t>
      </w:r>
      <w:r>
        <w:t>2</w:t>
      </w:r>
      <w:r w:rsidRPr="00B57B36">
        <w:t xml:space="preserve">: </w:t>
      </w:r>
      <w:r>
        <w:t>Results under nominal operating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36"/>
        <w:gridCol w:w="836"/>
        <w:gridCol w:w="836"/>
      </w:tblGrid>
      <w:tr w:rsidR="002C5119" w:rsidRPr="00B57B36" w14:paraId="70B9A3A8" w14:textId="77777777" w:rsidTr="00BB6F4D">
        <w:tc>
          <w:tcPr>
            <w:tcW w:w="2636" w:type="dxa"/>
            <w:tcBorders>
              <w:top w:val="single" w:sz="12" w:space="0" w:color="008000"/>
              <w:bottom w:val="single" w:sz="6" w:space="0" w:color="008000"/>
            </w:tcBorders>
            <w:shd w:val="clear" w:color="auto" w:fill="FFFFFF"/>
          </w:tcPr>
          <w:p w14:paraId="7AD71099" w14:textId="77777777" w:rsidR="002C5119" w:rsidRPr="00B57B36" w:rsidRDefault="002C5119" w:rsidP="00BB6F4D">
            <w:pPr>
              <w:pStyle w:val="CETBodytext"/>
              <w:rPr>
                <w:lang w:val="en-GB"/>
              </w:rPr>
            </w:pPr>
            <w:r>
              <w:rPr>
                <w:lang w:val="en-GB"/>
              </w:rPr>
              <w:t>Variable</w:t>
            </w:r>
          </w:p>
        </w:tc>
        <w:tc>
          <w:tcPr>
            <w:tcW w:w="836" w:type="dxa"/>
            <w:tcBorders>
              <w:top w:val="single" w:sz="12" w:space="0" w:color="008000"/>
              <w:bottom w:val="single" w:sz="6" w:space="0" w:color="008000"/>
            </w:tcBorders>
            <w:shd w:val="clear" w:color="auto" w:fill="FFFFFF"/>
          </w:tcPr>
          <w:p w14:paraId="27A4C6A1" w14:textId="77777777" w:rsidR="002C5119" w:rsidRPr="00B57B36" w:rsidRDefault="002C5119" w:rsidP="00BB6F4D">
            <w:pPr>
              <w:pStyle w:val="CETBodytext"/>
              <w:rPr>
                <w:lang w:val="en-GB"/>
              </w:rPr>
            </w:pPr>
            <w:r>
              <w:rPr>
                <w:lang w:val="en-GB"/>
              </w:rPr>
              <w:t>Value</w:t>
            </w:r>
          </w:p>
        </w:tc>
        <w:tc>
          <w:tcPr>
            <w:tcW w:w="836" w:type="dxa"/>
            <w:tcBorders>
              <w:top w:val="single" w:sz="12" w:space="0" w:color="008000"/>
              <w:bottom w:val="single" w:sz="6" w:space="0" w:color="008000"/>
            </w:tcBorders>
            <w:shd w:val="clear" w:color="auto" w:fill="FFFFFF"/>
          </w:tcPr>
          <w:p w14:paraId="7764CA81" w14:textId="77777777" w:rsidR="002C5119" w:rsidRDefault="002C5119" w:rsidP="00BB6F4D">
            <w:pPr>
              <w:pStyle w:val="CETBodytext"/>
              <w:rPr>
                <w:lang w:val="en-GB"/>
              </w:rPr>
            </w:pPr>
            <w:r>
              <w:rPr>
                <w:lang w:val="en-GB"/>
              </w:rPr>
              <w:t>Unit</w:t>
            </w:r>
          </w:p>
        </w:tc>
      </w:tr>
      <w:tr w:rsidR="002C5119" w:rsidRPr="00B57B36" w14:paraId="1CC71FE6" w14:textId="77777777" w:rsidTr="00BB6F4D">
        <w:tc>
          <w:tcPr>
            <w:tcW w:w="2636" w:type="dxa"/>
            <w:shd w:val="clear" w:color="auto" w:fill="FFFFFF"/>
          </w:tcPr>
          <w:p w14:paraId="1CC85A58" w14:textId="77777777" w:rsidR="002C5119" w:rsidRPr="00B57B36" w:rsidRDefault="002C5119" w:rsidP="00BB6F4D">
            <w:pPr>
              <w:pStyle w:val="CETBodytext"/>
              <w:rPr>
                <w:lang w:val="en-GB"/>
              </w:rPr>
            </w:pPr>
            <w:r>
              <w:rPr>
                <w:rFonts w:cs="Arial"/>
                <w:szCs w:val="18"/>
                <w:lang w:val="en-GB"/>
              </w:rPr>
              <w:t>Reactor conversion</w:t>
            </w:r>
          </w:p>
        </w:tc>
        <w:tc>
          <w:tcPr>
            <w:tcW w:w="836" w:type="dxa"/>
            <w:shd w:val="clear" w:color="auto" w:fill="FFFFFF"/>
          </w:tcPr>
          <w:p w14:paraId="4D3EB49D" w14:textId="77777777" w:rsidR="002C5119" w:rsidRPr="00B57B36" w:rsidRDefault="002C5119" w:rsidP="00BB6F4D">
            <w:pPr>
              <w:pStyle w:val="CETBodytext"/>
              <w:rPr>
                <w:lang w:val="en-GB"/>
              </w:rPr>
            </w:pPr>
            <w:r>
              <w:rPr>
                <w:lang w:val="en-GB"/>
              </w:rPr>
              <w:t>0.4</w:t>
            </w:r>
          </w:p>
        </w:tc>
        <w:tc>
          <w:tcPr>
            <w:tcW w:w="836" w:type="dxa"/>
            <w:shd w:val="clear" w:color="auto" w:fill="FFFFFF"/>
          </w:tcPr>
          <w:p w14:paraId="79A3D248" w14:textId="77777777" w:rsidR="002C5119" w:rsidRPr="00B57B36" w:rsidRDefault="002C5119" w:rsidP="00BB6F4D">
            <w:pPr>
              <w:pStyle w:val="CETBodytext"/>
              <w:rPr>
                <w:lang w:val="en-GB"/>
              </w:rPr>
            </w:pPr>
            <w:r>
              <w:rPr>
                <w:lang w:val="en-GB"/>
              </w:rPr>
              <w:t>/</w:t>
            </w:r>
          </w:p>
        </w:tc>
      </w:tr>
      <w:tr w:rsidR="002C5119" w:rsidRPr="00B57B36" w14:paraId="119AD0D7" w14:textId="77777777" w:rsidTr="00BB6F4D">
        <w:tc>
          <w:tcPr>
            <w:tcW w:w="2636" w:type="dxa"/>
            <w:shd w:val="clear" w:color="auto" w:fill="FFFFFF"/>
          </w:tcPr>
          <w:p w14:paraId="1E1F8B41" w14:textId="77777777" w:rsidR="002C5119" w:rsidRDefault="002C5119" w:rsidP="00BB6F4D">
            <w:pPr>
              <w:pStyle w:val="CETBodytext"/>
              <w:rPr>
                <w:rFonts w:cs="Arial"/>
                <w:szCs w:val="18"/>
                <w:lang w:val="en-GB"/>
              </w:rPr>
            </w:pPr>
            <w:r>
              <w:rPr>
                <w:rFonts w:cs="Arial"/>
                <w:szCs w:val="18"/>
                <w:lang w:val="en-GB"/>
              </w:rPr>
              <w:t>Electrolysis Power</w:t>
            </w:r>
          </w:p>
        </w:tc>
        <w:tc>
          <w:tcPr>
            <w:tcW w:w="836" w:type="dxa"/>
            <w:shd w:val="clear" w:color="auto" w:fill="FFFFFF"/>
          </w:tcPr>
          <w:p w14:paraId="3B2E0824" w14:textId="77777777" w:rsidR="002C5119" w:rsidRPr="00B57B36" w:rsidRDefault="002C5119" w:rsidP="00BB6F4D">
            <w:pPr>
              <w:pStyle w:val="CETBodytext"/>
              <w:rPr>
                <w:lang w:val="en-GB"/>
              </w:rPr>
            </w:pPr>
            <w:r>
              <w:rPr>
                <w:lang w:val="en-GB"/>
              </w:rPr>
              <w:t>40 426</w:t>
            </w:r>
          </w:p>
        </w:tc>
        <w:tc>
          <w:tcPr>
            <w:tcW w:w="836" w:type="dxa"/>
            <w:shd w:val="clear" w:color="auto" w:fill="FFFFFF"/>
          </w:tcPr>
          <w:p w14:paraId="6FFB2A83" w14:textId="77777777" w:rsidR="002C5119" w:rsidRPr="00B57B36" w:rsidRDefault="002C5119" w:rsidP="00BB6F4D">
            <w:pPr>
              <w:pStyle w:val="CETBodytext"/>
              <w:rPr>
                <w:lang w:val="en-GB"/>
              </w:rPr>
            </w:pPr>
            <w:r>
              <w:rPr>
                <w:lang w:val="en-GB"/>
              </w:rPr>
              <w:t>kW</w:t>
            </w:r>
          </w:p>
        </w:tc>
      </w:tr>
      <w:tr w:rsidR="002C5119" w:rsidRPr="00B57B36" w14:paraId="31F87C4C" w14:textId="77777777" w:rsidTr="00BB6F4D">
        <w:tc>
          <w:tcPr>
            <w:tcW w:w="2636" w:type="dxa"/>
            <w:shd w:val="clear" w:color="auto" w:fill="FFFFFF"/>
          </w:tcPr>
          <w:p w14:paraId="7B4A7549" w14:textId="77777777" w:rsidR="002C5119" w:rsidRPr="00B57B36" w:rsidRDefault="002C5119" w:rsidP="00BB6F4D">
            <w:pPr>
              <w:pStyle w:val="CETBodytext"/>
              <w:ind w:right="-1"/>
              <w:rPr>
                <w:rFonts w:cs="Arial"/>
                <w:szCs w:val="18"/>
                <w:lang w:val="en-GB"/>
              </w:rPr>
            </w:pPr>
            <w:r>
              <w:rPr>
                <w:rFonts w:cs="Arial"/>
                <w:szCs w:val="18"/>
                <w:lang w:val="en-GB"/>
              </w:rPr>
              <w:t>Net Power Production</w:t>
            </w:r>
          </w:p>
        </w:tc>
        <w:tc>
          <w:tcPr>
            <w:tcW w:w="836" w:type="dxa"/>
            <w:shd w:val="clear" w:color="auto" w:fill="FFFFFF"/>
          </w:tcPr>
          <w:p w14:paraId="72825FA9" w14:textId="77777777" w:rsidR="002C5119" w:rsidRPr="00B57B36" w:rsidRDefault="002C5119" w:rsidP="00BB6F4D">
            <w:pPr>
              <w:pStyle w:val="CETBodytext"/>
              <w:ind w:right="-1"/>
              <w:rPr>
                <w:rFonts w:cs="Arial"/>
                <w:szCs w:val="18"/>
                <w:lang w:val="en-GB"/>
              </w:rPr>
            </w:pPr>
            <w:r>
              <w:rPr>
                <w:rFonts w:cs="Arial"/>
                <w:szCs w:val="18"/>
                <w:lang w:val="en-GB"/>
              </w:rPr>
              <w:t>7 574</w:t>
            </w:r>
          </w:p>
        </w:tc>
        <w:tc>
          <w:tcPr>
            <w:tcW w:w="836" w:type="dxa"/>
            <w:shd w:val="clear" w:color="auto" w:fill="FFFFFF"/>
          </w:tcPr>
          <w:p w14:paraId="0E9CD733" w14:textId="77777777" w:rsidR="002C5119" w:rsidRPr="00B57B36" w:rsidRDefault="002C5119" w:rsidP="00BB6F4D">
            <w:pPr>
              <w:pStyle w:val="CETBodytext"/>
              <w:ind w:right="-1"/>
              <w:rPr>
                <w:rFonts w:cs="Arial"/>
                <w:szCs w:val="18"/>
                <w:lang w:val="en-GB"/>
              </w:rPr>
            </w:pPr>
            <w:r>
              <w:rPr>
                <w:rFonts w:cs="Arial"/>
                <w:szCs w:val="18"/>
                <w:lang w:val="en-GB"/>
              </w:rPr>
              <w:t>kW</w:t>
            </w:r>
          </w:p>
        </w:tc>
      </w:tr>
      <w:tr w:rsidR="002C5119" w:rsidRPr="00B57B36" w14:paraId="10F7EB46" w14:textId="77777777" w:rsidTr="00BB6F4D">
        <w:tc>
          <w:tcPr>
            <w:tcW w:w="2636" w:type="dxa"/>
            <w:shd w:val="clear" w:color="auto" w:fill="FFFFFF"/>
          </w:tcPr>
          <w:p w14:paraId="24C52F00" w14:textId="77777777" w:rsidR="002C5119" w:rsidRPr="00B57B36" w:rsidRDefault="002C5119" w:rsidP="00BB6F4D">
            <w:pPr>
              <w:pStyle w:val="CETBodytext"/>
              <w:ind w:right="-1"/>
              <w:rPr>
                <w:rFonts w:cs="Arial"/>
                <w:szCs w:val="18"/>
                <w:lang w:val="en-GB"/>
              </w:rPr>
            </w:pPr>
            <w:r>
              <w:rPr>
                <w:rFonts w:cs="Arial"/>
                <w:szCs w:val="18"/>
                <w:lang w:val="en-GB"/>
              </w:rPr>
              <w:t>Methanol Production</w:t>
            </w:r>
          </w:p>
        </w:tc>
        <w:tc>
          <w:tcPr>
            <w:tcW w:w="836" w:type="dxa"/>
            <w:shd w:val="clear" w:color="auto" w:fill="FFFFFF"/>
          </w:tcPr>
          <w:p w14:paraId="3BA8E01A" w14:textId="77777777" w:rsidR="002C5119" w:rsidRPr="00B57B36" w:rsidRDefault="002C5119" w:rsidP="00BB6F4D">
            <w:pPr>
              <w:pStyle w:val="CETBodytext"/>
              <w:ind w:right="-1"/>
              <w:rPr>
                <w:rFonts w:cs="Arial"/>
                <w:szCs w:val="18"/>
                <w:lang w:val="en-GB"/>
              </w:rPr>
            </w:pPr>
            <w:r>
              <w:rPr>
                <w:rFonts w:cs="Arial"/>
                <w:szCs w:val="18"/>
                <w:lang w:val="en-GB"/>
              </w:rPr>
              <w:t>4 312</w:t>
            </w:r>
          </w:p>
        </w:tc>
        <w:tc>
          <w:tcPr>
            <w:tcW w:w="836" w:type="dxa"/>
            <w:shd w:val="clear" w:color="auto" w:fill="FFFFFF"/>
          </w:tcPr>
          <w:p w14:paraId="58AA1BC3" w14:textId="77777777" w:rsidR="002C5119" w:rsidRPr="00B57B36" w:rsidRDefault="002C5119" w:rsidP="00BB6F4D">
            <w:pPr>
              <w:pStyle w:val="CETBodytext"/>
              <w:ind w:right="-1"/>
              <w:rPr>
                <w:rFonts w:cs="Arial"/>
                <w:szCs w:val="18"/>
                <w:lang w:val="en-GB"/>
              </w:rPr>
            </w:pPr>
            <w:r>
              <w:rPr>
                <w:rFonts w:cs="Arial"/>
                <w:szCs w:val="18"/>
                <w:lang w:val="en-GB"/>
              </w:rPr>
              <w:t>kg/h</w:t>
            </w:r>
          </w:p>
        </w:tc>
      </w:tr>
      <w:tr w:rsidR="002C5119" w:rsidRPr="00B57B36" w14:paraId="63AC3EFB" w14:textId="77777777" w:rsidTr="00BB6F4D">
        <w:tc>
          <w:tcPr>
            <w:tcW w:w="2636" w:type="dxa"/>
            <w:shd w:val="clear" w:color="auto" w:fill="FFFFFF"/>
          </w:tcPr>
          <w:p w14:paraId="12099155" w14:textId="77777777" w:rsidR="002C5119" w:rsidRDefault="002C5119" w:rsidP="00BB6F4D">
            <w:pPr>
              <w:pStyle w:val="CETBodytext"/>
              <w:ind w:right="-1"/>
              <w:rPr>
                <w:rFonts w:cs="Arial"/>
                <w:szCs w:val="18"/>
                <w:lang w:val="en-GB"/>
              </w:rPr>
            </w:pPr>
            <w:r>
              <w:rPr>
                <w:rFonts w:cs="Arial"/>
                <w:szCs w:val="18"/>
                <w:lang w:val="en-GB"/>
              </w:rPr>
              <w:t>Net Income</w:t>
            </w:r>
          </w:p>
        </w:tc>
        <w:tc>
          <w:tcPr>
            <w:tcW w:w="836" w:type="dxa"/>
            <w:shd w:val="clear" w:color="auto" w:fill="FFFFFF"/>
          </w:tcPr>
          <w:p w14:paraId="14192680" w14:textId="77777777" w:rsidR="002C5119" w:rsidRDefault="002C5119" w:rsidP="00BB6F4D">
            <w:pPr>
              <w:pStyle w:val="CETBodytext"/>
              <w:ind w:right="-1"/>
              <w:rPr>
                <w:rFonts w:cs="Arial"/>
                <w:szCs w:val="18"/>
                <w:lang w:val="en-GB"/>
              </w:rPr>
            </w:pPr>
            <w:r>
              <w:rPr>
                <w:rFonts w:cs="Arial"/>
                <w:szCs w:val="18"/>
                <w:lang w:val="en-GB"/>
              </w:rPr>
              <w:t>39 802</w:t>
            </w:r>
          </w:p>
        </w:tc>
        <w:tc>
          <w:tcPr>
            <w:tcW w:w="836" w:type="dxa"/>
            <w:shd w:val="clear" w:color="auto" w:fill="FFFFFF"/>
          </w:tcPr>
          <w:p w14:paraId="23E6ADF4" w14:textId="77777777" w:rsidR="002C5119" w:rsidRDefault="002C5119" w:rsidP="00BB6F4D">
            <w:pPr>
              <w:pStyle w:val="CETBodytext"/>
              <w:ind w:right="-1"/>
              <w:rPr>
                <w:rFonts w:cs="Arial"/>
                <w:szCs w:val="18"/>
                <w:lang w:val="en-GB"/>
              </w:rPr>
            </w:pPr>
            <w:r>
              <w:rPr>
                <w:rFonts w:cs="Arial"/>
                <w:szCs w:val="18"/>
                <w:lang w:val="en-GB"/>
              </w:rPr>
              <w:t>€/day</w:t>
            </w:r>
          </w:p>
        </w:tc>
      </w:tr>
    </w:tbl>
    <w:p w14:paraId="1B0F72DA" w14:textId="77777777" w:rsidR="002258AE" w:rsidRDefault="002C5119" w:rsidP="00E929DD">
      <w:pPr>
        <w:pStyle w:val="CETBodytext"/>
      </w:pPr>
      <w:r>
        <w:lastRenderedPageBreak/>
        <w:t>As explained in the previous sections, the flexibility analysis was performed for the four uncertain parameters. In order to allow the graphical representation of the results in the 3D space it was made twice by using two parameters at a time.</w:t>
      </w:r>
    </w:p>
    <w:p w14:paraId="3CD87BDB" w14:textId="5CB807C8" w:rsidR="002C5119" w:rsidRDefault="002C5119" w:rsidP="00E929DD">
      <w:pPr>
        <w:pStyle w:val="CETBodytext"/>
      </w:pPr>
      <w:r>
        <w:t>In particular, we made the choice to couple parameters related to energy, i.e. photovoltaic power and biomass heating value and those related to CO</w:t>
      </w:r>
      <w:r w:rsidRPr="00D00EA6">
        <w:rPr>
          <w:vertAlign w:val="subscript"/>
        </w:rPr>
        <w:t>2</w:t>
      </w:r>
      <w:r>
        <w:t>, namely specific emissions and capture efficiency.</w:t>
      </w:r>
    </w:p>
    <w:p w14:paraId="1B92AE4F" w14:textId="11F8826A" w:rsidR="002C5119" w:rsidRDefault="002C5119" w:rsidP="00E929DD">
      <w:pPr>
        <w:pStyle w:val="CETBodytext"/>
      </w:pPr>
      <w:r>
        <w:t>First of all, a sensitivity analysis over the uncertain domain is carried out. In the first case, methanol production, and thus the associated income, doesn</w:t>
      </w:r>
      <w:r w:rsidR="00E13EEB">
        <w:t>’</w:t>
      </w:r>
      <w:r>
        <w:t xml:space="preserve">t change since energy related variables </w:t>
      </w:r>
      <w:r w:rsidR="00E13EEB">
        <w:t xml:space="preserve">don’t </w:t>
      </w:r>
      <w:r>
        <w:t xml:space="preserve">affect the </w:t>
      </w:r>
      <w:r w:rsidR="00E13EEB">
        <w:t xml:space="preserve">plant </w:t>
      </w:r>
      <w:r>
        <w:t>power side.</w:t>
      </w:r>
    </w:p>
    <w:p w14:paraId="3CED3BE0" w14:textId="77777777" w:rsidR="00916664" w:rsidRDefault="00916664" w:rsidP="00916664">
      <w:pPr>
        <w:pStyle w:val="CETCaption"/>
        <w:rPr>
          <w:rStyle w:val="CETCaptionCarattere"/>
          <w:i/>
        </w:rPr>
      </w:pPr>
      <w:r>
        <w:rPr>
          <w:noProof/>
        </w:rPr>
        <w:drawing>
          <wp:inline distT="0" distB="0" distL="0" distR="0" wp14:anchorId="604CCEA4" wp14:editId="0F1DF946">
            <wp:extent cx="2878349" cy="215876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noChangeArrowheads="1"/>
                    </pic:cNvPicPr>
                  </pic:nvPicPr>
                  <pic:blipFill>
                    <a:blip r:embed="rId13"/>
                    <a:stretch>
                      <a:fillRect/>
                    </a:stretch>
                  </pic:blipFill>
                  <pic:spPr bwMode="auto">
                    <a:xfrm>
                      <a:off x="0" y="0"/>
                      <a:ext cx="2878349" cy="2158762"/>
                    </a:xfrm>
                    <a:prstGeom prst="rect">
                      <a:avLst/>
                    </a:prstGeom>
                    <a:noFill/>
                    <a:ln>
                      <a:noFill/>
                    </a:ln>
                  </pic:spPr>
                </pic:pic>
              </a:graphicData>
            </a:graphic>
          </wp:inline>
        </w:drawing>
      </w:r>
      <w:r>
        <w:rPr>
          <w:noProof/>
        </w:rPr>
        <w:drawing>
          <wp:inline distT="0" distB="0" distL="0" distR="0" wp14:anchorId="096C645B" wp14:editId="2BF9915B">
            <wp:extent cx="2640839" cy="216000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4"/>
                    <a:srcRect l="4152" r="4152"/>
                    <a:stretch>
                      <a:fillRect/>
                    </a:stretch>
                  </pic:blipFill>
                  <pic:spPr bwMode="auto">
                    <a:xfrm>
                      <a:off x="0" y="0"/>
                      <a:ext cx="2640839" cy="2160000"/>
                    </a:xfrm>
                    <a:prstGeom prst="rect">
                      <a:avLst/>
                    </a:prstGeom>
                    <a:ln>
                      <a:noFill/>
                    </a:ln>
                    <a:extLst>
                      <a:ext uri="{53640926-AAD7-44D8-BBD7-CCE9431645EC}">
                        <a14:shadowObscured xmlns:a14="http://schemas.microsoft.com/office/drawing/2010/main"/>
                      </a:ext>
                    </a:extLst>
                  </pic:spPr>
                </pic:pic>
              </a:graphicData>
            </a:graphic>
          </wp:inline>
        </w:drawing>
      </w:r>
    </w:p>
    <w:p w14:paraId="736063E0" w14:textId="0BD91A2E" w:rsidR="002F011C" w:rsidRPr="001A5D16" w:rsidRDefault="00916664" w:rsidP="00916664">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 xml:space="preserve">Results for case study 1 – Net Power Production (left) and Income vs </w:t>
      </w:r>
      <w:proofErr w:type="spellStart"/>
      <w:r>
        <w:rPr>
          <w:rStyle w:val="CETCaptionCarattere"/>
          <w:i/>
        </w:rPr>
        <w:t>F</w:t>
      </w:r>
      <w:r w:rsidRPr="00D66B59">
        <w:rPr>
          <w:rStyle w:val="CETCaptionCarattere"/>
          <w:i/>
          <w:vertAlign w:val="subscript"/>
        </w:rPr>
        <w:t>sg</w:t>
      </w:r>
      <w:proofErr w:type="spellEnd"/>
      <w:r>
        <w:rPr>
          <w:rStyle w:val="CETCaptionCarattere"/>
          <w:i/>
        </w:rPr>
        <w:t xml:space="preserve"> (right)</w:t>
      </w:r>
    </w:p>
    <w:p w14:paraId="27BB1122" w14:textId="6B430837" w:rsidR="003A5564" w:rsidRDefault="00E929DD" w:rsidP="003A5564">
      <w:pPr>
        <w:pStyle w:val="CETBodytext"/>
      </w:pPr>
      <w:r>
        <w:t>As it can be noticed in Figure 3 (left) the produced power of the plant linearly increases with respect to the increase of the two variables as expected. The</w:t>
      </w:r>
      <w:r w:rsidR="00EB43EB">
        <w:t>refore</w:t>
      </w:r>
      <w:r>
        <w:t>, the unit</w:t>
      </w:r>
      <w:r w:rsidR="00EB43EB">
        <w:t>s</w:t>
      </w:r>
      <w:r>
        <w:t xml:space="preserve"> of the analysis </w:t>
      </w:r>
      <w:r w:rsidR="00EB43EB">
        <w:t>are</w:t>
      </w:r>
      <w:r>
        <w:t xml:space="preserve"> </w:t>
      </w:r>
      <w:r w:rsidR="00EB43EB">
        <w:t>converted</w:t>
      </w:r>
      <w:r>
        <w:t xml:space="preserve"> in terms of flexibility and </w:t>
      </w:r>
      <w:r w:rsidR="00EB43EB">
        <w:t xml:space="preserve">economic indicators </w:t>
      </w:r>
      <w:r>
        <w:t xml:space="preserve">expressed as a percentage of deviation and </w:t>
      </w:r>
      <w:r w:rsidR="00EB43EB">
        <w:t>as the total income values normalized with respect to</w:t>
      </w:r>
      <w:r>
        <w:t xml:space="preserve"> the</w:t>
      </w:r>
      <w:r w:rsidR="00EB43EB">
        <w:t xml:space="preserve"> nominal ones</w:t>
      </w:r>
      <w:r>
        <w:t>.</w:t>
      </w:r>
      <w:r w:rsidR="002C5119">
        <w:t xml:space="preserve"> </w:t>
      </w:r>
      <w:r w:rsidR="003A5564">
        <w:t xml:space="preserve">Since the flexibility index of </w:t>
      </w:r>
      <w:proofErr w:type="spellStart"/>
      <w:r w:rsidR="003A5564">
        <w:t>Swaney</w:t>
      </w:r>
      <w:proofErr w:type="spellEnd"/>
      <w:r w:rsidR="003A5564">
        <w:t xml:space="preserve"> and Grossmann accounts for the worst case scenario, the resulting trend corresponds to the diagonal line going from the center of Figure </w:t>
      </w:r>
      <w:r w:rsidR="00027F2A">
        <w:t>3</w:t>
      </w:r>
      <w:r w:rsidR="003A5564">
        <w:t xml:space="preserve"> (left) to the bottom corner. Beside the decreasing trend, an important value is the slope of the line corresponding to about 0.0</w:t>
      </w:r>
      <w:r w:rsidR="003922AA">
        <w:t>3</w:t>
      </w:r>
      <w:r w:rsidR="003A5564">
        <w:t xml:space="preserve">% of the income losses for unit percent of </w:t>
      </w:r>
      <w:proofErr w:type="spellStart"/>
      <w:r w:rsidR="003A5564">
        <w:t>F</w:t>
      </w:r>
      <w:r w:rsidR="003A5564" w:rsidRPr="00570C2A">
        <w:rPr>
          <w:vertAlign w:val="subscript"/>
        </w:rPr>
        <w:t>sg</w:t>
      </w:r>
      <w:r w:rsidR="003A5564">
        <w:t>.</w:t>
      </w:r>
      <w:r w:rsidR="00EB43EB">
        <w:t>After</w:t>
      </w:r>
      <w:proofErr w:type="spellEnd"/>
      <w:r w:rsidR="00EB43EB">
        <w:t xml:space="preserve"> that</w:t>
      </w:r>
      <w:r w:rsidR="003A5564">
        <w:t xml:space="preserve">, the second part of the analysis is performed. In this case, biomass emissions and </w:t>
      </w:r>
      <w:r w:rsidR="00EB43EB">
        <w:t>the amount of</w:t>
      </w:r>
      <w:r w:rsidR="003A5564">
        <w:t xml:space="preserve"> captured carbon dioxide affect both methanol and net power production. Th</w:t>
      </w:r>
      <w:r w:rsidR="00EB43EB">
        <w:t xml:space="preserve">is </w:t>
      </w:r>
      <w:r w:rsidR="003A5564">
        <w:t>is due to the fact that the system is designed to allow the conversion of all the captured CO</w:t>
      </w:r>
      <w:r w:rsidR="003A5564" w:rsidRPr="001C6823">
        <w:rPr>
          <w:vertAlign w:val="subscript"/>
        </w:rPr>
        <w:t>2</w:t>
      </w:r>
      <w:r w:rsidR="003A5564">
        <w:t xml:space="preserve"> and, as a consequence, the energy for electrolysis is adapted to the stoichiometric hydrogen quantity to </w:t>
      </w:r>
      <w:r w:rsidR="003C7D16">
        <w:t xml:space="preserve">be </w:t>
      </w:r>
      <w:r w:rsidR="003A5564">
        <w:t>produce</w:t>
      </w:r>
      <w:r w:rsidR="003C7D16">
        <w:t>d</w:t>
      </w:r>
      <w:r w:rsidR="003A5564">
        <w:t>.</w:t>
      </w:r>
      <w:r w:rsidR="00D75C78" w:rsidRPr="00D75C78">
        <w:t xml:space="preserve"> </w:t>
      </w:r>
      <w:r w:rsidR="00D75C78">
        <w:t>As we can see in Figure 4 (left) the amount of produced methanol increases with a slightly non-linear trend towards higher capture and emissions in the range of [-40 +60]%.</w:t>
      </w:r>
      <w:r w:rsidR="00764D0B">
        <w:t xml:space="preserve"> As a consequence, the power consumption increases in the same direction, i.e. the net power production decreases when higher emissions and efficiency occur, but with a much higher variation with respect to the nominal operating conditions ([-300 +180]%).</w:t>
      </w:r>
    </w:p>
    <w:p w14:paraId="53E4771E" w14:textId="1A6394D4" w:rsidR="002F011C" w:rsidRPr="00B57B36" w:rsidRDefault="00D83DFD" w:rsidP="002F011C">
      <w:pPr>
        <w:pStyle w:val="CETCaption"/>
        <w:jc w:val="center"/>
      </w:pPr>
      <w:r>
        <w:rPr>
          <w:noProof/>
        </w:rPr>
        <w:drawing>
          <wp:inline distT="0" distB="0" distL="0" distR="0" wp14:anchorId="79515344" wp14:editId="587E0AFE">
            <wp:extent cx="2640000" cy="1980000"/>
            <wp:effectExtent l="0" t="0" r="825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5"/>
                    <a:stretch>
                      <a:fillRect/>
                    </a:stretch>
                  </pic:blipFill>
                  <pic:spPr bwMode="auto">
                    <a:xfrm>
                      <a:off x="0" y="0"/>
                      <a:ext cx="2640000" cy="1980000"/>
                    </a:xfrm>
                    <a:prstGeom prst="rect">
                      <a:avLst/>
                    </a:prstGeom>
                    <a:noFill/>
                    <a:ln>
                      <a:noFill/>
                    </a:ln>
                  </pic:spPr>
                </pic:pic>
              </a:graphicData>
            </a:graphic>
          </wp:inline>
        </w:drawing>
      </w:r>
      <w:r w:rsidR="00D400DC">
        <w:rPr>
          <w:noProof/>
        </w:rPr>
        <w:drawing>
          <wp:inline distT="0" distB="0" distL="0" distR="0" wp14:anchorId="3956135A" wp14:editId="1AB2B4E7">
            <wp:extent cx="2640000" cy="1980000"/>
            <wp:effectExtent l="0" t="0" r="825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6"/>
                    <a:stretch>
                      <a:fillRect/>
                    </a:stretch>
                  </pic:blipFill>
                  <pic:spPr bwMode="auto">
                    <a:xfrm>
                      <a:off x="0" y="0"/>
                      <a:ext cx="2640000" cy="1980000"/>
                    </a:xfrm>
                    <a:prstGeom prst="rect">
                      <a:avLst/>
                    </a:prstGeom>
                    <a:noFill/>
                    <a:ln>
                      <a:noFill/>
                    </a:ln>
                  </pic:spPr>
                </pic:pic>
              </a:graphicData>
            </a:graphic>
          </wp:inline>
        </w:drawing>
      </w:r>
    </w:p>
    <w:p w14:paraId="7EBAA5B7" w14:textId="605B11A1" w:rsidR="002F011C" w:rsidRPr="008B1670" w:rsidRDefault="002F011C" w:rsidP="002F011C">
      <w:pPr>
        <w:pStyle w:val="CETCaption"/>
      </w:pPr>
      <w:r w:rsidRPr="00BD077D">
        <w:rPr>
          <w:rStyle w:val="CETCaptionCarattere"/>
          <w:i/>
        </w:rPr>
        <w:t xml:space="preserve">Figure </w:t>
      </w:r>
      <w:r w:rsidR="00D400DC">
        <w:rPr>
          <w:rStyle w:val="CETCaptionCarattere"/>
          <w:i/>
        </w:rPr>
        <w:t>4</w:t>
      </w:r>
      <w:r w:rsidRPr="00BD077D">
        <w:rPr>
          <w:rStyle w:val="CETCaptionCarattere"/>
          <w:i/>
        </w:rPr>
        <w:t xml:space="preserve">: </w:t>
      </w:r>
      <w:r w:rsidR="00D400DC">
        <w:rPr>
          <w:rStyle w:val="CETCaptionCarattere"/>
          <w:i/>
        </w:rPr>
        <w:t>Results for case study 2</w:t>
      </w:r>
      <w:r w:rsidR="001A5D16">
        <w:rPr>
          <w:rStyle w:val="CETCaptionCarattere"/>
          <w:i/>
        </w:rPr>
        <w:t xml:space="preserve"> – Methanol production (left) and Net Power Production (right)</w:t>
      </w:r>
    </w:p>
    <w:p w14:paraId="166872AF" w14:textId="74735A2E" w:rsidR="003A5564" w:rsidRDefault="003A5564" w:rsidP="003A5564">
      <w:pPr>
        <w:pStyle w:val="CETBodytext"/>
      </w:pPr>
      <w:r>
        <w:lastRenderedPageBreak/>
        <w:t xml:space="preserve">As a combination of these two effects, while for the previous case the trend of the income was similar to that of the power production, in this second case study it is given by a linear combination of methanol productivity and energy that can be immitted in the grid according to a coefficient equal to their specific cost. </w:t>
      </w:r>
    </w:p>
    <w:p w14:paraId="2D018D45" w14:textId="50559998" w:rsidR="007C1E9E" w:rsidRDefault="007C1E9E" w:rsidP="007C1E9E">
      <w:pPr>
        <w:pStyle w:val="CETCaption"/>
        <w:rPr>
          <w:rStyle w:val="CETCaptionCarattere"/>
          <w:i/>
        </w:rPr>
      </w:pPr>
      <w:r>
        <w:rPr>
          <w:noProof/>
        </w:rPr>
        <w:drawing>
          <wp:inline distT="0" distB="0" distL="0" distR="0" wp14:anchorId="0D5B3104" wp14:editId="0FCEF15E">
            <wp:extent cx="2640000" cy="1980000"/>
            <wp:effectExtent l="0" t="0" r="8255"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7"/>
                    <a:stretch>
                      <a:fillRect/>
                    </a:stretch>
                  </pic:blipFill>
                  <pic:spPr bwMode="auto">
                    <a:xfrm>
                      <a:off x="0" y="0"/>
                      <a:ext cx="2640000" cy="1980000"/>
                    </a:xfrm>
                    <a:prstGeom prst="rect">
                      <a:avLst/>
                    </a:prstGeom>
                    <a:noFill/>
                    <a:ln>
                      <a:noFill/>
                    </a:ln>
                  </pic:spPr>
                </pic:pic>
              </a:graphicData>
            </a:graphic>
          </wp:inline>
        </w:drawing>
      </w:r>
      <w:r w:rsidR="001C49C4">
        <w:rPr>
          <w:noProof/>
        </w:rPr>
        <w:drawing>
          <wp:inline distT="0" distB="0" distL="0" distR="0" wp14:anchorId="7EF248C9" wp14:editId="337494C6">
            <wp:extent cx="2493117" cy="1980000"/>
            <wp:effectExtent l="0" t="0" r="254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noChangeArrowheads="1"/>
                    </pic:cNvPicPr>
                  </pic:nvPicPr>
                  <pic:blipFill>
                    <a:blip r:embed="rId18"/>
                    <a:srcRect l="2782" r="2782"/>
                    <a:stretch>
                      <a:fillRect/>
                    </a:stretch>
                  </pic:blipFill>
                  <pic:spPr bwMode="auto">
                    <a:xfrm>
                      <a:off x="0" y="0"/>
                      <a:ext cx="2493117"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2F954A96" w14:textId="354C7504" w:rsidR="007C1E9E" w:rsidRPr="008B1670" w:rsidRDefault="007C1E9E" w:rsidP="007C1E9E">
      <w:pPr>
        <w:pStyle w:val="CETCaption"/>
      </w:pPr>
      <w:r w:rsidRPr="00BD077D">
        <w:rPr>
          <w:rStyle w:val="CETCaptionCarattere"/>
          <w:i/>
        </w:rPr>
        <w:t xml:space="preserve">Figure </w:t>
      </w:r>
      <w:r>
        <w:rPr>
          <w:rStyle w:val="CETCaptionCarattere"/>
          <w:i/>
        </w:rPr>
        <w:t>5</w:t>
      </w:r>
      <w:r w:rsidRPr="00BD077D">
        <w:rPr>
          <w:rStyle w:val="CETCaptionCarattere"/>
          <w:i/>
        </w:rPr>
        <w:t xml:space="preserve">: </w:t>
      </w:r>
      <w:r>
        <w:rPr>
          <w:rStyle w:val="CETCaptionCarattere"/>
          <w:i/>
        </w:rPr>
        <w:t>Results for case study 1</w:t>
      </w:r>
    </w:p>
    <w:p w14:paraId="3D557207" w14:textId="31850DC4" w:rsidR="00D60CC0" w:rsidRDefault="00B47258" w:rsidP="002F011C">
      <w:pPr>
        <w:pStyle w:val="CETBodytext"/>
        <w:rPr>
          <w:lang w:val="en-GB"/>
        </w:rPr>
      </w:pPr>
      <w:r>
        <w:rPr>
          <w:lang w:val="en-GB"/>
        </w:rPr>
        <w:t>Figure 5 (left) shows</w:t>
      </w:r>
      <w:r w:rsidR="001B188A">
        <w:rPr>
          <w:lang w:val="en-GB"/>
        </w:rPr>
        <w:t>, as a result</w:t>
      </w:r>
      <w:r>
        <w:rPr>
          <w:lang w:val="en-GB"/>
        </w:rPr>
        <w:t xml:space="preserve"> of this combination</w:t>
      </w:r>
      <w:r w:rsidR="001B188A">
        <w:rPr>
          <w:lang w:val="en-GB"/>
        </w:rPr>
        <w:t xml:space="preserve">, </w:t>
      </w:r>
      <w:r>
        <w:rPr>
          <w:lang w:val="en-GB"/>
        </w:rPr>
        <w:t xml:space="preserve">that the total income trend has different slope when going towards positive/positive or negative/negative deviation of the variable. </w:t>
      </w:r>
      <w:r w:rsidR="00D60CC0">
        <w:rPr>
          <w:lang w:val="en-GB"/>
        </w:rPr>
        <w:t>Due to comparable values of the income related to methanol and that of the electricity, the variation range [</w:t>
      </w:r>
      <w:r w:rsidR="001B188A">
        <w:rPr>
          <w:lang w:val="en-GB"/>
        </w:rPr>
        <w:t>-0.71 +77</w:t>
      </w:r>
      <w:r w:rsidR="00D60CC0">
        <w:rPr>
          <w:lang w:val="en-GB"/>
        </w:rPr>
        <w:t>]</w:t>
      </w:r>
      <w:r w:rsidR="001B188A">
        <w:rPr>
          <w:lang w:val="en-GB"/>
        </w:rPr>
        <w:t>%</w:t>
      </w:r>
      <w:r w:rsidR="00D60CC0">
        <w:rPr>
          <w:lang w:val="en-GB"/>
        </w:rPr>
        <w:t xml:space="preserve"> is</w:t>
      </w:r>
      <w:r w:rsidR="001B188A">
        <w:rPr>
          <w:lang w:val="en-GB"/>
        </w:rPr>
        <w:t xml:space="preserve"> a</w:t>
      </w:r>
      <w:r w:rsidR="00D60CC0">
        <w:rPr>
          <w:lang w:val="en-GB"/>
        </w:rPr>
        <w:t xml:space="preserve"> weighed compromise between the previous two plots </w:t>
      </w:r>
      <w:r w:rsidR="001B188A">
        <w:rPr>
          <w:lang w:val="en-GB"/>
        </w:rPr>
        <w:t>and its slope is</w:t>
      </w:r>
      <w:r w:rsidR="00D60CC0">
        <w:rPr>
          <w:lang w:val="en-GB"/>
        </w:rPr>
        <w:t xml:space="preserve"> </w:t>
      </w:r>
      <w:r w:rsidR="001B188A">
        <w:rPr>
          <w:lang w:val="en-GB"/>
        </w:rPr>
        <w:t xml:space="preserve">more </w:t>
      </w:r>
      <w:r w:rsidR="00D60CC0">
        <w:rPr>
          <w:lang w:val="en-GB"/>
        </w:rPr>
        <w:t xml:space="preserve">mitigated </w:t>
      </w:r>
      <w:r w:rsidR="001B188A">
        <w:rPr>
          <w:lang w:val="en-GB"/>
        </w:rPr>
        <w:t xml:space="preserve">than </w:t>
      </w:r>
      <w:r w:rsidR="00D60CC0">
        <w:rPr>
          <w:lang w:val="en-GB"/>
        </w:rPr>
        <w:t>the Net Power Production</w:t>
      </w:r>
      <w:r w:rsidR="001B188A">
        <w:rPr>
          <w:lang w:val="en-GB"/>
        </w:rPr>
        <w:t xml:space="preserve"> one</w:t>
      </w:r>
      <w:r w:rsidR="00D60CC0">
        <w:rPr>
          <w:lang w:val="en-GB"/>
        </w:rPr>
        <w:t>.</w:t>
      </w:r>
    </w:p>
    <w:p w14:paraId="5A23DDD1" w14:textId="586DE7C7" w:rsidR="007C1E9E" w:rsidRPr="007C1E9E" w:rsidRDefault="00B47258" w:rsidP="002F011C">
      <w:pPr>
        <w:pStyle w:val="CETBodytext"/>
        <w:rPr>
          <w:lang w:val="en-GB"/>
        </w:rPr>
      </w:pPr>
      <w:r>
        <w:rPr>
          <w:lang w:val="en-GB"/>
        </w:rPr>
        <w:t xml:space="preserve">The behaviour of the income </w:t>
      </w:r>
      <w:r w:rsidR="005D4D57">
        <w:rPr>
          <w:lang w:val="en-GB"/>
        </w:rPr>
        <w:t xml:space="preserve">with respect to the </w:t>
      </w:r>
      <w:proofErr w:type="spellStart"/>
      <w:r w:rsidR="005D4D57">
        <w:rPr>
          <w:lang w:val="en-GB"/>
        </w:rPr>
        <w:t>F</w:t>
      </w:r>
      <w:r w:rsidR="005D4D57" w:rsidRPr="005729BA">
        <w:rPr>
          <w:vertAlign w:val="subscript"/>
          <w:lang w:val="en-GB"/>
        </w:rPr>
        <w:t>sg</w:t>
      </w:r>
      <w:proofErr w:type="spellEnd"/>
      <w:r w:rsidR="005D4D57">
        <w:rPr>
          <w:lang w:val="en-GB"/>
        </w:rPr>
        <w:t xml:space="preserve"> index shows a little bit of convexity with respect to that of the previous case study </w:t>
      </w:r>
      <w:r w:rsidR="005729BA">
        <w:rPr>
          <w:lang w:val="en-GB"/>
        </w:rPr>
        <w:t>with a similar slope due to the fact that the positive/negative diagonal is less affected by the competitive behaviour of the two uncertain parameters. However, the decrease is less relevant in this case but the difference is about 0.0</w:t>
      </w:r>
      <w:r w:rsidR="003922AA">
        <w:rPr>
          <w:lang w:val="en-GB"/>
        </w:rPr>
        <w:t>475</w:t>
      </w:r>
      <w:r w:rsidR="005729BA">
        <w:rPr>
          <w:lang w:val="en-GB"/>
        </w:rPr>
        <w:t xml:space="preserve">% every percent of </w:t>
      </w:r>
      <w:proofErr w:type="spellStart"/>
      <w:r w:rsidR="005729BA">
        <w:rPr>
          <w:lang w:val="en-GB"/>
        </w:rPr>
        <w:t>F</w:t>
      </w:r>
      <w:r w:rsidR="005729BA" w:rsidRPr="005729BA">
        <w:rPr>
          <w:vertAlign w:val="subscript"/>
          <w:lang w:val="en-GB"/>
        </w:rPr>
        <w:t>sg</w:t>
      </w:r>
      <w:proofErr w:type="spellEnd"/>
      <w:r w:rsidR="005729BA">
        <w:rPr>
          <w:lang w:val="en-GB"/>
        </w:rPr>
        <w:t>.</w:t>
      </w:r>
    </w:p>
    <w:p w14:paraId="6735D111" w14:textId="77777777" w:rsidR="008440FF" w:rsidRPr="00B57B36" w:rsidRDefault="008440FF" w:rsidP="008440FF">
      <w:pPr>
        <w:pStyle w:val="CETHeading1"/>
        <w:rPr>
          <w:lang w:val="en-GB"/>
        </w:rPr>
      </w:pPr>
      <w:r w:rsidRPr="00B57B36">
        <w:rPr>
          <w:lang w:val="en-GB"/>
        </w:rPr>
        <w:t>Conclusions</w:t>
      </w:r>
    </w:p>
    <w:p w14:paraId="03C14158" w14:textId="7543C50F" w:rsidR="00E002A6" w:rsidRDefault="000A2EBD" w:rsidP="00600535">
      <w:pPr>
        <w:pStyle w:val="CETBodytext"/>
        <w:rPr>
          <w:lang w:val="en-GB"/>
        </w:rPr>
      </w:pPr>
      <w:r>
        <w:rPr>
          <w:lang w:val="en-GB"/>
        </w:rPr>
        <w:t>The proposed approach based on deterministic flexibility indexes to study the performances of power-to-methanol process plants under uncertainty proved to be effective both from a qualitative and a quantitative point of view. The analysis was possible over the entire considered deviation range due to the prior feasibility evaluation of the process. The economic assessment was carried out with a sufficient accuracy degree to allow the estimation of profitable conditions in case of external perturbations and to quantify the actual gain and losses accordingly.</w:t>
      </w:r>
      <w:r w:rsidR="002C5119">
        <w:rPr>
          <w:lang w:val="en-GB"/>
        </w:rPr>
        <w:t xml:space="preserve"> </w:t>
      </w:r>
      <w:r w:rsidR="00E002A6">
        <w:rPr>
          <w:lang w:val="en-GB"/>
        </w:rPr>
        <w:t>Further developments of this work could be, for instance, the flexibility analysis involving on all four parameters at the same time or also the use of stochastic flexibility indexes based on the probabilistic characterization of the uncertain parameter deviations.</w:t>
      </w:r>
    </w:p>
    <w:p w14:paraId="428B022A" w14:textId="5CBDFC5F" w:rsidR="00E65B91" w:rsidRPr="008B1670" w:rsidRDefault="00600535" w:rsidP="00467918">
      <w:pPr>
        <w:pStyle w:val="CETReference"/>
        <w:rPr>
          <w:lang w:val="en-US"/>
        </w:rPr>
      </w:pPr>
      <w:r w:rsidRPr="008B1670">
        <w:rPr>
          <w:lang w:val="en-US"/>
        </w:rPr>
        <w:t>References</w:t>
      </w:r>
    </w:p>
    <w:p w14:paraId="531C8C13" w14:textId="4117A66D" w:rsidR="007A2654" w:rsidRDefault="00B6542A" w:rsidP="007A2654">
      <w:pPr>
        <w:pStyle w:val="CETReferencetext"/>
      </w:pPr>
      <w:r>
        <w:t>T</w:t>
      </w:r>
      <w:r w:rsidR="007A2654">
        <w:t>he commission of the European Parliament, the European Council, the Council, the European Economic and Social Committee and the Committee of the Regions, 2019</w:t>
      </w:r>
      <w:r>
        <w:t>.</w:t>
      </w:r>
      <w:r w:rsidR="007A2654">
        <w:t xml:space="preserve"> The European Green Deal</w:t>
      </w:r>
      <w:r>
        <w:t xml:space="preserve"> &lt;</w:t>
      </w:r>
      <w:hyperlink r:id="rId19" w:history="1">
        <w:r w:rsidRPr="00673612">
          <w:rPr>
            <w:rStyle w:val="Collegamentoipertestuale"/>
          </w:rPr>
          <w:t>https://eur-lex.europa.eu/legal-content/EN/TXT/?uri=COM%3A2019%3A640%3AFIN</w:t>
        </w:r>
      </w:hyperlink>
      <w:r>
        <w:t>&gt;</w:t>
      </w:r>
      <w:r w:rsidR="007A2654">
        <w:t xml:space="preserve"> </w:t>
      </w:r>
      <w:r>
        <w:t>accessed 10.12.2022</w:t>
      </w:r>
      <w:r w:rsidR="007A2654">
        <w:t>.</w:t>
      </w:r>
    </w:p>
    <w:p w14:paraId="4F9D76A4" w14:textId="2AAB3142" w:rsidR="00433092" w:rsidRDefault="00433092" w:rsidP="00433092">
      <w:pPr>
        <w:pStyle w:val="CETReferencetext"/>
      </w:pPr>
      <w:r w:rsidRPr="00433092">
        <w:rPr>
          <w:lang w:val="it-IT"/>
        </w:rPr>
        <w:t xml:space="preserve">Di Pretoro A., </w:t>
      </w:r>
      <w:proofErr w:type="spellStart"/>
      <w:r w:rsidRPr="00433092">
        <w:rPr>
          <w:lang w:val="it-IT"/>
        </w:rPr>
        <w:t>Montastruc</w:t>
      </w:r>
      <w:proofErr w:type="spellEnd"/>
      <w:r w:rsidRPr="00433092">
        <w:rPr>
          <w:lang w:val="it-IT"/>
        </w:rPr>
        <w:t xml:space="preserve"> L., Manenti F., </w:t>
      </w:r>
      <w:proofErr w:type="spellStart"/>
      <w:r w:rsidRPr="00433092">
        <w:rPr>
          <w:lang w:val="it-IT"/>
        </w:rPr>
        <w:t>Joulia</w:t>
      </w:r>
      <w:proofErr w:type="spellEnd"/>
      <w:r w:rsidRPr="00433092">
        <w:rPr>
          <w:lang w:val="it-IT"/>
        </w:rPr>
        <w:t xml:space="preserve"> X., 2019. </w:t>
      </w:r>
      <w:r>
        <w:t xml:space="preserve">Flexibility analysis of a distillation column: Indexes comparison and economic assessment. Computers &amp; Chemical Engineering 124, 93–108. </w:t>
      </w:r>
    </w:p>
    <w:p w14:paraId="3146E0B0" w14:textId="46404531" w:rsidR="00433092" w:rsidRDefault="00433092" w:rsidP="00433092">
      <w:pPr>
        <w:pStyle w:val="CETReferencetext"/>
      </w:pPr>
      <w:proofErr w:type="spellStart"/>
      <w:r>
        <w:t>Fedeli</w:t>
      </w:r>
      <w:proofErr w:type="spellEnd"/>
      <w:r>
        <w:t xml:space="preserve"> M., </w:t>
      </w:r>
      <w:proofErr w:type="spellStart"/>
      <w:r>
        <w:t>Manenti</w:t>
      </w:r>
      <w:proofErr w:type="spellEnd"/>
      <w:r>
        <w:t xml:space="preserve"> F., 2022. Assessing process effectiveness with specific environmental and economic impact of heat, power &amp; chemicals (HPC) option as future perspective in biogas. Cleaner Chemical Engineering 2, 100016, https://doi.org/10.1016/j.clce.2022.100016.</w:t>
      </w:r>
    </w:p>
    <w:p w14:paraId="00BA3D4F" w14:textId="62B284FB" w:rsidR="00C52C3C" w:rsidRDefault="00433092" w:rsidP="00433092">
      <w:pPr>
        <w:pStyle w:val="CETReferencetext"/>
      </w:pPr>
      <w:proofErr w:type="spellStart"/>
      <w:r>
        <w:t>Gadalla</w:t>
      </w:r>
      <w:proofErr w:type="spellEnd"/>
      <w:r>
        <w:t xml:space="preserve"> M., </w:t>
      </w:r>
      <w:proofErr w:type="spellStart"/>
      <w:r>
        <w:t>Olujić</w:t>
      </w:r>
      <w:proofErr w:type="spellEnd"/>
      <w:r>
        <w:t xml:space="preserve">, Ž. </w:t>
      </w:r>
      <w:proofErr w:type="spellStart"/>
      <w:r>
        <w:t>Jobson</w:t>
      </w:r>
      <w:proofErr w:type="spellEnd"/>
      <w:r>
        <w:t xml:space="preserve"> M., Smith R., 2006. Estimation and reduction of CO2 emissions from crude oil distillation units. Energy 31, 2398–2408.</w:t>
      </w:r>
    </w:p>
    <w:p w14:paraId="63FBFBAC" w14:textId="2D0DCABE" w:rsidR="004107A8" w:rsidRDefault="004107A8" w:rsidP="00433092">
      <w:pPr>
        <w:pStyle w:val="CETReferencetext"/>
      </w:pPr>
      <w:r>
        <w:t>I</w:t>
      </w:r>
      <w:r w:rsidRPr="004107A8">
        <w:t xml:space="preserve">EA, </w:t>
      </w:r>
      <w:r w:rsidR="00B6542A">
        <w:t xml:space="preserve">2019. </w:t>
      </w:r>
      <w:r w:rsidRPr="004107A8">
        <w:t>Industry end-user electricity prices in selected OECD countries</w:t>
      </w:r>
      <w:r>
        <w:t xml:space="preserve"> </w:t>
      </w:r>
      <w:r w:rsidR="00B6542A">
        <w:t>&lt;</w:t>
      </w:r>
      <w:hyperlink r:id="rId20" w:history="1">
        <w:r w:rsidRPr="00345DB2">
          <w:rPr>
            <w:rStyle w:val="Collegamentoipertestuale"/>
          </w:rPr>
          <w:t>https://www.iea.org/data-and-statistics/charts/industry-end-user-electricity-prices-in-selected-oecd-countries-2019</w:t>
        </w:r>
      </w:hyperlink>
      <w:r w:rsidR="00B6542A">
        <w:t>&gt;accessed 10.12.2022</w:t>
      </w:r>
    </w:p>
    <w:p w14:paraId="4AF2C760" w14:textId="6B0A3BC2" w:rsidR="00C161A6" w:rsidRDefault="00C161A6" w:rsidP="00433092">
      <w:pPr>
        <w:pStyle w:val="CETReferencetext"/>
      </w:pPr>
      <w:r>
        <w:t>Methanol Institute,</w:t>
      </w:r>
      <w:r w:rsidR="00B6542A">
        <w:t xml:space="preserve"> 2022. Methanol price supply demand &lt;</w:t>
      </w:r>
      <w:hyperlink r:id="rId21" w:history="1">
        <w:r w:rsidR="00B6542A" w:rsidRPr="00673612">
          <w:rPr>
            <w:rStyle w:val="Collegamentoipertestuale"/>
          </w:rPr>
          <w:t>https://www.methanol.org/methanol-price-supply-demand/</w:t>
        </w:r>
      </w:hyperlink>
      <w:r w:rsidR="00B6542A">
        <w:t>&gt; accessed 10.12.2022.</w:t>
      </w:r>
    </w:p>
    <w:p w14:paraId="19C4FC68" w14:textId="530C607A" w:rsidR="004628D2" w:rsidRDefault="007A2654" w:rsidP="00474D24">
      <w:pPr>
        <w:pStyle w:val="CETReferencetext"/>
      </w:pPr>
      <w:proofErr w:type="spellStart"/>
      <w:r w:rsidRPr="007A2654">
        <w:t>Swaney</w:t>
      </w:r>
      <w:proofErr w:type="spellEnd"/>
      <w:r w:rsidRPr="007A2654">
        <w:t xml:space="preserve"> R. E., Grossmann I. E., 1985</w:t>
      </w:r>
      <w:r w:rsidR="00B6542A">
        <w:t>.</w:t>
      </w:r>
      <w:r w:rsidRPr="007A2654">
        <w:t xml:space="preserve"> An Index for Operational Flexibility in Chemical Process Design. Part I: Formulation and Theory, AIChE Journal, 31, 621–30.</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26C7" w14:textId="77777777" w:rsidR="00F10679" w:rsidRDefault="00F10679" w:rsidP="004F5E36">
      <w:r>
        <w:separator/>
      </w:r>
    </w:p>
  </w:endnote>
  <w:endnote w:type="continuationSeparator" w:id="0">
    <w:p w14:paraId="0658590E" w14:textId="77777777" w:rsidR="00F10679" w:rsidRDefault="00F106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15">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17E0" w14:textId="77777777" w:rsidR="00F10679" w:rsidRDefault="00F10679" w:rsidP="004F5E36">
      <w:r>
        <w:separator/>
      </w:r>
    </w:p>
  </w:footnote>
  <w:footnote w:type="continuationSeparator" w:id="0">
    <w:p w14:paraId="7FFB0E64" w14:textId="77777777" w:rsidR="00F10679" w:rsidRDefault="00F1067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8955206">
    <w:abstractNumId w:val="10"/>
  </w:num>
  <w:num w:numId="2" w16cid:durableId="192773038">
    <w:abstractNumId w:val="8"/>
  </w:num>
  <w:num w:numId="3" w16cid:durableId="900020801">
    <w:abstractNumId w:val="3"/>
  </w:num>
  <w:num w:numId="4" w16cid:durableId="635725263">
    <w:abstractNumId w:val="2"/>
  </w:num>
  <w:num w:numId="5" w16cid:durableId="1208487">
    <w:abstractNumId w:val="1"/>
  </w:num>
  <w:num w:numId="6" w16cid:durableId="225920184">
    <w:abstractNumId w:val="0"/>
  </w:num>
  <w:num w:numId="7" w16cid:durableId="918366136">
    <w:abstractNumId w:val="9"/>
  </w:num>
  <w:num w:numId="8" w16cid:durableId="233322574">
    <w:abstractNumId w:val="7"/>
  </w:num>
  <w:num w:numId="9" w16cid:durableId="59642998">
    <w:abstractNumId w:val="6"/>
  </w:num>
  <w:num w:numId="10" w16cid:durableId="1071002051">
    <w:abstractNumId w:val="5"/>
  </w:num>
  <w:num w:numId="11" w16cid:durableId="1181435353">
    <w:abstractNumId w:val="4"/>
  </w:num>
  <w:num w:numId="12" w16cid:durableId="1512183026">
    <w:abstractNumId w:val="17"/>
  </w:num>
  <w:num w:numId="13" w16cid:durableId="1241601605">
    <w:abstractNumId w:val="12"/>
  </w:num>
  <w:num w:numId="14" w16cid:durableId="1024790489">
    <w:abstractNumId w:val="18"/>
  </w:num>
  <w:num w:numId="15" w16cid:durableId="2104766035">
    <w:abstractNumId w:val="20"/>
  </w:num>
  <w:num w:numId="16" w16cid:durableId="1256549451">
    <w:abstractNumId w:val="19"/>
  </w:num>
  <w:num w:numId="17" w16cid:durableId="806699633">
    <w:abstractNumId w:val="11"/>
  </w:num>
  <w:num w:numId="18" w16cid:durableId="601451641">
    <w:abstractNumId w:val="12"/>
    <w:lvlOverride w:ilvl="0">
      <w:startOverride w:val="1"/>
    </w:lvlOverride>
  </w:num>
  <w:num w:numId="19" w16cid:durableId="501436249">
    <w:abstractNumId w:val="16"/>
  </w:num>
  <w:num w:numId="20" w16cid:durableId="2000965596">
    <w:abstractNumId w:val="15"/>
  </w:num>
  <w:num w:numId="21" w16cid:durableId="2066709750">
    <w:abstractNumId w:val="14"/>
  </w:num>
  <w:num w:numId="22" w16cid:durableId="677537109">
    <w:abstractNumId w:val="13"/>
  </w:num>
  <w:num w:numId="23" w16cid:durableId="661198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665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5F"/>
    <w:rsid w:val="000027C0"/>
    <w:rsid w:val="000052FB"/>
    <w:rsid w:val="000117CB"/>
    <w:rsid w:val="00027F2A"/>
    <w:rsid w:val="0003148D"/>
    <w:rsid w:val="00031EEC"/>
    <w:rsid w:val="00051566"/>
    <w:rsid w:val="000562A9"/>
    <w:rsid w:val="00062A9A"/>
    <w:rsid w:val="00065058"/>
    <w:rsid w:val="000727B8"/>
    <w:rsid w:val="00073835"/>
    <w:rsid w:val="00086C39"/>
    <w:rsid w:val="000A03B2"/>
    <w:rsid w:val="000A2EBD"/>
    <w:rsid w:val="000B6B8B"/>
    <w:rsid w:val="000C15EB"/>
    <w:rsid w:val="000D0268"/>
    <w:rsid w:val="000D34BE"/>
    <w:rsid w:val="000E102F"/>
    <w:rsid w:val="000E36F1"/>
    <w:rsid w:val="000E3A73"/>
    <w:rsid w:val="000E414A"/>
    <w:rsid w:val="000E5B38"/>
    <w:rsid w:val="000F093C"/>
    <w:rsid w:val="000F0FD7"/>
    <w:rsid w:val="000F787B"/>
    <w:rsid w:val="0010098D"/>
    <w:rsid w:val="00105A34"/>
    <w:rsid w:val="0011380A"/>
    <w:rsid w:val="0012091F"/>
    <w:rsid w:val="00121EA1"/>
    <w:rsid w:val="00126BC2"/>
    <w:rsid w:val="001308B6"/>
    <w:rsid w:val="0013121F"/>
    <w:rsid w:val="00131FE6"/>
    <w:rsid w:val="0013263F"/>
    <w:rsid w:val="001331DF"/>
    <w:rsid w:val="00134DE4"/>
    <w:rsid w:val="001352BB"/>
    <w:rsid w:val="0014034D"/>
    <w:rsid w:val="00144D16"/>
    <w:rsid w:val="00150E59"/>
    <w:rsid w:val="001520BA"/>
    <w:rsid w:val="00152BBB"/>
    <w:rsid w:val="00152DE3"/>
    <w:rsid w:val="001628B8"/>
    <w:rsid w:val="00164CF9"/>
    <w:rsid w:val="001667A6"/>
    <w:rsid w:val="00167E87"/>
    <w:rsid w:val="00182F92"/>
    <w:rsid w:val="00184AD6"/>
    <w:rsid w:val="0019348F"/>
    <w:rsid w:val="001939F7"/>
    <w:rsid w:val="001A056B"/>
    <w:rsid w:val="001A4AF7"/>
    <w:rsid w:val="001A5D16"/>
    <w:rsid w:val="001B0349"/>
    <w:rsid w:val="001B188A"/>
    <w:rsid w:val="001B1E93"/>
    <w:rsid w:val="001B65C1"/>
    <w:rsid w:val="001C49C4"/>
    <w:rsid w:val="001C6823"/>
    <w:rsid w:val="001C684B"/>
    <w:rsid w:val="001D0CFB"/>
    <w:rsid w:val="001D21AF"/>
    <w:rsid w:val="001D53FC"/>
    <w:rsid w:val="001D559D"/>
    <w:rsid w:val="001D7656"/>
    <w:rsid w:val="001E0843"/>
    <w:rsid w:val="001F42A5"/>
    <w:rsid w:val="001F7B9D"/>
    <w:rsid w:val="00201C93"/>
    <w:rsid w:val="002224B4"/>
    <w:rsid w:val="002258AE"/>
    <w:rsid w:val="002447EF"/>
    <w:rsid w:val="00251550"/>
    <w:rsid w:val="00263B05"/>
    <w:rsid w:val="0027221A"/>
    <w:rsid w:val="00273331"/>
    <w:rsid w:val="00275B61"/>
    <w:rsid w:val="00280FAF"/>
    <w:rsid w:val="00282656"/>
    <w:rsid w:val="00294A50"/>
    <w:rsid w:val="00295C51"/>
    <w:rsid w:val="00296B83"/>
    <w:rsid w:val="002B204D"/>
    <w:rsid w:val="002B4015"/>
    <w:rsid w:val="002B78CE"/>
    <w:rsid w:val="002B7932"/>
    <w:rsid w:val="002C0F62"/>
    <w:rsid w:val="002C2FB6"/>
    <w:rsid w:val="002C42F2"/>
    <w:rsid w:val="002C5119"/>
    <w:rsid w:val="002E5FA0"/>
    <w:rsid w:val="002E5FA7"/>
    <w:rsid w:val="002F011C"/>
    <w:rsid w:val="002F3309"/>
    <w:rsid w:val="003008CE"/>
    <w:rsid w:val="003009B7"/>
    <w:rsid w:val="00300AEB"/>
    <w:rsid w:val="00300E56"/>
    <w:rsid w:val="0030152C"/>
    <w:rsid w:val="00302D78"/>
    <w:rsid w:val="0030469C"/>
    <w:rsid w:val="003153D8"/>
    <w:rsid w:val="00321CA6"/>
    <w:rsid w:val="00323763"/>
    <w:rsid w:val="00323C5F"/>
    <w:rsid w:val="00334C09"/>
    <w:rsid w:val="00344EAA"/>
    <w:rsid w:val="003723D4"/>
    <w:rsid w:val="003800EB"/>
    <w:rsid w:val="00381905"/>
    <w:rsid w:val="00384CC8"/>
    <w:rsid w:val="00385D1C"/>
    <w:rsid w:val="003871FD"/>
    <w:rsid w:val="003922AA"/>
    <w:rsid w:val="003A1E30"/>
    <w:rsid w:val="003A2829"/>
    <w:rsid w:val="003A5564"/>
    <w:rsid w:val="003A7D1C"/>
    <w:rsid w:val="003B304B"/>
    <w:rsid w:val="003B3146"/>
    <w:rsid w:val="003C6D90"/>
    <w:rsid w:val="003C7D16"/>
    <w:rsid w:val="003D7FCB"/>
    <w:rsid w:val="003F015E"/>
    <w:rsid w:val="00400414"/>
    <w:rsid w:val="004107A8"/>
    <w:rsid w:val="0041446B"/>
    <w:rsid w:val="00433092"/>
    <w:rsid w:val="004364D0"/>
    <w:rsid w:val="0044071E"/>
    <w:rsid w:val="0044329C"/>
    <w:rsid w:val="00453E24"/>
    <w:rsid w:val="00457456"/>
    <w:rsid w:val="004577FE"/>
    <w:rsid w:val="00457B9C"/>
    <w:rsid w:val="0046164A"/>
    <w:rsid w:val="004628D2"/>
    <w:rsid w:val="00462DCD"/>
    <w:rsid w:val="004648AD"/>
    <w:rsid w:val="00467918"/>
    <w:rsid w:val="004703A9"/>
    <w:rsid w:val="00472120"/>
    <w:rsid w:val="00474D24"/>
    <w:rsid w:val="004760DE"/>
    <w:rsid w:val="004763D7"/>
    <w:rsid w:val="00485420"/>
    <w:rsid w:val="00492590"/>
    <w:rsid w:val="004A004E"/>
    <w:rsid w:val="004A24CF"/>
    <w:rsid w:val="004B3DCE"/>
    <w:rsid w:val="004C0EEE"/>
    <w:rsid w:val="004C35D8"/>
    <w:rsid w:val="004C3D1D"/>
    <w:rsid w:val="004C3D84"/>
    <w:rsid w:val="004C7913"/>
    <w:rsid w:val="004D30EA"/>
    <w:rsid w:val="004D359F"/>
    <w:rsid w:val="004E4DD6"/>
    <w:rsid w:val="004E7CEE"/>
    <w:rsid w:val="004F1ED4"/>
    <w:rsid w:val="004F5E36"/>
    <w:rsid w:val="00507B47"/>
    <w:rsid w:val="00507BEF"/>
    <w:rsid w:val="00507CC9"/>
    <w:rsid w:val="005119A5"/>
    <w:rsid w:val="00525F7B"/>
    <w:rsid w:val="005278B7"/>
    <w:rsid w:val="00532016"/>
    <w:rsid w:val="00533B62"/>
    <w:rsid w:val="005346C8"/>
    <w:rsid w:val="00543B12"/>
    <w:rsid w:val="00543E7D"/>
    <w:rsid w:val="00547A68"/>
    <w:rsid w:val="005531C9"/>
    <w:rsid w:val="00570C2A"/>
    <w:rsid w:val="00570C43"/>
    <w:rsid w:val="005729BA"/>
    <w:rsid w:val="005B2110"/>
    <w:rsid w:val="005B4059"/>
    <w:rsid w:val="005B61E6"/>
    <w:rsid w:val="005C1107"/>
    <w:rsid w:val="005C77E1"/>
    <w:rsid w:val="005D4D57"/>
    <w:rsid w:val="005D668A"/>
    <w:rsid w:val="005D6A2F"/>
    <w:rsid w:val="005E1A82"/>
    <w:rsid w:val="005E794C"/>
    <w:rsid w:val="005F0A28"/>
    <w:rsid w:val="005F0E5E"/>
    <w:rsid w:val="00600535"/>
    <w:rsid w:val="006075AE"/>
    <w:rsid w:val="00610CD6"/>
    <w:rsid w:val="006203F2"/>
    <w:rsid w:val="00620DEE"/>
    <w:rsid w:val="00621F92"/>
    <w:rsid w:val="0062280A"/>
    <w:rsid w:val="00625639"/>
    <w:rsid w:val="00631B33"/>
    <w:rsid w:val="0064184D"/>
    <w:rsid w:val="006422CC"/>
    <w:rsid w:val="00660E3E"/>
    <w:rsid w:val="00662121"/>
    <w:rsid w:val="00662E74"/>
    <w:rsid w:val="00680C23"/>
    <w:rsid w:val="00690836"/>
    <w:rsid w:val="00693766"/>
    <w:rsid w:val="00695FEA"/>
    <w:rsid w:val="006A3281"/>
    <w:rsid w:val="006A56D6"/>
    <w:rsid w:val="006A7914"/>
    <w:rsid w:val="006B4888"/>
    <w:rsid w:val="006B737F"/>
    <w:rsid w:val="006C2E45"/>
    <w:rsid w:val="006C359C"/>
    <w:rsid w:val="006C5579"/>
    <w:rsid w:val="006D6E8B"/>
    <w:rsid w:val="006E737D"/>
    <w:rsid w:val="006F0E77"/>
    <w:rsid w:val="00713973"/>
    <w:rsid w:val="00716042"/>
    <w:rsid w:val="00720A24"/>
    <w:rsid w:val="00732386"/>
    <w:rsid w:val="0073514D"/>
    <w:rsid w:val="007447F3"/>
    <w:rsid w:val="0075499F"/>
    <w:rsid w:val="00764D0B"/>
    <w:rsid w:val="007661C8"/>
    <w:rsid w:val="0077098D"/>
    <w:rsid w:val="00771761"/>
    <w:rsid w:val="0077249A"/>
    <w:rsid w:val="007931FA"/>
    <w:rsid w:val="007A2654"/>
    <w:rsid w:val="007A3F1C"/>
    <w:rsid w:val="007A4861"/>
    <w:rsid w:val="007A7BBA"/>
    <w:rsid w:val="007B0C50"/>
    <w:rsid w:val="007B48F9"/>
    <w:rsid w:val="007B73E8"/>
    <w:rsid w:val="007C1A43"/>
    <w:rsid w:val="007C1E9E"/>
    <w:rsid w:val="007D0951"/>
    <w:rsid w:val="007F6F41"/>
    <w:rsid w:val="0080013E"/>
    <w:rsid w:val="008008BD"/>
    <w:rsid w:val="008011AC"/>
    <w:rsid w:val="00810D4A"/>
    <w:rsid w:val="00813288"/>
    <w:rsid w:val="008168FC"/>
    <w:rsid w:val="00830996"/>
    <w:rsid w:val="008345F1"/>
    <w:rsid w:val="00836C3E"/>
    <w:rsid w:val="008440FF"/>
    <w:rsid w:val="00865B07"/>
    <w:rsid w:val="008667EA"/>
    <w:rsid w:val="0087350C"/>
    <w:rsid w:val="0087637F"/>
    <w:rsid w:val="00876B35"/>
    <w:rsid w:val="00892AD5"/>
    <w:rsid w:val="00892C70"/>
    <w:rsid w:val="00895CBD"/>
    <w:rsid w:val="008A1512"/>
    <w:rsid w:val="008B1670"/>
    <w:rsid w:val="008B1E31"/>
    <w:rsid w:val="008B1F25"/>
    <w:rsid w:val="008C0F17"/>
    <w:rsid w:val="008D2CA5"/>
    <w:rsid w:val="008D32B9"/>
    <w:rsid w:val="008D433B"/>
    <w:rsid w:val="008D4A16"/>
    <w:rsid w:val="008E52B0"/>
    <w:rsid w:val="008E566E"/>
    <w:rsid w:val="008F1944"/>
    <w:rsid w:val="008F69A1"/>
    <w:rsid w:val="0090161A"/>
    <w:rsid w:val="00901EB6"/>
    <w:rsid w:val="00904C62"/>
    <w:rsid w:val="00906438"/>
    <w:rsid w:val="00916664"/>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3F1C"/>
    <w:rsid w:val="009802FE"/>
    <w:rsid w:val="00984939"/>
    <w:rsid w:val="00993B84"/>
    <w:rsid w:val="00996483"/>
    <w:rsid w:val="00996F5A"/>
    <w:rsid w:val="009A3593"/>
    <w:rsid w:val="009B041A"/>
    <w:rsid w:val="009B0CF3"/>
    <w:rsid w:val="009B3AC1"/>
    <w:rsid w:val="009C37C3"/>
    <w:rsid w:val="009C4E2B"/>
    <w:rsid w:val="009C68C4"/>
    <w:rsid w:val="009C7C86"/>
    <w:rsid w:val="009D2FF7"/>
    <w:rsid w:val="009E7884"/>
    <w:rsid w:val="009E788A"/>
    <w:rsid w:val="009F0E08"/>
    <w:rsid w:val="009F1339"/>
    <w:rsid w:val="00A1763D"/>
    <w:rsid w:val="00A17CEC"/>
    <w:rsid w:val="00A27EF0"/>
    <w:rsid w:val="00A42361"/>
    <w:rsid w:val="00A500CE"/>
    <w:rsid w:val="00A50B20"/>
    <w:rsid w:val="00A51390"/>
    <w:rsid w:val="00A60D13"/>
    <w:rsid w:val="00A7223D"/>
    <w:rsid w:val="00A72745"/>
    <w:rsid w:val="00A76EFC"/>
    <w:rsid w:val="00A87D50"/>
    <w:rsid w:val="00A91010"/>
    <w:rsid w:val="00A919D5"/>
    <w:rsid w:val="00A97F29"/>
    <w:rsid w:val="00AA702E"/>
    <w:rsid w:val="00AA7D26"/>
    <w:rsid w:val="00AB08BD"/>
    <w:rsid w:val="00AB0964"/>
    <w:rsid w:val="00AB5011"/>
    <w:rsid w:val="00AC7368"/>
    <w:rsid w:val="00AD16B9"/>
    <w:rsid w:val="00AE01A1"/>
    <w:rsid w:val="00AE377D"/>
    <w:rsid w:val="00AF0EBA"/>
    <w:rsid w:val="00B02C8A"/>
    <w:rsid w:val="00B17FBD"/>
    <w:rsid w:val="00B315A6"/>
    <w:rsid w:val="00B31813"/>
    <w:rsid w:val="00B33365"/>
    <w:rsid w:val="00B429C1"/>
    <w:rsid w:val="00B47258"/>
    <w:rsid w:val="00B56462"/>
    <w:rsid w:val="00B57B36"/>
    <w:rsid w:val="00B57E6F"/>
    <w:rsid w:val="00B6542A"/>
    <w:rsid w:val="00B8686D"/>
    <w:rsid w:val="00B93F69"/>
    <w:rsid w:val="00B96B01"/>
    <w:rsid w:val="00BA4B92"/>
    <w:rsid w:val="00BB1DDC"/>
    <w:rsid w:val="00BC1E24"/>
    <w:rsid w:val="00BC30C9"/>
    <w:rsid w:val="00BD077D"/>
    <w:rsid w:val="00BE0F83"/>
    <w:rsid w:val="00BE3E58"/>
    <w:rsid w:val="00BE4486"/>
    <w:rsid w:val="00C01616"/>
    <w:rsid w:val="00C0162B"/>
    <w:rsid w:val="00C068ED"/>
    <w:rsid w:val="00C161A6"/>
    <w:rsid w:val="00C22E0C"/>
    <w:rsid w:val="00C345B1"/>
    <w:rsid w:val="00C40142"/>
    <w:rsid w:val="00C42B73"/>
    <w:rsid w:val="00C512DE"/>
    <w:rsid w:val="00C52C3C"/>
    <w:rsid w:val="00C57182"/>
    <w:rsid w:val="00C57863"/>
    <w:rsid w:val="00C640AF"/>
    <w:rsid w:val="00C655FD"/>
    <w:rsid w:val="00C72CAA"/>
    <w:rsid w:val="00C75407"/>
    <w:rsid w:val="00C870A8"/>
    <w:rsid w:val="00C87AC1"/>
    <w:rsid w:val="00C94434"/>
    <w:rsid w:val="00CA0D75"/>
    <w:rsid w:val="00CA1660"/>
    <w:rsid w:val="00CA1C95"/>
    <w:rsid w:val="00CA5A9C"/>
    <w:rsid w:val="00CC2388"/>
    <w:rsid w:val="00CC3E6C"/>
    <w:rsid w:val="00CC4C20"/>
    <w:rsid w:val="00CD3517"/>
    <w:rsid w:val="00CD5FE2"/>
    <w:rsid w:val="00CE7C68"/>
    <w:rsid w:val="00CF50F5"/>
    <w:rsid w:val="00D00EA6"/>
    <w:rsid w:val="00D02B4C"/>
    <w:rsid w:val="00D040C4"/>
    <w:rsid w:val="00D137D6"/>
    <w:rsid w:val="00D20AD1"/>
    <w:rsid w:val="00D22566"/>
    <w:rsid w:val="00D400DC"/>
    <w:rsid w:val="00D46B7E"/>
    <w:rsid w:val="00D52105"/>
    <w:rsid w:val="00D57C84"/>
    <w:rsid w:val="00D6057D"/>
    <w:rsid w:val="00D60CC0"/>
    <w:rsid w:val="00D63238"/>
    <w:rsid w:val="00D66B59"/>
    <w:rsid w:val="00D71640"/>
    <w:rsid w:val="00D74BDF"/>
    <w:rsid w:val="00D74E73"/>
    <w:rsid w:val="00D75C78"/>
    <w:rsid w:val="00D836C5"/>
    <w:rsid w:val="00D83DFD"/>
    <w:rsid w:val="00D84576"/>
    <w:rsid w:val="00D96070"/>
    <w:rsid w:val="00D9791C"/>
    <w:rsid w:val="00DA1399"/>
    <w:rsid w:val="00DA24C6"/>
    <w:rsid w:val="00DA4D7B"/>
    <w:rsid w:val="00DC1626"/>
    <w:rsid w:val="00DD271C"/>
    <w:rsid w:val="00DD57D2"/>
    <w:rsid w:val="00DE1BF7"/>
    <w:rsid w:val="00DE264A"/>
    <w:rsid w:val="00DF4253"/>
    <w:rsid w:val="00DF5072"/>
    <w:rsid w:val="00DF68E5"/>
    <w:rsid w:val="00E002A6"/>
    <w:rsid w:val="00E02D18"/>
    <w:rsid w:val="00E041E7"/>
    <w:rsid w:val="00E13EEB"/>
    <w:rsid w:val="00E17D51"/>
    <w:rsid w:val="00E23CA1"/>
    <w:rsid w:val="00E30667"/>
    <w:rsid w:val="00E36C64"/>
    <w:rsid w:val="00E409A8"/>
    <w:rsid w:val="00E40B09"/>
    <w:rsid w:val="00E50C12"/>
    <w:rsid w:val="00E639AE"/>
    <w:rsid w:val="00E65B91"/>
    <w:rsid w:val="00E7209D"/>
    <w:rsid w:val="00E72EAD"/>
    <w:rsid w:val="00E77223"/>
    <w:rsid w:val="00E8528B"/>
    <w:rsid w:val="00E85B94"/>
    <w:rsid w:val="00E929DD"/>
    <w:rsid w:val="00E93B92"/>
    <w:rsid w:val="00E978D0"/>
    <w:rsid w:val="00EA4613"/>
    <w:rsid w:val="00EA7F91"/>
    <w:rsid w:val="00EB1523"/>
    <w:rsid w:val="00EB43EB"/>
    <w:rsid w:val="00EC0E49"/>
    <w:rsid w:val="00EC101F"/>
    <w:rsid w:val="00EC1D9F"/>
    <w:rsid w:val="00EC36D2"/>
    <w:rsid w:val="00EC54C1"/>
    <w:rsid w:val="00ED6097"/>
    <w:rsid w:val="00EE0131"/>
    <w:rsid w:val="00EE17B0"/>
    <w:rsid w:val="00EE5CED"/>
    <w:rsid w:val="00EF06D9"/>
    <w:rsid w:val="00F10679"/>
    <w:rsid w:val="00F3049E"/>
    <w:rsid w:val="00F30C64"/>
    <w:rsid w:val="00F32BA2"/>
    <w:rsid w:val="00F32CDB"/>
    <w:rsid w:val="00F47E61"/>
    <w:rsid w:val="00F565FE"/>
    <w:rsid w:val="00F62076"/>
    <w:rsid w:val="00F63310"/>
    <w:rsid w:val="00F63A70"/>
    <w:rsid w:val="00F63D8C"/>
    <w:rsid w:val="00F7534E"/>
    <w:rsid w:val="00F93EDF"/>
    <w:rsid w:val="00FA1802"/>
    <w:rsid w:val="00FA21D0"/>
    <w:rsid w:val="00FA5F5F"/>
    <w:rsid w:val="00FB6FCB"/>
    <w:rsid w:val="00FB730C"/>
    <w:rsid w:val="00FC0CBF"/>
    <w:rsid w:val="00FC2695"/>
    <w:rsid w:val="00FC3E03"/>
    <w:rsid w:val="00FC3FC1"/>
    <w:rsid w:val="00FD1B04"/>
    <w:rsid w:val="00FE01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33092"/>
    <w:rPr>
      <w:color w:val="605E5C"/>
      <w:shd w:val="clear" w:color="auto" w:fill="E1DFDD"/>
    </w:rPr>
  </w:style>
  <w:style w:type="character" w:styleId="Testosegnaposto">
    <w:name w:val="Placeholder Text"/>
    <w:basedOn w:val="Carpredefinitoparagrafo"/>
    <w:uiPriority w:val="99"/>
    <w:semiHidden/>
    <w:rsid w:val="002C0F62"/>
    <w:rPr>
      <w:color w:val="808080"/>
    </w:rPr>
  </w:style>
  <w:style w:type="paragraph" w:styleId="Revisione">
    <w:name w:val="Revision"/>
    <w:hidden/>
    <w:uiPriority w:val="99"/>
    <w:semiHidden/>
    <w:rsid w:val="00105A3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547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036980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www.methanol.org/methanol-price-supply-demand/"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www.iea.org/data-and-statistics/charts/industry-end-user-electricity-prices-in-selected-oecd-countries-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hyperlink" Target="mailto:alessandro.dipretoro@ensiacet.fr" TargetMode="External"/><Relationship Id="rId19" Type="http://schemas.openxmlformats.org/officeDocument/2006/relationships/hyperlink" Target="https://eur-lex.europa.eu/legal-content/EN/TXT/?uri=COM%3A2019%3A640%3AF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3001</Words>
  <Characters>17111</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Di Pretoro</cp:lastModifiedBy>
  <cp:revision>6</cp:revision>
  <cp:lastPrinted>2023-04-17T12:55:00Z</cp:lastPrinted>
  <dcterms:created xsi:type="dcterms:W3CDTF">2023-04-17T13:21:00Z</dcterms:created>
  <dcterms:modified xsi:type="dcterms:W3CDTF">2023-04-18T12:46:00Z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