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0D87B69" w:rsidR="00E978D0" w:rsidRPr="00B57B36" w:rsidRDefault="00DD67A7" w:rsidP="00E978D0">
      <w:pPr>
        <w:pStyle w:val="CETTitle"/>
      </w:pPr>
      <w:r>
        <w:t>Bubble Column Reactors: the Variables Influencing the Mono-Dispersed Homogeneous Flow Regime</w:t>
      </w:r>
    </w:p>
    <w:p w14:paraId="0488FED2" w14:textId="1E1E09B2" w:rsidR="00B57E6F" w:rsidRPr="00DD67A7" w:rsidRDefault="00DD67A7" w:rsidP="00B57E6F">
      <w:pPr>
        <w:pStyle w:val="CETAuthors"/>
        <w:rPr>
          <w:lang w:val="it-IT"/>
        </w:rPr>
      </w:pPr>
      <w:r w:rsidRPr="00DD67A7">
        <w:rPr>
          <w:lang w:val="it-IT"/>
        </w:rPr>
        <w:t>Nicolò</w:t>
      </w:r>
      <w:r w:rsidR="00B57E6F" w:rsidRPr="00DD67A7">
        <w:rPr>
          <w:lang w:val="it-IT"/>
        </w:rPr>
        <w:t xml:space="preserve"> </w:t>
      </w:r>
      <w:r w:rsidRPr="00DD67A7">
        <w:rPr>
          <w:lang w:val="it-IT"/>
        </w:rPr>
        <w:t>Varallo</w:t>
      </w:r>
      <w:r w:rsidR="00B57E6F" w:rsidRPr="00DD67A7">
        <w:rPr>
          <w:vertAlign w:val="superscript"/>
          <w:lang w:val="it-IT"/>
        </w:rPr>
        <w:t>a</w:t>
      </w:r>
      <w:r w:rsidR="00B57E6F" w:rsidRPr="00DD67A7">
        <w:rPr>
          <w:lang w:val="it-IT"/>
        </w:rPr>
        <w:t xml:space="preserve">, </w:t>
      </w:r>
      <w:r w:rsidRPr="00DD67A7">
        <w:rPr>
          <w:lang w:val="it-IT"/>
        </w:rPr>
        <w:t>Giorgio Besagni</w:t>
      </w:r>
      <w:r w:rsidRPr="00DD67A7">
        <w:rPr>
          <w:vertAlign w:val="superscript"/>
          <w:lang w:val="it-IT"/>
        </w:rPr>
        <w:t>a</w:t>
      </w:r>
      <w:r w:rsidR="00A7663D">
        <w:rPr>
          <w:vertAlign w:val="superscript"/>
          <w:lang w:val="it-IT"/>
        </w:rPr>
        <w:t>,</w:t>
      </w:r>
      <w:r w:rsidR="00A7663D" w:rsidRPr="00DD67A7">
        <w:rPr>
          <w:lang w:val="it-IT"/>
        </w:rPr>
        <w:t>*</w:t>
      </w:r>
      <w:r w:rsidR="00B57E6F" w:rsidRPr="00DD67A7">
        <w:rPr>
          <w:lang w:val="it-IT"/>
        </w:rPr>
        <w:t xml:space="preserve">, </w:t>
      </w:r>
      <w:r w:rsidRPr="00DD67A7">
        <w:rPr>
          <w:lang w:val="it-IT"/>
        </w:rPr>
        <w:t>Ric</w:t>
      </w:r>
      <w:r>
        <w:rPr>
          <w:lang w:val="it-IT"/>
        </w:rPr>
        <w:t>cardo Mereu</w:t>
      </w:r>
      <w:r w:rsidRPr="00DD67A7">
        <w:rPr>
          <w:vertAlign w:val="superscript"/>
          <w:lang w:val="it-IT"/>
        </w:rPr>
        <w:t>a</w:t>
      </w:r>
    </w:p>
    <w:p w14:paraId="73F1267A" w14:textId="3F111417" w:rsidR="00B57E6F" w:rsidRDefault="00B57E6F" w:rsidP="00DD67A7">
      <w:pPr>
        <w:pStyle w:val="CETAddress"/>
        <w:rPr>
          <w:lang w:val="it-IT"/>
        </w:rPr>
      </w:pPr>
      <w:r w:rsidRPr="00DD67A7">
        <w:rPr>
          <w:vertAlign w:val="superscript"/>
          <w:lang w:val="it-IT"/>
        </w:rPr>
        <w:t>a</w:t>
      </w:r>
      <w:r w:rsidR="00DD67A7" w:rsidRPr="00DD67A7">
        <w:rPr>
          <w:lang w:val="it-IT"/>
        </w:rPr>
        <w:t>Politecnico di Milano, Departmenet o</w:t>
      </w:r>
      <w:r w:rsidR="00DD67A7">
        <w:rPr>
          <w:lang w:val="it-IT"/>
        </w:rPr>
        <w:t>f Energy, Via Lambruschini 4, Milan 20156, Italy</w:t>
      </w:r>
    </w:p>
    <w:p w14:paraId="3B0F3E94" w14:textId="086E7261" w:rsidR="001101D6" w:rsidRDefault="001101D6" w:rsidP="00DD67A7">
      <w:pPr>
        <w:pStyle w:val="CETAddress"/>
        <w:rPr>
          <w:lang w:val="it-IT"/>
        </w:rPr>
      </w:pPr>
      <w:r>
        <w:rPr>
          <w:lang w:val="it-IT"/>
        </w:rPr>
        <w:t>giorgio.besagni@polimi.it</w:t>
      </w:r>
    </w:p>
    <w:p w14:paraId="0D3C9B96" w14:textId="603E32CA" w:rsidR="00DD67A7" w:rsidRDefault="00DD67A7" w:rsidP="005305B1">
      <w:pPr>
        <w:pStyle w:val="CETAddress"/>
        <w:jc w:val="both"/>
        <w:rPr>
          <w:lang w:val="it-IT"/>
        </w:rPr>
      </w:pPr>
    </w:p>
    <w:p w14:paraId="607FA9EA" w14:textId="6D0C6EBD" w:rsidR="00D8768E" w:rsidRDefault="00DD67A7" w:rsidP="00FA217B">
      <w:pPr>
        <w:pStyle w:val="CETAddress"/>
      </w:pPr>
      <w:r w:rsidRPr="00DD67A7">
        <w:rPr>
          <w:lang w:val="en-US"/>
        </w:rPr>
        <w:t>The fluid dynamics of l</w:t>
      </w:r>
      <w:r>
        <w:rPr>
          <w:lang w:val="en-US"/>
        </w:rPr>
        <w:t>arge-diameter bubble columns explicates in six flow regimes emergin upon an in</w:t>
      </w:r>
      <w:r w:rsidR="00FA217B">
        <w:rPr>
          <w:lang w:val="en-US"/>
        </w:rPr>
        <w:t>c</w:t>
      </w:r>
      <w:r>
        <w:rPr>
          <w:lang w:val="en-US"/>
        </w:rPr>
        <w:t xml:space="preserve">rease in the gas flow rate and can be described and predicted via correct modelling of the flow regime transition coordinates. </w:t>
      </w:r>
      <w:r w:rsidR="00713655">
        <w:rPr>
          <w:lang w:val="en-US"/>
        </w:rPr>
        <w:t>This study focuses on the transition between the mono-dispersed and poly-dispersed homogeneous flow regime and defines a</w:t>
      </w:r>
      <w:r w:rsidR="005305B1">
        <w:rPr>
          <w:lang w:val="en-US"/>
        </w:rPr>
        <w:t xml:space="preserve"> </w:t>
      </w:r>
      <w:r w:rsidR="00713655">
        <w:rPr>
          <w:lang w:val="en-US"/>
        </w:rPr>
        <w:t xml:space="preserve">statistical approach to determine the significative variables influencing the transition. </w:t>
      </w:r>
      <w:r w:rsidR="00713655" w:rsidRPr="00713655">
        <w:rPr>
          <w:lang w:val="en-US"/>
        </w:rPr>
        <w:t>The analysis is performed by coupling</w:t>
      </w:r>
      <w:r w:rsidR="00633D17">
        <w:rPr>
          <w:lang w:val="en-US"/>
        </w:rPr>
        <w:t>:</w:t>
      </w:r>
      <w:r w:rsidR="00713655" w:rsidRPr="00713655">
        <w:rPr>
          <w:lang w:val="en-US"/>
        </w:rPr>
        <w:t xml:space="preserve"> (a) the </w:t>
      </w:r>
      <w:r w:rsidR="005305B1">
        <w:rPr>
          <w:lang w:val="en-US"/>
        </w:rPr>
        <w:t>O</w:t>
      </w:r>
      <w:r w:rsidR="00713655" w:rsidRPr="00713655">
        <w:rPr>
          <w:lang w:val="en-US"/>
        </w:rPr>
        <w:t xml:space="preserve">rdinary </w:t>
      </w:r>
      <w:r w:rsidR="005305B1">
        <w:rPr>
          <w:lang w:val="en-US"/>
        </w:rPr>
        <w:t>L</w:t>
      </w:r>
      <w:r w:rsidR="00713655" w:rsidRPr="00713655">
        <w:rPr>
          <w:lang w:val="en-US"/>
        </w:rPr>
        <w:t xml:space="preserve">east </w:t>
      </w:r>
      <w:r w:rsidR="005305B1">
        <w:rPr>
          <w:lang w:val="en-US"/>
        </w:rPr>
        <w:t>S</w:t>
      </w:r>
      <w:r w:rsidR="00713655" w:rsidRPr="00713655">
        <w:rPr>
          <w:lang w:val="en-US"/>
        </w:rPr>
        <w:t>quares method</w:t>
      </w:r>
      <w:r w:rsidR="00014646">
        <w:rPr>
          <w:lang w:val="en-US"/>
        </w:rPr>
        <w:t xml:space="preserve"> (OLS)</w:t>
      </w:r>
      <w:r w:rsidR="00713655" w:rsidRPr="00713655">
        <w:rPr>
          <w:lang w:val="en-US"/>
        </w:rPr>
        <w:t>, to determine the</w:t>
      </w:r>
      <w:r w:rsidR="00713655">
        <w:rPr>
          <w:lang w:val="en-US"/>
        </w:rPr>
        <w:t xml:space="preserve"> </w:t>
      </w:r>
      <w:r w:rsidR="00713655" w:rsidRPr="00713655">
        <w:rPr>
          <w:lang w:val="en-US"/>
        </w:rPr>
        <w:t xml:space="preserve">relationship between the variables, (b) the </w:t>
      </w:r>
      <w:r w:rsidR="005305B1">
        <w:rPr>
          <w:lang w:val="en-US"/>
        </w:rPr>
        <w:t>V</w:t>
      </w:r>
      <w:r w:rsidR="00713655" w:rsidRPr="00713655">
        <w:rPr>
          <w:lang w:val="en-US"/>
        </w:rPr>
        <w:t xml:space="preserve">ariance </w:t>
      </w:r>
      <w:r w:rsidR="005305B1">
        <w:rPr>
          <w:lang w:val="en-US"/>
        </w:rPr>
        <w:t>I</w:t>
      </w:r>
      <w:r w:rsidR="00713655" w:rsidRPr="00713655">
        <w:rPr>
          <w:lang w:val="en-US"/>
        </w:rPr>
        <w:t xml:space="preserve">nflation </w:t>
      </w:r>
      <w:r w:rsidR="005305B1">
        <w:rPr>
          <w:lang w:val="en-US"/>
        </w:rPr>
        <w:t>F</w:t>
      </w:r>
      <w:r w:rsidR="00713655" w:rsidRPr="00713655">
        <w:rPr>
          <w:lang w:val="en-US"/>
        </w:rPr>
        <w:t>actor</w:t>
      </w:r>
      <w:r w:rsidR="00014646">
        <w:rPr>
          <w:lang w:val="en-US"/>
        </w:rPr>
        <w:t xml:space="preserve"> (VIF)</w:t>
      </w:r>
      <w:r w:rsidR="00713655" w:rsidRPr="00713655">
        <w:rPr>
          <w:lang w:val="en-US"/>
        </w:rPr>
        <w:t>, to check for multicollinearity issues,</w:t>
      </w:r>
      <w:r w:rsidR="00713655">
        <w:rPr>
          <w:lang w:val="en-US"/>
        </w:rPr>
        <w:t xml:space="preserve"> </w:t>
      </w:r>
      <w:r w:rsidR="00713655" w:rsidRPr="00713655">
        <w:rPr>
          <w:lang w:val="en-US"/>
        </w:rPr>
        <w:t xml:space="preserve">and (c) the </w:t>
      </w:r>
      <w:r w:rsidR="005305B1">
        <w:rPr>
          <w:lang w:val="en-US"/>
        </w:rPr>
        <w:t>L</w:t>
      </w:r>
      <w:r w:rsidR="00713655" w:rsidRPr="00713655">
        <w:rPr>
          <w:lang w:val="en-US"/>
        </w:rPr>
        <w:t xml:space="preserve">east </w:t>
      </w:r>
      <w:r w:rsidR="005305B1">
        <w:rPr>
          <w:lang w:val="en-US"/>
        </w:rPr>
        <w:t>A</w:t>
      </w:r>
      <w:r w:rsidR="00713655" w:rsidRPr="00713655">
        <w:rPr>
          <w:lang w:val="en-US"/>
        </w:rPr>
        <w:t xml:space="preserve">bsolute </w:t>
      </w:r>
      <w:r w:rsidR="005305B1">
        <w:rPr>
          <w:lang w:val="en-US"/>
        </w:rPr>
        <w:t>S</w:t>
      </w:r>
      <w:r w:rsidR="00713655" w:rsidRPr="00713655">
        <w:rPr>
          <w:lang w:val="en-US"/>
        </w:rPr>
        <w:t xml:space="preserve">hrinkage and </w:t>
      </w:r>
      <w:r w:rsidR="005305B1">
        <w:rPr>
          <w:lang w:val="en-US"/>
        </w:rPr>
        <w:t>S</w:t>
      </w:r>
      <w:r w:rsidR="00713655" w:rsidRPr="00713655">
        <w:rPr>
          <w:lang w:val="en-US"/>
        </w:rPr>
        <w:t xml:space="preserve">election </w:t>
      </w:r>
      <w:r w:rsidR="005305B1">
        <w:rPr>
          <w:lang w:val="en-US"/>
        </w:rPr>
        <w:t>O</w:t>
      </w:r>
      <w:r w:rsidR="00713655" w:rsidRPr="00713655">
        <w:rPr>
          <w:lang w:val="en-US"/>
        </w:rPr>
        <w:t>perator</w:t>
      </w:r>
      <w:r w:rsidR="00014646">
        <w:rPr>
          <w:lang w:val="en-US"/>
        </w:rPr>
        <w:t xml:space="preserve"> (LASSO)</w:t>
      </w:r>
      <w:r w:rsidR="00713655" w:rsidRPr="00713655">
        <w:rPr>
          <w:lang w:val="en-US"/>
        </w:rPr>
        <w:t>, to select suitable variables.</w:t>
      </w:r>
      <w:r w:rsidR="00713655">
        <w:rPr>
          <w:lang w:val="en-US"/>
        </w:rPr>
        <w:t xml:space="preserve"> </w:t>
      </w:r>
      <w:r w:rsidR="00713655" w:rsidRPr="00713655">
        <w:rPr>
          <w:lang w:val="en-US"/>
        </w:rPr>
        <w:t>Subsequently</w:t>
      </w:r>
      <w:r w:rsidR="005305B1">
        <w:rPr>
          <w:lang w:val="en-US"/>
        </w:rPr>
        <w:t xml:space="preserve">, </w:t>
      </w:r>
      <w:r w:rsidR="005305B1" w:rsidRPr="005305B1">
        <w:t>the Classification and Regression Tree</w:t>
      </w:r>
      <w:r w:rsidR="00937AF8">
        <w:t xml:space="preserve"> (CART)</w:t>
      </w:r>
      <w:r w:rsidR="005305B1">
        <w:t xml:space="preserve"> </w:t>
      </w:r>
      <w:r w:rsidR="005305B1" w:rsidRPr="005305B1">
        <w:t xml:space="preserve">approach </w:t>
      </w:r>
      <w:r w:rsidR="00DC3F7F">
        <w:t>has been</w:t>
      </w:r>
      <w:r w:rsidR="005305B1" w:rsidRPr="005305B1">
        <w:t xml:space="preserve"> applied to generate homogenous clusters of bubble columns in terms of flow regime transition.</w:t>
      </w:r>
    </w:p>
    <w:p w14:paraId="476B2F2E" w14:textId="7B0503F4" w:rsidR="00600535" w:rsidRDefault="00600535" w:rsidP="00600535">
      <w:pPr>
        <w:pStyle w:val="CETHeading1"/>
        <w:rPr>
          <w:lang w:val="en-GB"/>
        </w:rPr>
      </w:pPr>
      <w:r w:rsidRPr="00B57B36">
        <w:rPr>
          <w:lang w:val="en-GB"/>
        </w:rPr>
        <w:t>Introduction</w:t>
      </w:r>
    </w:p>
    <w:p w14:paraId="2397CBA2" w14:textId="781DAA52" w:rsidR="00433443" w:rsidRDefault="0062486E" w:rsidP="0062486E">
      <w:pPr>
        <w:pStyle w:val="CETBodytext"/>
        <w:rPr>
          <w:lang w:val="en-GB"/>
        </w:rPr>
      </w:pPr>
      <w:r w:rsidRPr="0062486E">
        <w:rPr>
          <w:lang w:val="en-GB"/>
        </w:rPr>
        <w:t xml:space="preserve">Two-phase bubble columns are multiphase reactors where a gas distributor disperses a gas phase into a continuous liquid phase in the form of dispersed bubbles.  </w:t>
      </w:r>
    </w:p>
    <w:p w14:paraId="207CBE2D" w14:textId="3968BF99" w:rsidR="00433443" w:rsidRPr="005F1090" w:rsidRDefault="00433443" w:rsidP="0062486E">
      <w:pPr>
        <w:pStyle w:val="CETBodytext"/>
        <w:rPr>
          <w:color w:val="FF0000"/>
          <w:lang w:val="en-GB"/>
        </w:rPr>
      </w:pPr>
      <w:r>
        <w:rPr>
          <w:lang w:val="en-GB"/>
        </w:rPr>
        <w:t xml:space="preserve">Bubble columns </w:t>
      </w:r>
      <w:r w:rsidR="006A45A9">
        <w:rPr>
          <w:lang w:val="en-GB"/>
        </w:rPr>
        <w:t>are widely used in many industrial applications since they offer</w:t>
      </w:r>
      <w:r>
        <w:rPr>
          <w:lang w:val="en-GB"/>
        </w:rPr>
        <w:t xml:space="preserve"> several advantages</w:t>
      </w:r>
      <w:r w:rsidR="006A45A9">
        <w:rPr>
          <w:lang w:val="en-GB"/>
        </w:rPr>
        <w:t>,</w:t>
      </w:r>
      <w:r>
        <w:rPr>
          <w:lang w:val="en-GB"/>
        </w:rPr>
        <w:t xml:space="preserve"> such as excellent heat and mass transfer between the phases, high durability and low operating and maintenance costs due to the absence of moving parts</w:t>
      </w:r>
      <w:r w:rsidR="005F1090">
        <w:rPr>
          <w:lang w:val="en-GB"/>
        </w:rPr>
        <w:t xml:space="preserve"> </w:t>
      </w:r>
      <w:r w:rsidR="002E1F88">
        <w:rPr>
          <w:color w:val="000000"/>
          <w:lang w:val="en-GB"/>
        </w:rPr>
        <w:t>(</w:t>
      </w:r>
      <w:proofErr w:type="spellStart"/>
      <w:r w:rsidR="002E1F88">
        <w:rPr>
          <w:color w:val="000000"/>
          <w:lang w:val="en-GB"/>
        </w:rPr>
        <w:t>Kantarci</w:t>
      </w:r>
      <w:proofErr w:type="spellEnd"/>
      <w:r w:rsidR="002E1F88">
        <w:rPr>
          <w:color w:val="000000"/>
          <w:lang w:val="en-GB"/>
        </w:rPr>
        <w:t xml:space="preserve"> et al., 2005)</w:t>
      </w:r>
      <w:r w:rsidR="005F1090">
        <w:rPr>
          <w:color w:val="000000"/>
          <w:lang w:val="en-GB"/>
        </w:rPr>
        <w:t>.</w:t>
      </w:r>
    </w:p>
    <w:p w14:paraId="43971327" w14:textId="514DA080" w:rsidR="009E3C3F" w:rsidRDefault="006A45A9" w:rsidP="006A45A9">
      <w:pPr>
        <w:pStyle w:val="CETBodytext"/>
        <w:rPr>
          <w:lang w:val="en-GB"/>
        </w:rPr>
      </w:pPr>
      <w:r w:rsidRPr="0062486E">
        <w:rPr>
          <w:lang w:val="en-GB"/>
        </w:rPr>
        <w:t>The simplest bubble column configuration consists of a vertical vessel, in which the gas enters at the bottom through a gas sparger, and the liquid phase is supplied in the batch mode, or it may be co-current or counter-current to the rising bubbles</w:t>
      </w:r>
      <w:r w:rsidR="009E6A31">
        <w:rPr>
          <w:lang w:val="en-GB"/>
        </w:rPr>
        <w:t xml:space="preserve"> (Figure 1)</w:t>
      </w:r>
      <w:r w:rsidRPr="0062486E">
        <w:rPr>
          <w:lang w:val="en-GB"/>
        </w:rPr>
        <w:t>.</w:t>
      </w:r>
      <w:r>
        <w:rPr>
          <w:lang w:val="en-GB"/>
        </w:rPr>
        <w:t xml:space="preserve"> </w:t>
      </w:r>
    </w:p>
    <w:p w14:paraId="6E6FDC12" w14:textId="1F6ABF9A" w:rsidR="000F3745" w:rsidRDefault="000F3745" w:rsidP="000F3745">
      <w:pPr>
        <w:pStyle w:val="CETHeading1"/>
      </w:pPr>
      <w:r>
        <w:t>Flow Regimes</w:t>
      </w:r>
    </w:p>
    <w:p w14:paraId="7A6AA395" w14:textId="40E8631E" w:rsidR="00B91E61" w:rsidRDefault="000F3745" w:rsidP="00B91E61">
      <w:pPr>
        <w:pStyle w:val="CETBodytext"/>
        <w:rPr>
          <w:lang w:val="en-GB"/>
        </w:rPr>
      </w:pPr>
      <w:r w:rsidRPr="000F3745">
        <w:t>In multiphase reactors, the flow regime</w:t>
      </w:r>
      <w:r w:rsidR="00360488">
        <w:t>s</w:t>
      </w:r>
      <w:r w:rsidRPr="000F3745">
        <w:t xml:space="preserve"> inform about the behavior of the dispersed phase and its interaction with the continuous phase. </w:t>
      </w:r>
    </w:p>
    <w:p w14:paraId="55E86797" w14:textId="00112DFA" w:rsidR="00E579F8" w:rsidRDefault="00B91E61" w:rsidP="0062486E">
      <w:pPr>
        <w:pStyle w:val="CETBodytext"/>
        <w:rPr>
          <w:lang w:val="en-GB"/>
        </w:rPr>
      </w:pPr>
      <w:r>
        <w:rPr>
          <w:lang w:val="en-GB"/>
        </w:rPr>
        <w:t>T</w:t>
      </w:r>
      <w:r w:rsidR="00EF1982">
        <w:rPr>
          <w:lang w:val="en-GB"/>
        </w:rPr>
        <w:t>he fluid dynamics of large-diameter bubble columns explicates in six flow regimes and is interpreted by a function of two global fluid-dynamics parameters</w:t>
      </w:r>
      <w:r w:rsidR="00187BFB">
        <w:rPr>
          <w:lang w:val="en-GB"/>
        </w:rPr>
        <w:t xml:space="preserve">, </w:t>
      </w:r>
      <w:r w:rsidR="00EF1982">
        <w:rPr>
          <w:lang w:val="en-GB"/>
        </w:rPr>
        <w:t>the drift flux and the gas holdup</w:t>
      </w:r>
      <w:r w:rsidR="00187BFB">
        <w:rPr>
          <w:lang w:val="en-GB"/>
        </w:rPr>
        <w:t>.</w:t>
      </w:r>
      <w:r w:rsidR="00E579F8">
        <w:rPr>
          <w:lang w:val="en-GB"/>
        </w:rPr>
        <w:t xml:space="preserve"> </w:t>
      </w:r>
      <w:r w:rsidR="00187BFB">
        <w:rPr>
          <w:lang w:val="en-GB"/>
        </w:rPr>
        <w:t>T</w:t>
      </w:r>
      <w:r w:rsidR="00E579F8">
        <w:rPr>
          <w:lang w:val="en-GB"/>
        </w:rPr>
        <w:t>he analytical form of the function builds on five flow regime transition points</w:t>
      </w:r>
      <w:r w:rsidR="00545CE1">
        <w:rPr>
          <w:lang w:val="en-GB"/>
        </w:rPr>
        <w:t xml:space="preserve"> (Figure </w:t>
      </w:r>
      <w:r w:rsidR="009E6A31">
        <w:rPr>
          <w:lang w:val="en-GB"/>
        </w:rPr>
        <w:t>2</w:t>
      </w:r>
      <w:r w:rsidR="00001736">
        <w:rPr>
          <w:color w:val="000000"/>
          <w:lang w:val="en-GB"/>
        </w:rPr>
        <w:t>)</w:t>
      </w:r>
      <w:r w:rsidR="00F2073C">
        <w:rPr>
          <w:color w:val="000000"/>
          <w:lang w:val="en-GB"/>
        </w:rPr>
        <w:t xml:space="preserve"> (more details in Besagni, 2021)</w:t>
      </w:r>
      <w:r w:rsidR="00E579F8">
        <w:rPr>
          <w:lang w:val="en-GB"/>
        </w:rPr>
        <w:t xml:space="preserve">. </w:t>
      </w:r>
    </w:p>
    <w:p w14:paraId="38A77D0B" w14:textId="77777777" w:rsidR="002D73AF" w:rsidRDefault="002D73AF" w:rsidP="0062486E">
      <w:pPr>
        <w:pStyle w:val="CETBodytext"/>
        <w:rPr>
          <w:lang w:val="en-GB"/>
        </w:rPr>
      </w:pPr>
    </w:p>
    <w:p w14:paraId="61A7A8EA" w14:textId="77777777" w:rsidR="002D73AF" w:rsidRDefault="002D73AF" w:rsidP="002D73AF">
      <w:pPr>
        <w:pStyle w:val="CETBodytext"/>
        <w:keepNext/>
        <w:jc w:val="left"/>
      </w:pPr>
      <w:r w:rsidRPr="00FB64E4">
        <w:rPr>
          <w:rFonts w:cs="Arial"/>
          <w:iCs/>
          <w:noProof/>
          <w:lang w:val="en-GB"/>
        </w:rPr>
        <w:drawing>
          <wp:inline distT="0" distB="0" distL="0" distR="0" wp14:anchorId="64C85752" wp14:editId="07A7E964">
            <wp:extent cx="1160258" cy="1400175"/>
            <wp:effectExtent l="0" t="0" r="0" b="0"/>
            <wp:docPr id="54" name="Immagine 54"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magine 54" descr="Immagine che contiene grafico&#10;&#10;Descrizione generata automaticamente"/>
                    <pic:cNvPicPr/>
                  </pic:nvPicPr>
                  <pic:blipFill>
                    <a:blip r:embed="rId10"/>
                    <a:stretch>
                      <a:fillRect/>
                    </a:stretch>
                  </pic:blipFill>
                  <pic:spPr>
                    <a:xfrm>
                      <a:off x="0" y="0"/>
                      <a:ext cx="1166969" cy="1408273"/>
                    </a:xfrm>
                    <a:prstGeom prst="rect">
                      <a:avLst/>
                    </a:prstGeom>
                  </pic:spPr>
                </pic:pic>
              </a:graphicData>
            </a:graphic>
          </wp:inline>
        </w:drawing>
      </w:r>
      <w:r>
        <w:rPr>
          <w:noProof/>
        </w:rPr>
        <w:t xml:space="preserve">            </w:t>
      </w:r>
      <w:r>
        <w:rPr>
          <w:noProof/>
        </w:rPr>
        <w:drawing>
          <wp:inline distT="0" distB="0" distL="0" distR="0" wp14:anchorId="2316A01C" wp14:editId="25E8EE72">
            <wp:extent cx="4035904" cy="1604963"/>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9241" cy="1642080"/>
                    </a:xfrm>
                    <a:prstGeom prst="rect">
                      <a:avLst/>
                    </a:prstGeom>
                    <a:noFill/>
                    <a:ln>
                      <a:noFill/>
                    </a:ln>
                  </pic:spPr>
                </pic:pic>
              </a:graphicData>
            </a:graphic>
          </wp:inline>
        </w:drawing>
      </w:r>
    </w:p>
    <w:p w14:paraId="6DC748A7" w14:textId="33044151" w:rsidR="002D73AF" w:rsidRDefault="002D73AF" w:rsidP="002D73AF">
      <w:pPr>
        <w:pStyle w:val="CETEquation"/>
      </w:pPr>
      <w:r w:rsidRPr="009E6A31">
        <w:rPr>
          <w:rStyle w:val="CETCaptionCarattere"/>
        </w:rPr>
        <w:t xml:space="preserve">Figure </w:t>
      </w:r>
      <w:r w:rsidRPr="009E6A31">
        <w:rPr>
          <w:rStyle w:val="CETCaptionCarattere"/>
        </w:rPr>
        <w:fldChar w:fldCharType="begin"/>
      </w:r>
      <w:r w:rsidRPr="009E6A31">
        <w:rPr>
          <w:rStyle w:val="CETCaptionCarattere"/>
        </w:rPr>
        <w:instrText xml:space="preserve"> SEQ Figure \* ARABIC </w:instrText>
      </w:r>
      <w:r w:rsidRPr="009E6A31">
        <w:rPr>
          <w:rStyle w:val="CETCaptionCarattere"/>
        </w:rPr>
        <w:fldChar w:fldCharType="separate"/>
      </w:r>
      <w:r w:rsidR="00AD4BB5">
        <w:rPr>
          <w:rStyle w:val="CETCaptionCarattere"/>
          <w:noProof/>
        </w:rPr>
        <w:t>1</w:t>
      </w:r>
      <w:r w:rsidRPr="009E6A31">
        <w:rPr>
          <w:rStyle w:val="CETCaptionCarattere"/>
        </w:rPr>
        <w:fldChar w:fldCharType="end"/>
      </w:r>
      <w:r w:rsidRPr="009E6A31">
        <w:rPr>
          <w:rStyle w:val="CETCaptionCarattere"/>
        </w:rPr>
        <w:t xml:space="preserve">: Bubble column reactor.     Figure </w:t>
      </w:r>
      <w:r w:rsidRPr="009E6A31">
        <w:rPr>
          <w:rStyle w:val="CETCaptionCarattere"/>
        </w:rPr>
        <w:fldChar w:fldCharType="begin"/>
      </w:r>
      <w:r w:rsidRPr="009E6A31">
        <w:rPr>
          <w:rStyle w:val="CETCaptionCarattere"/>
        </w:rPr>
        <w:instrText xml:space="preserve"> SEQ Figure \* ARABIC </w:instrText>
      </w:r>
      <w:r w:rsidRPr="009E6A31">
        <w:rPr>
          <w:rStyle w:val="CETCaptionCarattere"/>
        </w:rPr>
        <w:fldChar w:fldCharType="separate"/>
      </w:r>
      <w:r w:rsidR="00AD4BB5">
        <w:rPr>
          <w:rStyle w:val="CETCaptionCarattere"/>
          <w:noProof/>
        </w:rPr>
        <w:t>2</w:t>
      </w:r>
      <w:r w:rsidRPr="009E6A31">
        <w:rPr>
          <w:rStyle w:val="CETCaptionCarattere"/>
        </w:rPr>
        <w:fldChar w:fldCharType="end"/>
      </w:r>
      <w:r w:rsidRPr="009E6A31">
        <w:rPr>
          <w:rStyle w:val="CETCaptionCarattere"/>
        </w:rPr>
        <w:t>: Bubble column characteristic curve (Besagni, 2021)</w:t>
      </w:r>
      <w:bookmarkStart w:id="0" w:name="_Ref126855272"/>
      <w:bookmarkStart w:id="1" w:name="_Ref126855267"/>
      <w:r w:rsidRPr="009E6A31">
        <w:rPr>
          <w:rStyle w:val="CETCaptionCarattere"/>
        </w:rPr>
        <w:t>.</w:t>
      </w:r>
      <w:r>
        <w:t xml:space="preserve">                                    </w:t>
      </w:r>
      <w:bookmarkEnd w:id="0"/>
      <w:bookmarkEnd w:id="1"/>
    </w:p>
    <w:p w14:paraId="1A5246C9" w14:textId="1A0931C6" w:rsidR="00E579F8" w:rsidRDefault="00E579F8" w:rsidP="002D73AF">
      <w:pPr>
        <w:pStyle w:val="CETEquation"/>
      </w:pPr>
      <w:r>
        <w:lastRenderedPageBreak/>
        <w:t>The drift flux is defined as the volumetric flux of either components relative to a surface moving at volumetric average velocity expressed as follow:</w:t>
      </w:r>
    </w:p>
    <w:tbl>
      <w:tblPr>
        <w:tblW w:w="5000" w:type="pct"/>
        <w:tblLook w:val="04A0" w:firstRow="1" w:lastRow="0" w:firstColumn="1" w:lastColumn="0" w:noHBand="0" w:noVBand="1"/>
      </w:tblPr>
      <w:tblGrid>
        <w:gridCol w:w="6827"/>
        <w:gridCol w:w="2176"/>
      </w:tblGrid>
      <w:tr w:rsidR="00E579F8" w:rsidRPr="00B57B36" w14:paraId="68B988FF" w14:textId="77777777" w:rsidTr="002E2827">
        <w:tc>
          <w:tcPr>
            <w:tcW w:w="6663" w:type="dxa"/>
            <w:shd w:val="clear" w:color="auto" w:fill="auto"/>
            <w:vAlign w:val="center"/>
          </w:tcPr>
          <w:p w14:paraId="1592D17E" w14:textId="6BF31A2C" w:rsidR="00E579F8" w:rsidRPr="00307441" w:rsidRDefault="00000000" w:rsidP="005E11DC">
            <w:pPr>
              <w:pStyle w:val="CETEquation"/>
              <w:spacing w:before="0"/>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G</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G</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L</m:t>
                    </m:r>
                  </m:sub>
                </m:sSub>
                <m:sSub>
                  <m:sSubPr>
                    <m:ctrlPr>
                      <w:rPr>
                        <w:rFonts w:ascii="Cambria Math" w:hAnsi="Cambria Math"/>
                        <w:i/>
                      </w:rPr>
                    </m:ctrlPr>
                  </m:sSubPr>
                  <m:e>
                    <m:r>
                      <w:rPr>
                        <w:rFonts w:ascii="Cambria Math" w:hAnsi="Cambria Math"/>
                      </w:rPr>
                      <m:t>ε</m:t>
                    </m:r>
                  </m:e>
                  <m:sub>
                    <m:r>
                      <w:rPr>
                        <w:rFonts w:ascii="Cambria Math" w:hAnsi="Cambria Math"/>
                      </w:rPr>
                      <m:t>G</m:t>
                    </m:r>
                  </m:sub>
                </m:sSub>
              </m:oMath>
            </m:oMathPara>
          </w:p>
        </w:tc>
        <w:tc>
          <w:tcPr>
            <w:tcW w:w="2124" w:type="dxa"/>
            <w:shd w:val="clear" w:color="auto" w:fill="auto"/>
            <w:vAlign w:val="center"/>
          </w:tcPr>
          <w:p w14:paraId="3C7B7EBA" w14:textId="629B706E" w:rsidR="00E579F8" w:rsidRPr="00B57B36" w:rsidRDefault="00E579F8" w:rsidP="005E11DC">
            <w:pPr>
              <w:pStyle w:val="CETEquation"/>
              <w:numPr>
                <w:ilvl w:val="0"/>
                <w:numId w:val="29"/>
              </w:numPr>
              <w:spacing w:before="0"/>
              <w:jc w:val="right"/>
            </w:pPr>
          </w:p>
        </w:tc>
      </w:tr>
    </w:tbl>
    <w:p w14:paraId="6F5E4379" w14:textId="7D0749F4" w:rsidR="00E579F8" w:rsidRDefault="00307441" w:rsidP="0062486E">
      <w:pPr>
        <w:pStyle w:val="CETBodytext"/>
        <w:rPr>
          <w:lang w:val="en-GB"/>
        </w:rPr>
      </w:pPr>
      <w:r>
        <w:rPr>
          <w:lang w:val="en-GB"/>
        </w:rPr>
        <w:t xml:space="preserve">In </w:t>
      </w:r>
      <w:proofErr w:type="spellStart"/>
      <w:r>
        <w:rPr>
          <w:lang w:val="en-GB"/>
        </w:rPr>
        <w:t>Eq</w:t>
      </w:r>
      <w:proofErr w:type="spellEnd"/>
      <w:r>
        <w:rPr>
          <w:lang w:val="en-GB"/>
        </w:rPr>
        <w:t>(</w:t>
      </w:r>
      <w:r w:rsidR="002E1F88">
        <w:rPr>
          <w:lang w:val="en-GB"/>
        </w:rPr>
        <w:t>1</w:t>
      </w:r>
      <w:r>
        <w:rPr>
          <w:lang w:val="en-GB"/>
        </w:rPr>
        <w:t xml:space="preserve">)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G</m:t>
            </m:r>
          </m:sub>
        </m:sSub>
      </m:oMath>
      <w:r w:rsidR="00A40B67">
        <w:rPr>
          <w:lang w:val="en-GB"/>
        </w:rPr>
        <w:t xml:space="preserve"> is the gas holdup (defined as the volume of the dispersed phase divided by the total volume),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oMath>
      <w:r w:rsidR="00A40B67">
        <w:rPr>
          <w:lang w:val="en-GB"/>
        </w:rPr>
        <w:t xml:space="preserve"> is the superficial gas velocity, and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L</m:t>
            </m:r>
          </m:sub>
        </m:sSub>
      </m:oMath>
      <w:r w:rsidR="00A40B67">
        <w:rPr>
          <w:lang w:val="en-GB"/>
        </w:rPr>
        <w:t xml:space="preserve"> is the superficial liquid velocity. The sign on the right-hand side depends on the operation mode of the bubble co</w:t>
      </w:r>
      <w:proofErr w:type="spellStart"/>
      <w:r w:rsidR="00A40B67">
        <w:rPr>
          <w:lang w:val="en-GB"/>
        </w:rPr>
        <w:t>lumn</w:t>
      </w:r>
      <w:proofErr w:type="spellEnd"/>
      <w:r w:rsidR="00A40B67">
        <w:rPr>
          <w:lang w:val="en-GB"/>
        </w:rPr>
        <w:t xml:space="preserve">: co-current mode (+) or counter-current mode (-);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L</m:t>
            </m:r>
          </m:sub>
        </m:sSub>
        <m:r>
          <w:rPr>
            <w:rFonts w:ascii="Cambria Math" w:hAnsi="Cambria Math"/>
            <w:lang w:val="en-GB"/>
          </w:rPr>
          <m:t>=0</m:t>
        </m:r>
      </m:oMath>
      <w:r w:rsidR="00A40B67">
        <w:rPr>
          <w:lang w:val="en-GB"/>
        </w:rPr>
        <w:t xml:space="preserve"> in the batch mode.</w:t>
      </w:r>
    </w:p>
    <w:p w14:paraId="1893E614" w14:textId="0E619561" w:rsidR="00573C2D" w:rsidRDefault="00573C2D" w:rsidP="0062486E">
      <w:pPr>
        <w:pStyle w:val="CETBodytext"/>
        <w:rPr>
          <w:lang w:val="en-GB"/>
        </w:rPr>
      </w:pPr>
      <w:r>
        <w:rPr>
          <w:lang w:val="en-GB"/>
        </w:rPr>
        <w:t xml:space="preserve">The six flow regimes, emerging upon an increase in the gas flow rate are: (1) mono-dispersed homogeneous flow regime, (2) poly-dispersed homogeneous flow regime, (3) transition flow regime without coalescence-induced structures, (4) </w:t>
      </w:r>
      <w:r w:rsidR="00D21D59">
        <w:rPr>
          <w:lang w:val="en-GB"/>
        </w:rPr>
        <w:t>transition flow regime with coalescence-induced structures, (5) pseudo-heterogeneous flow regime, and (6) pure</w:t>
      </w:r>
      <w:r w:rsidR="00AF207C">
        <w:rPr>
          <w:lang w:val="en-GB"/>
        </w:rPr>
        <w:t>-heterogeneous flow regime.</w:t>
      </w:r>
    </w:p>
    <w:p w14:paraId="7DA2CF28" w14:textId="170E06F5" w:rsidR="0023725A" w:rsidRDefault="00545CE1" w:rsidP="0062486E">
      <w:pPr>
        <w:pStyle w:val="CETBodytext"/>
        <w:rPr>
          <w:lang w:val="en-GB"/>
        </w:rPr>
      </w:pPr>
      <w:r>
        <w:rPr>
          <w:lang w:val="en-GB"/>
        </w:rPr>
        <w:t>The transition between the mono-dispersed and poly-dispersed homogeneous flow regime can be detected by comparing the experimental drift flux values</w:t>
      </w:r>
      <w:r w:rsidR="00B44714">
        <w:rPr>
          <w:lang w:val="en-GB"/>
        </w:rPr>
        <w:t xml:space="preserve"> (</w:t>
      </w:r>
      <m:oMath>
        <m:sSub>
          <m:sSubPr>
            <m:ctrlPr>
              <w:rPr>
                <w:rFonts w:ascii="Cambria Math" w:hAnsi="Cambria Math"/>
                <w:i/>
                <w:lang w:val="en-GB"/>
              </w:rPr>
            </m:ctrlPr>
          </m:sSubPr>
          <m:e>
            <m:r>
              <w:rPr>
                <w:rFonts w:ascii="Cambria Math" w:hAnsi="Cambria Math"/>
                <w:lang w:val="en-GB"/>
              </w:rPr>
              <m:t xml:space="preserve"> J</m:t>
            </m:r>
          </m:e>
          <m:sub>
            <m:r>
              <w:rPr>
                <w:rFonts w:ascii="Cambria Math" w:hAnsi="Cambria Math"/>
                <w:lang w:val="en-GB"/>
              </w:rPr>
              <m:t>T</m:t>
            </m:r>
          </m:sub>
        </m:sSub>
      </m:oMath>
      <w:r w:rsidR="00B44714">
        <w:rPr>
          <w:lang w:val="en-GB"/>
        </w:rPr>
        <w:t>)</w:t>
      </w:r>
      <w:r>
        <w:rPr>
          <w:lang w:val="en-GB"/>
        </w:rPr>
        <w:t xml:space="preserve"> </w:t>
      </w:r>
      <w:r w:rsidR="00B44714">
        <w:rPr>
          <w:lang w:val="en-GB"/>
        </w:rPr>
        <w:t>with theoretical values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E</m:t>
            </m:r>
          </m:sub>
        </m:sSub>
      </m:oMath>
      <w:r w:rsidR="00B44714">
        <w:rPr>
          <w:lang w:val="en-GB"/>
        </w:rPr>
        <w:t>) written in terms of bubble swarm velocity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b</m:t>
            </m:r>
          </m:sub>
        </m:sSub>
      </m:oMath>
      <w:r w:rsidR="00B44714">
        <w:rPr>
          <w:lang w:val="en-GB"/>
        </w:rPr>
        <w:t>)</w:t>
      </w:r>
      <w:r w:rsidR="00B06434">
        <w:rPr>
          <w:lang w:val="en-GB"/>
        </w:rPr>
        <w:t xml:space="preserve"> </w:t>
      </w:r>
      <w:sdt>
        <w:sdtPr>
          <w:rPr>
            <w:color w:val="000000"/>
            <w:lang w:val="en-GB"/>
          </w:rPr>
          <w:tag w:val="MENDELEY_CITATION_v3_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"/>
          <w:id w:val="45651284"/>
          <w:placeholder>
            <w:docPart w:val="DefaultPlaceholder_-1854013440"/>
          </w:placeholder>
        </w:sdtPr>
        <w:sdtContent>
          <w:r w:rsidR="00003696" w:rsidRPr="00003696">
            <w:rPr>
              <w:color w:val="000000"/>
              <w:lang w:val="en-GB"/>
            </w:rPr>
            <w:t>(Wallis, 1969)</w:t>
          </w:r>
        </w:sdtContent>
      </w:sdt>
      <w:r w:rsidR="00B44714">
        <w:rPr>
          <w:lang w:val="en-GB"/>
        </w:rPr>
        <w:t>:</w:t>
      </w:r>
    </w:p>
    <w:tbl>
      <w:tblPr>
        <w:tblW w:w="5000" w:type="pct"/>
        <w:tblLook w:val="04A0" w:firstRow="1" w:lastRow="0" w:firstColumn="1" w:lastColumn="0" w:noHBand="0" w:noVBand="1"/>
      </w:tblPr>
      <w:tblGrid>
        <w:gridCol w:w="7117"/>
        <w:gridCol w:w="1886"/>
      </w:tblGrid>
      <w:tr w:rsidR="00B06434" w:rsidRPr="00B57B36" w14:paraId="4E994A9B" w14:textId="77777777" w:rsidTr="002E2827">
        <w:tc>
          <w:tcPr>
            <w:tcW w:w="6946" w:type="dxa"/>
            <w:shd w:val="clear" w:color="auto" w:fill="auto"/>
            <w:vAlign w:val="center"/>
          </w:tcPr>
          <w:p w14:paraId="237FFB10" w14:textId="6ED59157" w:rsidR="00B06434" w:rsidRPr="00307441" w:rsidRDefault="00000000" w:rsidP="00AB3B5C">
            <w:pPr>
              <w:pStyle w:val="CETEquation"/>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G</m:t>
                    </m:r>
                  </m:sub>
                </m:sSub>
                <m:r>
                  <w:rPr>
                    <w:rFonts w:ascii="Cambria Math" w:hAnsi="Cambria Math"/>
                  </w:rPr>
                  <m:t>)</m:t>
                </m:r>
              </m:oMath>
            </m:oMathPara>
          </w:p>
        </w:tc>
        <w:tc>
          <w:tcPr>
            <w:tcW w:w="1841" w:type="dxa"/>
            <w:shd w:val="clear" w:color="auto" w:fill="auto"/>
            <w:vAlign w:val="center"/>
          </w:tcPr>
          <w:p w14:paraId="7FCF4BBB" w14:textId="152E70C3" w:rsidR="00B06434" w:rsidRPr="00B57B36" w:rsidRDefault="00B06434" w:rsidP="002E2827">
            <w:pPr>
              <w:pStyle w:val="CETEquation"/>
              <w:numPr>
                <w:ilvl w:val="0"/>
                <w:numId w:val="29"/>
              </w:numPr>
              <w:jc w:val="right"/>
            </w:pPr>
          </w:p>
        </w:tc>
      </w:tr>
    </w:tbl>
    <w:p w14:paraId="4EDF58AB" w14:textId="19593E37" w:rsidR="00B06434" w:rsidRDefault="0054568F" w:rsidP="0062486E">
      <w:pPr>
        <w:pStyle w:val="CETBodytext"/>
        <w:rPr>
          <w:color w:val="000000"/>
          <w:lang w:val="en-GB"/>
        </w:rPr>
      </w:pPr>
      <w:r>
        <w:rPr>
          <w:lang w:val="en-GB"/>
        </w:rPr>
        <w:t xml:space="preserve">In </w:t>
      </w:r>
      <w:proofErr w:type="spellStart"/>
      <w:r>
        <w:rPr>
          <w:lang w:val="en-GB"/>
        </w:rPr>
        <w:t>Eq</w:t>
      </w:r>
      <w:proofErr w:type="spellEnd"/>
      <w:r>
        <w:rPr>
          <w:lang w:val="en-GB"/>
        </w:rPr>
        <w:t>(</w:t>
      </w:r>
      <w:r w:rsidR="00CF4CB4">
        <w:rPr>
          <w:lang w:val="en-GB"/>
        </w:rPr>
        <w:t>2</w:t>
      </w:r>
      <w:r>
        <w:rPr>
          <w:lang w:val="en-GB"/>
        </w:rPr>
        <w:t>), the bubble swarm velocity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b</m:t>
            </m:r>
          </m:sub>
        </m:sSub>
      </m:oMath>
      <w:r>
        <w:rPr>
          <w:lang w:val="en-GB"/>
        </w:rPr>
        <w:t>) can be calculated with the following</w:t>
      </w:r>
      <w:r w:rsidR="00C15C21">
        <w:rPr>
          <w:lang w:val="en-GB"/>
        </w:rPr>
        <w:t xml:space="preserve"> </w:t>
      </w:r>
      <w:sdt>
        <w:sdtPr>
          <w:rPr>
            <w:color w:val="000000"/>
            <w:lang w:val="en-GB"/>
          </w:rPr>
          <w:tag w:val="MENDELEY_CITATION_v3_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"/>
          <w:id w:val="233592831"/>
          <w:placeholder>
            <w:docPart w:val="DefaultPlaceholder_-1854013440"/>
          </w:placeholder>
        </w:sdtPr>
        <w:sdtContent>
          <w:r w:rsidR="00003696" w:rsidRPr="00003696">
            <w:rPr>
              <w:color w:val="000000"/>
              <w:lang w:val="en-GB"/>
            </w:rPr>
            <w:t>(Krishna et al., 1999)</w:t>
          </w:r>
        </w:sdtContent>
      </w:sdt>
      <w:r w:rsidR="00C15C21">
        <w:rPr>
          <w:color w:val="000000"/>
          <w:lang w:val="en-GB"/>
        </w:rPr>
        <w:t>:</w:t>
      </w:r>
    </w:p>
    <w:tbl>
      <w:tblPr>
        <w:tblW w:w="5000" w:type="pct"/>
        <w:tblLook w:val="04A0" w:firstRow="1" w:lastRow="0" w:firstColumn="1" w:lastColumn="0" w:noHBand="0" w:noVBand="1"/>
      </w:tblPr>
      <w:tblGrid>
        <w:gridCol w:w="6100"/>
        <w:gridCol w:w="2903"/>
      </w:tblGrid>
      <w:tr w:rsidR="00C15C21" w:rsidRPr="00B57B36" w14:paraId="30B271F3" w14:textId="77777777" w:rsidTr="002E2827">
        <w:tc>
          <w:tcPr>
            <w:tcW w:w="5954" w:type="dxa"/>
            <w:shd w:val="clear" w:color="auto" w:fill="auto"/>
            <w:vAlign w:val="center"/>
          </w:tcPr>
          <w:p w14:paraId="7B7CFF68" w14:textId="685DFB31" w:rsidR="00C15C21" w:rsidRPr="002A5F32" w:rsidRDefault="00000000" w:rsidP="002A5F32">
            <w:pPr>
              <w:pStyle w:val="CETEquation"/>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m:t>
                    </m:r>
                  </m:sub>
                </m:sSub>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G</m:t>
                            </m:r>
                          </m:sub>
                        </m:sSub>
                      </m:e>
                    </m:d>
                  </m:e>
                  <m:sup>
                    <m:r>
                      <w:rPr>
                        <w:rFonts w:ascii="Cambria Math" w:hAnsi="Cambria Math"/>
                      </w:rPr>
                      <m:t>n-1</m:t>
                    </m:r>
                  </m:sup>
                </m:sSup>
              </m:oMath>
            </m:oMathPara>
          </w:p>
        </w:tc>
        <w:tc>
          <w:tcPr>
            <w:tcW w:w="2833" w:type="dxa"/>
            <w:shd w:val="clear" w:color="auto" w:fill="auto"/>
            <w:vAlign w:val="center"/>
          </w:tcPr>
          <w:p w14:paraId="055F364A" w14:textId="695B42CD" w:rsidR="00C15C21" w:rsidRPr="00B57B36" w:rsidRDefault="00C15C21" w:rsidP="002E2827">
            <w:pPr>
              <w:pStyle w:val="CETEquation"/>
              <w:numPr>
                <w:ilvl w:val="0"/>
                <w:numId w:val="29"/>
              </w:numPr>
              <w:jc w:val="right"/>
            </w:pPr>
          </w:p>
        </w:tc>
      </w:tr>
    </w:tbl>
    <w:p w14:paraId="06FC5D2F" w14:textId="30FD72A9" w:rsidR="009914DA" w:rsidRDefault="002A5F32" w:rsidP="00AD4BB5">
      <w:pPr>
        <w:pStyle w:val="CETBodytext"/>
        <w:rPr>
          <w:rFonts w:cs="Arial"/>
          <w:iCs/>
          <w:lang w:val="en-GB"/>
        </w:rPr>
      </w:pPr>
      <w:r>
        <w:rPr>
          <w:lang w:val="en-GB"/>
        </w:rPr>
        <w:t xml:space="preserve">Where </w:t>
      </w:r>
      <m:oMath>
        <m:r>
          <w:rPr>
            <w:rFonts w:ascii="Cambria Math" w:hAnsi="Cambria Math"/>
            <w:lang w:val="en-GB"/>
          </w:rPr>
          <m:t>n</m:t>
        </m:r>
      </m:oMath>
      <w:r>
        <w:rPr>
          <w:lang w:val="en-GB"/>
        </w:rPr>
        <w:t xml:space="preserve"> is fluid-dependent (</w:t>
      </w:r>
      <m:oMath>
        <m:r>
          <w:rPr>
            <w:rFonts w:ascii="Cambria Math" w:hAnsi="Cambria Math"/>
            <w:lang w:val="en-GB"/>
          </w:rPr>
          <m:t>n≈2</m:t>
        </m:r>
      </m:oMath>
      <w:r>
        <w:rPr>
          <w:lang w:val="en-GB"/>
        </w:rPr>
        <w:t xml:space="preserve"> for water ) and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m:t>
            </m:r>
          </m:sub>
        </m:sSub>
      </m:oMath>
      <w:r>
        <w:rPr>
          <w:lang w:val="en-GB"/>
        </w:rPr>
        <w:t xml:space="preserve">- the terminal velocity of an isolated bubble – should be fitted with the aid of experimental data in the determination of the flow regime transition point. </w:t>
      </w:r>
      <w:r>
        <w:rPr>
          <w:rFonts w:cs="Arial"/>
          <w:iCs/>
          <w:lang w:val="en-GB"/>
        </w:rPr>
        <w:t xml:space="preserve">In the mono-dispersed homogeneous </w:t>
      </w:r>
      <m:oMath>
        <m:sSub>
          <m:sSubPr>
            <m:ctrlPr>
              <w:rPr>
                <w:rFonts w:ascii="Cambria Math" w:hAnsi="Cambria Math" w:cs="Arial"/>
                <w:i/>
                <w:iCs/>
                <w:lang w:val="en-GB"/>
              </w:rPr>
            </m:ctrlPr>
          </m:sSubPr>
          <m:e>
            <m:r>
              <w:rPr>
                <w:rFonts w:ascii="Cambria Math" w:hAnsi="Cambria Math" w:cs="Arial"/>
                <w:lang w:val="en-GB"/>
              </w:rPr>
              <m:t>J</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J</m:t>
            </m:r>
          </m:e>
          <m:sub>
            <m:r>
              <w:rPr>
                <w:rFonts w:ascii="Cambria Math" w:hAnsi="Cambria Math" w:cs="Arial"/>
                <w:lang w:val="en-GB"/>
              </w:rPr>
              <m:t>E</m:t>
            </m:r>
          </m:sub>
        </m:sSub>
      </m:oMath>
      <w:r w:rsidR="00B00CCE">
        <w:rPr>
          <w:rFonts w:cs="Arial"/>
          <w:iCs/>
          <w:lang w:val="en-GB"/>
        </w:rPr>
        <w:t>, and the transition to the poly-dispersed homogeneous flow regime occurs when</w:t>
      </w:r>
      <w:r w:rsidR="009914DA">
        <w:rPr>
          <w:rFonts w:cs="Arial"/>
          <w:iCs/>
          <w:lang w:val="en-GB"/>
        </w:rPr>
        <w:t>:</w:t>
      </w:r>
    </w:p>
    <w:tbl>
      <w:tblPr>
        <w:tblW w:w="5000" w:type="pct"/>
        <w:tblLook w:val="04A0" w:firstRow="1" w:lastRow="0" w:firstColumn="1" w:lastColumn="0" w:noHBand="0" w:noVBand="1"/>
      </w:tblPr>
      <w:tblGrid>
        <w:gridCol w:w="7698"/>
        <w:gridCol w:w="1305"/>
      </w:tblGrid>
      <w:tr w:rsidR="009914DA" w:rsidRPr="00B57B36" w14:paraId="68EF5AE3" w14:textId="77777777" w:rsidTr="00444D0B">
        <w:tc>
          <w:tcPr>
            <w:tcW w:w="7698" w:type="dxa"/>
            <w:shd w:val="clear" w:color="auto" w:fill="auto"/>
            <w:vAlign w:val="center"/>
          </w:tcPr>
          <w:p w14:paraId="649B74BD" w14:textId="5C8DAE9C" w:rsidR="009914DA" w:rsidRPr="00307441" w:rsidRDefault="00000000" w:rsidP="00AB3B5C">
            <w:pPr>
              <w:pStyle w:val="CETEquation"/>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T</m:t>
                    </m:r>
                  </m:sub>
                </m:sSub>
              </m:oMath>
            </m:oMathPara>
          </w:p>
        </w:tc>
        <w:tc>
          <w:tcPr>
            <w:tcW w:w="1305" w:type="dxa"/>
            <w:shd w:val="clear" w:color="auto" w:fill="auto"/>
            <w:vAlign w:val="center"/>
          </w:tcPr>
          <w:p w14:paraId="3ADA6F5F" w14:textId="63D7F505" w:rsidR="009914DA" w:rsidRPr="00B57B36" w:rsidRDefault="009914DA" w:rsidP="002678DB">
            <w:pPr>
              <w:pStyle w:val="CETEquation"/>
              <w:numPr>
                <w:ilvl w:val="0"/>
                <w:numId w:val="29"/>
              </w:numPr>
              <w:jc w:val="right"/>
            </w:pPr>
          </w:p>
        </w:tc>
      </w:tr>
    </w:tbl>
    <w:p w14:paraId="231CC918" w14:textId="28CC3032" w:rsidR="0062486E" w:rsidRDefault="004B29D2" w:rsidP="004B29D2">
      <w:pPr>
        <w:pStyle w:val="CETHeading1"/>
      </w:pPr>
      <w:r>
        <w:t xml:space="preserve">The Statistical Analysis </w:t>
      </w:r>
    </w:p>
    <w:p w14:paraId="3C61C694" w14:textId="1227B31C" w:rsidR="004B29D2" w:rsidRPr="004B29D2" w:rsidRDefault="004B29D2" w:rsidP="004B29D2">
      <w:pPr>
        <w:pStyle w:val="CETheadingx"/>
      </w:pPr>
      <w:r>
        <w:t>Variables</w:t>
      </w:r>
    </w:p>
    <w:p w14:paraId="007ECB30" w14:textId="5CF6E0DE" w:rsidR="00B00CCE" w:rsidRDefault="006720C1" w:rsidP="0062486E">
      <w:pPr>
        <w:pStyle w:val="CETBodytext"/>
        <w:rPr>
          <w:lang w:val="en-GB"/>
        </w:rPr>
      </w:pPr>
      <w:r>
        <w:rPr>
          <w:lang w:val="en-GB"/>
        </w:rPr>
        <w:t>As for the dependent variables</w:t>
      </w:r>
      <w:r w:rsidR="00CF1E29">
        <w:rPr>
          <w:lang w:val="en-GB"/>
        </w:rPr>
        <w:t xml:space="preserve"> </w:t>
      </w:r>
      <w:proofErr w:type="spellStart"/>
      <w:r w:rsidR="00CF1E29">
        <w:rPr>
          <w:lang w:val="en-GB"/>
        </w:rPr>
        <w:t>Eq</w:t>
      </w:r>
      <w:proofErr w:type="spellEnd"/>
      <w:r w:rsidR="00CF1E29">
        <w:rPr>
          <w:lang w:val="en-GB"/>
        </w:rPr>
        <w:t>(</w:t>
      </w:r>
      <w:r w:rsidR="005E01FC">
        <w:rPr>
          <w:lang w:val="en-GB"/>
        </w:rPr>
        <w:t>4</w:t>
      </w:r>
      <w:r w:rsidR="00CF1E29">
        <w:rPr>
          <w:lang w:val="en-GB"/>
        </w:rPr>
        <w:t xml:space="preserve">) </w:t>
      </w:r>
      <w:r w:rsidR="00F2073C">
        <w:rPr>
          <w:lang w:val="en-GB"/>
        </w:rPr>
        <w:t>has been</w:t>
      </w:r>
      <w:r w:rsidR="00C93BA8">
        <w:rPr>
          <w:lang w:val="en-GB"/>
        </w:rPr>
        <w:t xml:space="preserve"> applied to find the transition</w:t>
      </w:r>
      <w:r w:rsidR="007B493F">
        <w:rPr>
          <w:lang w:val="en-GB"/>
        </w:rPr>
        <w:t xml:space="preserve"> </w:t>
      </w:r>
      <w:r w:rsidR="00F2073C">
        <w:rPr>
          <w:lang w:val="en-GB"/>
        </w:rPr>
        <w:t xml:space="preserve">coordinate </w:t>
      </w:r>
      <w:r w:rsidR="007B493F">
        <w:rPr>
          <w:lang w:val="en-GB"/>
        </w:rPr>
        <w:t>(i.e. transitional gas holdup</w:t>
      </w:r>
      <w:r w:rsidR="00D97AA7">
        <w:rPr>
          <w:lang w:val="en-GB"/>
        </w:rPr>
        <w:t xml:space="preserve">,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G,trans</m:t>
            </m:r>
          </m:sub>
        </m:sSub>
        <m:r>
          <w:rPr>
            <w:rFonts w:ascii="Cambria Math" w:hAnsi="Cambria Math"/>
            <w:lang w:val="en-GB"/>
          </w:rPr>
          <m:t xml:space="preserve"> </m:t>
        </m:r>
      </m:oMath>
      <w:r w:rsidR="00D97AA7">
        <w:rPr>
          <w:lang w:val="en-GB"/>
        </w:rPr>
        <w:t xml:space="preserve">, </w:t>
      </w:r>
      <w:r w:rsidR="007B493F">
        <w:rPr>
          <w:lang w:val="en-GB"/>
        </w:rPr>
        <w:t>and transitional superficial gas velocity</w:t>
      </w:r>
      <w:r w:rsidR="00D97AA7">
        <w:rPr>
          <w:lang w:val="en-GB"/>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G,trans</m:t>
            </m:r>
          </m:sub>
        </m:sSub>
      </m:oMath>
      <w:r w:rsidR="007B493F">
        <w:rPr>
          <w:lang w:val="en-GB"/>
        </w:rPr>
        <w:t>)</w:t>
      </w:r>
      <w:r w:rsidR="00C93BA8">
        <w:rPr>
          <w:lang w:val="en-GB"/>
        </w:rPr>
        <w:t xml:space="preserve"> of several large-diameter bubble column</w:t>
      </w:r>
      <w:r w:rsidR="009F2B10">
        <w:rPr>
          <w:lang w:val="en-GB"/>
        </w:rPr>
        <w:t xml:space="preserve">s operating in </w:t>
      </w:r>
      <w:r w:rsidR="00263E89">
        <w:rPr>
          <w:lang w:val="en-GB"/>
        </w:rPr>
        <w:t xml:space="preserve">batch and counter-current mode </w:t>
      </w:r>
      <w:r w:rsidR="009F2B10">
        <w:rPr>
          <w:lang w:val="en-GB"/>
        </w:rPr>
        <w:t>with different gas distributor</w:t>
      </w:r>
      <w:r w:rsidR="00263E89">
        <w:rPr>
          <w:lang w:val="en-GB"/>
        </w:rPr>
        <w:t>s</w:t>
      </w:r>
      <w:r w:rsidR="009F2B10">
        <w:rPr>
          <w:lang w:val="en-GB"/>
        </w:rPr>
        <w:t>, aspect ratio values and liquid phase properties</w:t>
      </w:r>
      <w:r w:rsidR="007B493F">
        <w:rPr>
          <w:lang w:val="en-GB"/>
        </w:rPr>
        <w:t xml:space="preserve"> </w:t>
      </w:r>
      <w:r w:rsidR="0071627B">
        <w:rPr>
          <w:lang w:val="en-GB"/>
        </w:rPr>
        <w:t>(</w:t>
      </w:r>
      <w:r w:rsidR="0071627B" w:rsidRPr="002A57FD">
        <w:rPr>
          <w:lang w:val="en-GB"/>
        </w:rPr>
        <w:t>Table</w:t>
      </w:r>
      <w:r w:rsidR="00813DDE">
        <w:rPr>
          <w:lang w:val="en-GB"/>
        </w:rPr>
        <w:t xml:space="preserve"> </w:t>
      </w:r>
      <w:r w:rsidR="0071627B" w:rsidRPr="002A57FD">
        <w:rPr>
          <w:lang w:val="en-GB"/>
        </w:rPr>
        <w:t>1</w:t>
      </w:r>
      <w:r w:rsidR="0071627B">
        <w:rPr>
          <w:lang w:val="en-GB"/>
        </w:rPr>
        <w:t>).</w:t>
      </w:r>
      <w:r w:rsidR="005975FB">
        <w:rPr>
          <w:lang w:val="en-GB"/>
        </w:rPr>
        <w:t xml:space="preserve"> Concerning the predictors</w:t>
      </w:r>
      <w:r w:rsidR="00003696">
        <w:rPr>
          <w:lang w:val="en-GB"/>
        </w:rPr>
        <w:t xml:space="preserve">, </w:t>
      </w:r>
      <w:r w:rsidR="00B66765">
        <w:rPr>
          <w:lang w:val="en-GB"/>
        </w:rPr>
        <w:t xml:space="preserve">three main categories </w:t>
      </w:r>
      <w:r w:rsidR="00F2073C">
        <w:rPr>
          <w:lang w:val="en-GB"/>
        </w:rPr>
        <w:t>have been</w:t>
      </w:r>
      <w:r w:rsidR="00B66765">
        <w:rPr>
          <w:lang w:val="en-GB"/>
        </w:rPr>
        <w:t xml:space="preserve"> considered:  geometrical characteristics of the column, </w:t>
      </w:r>
      <w:r w:rsidR="00B423BB">
        <w:rPr>
          <w:lang w:val="en-GB"/>
        </w:rPr>
        <w:t>operating conditions and liquid phase properties (</w:t>
      </w:r>
      <w:r w:rsidR="00B423BB" w:rsidRPr="00AF249F">
        <w:rPr>
          <w:lang w:val="en-GB"/>
        </w:rPr>
        <w:t>Table 2</w:t>
      </w:r>
      <w:r w:rsidR="00B423BB">
        <w:rPr>
          <w:lang w:val="en-GB"/>
        </w:rPr>
        <w:t xml:space="preserve">). </w:t>
      </w:r>
    </w:p>
    <w:p w14:paraId="0F92C957" w14:textId="77777777" w:rsidR="007F09C6" w:rsidRDefault="007F09C6" w:rsidP="007F09C6">
      <w:pPr>
        <w:pStyle w:val="CETheadingx"/>
      </w:pPr>
      <w:r>
        <w:t>Methods</w:t>
      </w:r>
    </w:p>
    <w:p w14:paraId="0D42BA71" w14:textId="77777777" w:rsidR="007F09C6" w:rsidRDefault="007F09C6" w:rsidP="007F09C6">
      <w:pPr>
        <w:pStyle w:val="CETheadingx"/>
        <w:numPr>
          <w:ilvl w:val="0"/>
          <w:numId w:val="0"/>
        </w:numPr>
      </w:pPr>
      <w:r>
        <w:t>Regression</w:t>
      </w:r>
    </w:p>
    <w:p w14:paraId="2AEF8E66" w14:textId="139FD79D" w:rsidR="007F09C6" w:rsidRDefault="00CA27AA" w:rsidP="0062486E">
      <w:pPr>
        <w:pStyle w:val="CETBodytext"/>
        <w:rPr>
          <w:color w:val="000000" w:themeColor="text1"/>
        </w:rPr>
      </w:pPr>
      <w:r>
        <w:t xml:space="preserve">The regression </w:t>
      </w:r>
      <w:r w:rsidR="007F09C6">
        <w:rPr>
          <w:color w:val="000000" w:themeColor="text1"/>
        </w:rPr>
        <w:t>procedure</w:t>
      </w:r>
      <w:r w:rsidR="005E11DC">
        <w:rPr>
          <w:color w:val="000000" w:themeColor="text1"/>
        </w:rPr>
        <w:t xml:space="preserve"> (</w:t>
      </w:r>
      <w:r w:rsidR="00EF39DF">
        <w:rPr>
          <w:color w:val="000000" w:themeColor="text1"/>
        </w:rPr>
        <w:t>Figure 3</w:t>
      </w:r>
      <w:r w:rsidR="005E11DC">
        <w:rPr>
          <w:color w:val="000000" w:themeColor="text1"/>
        </w:rPr>
        <w:t>)</w:t>
      </w:r>
      <w:r w:rsidR="007F09C6">
        <w:rPr>
          <w:color w:val="000000" w:themeColor="text1"/>
        </w:rPr>
        <w:t xml:space="preserve"> consists of five steps. In the first step, a dependent variable is selected out of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G,trans</m:t>
            </m:r>
          </m:sub>
        </m:sSub>
      </m:oMath>
      <w:r w:rsidR="007F09C6">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G,trans</m:t>
            </m:r>
          </m:sub>
        </m:sSub>
      </m:oMath>
      <w:r w:rsidR="007F09C6">
        <w:rPr>
          <w:color w:val="000000" w:themeColor="text1"/>
        </w:rPr>
        <w:t xml:space="preserve">. In the second step, a class of predictors is selected out of the three groups listed in Section 3.1. In the third step, the regression procedure is applied to the selected dependent variable and the selected </w:t>
      </w:r>
      <w:r w:rsidR="004875A7">
        <w:rPr>
          <w:color w:val="000000" w:themeColor="text1"/>
        </w:rPr>
        <w:t xml:space="preserve">class of </w:t>
      </w:r>
      <w:r w:rsidR="007F09C6">
        <w:rPr>
          <w:color w:val="000000" w:themeColor="text1"/>
        </w:rPr>
        <w:t>predictor</w:t>
      </w:r>
      <w:r w:rsidR="004875A7">
        <w:rPr>
          <w:color w:val="000000" w:themeColor="text1"/>
        </w:rPr>
        <w:t>s</w:t>
      </w:r>
      <w:r w:rsidR="007F09C6">
        <w:rPr>
          <w:color w:val="000000" w:themeColor="text1"/>
        </w:rPr>
        <w:t xml:space="preserve"> </w:t>
      </w:r>
      <w:r w:rsidR="004B6EEC">
        <w:rPr>
          <w:color w:val="000000" w:themeColor="text1"/>
        </w:rPr>
        <w:t>(</w:t>
      </w:r>
      <w:r w:rsidR="007F09C6" w:rsidRPr="007C5D9E">
        <w:rPr>
          <w:i/>
          <w:iCs/>
          <w:color w:val="000000" w:themeColor="text1"/>
        </w:rPr>
        <w:t>“partial regression models”</w:t>
      </w:r>
      <w:r w:rsidR="007F09C6">
        <w:rPr>
          <w:color w:val="000000" w:themeColor="text1"/>
        </w:rPr>
        <w:t xml:space="preserve">). Subsequently, the above described steps (#1 to #3) are iterated until all the dependent variables have been considered and all the </w:t>
      </w:r>
      <w:r w:rsidR="007F09C6" w:rsidRPr="006F30BE">
        <w:rPr>
          <w:i/>
          <w:iCs/>
          <w:color w:val="000000" w:themeColor="text1"/>
        </w:rPr>
        <w:t xml:space="preserve">“partial regression models” </w:t>
      </w:r>
      <w:r w:rsidR="007F09C6">
        <w:rPr>
          <w:color w:val="000000" w:themeColor="text1"/>
        </w:rPr>
        <w:t xml:space="preserve">have been obtained. In the </w:t>
      </w:r>
      <w:r w:rsidR="00F478F1">
        <w:rPr>
          <w:color w:val="000000" w:themeColor="text1"/>
        </w:rPr>
        <w:t>fourth</w:t>
      </w:r>
      <w:r w:rsidR="007F09C6">
        <w:rPr>
          <w:color w:val="000000" w:themeColor="text1"/>
        </w:rPr>
        <w:t xml:space="preserve"> step the predictors found significant, after the regression procedure, are coupled and the regression analysis is performed again to obtain the </w:t>
      </w:r>
      <w:r w:rsidR="007F09C6" w:rsidRPr="006F30BE">
        <w:rPr>
          <w:i/>
          <w:iCs/>
          <w:color w:val="000000" w:themeColor="text1"/>
        </w:rPr>
        <w:t>“aggregate regression model “</w:t>
      </w:r>
      <w:r w:rsidR="007F09C6">
        <w:rPr>
          <w:color w:val="000000" w:themeColor="text1"/>
        </w:rPr>
        <w:t>. Step</w:t>
      </w:r>
      <w:r w:rsidR="008E0B29">
        <w:rPr>
          <w:color w:val="000000" w:themeColor="text1"/>
        </w:rPr>
        <w:t>#</w:t>
      </w:r>
      <w:r w:rsidR="007F09C6">
        <w:rPr>
          <w:color w:val="000000" w:themeColor="text1"/>
        </w:rPr>
        <w:t xml:space="preserve">2 </w:t>
      </w:r>
      <w:r w:rsidR="008E0B29">
        <w:rPr>
          <w:color w:val="000000" w:themeColor="text1"/>
        </w:rPr>
        <w:t xml:space="preserve"> and step#</w:t>
      </w:r>
      <w:r w:rsidR="007F09C6">
        <w:rPr>
          <w:color w:val="000000" w:themeColor="text1"/>
        </w:rPr>
        <w:t xml:space="preserve">3 are iterated until all the classes of predictors have been evaluated with respect to the depend variables and all the </w:t>
      </w:r>
      <w:r w:rsidR="007F09C6" w:rsidRPr="006F30BE">
        <w:rPr>
          <w:i/>
          <w:iCs/>
          <w:color w:val="000000" w:themeColor="text1"/>
        </w:rPr>
        <w:t>“aggregate regression model</w:t>
      </w:r>
      <w:r w:rsidR="007F09C6">
        <w:rPr>
          <w:i/>
          <w:iCs/>
          <w:color w:val="000000" w:themeColor="text1"/>
        </w:rPr>
        <w:t>s</w:t>
      </w:r>
      <w:r w:rsidR="007F09C6" w:rsidRPr="006F30BE">
        <w:rPr>
          <w:i/>
          <w:iCs/>
          <w:color w:val="000000" w:themeColor="text1"/>
        </w:rPr>
        <w:t>”</w:t>
      </w:r>
      <w:r w:rsidR="007F09C6">
        <w:rPr>
          <w:i/>
          <w:iCs/>
          <w:color w:val="000000" w:themeColor="text1"/>
        </w:rPr>
        <w:t xml:space="preserve"> </w:t>
      </w:r>
      <w:r w:rsidR="007F09C6">
        <w:rPr>
          <w:color w:val="000000" w:themeColor="text1"/>
        </w:rPr>
        <w:t>have been obtained</w:t>
      </w:r>
    </w:p>
    <w:p w14:paraId="486D4FFC" w14:textId="57D60F14" w:rsidR="00063090" w:rsidRDefault="00063090" w:rsidP="00063090">
      <w:pPr>
        <w:pStyle w:val="CETBodytext"/>
        <w:rPr>
          <w:color w:val="000000" w:themeColor="text1"/>
        </w:rPr>
      </w:pPr>
      <w:r>
        <w:rPr>
          <w:color w:val="000000" w:themeColor="text1"/>
        </w:rPr>
        <w:t>The OLS – VIF – LASSO procedure applied at step#3 and step#4, is discussed in the following:</w:t>
      </w:r>
    </w:p>
    <w:p w14:paraId="04319DC7" w14:textId="4A7B09F7" w:rsidR="00063090" w:rsidRPr="00B84846" w:rsidRDefault="00063090" w:rsidP="00063090">
      <w:pPr>
        <w:pStyle w:val="CETBodytext"/>
        <w:numPr>
          <w:ilvl w:val="0"/>
          <w:numId w:val="23"/>
        </w:numPr>
        <w:rPr>
          <w:b/>
          <w:bCs/>
          <w:color w:val="000000" w:themeColor="text1"/>
        </w:rPr>
      </w:pPr>
      <w:proofErr w:type="spellStart"/>
      <w:r w:rsidRPr="007B2805">
        <w:rPr>
          <w:b/>
          <w:bCs/>
          <w:color w:val="000000" w:themeColor="text1"/>
        </w:rPr>
        <w:t>Phase#a</w:t>
      </w:r>
      <w:proofErr w:type="spellEnd"/>
      <w:r w:rsidRPr="007B2805">
        <w:rPr>
          <w:b/>
          <w:bCs/>
          <w:color w:val="000000" w:themeColor="text1"/>
        </w:rPr>
        <w:t xml:space="preserve">. </w:t>
      </w:r>
      <w:r>
        <w:rPr>
          <w:color w:val="000000" w:themeColor="text1"/>
        </w:rPr>
        <w:t>A linear Ordinary Least Squares (OLS) is performed to relate the dependent variable with the selected class of predictors:</w:t>
      </w:r>
    </w:p>
    <w:tbl>
      <w:tblPr>
        <w:tblStyle w:val="Grigliatabellachi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1"/>
        <w:gridCol w:w="2322"/>
      </w:tblGrid>
      <w:tr w:rsidR="00063090" w:rsidRPr="00B57B36" w14:paraId="0AB80653" w14:textId="77777777" w:rsidTr="00001736">
        <w:tc>
          <w:tcPr>
            <w:tcW w:w="6521" w:type="dxa"/>
          </w:tcPr>
          <w:p w14:paraId="7E7E7BBC" w14:textId="77777777" w:rsidR="00063090" w:rsidRPr="00307441" w:rsidRDefault="00000000" w:rsidP="00AB3B5C">
            <w:pPr>
              <w:pStyle w:val="CETEquation"/>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w</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e>
              </m:nary>
            </m:oMath>
            <w:r w:rsidR="00063090">
              <w:t xml:space="preserve"> </w:t>
            </w:r>
          </w:p>
        </w:tc>
        <w:tc>
          <w:tcPr>
            <w:tcW w:w="2266" w:type="dxa"/>
          </w:tcPr>
          <w:p w14:paraId="555DCE16" w14:textId="36D7416D" w:rsidR="00063090" w:rsidRPr="00B57B36" w:rsidRDefault="00063090" w:rsidP="00161A26">
            <w:pPr>
              <w:pStyle w:val="CETEquation"/>
              <w:numPr>
                <w:ilvl w:val="0"/>
                <w:numId w:val="29"/>
              </w:numPr>
              <w:jc w:val="right"/>
            </w:pPr>
          </w:p>
        </w:tc>
      </w:tr>
    </w:tbl>
    <w:p w14:paraId="21A006D3" w14:textId="4E53C0B8" w:rsidR="00313CE3" w:rsidRDefault="00001736" w:rsidP="00893349">
      <w:pPr>
        <w:pStyle w:val="CETBodytext"/>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t xml:space="preserve"> is the selected dependent variable,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is the </w:t>
      </w:r>
      <m:oMath>
        <m:r>
          <w:rPr>
            <w:rFonts w:ascii="Cambria Math" w:hAnsi="Cambria Math"/>
          </w:rPr>
          <m:t>j</m:t>
        </m:r>
      </m:oMath>
      <w:r>
        <w:t xml:space="preserve">-predictor for the  </w:t>
      </w:r>
      <m:oMath>
        <m:r>
          <w:rPr>
            <w:rFonts w:ascii="Cambria Math" w:hAnsi="Cambria Math"/>
          </w:rPr>
          <m:t>i</m:t>
        </m:r>
      </m:oMath>
      <w:r>
        <w:t xml:space="preserve">-dependent variable out of </w:t>
      </w:r>
      <m:oMath>
        <m:r>
          <w:rPr>
            <w:rFonts w:ascii="Cambria Math" w:hAnsi="Cambria Math"/>
          </w:rPr>
          <m:t>w</m:t>
        </m:r>
      </m:oMath>
      <w:r>
        <w:t xml:space="preserve">-predictors,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t xml:space="preserve"> is the constant term (intercept),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t xml:space="preserve"> is the </w:t>
      </w:r>
      <m:oMath>
        <m:r>
          <w:rPr>
            <w:rFonts w:ascii="Cambria Math" w:hAnsi="Cambria Math"/>
          </w:rPr>
          <m:t>j</m:t>
        </m:r>
      </m:oMath>
      <w:r>
        <w:t xml:space="preserve">-coefficient for the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variable,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t xml:space="preserve"> is the error having null mean and constant variance.</w:t>
      </w:r>
    </w:p>
    <w:p w14:paraId="578B1E06" w14:textId="77777777" w:rsidR="00003696" w:rsidRDefault="00003696" w:rsidP="00003696">
      <w:pPr>
        <w:pStyle w:val="CETBodytext"/>
      </w:pPr>
      <w:r>
        <w:t>The overall model fit is assessed based on the adjusted coefficient of determination (</w:t>
      </w:r>
      <m:oMath>
        <m:sSubSup>
          <m:sSubSupPr>
            <m:ctrlPr>
              <w:rPr>
                <w:rFonts w:ascii="Cambria Math" w:hAnsi="Cambria Math"/>
                <w:i/>
              </w:rPr>
            </m:ctrlPr>
          </m:sSubSupPr>
          <m:e>
            <m:r>
              <w:rPr>
                <w:rFonts w:ascii="Cambria Math" w:hAnsi="Cambria Math"/>
              </w:rPr>
              <m:t>R</m:t>
            </m:r>
          </m:e>
          <m:sub>
            <m:r>
              <w:rPr>
                <w:rFonts w:ascii="Cambria Math" w:hAnsi="Cambria Math"/>
              </w:rPr>
              <m:t>adj</m:t>
            </m:r>
          </m:sub>
          <m:sup>
            <m:r>
              <w:rPr>
                <w:rFonts w:ascii="Cambria Math" w:hAnsi="Cambria Math"/>
              </w:rPr>
              <m:t>2</m:t>
            </m:r>
          </m:sup>
        </m:sSubSup>
      </m:oMath>
      <w:r>
        <w:t>):</w:t>
      </w:r>
    </w:p>
    <w:tbl>
      <w:tblPr>
        <w:tblW w:w="5000" w:type="pct"/>
        <w:tblLook w:val="04A0" w:firstRow="1" w:lastRow="0" w:firstColumn="1" w:lastColumn="0" w:noHBand="0" w:noVBand="1"/>
      </w:tblPr>
      <w:tblGrid>
        <w:gridCol w:w="6827"/>
        <w:gridCol w:w="2176"/>
      </w:tblGrid>
      <w:tr w:rsidR="00003696" w:rsidRPr="00B57B36" w14:paraId="48002DE9" w14:textId="77777777" w:rsidTr="00675FBC">
        <w:tc>
          <w:tcPr>
            <w:tcW w:w="6663" w:type="dxa"/>
            <w:shd w:val="clear" w:color="auto" w:fill="auto"/>
            <w:vAlign w:val="center"/>
          </w:tcPr>
          <w:p w14:paraId="0F0BA5F2" w14:textId="77777777" w:rsidR="00003696" w:rsidRPr="00307441" w:rsidRDefault="00000000" w:rsidP="005E11DC">
            <w:pPr>
              <w:pStyle w:val="CETEquation"/>
              <w:spacing w:after="0"/>
            </w:pPr>
            <m:oMath>
              <m:sSubSup>
                <m:sSubSupPr>
                  <m:ctrlPr>
                    <w:rPr>
                      <w:rFonts w:ascii="Cambria Math" w:hAnsi="Cambria Math"/>
                      <w:i/>
                    </w:rPr>
                  </m:ctrlPr>
                </m:sSubSupPr>
                <m:e>
                  <m:r>
                    <w:rPr>
                      <w:rFonts w:ascii="Cambria Math" w:hAnsi="Cambria Math"/>
                    </w:rPr>
                    <m:t>R</m:t>
                  </m:r>
                </m:e>
                <m:sub>
                  <m:r>
                    <w:rPr>
                      <w:rFonts w:ascii="Cambria Math" w:hAnsi="Cambria Math"/>
                    </w:rPr>
                    <m:t>adj</m:t>
                  </m:r>
                </m:sub>
                <m:sup>
                  <m:r>
                    <w:rPr>
                      <w:rFonts w:ascii="Cambria Math" w:hAnsi="Cambria Math"/>
                    </w:rPr>
                    <m:t>2</m:t>
                  </m:r>
                </m:sup>
              </m:sSubSup>
              <m:r>
                <w:rPr>
                  <w:rFonts w:ascii="Cambria Math" w:hAnsi="Cambria Math"/>
                </w:rPr>
                <m:t xml:space="preserve">=1- </m:t>
              </m:r>
              <m:f>
                <m:fPr>
                  <m:ctrlPr>
                    <w:rPr>
                      <w:rFonts w:ascii="Cambria Math" w:hAnsi="Cambria Math"/>
                      <w:i/>
                    </w:rPr>
                  </m:ctrlPr>
                </m:fPr>
                <m:num>
                  <m:f>
                    <m:fPr>
                      <m:type m:val="lin"/>
                      <m:ctrlPr>
                        <w:rPr>
                          <w:rFonts w:ascii="Cambria Math" w:hAnsi="Cambria Math"/>
                          <w:i/>
                        </w:rPr>
                      </m:ctrlPr>
                    </m:fPr>
                    <m:num>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E</m:t>
                          </m:r>
                        </m:sub>
                      </m:sSub>
                    </m:num>
                    <m:den>
                      <m:d>
                        <m:dPr>
                          <m:ctrlPr>
                            <w:rPr>
                              <w:rFonts w:ascii="Cambria Math" w:hAnsi="Cambria Math"/>
                              <w:i/>
                            </w:rPr>
                          </m:ctrlPr>
                        </m:dPr>
                        <m:e>
                          <m:r>
                            <w:rPr>
                              <w:rFonts w:ascii="Cambria Math" w:hAnsi="Cambria Math"/>
                            </w:rPr>
                            <m:t>n-k-1</m:t>
                          </m:r>
                        </m:e>
                      </m:d>
                    </m:den>
                  </m:f>
                  <m:r>
                    <w:rPr>
                      <w:rFonts w:ascii="Cambria Math" w:hAnsi="Cambria Math"/>
                    </w:rPr>
                    <m:t xml:space="preserve"> </m:t>
                  </m:r>
                </m:num>
                <m:den>
                  <m:f>
                    <m:fPr>
                      <m:type m:val="lin"/>
                      <m:ctrlPr>
                        <w:rPr>
                          <w:rFonts w:ascii="Cambria Math" w:hAnsi="Cambria Math"/>
                          <w:i/>
                        </w:rPr>
                      </m:ctrlPr>
                    </m:fPr>
                    <m:num>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T</m:t>
                          </m:r>
                        </m:sub>
                      </m:sSub>
                    </m:num>
                    <m:den>
                      <m:d>
                        <m:dPr>
                          <m:ctrlPr>
                            <w:rPr>
                              <w:rFonts w:ascii="Cambria Math" w:hAnsi="Cambria Math"/>
                              <w:i/>
                            </w:rPr>
                          </m:ctrlPr>
                        </m:dPr>
                        <m:e>
                          <m:r>
                            <w:rPr>
                              <w:rFonts w:ascii="Cambria Math" w:hAnsi="Cambria Math"/>
                            </w:rPr>
                            <m:t>n-1</m:t>
                          </m:r>
                        </m:e>
                      </m:d>
                    </m:den>
                  </m:f>
                </m:den>
              </m:f>
              <m:r>
                <w:rPr>
                  <w:rFonts w:ascii="Cambria Math" w:hAnsi="Cambria Math"/>
                </w:rPr>
                <m:t>=1-</m:t>
              </m:r>
              <m:f>
                <m:fPr>
                  <m:ctrlPr>
                    <w:rPr>
                      <w:rFonts w:ascii="Cambria Math" w:hAnsi="Cambria Math"/>
                      <w:i/>
                    </w:rPr>
                  </m:ctrlPr>
                </m:fPr>
                <m:num>
                  <m:d>
                    <m:dPr>
                      <m:ctrlPr>
                        <w:rPr>
                          <w:rFonts w:ascii="Cambria Math" w:hAnsi="Cambria Math"/>
                          <w:i/>
                        </w:rPr>
                      </m:ctrlPr>
                    </m:dPr>
                    <m:e>
                      <m:r>
                        <w:rPr>
                          <w:rFonts w:ascii="Cambria Math" w:hAnsi="Cambria Math"/>
                        </w:rPr>
                        <m:t>n-1</m:t>
                      </m:r>
                    </m:e>
                  </m:d>
                </m:num>
                <m:den>
                  <m:d>
                    <m:dPr>
                      <m:ctrlPr>
                        <w:rPr>
                          <w:rFonts w:ascii="Cambria Math" w:hAnsi="Cambria Math"/>
                          <w:i/>
                        </w:rPr>
                      </m:ctrlPr>
                    </m:dPr>
                    <m:e>
                      <m:r>
                        <w:rPr>
                          <w:rFonts w:ascii="Cambria Math" w:hAnsi="Cambria Math"/>
                        </w:rPr>
                        <m:t>n-k-1</m:t>
                      </m:r>
                    </m:e>
                  </m:d>
                </m:den>
              </m:f>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oMath>
            <w:r w:rsidR="00003696">
              <w:t xml:space="preserve"> </w:t>
            </w:r>
          </w:p>
        </w:tc>
        <w:tc>
          <w:tcPr>
            <w:tcW w:w="2124" w:type="dxa"/>
            <w:shd w:val="clear" w:color="auto" w:fill="auto"/>
            <w:vAlign w:val="center"/>
          </w:tcPr>
          <w:p w14:paraId="4CE9FF9E" w14:textId="77777777" w:rsidR="00003696" w:rsidRPr="00B57B36" w:rsidRDefault="00003696" w:rsidP="005E01FC">
            <w:pPr>
              <w:pStyle w:val="CETEquation"/>
              <w:numPr>
                <w:ilvl w:val="0"/>
                <w:numId w:val="29"/>
              </w:numPr>
              <w:spacing w:after="0"/>
              <w:jc w:val="right"/>
            </w:pPr>
          </w:p>
        </w:tc>
      </w:tr>
    </w:tbl>
    <w:p w14:paraId="53F443E1" w14:textId="5190231E" w:rsidR="00001736" w:rsidRDefault="00001736" w:rsidP="00001736">
      <w:pPr>
        <w:pStyle w:val="CETTabletitle"/>
      </w:pPr>
      <w:r>
        <w:t xml:space="preserve">Table </w:t>
      </w:r>
      <w:r>
        <w:fldChar w:fldCharType="begin"/>
      </w:r>
      <w:r>
        <w:instrText xml:space="preserve"> SEQ Table \* ARABIC </w:instrText>
      </w:r>
      <w:r>
        <w:fldChar w:fldCharType="separate"/>
      </w:r>
      <w:r>
        <w:rPr>
          <w:noProof/>
        </w:rPr>
        <w:t>1</w:t>
      </w:r>
      <w:r>
        <w:fldChar w:fldCharType="end"/>
      </w:r>
      <w:r>
        <w:t>: Bubble column configurations analysed.</w:t>
      </w:r>
    </w:p>
    <w:tbl>
      <w:tblPr>
        <w:tblW w:w="920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344"/>
        <w:gridCol w:w="1000"/>
        <w:gridCol w:w="916"/>
        <w:gridCol w:w="1418"/>
        <w:gridCol w:w="709"/>
        <w:gridCol w:w="1978"/>
      </w:tblGrid>
      <w:tr w:rsidR="00D560AF" w:rsidRPr="00B57B36" w14:paraId="7591C39E" w14:textId="38BC2D28" w:rsidTr="00AD4BB5">
        <w:tc>
          <w:tcPr>
            <w:tcW w:w="1843" w:type="dxa"/>
            <w:tcBorders>
              <w:top w:val="single" w:sz="12" w:space="0" w:color="008000"/>
              <w:bottom w:val="single" w:sz="6" w:space="0" w:color="008000"/>
            </w:tcBorders>
            <w:shd w:val="clear" w:color="auto" w:fill="FFFFFF"/>
          </w:tcPr>
          <w:p w14:paraId="640C4800" w14:textId="6F9082E8" w:rsidR="00127E62" w:rsidRPr="00B57B36" w:rsidRDefault="00127E62" w:rsidP="00AB3B5C">
            <w:pPr>
              <w:pStyle w:val="CETBodytext"/>
              <w:rPr>
                <w:lang w:val="en-GB"/>
              </w:rPr>
            </w:pPr>
            <w:r>
              <w:rPr>
                <w:lang w:val="en-GB"/>
              </w:rPr>
              <w:t>Reference</w:t>
            </w:r>
            <w:r w:rsidRPr="00B57B36">
              <w:rPr>
                <w:lang w:val="en-GB"/>
              </w:rPr>
              <w:t xml:space="preserve"> </w:t>
            </w:r>
          </w:p>
        </w:tc>
        <w:tc>
          <w:tcPr>
            <w:tcW w:w="1344" w:type="dxa"/>
            <w:tcBorders>
              <w:top w:val="single" w:sz="12" w:space="0" w:color="008000"/>
              <w:bottom w:val="single" w:sz="6" w:space="0" w:color="008000"/>
            </w:tcBorders>
            <w:shd w:val="clear" w:color="auto" w:fill="FFFFFF"/>
          </w:tcPr>
          <w:p w14:paraId="463320C9" w14:textId="67A39CAF" w:rsidR="00127E62" w:rsidRPr="00B57B36" w:rsidRDefault="00127E62" w:rsidP="00AB3B5C">
            <w:pPr>
              <w:pStyle w:val="CETBodytext"/>
              <w:rPr>
                <w:lang w:val="en-GB"/>
              </w:rPr>
            </w:pPr>
            <w:r>
              <w:rPr>
                <w:lang w:val="en-GB"/>
              </w:rPr>
              <w:t>Liquid phase</w:t>
            </w:r>
          </w:p>
        </w:tc>
        <w:tc>
          <w:tcPr>
            <w:tcW w:w="1000" w:type="dxa"/>
            <w:tcBorders>
              <w:top w:val="single" w:sz="12" w:space="0" w:color="008000"/>
              <w:bottom w:val="single" w:sz="6" w:space="0" w:color="008000"/>
            </w:tcBorders>
            <w:shd w:val="clear" w:color="auto" w:fill="FFFFFF"/>
          </w:tcPr>
          <w:p w14:paraId="327D915E" w14:textId="460F94D9" w:rsidR="00127E62" w:rsidRPr="00B57B36" w:rsidRDefault="00000000" w:rsidP="00AB3B5C">
            <w:pPr>
              <w:pStyle w:val="CETBodytext"/>
              <w:rPr>
                <w:lang w:val="en-GB"/>
              </w:rPr>
            </w:p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c</m:t>
                  </m:r>
                </m:sub>
              </m:sSub>
            </m:oMath>
            <w:r w:rsidR="00C64A64">
              <w:rPr>
                <w:lang w:val="en-GB"/>
              </w:rPr>
              <w:t xml:space="preserve"> [m]</w:t>
            </w:r>
          </w:p>
        </w:tc>
        <w:tc>
          <w:tcPr>
            <w:tcW w:w="916" w:type="dxa"/>
            <w:tcBorders>
              <w:top w:val="single" w:sz="12" w:space="0" w:color="008000"/>
              <w:bottom w:val="single" w:sz="6" w:space="0" w:color="008000"/>
            </w:tcBorders>
            <w:shd w:val="clear" w:color="auto" w:fill="FFFFFF"/>
          </w:tcPr>
          <w:p w14:paraId="163E8E87" w14:textId="08938BBC" w:rsidR="00127E62" w:rsidRPr="00B57B36" w:rsidRDefault="00C64A64" w:rsidP="00AB3B5C">
            <w:pPr>
              <w:pStyle w:val="CETBodytext"/>
              <w:ind w:right="-1"/>
              <w:rPr>
                <w:rFonts w:cs="Arial"/>
                <w:szCs w:val="18"/>
                <w:lang w:val="en-GB"/>
              </w:rPr>
            </w:pPr>
            <w:r>
              <w:rPr>
                <w:rFonts w:cs="Arial"/>
                <w:szCs w:val="18"/>
                <w:lang w:val="en-GB"/>
              </w:rPr>
              <w:t>AR [-]</w:t>
            </w:r>
          </w:p>
        </w:tc>
        <w:tc>
          <w:tcPr>
            <w:tcW w:w="1418" w:type="dxa"/>
            <w:tcBorders>
              <w:top w:val="single" w:sz="12" w:space="0" w:color="008000"/>
              <w:bottom w:val="single" w:sz="6" w:space="0" w:color="008000"/>
            </w:tcBorders>
            <w:shd w:val="clear" w:color="auto" w:fill="FFFFFF"/>
          </w:tcPr>
          <w:p w14:paraId="78EEA08A" w14:textId="0560C746" w:rsidR="00127E62" w:rsidRPr="00B57B36" w:rsidRDefault="00127E62" w:rsidP="00AB3B5C">
            <w:pPr>
              <w:pStyle w:val="CETBodytext"/>
              <w:ind w:right="-1"/>
              <w:rPr>
                <w:rFonts w:cs="Arial"/>
                <w:szCs w:val="18"/>
                <w:lang w:val="en-GB"/>
              </w:rPr>
            </w:pPr>
            <w:r>
              <w:rPr>
                <w:rFonts w:cs="Arial"/>
                <w:szCs w:val="18"/>
                <w:lang w:val="en-GB"/>
              </w:rPr>
              <w:t xml:space="preserve">Sparger </w:t>
            </w:r>
          </w:p>
        </w:tc>
        <w:tc>
          <w:tcPr>
            <w:tcW w:w="709" w:type="dxa"/>
            <w:tcBorders>
              <w:top w:val="single" w:sz="12" w:space="0" w:color="008000"/>
              <w:bottom w:val="single" w:sz="6" w:space="0" w:color="008000"/>
            </w:tcBorders>
            <w:shd w:val="clear" w:color="auto" w:fill="FFFFFF"/>
          </w:tcPr>
          <w:p w14:paraId="456A7A11" w14:textId="5A7E6949" w:rsidR="00127E62" w:rsidRDefault="00000000" w:rsidP="00AB3B5C">
            <w:pPr>
              <w:pStyle w:val="CETBodytext"/>
              <w:ind w:right="-1"/>
              <w:rPr>
                <w:rFonts w:cs="Arial"/>
                <w:szCs w:val="18"/>
                <w:lang w:val="en-GB"/>
              </w:rPr>
            </w:pPr>
            <m:oMath>
              <m:sSub>
                <m:sSubPr>
                  <m:ctrlPr>
                    <w:rPr>
                      <w:rFonts w:ascii="Cambria Math" w:hAnsi="Cambria Math" w:cs="Arial"/>
                      <w:i/>
                      <w:szCs w:val="18"/>
                      <w:lang w:val="en-GB"/>
                    </w:rPr>
                  </m:ctrlPr>
                </m:sSubPr>
                <m:e>
                  <m:r>
                    <w:rPr>
                      <w:rFonts w:ascii="Cambria Math" w:hAnsi="Cambria Math" w:cs="Arial"/>
                      <w:szCs w:val="18"/>
                      <w:lang w:val="en-GB"/>
                    </w:rPr>
                    <m:t>d</m:t>
                  </m:r>
                </m:e>
                <m:sub>
                  <m:r>
                    <w:rPr>
                      <w:rFonts w:ascii="Cambria Math" w:hAnsi="Cambria Math" w:cs="Arial"/>
                      <w:szCs w:val="18"/>
                      <w:lang w:val="en-GB"/>
                    </w:rPr>
                    <m:t>0</m:t>
                  </m:r>
                </m:sub>
              </m:sSub>
            </m:oMath>
            <w:r w:rsidR="00FC324E">
              <w:rPr>
                <w:rFonts w:cs="Arial"/>
                <w:szCs w:val="18"/>
                <w:lang w:val="en-GB"/>
              </w:rPr>
              <w:t xml:space="preserve"> [mm]</w:t>
            </w:r>
          </w:p>
        </w:tc>
        <w:tc>
          <w:tcPr>
            <w:tcW w:w="1978" w:type="dxa"/>
            <w:tcBorders>
              <w:top w:val="single" w:sz="12" w:space="0" w:color="008000"/>
              <w:bottom w:val="single" w:sz="6" w:space="0" w:color="008000"/>
            </w:tcBorders>
            <w:shd w:val="clear" w:color="auto" w:fill="FFFFFF"/>
          </w:tcPr>
          <w:p w14:paraId="261D32CC" w14:textId="24B69AEB" w:rsidR="00127E62" w:rsidRDefault="00FC324E" w:rsidP="00AB3B5C">
            <w:pPr>
              <w:pStyle w:val="CETBodytext"/>
              <w:ind w:right="-1"/>
              <w:rPr>
                <w:rFonts w:cs="Arial"/>
                <w:szCs w:val="18"/>
                <w:lang w:val="en-GB"/>
              </w:rPr>
            </w:pPr>
            <w:r>
              <w:rPr>
                <w:rFonts w:cs="Arial"/>
                <w:szCs w:val="18"/>
                <w:lang w:val="en-GB"/>
              </w:rPr>
              <w:t>Operating condition</w:t>
            </w:r>
          </w:p>
        </w:tc>
      </w:tr>
      <w:tr w:rsidR="00D560AF" w:rsidRPr="00B57B36" w14:paraId="22B9E021" w14:textId="47485E4F" w:rsidTr="00AD4BB5">
        <w:tc>
          <w:tcPr>
            <w:tcW w:w="1843" w:type="dxa"/>
            <w:shd w:val="clear" w:color="auto" w:fill="FFFFFF"/>
          </w:tcPr>
          <w:p w14:paraId="740A7D68" w14:textId="67DC5356" w:rsidR="00127E62" w:rsidRPr="00B57B36" w:rsidRDefault="00E50450" w:rsidP="00AB3B5C">
            <w:pPr>
              <w:pStyle w:val="CETBodytext"/>
              <w:rPr>
                <w:lang w:val="en-GB"/>
              </w:rPr>
            </w:pPr>
            <w:r>
              <w:rPr>
                <w:lang w:val="en-GB"/>
              </w:rPr>
              <w:t>(</w:t>
            </w:r>
            <w:proofErr w:type="spellStart"/>
            <w:r>
              <w:rPr>
                <w:lang w:val="en-GB"/>
              </w:rPr>
              <w:t>Deckwer</w:t>
            </w:r>
            <w:proofErr w:type="spellEnd"/>
            <w:r>
              <w:rPr>
                <w:lang w:val="en-GB"/>
              </w:rPr>
              <w:t xml:space="preserve"> et al.</w:t>
            </w:r>
            <w:r w:rsidR="002D73AF">
              <w:rPr>
                <w:lang w:val="en-GB"/>
              </w:rPr>
              <w:t>,</w:t>
            </w:r>
            <w:r>
              <w:rPr>
                <w:lang w:val="en-GB"/>
              </w:rPr>
              <w:t xml:space="preserve"> 1974)</w:t>
            </w:r>
          </w:p>
        </w:tc>
        <w:tc>
          <w:tcPr>
            <w:tcW w:w="1344" w:type="dxa"/>
            <w:shd w:val="clear" w:color="auto" w:fill="FFFFFF"/>
          </w:tcPr>
          <w:p w14:paraId="5179E61B" w14:textId="43D74531" w:rsidR="00127E62" w:rsidRPr="00B57B36" w:rsidRDefault="00E50450" w:rsidP="00AB3B5C">
            <w:pPr>
              <w:pStyle w:val="CETBodytext"/>
              <w:rPr>
                <w:lang w:val="en-GB"/>
              </w:rPr>
            </w:pPr>
            <w:r>
              <w:rPr>
                <w:lang w:val="en-GB"/>
              </w:rPr>
              <w:t>Water</w:t>
            </w:r>
          </w:p>
        </w:tc>
        <w:tc>
          <w:tcPr>
            <w:tcW w:w="1000" w:type="dxa"/>
            <w:shd w:val="clear" w:color="auto" w:fill="FFFFFF"/>
          </w:tcPr>
          <w:p w14:paraId="4C7D863B" w14:textId="5D49840B" w:rsidR="00127E62" w:rsidRPr="00B57B36" w:rsidRDefault="00444888" w:rsidP="00AB3B5C">
            <w:pPr>
              <w:pStyle w:val="CETBodytext"/>
              <w:rPr>
                <w:lang w:val="en-GB"/>
              </w:rPr>
            </w:pPr>
            <w:r>
              <w:rPr>
                <w:lang w:val="en-GB"/>
              </w:rPr>
              <w:t>0.20</w:t>
            </w:r>
          </w:p>
        </w:tc>
        <w:tc>
          <w:tcPr>
            <w:tcW w:w="916" w:type="dxa"/>
            <w:shd w:val="clear" w:color="auto" w:fill="FFFFFF"/>
          </w:tcPr>
          <w:p w14:paraId="069358E8" w14:textId="6664EC9D" w:rsidR="00127E62" w:rsidRPr="00B57B36" w:rsidRDefault="00444888" w:rsidP="00AB3B5C">
            <w:pPr>
              <w:pStyle w:val="CETBodytext"/>
              <w:ind w:right="-1"/>
              <w:rPr>
                <w:rFonts w:cs="Arial"/>
                <w:szCs w:val="18"/>
                <w:lang w:val="en-GB"/>
              </w:rPr>
            </w:pPr>
            <w:r>
              <w:rPr>
                <w:rFonts w:cs="Arial"/>
                <w:szCs w:val="18"/>
                <w:lang w:val="en-GB"/>
              </w:rPr>
              <w:t>1</w:t>
            </w:r>
          </w:p>
        </w:tc>
        <w:tc>
          <w:tcPr>
            <w:tcW w:w="1418" w:type="dxa"/>
            <w:shd w:val="clear" w:color="auto" w:fill="FFFFFF"/>
          </w:tcPr>
          <w:p w14:paraId="5DC67D18" w14:textId="6B28B628" w:rsidR="00127E62" w:rsidRPr="00B57B36" w:rsidRDefault="00444888" w:rsidP="00AB3B5C">
            <w:pPr>
              <w:pStyle w:val="CETBodytext"/>
              <w:ind w:right="-1"/>
              <w:rPr>
                <w:rFonts w:cs="Arial"/>
                <w:szCs w:val="18"/>
                <w:lang w:val="en-GB"/>
              </w:rPr>
            </w:pPr>
            <w:r>
              <w:rPr>
                <w:rFonts w:cs="Arial"/>
                <w:szCs w:val="18"/>
                <w:lang w:val="en-GB"/>
              </w:rPr>
              <w:t>Perforated plate</w:t>
            </w:r>
          </w:p>
        </w:tc>
        <w:tc>
          <w:tcPr>
            <w:tcW w:w="709" w:type="dxa"/>
            <w:shd w:val="clear" w:color="auto" w:fill="FFFFFF"/>
          </w:tcPr>
          <w:p w14:paraId="538F714D" w14:textId="13E101D6" w:rsidR="00127E62" w:rsidRPr="00B57B36" w:rsidRDefault="00444888" w:rsidP="00AB3B5C">
            <w:pPr>
              <w:pStyle w:val="CETBodytext"/>
              <w:ind w:right="-1"/>
              <w:rPr>
                <w:rFonts w:cs="Arial"/>
                <w:szCs w:val="18"/>
                <w:lang w:val="en-GB"/>
              </w:rPr>
            </w:pPr>
            <w:r>
              <w:rPr>
                <w:rFonts w:cs="Arial"/>
                <w:szCs w:val="18"/>
                <w:lang w:val="en-GB"/>
              </w:rPr>
              <w:t>1</w:t>
            </w:r>
          </w:p>
        </w:tc>
        <w:tc>
          <w:tcPr>
            <w:tcW w:w="1978" w:type="dxa"/>
            <w:shd w:val="clear" w:color="auto" w:fill="FFFFFF"/>
          </w:tcPr>
          <w:p w14:paraId="3E56D245" w14:textId="27AC6FAF" w:rsidR="00127E62" w:rsidRPr="00B57B36" w:rsidRDefault="00444888" w:rsidP="00AB3B5C">
            <w:pPr>
              <w:pStyle w:val="CETBodytext"/>
              <w:ind w:right="-1"/>
              <w:rPr>
                <w:rFonts w:cs="Arial"/>
                <w:szCs w:val="18"/>
                <w:lang w:val="en-GB"/>
              </w:rPr>
            </w:pPr>
            <w:r>
              <w:rPr>
                <w:rFonts w:cs="Arial"/>
                <w:szCs w:val="18"/>
                <w:lang w:val="en-GB"/>
              </w:rPr>
              <w:t>Open tube; batch</w:t>
            </w:r>
          </w:p>
        </w:tc>
      </w:tr>
      <w:tr w:rsidR="00E50450" w:rsidRPr="00B57B36" w14:paraId="7B8E6AD3" w14:textId="77777777" w:rsidTr="00AD4BB5">
        <w:tc>
          <w:tcPr>
            <w:tcW w:w="1843" w:type="dxa"/>
            <w:shd w:val="clear" w:color="auto" w:fill="FFFFFF"/>
          </w:tcPr>
          <w:p w14:paraId="6CCC0F6B" w14:textId="55A7BD88" w:rsidR="00E50450" w:rsidRPr="00856797" w:rsidRDefault="00E50450" w:rsidP="00E50450">
            <w:pPr>
              <w:pStyle w:val="CETBodytext"/>
              <w:ind w:right="-1"/>
              <w:rPr>
                <w:rFonts w:cs="Arial"/>
                <w:color w:val="000000"/>
                <w:szCs w:val="18"/>
                <w:lang w:val="it-IT"/>
              </w:rPr>
            </w:pPr>
            <w:r>
              <w:rPr>
                <w:rFonts w:cs="Arial"/>
                <w:color w:val="000000"/>
                <w:szCs w:val="18"/>
                <w:lang w:val="en-GB"/>
              </w:rPr>
              <w:t>(</w:t>
            </w:r>
            <w:proofErr w:type="spellStart"/>
            <w:r w:rsidRPr="003809EB">
              <w:rPr>
                <w:rFonts w:cs="Arial"/>
                <w:color w:val="000000"/>
                <w:szCs w:val="18"/>
                <w:lang w:val="en-GB"/>
              </w:rPr>
              <w:t>Letzel</w:t>
            </w:r>
            <w:proofErr w:type="spellEnd"/>
            <w:r w:rsidRPr="003809EB">
              <w:rPr>
                <w:rFonts w:cs="Arial"/>
                <w:color w:val="000000"/>
                <w:szCs w:val="18"/>
                <w:lang w:val="en-GB"/>
              </w:rPr>
              <w:t xml:space="preserve"> et al., 1997)</w:t>
            </w:r>
          </w:p>
        </w:tc>
        <w:tc>
          <w:tcPr>
            <w:tcW w:w="1344" w:type="dxa"/>
            <w:shd w:val="clear" w:color="auto" w:fill="FFFFFF"/>
          </w:tcPr>
          <w:p w14:paraId="6B786FC8" w14:textId="27C25FD0"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06654BDD" w14:textId="6B4B869E" w:rsidR="00E50450" w:rsidRDefault="00E50450" w:rsidP="00E50450">
            <w:pPr>
              <w:pStyle w:val="CETBodytext"/>
              <w:ind w:right="-1"/>
              <w:rPr>
                <w:rFonts w:cs="Arial"/>
                <w:szCs w:val="18"/>
                <w:lang w:val="en-GB"/>
              </w:rPr>
            </w:pPr>
            <w:r>
              <w:rPr>
                <w:rFonts w:cs="Arial"/>
                <w:szCs w:val="18"/>
                <w:lang w:val="en-GB"/>
              </w:rPr>
              <w:t>0.1</w:t>
            </w:r>
            <w:r w:rsidR="00444888">
              <w:rPr>
                <w:rFonts w:cs="Arial"/>
                <w:szCs w:val="18"/>
                <w:lang w:val="en-GB"/>
              </w:rPr>
              <w:t>6</w:t>
            </w:r>
          </w:p>
        </w:tc>
        <w:tc>
          <w:tcPr>
            <w:tcW w:w="916" w:type="dxa"/>
            <w:shd w:val="clear" w:color="auto" w:fill="FFFFFF"/>
          </w:tcPr>
          <w:p w14:paraId="771C08AA" w14:textId="65B624F9" w:rsidR="00E50450" w:rsidRDefault="00E50450" w:rsidP="00E50450">
            <w:pPr>
              <w:pStyle w:val="CETBodytext"/>
              <w:ind w:right="-1"/>
              <w:rPr>
                <w:rFonts w:cs="Arial"/>
                <w:szCs w:val="18"/>
                <w:lang w:val="en-GB"/>
              </w:rPr>
            </w:pPr>
            <w:r>
              <w:rPr>
                <w:rFonts w:cs="Arial"/>
                <w:szCs w:val="18"/>
                <w:lang w:val="en-GB"/>
              </w:rPr>
              <w:t>0.1</w:t>
            </w:r>
            <w:r w:rsidR="00444888">
              <w:rPr>
                <w:rFonts w:cs="Arial"/>
                <w:szCs w:val="18"/>
                <w:lang w:val="en-GB"/>
              </w:rPr>
              <w:t>3</w:t>
            </w:r>
          </w:p>
        </w:tc>
        <w:tc>
          <w:tcPr>
            <w:tcW w:w="1418" w:type="dxa"/>
            <w:shd w:val="clear" w:color="auto" w:fill="FFFFFF"/>
          </w:tcPr>
          <w:p w14:paraId="0985687C" w14:textId="40C6014C"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5E0600F0" w14:textId="48C30170"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275ED141" w14:textId="7C81DD93"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3B951067" w14:textId="77777777" w:rsidTr="00AD4BB5">
        <w:tc>
          <w:tcPr>
            <w:tcW w:w="1843" w:type="dxa"/>
            <w:shd w:val="clear" w:color="auto" w:fill="FFFFFF"/>
          </w:tcPr>
          <w:p w14:paraId="7A55EEE1" w14:textId="4B834351" w:rsidR="00E50450" w:rsidRDefault="00E50450" w:rsidP="00E50450">
            <w:pPr>
              <w:pStyle w:val="CETBodytext"/>
              <w:ind w:right="-1"/>
              <w:rPr>
                <w:rFonts w:cs="Arial"/>
                <w:color w:val="000000"/>
                <w:szCs w:val="18"/>
                <w:lang w:val="en-GB"/>
              </w:rPr>
            </w:pPr>
            <w:r>
              <w:rPr>
                <w:rFonts w:cs="Arial"/>
                <w:color w:val="000000"/>
                <w:szCs w:val="18"/>
                <w:lang w:val="en-GB"/>
              </w:rPr>
              <w:t>(</w:t>
            </w:r>
            <w:proofErr w:type="spellStart"/>
            <w:r w:rsidRPr="003809EB">
              <w:rPr>
                <w:rFonts w:cs="Arial"/>
                <w:color w:val="000000"/>
                <w:szCs w:val="18"/>
                <w:lang w:val="en-GB"/>
              </w:rPr>
              <w:t>Ruzicka</w:t>
            </w:r>
            <w:proofErr w:type="spellEnd"/>
            <w:r w:rsidRPr="003809EB">
              <w:rPr>
                <w:rFonts w:cs="Arial"/>
                <w:color w:val="000000"/>
                <w:szCs w:val="18"/>
                <w:lang w:val="en-GB"/>
              </w:rPr>
              <w:t xml:space="preserve"> et al.</w:t>
            </w:r>
            <w:r>
              <w:rPr>
                <w:rFonts w:cs="Arial"/>
                <w:color w:val="000000"/>
                <w:szCs w:val="18"/>
                <w:lang w:val="en-GB"/>
              </w:rPr>
              <w:t>,</w:t>
            </w:r>
            <w:r w:rsidRPr="003809EB">
              <w:rPr>
                <w:rFonts w:cs="Arial"/>
                <w:color w:val="000000"/>
                <w:szCs w:val="18"/>
                <w:lang w:val="en-GB"/>
              </w:rPr>
              <w:t xml:space="preserve"> 2001</w:t>
            </w:r>
            <w:r>
              <w:rPr>
                <w:rFonts w:cs="Arial"/>
                <w:color w:val="000000"/>
                <w:szCs w:val="18"/>
                <w:lang w:val="en-GB"/>
              </w:rPr>
              <w:t>)</w:t>
            </w:r>
          </w:p>
        </w:tc>
        <w:tc>
          <w:tcPr>
            <w:tcW w:w="1344" w:type="dxa"/>
            <w:shd w:val="clear" w:color="auto" w:fill="FFFFFF"/>
          </w:tcPr>
          <w:p w14:paraId="4DBA3668" w14:textId="407CBD23"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7BC6199B" w14:textId="4B784160" w:rsidR="00E50450" w:rsidRDefault="00E50450" w:rsidP="00E50450">
            <w:pPr>
              <w:pStyle w:val="CETBodytext"/>
              <w:ind w:right="-1"/>
              <w:rPr>
                <w:rFonts w:cs="Arial"/>
                <w:szCs w:val="18"/>
                <w:lang w:val="en-GB"/>
              </w:rPr>
            </w:pPr>
            <w:r>
              <w:rPr>
                <w:rFonts w:cs="Arial"/>
                <w:szCs w:val="18"/>
                <w:lang w:val="en-GB"/>
              </w:rPr>
              <w:t>0.29 – 0.4</w:t>
            </w:r>
            <w:r w:rsidR="00444888">
              <w:rPr>
                <w:rFonts w:cs="Arial"/>
                <w:szCs w:val="18"/>
                <w:lang w:val="en-GB"/>
              </w:rPr>
              <w:t>0</w:t>
            </w:r>
          </w:p>
        </w:tc>
        <w:tc>
          <w:tcPr>
            <w:tcW w:w="916" w:type="dxa"/>
            <w:shd w:val="clear" w:color="auto" w:fill="FFFFFF"/>
          </w:tcPr>
          <w:p w14:paraId="79D149BD" w14:textId="4F5D2688" w:rsidR="00E50450" w:rsidRDefault="00E50450" w:rsidP="00E50450">
            <w:pPr>
              <w:pStyle w:val="CETBodytext"/>
              <w:ind w:right="-1"/>
              <w:rPr>
                <w:rFonts w:cs="Arial"/>
                <w:szCs w:val="18"/>
                <w:lang w:val="en-GB"/>
              </w:rPr>
            </w:pPr>
            <w:r>
              <w:rPr>
                <w:rFonts w:cs="Arial"/>
                <w:szCs w:val="18"/>
                <w:lang w:val="en-GB"/>
              </w:rPr>
              <w:t>0.34</w:t>
            </w:r>
            <m:oMath>
              <m:r>
                <w:rPr>
                  <w:rFonts w:ascii="Cambria Math" w:hAnsi="Cambria Math" w:cs="Arial"/>
                  <w:szCs w:val="18"/>
                  <w:lang w:val="en-GB"/>
                </w:rPr>
                <m:t>→</m:t>
              </m:r>
            </m:oMath>
            <w:r>
              <w:rPr>
                <w:rFonts w:cs="Arial"/>
                <w:szCs w:val="18"/>
                <w:lang w:val="en-GB"/>
              </w:rPr>
              <w:t xml:space="preserve">4.14   </w:t>
            </w:r>
          </w:p>
        </w:tc>
        <w:tc>
          <w:tcPr>
            <w:tcW w:w="1418" w:type="dxa"/>
            <w:shd w:val="clear" w:color="auto" w:fill="FFFFFF"/>
          </w:tcPr>
          <w:p w14:paraId="6D06D05E" w14:textId="64AB5A77"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397497F7" w14:textId="47E22E6A"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48F6B546" w14:textId="2FD332F3"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2879D0C4" w14:textId="77777777" w:rsidTr="00AD4BB5">
        <w:tc>
          <w:tcPr>
            <w:tcW w:w="1843" w:type="dxa"/>
            <w:shd w:val="clear" w:color="auto" w:fill="FFFFFF"/>
          </w:tcPr>
          <w:p w14:paraId="00184AC1" w14:textId="406706F9" w:rsidR="00E50450" w:rsidRPr="00E50450" w:rsidRDefault="00E50450" w:rsidP="00E50450">
            <w:pPr>
              <w:pStyle w:val="CETBodytext"/>
              <w:ind w:right="-1"/>
              <w:rPr>
                <w:rFonts w:cs="Arial"/>
                <w:color w:val="000000"/>
                <w:szCs w:val="18"/>
                <w:lang w:val="it-IT"/>
              </w:rPr>
            </w:pPr>
            <w:r>
              <w:rPr>
                <w:rFonts w:cs="Arial"/>
                <w:color w:val="000000"/>
                <w:szCs w:val="18"/>
                <w:lang w:val="it-IT"/>
              </w:rPr>
              <w:t>(</w:t>
            </w:r>
            <w:proofErr w:type="spellStart"/>
            <w:r>
              <w:rPr>
                <w:rFonts w:cs="Arial"/>
                <w:color w:val="000000"/>
                <w:szCs w:val="18"/>
                <w:lang w:val="it-IT"/>
              </w:rPr>
              <w:t>Vandu</w:t>
            </w:r>
            <w:proofErr w:type="spellEnd"/>
            <w:r>
              <w:rPr>
                <w:rFonts w:cs="Arial"/>
                <w:color w:val="000000"/>
                <w:szCs w:val="18"/>
                <w:lang w:val="it-IT"/>
              </w:rPr>
              <w:t xml:space="preserve"> et al., 2004)</w:t>
            </w:r>
          </w:p>
        </w:tc>
        <w:tc>
          <w:tcPr>
            <w:tcW w:w="1344" w:type="dxa"/>
            <w:shd w:val="clear" w:color="auto" w:fill="FFFFFF"/>
          </w:tcPr>
          <w:p w14:paraId="3EF88B1B" w14:textId="2C4C4CED"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5FFD5F1A" w14:textId="5F70ED7E" w:rsidR="00E50450" w:rsidRDefault="00E50450" w:rsidP="00E50450">
            <w:pPr>
              <w:pStyle w:val="CETBodytext"/>
              <w:ind w:right="-1"/>
              <w:rPr>
                <w:rFonts w:cs="Arial"/>
                <w:szCs w:val="18"/>
                <w:lang w:val="en-GB"/>
              </w:rPr>
            </w:pPr>
            <w:r>
              <w:rPr>
                <w:rFonts w:cs="Arial"/>
                <w:szCs w:val="18"/>
                <w:lang w:val="en-GB"/>
              </w:rPr>
              <w:t>0.15 – 0.4</w:t>
            </w:r>
            <w:r w:rsidR="00444888">
              <w:rPr>
                <w:rFonts w:cs="Arial"/>
                <w:szCs w:val="18"/>
                <w:lang w:val="en-GB"/>
              </w:rPr>
              <w:t>0</w:t>
            </w:r>
          </w:p>
        </w:tc>
        <w:tc>
          <w:tcPr>
            <w:tcW w:w="916" w:type="dxa"/>
            <w:shd w:val="clear" w:color="auto" w:fill="FFFFFF"/>
          </w:tcPr>
          <w:p w14:paraId="16365D30" w14:textId="678B9FE0" w:rsidR="00E50450" w:rsidRDefault="00E50450" w:rsidP="00E50450">
            <w:pPr>
              <w:pStyle w:val="CETBodytext"/>
              <w:ind w:right="-1"/>
              <w:rPr>
                <w:rFonts w:cs="Arial"/>
                <w:szCs w:val="18"/>
                <w:lang w:val="en-GB"/>
              </w:rPr>
            </w:pPr>
            <w:r>
              <w:rPr>
                <w:rFonts w:cs="Arial"/>
                <w:szCs w:val="18"/>
                <w:lang w:val="en-GB"/>
              </w:rPr>
              <w:t>10.67</w:t>
            </w:r>
          </w:p>
        </w:tc>
        <w:tc>
          <w:tcPr>
            <w:tcW w:w="1418" w:type="dxa"/>
            <w:shd w:val="clear" w:color="auto" w:fill="FFFFFF"/>
          </w:tcPr>
          <w:p w14:paraId="3EA1ADC4" w14:textId="565C360C"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5B93FBF0" w14:textId="3B066601"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573507D1" w14:textId="1135F8CF"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33F835AE" w14:textId="77777777" w:rsidTr="00AD4BB5">
        <w:tc>
          <w:tcPr>
            <w:tcW w:w="1843" w:type="dxa"/>
            <w:shd w:val="clear" w:color="auto" w:fill="FFFFFF"/>
          </w:tcPr>
          <w:p w14:paraId="5C67581C" w14:textId="0A75FF5C" w:rsidR="00E50450" w:rsidRDefault="00E50450" w:rsidP="00E50450">
            <w:pPr>
              <w:pStyle w:val="CETBodytext"/>
              <w:ind w:right="-1"/>
              <w:rPr>
                <w:rFonts w:cs="Arial"/>
                <w:color w:val="000000"/>
                <w:szCs w:val="18"/>
                <w:lang w:val="en-GB"/>
              </w:rPr>
            </w:pPr>
            <w:r>
              <w:rPr>
                <w:rFonts w:cs="Arial"/>
                <w:color w:val="000000"/>
                <w:szCs w:val="18"/>
                <w:lang w:val="en-GB"/>
              </w:rPr>
              <w:t>(</w:t>
            </w:r>
            <w:proofErr w:type="spellStart"/>
            <w:r w:rsidRPr="003809EB">
              <w:rPr>
                <w:rFonts w:cs="Arial"/>
                <w:color w:val="000000"/>
                <w:szCs w:val="18"/>
                <w:lang w:val="en-GB"/>
              </w:rPr>
              <w:t>Chilekar</w:t>
            </w:r>
            <w:proofErr w:type="spellEnd"/>
            <w:r w:rsidRPr="003809EB">
              <w:rPr>
                <w:rFonts w:cs="Arial"/>
                <w:color w:val="000000"/>
                <w:szCs w:val="18"/>
                <w:lang w:val="en-GB"/>
              </w:rPr>
              <w:t xml:space="preserve"> et al.</w:t>
            </w:r>
            <w:r w:rsidR="002D73AF">
              <w:rPr>
                <w:rFonts w:cs="Arial"/>
                <w:color w:val="000000"/>
                <w:szCs w:val="18"/>
                <w:lang w:val="en-GB"/>
              </w:rPr>
              <w:t>,</w:t>
            </w:r>
            <w:r w:rsidRPr="003809EB">
              <w:rPr>
                <w:rFonts w:cs="Arial"/>
                <w:color w:val="000000"/>
                <w:szCs w:val="18"/>
                <w:lang w:val="en-GB"/>
              </w:rPr>
              <w:t xml:space="preserve"> 2007</w:t>
            </w:r>
            <w:r>
              <w:rPr>
                <w:rFonts w:cs="Arial"/>
                <w:color w:val="000000"/>
                <w:szCs w:val="18"/>
                <w:lang w:val="en-GB"/>
              </w:rPr>
              <w:t>)</w:t>
            </w:r>
          </w:p>
        </w:tc>
        <w:tc>
          <w:tcPr>
            <w:tcW w:w="1344" w:type="dxa"/>
            <w:shd w:val="clear" w:color="auto" w:fill="FFFFFF"/>
          </w:tcPr>
          <w:p w14:paraId="03AC1FAA" w14:textId="11B7956B" w:rsidR="00E50450" w:rsidRDefault="00E50450" w:rsidP="00E50450">
            <w:pPr>
              <w:pStyle w:val="CETBodytext"/>
              <w:ind w:right="-1"/>
              <w:rPr>
                <w:rFonts w:cs="Arial"/>
                <w:szCs w:val="18"/>
                <w:lang w:val="en-GB"/>
              </w:rPr>
            </w:pPr>
            <w:r>
              <w:rPr>
                <w:rFonts w:cs="Arial"/>
                <w:szCs w:val="18"/>
                <w:lang w:val="en-GB"/>
              </w:rPr>
              <w:t xml:space="preserve">Water </w:t>
            </w:r>
          </w:p>
        </w:tc>
        <w:tc>
          <w:tcPr>
            <w:tcW w:w="1000" w:type="dxa"/>
            <w:shd w:val="clear" w:color="auto" w:fill="FFFFFF"/>
          </w:tcPr>
          <w:p w14:paraId="7D476909" w14:textId="70A7924D" w:rsidR="00E50450" w:rsidRDefault="00E50450" w:rsidP="00E50450">
            <w:pPr>
              <w:pStyle w:val="CETBodytext"/>
              <w:ind w:right="-1"/>
              <w:rPr>
                <w:rFonts w:cs="Arial"/>
                <w:szCs w:val="18"/>
                <w:lang w:val="en-GB"/>
              </w:rPr>
            </w:pPr>
            <w:r>
              <w:rPr>
                <w:rFonts w:cs="Arial"/>
                <w:szCs w:val="18"/>
                <w:lang w:val="en-GB"/>
              </w:rPr>
              <w:t>0.29</w:t>
            </w:r>
          </w:p>
        </w:tc>
        <w:tc>
          <w:tcPr>
            <w:tcW w:w="916" w:type="dxa"/>
            <w:shd w:val="clear" w:color="auto" w:fill="FFFFFF"/>
          </w:tcPr>
          <w:p w14:paraId="37958BE3" w14:textId="2AE8C491" w:rsidR="00E50450" w:rsidRDefault="00E50450" w:rsidP="00E50450">
            <w:pPr>
              <w:pStyle w:val="CETBodytext"/>
              <w:ind w:right="-1"/>
              <w:rPr>
                <w:rFonts w:cs="Arial"/>
                <w:szCs w:val="18"/>
                <w:lang w:val="en-GB"/>
              </w:rPr>
            </w:pPr>
            <w:r>
              <w:rPr>
                <w:rFonts w:cs="Arial"/>
                <w:szCs w:val="18"/>
                <w:lang w:val="en-GB"/>
              </w:rPr>
              <w:t>0.1</w:t>
            </w:r>
            <w:r w:rsidR="00444888">
              <w:rPr>
                <w:rFonts w:cs="Arial"/>
                <w:szCs w:val="18"/>
                <w:lang w:val="en-GB"/>
              </w:rPr>
              <w:t>8</w:t>
            </w:r>
          </w:p>
        </w:tc>
        <w:tc>
          <w:tcPr>
            <w:tcW w:w="1418" w:type="dxa"/>
            <w:shd w:val="clear" w:color="auto" w:fill="FFFFFF"/>
          </w:tcPr>
          <w:p w14:paraId="7F2442A0" w14:textId="65A420DD"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2D1CF90D" w14:textId="25ECE527"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4B8B2430" w14:textId="5B96A598"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617517F5" w14:textId="77777777" w:rsidTr="00AD4BB5">
        <w:tc>
          <w:tcPr>
            <w:tcW w:w="1843" w:type="dxa"/>
            <w:vMerge w:val="restart"/>
            <w:shd w:val="clear" w:color="auto" w:fill="FFFFFF"/>
            <w:vAlign w:val="center"/>
          </w:tcPr>
          <w:p w14:paraId="4C936EE1" w14:textId="65E0A814" w:rsidR="00E50450" w:rsidRPr="00E50450" w:rsidRDefault="00E50450" w:rsidP="00E50450">
            <w:pPr>
              <w:pStyle w:val="CETBodytext"/>
              <w:ind w:right="-1"/>
              <w:rPr>
                <w:rFonts w:cs="Arial"/>
                <w:color w:val="000000"/>
                <w:szCs w:val="18"/>
                <w:lang w:val="it-IT"/>
              </w:rPr>
            </w:pPr>
            <w:r>
              <w:rPr>
                <w:rFonts w:cs="Arial"/>
                <w:color w:val="000000"/>
                <w:szCs w:val="18"/>
                <w:lang w:val="en-GB"/>
              </w:rPr>
              <w:t>(</w:t>
            </w:r>
            <w:proofErr w:type="spellStart"/>
            <w:r w:rsidRPr="003809EB">
              <w:rPr>
                <w:rFonts w:cs="Arial"/>
                <w:color w:val="000000"/>
                <w:szCs w:val="18"/>
                <w:lang w:val="en-GB"/>
              </w:rPr>
              <w:t>Ruzicka</w:t>
            </w:r>
            <w:proofErr w:type="spellEnd"/>
            <w:r w:rsidRPr="003809EB">
              <w:rPr>
                <w:rFonts w:cs="Arial"/>
                <w:color w:val="000000"/>
                <w:szCs w:val="18"/>
                <w:lang w:val="en-GB"/>
              </w:rPr>
              <w:t xml:space="preserve"> et al. 2008</w:t>
            </w:r>
            <w:r>
              <w:rPr>
                <w:rFonts w:cs="Arial"/>
                <w:color w:val="000000"/>
                <w:szCs w:val="18"/>
                <w:lang w:val="en-GB"/>
              </w:rPr>
              <w:t>)</w:t>
            </w:r>
          </w:p>
        </w:tc>
        <w:tc>
          <w:tcPr>
            <w:tcW w:w="1344" w:type="dxa"/>
            <w:shd w:val="clear" w:color="auto" w:fill="FFFFFF"/>
          </w:tcPr>
          <w:p w14:paraId="4F117C1D" w14:textId="79C8F0D5"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6CD33E39" w14:textId="2CCC1D75" w:rsidR="00E50450" w:rsidRDefault="00E50450" w:rsidP="00E50450">
            <w:pPr>
              <w:pStyle w:val="CETBodytext"/>
              <w:ind w:right="-1"/>
              <w:rPr>
                <w:rFonts w:cs="Arial"/>
                <w:szCs w:val="18"/>
                <w:lang w:val="en-GB"/>
              </w:rPr>
            </w:pPr>
            <w:r>
              <w:rPr>
                <w:rFonts w:cs="Arial"/>
                <w:szCs w:val="18"/>
                <w:lang w:val="en-GB"/>
              </w:rPr>
              <w:t>0.15 – 0.38</w:t>
            </w:r>
          </w:p>
        </w:tc>
        <w:tc>
          <w:tcPr>
            <w:tcW w:w="916" w:type="dxa"/>
            <w:shd w:val="clear" w:color="auto" w:fill="FFFFFF"/>
          </w:tcPr>
          <w:p w14:paraId="7F06FACD" w14:textId="32B78589" w:rsidR="00E50450" w:rsidRDefault="00E50450" w:rsidP="00E50450">
            <w:pPr>
              <w:pStyle w:val="CETBodytext"/>
              <w:ind w:right="-1"/>
              <w:rPr>
                <w:rFonts w:cs="Arial"/>
                <w:szCs w:val="18"/>
                <w:lang w:val="en-GB"/>
              </w:rPr>
            </w:pPr>
            <w:r>
              <w:rPr>
                <w:rFonts w:cs="Arial"/>
                <w:szCs w:val="18"/>
                <w:lang w:val="en-GB"/>
              </w:rPr>
              <w:t>2.8</w:t>
            </w:r>
            <w:r w:rsidR="00444888">
              <w:rPr>
                <w:rFonts w:cs="Arial"/>
                <w:szCs w:val="18"/>
                <w:lang w:val="en-GB"/>
              </w:rPr>
              <w:t>6</w:t>
            </w:r>
          </w:p>
        </w:tc>
        <w:tc>
          <w:tcPr>
            <w:tcW w:w="1418" w:type="dxa"/>
            <w:shd w:val="clear" w:color="auto" w:fill="FFFFFF"/>
          </w:tcPr>
          <w:p w14:paraId="49D09278" w14:textId="747E8D20"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618FD325" w14:textId="35F90295"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65A40C34" w14:textId="004F14F9"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50158100" w14:textId="77777777" w:rsidTr="00AD4BB5">
        <w:tc>
          <w:tcPr>
            <w:tcW w:w="1843" w:type="dxa"/>
            <w:vMerge/>
            <w:shd w:val="clear" w:color="auto" w:fill="FFFFFF"/>
          </w:tcPr>
          <w:p w14:paraId="25D591F7" w14:textId="103F100F" w:rsidR="00E50450" w:rsidRPr="002361EB" w:rsidRDefault="00E50450" w:rsidP="00E50450">
            <w:pPr>
              <w:pStyle w:val="CETBodytext"/>
              <w:ind w:right="-1"/>
              <w:rPr>
                <w:rFonts w:cs="Arial"/>
                <w:color w:val="000000"/>
                <w:szCs w:val="18"/>
                <w:lang w:val="en-GB"/>
              </w:rPr>
            </w:pPr>
          </w:p>
        </w:tc>
        <w:tc>
          <w:tcPr>
            <w:tcW w:w="1344" w:type="dxa"/>
            <w:shd w:val="clear" w:color="auto" w:fill="FFFFFF"/>
          </w:tcPr>
          <w:p w14:paraId="0D4D82DB" w14:textId="785EFADA" w:rsidR="00E50450" w:rsidRPr="00ED3C90" w:rsidRDefault="00E50450" w:rsidP="00E50450">
            <w:pPr>
              <w:pStyle w:val="CETBodytext"/>
              <w:ind w:right="-1"/>
              <w:rPr>
                <w:rFonts w:cs="Arial"/>
                <w:iCs/>
                <w:szCs w:val="18"/>
                <w:lang w:val="en-GB"/>
              </w:rPr>
            </w:pPr>
            <m:oMath>
              <m:r>
                <m:rPr>
                  <m:sty m:val="p"/>
                </m:rPr>
                <w:rPr>
                  <w:rFonts w:ascii="Cambria Math" w:hAnsi="Cambria Math" w:cs="Arial"/>
                  <w:szCs w:val="18"/>
                  <w:lang w:val="en-GB"/>
                </w:rPr>
                <m:t>CaC</m:t>
              </m:r>
              <m:sSub>
                <m:sSubPr>
                  <m:ctrlPr>
                    <w:rPr>
                      <w:rFonts w:ascii="Cambria Math" w:hAnsi="Cambria Math" w:cs="Arial"/>
                      <w:iCs/>
                      <w:szCs w:val="18"/>
                      <w:lang w:val="en-GB"/>
                    </w:rPr>
                  </m:ctrlPr>
                </m:sSubPr>
                <m:e>
                  <m:r>
                    <m:rPr>
                      <m:sty m:val="p"/>
                    </m:rPr>
                    <w:rPr>
                      <w:rFonts w:ascii="Cambria Math" w:hAnsi="Cambria Math" w:cs="Arial"/>
                      <w:szCs w:val="18"/>
                      <w:lang w:val="en-GB"/>
                    </w:rPr>
                    <m:t>l</m:t>
                  </m:r>
                </m:e>
                <m:sub>
                  <m:r>
                    <m:rPr>
                      <m:sty m:val="p"/>
                    </m:rPr>
                    <w:rPr>
                      <w:rFonts w:ascii="Cambria Math" w:hAnsi="Cambria Math" w:cs="Arial"/>
                      <w:szCs w:val="18"/>
                      <w:lang w:val="en-GB"/>
                    </w:rPr>
                    <m:t>2</m:t>
                  </m:r>
                </m:sub>
              </m:sSub>
            </m:oMath>
            <w:r w:rsidRPr="00ED3C90">
              <w:rPr>
                <w:rFonts w:cs="Arial"/>
                <w:iCs/>
                <w:szCs w:val="18"/>
                <w:lang w:val="en-GB"/>
              </w:rPr>
              <w:t xml:space="preserve"> </w:t>
            </w:r>
            <w:r>
              <w:rPr>
                <w:rFonts w:cs="Arial"/>
                <w:iCs/>
                <w:szCs w:val="18"/>
                <w:lang w:val="en-GB"/>
              </w:rPr>
              <w:t>solution</w:t>
            </w:r>
          </w:p>
        </w:tc>
        <w:tc>
          <w:tcPr>
            <w:tcW w:w="1000" w:type="dxa"/>
            <w:shd w:val="clear" w:color="auto" w:fill="FFFFFF"/>
          </w:tcPr>
          <w:p w14:paraId="71A1C207" w14:textId="6E4802AD" w:rsidR="00E50450" w:rsidRDefault="00E50450" w:rsidP="00E50450">
            <w:pPr>
              <w:pStyle w:val="CETBodytext"/>
              <w:ind w:right="-1"/>
              <w:rPr>
                <w:rFonts w:cs="Arial"/>
                <w:szCs w:val="18"/>
                <w:lang w:val="en-GB"/>
              </w:rPr>
            </w:pPr>
            <w:r>
              <w:rPr>
                <w:rFonts w:cs="Arial"/>
                <w:szCs w:val="18"/>
                <w:lang w:val="en-GB"/>
              </w:rPr>
              <w:t>0.14</w:t>
            </w:r>
          </w:p>
        </w:tc>
        <w:tc>
          <w:tcPr>
            <w:tcW w:w="916" w:type="dxa"/>
            <w:shd w:val="clear" w:color="auto" w:fill="FFFFFF"/>
          </w:tcPr>
          <w:p w14:paraId="659D88C4" w14:textId="12809977" w:rsidR="00E50450" w:rsidRDefault="00E50450" w:rsidP="00E50450">
            <w:pPr>
              <w:pStyle w:val="CETBodytext"/>
              <w:ind w:right="-1"/>
              <w:rPr>
                <w:rFonts w:cs="Arial"/>
                <w:szCs w:val="18"/>
                <w:lang w:val="en-GB"/>
              </w:rPr>
            </w:pPr>
            <w:r>
              <w:rPr>
                <w:rFonts w:cs="Arial"/>
                <w:szCs w:val="18"/>
                <w:lang w:val="en-GB"/>
              </w:rPr>
              <w:t>2.8</w:t>
            </w:r>
            <w:r w:rsidR="00444888">
              <w:rPr>
                <w:rFonts w:cs="Arial"/>
                <w:szCs w:val="18"/>
                <w:lang w:val="en-GB"/>
              </w:rPr>
              <w:t>6</w:t>
            </w:r>
          </w:p>
        </w:tc>
        <w:tc>
          <w:tcPr>
            <w:tcW w:w="1418" w:type="dxa"/>
            <w:shd w:val="clear" w:color="auto" w:fill="FFFFFF"/>
          </w:tcPr>
          <w:p w14:paraId="6794BBB7" w14:textId="38CDE907"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4FF246A1" w14:textId="708240CA"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1C8C5E97" w14:textId="766039B5"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752D6B30" w14:textId="77777777" w:rsidTr="00AD4BB5">
        <w:tc>
          <w:tcPr>
            <w:tcW w:w="1843" w:type="dxa"/>
            <w:shd w:val="clear" w:color="auto" w:fill="FFFFFF"/>
          </w:tcPr>
          <w:p w14:paraId="72B1578D" w14:textId="64FE0F4E" w:rsidR="00E50450" w:rsidRPr="00E50450" w:rsidRDefault="00E50450" w:rsidP="00E50450">
            <w:pPr>
              <w:pStyle w:val="CETBodytext"/>
              <w:ind w:right="-1"/>
              <w:rPr>
                <w:rFonts w:cs="Arial"/>
                <w:color w:val="000000"/>
                <w:szCs w:val="18"/>
                <w:lang w:val="it-IT"/>
              </w:rPr>
            </w:pPr>
            <w:r>
              <w:rPr>
                <w:rFonts w:cs="Arial"/>
                <w:color w:val="000000"/>
                <w:szCs w:val="18"/>
                <w:lang w:val="it-IT"/>
              </w:rPr>
              <w:t>(Sal et al., 2013)</w:t>
            </w:r>
          </w:p>
        </w:tc>
        <w:tc>
          <w:tcPr>
            <w:tcW w:w="1344" w:type="dxa"/>
            <w:shd w:val="clear" w:color="auto" w:fill="FFFFFF"/>
          </w:tcPr>
          <w:p w14:paraId="1878C232" w14:textId="07982756" w:rsidR="00E50450" w:rsidRPr="00A34FFE"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6BBEC94F" w14:textId="6C529E43" w:rsidR="00E50450" w:rsidRDefault="00E50450" w:rsidP="00E50450">
            <w:pPr>
              <w:pStyle w:val="CETBodytext"/>
              <w:ind w:right="-1"/>
              <w:rPr>
                <w:rFonts w:cs="Arial"/>
                <w:szCs w:val="18"/>
                <w:lang w:val="en-GB"/>
              </w:rPr>
            </w:pPr>
            <w:r>
              <w:rPr>
                <w:rFonts w:cs="Arial"/>
                <w:szCs w:val="18"/>
                <w:lang w:val="en-GB"/>
              </w:rPr>
              <w:t>0.33</w:t>
            </w:r>
          </w:p>
        </w:tc>
        <w:tc>
          <w:tcPr>
            <w:tcW w:w="916" w:type="dxa"/>
            <w:shd w:val="clear" w:color="auto" w:fill="FFFFFF"/>
          </w:tcPr>
          <w:p w14:paraId="113DD10A" w14:textId="388E557E" w:rsidR="00E50450" w:rsidRDefault="00E50450" w:rsidP="00E50450">
            <w:pPr>
              <w:pStyle w:val="CETBodytext"/>
              <w:ind w:right="-1"/>
              <w:rPr>
                <w:rFonts w:cs="Arial"/>
                <w:szCs w:val="18"/>
                <w:lang w:val="en-GB"/>
              </w:rPr>
            </w:pPr>
            <w:r>
              <w:rPr>
                <w:rFonts w:cs="Arial"/>
                <w:szCs w:val="18"/>
                <w:lang w:val="en-GB"/>
              </w:rPr>
              <w:t>1</w:t>
            </w:r>
          </w:p>
        </w:tc>
        <w:tc>
          <w:tcPr>
            <w:tcW w:w="1418" w:type="dxa"/>
            <w:shd w:val="clear" w:color="auto" w:fill="FFFFFF"/>
          </w:tcPr>
          <w:p w14:paraId="0B89317F" w14:textId="4C9EBC47"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293C85D8" w14:textId="00A9C836" w:rsidR="00E50450" w:rsidRDefault="00E50450" w:rsidP="00E50450">
            <w:pPr>
              <w:pStyle w:val="CETBodytext"/>
              <w:ind w:right="-1"/>
              <w:rPr>
                <w:rFonts w:cs="Arial"/>
                <w:szCs w:val="18"/>
                <w:lang w:val="en-GB"/>
              </w:rPr>
            </w:pPr>
            <w:r>
              <w:rPr>
                <w:rFonts w:cs="Arial"/>
                <w:szCs w:val="18"/>
                <w:lang w:val="en-GB"/>
              </w:rPr>
              <w:t>1</w:t>
            </w:r>
          </w:p>
        </w:tc>
        <w:tc>
          <w:tcPr>
            <w:tcW w:w="1978" w:type="dxa"/>
            <w:shd w:val="clear" w:color="auto" w:fill="FFFFFF"/>
          </w:tcPr>
          <w:p w14:paraId="11E7657F" w14:textId="7CE4EF1F"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372B96FD" w14:textId="77777777" w:rsidTr="00AD4BB5">
        <w:tc>
          <w:tcPr>
            <w:tcW w:w="1843" w:type="dxa"/>
            <w:vMerge w:val="restart"/>
            <w:shd w:val="clear" w:color="auto" w:fill="FFFFFF"/>
            <w:vAlign w:val="center"/>
          </w:tcPr>
          <w:p w14:paraId="57471184" w14:textId="5DCA0737" w:rsidR="00E50450" w:rsidRPr="00B13F38" w:rsidRDefault="00057838" w:rsidP="00E50450">
            <w:pPr>
              <w:pStyle w:val="CETBodytext"/>
              <w:ind w:right="-1"/>
              <w:rPr>
                <w:rFonts w:cs="Arial"/>
                <w:color w:val="000000"/>
                <w:szCs w:val="18"/>
                <w:lang w:val="en-GB"/>
              </w:rPr>
            </w:pPr>
            <w:r>
              <w:rPr>
                <w:rFonts w:cs="Arial"/>
                <w:color w:val="000000"/>
                <w:szCs w:val="18"/>
                <w:lang w:val="en-GB"/>
              </w:rPr>
              <w:t>(Besagni, 2021)</w:t>
            </w:r>
          </w:p>
        </w:tc>
        <w:tc>
          <w:tcPr>
            <w:tcW w:w="1344" w:type="dxa"/>
            <w:shd w:val="clear" w:color="auto" w:fill="FFFFFF"/>
          </w:tcPr>
          <w:p w14:paraId="5C77D4DC" w14:textId="7DA31C56"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7C2DE8F0" w14:textId="673B5734"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084E4A68" w14:textId="2DFF23DA" w:rsidR="00E50450" w:rsidRDefault="00E50450" w:rsidP="00E50450">
            <w:pPr>
              <w:pStyle w:val="CETBodytext"/>
              <w:ind w:right="-1"/>
              <w:rPr>
                <w:rFonts w:cs="Arial"/>
                <w:szCs w:val="18"/>
                <w:lang w:val="en-GB"/>
              </w:rPr>
            </w:pPr>
            <w:r>
              <w:rPr>
                <w:rFonts w:cs="Arial"/>
                <w:szCs w:val="18"/>
                <w:lang w:val="en-GB"/>
              </w:rPr>
              <w:t>1</w:t>
            </w:r>
            <m:oMath>
              <m:r>
                <w:rPr>
                  <w:rFonts w:ascii="Cambria Math" w:hAnsi="Cambria Math" w:cs="Arial"/>
                  <w:szCs w:val="18"/>
                  <w:lang w:val="en-GB"/>
                </w:rPr>
                <m:t>→</m:t>
              </m:r>
            </m:oMath>
            <w:r>
              <w:rPr>
                <w:rFonts w:cs="Arial"/>
                <w:szCs w:val="18"/>
                <w:lang w:val="en-GB"/>
              </w:rPr>
              <w:t>15</w:t>
            </w:r>
          </w:p>
        </w:tc>
        <w:tc>
          <w:tcPr>
            <w:tcW w:w="1418" w:type="dxa"/>
            <w:shd w:val="clear" w:color="auto" w:fill="FFFFFF"/>
          </w:tcPr>
          <w:p w14:paraId="3E893E24" w14:textId="639FDC34"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3221B40F" w14:textId="20696062"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52057A24" w14:textId="76014A7D"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6C2DE31D" w14:textId="77777777" w:rsidTr="00AD4BB5">
        <w:tc>
          <w:tcPr>
            <w:tcW w:w="1843" w:type="dxa"/>
            <w:vMerge/>
            <w:shd w:val="clear" w:color="auto" w:fill="FFFFFF"/>
          </w:tcPr>
          <w:p w14:paraId="0DCCEB60"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096E6FF6" w14:textId="7A902EBF"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6CC9D8AD" w14:textId="085E4B54"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168A5A6A" w14:textId="247C8566" w:rsidR="00E50450" w:rsidRDefault="00E50450" w:rsidP="00E50450">
            <w:pPr>
              <w:pStyle w:val="CETBodytext"/>
              <w:ind w:right="-1"/>
              <w:rPr>
                <w:rFonts w:cs="Arial"/>
                <w:szCs w:val="18"/>
                <w:lang w:val="en-GB"/>
              </w:rPr>
            </w:pPr>
            <w:r>
              <w:rPr>
                <w:rFonts w:cs="Arial"/>
                <w:szCs w:val="18"/>
                <w:lang w:val="en-GB"/>
              </w:rPr>
              <w:t>1</w:t>
            </w:r>
            <m:oMath>
              <m:r>
                <w:rPr>
                  <w:rFonts w:ascii="Cambria Math" w:hAnsi="Cambria Math" w:cs="Arial"/>
                  <w:szCs w:val="18"/>
                  <w:lang w:val="en-GB"/>
                </w:rPr>
                <m:t>→</m:t>
              </m:r>
            </m:oMath>
            <w:r>
              <w:rPr>
                <w:rFonts w:cs="Arial"/>
                <w:szCs w:val="18"/>
                <w:lang w:val="en-GB"/>
              </w:rPr>
              <w:t>15</w:t>
            </w:r>
          </w:p>
        </w:tc>
        <w:tc>
          <w:tcPr>
            <w:tcW w:w="1418" w:type="dxa"/>
            <w:shd w:val="clear" w:color="auto" w:fill="FFFFFF"/>
          </w:tcPr>
          <w:p w14:paraId="54BB47D5" w14:textId="58165027" w:rsidR="00E50450" w:rsidRDefault="00E50450" w:rsidP="00E50450">
            <w:pPr>
              <w:pStyle w:val="CETBodytext"/>
              <w:ind w:right="-1"/>
              <w:rPr>
                <w:rFonts w:cs="Arial"/>
                <w:szCs w:val="18"/>
                <w:lang w:val="en-GB"/>
              </w:rPr>
            </w:pPr>
            <w:r>
              <w:rPr>
                <w:rFonts w:cs="Arial"/>
                <w:szCs w:val="18"/>
                <w:lang w:val="en-GB"/>
              </w:rPr>
              <w:t>Perforated plate</w:t>
            </w:r>
          </w:p>
        </w:tc>
        <w:tc>
          <w:tcPr>
            <w:tcW w:w="709" w:type="dxa"/>
            <w:shd w:val="clear" w:color="auto" w:fill="FFFFFF"/>
          </w:tcPr>
          <w:p w14:paraId="2FBFA07B" w14:textId="591DA64F" w:rsidR="00E50450" w:rsidRDefault="00E50450" w:rsidP="00E50450">
            <w:pPr>
              <w:pStyle w:val="CETBodytext"/>
              <w:ind w:right="-1"/>
              <w:rPr>
                <w:rFonts w:cs="Arial"/>
                <w:szCs w:val="18"/>
                <w:lang w:val="en-GB"/>
              </w:rPr>
            </w:pPr>
            <w:r>
              <w:rPr>
                <w:rFonts w:cs="Arial"/>
                <w:szCs w:val="18"/>
                <w:lang w:val="en-GB"/>
              </w:rPr>
              <w:t>1</w:t>
            </w:r>
          </w:p>
        </w:tc>
        <w:tc>
          <w:tcPr>
            <w:tcW w:w="1978" w:type="dxa"/>
            <w:shd w:val="clear" w:color="auto" w:fill="FFFFFF"/>
          </w:tcPr>
          <w:p w14:paraId="657C49F3" w14:textId="77E511E3"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32004109" w14:textId="77777777" w:rsidTr="00AD4BB5">
        <w:tc>
          <w:tcPr>
            <w:tcW w:w="1843" w:type="dxa"/>
            <w:vMerge/>
            <w:shd w:val="clear" w:color="auto" w:fill="FFFFFF"/>
          </w:tcPr>
          <w:p w14:paraId="4733F1B3"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2ECC2989" w14:textId="598024DC"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69622783" w14:textId="2412E89C"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7592B603" w14:textId="0472769A" w:rsidR="00E50450" w:rsidRDefault="00E50450" w:rsidP="00E50450">
            <w:pPr>
              <w:pStyle w:val="CETBodytext"/>
              <w:ind w:right="-1"/>
              <w:rPr>
                <w:rFonts w:cs="Arial"/>
                <w:szCs w:val="18"/>
                <w:lang w:val="en-GB"/>
              </w:rPr>
            </w:pPr>
            <w:r>
              <w:rPr>
                <w:rFonts w:cs="Arial"/>
                <w:szCs w:val="18"/>
                <w:lang w:val="en-GB"/>
              </w:rPr>
              <w:t>1</w:t>
            </w:r>
            <m:oMath>
              <m:r>
                <w:rPr>
                  <w:rFonts w:ascii="Cambria Math" w:hAnsi="Cambria Math" w:cs="Arial"/>
                  <w:szCs w:val="18"/>
                  <w:lang w:val="en-GB"/>
                </w:rPr>
                <m:t>→</m:t>
              </m:r>
            </m:oMath>
            <w:r>
              <w:rPr>
                <w:rFonts w:cs="Arial"/>
                <w:szCs w:val="18"/>
                <w:lang w:val="en-GB"/>
              </w:rPr>
              <w:t>15</w:t>
            </w:r>
          </w:p>
        </w:tc>
        <w:tc>
          <w:tcPr>
            <w:tcW w:w="1418" w:type="dxa"/>
            <w:shd w:val="clear" w:color="auto" w:fill="FFFFFF"/>
          </w:tcPr>
          <w:p w14:paraId="185D80BC" w14:textId="27EA07F5" w:rsidR="00E50450" w:rsidRDefault="00E50450" w:rsidP="00E50450">
            <w:pPr>
              <w:pStyle w:val="CETBodytext"/>
              <w:ind w:right="-1"/>
              <w:rPr>
                <w:rFonts w:cs="Arial"/>
                <w:szCs w:val="18"/>
                <w:lang w:val="en-GB"/>
              </w:rPr>
            </w:pPr>
            <w:r>
              <w:rPr>
                <w:rFonts w:cs="Arial"/>
                <w:szCs w:val="18"/>
                <w:lang w:val="en-GB"/>
              </w:rPr>
              <w:t>Needle</w:t>
            </w:r>
          </w:p>
        </w:tc>
        <w:tc>
          <w:tcPr>
            <w:tcW w:w="709" w:type="dxa"/>
            <w:shd w:val="clear" w:color="auto" w:fill="FFFFFF"/>
          </w:tcPr>
          <w:p w14:paraId="562078A6" w14:textId="2863A200" w:rsidR="00E50450" w:rsidRDefault="00E50450" w:rsidP="00E50450">
            <w:pPr>
              <w:pStyle w:val="CETBodytext"/>
              <w:ind w:right="-1"/>
              <w:rPr>
                <w:rFonts w:cs="Arial"/>
                <w:szCs w:val="18"/>
                <w:lang w:val="en-GB"/>
              </w:rPr>
            </w:pPr>
            <w:r>
              <w:rPr>
                <w:rFonts w:cs="Arial"/>
                <w:szCs w:val="18"/>
                <w:lang w:val="en-GB"/>
              </w:rPr>
              <w:t>0.5</w:t>
            </w:r>
          </w:p>
        </w:tc>
        <w:tc>
          <w:tcPr>
            <w:tcW w:w="1978" w:type="dxa"/>
            <w:shd w:val="clear" w:color="auto" w:fill="FFFFFF"/>
          </w:tcPr>
          <w:p w14:paraId="36C155AB" w14:textId="65FAD647"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67C12879" w14:textId="77777777" w:rsidTr="00AD4BB5">
        <w:tc>
          <w:tcPr>
            <w:tcW w:w="1843" w:type="dxa"/>
            <w:vMerge/>
            <w:shd w:val="clear" w:color="auto" w:fill="FFFFFF"/>
          </w:tcPr>
          <w:p w14:paraId="1A94CC27"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5968BF78" w14:textId="66B770A1"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22864D7D" w14:textId="2668AB61"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155787A9" w14:textId="18836861" w:rsidR="00E50450" w:rsidRDefault="00E50450" w:rsidP="00E50450">
            <w:pPr>
              <w:pStyle w:val="CETBodytext"/>
              <w:ind w:right="-1"/>
              <w:rPr>
                <w:rFonts w:cs="Arial"/>
                <w:szCs w:val="18"/>
                <w:lang w:val="en-GB"/>
              </w:rPr>
            </w:pPr>
            <w:r>
              <w:rPr>
                <w:rFonts w:cs="Arial"/>
                <w:szCs w:val="18"/>
                <w:lang w:val="en-GB"/>
              </w:rPr>
              <w:t>1</w:t>
            </w:r>
            <m:oMath>
              <m:r>
                <w:rPr>
                  <w:rFonts w:ascii="Cambria Math" w:hAnsi="Cambria Math" w:cs="Arial"/>
                  <w:szCs w:val="18"/>
                  <w:lang w:val="en-GB"/>
                </w:rPr>
                <m:t>→</m:t>
              </m:r>
            </m:oMath>
            <w:r>
              <w:rPr>
                <w:rFonts w:cs="Arial"/>
                <w:szCs w:val="18"/>
                <w:lang w:val="en-GB"/>
              </w:rPr>
              <w:t>15</w:t>
            </w:r>
          </w:p>
        </w:tc>
        <w:tc>
          <w:tcPr>
            <w:tcW w:w="1418" w:type="dxa"/>
            <w:shd w:val="clear" w:color="auto" w:fill="FFFFFF"/>
          </w:tcPr>
          <w:p w14:paraId="59FC0A4D" w14:textId="719135D5" w:rsidR="00E50450" w:rsidRDefault="00E50450" w:rsidP="00E50450">
            <w:pPr>
              <w:pStyle w:val="CETBodytext"/>
              <w:ind w:right="-1"/>
              <w:rPr>
                <w:rFonts w:cs="Arial"/>
                <w:szCs w:val="18"/>
                <w:lang w:val="en-GB"/>
              </w:rPr>
            </w:pPr>
            <w:r>
              <w:rPr>
                <w:rFonts w:cs="Arial"/>
                <w:szCs w:val="18"/>
                <w:lang w:val="en-GB"/>
              </w:rPr>
              <w:t>Spider</w:t>
            </w:r>
          </w:p>
        </w:tc>
        <w:tc>
          <w:tcPr>
            <w:tcW w:w="709" w:type="dxa"/>
            <w:shd w:val="clear" w:color="auto" w:fill="FFFFFF"/>
          </w:tcPr>
          <w:p w14:paraId="352416BF" w14:textId="2C44524B" w:rsidR="00E50450" w:rsidRDefault="00E50450" w:rsidP="00E50450">
            <w:pPr>
              <w:pStyle w:val="CETBodytext"/>
              <w:ind w:right="-1"/>
              <w:rPr>
                <w:rFonts w:cs="Arial"/>
                <w:szCs w:val="18"/>
                <w:lang w:val="en-GB"/>
              </w:rPr>
            </w:pPr>
            <w:r>
              <w:rPr>
                <w:rFonts w:cs="Arial"/>
                <w:szCs w:val="18"/>
                <w:lang w:val="en-GB"/>
              </w:rPr>
              <w:t>2</w:t>
            </w:r>
            <m:oMath>
              <m:r>
                <w:rPr>
                  <w:rFonts w:ascii="Cambria Math" w:hAnsi="Cambria Math" w:cs="Arial"/>
                  <w:szCs w:val="18"/>
                  <w:lang w:val="en-GB"/>
                </w:rPr>
                <m:t>→</m:t>
              </m:r>
            </m:oMath>
            <w:r>
              <w:rPr>
                <w:rFonts w:cs="Arial"/>
                <w:szCs w:val="18"/>
                <w:lang w:val="en-GB"/>
              </w:rPr>
              <w:t>4</w:t>
            </w:r>
          </w:p>
        </w:tc>
        <w:tc>
          <w:tcPr>
            <w:tcW w:w="1978" w:type="dxa"/>
            <w:shd w:val="clear" w:color="auto" w:fill="FFFFFF"/>
          </w:tcPr>
          <w:p w14:paraId="44897102" w14:textId="5C0E9D4E"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3E17472B" w14:textId="77777777" w:rsidTr="00AD4BB5">
        <w:tc>
          <w:tcPr>
            <w:tcW w:w="1843" w:type="dxa"/>
            <w:vMerge/>
            <w:shd w:val="clear" w:color="auto" w:fill="FFFFFF"/>
          </w:tcPr>
          <w:p w14:paraId="2A7FB598"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00666429" w14:textId="06518DF8" w:rsidR="00E50450" w:rsidRDefault="00E50450" w:rsidP="00E50450">
            <w:pPr>
              <w:pStyle w:val="CETBodytext"/>
              <w:ind w:right="-1"/>
              <w:rPr>
                <w:rFonts w:cs="Arial"/>
                <w:szCs w:val="18"/>
                <w:lang w:val="en-GB"/>
              </w:rPr>
            </w:pPr>
            <w:r>
              <w:rPr>
                <w:rFonts w:cs="Arial"/>
                <w:szCs w:val="18"/>
                <w:lang w:val="en-GB"/>
              </w:rPr>
              <w:t>Water</w:t>
            </w:r>
          </w:p>
        </w:tc>
        <w:tc>
          <w:tcPr>
            <w:tcW w:w="1000" w:type="dxa"/>
            <w:shd w:val="clear" w:color="auto" w:fill="FFFFFF"/>
          </w:tcPr>
          <w:p w14:paraId="731D277F" w14:textId="1B225F91"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40813297" w14:textId="69E5CE42" w:rsidR="00E50450" w:rsidRDefault="00E50450" w:rsidP="00E50450">
            <w:pPr>
              <w:pStyle w:val="CETBodytext"/>
              <w:ind w:right="-1"/>
              <w:rPr>
                <w:rFonts w:cs="Arial"/>
                <w:szCs w:val="18"/>
                <w:lang w:val="en-GB"/>
              </w:rPr>
            </w:pPr>
            <w:r>
              <w:rPr>
                <w:rFonts w:cs="Arial"/>
                <w:szCs w:val="18"/>
                <w:lang w:val="en-GB"/>
              </w:rPr>
              <w:t>12.5</w:t>
            </w:r>
          </w:p>
        </w:tc>
        <w:tc>
          <w:tcPr>
            <w:tcW w:w="1418" w:type="dxa"/>
            <w:shd w:val="clear" w:color="auto" w:fill="FFFFFF"/>
          </w:tcPr>
          <w:p w14:paraId="377EB208" w14:textId="2C4FADA1" w:rsidR="00E50450" w:rsidRDefault="00E50450" w:rsidP="00E50450">
            <w:pPr>
              <w:pStyle w:val="CETBodytext"/>
              <w:ind w:right="-1"/>
              <w:rPr>
                <w:rFonts w:cs="Arial"/>
                <w:szCs w:val="18"/>
                <w:lang w:val="en-GB"/>
              </w:rPr>
            </w:pPr>
            <w:r>
              <w:rPr>
                <w:rFonts w:cs="Arial"/>
                <w:szCs w:val="18"/>
                <w:lang w:val="en-GB"/>
              </w:rPr>
              <w:t>Pipe sparger</w:t>
            </w:r>
          </w:p>
        </w:tc>
        <w:tc>
          <w:tcPr>
            <w:tcW w:w="709" w:type="dxa"/>
            <w:shd w:val="clear" w:color="auto" w:fill="FFFFFF"/>
          </w:tcPr>
          <w:p w14:paraId="1280BB52" w14:textId="3026A294" w:rsidR="00E50450" w:rsidRDefault="00E50450" w:rsidP="00E50450">
            <w:pPr>
              <w:pStyle w:val="CETBodytext"/>
              <w:ind w:right="-1"/>
              <w:rPr>
                <w:rFonts w:cs="Arial"/>
                <w:szCs w:val="18"/>
                <w:lang w:val="en-GB"/>
              </w:rPr>
            </w:pPr>
            <w:r>
              <w:rPr>
                <w:rFonts w:cs="Arial"/>
                <w:szCs w:val="18"/>
                <w:lang w:val="en-GB"/>
              </w:rPr>
              <w:t>3</w:t>
            </w:r>
          </w:p>
        </w:tc>
        <w:tc>
          <w:tcPr>
            <w:tcW w:w="1978" w:type="dxa"/>
            <w:shd w:val="clear" w:color="auto" w:fill="FFFFFF"/>
          </w:tcPr>
          <w:p w14:paraId="7BCB9D18" w14:textId="221467D0" w:rsidR="00E50450" w:rsidRDefault="00E50450" w:rsidP="00E50450">
            <w:pPr>
              <w:pStyle w:val="CETBodytext"/>
              <w:ind w:right="-1"/>
              <w:rPr>
                <w:rFonts w:cs="Arial"/>
                <w:szCs w:val="18"/>
                <w:lang w:val="en-GB"/>
              </w:rPr>
            </w:pPr>
            <w:r>
              <w:rPr>
                <w:rFonts w:cs="Arial"/>
                <w:szCs w:val="18"/>
                <w:lang w:val="en-GB"/>
              </w:rPr>
              <w:t>Open tube–annular gap;</w:t>
            </w:r>
          </w:p>
          <w:p w14:paraId="6F9EE72B" w14:textId="2989C366" w:rsidR="00E50450" w:rsidRDefault="00E50450" w:rsidP="00E50450">
            <w:pPr>
              <w:pStyle w:val="CETBodytext"/>
              <w:ind w:right="-1"/>
              <w:rPr>
                <w:rFonts w:cs="Arial"/>
                <w:szCs w:val="18"/>
                <w:lang w:val="en-GB"/>
              </w:rPr>
            </w:pPr>
            <w:r>
              <w:rPr>
                <w:rFonts w:cs="Arial"/>
                <w:szCs w:val="18"/>
                <w:lang w:val="en-GB"/>
              </w:rPr>
              <w:t xml:space="preserve">batch–counter-current    </w:t>
            </w:r>
          </w:p>
        </w:tc>
      </w:tr>
      <w:tr w:rsidR="00E50450" w:rsidRPr="00B57B36" w14:paraId="0207CF48" w14:textId="77777777" w:rsidTr="00AD4BB5">
        <w:tc>
          <w:tcPr>
            <w:tcW w:w="1843" w:type="dxa"/>
            <w:vMerge/>
            <w:shd w:val="clear" w:color="auto" w:fill="FFFFFF"/>
          </w:tcPr>
          <w:p w14:paraId="6C916740"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213305C0" w14:textId="66178A42" w:rsidR="00E50450" w:rsidRDefault="00E50450" w:rsidP="00E50450">
            <w:pPr>
              <w:pStyle w:val="CETBodytext"/>
              <w:ind w:right="-1"/>
              <w:rPr>
                <w:rFonts w:cs="Arial"/>
                <w:szCs w:val="18"/>
                <w:lang w:val="en-GB"/>
              </w:rPr>
            </w:pPr>
            <m:oMath>
              <m:r>
                <m:rPr>
                  <m:sty m:val="p"/>
                </m:rPr>
                <w:rPr>
                  <w:rFonts w:ascii="Cambria Math" w:hAnsi="Cambria Math" w:cs="Arial"/>
                  <w:szCs w:val="18"/>
                  <w:lang w:val="en-GB"/>
                </w:rPr>
                <m:t>NaCl</m:t>
              </m:r>
            </m:oMath>
            <w:r w:rsidRPr="00ED3C90">
              <w:rPr>
                <w:rFonts w:cs="Arial"/>
                <w:iCs/>
                <w:szCs w:val="18"/>
                <w:lang w:val="en-GB"/>
              </w:rPr>
              <w:t xml:space="preserve"> </w:t>
            </w:r>
            <w:r>
              <w:rPr>
                <w:rFonts w:cs="Arial"/>
                <w:iCs/>
                <w:szCs w:val="18"/>
                <w:lang w:val="en-GB"/>
              </w:rPr>
              <w:t>solution</w:t>
            </w:r>
          </w:p>
        </w:tc>
        <w:tc>
          <w:tcPr>
            <w:tcW w:w="1000" w:type="dxa"/>
            <w:shd w:val="clear" w:color="auto" w:fill="FFFFFF"/>
          </w:tcPr>
          <w:p w14:paraId="3D706833" w14:textId="69C420E0"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1C5A3104" w14:textId="104CA61F" w:rsidR="00E50450" w:rsidRDefault="00E50450" w:rsidP="00E50450">
            <w:pPr>
              <w:pStyle w:val="CETBodytext"/>
              <w:ind w:right="-1"/>
              <w:rPr>
                <w:rFonts w:cs="Arial"/>
                <w:szCs w:val="18"/>
                <w:lang w:val="en-GB"/>
              </w:rPr>
            </w:pPr>
            <m:oMath>
              <m:r>
                <w:rPr>
                  <w:rFonts w:ascii="Cambria Math" w:hAnsi="Cambria Math" w:cs="Arial"/>
                  <w:szCs w:val="18"/>
                  <w:lang w:val="en-GB"/>
                </w:rPr>
                <m:t>5→</m:t>
              </m:r>
            </m:oMath>
            <w:r>
              <w:rPr>
                <w:rFonts w:cs="Arial"/>
                <w:szCs w:val="18"/>
                <w:lang w:val="en-GB"/>
              </w:rPr>
              <w:t>10</w:t>
            </w:r>
          </w:p>
        </w:tc>
        <w:tc>
          <w:tcPr>
            <w:tcW w:w="1418" w:type="dxa"/>
            <w:shd w:val="clear" w:color="auto" w:fill="FFFFFF"/>
          </w:tcPr>
          <w:p w14:paraId="4B171AAE" w14:textId="5CFE63BB" w:rsidR="00E50450" w:rsidRDefault="00E50450" w:rsidP="00E50450">
            <w:pPr>
              <w:pStyle w:val="CETBodytext"/>
              <w:ind w:right="-1"/>
              <w:rPr>
                <w:rFonts w:cs="Arial"/>
                <w:szCs w:val="18"/>
                <w:lang w:val="en-GB"/>
              </w:rPr>
            </w:pPr>
            <w:r>
              <w:rPr>
                <w:rFonts w:cs="Arial"/>
                <w:szCs w:val="18"/>
                <w:lang w:val="en-GB"/>
              </w:rPr>
              <w:t>Spider</w:t>
            </w:r>
          </w:p>
        </w:tc>
        <w:tc>
          <w:tcPr>
            <w:tcW w:w="709" w:type="dxa"/>
            <w:shd w:val="clear" w:color="auto" w:fill="FFFFFF"/>
          </w:tcPr>
          <w:p w14:paraId="50674FD7" w14:textId="49DF4296" w:rsidR="00E50450" w:rsidRDefault="00E50450" w:rsidP="00E50450">
            <w:pPr>
              <w:pStyle w:val="CETBodytext"/>
              <w:ind w:right="-1"/>
              <w:rPr>
                <w:rFonts w:cs="Arial"/>
                <w:szCs w:val="18"/>
                <w:lang w:val="en-GB"/>
              </w:rPr>
            </w:pPr>
            <w:r>
              <w:rPr>
                <w:rFonts w:cs="Arial"/>
                <w:szCs w:val="18"/>
                <w:lang w:val="en-GB"/>
              </w:rPr>
              <w:t>2</w:t>
            </w:r>
            <m:oMath>
              <m:r>
                <w:rPr>
                  <w:rFonts w:ascii="Cambria Math" w:hAnsi="Cambria Math" w:cs="Arial"/>
                  <w:szCs w:val="18"/>
                  <w:lang w:val="en-GB"/>
                </w:rPr>
                <m:t>→</m:t>
              </m:r>
            </m:oMath>
            <w:r>
              <w:rPr>
                <w:rFonts w:cs="Arial"/>
                <w:szCs w:val="18"/>
                <w:lang w:val="en-GB"/>
              </w:rPr>
              <w:t>4</w:t>
            </w:r>
          </w:p>
        </w:tc>
        <w:tc>
          <w:tcPr>
            <w:tcW w:w="1978" w:type="dxa"/>
            <w:shd w:val="clear" w:color="auto" w:fill="FFFFFF"/>
          </w:tcPr>
          <w:p w14:paraId="266EC1A6" w14:textId="0167C798"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44C511E0" w14:textId="77777777" w:rsidTr="00AD4BB5">
        <w:tc>
          <w:tcPr>
            <w:tcW w:w="1843" w:type="dxa"/>
            <w:vMerge/>
            <w:shd w:val="clear" w:color="auto" w:fill="FFFFFF"/>
          </w:tcPr>
          <w:p w14:paraId="7F318A29"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2A8E4B12" w14:textId="4BC9C6D2" w:rsidR="00E50450" w:rsidRPr="009D3F58" w:rsidRDefault="00E50450" w:rsidP="00E50450">
            <w:pPr>
              <w:pStyle w:val="CETBodytext"/>
              <w:ind w:right="-1"/>
              <w:rPr>
                <w:rFonts w:cs="Arial"/>
                <w:szCs w:val="18"/>
                <w:lang w:val="en-GB"/>
              </w:rPr>
            </w:pPr>
            <m:oMath>
              <m:r>
                <m:rPr>
                  <m:sty m:val="p"/>
                </m:rPr>
                <w:rPr>
                  <w:rFonts w:ascii="Cambria Math" w:hAnsi="Cambria Math" w:cs="Arial"/>
                  <w:szCs w:val="18"/>
                  <w:lang w:val="en-GB"/>
                </w:rPr>
                <m:t>EtOH</m:t>
              </m:r>
            </m:oMath>
            <w:r w:rsidRPr="00ED3C90">
              <w:rPr>
                <w:rFonts w:cs="Arial"/>
                <w:iCs/>
                <w:szCs w:val="18"/>
                <w:lang w:val="en-GB"/>
              </w:rPr>
              <w:t xml:space="preserve"> </w:t>
            </w:r>
            <w:r>
              <w:rPr>
                <w:rFonts w:cs="Arial"/>
                <w:iCs/>
                <w:szCs w:val="18"/>
                <w:lang w:val="en-GB"/>
              </w:rPr>
              <w:t>solution</w:t>
            </w:r>
          </w:p>
        </w:tc>
        <w:tc>
          <w:tcPr>
            <w:tcW w:w="1000" w:type="dxa"/>
            <w:shd w:val="clear" w:color="auto" w:fill="FFFFFF"/>
          </w:tcPr>
          <w:p w14:paraId="2FE2B4E7" w14:textId="17F95CC3"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2742C0B6" w14:textId="6C1D726B" w:rsidR="00E50450" w:rsidRDefault="00E50450" w:rsidP="00E50450">
            <w:pPr>
              <w:pStyle w:val="CETBodytext"/>
              <w:ind w:right="-1"/>
              <w:rPr>
                <w:rFonts w:cs="Arial"/>
                <w:szCs w:val="18"/>
                <w:lang w:val="en-GB"/>
              </w:rPr>
            </w:pPr>
            <m:oMath>
              <m:r>
                <w:rPr>
                  <w:rFonts w:ascii="Cambria Math" w:hAnsi="Cambria Math" w:cs="Arial"/>
                  <w:szCs w:val="18"/>
                  <w:lang w:val="en-GB"/>
                </w:rPr>
                <m:t>5→</m:t>
              </m:r>
            </m:oMath>
            <w:r>
              <w:rPr>
                <w:rFonts w:cs="Arial"/>
                <w:szCs w:val="18"/>
                <w:lang w:val="en-GB"/>
              </w:rPr>
              <w:t>12.5</w:t>
            </w:r>
          </w:p>
        </w:tc>
        <w:tc>
          <w:tcPr>
            <w:tcW w:w="1418" w:type="dxa"/>
            <w:shd w:val="clear" w:color="auto" w:fill="FFFFFF"/>
          </w:tcPr>
          <w:p w14:paraId="46E7C1D6" w14:textId="41EE6EA6" w:rsidR="00E50450" w:rsidRDefault="00E50450" w:rsidP="00E50450">
            <w:pPr>
              <w:pStyle w:val="CETBodytext"/>
              <w:ind w:right="-1"/>
              <w:rPr>
                <w:rFonts w:cs="Arial"/>
                <w:szCs w:val="18"/>
                <w:lang w:val="en-GB"/>
              </w:rPr>
            </w:pPr>
            <w:r>
              <w:rPr>
                <w:rFonts w:cs="Arial"/>
                <w:szCs w:val="18"/>
                <w:lang w:val="en-GB"/>
              </w:rPr>
              <w:t>Spider</w:t>
            </w:r>
          </w:p>
        </w:tc>
        <w:tc>
          <w:tcPr>
            <w:tcW w:w="709" w:type="dxa"/>
            <w:shd w:val="clear" w:color="auto" w:fill="FFFFFF"/>
          </w:tcPr>
          <w:p w14:paraId="4403FFAA" w14:textId="7317BAC8" w:rsidR="00E50450" w:rsidRDefault="00E50450" w:rsidP="00E50450">
            <w:pPr>
              <w:pStyle w:val="CETBodytext"/>
              <w:ind w:right="-1"/>
              <w:rPr>
                <w:rFonts w:cs="Arial"/>
                <w:szCs w:val="18"/>
                <w:lang w:val="en-GB"/>
              </w:rPr>
            </w:pPr>
            <w:r>
              <w:rPr>
                <w:rFonts w:cs="Arial"/>
                <w:szCs w:val="18"/>
                <w:lang w:val="en-GB"/>
              </w:rPr>
              <w:t>2</w:t>
            </w:r>
            <m:oMath>
              <m:r>
                <w:rPr>
                  <w:rFonts w:ascii="Cambria Math" w:hAnsi="Cambria Math" w:cs="Arial"/>
                  <w:szCs w:val="18"/>
                  <w:lang w:val="en-GB"/>
                </w:rPr>
                <m:t>→</m:t>
              </m:r>
            </m:oMath>
            <w:r>
              <w:rPr>
                <w:rFonts w:cs="Arial"/>
                <w:szCs w:val="18"/>
                <w:lang w:val="en-GB"/>
              </w:rPr>
              <w:t>4</w:t>
            </w:r>
          </w:p>
        </w:tc>
        <w:tc>
          <w:tcPr>
            <w:tcW w:w="1978" w:type="dxa"/>
            <w:shd w:val="clear" w:color="auto" w:fill="FFFFFF"/>
          </w:tcPr>
          <w:p w14:paraId="6873FD30" w14:textId="70657ABF" w:rsidR="00E50450" w:rsidRDefault="00E50450" w:rsidP="00E50450">
            <w:pPr>
              <w:pStyle w:val="CETBodytext"/>
              <w:ind w:right="-1"/>
              <w:rPr>
                <w:rFonts w:cs="Arial"/>
                <w:szCs w:val="18"/>
                <w:lang w:val="en-GB"/>
              </w:rPr>
            </w:pPr>
            <w:r>
              <w:rPr>
                <w:rFonts w:cs="Arial"/>
                <w:szCs w:val="18"/>
                <w:lang w:val="en-GB"/>
              </w:rPr>
              <w:t>Open tube; batch</w:t>
            </w:r>
          </w:p>
        </w:tc>
      </w:tr>
      <w:tr w:rsidR="00E50450" w:rsidRPr="00B57B36" w14:paraId="38C9684C" w14:textId="77777777" w:rsidTr="00AD4BB5">
        <w:tc>
          <w:tcPr>
            <w:tcW w:w="1843" w:type="dxa"/>
            <w:vMerge/>
            <w:shd w:val="clear" w:color="auto" w:fill="FFFFFF"/>
          </w:tcPr>
          <w:p w14:paraId="01602190" w14:textId="77777777" w:rsidR="00E50450" w:rsidRDefault="00E50450" w:rsidP="00E50450">
            <w:pPr>
              <w:pStyle w:val="CETBodytext"/>
              <w:ind w:right="-1"/>
              <w:rPr>
                <w:rFonts w:cs="Arial"/>
                <w:color w:val="000000"/>
                <w:szCs w:val="18"/>
                <w:lang w:val="en-GB"/>
              </w:rPr>
            </w:pPr>
          </w:p>
        </w:tc>
        <w:tc>
          <w:tcPr>
            <w:tcW w:w="1344" w:type="dxa"/>
            <w:shd w:val="clear" w:color="auto" w:fill="FFFFFF"/>
          </w:tcPr>
          <w:p w14:paraId="5FF438A6" w14:textId="682AB948" w:rsidR="00E50450" w:rsidRPr="005C1F48" w:rsidRDefault="00E50450" w:rsidP="00E50450">
            <w:pPr>
              <w:pStyle w:val="CETBodytext"/>
              <w:ind w:right="-1"/>
              <w:rPr>
                <w:rFonts w:cs="Arial"/>
                <w:szCs w:val="18"/>
                <w:lang w:val="en-GB"/>
              </w:rPr>
            </w:pPr>
            <m:oMath>
              <m:r>
                <m:rPr>
                  <m:sty m:val="p"/>
                </m:rPr>
                <w:rPr>
                  <w:rFonts w:ascii="Cambria Math" w:hAnsi="Cambria Math" w:cs="Arial"/>
                  <w:szCs w:val="18"/>
                  <w:lang w:val="en-GB"/>
                </w:rPr>
                <m:t>MEG</m:t>
              </m:r>
            </m:oMath>
            <w:r>
              <w:rPr>
                <w:rFonts w:cs="Arial"/>
                <w:szCs w:val="18"/>
                <w:lang w:val="en-GB"/>
              </w:rPr>
              <w:t xml:space="preserve"> solution</w:t>
            </w:r>
          </w:p>
        </w:tc>
        <w:tc>
          <w:tcPr>
            <w:tcW w:w="1000" w:type="dxa"/>
            <w:shd w:val="clear" w:color="auto" w:fill="FFFFFF"/>
          </w:tcPr>
          <w:p w14:paraId="372E2002" w14:textId="30C1EB34" w:rsidR="00E50450" w:rsidRDefault="00E50450" w:rsidP="00E50450">
            <w:pPr>
              <w:pStyle w:val="CETBodytext"/>
              <w:ind w:right="-1"/>
              <w:rPr>
                <w:rFonts w:cs="Arial"/>
                <w:szCs w:val="18"/>
                <w:lang w:val="en-GB"/>
              </w:rPr>
            </w:pPr>
            <w:r>
              <w:rPr>
                <w:rFonts w:cs="Arial"/>
                <w:szCs w:val="18"/>
                <w:lang w:val="en-GB"/>
              </w:rPr>
              <w:t>0.24</w:t>
            </w:r>
          </w:p>
        </w:tc>
        <w:tc>
          <w:tcPr>
            <w:tcW w:w="916" w:type="dxa"/>
            <w:shd w:val="clear" w:color="auto" w:fill="FFFFFF"/>
          </w:tcPr>
          <w:p w14:paraId="7F8EBAA6" w14:textId="1A690767" w:rsidR="00E50450" w:rsidRDefault="00E50450" w:rsidP="00E50450">
            <w:pPr>
              <w:pStyle w:val="CETBodytext"/>
              <w:ind w:right="-1"/>
              <w:rPr>
                <w:rFonts w:cs="Arial"/>
                <w:szCs w:val="18"/>
                <w:lang w:val="en-GB"/>
              </w:rPr>
            </w:pPr>
            <m:oMath>
              <m:r>
                <w:rPr>
                  <w:rFonts w:ascii="Cambria Math" w:hAnsi="Cambria Math" w:cs="Arial"/>
                  <w:szCs w:val="18"/>
                  <w:lang w:val="en-GB"/>
                </w:rPr>
                <m:t>5→</m:t>
              </m:r>
            </m:oMath>
            <w:r>
              <w:rPr>
                <w:rFonts w:cs="Arial"/>
                <w:szCs w:val="18"/>
                <w:lang w:val="en-GB"/>
              </w:rPr>
              <w:t>12.5</w:t>
            </w:r>
          </w:p>
        </w:tc>
        <w:tc>
          <w:tcPr>
            <w:tcW w:w="1418" w:type="dxa"/>
            <w:shd w:val="clear" w:color="auto" w:fill="FFFFFF"/>
          </w:tcPr>
          <w:p w14:paraId="219B6EEA" w14:textId="4A4DC845" w:rsidR="00E50450" w:rsidRDefault="00E50450" w:rsidP="00E50450">
            <w:pPr>
              <w:pStyle w:val="CETBodytext"/>
              <w:ind w:right="-1"/>
              <w:rPr>
                <w:rFonts w:cs="Arial"/>
                <w:szCs w:val="18"/>
                <w:lang w:val="en-GB"/>
              </w:rPr>
            </w:pPr>
            <w:r>
              <w:rPr>
                <w:rFonts w:cs="Arial"/>
                <w:szCs w:val="18"/>
                <w:lang w:val="en-GB"/>
              </w:rPr>
              <w:t>Spider</w:t>
            </w:r>
          </w:p>
        </w:tc>
        <w:tc>
          <w:tcPr>
            <w:tcW w:w="709" w:type="dxa"/>
            <w:shd w:val="clear" w:color="auto" w:fill="FFFFFF"/>
          </w:tcPr>
          <w:p w14:paraId="62FABD2E" w14:textId="2508CE58" w:rsidR="00E50450" w:rsidRDefault="00E50450" w:rsidP="00E50450">
            <w:pPr>
              <w:pStyle w:val="CETBodytext"/>
              <w:ind w:right="-1"/>
              <w:rPr>
                <w:rFonts w:cs="Arial"/>
                <w:szCs w:val="18"/>
                <w:lang w:val="en-GB"/>
              </w:rPr>
            </w:pPr>
            <w:r>
              <w:rPr>
                <w:rFonts w:cs="Arial"/>
                <w:szCs w:val="18"/>
                <w:lang w:val="en-GB"/>
              </w:rPr>
              <w:t>2</w:t>
            </w:r>
            <m:oMath>
              <m:r>
                <w:rPr>
                  <w:rFonts w:ascii="Cambria Math" w:hAnsi="Cambria Math" w:cs="Arial"/>
                  <w:szCs w:val="18"/>
                  <w:lang w:val="en-GB"/>
                </w:rPr>
                <m:t>→</m:t>
              </m:r>
            </m:oMath>
            <w:r>
              <w:rPr>
                <w:rFonts w:cs="Arial"/>
                <w:szCs w:val="18"/>
                <w:lang w:val="en-GB"/>
              </w:rPr>
              <w:t>4</w:t>
            </w:r>
          </w:p>
        </w:tc>
        <w:tc>
          <w:tcPr>
            <w:tcW w:w="1978" w:type="dxa"/>
            <w:shd w:val="clear" w:color="auto" w:fill="FFFFFF"/>
          </w:tcPr>
          <w:p w14:paraId="48387410" w14:textId="5DE0C030" w:rsidR="00E50450" w:rsidRDefault="00E50450" w:rsidP="00E50450">
            <w:pPr>
              <w:pStyle w:val="CETBodytext"/>
              <w:ind w:right="-1"/>
              <w:rPr>
                <w:rFonts w:cs="Arial"/>
                <w:szCs w:val="18"/>
                <w:lang w:val="en-GB"/>
              </w:rPr>
            </w:pPr>
            <w:r>
              <w:rPr>
                <w:rFonts w:cs="Arial"/>
                <w:szCs w:val="18"/>
                <w:lang w:val="en-GB"/>
              </w:rPr>
              <w:t>Open tube; batch</w:t>
            </w:r>
          </w:p>
        </w:tc>
      </w:tr>
    </w:tbl>
    <w:p w14:paraId="031AD293" w14:textId="7E123A5F" w:rsidR="008A10EA" w:rsidRDefault="008A10EA" w:rsidP="00C91A8D">
      <w:pPr>
        <w:pStyle w:val="CETTabletitle"/>
      </w:pPr>
      <w:r>
        <w:t xml:space="preserve">Table </w:t>
      </w:r>
      <w:r>
        <w:fldChar w:fldCharType="begin"/>
      </w:r>
      <w:r>
        <w:instrText xml:space="preserve"> SEQ Table \* ARABIC </w:instrText>
      </w:r>
      <w:r>
        <w:fldChar w:fldCharType="separate"/>
      </w:r>
      <w:r w:rsidR="00001736">
        <w:rPr>
          <w:noProof/>
        </w:rPr>
        <w:t>2</w:t>
      </w:r>
      <w:r>
        <w:fldChar w:fldCharType="end"/>
      </w:r>
      <w:r>
        <w:t>: Predictors used for the statistical analysis.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21"/>
        <w:gridCol w:w="2427"/>
        <w:gridCol w:w="1972"/>
      </w:tblGrid>
      <w:tr w:rsidR="004556CD" w14:paraId="35CBE6BD" w14:textId="77777777" w:rsidTr="00CF1F28">
        <w:tc>
          <w:tcPr>
            <w:tcW w:w="2321" w:type="dxa"/>
            <w:tcBorders>
              <w:top w:val="single" w:sz="12" w:space="0" w:color="008000"/>
              <w:left w:val="nil"/>
              <w:bottom w:val="single" w:sz="6" w:space="0" w:color="008000"/>
              <w:right w:val="nil"/>
            </w:tcBorders>
            <w:shd w:val="clear" w:color="auto" w:fill="FFFFFF"/>
            <w:hideMark/>
          </w:tcPr>
          <w:p w14:paraId="6ADD73D1" w14:textId="6267A1D5" w:rsidR="004556CD" w:rsidRDefault="004556CD">
            <w:pPr>
              <w:pStyle w:val="CETBodytext"/>
              <w:rPr>
                <w:lang w:val="en-GB"/>
              </w:rPr>
            </w:pPr>
            <w:r>
              <w:rPr>
                <w:lang w:val="en-GB"/>
              </w:rPr>
              <w:t xml:space="preserve">Geometrical characteristics </w:t>
            </w:r>
          </w:p>
        </w:tc>
        <w:tc>
          <w:tcPr>
            <w:tcW w:w="2427" w:type="dxa"/>
            <w:tcBorders>
              <w:top w:val="single" w:sz="12" w:space="0" w:color="008000"/>
              <w:left w:val="nil"/>
              <w:bottom w:val="single" w:sz="6" w:space="0" w:color="008000"/>
              <w:right w:val="nil"/>
            </w:tcBorders>
            <w:shd w:val="clear" w:color="auto" w:fill="FFFFFF"/>
            <w:hideMark/>
          </w:tcPr>
          <w:p w14:paraId="4CB10499" w14:textId="1E4DA839" w:rsidR="004556CD" w:rsidRDefault="004556CD">
            <w:pPr>
              <w:pStyle w:val="CETBodytext"/>
              <w:rPr>
                <w:lang w:val="en-GB"/>
              </w:rPr>
            </w:pPr>
            <w:r>
              <w:rPr>
                <w:lang w:val="en-GB"/>
              </w:rPr>
              <w:t>Operating conditions</w:t>
            </w:r>
          </w:p>
        </w:tc>
        <w:tc>
          <w:tcPr>
            <w:tcW w:w="1972" w:type="dxa"/>
            <w:tcBorders>
              <w:top w:val="single" w:sz="12" w:space="0" w:color="008000"/>
              <w:left w:val="nil"/>
              <w:bottom w:val="single" w:sz="6" w:space="0" w:color="008000"/>
              <w:right w:val="nil"/>
            </w:tcBorders>
            <w:shd w:val="clear" w:color="auto" w:fill="FFFFFF"/>
            <w:hideMark/>
          </w:tcPr>
          <w:p w14:paraId="3E0A3C2C" w14:textId="66CE961D" w:rsidR="004556CD" w:rsidRDefault="004556CD" w:rsidP="008A520A">
            <w:pPr>
              <w:pStyle w:val="CETBodytext"/>
              <w:jc w:val="left"/>
              <w:rPr>
                <w:lang w:val="en-GB"/>
              </w:rPr>
            </w:pPr>
            <w:r>
              <w:rPr>
                <w:lang w:val="en-GB"/>
              </w:rPr>
              <w:t>Liquid phase properties</w:t>
            </w:r>
          </w:p>
        </w:tc>
      </w:tr>
      <w:tr w:rsidR="004556CD" w14:paraId="0BE5DF0F" w14:textId="77777777" w:rsidTr="00CF1F28">
        <w:tc>
          <w:tcPr>
            <w:tcW w:w="2321" w:type="dxa"/>
            <w:tcBorders>
              <w:top w:val="nil"/>
              <w:left w:val="nil"/>
              <w:bottom w:val="nil"/>
              <w:right w:val="nil"/>
            </w:tcBorders>
            <w:shd w:val="clear" w:color="auto" w:fill="FFFFFF"/>
            <w:hideMark/>
          </w:tcPr>
          <w:p w14:paraId="6A5FAF8F" w14:textId="6A5B8A12" w:rsidR="004556CD" w:rsidRDefault="004556CD">
            <w:pPr>
              <w:pStyle w:val="CETBodytext"/>
              <w:rPr>
                <w:lang w:val="en-GB"/>
              </w:rPr>
            </w:pPr>
            <w:r>
              <w:rPr>
                <w:lang w:val="en-GB"/>
              </w:rPr>
              <w:t>Column diameter</w:t>
            </w:r>
            <w:r w:rsidR="00CF1F28">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C</m:t>
                  </m:r>
                </m:sub>
              </m:sSub>
            </m:oMath>
            <w:r w:rsidR="00CF1F28">
              <w:rPr>
                <w:lang w:val="en-GB"/>
              </w:rPr>
              <w:t>)</w:t>
            </w:r>
          </w:p>
        </w:tc>
        <w:tc>
          <w:tcPr>
            <w:tcW w:w="2427" w:type="dxa"/>
            <w:tcBorders>
              <w:top w:val="nil"/>
              <w:left w:val="nil"/>
              <w:bottom w:val="nil"/>
              <w:right w:val="nil"/>
            </w:tcBorders>
            <w:shd w:val="clear" w:color="auto" w:fill="FFFFFF"/>
            <w:hideMark/>
          </w:tcPr>
          <w:p w14:paraId="73DEE50D" w14:textId="0167E298" w:rsidR="00C253F0" w:rsidRDefault="00C253F0">
            <w:pPr>
              <w:pStyle w:val="CETBodytext"/>
              <w:rPr>
                <w:lang w:val="en-GB"/>
              </w:rPr>
            </w:pPr>
            <w:r>
              <w:rPr>
                <w:lang w:val="en-GB"/>
              </w:rPr>
              <w:t>Superficial liquid velocity</w:t>
            </w:r>
            <w:r w:rsidR="00CF1F28">
              <w:rPr>
                <w:lang w:val="en-GB"/>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L</m:t>
                  </m:r>
                </m:sub>
              </m:sSub>
            </m:oMath>
            <w:r w:rsidR="00CF1F28">
              <w:rPr>
                <w:lang w:val="en-GB"/>
              </w:rPr>
              <w:t>)</w:t>
            </w:r>
          </w:p>
        </w:tc>
        <w:tc>
          <w:tcPr>
            <w:tcW w:w="1972" w:type="dxa"/>
            <w:tcBorders>
              <w:top w:val="nil"/>
              <w:left w:val="nil"/>
              <w:bottom w:val="nil"/>
              <w:right w:val="nil"/>
            </w:tcBorders>
            <w:shd w:val="clear" w:color="auto" w:fill="FFFFFF"/>
            <w:hideMark/>
          </w:tcPr>
          <w:p w14:paraId="49061756" w14:textId="1E2483B4" w:rsidR="004556CD" w:rsidRDefault="00BC409A">
            <w:pPr>
              <w:pStyle w:val="CETBodytext"/>
              <w:rPr>
                <w:lang w:val="en-GB"/>
              </w:rPr>
            </w:pPr>
            <w:r>
              <w:rPr>
                <w:lang w:val="en-GB"/>
              </w:rPr>
              <w:t>Viscosity</w:t>
            </w:r>
            <w:r w:rsidR="00CF1F28">
              <w:rPr>
                <w:lang w:val="en-GB"/>
              </w:rPr>
              <w:t xml:space="preserve"> (</w:t>
            </w:r>
            <m:oMath>
              <m:r>
                <w:rPr>
                  <w:rFonts w:ascii="Cambria Math" w:hAnsi="Cambria Math"/>
                  <w:lang w:val="en-GB"/>
                </w:rPr>
                <m:t>μ</m:t>
              </m:r>
            </m:oMath>
            <w:r w:rsidR="00CF1F28">
              <w:rPr>
                <w:lang w:val="en-GB"/>
              </w:rPr>
              <w:t>)</w:t>
            </w:r>
          </w:p>
        </w:tc>
      </w:tr>
      <w:tr w:rsidR="00CF1F28" w14:paraId="694C2DA2" w14:textId="77777777" w:rsidTr="00CF1F28">
        <w:tc>
          <w:tcPr>
            <w:tcW w:w="2321" w:type="dxa"/>
            <w:tcBorders>
              <w:top w:val="nil"/>
              <w:left w:val="nil"/>
              <w:bottom w:val="nil"/>
              <w:right w:val="nil"/>
            </w:tcBorders>
            <w:shd w:val="clear" w:color="auto" w:fill="FFFFFF"/>
          </w:tcPr>
          <w:p w14:paraId="5F3CEAEB" w14:textId="79DC8410" w:rsidR="00CF1F28" w:rsidRDefault="00CF1F28" w:rsidP="00CF1F28">
            <w:pPr>
              <w:pStyle w:val="CETBodytext"/>
              <w:rPr>
                <w:lang w:val="en-GB"/>
              </w:rPr>
            </w:pPr>
            <w:r>
              <w:rPr>
                <w:lang w:val="en-GB"/>
              </w:rPr>
              <w:t>Sparger hole diameter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0</m:t>
                  </m:r>
                </m:sub>
              </m:sSub>
            </m:oMath>
            <w:r>
              <w:rPr>
                <w:lang w:val="en-GB"/>
              </w:rPr>
              <w:t>)</w:t>
            </w:r>
          </w:p>
        </w:tc>
        <w:tc>
          <w:tcPr>
            <w:tcW w:w="2427" w:type="dxa"/>
            <w:tcBorders>
              <w:top w:val="nil"/>
              <w:left w:val="nil"/>
              <w:bottom w:val="nil"/>
              <w:right w:val="nil"/>
            </w:tcBorders>
            <w:shd w:val="clear" w:color="auto" w:fill="FFFFFF"/>
          </w:tcPr>
          <w:p w14:paraId="3F0D1921" w14:textId="2A752AF2" w:rsidR="00CF1F28" w:rsidRDefault="00CF1F28" w:rsidP="00CF1F28">
            <w:pPr>
              <w:pStyle w:val="CETBodytext"/>
              <w:rPr>
                <w:lang w:val="en-GB"/>
              </w:rPr>
            </w:pPr>
            <w:r>
              <w:rPr>
                <w:rFonts w:cs="Arial"/>
                <w:szCs w:val="18"/>
                <w:lang w:val="en-GB"/>
              </w:rPr>
              <w:t>Presence of internals</w:t>
            </w:r>
          </w:p>
        </w:tc>
        <w:tc>
          <w:tcPr>
            <w:tcW w:w="1972" w:type="dxa"/>
            <w:tcBorders>
              <w:top w:val="nil"/>
              <w:left w:val="nil"/>
              <w:bottom w:val="nil"/>
              <w:right w:val="nil"/>
            </w:tcBorders>
            <w:shd w:val="clear" w:color="auto" w:fill="FFFFFF"/>
          </w:tcPr>
          <w:p w14:paraId="7489E612" w14:textId="439B1C35" w:rsidR="00CF1F28" w:rsidRDefault="00CF1F28" w:rsidP="00CF1F28">
            <w:pPr>
              <w:pStyle w:val="CETBodytext"/>
              <w:rPr>
                <w:lang w:val="en-GB"/>
              </w:rPr>
            </w:pPr>
            <w:r>
              <w:rPr>
                <w:rFonts w:cs="Arial"/>
                <w:szCs w:val="18"/>
                <w:lang w:val="en-GB"/>
              </w:rPr>
              <w:t>Density (</w:t>
            </w:r>
            <m:oMath>
              <m:r>
                <w:rPr>
                  <w:rFonts w:ascii="Cambria Math" w:hAnsi="Cambria Math" w:cs="Arial"/>
                  <w:szCs w:val="18"/>
                  <w:lang w:val="en-GB"/>
                </w:rPr>
                <m:t>ρ</m:t>
              </m:r>
            </m:oMath>
            <w:r>
              <w:rPr>
                <w:rFonts w:cs="Arial"/>
                <w:szCs w:val="18"/>
                <w:lang w:val="en-GB"/>
              </w:rPr>
              <w:t>)</w:t>
            </w:r>
          </w:p>
        </w:tc>
      </w:tr>
      <w:tr w:rsidR="00CF1F28" w14:paraId="4D804D54" w14:textId="77777777" w:rsidTr="00CF1F28">
        <w:tc>
          <w:tcPr>
            <w:tcW w:w="2321" w:type="dxa"/>
            <w:tcBorders>
              <w:top w:val="nil"/>
              <w:left w:val="nil"/>
              <w:bottom w:val="nil"/>
              <w:right w:val="nil"/>
            </w:tcBorders>
            <w:shd w:val="clear" w:color="auto" w:fill="FFFFFF"/>
          </w:tcPr>
          <w:p w14:paraId="0CAAF867" w14:textId="0886DB50" w:rsidR="00CF1F28" w:rsidRDefault="00CF1F28" w:rsidP="00CF1F28">
            <w:pPr>
              <w:pStyle w:val="CETBodytext"/>
              <w:ind w:right="-1"/>
              <w:rPr>
                <w:rFonts w:cs="Arial"/>
                <w:szCs w:val="18"/>
                <w:lang w:val="en-GB"/>
              </w:rPr>
            </w:pPr>
            <w:r>
              <w:rPr>
                <w:rFonts w:cs="Arial"/>
                <w:szCs w:val="18"/>
                <w:lang w:val="en-GB"/>
              </w:rPr>
              <w:t>Sparger type</w:t>
            </w:r>
          </w:p>
        </w:tc>
        <w:tc>
          <w:tcPr>
            <w:tcW w:w="2427" w:type="dxa"/>
            <w:tcBorders>
              <w:top w:val="nil"/>
              <w:left w:val="nil"/>
              <w:bottom w:val="nil"/>
              <w:right w:val="nil"/>
            </w:tcBorders>
            <w:shd w:val="clear" w:color="auto" w:fill="FFFFFF"/>
          </w:tcPr>
          <w:p w14:paraId="16083281" w14:textId="4A59F453" w:rsidR="00CF1F28" w:rsidRDefault="00CF1F28" w:rsidP="00CF1F28">
            <w:pPr>
              <w:pStyle w:val="CETBodytext"/>
              <w:ind w:right="-1"/>
              <w:rPr>
                <w:rFonts w:cs="Arial"/>
                <w:szCs w:val="18"/>
                <w:lang w:val="en-GB"/>
              </w:rPr>
            </w:pPr>
          </w:p>
        </w:tc>
        <w:tc>
          <w:tcPr>
            <w:tcW w:w="1972" w:type="dxa"/>
            <w:tcBorders>
              <w:top w:val="nil"/>
              <w:left w:val="nil"/>
              <w:bottom w:val="nil"/>
              <w:right w:val="nil"/>
            </w:tcBorders>
            <w:shd w:val="clear" w:color="auto" w:fill="FFFFFF"/>
          </w:tcPr>
          <w:p w14:paraId="53864359" w14:textId="3095FE23" w:rsidR="00CF1F28" w:rsidRDefault="00CF1F28" w:rsidP="00CF1F28">
            <w:pPr>
              <w:pStyle w:val="CETBodytext"/>
              <w:ind w:right="-1"/>
              <w:rPr>
                <w:rFonts w:cs="Arial"/>
                <w:szCs w:val="18"/>
                <w:lang w:val="en-GB"/>
              </w:rPr>
            </w:pPr>
            <w:r>
              <w:rPr>
                <w:rFonts w:cs="Arial"/>
                <w:szCs w:val="18"/>
                <w:lang w:val="en-GB"/>
              </w:rPr>
              <w:t>Surface tension (</w:t>
            </w:r>
            <m:oMath>
              <m:r>
                <w:rPr>
                  <w:rFonts w:ascii="Cambria Math" w:hAnsi="Cambria Math" w:cs="Arial"/>
                  <w:szCs w:val="18"/>
                  <w:lang w:val="en-GB"/>
                </w:rPr>
                <m:t>σ</m:t>
              </m:r>
            </m:oMath>
            <w:r>
              <w:rPr>
                <w:rFonts w:cs="Arial"/>
                <w:szCs w:val="18"/>
                <w:lang w:val="en-GB"/>
              </w:rPr>
              <w:t>)</w:t>
            </w:r>
          </w:p>
        </w:tc>
      </w:tr>
      <w:tr w:rsidR="00CF1F28" w14:paraId="59F58F1E" w14:textId="77777777" w:rsidTr="00CF1F28">
        <w:tc>
          <w:tcPr>
            <w:tcW w:w="2321" w:type="dxa"/>
            <w:tcBorders>
              <w:top w:val="nil"/>
              <w:left w:val="nil"/>
              <w:bottom w:val="nil"/>
              <w:right w:val="nil"/>
            </w:tcBorders>
            <w:shd w:val="clear" w:color="auto" w:fill="FFFFFF"/>
          </w:tcPr>
          <w:p w14:paraId="79D188B8" w14:textId="770628C8" w:rsidR="00CF1F28" w:rsidRDefault="00CF1F28" w:rsidP="00CF1F28">
            <w:pPr>
              <w:pStyle w:val="CETBodytext"/>
              <w:ind w:right="-1"/>
              <w:rPr>
                <w:rFonts w:cs="Arial"/>
                <w:szCs w:val="18"/>
                <w:lang w:val="en-GB"/>
              </w:rPr>
            </w:pPr>
            <w:r>
              <w:rPr>
                <w:rFonts w:cs="Arial"/>
                <w:szCs w:val="18"/>
                <w:lang w:val="en-GB"/>
              </w:rPr>
              <w:t>Free area (</w:t>
            </w:r>
            <m:oMath>
              <m:r>
                <w:rPr>
                  <w:rFonts w:ascii="Cambria Math" w:hAnsi="Cambria Math" w:cs="Arial"/>
                  <w:szCs w:val="18"/>
                  <w:lang w:val="en-GB"/>
                </w:rPr>
                <m:t>FA</m:t>
              </m:r>
            </m:oMath>
            <w:r>
              <w:rPr>
                <w:rFonts w:cs="Arial"/>
                <w:szCs w:val="18"/>
                <w:lang w:val="en-GB"/>
              </w:rPr>
              <w:t>)</w:t>
            </w:r>
          </w:p>
        </w:tc>
        <w:tc>
          <w:tcPr>
            <w:tcW w:w="2427" w:type="dxa"/>
            <w:tcBorders>
              <w:top w:val="nil"/>
              <w:left w:val="nil"/>
              <w:bottom w:val="nil"/>
              <w:right w:val="nil"/>
            </w:tcBorders>
            <w:shd w:val="clear" w:color="auto" w:fill="FFFFFF"/>
          </w:tcPr>
          <w:p w14:paraId="7676FF3D" w14:textId="77777777" w:rsidR="00CF1F28" w:rsidRDefault="00CF1F28" w:rsidP="00CF1F28">
            <w:pPr>
              <w:pStyle w:val="CETBodytext"/>
              <w:ind w:right="-1"/>
              <w:rPr>
                <w:rFonts w:cs="Arial"/>
                <w:szCs w:val="18"/>
                <w:lang w:val="en-GB"/>
              </w:rPr>
            </w:pPr>
          </w:p>
        </w:tc>
        <w:tc>
          <w:tcPr>
            <w:tcW w:w="1972" w:type="dxa"/>
            <w:tcBorders>
              <w:top w:val="nil"/>
              <w:left w:val="nil"/>
              <w:bottom w:val="nil"/>
              <w:right w:val="nil"/>
            </w:tcBorders>
            <w:shd w:val="clear" w:color="auto" w:fill="FFFFFF"/>
          </w:tcPr>
          <w:p w14:paraId="4E2AC5DD" w14:textId="0EE5CFC0" w:rsidR="00CF1F28" w:rsidRDefault="00CF1F28" w:rsidP="00CF1F28">
            <w:pPr>
              <w:pStyle w:val="CETBodytext"/>
              <w:ind w:right="-1"/>
              <w:rPr>
                <w:rFonts w:cs="Arial"/>
                <w:szCs w:val="18"/>
                <w:lang w:val="en-GB"/>
              </w:rPr>
            </w:pPr>
          </w:p>
        </w:tc>
      </w:tr>
      <w:tr w:rsidR="00CF1F28" w14:paraId="396E7330" w14:textId="77777777" w:rsidTr="00CF1F28">
        <w:tc>
          <w:tcPr>
            <w:tcW w:w="2321" w:type="dxa"/>
            <w:tcBorders>
              <w:top w:val="nil"/>
              <w:left w:val="nil"/>
              <w:bottom w:val="single" w:sz="12" w:space="0" w:color="008000"/>
              <w:right w:val="nil"/>
            </w:tcBorders>
            <w:shd w:val="clear" w:color="auto" w:fill="FFFFFF"/>
          </w:tcPr>
          <w:p w14:paraId="07B4D082" w14:textId="20EBFD35" w:rsidR="00CF1F28" w:rsidRDefault="00CF1F28" w:rsidP="00CF1F28">
            <w:pPr>
              <w:pStyle w:val="CETBodytext"/>
              <w:ind w:right="-1"/>
              <w:rPr>
                <w:rFonts w:cs="Arial"/>
                <w:szCs w:val="18"/>
                <w:lang w:val="en-GB"/>
              </w:rPr>
            </w:pPr>
            <w:r>
              <w:rPr>
                <w:rFonts w:cs="Arial"/>
                <w:szCs w:val="18"/>
                <w:lang w:val="en-GB"/>
              </w:rPr>
              <w:t>Aspect ratio (</w:t>
            </w:r>
            <m:oMath>
              <m:r>
                <w:rPr>
                  <w:rFonts w:ascii="Cambria Math" w:hAnsi="Cambria Math" w:cs="Arial"/>
                  <w:szCs w:val="18"/>
                  <w:lang w:val="en-GB"/>
                </w:rPr>
                <m:t>AR</m:t>
              </m:r>
            </m:oMath>
            <w:r>
              <w:rPr>
                <w:rFonts w:cs="Arial"/>
                <w:szCs w:val="18"/>
                <w:lang w:val="en-GB"/>
              </w:rPr>
              <w:t>)</w:t>
            </w:r>
          </w:p>
        </w:tc>
        <w:tc>
          <w:tcPr>
            <w:tcW w:w="2427" w:type="dxa"/>
            <w:tcBorders>
              <w:top w:val="nil"/>
              <w:left w:val="nil"/>
              <w:bottom w:val="single" w:sz="12" w:space="0" w:color="008000"/>
              <w:right w:val="nil"/>
            </w:tcBorders>
            <w:shd w:val="clear" w:color="auto" w:fill="FFFFFF"/>
          </w:tcPr>
          <w:p w14:paraId="3EAFBE07" w14:textId="77777777" w:rsidR="00CF1F28" w:rsidRDefault="00CF1F28" w:rsidP="00CF1F28">
            <w:pPr>
              <w:pStyle w:val="CETBodytext"/>
              <w:ind w:right="-1"/>
              <w:rPr>
                <w:rFonts w:cs="Arial"/>
                <w:szCs w:val="18"/>
                <w:lang w:val="en-GB"/>
              </w:rPr>
            </w:pPr>
          </w:p>
        </w:tc>
        <w:tc>
          <w:tcPr>
            <w:tcW w:w="1972" w:type="dxa"/>
            <w:tcBorders>
              <w:top w:val="nil"/>
              <w:left w:val="nil"/>
              <w:bottom w:val="single" w:sz="12" w:space="0" w:color="008000"/>
              <w:right w:val="nil"/>
            </w:tcBorders>
            <w:shd w:val="clear" w:color="auto" w:fill="FFFFFF"/>
          </w:tcPr>
          <w:p w14:paraId="7719F239" w14:textId="77777777" w:rsidR="00CF1F28" w:rsidRDefault="00CF1F28" w:rsidP="00CF1F28">
            <w:pPr>
              <w:pStyle w:val="CETBodytext"/>
              <w:ind w:right="-1"/>
              <w:rPr>
                <w:rFonts w:cs="Arial"/>
                <w:szCs w:val="18"/>
                <w:lang w:val="en-GB"/>
              </w:rPr>
            </w:pPr>
          </w:p>
        </w:tc>
      </w:tr>
    </w:tbl>
    <w:p w14:paraId="28A014E5" w14:textId="204E5628" w:rsidR="00B00CCE" w:rsidRDefault="00B00CCE" w:rsidP="0062486E">
      <w:pPr>
        <w:pStyle w:val="CETBodytext"/>
        <w:rPr>
          <w:lang w:val="en-GB"/>
        </w:rPr>
      </w:pPr>
    </w:p>
    <w:p w14:paraId="09F73B71" w14:textId="77777777" w:rsidR="00227E29" w:rsidRPr="00F2530B" w:rsidRDefault="00227E29" w:rsidP="00227E29">
      <w:pPr>
        <w:pStyle w:val="CETBodytext"/>
        <w:rPr>
          <w:lang w:val="en-GB"/>
        </w:rPr>
      </w:pPr>
      <w:r>
        <w:rPr>
          <w:lang w:val="en-GB"/>
        </w:rPr>
        <w:t xml:space="preserve">Where </w:t>
      </w:r>
      <m:oMath>
        <m:r>
          <w:rPr>
            <w:rFonts w:ascii="Cambria Math" w:hAnsi="Cambria Math"/>
            <w:lang w:val="en-GB"/>
          </w:rPr>
          <m:t>S</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E</m:t>
            </m:r>
          </m:sub>
        </m:sSub>
      </m:oMath>
      <w:r>
        <w:rPr>
          <w:lang w:val="en-GB"/>
        </w:rPr>
        <w:t xml:space="preserve"> is the sum of squares error minimization, </w:t>
      </w:r>
      <m:oMath>
        <m:r>
          <w:rPr>
            <w:rFonts w:ascii="Cambria Math" w:hAnsi="Cambria Math"/>
            <w:lang w:val="en-GB"/>
          </w:rPr>
          <m:t>S</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T</m:t>
            </m:r>
          </m:sub>
        </m:sSub>
      </m:oMath>
      <w:r>
        <w:rPr>
          <w:lang w:val="en-GB"/>
        </w:rPr>
        <w:t xml:space="preserve"> is the sum of the total squares of the residuals, </w:t>
      </w:r>
      <m:oMath>
        <m:r>
          <w:rPr>
            <w:rFonts w:ascii="Cambria Math" w:hAnsi="Cambria Math"/>
            <w:lang w:val="en-GB"/>
          </w:rPr>
          <m:t>k</m:t>
        </m:r>
      </m:oMath>
      <w:r>
        <w:rPr>
          <w:lang w:val="en-GB"/>
        </w:rPr>
        <w:t xml:space="preserve"> is the number of independent variables and </w:t>
      </w:r>
      <m:oMath>
        <m:r>
          <w:rPr>
            <w:rFonts w:ascii="Cambria Math" w:hAnsi="Cambria Math"/>
            <w:lang w:val="en-GB"/>
          </w:rPr>
          <m:t>n</m:t>
        </m:r>
      </m:oMath>
      <w:r>
        <w:rPr>
          <w:lang w:val="en-GB"/>
        </w:rPr>
        <w:t xml:space="preserve"> is the number of observations. </w:t>
      </w:r>
    </w:p>
    <w:p w14:paraId="44DEE3B3" w14:textId="7A3142B8" w:rsidR="00422F8A" w:rsidRDefault="00C26396" w:rsidP="00F2530B">
      <w:pPr>
        <w:pStyle w:val="CETBodytext"/>
        <w:rPr>
          <w:lang w:val="en-GB"/>
        </w:rPr>
      </w:pPr>
      <w:r>
        <w:rPr>
          <w:lang w:val="en-GB"/>
        </w:rPr>
        <w:t xml:space="preserve">Given the </w:t>
      </w:r>
      <w:r w:rsidR="004B1882">
        <w:rPr>
          <w:lang w:val="en-GB"/>
        </w:rPr>
        <w:t>suspected issue of multicollinearity (i.e. correlation between the independent variables)</w:t>
      </w:r>
      <w:r w:rsidR="00087913">
        <w:rPr>
          <w:lang w:val="en-GB"/>
        </w:rPr>
        <w:t xml:space="preserve"> the Variance Inflation Factor (VIF) is inspected for </w:t>
      </w:r>
      <w:r w:rsidR="00DA0DD7">
        <w:rPr>
          <w:lang w:val="en-GB"/>
        </w:rPr>
        <w:t xml:space="preserve">every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j</m:t>
            </m:r>
          </m:sub>
        </m:sSub>
      </m:oMath>
      <w:r w:rsidR="0043492A">
        <w:rPr>
          <w:lang w:val="en-GB"/>
        </w:rPr>
        <w:t xml:space="preserve"> parameter:</w:t>
      </w:r>
    </w:p>
    <w:tbl>
      <w:tblPr>
        <w:tblW w:w="5000" w:type="pct"/>
        <w:tblLook w:val="04A0" w:firstRow="1" w:lastRow="0" w:firstColumn="1" w:lastColumn="0" w:noHBand="0" w:noVBand="1"/>
      </w:tblPr>
      <w:tblGrid>
        <w:gridCol w:w="6827"/>
        <w:gridCol w:w="2176"/>
      </w:tblGrid>
      <w:tr w:rsidR="0043492A" w:rsidRPr="00B57B36" w14:paraId="76A2644F" w14:textId="77777777" w:rsidTr="00161A26">
        <w:tc>
          <w:tcPr>
            <w:tcW w:w="6663" w:type="dxa"/>
            <w:shd w:val="clear" w:color="auto" w:fill="auto"/>
            <w:vAlign w:val="center"/>
          </w:tcPr>
          <w:p w14:paraId="090DC56A" w14:textId="13D10449" w:rsidR="0043492A" w:rsidRPr="00307441" w:rsidRDefault="008920DD" w:rsidP="00AB3B5C">
            <w:pPr>
              <w:pStyle w:val="CETEquation"/>
            </w:pPr>
            <m:oMath>
              <m:r>
                <w:rPr>
                  <w:rFonts w:ascii="Cambria Math" w:hAnsi="Cambria Math"/>
                </w:rPr>
                <m:t>VI</m:t>
              </m:r>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den>
              </m:f>
              <m:r>
                <w:rPr>
                  <w:rFonts w:ascii="Cambria Math" w:hAnsi="Cambria Math"/>
                </w:rPr>
                <m:t xml:space="preserve">  </m:t>
              </m:r>
            </m:oMath>
            <w:r w:rsidR="0043492A">
              <w:t xml:space="preserve"> </w:t>
            </w:r>
          </w:p>
        </w:tc>
        <w:tc>
          <w:tcPr>
            <w:tcW w:w="2124" w:type="dxa"/>
            <w:shd w:val="clear" w:color="auto" w:fill="auto"/>
            <w:vAlign w:val="center"/>
          </w:tcPr>
          <w:p w14:paraId="705B38E4" w14:textId="2FB48EFD" w:rsidR="0043492A" w:rsidRPr="00B57B36" w:rsidRDefault="0043492A" w:rsidP="005E01FC">
            <w:pPr>
              <w:pStyle w:val="CETEquation"/>
              <w:numPr>
                <w:ilvl w:val="0"/>
                <w:numId w:val="29"/>
              </w:numPr>
              <w:jc w:val="right"/>
            </w:pPr>
          </w:p>
        </w:tc>
      </w:tr>
    </w:tbl>
    <w:p w14:paraId="243727B3" w14:textId="26E553FC" w:rsidR="00227E29" w:rsidRDefault="007E25F9" w:rsidP="00F2530B">
      <w:pPr>
        <w:pStyle w:val="CETBodytext"/>
        <w:rPr>
          <w:lang w:val="en-GB"/>
        </w:rPr>
      </w:pPr>
      <w:r>
        <w:rPr>
          <w:lang w:val="en-GB"/>
        </w:rPr>
        <w:t xml:space="preserve">If predictors are uncorrelated </w:t>
      </w:r>
      <m:oMath>
        <m:r>
          <w:rPr>
            <w:rFonts w:ascii="Cambria Math" w:hAnsi="Cambria Math"/>
            <w:lang w:val="en-GB"/>
          </w:rPr>
          <m:t>VIF=1</m:t>
        </m:r>
      </m:oMath>
      <w:r>
        <w:rPr>
          <w:lang w:val="en-GB"/>
        </w:rPr>
        <w:t xml:space="preserve">; </w:t>
      </w:r>
      <w:r w:rsidR="00B4703F">
        <w:rPr>
          <w:lang w:val="en-GB"/>
        </w:rPr>
        <w:t xml:space="preserve">if </w:t>
      </w:r>
      <m:oMath>
        <m:r>
          <w:rPr>
            <w:rFonts w:ascii="Cambria Math" w:hAnsi="Cambria Math"/>
            <w:lang w:val="en-GB"/>
          </w:rPr>
          <m:t>VIF&gt;1</m:t>
        </m:r>
      </m:oMath>
      <w:r w:rsidR="00D030CD">
        <w:rPr>
          <w:lang w:val="en-GB"/>
        </w:rPr>
        <w:t xml:space="preserve"> possible correlations exist. A cut-off value (</w:t>
      </w:r>
      <m:oMath>
        <m:r>
          <w:rPr>
            <w:rFonts w:ascii="Cambria Math" w:hAnsi="Cambria Math"/>
            <w:lang w:val="en-GB"/>
          </w:rPr>
          <m:t>VI</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MAX</m:t>
            </m:r>
          </m:sub>
        </m:sSub>
      </m:oMath>
      <w:r w:rsidR="00D030CD">
        <w:rPr>
          <w:lang w:val="en-GB"/>
        </w:rPr>
        <w:t xml:space="preserve">) of </w:t>
      </w:r>
      <w:r w:rsidR="00984576">
        <w:rPr>
          <w:lang w:val="en-GB"/>
        </w:rPr>
        <w:t>3.3 has been used in this study</w:t>
      </w:r>
      <w:r w:rsidR="00FA217B">
        <w:rPr>
          <w:lang w:val="en-GB"/>
        </w:rPr>
        <w:t xml:space="preserve"> (Besagni and </w:t>
      </w:r>
      <w:proofErr w:type="spellStart"/>
      <w:r w:rsidR="00FA217B" w:rsidRPr="00D84913">
        <w:rPr>
          <w:rStyle w:val="CETCaptionCarattere"/>
          <w:i w:val="0"/>
          <w:lang w:val="en-US"/>
        </w:rPr>
        <w:t>Borgarello</w:t>
      </w:r>
      <w:proofErr w:type="spellEnd"/>
      <w:r w:rsidR="00FA217B">
        <w:rPr>
          <w:lang w:val="en-GB"/>
        </w:rPr>
        <w:t xml:space="preserve"> , 2018) </w:t>
      </w:r>
      <w:r w:rsidR="00984576">
        <w:rPr>
          <w:lang w:val="en-GB"/>
        </w:rPr>
        <w:t>.</w:t>
      </w:r>
      <w:r w:rsidR="00532F5D">
        <w:rPr>
          <w:lang w:val="en-GB"/>
        </w:rPr>
        <w:t xml:space="preserve"> In case of multicollinearity</w:t>
      </w:r>
      <w:r w:rsidR="00F76F6D">
        <w:rPr>
          <w:lang w:val="en-GB"/>
        </w:rPr>
        <w:t xml:space="preserve">, the method </w:t>
      </w:r>
      <w:r w:rsidR="008F409A">
        <w:rPr>
          <w:lang w:val="en-GB"/>
        </w:rPr>
        <w:t xml:space="preserve">proceeds towards </w:t>
      </w:r>
      <w:proofErr w:type="spellStart"/>
      <w:r w:rsidR="008F409A" w:rsidRPr="00930074">
        <w:rPr>
          <w:lang w:val="en-GB"/>
        </w:rPr>
        <w:t>phase#b</w:t>
      </w:r>
      <w:proofErr w:type="spellEnd"/>
      <w:r w:rsidR="008F409A">
        <w:rPr>
          <w:lang w:val="en-GB"/>
        </w:rPr>
        <w:t>, conversely, it proc</w:t>
      </w:r>
      <w:r w:rsidR="008F7D9F">
        <w:rPr>
          <w:lang w:val="en-GB"/>
        </w:rPr>
        <w:t xml:space="preserve">eeds towards </w:t>
      </w:r>
      <w:proofErr w:type="spellStart"/>
      <w:r w:rsidR="008F7D9F" w:rsidRPr="00930074">
        <w:rPr>
          <w:lang w:val="en-GB"/>
        </w:rPr>
        <w:t>phase#d</w:t>
      </w:r>
      <w:proofErr w:type="spellEnd"/>
      <w:r w:rsidR="008F7D9F">
        <w:rPr>
          <w:lang w:val="en-GB"/>
        </w:rPr>
        <w:t>.</w:t>
      </w:r>
    </w:p>
    <w:p w14:paraId="39E5F4E7" w14:textId="2289D0F9" w:rsidR="000D7565" w:rsidRPr="00197263" w:rsidRDefault="000D7565" w:rsidP="000D7565">
      <w:pPr>
        <w:pStyle w:val="CETBodytext"/>
        <w:numPr>
          <w:ilvl w:val="0"/>
          <w:numId w:val="28"/>
        </w:numPr>
        <w:rPr>
          <w:b/>
          <w:bCs/>
          <w:lang w:val="en-GB"/>
        </w:rPr>
      </w:pPr>
      <w:proofErr w:type="spellStart"/>
      <w:r w:rsidRPr="000D7565">
        <w:rPr>
          <w:b/>
          <w:bCs/>
          <w:lang w:val="en-GB"/>
        </w:rPr>
        <w:t>Phase#b</w:t>
      </w:r>
      <w:proofErr w:type="spellEnd"/>
      <w:r w:rsidR="00DB7E40">
        <w:rPr>
          <w:b/>
          <w:bCs/>
          <w:lang w:val="en-GB"/>
        </w:rPr>
        <w:t>.</w:t>
      </w:r>
      <w:r w:rsidR="00DB7E40">
        <w:rPr>
          <w:lang w:val="en-GB"/>
        </w:rPr>
        <w:t xml:space="preserve"> In the case of multicollinearity, LASSO is applied. LASSO is a variable shrinkage based on penalty, which selects </w:t>
      </w:r>
      <w:r w:rsidR="0060718B">
        <w:rPr>
          <w:lang w:val="en-GB"/>
        </w:rPr>
        <w:t>relevant predictors by a constrained optimization problem, which results in the minimization of the following equation</w:t>
      </w:r>
      <w:r w:rsidR="00197263">
        <w:rPr>
          <w:lang w:val="en-GB"/>
        </w:rPr>
        <w:t>:</w:t>
      </w:r>
    </w:p>
    <w:tbl>
      <w:tblPr>
        <w:tblW w:w="5000" w:type="pct"/>
        <w:tblLook w:val="04A0" w:firstRow="1" w:lastRow="0" w:firstColumn="1" w:lastColumn="0" w:noHBand="0" w:noVBand="1"/>
      </w:tblPr>
      <w:tblGrid>
        <w:gridCol w:w="6971"/>
        <w:gridCol w:w="2032"/>
      </w:tblGrid>
      <w:tr w:rsidR="007B0738" w:rsidRPr="00B57B36" w14:paraId="2309E42A" w14:textId="77777777" w:rsidTr="00161A26">
        <w:tc>
          <w:tcPr>
            <w:tcW w:w="6804" w:type="dxa"/>
            <w:shd w:val="clear" w:color="auto" w:fill="auto"/>
            <w:vAlign w:val="center"/>
          </w:tcPr>
          <w:p w14:paraId="6B5DBE70" w14:textId="11640143" w:rsidR="00197263" w:rsidRPr="00307441" w:rsidRDefault="00000000" w:rsidP="00AB3B5C">
            <w:pPr>
              <w:pStyle w:val="CETEquation"/>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e>
                        </m:d>
                      </m:e>
                      <m:sup>
                        <m:r>
                          <w:rPr>
                            <w:rFonts w:ascii="Cambria Math" w:hAnsi="Cambria Math"/>
                          </w:rPr>
                          <m:t>2</m:t>
                        </m:r>
                      </m:sup>
                    </m:sSup>
                    <m:r>
                      <w:rPr>
                        <w:rFonts w:ascii="Cambria Math" w:hAnsi="Cambria Math"/>
                      </w:rPr>
                      <m:t>+λ</m:t>
                    </m:r>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j</m:t>
                                </m:r>
                              </m:sub>
                            </m:sSub>
                          </m:e>
                        </m:d>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E</m:t>
                            </m:r>
                          </m:sub>
                        </m:sSub>
                        <m:r>
                          <w:rPr>
                            <w:rFonts w:ascii="Cambria Math" w:hAnsi="Cambria Math"/>
                          </w:rPr>
                          <m:t>+λ</m:t>
                        </m:r>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m:t>
                            </m:r>
                          </m:e>
                        </m:nary>
                      </m:e>
                    </m:nary>
                  </m:e>
                </m:nary>
              </m:oMath>
            </m:oMathPara>
          </w:p>
        </w:tc>
        <w:tc>
          <w:tcPr>
            <w:tcW w:w="1983" w:type="dxa"/>
            <w:shd w:val="clear" w:color="auto" w:fill="auto"/>
            <w:vAlign w:val="center"/>
          </w:tcPr>
          <w:p w14:paraId="065FC4B4" w14:textId="602CA770" w:rsidR="00197263" w:rsidRPr="00B57B36" w:rsidRDefault="00197263" w:rsidP="005E01FC">
            <w:pPr>
              <w:pStyle w:val="CETEquation"/>
              <w:numPr>
                <w:ilvl w:val="0"/>
                <w:numId w:val="29"/>
              </w:numPr>
              <w:jc w:val="right"/>
            </w:pPr>
          </w:p>
        </w:tc>
      </w:tr>
    </w:tbl>
    <w:p w14:paraId="185E3DAF" w14:textId="5E8AC42F" w:rsidR="00227E29" w:rsidRDefault="00EA0B57" w:rsidP="00F2530B">
      <w:pPr>
        <w:pStyle w:val="CETBodytext"/>
        <w:rPr>
          <w:lang w:val="en-GB"/>
        </w:rPr>
      </w:pPr>
      <w:r>
        <w:rPr>
          <w:lang w:val="en-GB"/>
        </w:rPr>
        <w:t xml:space="preserve">In </w:t>
      </w:r>
      <w:proofErr w:type="spellStart"/>
      <w:r>
        <w:rPr>
          <w:lang w:val="en-GB"/>
        </w:rPr>
        <w:t>Eq</w:t>
      </w:r>
      <w:proofErr w:type="spellEnd"/>
      <w:r>
        <w:rPr>
          <w:lang w:val="en-GB"/>
        </w:rPr>
        <w:t>(</w:t>
      </w:r>
      <w:r w:rsidR="00FB30A5">
        <w:rPr>
          <w:lang w:val="en-GB"/>
        </w:rPr>
        <w:t>9</w:t>
      </w:r>
      <w:r>
        <w:rPr>
          <w:lang w:val="en-GB"/>
        </w:rPr>
        <w:t xml:space="preserve">), </w:t>
      </w:r>
      <w:r w:rsidR="00EE5919">
        <w:rPr>
          <w:lang w:val="en-GB"/>
        </w:rPr>
        <w:t>the first term is the sum of the squared residuals</w:t>
      </w:r>
      <w:r w:rsidR="00F54FE8">
        <w:rPr>
          <w:lang w:val="en-GB"/>
        </w:rPr>
        <w:t xml:space="preserve">, whereas the second term </w:t>
      </w:r>
      <w:r w:rsidR="006C22F2">
        <w:rPr>
          <w:lang w:val="en-GB"/>
        </w:rPr>
        <w:t>is the sum of the regression coefficients, so that some of these latter shrink to zero and excluded from the analysis</w:t>
      </w:r>
      <w:r w:rsidR="00E7188F">
        <w:rPr>
          <w:lang w:val="en-GB"/>
        </w:rPr>
        <w:t xml:space="preserve">. </w:t>
      </w:r>
      <m:oMath>
        <m:r>
          <w:rPr>
            <w:rFonts w:ascii="Cambria Math" w:hAnsi="Cambria Math"/>
            <w:lang w:val="en-GB"/>
          </w:rPr>
          <m:t>λ≥0</m:t>
        </m:r>
      </m:oMath>
      <w:r w:rsidR="00E93884">
        <w:rPr>
          <w:lang w:val="en-GB"/>
        </w:rPr>
        <w:t xml:space="preserve"> is a tuning parameter </w:t>
      </w:r>
      <w:r w:rsidR="00C30B16">
        <w:rPr>
          <w:lang w:val="en-GB"/>
        </w:rPr>
        <w:t xml:space="preserve">controlling the amount of </w:t>
      </w:r>
      <w:r w:rsidR="00A37A23">
        <w:rPr>
          <w:lang w:val="en-GB"/>
        </w:rPr>
        <w:t>shrinkage</w:t>
      </w:r>
      <w:r w:rsidR="001D6FBC">
        <w:rPr>
          <w:lang w:val="en-GB"/>
        </w:rPr>
        <w:t>.</w:t>
      </w:r>
      <w:r w:rsidR="00FC0916">
        <w:rPr>
          <w:lang w:val="en-GB"/>
        </w:rPr>
        <w:t xml:space="preserve"> The </w:t>
      </w:r>
      <m:oMath>
        <m:r>
          <w:rPr>
            <w:rFonts w:ascii="Cambria Math" w:hAnsi="Cambria Math"/>
            <w:lang w:val="en-GB"/>
          </w:rPr>
          <m:t>λ</m:t>
        </m:r>
      </m:oMath>
      <w:r w:rsidR="00FC0916">
        <w:rPr>
          <w:lang w:val="en-GB"/>
        </w:rPr>
        <w:t xml:space="preserve"> value</w:t>
      </w:r>
      <w:r w:rsidR="002038A1">
        <w:rPr>
          <w:lang w:val="en-GB"/>
        </w:rPr>
        <w:t xml:space="preserve"> has been selected </w:t>
      </w:r>
      <w:r w:rsidR="00804938">
        <w:rPr>
          <w:lang w:val="en-GB"/>
        </w:rPr>
        <w:t xml:space="preserve">in </w:t>
      </w:r>
      <w:r w:rsidR="00EC4BD3">
        <w:rPr>
          <w:lang w:val="en-GB"/>
        </w:rPr>
        <w:t xml:space="preserve">order to obtain a cross-validation error </w:t>
      </w:r>
      <w:r w:rsidR="00234B1B">
        <w:rPr>
          <w:lang w:val="en-GB"/>
        </w:rPr>
        <w:t>within one standard deviation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SE</m:t>
            </m:r>
          </m:sub>
        </m:sSub>
      </m:oMath>
      <w:r w:rsidR="00234B1B">
        <w:rPr>
          <w:lang w:val="en-GB"/>
        </w:rPr>
        <w:t>)</w:t>
      </w:r>
      <w:r w:rsidR="003D6B0F">
        <w:rPr>
          <w:lang w:val="en-GB"/>
        </w:rPr>
        <w:t xml:space="preserve">. </w:t>
      </w:r>
      <w:r w:rsidR="00063EAF">
        <w:rPr>
          <w:lang w:val="en-GB"/>
        </w:rPr>
        <w:t xml:space="preserve">Once the significant variables </w:t>
      </w:r>
      <w:r w:rsidR="00BA32CB">
        <w:rPr>
          <w:lang w:val="en-GB"/>
        </w:rPr>
        <w:t>have been</w:t>
      </w:r>
      <w:r w:rsidR="00115BC9">
        <w:rPr>
          <w:lang w:val="en-GB"/>
        </w:rPr>
        <w:t xml:space="preserve"> </w:t>
      </w:r>
      <w:r w:rsidR="00063EAF">
        <w:rPr>
          <w:lang w:val="en-GB"/>
        </w:rPr>
        <w:t>selected</w:t>
      </w:r>
      <w:r w:rsidR="00235A1C">
        <w:rPr>
          <w:lang w:val="en-GB"/>
        </w:rPr>
        <w:t xml:space="preserve">, OLS </w:t>
      </w:r>
      <w:r w:rsidR="00BA32CB">
        <w:rPr>
          <w:lang w:val="en-GB"/>
        </w:rPr>
        <w:t>is</w:t>
      </w:r>
      <w:r w:rsidR="00235A1C">
        <w:rPr>
          <w:lang w:val="en-GB"/>
        </w:rPr>
        <w:t xml:space="preserve"> repeated with the remaining variables; </w:t>
      </w:r>
      <w:r w:rsidR="001609F7">
        <w:rPr>
          <w:lang w:val="en-GB"/>
        </w:rPr>
        <w:t xml:space="preserve">finally VIFs </w:t>
      </w:r>
      <w:r w:rsidR="00BA32CB">
        <w:rPr>
          <w:lang w:val="en-GB"/>
        </w:rPr>
        <w:t>are</w:t>
      </w:r>
      <w:r w:rsidR="001609F7">
        <w:rPr>
          <w:lang w:val="en-GB"/>
        </w:rPr>
        <w:t xml:space="preserve"> inspected again: if multicollinearity </w:t>
      </w:r>
      <w:r w:rsidR="00551810">
        <w:rPr>
          <w:lang w:val="en-GB"/>
        </w:rPr>
        <w:t>has</w:t>
      </w:r>
      <w:r w:rsidR="00955B0D">
        <w:rPr>
          <w:lang w:val="en-GB"/>
        </w:rPr>
        <w:t xml:space="preserve"> not</w:t>
      </w:r>
      <w:r w:rsidR="00551810">
        <w:rPr>
          <w:lang w:val="en-GB"/>
        </w:rPr>
        <w:t xml:space="preserve"> been</w:t>
      </w:r>
      <w:r w:rsidR="00955B0D">
        <w:rPr>
          <w:lang w:val="en-GB"/>
        </w:rPr>
        <w:t xml:space="preserve"> detected, the method</w:t>
      </w:r>
      <w:r w:rsidR="00551810">
        <w:rPr>
          <w:lang w:val="en-GB"/>
        </w:rPr>
        <w:t xml:space="preserve"> is completed; conversely, the method proceeds to </w:t>
      </w:r>
      <w:proofErr w:type="spellStart"/>
      <w:r w:rsidR="00551810" w:rsidRPr="00E55C45">
        <w:rPr>
          <w:lang w:val="en-GB"/>
        </w:rPr>
        <w:t>phase#c</w:t>
      </w:r>
      <w:proofErr w:type="spellEnd"/>
      <w:r w:rsidR="00362E22">
        <w:rPr>
          <w:lang w:val="en-GB"/>
        </w:rPr>
        <w:t>.</w:t>
      </w:r>
      <w:r w:rsidR="00955B0D">
        <w:rPr>
          <w:lang w:val="en-GB"/>
        </w:rPr>
        <w:t xml:space="preserve"> </w:t>
      </w:r>
    </w:p>
    <w:p w14:paraId="42EB5759" w14:textId="5349757B" w:rsidR="00362E22" w:rsidRPr="002615AF" w:rsidRDefault="00362E22" w:rsidP="00362E22">
      <w:pPr>
        <w:pStyle w:val="CETBodytext"/>
        <w:numPr>
          <w:ilvl w:val="0"/>
          <w:numId w:val="28"/>
        </w:numPr>
        <w:rPr>
          <w:b/>
          <w:bCs/>
          <w:lang w:val="en-GB"/>
        </w:rPr>
      </w:pPr>
      <w:proofErr w:type="spellStart"/>
      <w:r w:rsidRPr="00362E22">
        <w:rPr>
          <w:b/>
          <w:bCs/>
          <w:lang w:val="en-GB"/>
        </w:rPr>
        <w:t>Phase#c</w:t>
      </w:r>
      <w:proofErr w:type="spellEnd"/>
      <w:r w:rsidRPr="00362E22">
        <w:rPr>
          <w:b/>
          <w:bCs/>
          <w:lang w:val="en-GB"/>
        </w:rPr>
        <w:t>.</w:t>
      </w:r>
      <w:r w:rsidR="0094423D">
        <w:rPr>
          <w:b/>
          <w:bCs/>
          <w:lang w:val="en-GB"/>
        </w:rPr>
        <w:t xml:space="preserve"> </w:t>
      </w:r>
      <w:r w:rsidR="0094423D">
        <w:rPr>
          <w:lang w:val="en-GB"/>
        </w:rPr>
        <w:t xml:space="preserve">A selection of predictors is accomplished by eliminating the least significant </w:t>
      </w:r>
      <w:r w:rsidR="006E48FF">
        <w:rPr>
          <w:lang w:val="en-GB"/>
        </w:rPr>
        <w:t xml:space="preserve">predictors one by one and, at each step, the changes in </w:t>
      </w:r>
      <m:oMath>
        <m:sSubSup>
          <m:sSubSupPr>
            <m:ctrlPr>
              <w:rPr>
                <w:rFonts w:ascii="Cambria Math" w:hAnsi="Cambria Math"/>
                <w:i/>
                <w:lang w:val="en-GB"/>
              </w:rPr>
            </m:ctrlPr>
          </m:sSubSupPr>
          <m:e>
            <m:r>
              <w:rPr>
                <w:rFonts w:ascii="Cambria Math" w:hAnsi="Cambria Math"/>
                <w:lang w:val="en-GB"/>
              </w:rPr>
              <m:t>R</m:t>
            </m:r>
          </m:e>
          <m:sub>
            <m:r>
              <w:rPr>
                <w:rFonts w:ascii="Cambria Math" w:hAnsi="Cambria Math"/>
                <w:lang w:val="en-GB"/>
              </w:rPr>
              <m:t>adj</m:t>
            </m:r>
          </m:sub>
          <m:sup>
            <m:r>
              <w:rPr>
                <w:rFonts w:ascii="Cambria Math" w:hAnsi="Cambria Math"/>
                <w:lang w:val="en-GB"/>
              </w:rPr>
              <m:t>2</m:t>
            </m:r>
          </m:sup>
        </m:sSubSup>
      </m:oMath>
      <w:r w:rsidR="00B35D6B">
        <w:rPr>
          <w:lang w:val="en-GB"/>
        </w:rPr>
        <w:t xml:space="preserve"> are monitored (a reduction of </w:t>
      </w:r>
      <m:oMath>
        <m:sSubSup>
          <m:sSubSupPr>
            <m:ctrlPr>
              <w:rPr>
                <w:rFonts w:ascii="Cambria Math" w:hAnsi="Cambria Math"/>
                <w:i/>
                <w:lang w:val="en-GB"/>
              </w:rPr>
            </m:ctrlPr>
          </m:sSubSupPr>
          <m:e>
            <m:r>
              <w:rPr>
                <w:rFonts w:ascii="Cambria Math" w:hAnsi="Cambria Math"/>
                <w:lang w:val="en-GB"/>
              </w:rPr>
              <m:t>R</m:t>
            </m:r>
          </m:e>
          <m:sub>
            <m:r>
              <w:rPr>
                <w:rFonts w:ascii="Cambria Math" w:hAnsi="Cambria Math"/>
                <w:lang w:val="en-GB"/>
              </w:rPr>
              <m:t>adj</m:t>
            </m:r>
          </m:sub>
          <m:sup>
            <m:r>
              <w:rPr>
                <w:rFonts w:ascii="Cambria Math" w:hAnsi="Cambria Math"/>
                <w:lang w:val="en-GB"/>
              </w:rPr>
              <m:t>2</m:t>
            </m:r>
          </m:sup>
        </m:sSubSup>
      </m:oMath>
      <w:r w:rsidR="00B35D6B">
        <w:rPr>
          <w:lang w:val="en-GB"/>
        </w:rPr>
        <w:t xml:space="preserve"> is considered acceptable </w:t>
      </w:r>
      <w:r w:rsidR="005A71D4">
        <w:rPr>
          <w:lang w:val="en-GB"/>
        </w:rPr>
        <w:t>if within 0.5 %) and the VIFs are evaluated</w:t>
      </w:r>
      <w:r w:rsidR="00E151A3">
        <w:rPr>
          <w:lang w:val="en-GB"/>
        </w:rPr>
        <w:t xml:space="preserve"> (in this phase </w:t>
      </w:r>
      <m:oMath>
        <m:r>
          <w:rPr>
            <w:rFonts w:ascii="Cambria Math" w:hAnsi="Cambria Math"/>
            <w:lang w:val="en-GB"/>
          </w:rPr>
          <m:t>VI</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MAX</m:t>
            </m:r>
          </m:sub>
        </m:sSub>
        <m:r>
          <w:rPr>
            <w:rFonts w:ascii="Cambria Math" w:hAnsi="Cambria Math"/>
            <w:lang w:val="en-GB"/>
          </w:rPr>
          <m:t>=10</m:t>
        </m:r>
      </m:oMath>
      <w:r w:rsidR="00D84913">
        <w:rPr>
          <w:lang w:val="en-GB"/>
        </w:rPr>
        <w:t xml:space="preserve"> </w:t>
      </w:r>
      <w:r w:rsidR="00FA217B">
        <w:rPr>
          <w:lang w:val="en-GB"/>
        </w:rPr>
        <w:t>(</w:t>
      </w:r>
      <w:r w:rsidR="00D84913">
        <w:rPr>
          <w:lang w:val="en-GB"/>
        </w:rPr>
        <w:t xml:space="preserve">Besagni </w:t>
      </w:r>
      <w:r w:rsidR="00FA217B">
        <w:rPr>
          <w:lang w:val="en-GB"/>
        </w:rPr>
        <w:t xml:space="preserve">and </w:t>
      </w:r>
      <w:proofErr w:type="spellStart"/>
      <w:r w:rsidR="00FA217B" w:rsidRPr="00D84913">
        <w:rPr>
          <w:rStyle w:val="CETCaptionCarattere"/>
          <w:i w:val="0"/>
          <w:lang w:val="en-US"/>
        </w:rPr>
        <w:t>Borgarello</w:t>
      </w:r>
      <w:proofErr w:type="spellEnd"/>
      <w:r w:rsidR="00FA217B" w:rsidRPr="00D84913">
        <w:rPr>
          <w:rStyle w:val="CETCaptionCarattere"/>
          <w:i w:val="0"/>
          <w:lang w:val="en-US"/>
        </w:rPr>
        <w:t xml:space="preserve"> </w:t>
      </w:r>
      <w:r w:rsidR="00D84913">
        <w:rPr>
          <w:lang w:val="en-GB"/>
        </w:rPr>
        <w:t>2018</w:t>
      </w:r>
      <w:r w:rsidR="00FA217B">
        <w:rPr>
          <w:lang w:val="en-GB"/>
        </w:rPr>
        <w:t>)</w:t>
      </w:r>
      <w:r w:rsidR="00E151A3">
        <w:rPr>
          <w:lang w:val="en-GB"/>
        </w:rPr>
        <w:t>).</w:t>
      </w:r>
    </w:p>
    <w:p w14:paraId="3F7BA58E" w14:textId="6EADD3B7" w:rsidR="00AD4BB5" w:rsidRPr="005E11DC" w:rsidRDefault="002615AF" w:rsidP="005E11DC">
      <w:pPr>
        <w:pStyle w:val="CETBodytext"/>
        <w:numPr>
          <w:ilvl w:val="0"/>
          <w:numId w:val="28"/>
        </w:numPr>
        <w:rPr>
          <w:b/>
          <w:bCs/>
          <w:lang w:val="en-GB"/>
        </w:rPr>
      </w:pPr>
      <w:proofErr w:type="spellStart"/>
      <w:r>
        <w:rPr>
          <w:b/>
          <w:bCs/>
          <w:lang w:val="en-GB"/>
        </w:rPr>
        <w:lastRenderedPageBreak/>
        <w:t>Phase#d</w:t>
      </w:r>
      <w:proofErr w:type="spellEnd"/>
      <w:r w:rsidR="00863858">
        <w:rPr>
          <w:b/>
          <w:bCs/>
          <w:lang w:val="en-GB"/>
        </w:rPr>
        <w:t xml:space="preserve">. </w:t>
      </w:r>
      <w:r w:rsidR="00D21ACB">
        <w:rPr>
          <w:lang w:val="en-GB"/>
        </w:rPr>
        <w:t xml:space="preserve">A </w:t>
      </w:r>
      <w:r w:rsidR="00231378">
        <w:rPr>
          <w:lang w:val="en-GB"/>
        </w:rPr>
        <w:t xml:space="preserve">selection of the predictors is obtained through the recursive procedure described in </w:t>
      </w:r>
      <w:proofErr w:type="spellStart"/>
      <w:r w:rsidR="00231378" w:rsidRPr="00231378">
        <w:rPr>
          <w:i/>
          <w:iCs/>
          <w:lang w:val="en-GB"/>
        </w:rPr>
        <w:t>phase#c</w:t>
      </w:r>
      <w:proofErr w:type="spellEnd"/>
      <w:r w:rsidR="00A12461">
        <w:rPr>
          <w:i/>
          <w:iCs/>
          <w:lang w:val="en-GB"/>
        </w:rPr>
        <w:t xml:space="preserve">; </w:t>
      </w:r>
      <w:r w:rsidR="00A12461">
        <w:rPr>
          <w:lang w:val="en-GB"/>
        </w:rPr>
        <w:t xml:space="preserve">in this </w:t>
      </w:r>
      <w:r w:rsidR="00D2192F">
        <w:rPr>
          <w:lang w:val="en-GB"/>
        </w:rPr>
        <w:t xml:space="preserve">phase, a reduction of </w:t>
      </w:r>
      <m:oMath>
        <m:sSubSup>
          <m:sSubSupPr>
            <m:ctrlPr>
              <w:rPr>
                <w:rFonts w:ascii="Cambria Math" w:hAnsi="Cambria Math"/>
                <w:i/>
                <w:lang w:val="en-GB"/>
              </w:rPr>
            </m:ctrlPr>
          </m:sSubSupPr>
          <m:e>
            <m:r>
              <w:rPr>
                <w:rFonts w:ascii="Cambria Math" w:hAnsi="Cambria Math"/>
                <w:lang w:val="en-GB"/>
              </w:rPr>
              <m:t>R</m:t>
            </m:r>
          </m:e>
          <m:sub>
            <m:r>
              <w:rPr>
                <w:rFonts w:ascii="Cambria Math" w:hAnsi="Cambria Math"/>
                <w:lang w:val="en-GB"/>
              </w:rPr>
              <m:t>adj</m:t>
            </m:r>
          </m:sub>
          <m:sup>
            <m:r>
              <w:rPr>
                <w:rFonts w:ascii="Cambria Math" w:hAnsi="Cambria Math"/>
                <w:lang w:val="en-GB"/>
              </w:rPr>
              <m:t>2</m:t>
            </m:r>
          </m:sup>
        </m:sSubSup>
      </m:oMath>
      <w:r w:rsidR="00D2192F">
        <w:rPr>
          <w:lang w:val="en-GB"/>
        </w:rPr>
        <w:t xml:space="preserve"> is considered acceptance if within 0.2 %)</w:t>
      </w:r>
      <w:r w:rsidR="005E11DC">
        <w:rPr>
          <w:lang w:val="en-GB"/>
        </w:rPr>
        <w:t>.</w:t>
      </w:r>
    </w:p>
    <w:p w14:paraId="50566C42" w14:textId="68533E32" w:rsidR="005E11DC" w:rsidRPr="005E11DC" w:rsidRDefault="005E11DC" w:rsidP="005E11DC">
      <w:pPr>
        <w:pStyle w:val="CETBodytext"/>
        <w:keepNext/>
        <w:spacing w:before="240"/>
      </w:pPr>
      <w:r w:rsidRPr="005E11DC">
        <w:rPr>
          <w:noProof/>
        </w:rPr>
        <w:drawing>
          <wp:inline distT="0" distB="0" distL="0" distR="0" wp14:anchorId="46DF5B9F" wp14:editId="3E8E7924">
            <wp:extent cx="5830920" cy="2542857"/>
            <wp:effectExtent l="0" t="0" r="0" b="0"/>
            <wp:docPr id="36" name="Immagine 36"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descr="Immagine che contiene diagramma&#10;&#10;Descrizione generata automaticamente"/>
                    <pic:cNvPicPr/>
                  </pic:nvPicPr>
                  <pic:blipFill>
                    <a:blip r:embed="rId12"/>
                    <a:stretch>
                      <a:fillRect/>
                    </a:stretch>
                  </pic:blipFill>
                  <pic:spPr>
                    <a:xfrm>
                      <a:off x="0" y="0"/>
                      <a:ext cx="5839451" cy="2546577"/>
                    </a:xfrm>
                    <a:prstGeom prst="rect">
                      <a:avLst/>
                    </a:prstGeom>
                  </pic:spPr>
                </pic:pic>
              </a:graphicData>
            </a:graphic>
          </wp:inline>
        </w:drawing>
      </w:r>
      <w:r w:rsidR="00AD4BB5" w:rsidRPr="005E11DC">
        <w:rPr>
          <w:rStyle w:val="CETCaptionCarattere"/>
        </w:rPr>
        <w:t xml:space="preserve">Figure </w:t>
      </w:r>
      <w:r w:rsidR="00AD4BB5" w:rsidRPr="005E11DC">
        <w:rPr>
          <w:rStyle w:val="CETCaptionCarattere"/>
        </w:rPr>
        <w:fldChar w:fldCharType="begin"/>
      </w:r>
      <w:r w:rsidR="00AD4BB5" w:rsidRPr="005E11DC">
        <w:rPr>
          <w:rStyle w:val="CETCaptionCarattere"/>
        </w:rPr>
        <w:instrText xml:space="preserve"> SEQ Figure \* ARABIC </w:instrText>
      </w:r>
      <w:r w:rsidR="00AD4BB5" w:rsidRPr="005E11DC">
        <w:rPr>
          <w:rStyle w:val="CETCaptionCarattere"/>
        </w:rPr>
        <w:fldChar w:fldCharType="separate"/>
      </w:r>
      <w:r w:rsidR="00AD4BB5" w:rsidRPr="005E11DC">
        <w:rPr>
          <w:rStyle w:val="CETCaptionCarattere"/>
        </w:rPr>
        <w:t>3</w:t>
      </w:r>
      <w:r w:rsidR="00AD4BB5" w:rsidRPr="005E11DC">
        <w:rPr>
          <w:rStyle w:val="CETCaptionCarattere"/>
        </w:rPr>
        <w:fldChar w:fldCharType="end"/>
      </w:r>
      <w:r w:rsidR="00003696" w:rsidRPr="005E11DC">
        <w:rPr>
          <w:rStyle w:val="CETCaptionCarattere"/>
        </w:rPr>
        <w:t>:</w:t>
      </w:r>
      <w:r>
        <w:rPr>
          <w:rStyle w:val="CETCaptionCarattere"/>
        </w:rPr>
        <w:t xml:space="preserve"> Statistical procedure (a) and OLS-VIF-LASSO procedure (b) overview. </w:t>
      </w:r>
      <w:r w:rsidR="00564819">
        <w:t xml:space="preserve">     </w:t>
      </w:r>
    </w:p>
    <w:p w14:paraId="1F4F40A4" w14:textId="3884AEF8" w:rsidR="00227E29" w:rsidRDefault="00811CA5" w:rsidP="003B3AB8">
      <w:pPr>
        <w:pStyle w:val="CETheadingx"/>
        <w:numPr>
          <w:ilvl w:val="0"/>
          <w:numId w:val="0"/>
        </w:numPr>
      </w:pPr>
      <w:r>
        <w:t>Segmentation</w:t>
      </w:r>
    </w:p>
    <w:p w14:paraId="59660132" w14:textId="1D7160A8" w:rsidR="00227E29" w:rsidRDefault="00937AF8" w:rsidP="00F2530B">
      <w:pPr>
        <w:pStyle w:val="CETBodytext"/>
        <w:rPr>
          <w:color w:val="000000"/>
        </w:rPr>
      </w:pPr>
      <w:r w:rsidRPr="009C562F">
        <w:t>The Classification and Regression Tree (CART) approach</w:t>
      </w:r>
      <w:r w:rsidR="00260161">
        <w:rPr>
          <w:color w:val="000000"/>
        </w:rPr>
        <w:t xml:space="preserve"> is based on a binary and recursive partitioning o</w:t>
      </w:r>
      <w:r w:rsidR="00D33C19">
        <w:rPr>
          <w:color w:val="000000"/>
        </w:rPr>
        <w:t>f the dataset and uses a flowchart-like tree structure to divide the entire dataset in</w:t>
      </w:r>
      <w:r w:rsidR="00E7190A">
        <w:rPr>
          <w:color w:val="000000"/>
        </w:rPr>
        <w:t>to homogeneous clusters.</w:t>
      </w:r>
      <w:r w:rsidR="00980CA7">
        <w:rPr>
          <w:color w:val="000000"/>
        </w:rPr>
        <w:t xml:space="preserve"> The </w:t>
      </w:r>
      <w:r w:rsidR="005865CB">
        <w:rPr>
          <w:color w:val="000000"/>
        </w:rPr>
        <w:t>splitting</w:t>
      </w:r>
      <w:r w:rsidR="00980CA7">
        <w:rPr>
          <w:color w:val="000000"/>
        </w:rPr>
        <w:t xml:space="preserve"> is based on the selection of the independent </w:t>
      </w:r>
      <w:r w:rsidR="005865CB">
        <w:rPr>
          <w:color w:val="000000"/>
        </w:rPr>
        <w:t xml:space="preserve">variable which allow </w:t>
      </w:r>
      <w:r w:rsidR="003A10D4">
        <w:rPr>
          <w:color w:val="000000"/>
        </w:rPr>
        <w:t>the largest reduction in Eq(1</w:t>
      </w:r>
      <w:r w:rsidR="00F2073C">
        <w:rPr>
          <w:color w:val="000000"/>
        </w:rPr>
        <w:t>0</w:t>
      </w:r>
      <w:r w:rsidR="003A10D4">
        <w:rPr>
          <w:color w:val="000000"/>
        </w:rPr>
        <w:t>)</w:t>
      </w:r>
      <w:r w:rsidR="009F41DC">
        <w:rPr>
          <w:color w:val="000000"/>
        </w:rPr>
        <w:t>:</w:t>
      </w:r>
    </w:p>
    <w:tbl>
      <w:tblPr>
        <w:tblW w:w="5000" w:type="pct"/>
        <w:tblLook w:val="04A0" w:firstRow="1" w:lastRow="0" w:firstColumn="1" w:lastColumn="0" w:noHBand="0" w:noVBand="1"/>
      </w:tblPr>
      <w:tblGrid>
        <w:gridCol w:w="6971"/>
        <w:gridCol w:w="2032"/>
      </w:tblGrid>
      <w:tr w:rsidR="00161A26" w:rsidRPr="00B57B36" w14:paraId="0856766B" w14:textId="77777777" w:rsidTr="00AB3B5C">
        <w:tc>
          <w:tcPr>
            <w:tcW w:w="6804" w:type="dxa"/>
            <w:shd w:val="clear" w:color="auto" w:fill="auto"/>
            <w:vAlign w:val="center"/>
          </w:tcPr>
          <w:p w14:paraId="6B375885" w14:textId="14AA010A" w:rsidR="00161A26" w:rsidRPr="00307441" w:rsidRDefault="00161A26" w:rsidP="00AB3B5C">
            <w:pPr>
              <w:pStyle w:val="CETEquation"/>
            </w:pPr>
            <m:oMathPara>
              <m:oMathParaPr>
                <m:jc m:val="left"/>
              </m:oMathParaPr>
              <m:oMath>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m:t>
                </m:r>
              </m:oMath>
            </m:oMathPara>
          </w:p>
        </w:tc>
        <w:tc>
          <w:tcPr>
            <w:tcW w:w="1983" w:type="dxa"/>
            <w:shd w:val="clear" w:color="auto" w:fill="auto"/>
            <w:vAlign w:val="center"/>
          </w:tcPr>
          <w:p w14:paraId="454BCF24" w14:textId="77777777" w:rsidR="00161A26" w:rsidRPr="00B57B36" w:rsidRDefault="00161A26" w:rsidP="005E01FC">
            <w:pPr>
              <w:pStyle w:val="CETEquation"/>
              <w:numPr>
                <w:ilvl w:val="0"/>
                <w:numId w:val="29"/>
              </w:numPr>
              <w:jc w:val="right"/>
            </w:pPr>
          </w:p>
        </w:tc>
      </w:tr>
    </w:tbl>
    <w:p w14:paraId="03A67958" w14:textId="77777777" w:rsidR="002C27A7" w:rsidRDefault="00C530E8" w:rsidP="00F2530B">
      <w:pPr>
        <w:pStyle w:val="CETBodytext"/>
        <w:rPr>
          <w:color w:val="000000"/>
        </w:rPr>
      </w:pPr>
      <w:r>
        <w:rPr>
          <w:color w:val="000000"/>
        </w:rPr>
        <w:t xml:space="preserve">Where </w:t>
      </w:r>
      <m:oMath>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P</m:t>
            </m:r>
          </m:sub>
        </m:sSub>
        <m:r>
          <w:rPr>
            <w:rFonts w:ascii="Cambria Math" w:hAnsi="Cambria Math"/>
            <w:color w:val="000000"/>
          </w:rPr>
          <m:t>=</m:t>
        </m:r>
        <m:nary>
          <m:naryPr>
            <m:chr m:val="∑"/>
            <m:limLoc m:val="undOvr"/>
            <m:subHide m:val="1"/>
            <m:supHide m:val="1"/>
            <m:ctrlPr>
              <w:rPr>
                <w:rFonts w:ascii="Cambria Math" w:hAnsi="Cambria Math"/>
                <w:i/>
                <w:color w:val="000000"/>
              </w:rPr>
            </m:ctrlPr>
          </m:naryPr>
          <m:sub/>
          <m:sup/>
          <m:e>
            <m:r>
              <w:rPr>
                <w:rFonts w:ascii="Cambria Math" w:hAnsi="Cambria Math"/>
                <w:color w:val="000000"/>
              </w:rPr>
              <m:t>(z- </m:t>
            </m:r>
            <m:acc>
              <m:accPr>
                <m:chr m:val="̅"/>
                <m:ctrlPr>
                  <w:rPr>
                    <w:rFonts w:ascii="Cambria Math" w:hAnsi="Cambria Math"/>
                    <w:i/>
                    <w:color w:val="000000"/>
                  </w:rPr>
                </m:ctrlPr>
              </m:accPr>
              <m:e>
                <m:r>
                  <w:rPr>
                    <w:rFonts w:ascii="Cambria Math" w:hAnsi="Cambria Math"/>
                    <w:color w:val="000000"/>
                  </w:rPr>
                  <m:t>z</m:t>
                </m:r>
              </m:e>
            </m:acc>
            <m:r>
              <w:rPr>
                <w:rFonts w:ascii="Cambria Math" w:hAnsi="Cambria Math"/>
                <w:color w:val="000000"/>
              </w:rPr>
              <m:t>)</m:t>
            </m:r>
          </m:e>
        </m:nary>
      </m:oMath>
      <w:r w:rsidR="001D6ACE">
        <w:rPr>
          <w:color w:val="000000"/>
        </w:rPr>
        <w:t xml:space="preserve"> is the sum of </w:t>
      </w:r>
      <w:r w:rsidR="00EC1C74">
        <w:rPr>
          <w:color w:val="000000"/>
        </w:rPr>
        <w:t xml:space="preserve">the </w:t>
      </w:r>
      <w:r w:rsidR="001D6ACE">
        <w:rPr>
          <w:color w:val="000000"/>
        </w:rPr>
        <w:t>squares</w:t>
      </w:r>
      <w:r w:rsidR="00EC1C74">
        <w:rPr>
          <w:color w:val="000000"/>
        </w:rPr>
        <w:t xml:space="preserve"> of the parent node and </w:t>
      </w:r>
      <m:oMath>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L</m:t>
            </m:r>
          </m:sub>
        </m:sSub>
      </m:oMath>
      <w:r w:rsidR="00EC1C74">
        <w:rPr>
          <w:color w:val="000000"/>
        </w:rPr>
        <w:t xml:space="preserve"> and </w:t>
      </w:r>
      <m:oMath>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R</m:t>
            </m:r>
          </m:sub>
        </m:sSub>
      </m:oMath>
      <w:r w:rsidR="004119CF">
        <w:rPr>
          <w:color w:val="000000"/>
        </w:rPr>
        <w:t xml:space="preserve"> are the sum of the squares of the left and right </w:t>
      </w:r>
      <w:r w:rsidR="0012772E">
        <w:rPr>
          <w:color w:val="000000"/>
        </w:rPr>
        <w:t>children nodes. The splitting is controlled by the complexity parameter (</w:t>
      </w:r>
      <m:oMath>
        <m:r>
          <w:rPr>
            <w:rFonts w:ascii="Cambria Math" w:hAnsi="Cambria Math"/>
            <w:color w:val="000000"/>
          </w:rPr>
          <m:t>cp</m:t>
        </m:r>
      </m:oMath>
      <w:r w:rsidR="0012772E">
        <w:rPr>
          <w:color w:val="000000"/>
        </w:rPr>
        <w:t xml:space="preserve">): at every split </w:t>
      </w: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CART</m:t>
            </m:r>
          </m:sub>
          <m:sup>
            <m:r>
              <w:rPr>
                <w:rFonts w:ascii="Cambria Math" w:hAnsi="Cambria Math"/>
                <w:color w:val="000000"/>
              </w:rPr>
              <m:t>2</m:t>
            </m:r>
          </m:sup>
        </m:sSubSup>
      </m:oMath>
      <w:r w:rsidR="00B52D34">
        <w:rPr>
          <w:color w:val="000000"/>
        </w:rPr>
        <w:t xml:space="preserve"> should increase of, at least, </w:t>
      </w:r>
      <m:oMath>
        <m:r>
          <w:rPr>
            <w:rFonts w:ascii="Cambria Math" w:hAnsi="Cambria Math"/>
            <w:color w:val="000000"/>
          </w:rPr>
          <m:t>cp</m:t>
        </m:r>
      </m:oMath>
      <w:r w:rsidR="00B52D34">
        <w:rPr>
          <w:color w:val="000000"/>
        </w:rPr>
        <w:t xml:space="preserve">, where </w:t>
      </w: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CART</m:t>
            </m:r>
          </m:sub>
          <m:sup>
            <m:r>
              <w:rPr>
                <w:rFonts w:ascii="Cambria Math" w:hAnsi="Cambria Math"/>
                <w:color w:val="000000"/>
              </w:rPr>
              <m:t>2</m:t>
            </m:r>
          </m:sup>
        </m:sSubSup>
      </m:oMath>
      <w:r w:rsidR="002C27A7">
        <w:rPr>
          <w:color w:val="000000"/>
        </w:rPr>
        <w:t xml:space="preserve"> is defined as follows:</w:t>
      </w:r>
    </w:p>
    <w:p w14:paraId="3ABBABF0" w14:textId="77777777" w:rsidR="002C27A7" w:rsidRDefault="001D6ACE" w:rsidP="00F2530B">
      <w:pPr>
        <w:pStyle w:val="CETBodytext"/>
        <w:rPr>
          <w:color w:val="000000"/>
        </w:rPr>
      </w:pPr>
      <w:r>
        <w:rPr>
          <w:color w:val="000000"/>
        </w:rPr>
        <w:t xml:space="preserve"> </w:t>
      </w:r>
    </w:p>
    <w:tbl>
      <w:tblPr>
        <w:tblW w:w="5000" w:type="pct"/>
        <w:tblLook w:val="04A0" w:firstRow="1" w:lastRow="0" w:firstColumn="1" w:lastColumn="0" w:noHBand="0" w:noVBand="1"/>
      </w:tblPr>
      <w:tblGrid>
        <w:gridCol w:w="6971"/>
        <w:gridCol w:w="2032"/>
      </w:tblGrid>
      <w:tr w:rsidR="002C27A7" w:rsidRPr="00B57B36" w14:paraId="034D8386" w14:textId="77777777" w:rsidTr="00AB3B5C">
        <w:tc>
          <w:tcPr>
            <w:tcW w:w="6804" w:type="dxa"/>
            <w:shd w:val="clear" w:color="auto" w:fill="auto"/>
            <w:vAlign w:val="center"/>
          </w:tcPr>
          <w:p w14:paraId="4CBFE397" w14:textId="0315B0D9" w:rsidR="002C27A7" w:rsidRPr="00307441" w:rsidRDefault="00000000" w:rsidP="00AB3B5C">
            <w:pPr>
              <w:pStyle w:val="CETEquation"/>
            </w:pPr>
            <m:oMathPara>
              <m:oMathParaPr>
                <m:jc m:val="left"/>
              </m:oMathParaPr>
              <m:oMath>
                <m:sSubSup>
                  <m:sSubSupPr>
                    <m:ctrlPr>
                      <w:rPr>
                        <w:rFonts w:ascii="Cambria Math" w:hAnsi="Cambria Math"/>
                        <w:i/>
                      </w:rPr>
                    </m:ctrlPr>
                  </m:sSubSupPr>
                  <m:e>
                    <m:r>
                      <w:rPr>
                        <w:rFonts w:ascii="Cambria Math" w:hAnsi="Cambria Math"/>
                      </w:rPr>
                      <m:t>R</m:t>
                    </m:r>
                  </m:e>
                  <m:sub>
                    <m:r>
                      <w:rPr>
                        <w:rFonts w:ascii="Cambria Math" w:hAnsi="Cambria Math"/>
                      </w:rPr>
                      <m:t>CART</m:t>
                    </m:r>
                  </m:sub>
                  <m:sup>
                    <m:r>
                      <w:rPr>
                        <w:rFonts w:ascii="Cambria Math" w:hAnsi="Cambria Math"/>
                      </w:rPr>
                      <m:t>2</m:t>
                    </m:r>
                  </m:sup>
                </m:sSubSup>
                <m:r>
                  <w:rPr>
                    <w:rFonts w:ascii="Cambria Math" w:hAnsi="Cambria Math"/>
                  </w:rPr>
                  <m:t>=1-</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t∈</m:t>
                        </m:r>
                        <m:acc>
                          <m:accPr>
                            <m:chr m:val="̃"/>
                            <m:ctrlPr>
                              <w:rPr>
                                <w:rFonts w:ascii="Cambria Math" w:hAnsi="Cambria Math"/>
                                <w:i/>
                              </w:rPr>
                            </m:ctrlPr>
                          </m:accPr>
                          <m:e>
                            <m:r>
                              <w:rPr>
                                <w:rFonts w:ascii="Cambria Math" w:hAnsi="Cambria Math"/>
                              </w:rPr>
                              <m:t>T</m:t>
                            </m:r>
                          </m:e>
                        </m:acc>
                      </m:sub>
                      <m:sup/>
                      <m:e>
                        <m:nary>
                          <m:naryPr>
                            <m:chr m:val="∑"/>
                            <m:limLoc m:val="subSup"/>
                            <m:supHide m:val="1"/>
                            <m:ctrlPr>
                              <w:rPr>
                                <w:rFonts w:ascii="Cambria Math" w:hAnsi="Cambria Math"/>
                                <w:i/>
                              </w:rPr>
                            </m:ctrlPr>
                          </m:naryPr>
                          <m:sub>
                            <m:r>
                              <w:rPr>
                                <w:rFonts w:ascii="Cambria Math" w:hAnsi="Cambria Math"/>
                              </w:rPr>
                              <m:t>i∈</m:t>
                            </m:r>
                            <m:acc>
                              <m:accPr>
                                <m:chr m:val="̃"/>
                                <m:ctrlPr>
                                  <w:rPr>
                                    <w:rFonts w:ascii="Cambria Math" w:hAnsi="Cambria Math"/>
                                    <w:i/>
                                  </w:rPr>
                                </m:ctrlPr>
                              </m:accPr>
                              <m:e>
                                <m:r>
                                  <w:rPr>
                                    <w:rFonts w:ascii="Cambria Math" w:hAnsi="Cambria Math"/>
                                  </w:rPr>
                                  <m:t>t</m:t>
                                </m:r>
                              </m:e>
                            </m:acc>
                          </m:sub>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z</m:t>
                                        </m:r>
                                      </m:e>
                                    </m:acc>
                                    <m:d>
                                      <m:dPr>
                                        <m:ctrlPr>
                                          <w:rPr>
                                            <w:rFonts w:ascii="Cambria Math" w:hAnsi="Cambria Math"/>
                                            <w:i/>
                                          </w:rPr>
                                        </m:ctrlPr>
                                      </m:dPr>
                                      <m:e>
                                        <m:r>
                                          <w:rPr>
                                            <w:rFonts w:ascii="Cambria Math" w:hAnsi="Cambria Math"/>
                                          </w:rPr>
                                          <m:t>t</m:t>
                                        </m:r>
                                      </m:e>
                                    </m:d>
                                  </m:e>
                                </m:d>
                              </m:e>
                              <m:sup>
                                <m:r>
                                  <w:rPr>
                                    <w:rFonts w:ascii="Cambria Math" w:hAnsi="Cambria Math"/>
                                  </w:rPr>
                                  <m:t>2</m:t>
                                </m:r>
                              </m:sup>
                            </m:sSup>
                          </m:e>
                        </m:nary>
                      </m:e>
                    </m:nary>
                  </m:num>
                  <m:den>
                    <m:limLow>
                      <m:limLowPr>
                        <m:ctrlPr>
                          <w:rPr>
                            <w:rFonts w:ascii="Cambria Math" w:hAnsi="Cambria Math"/>
                            <w:i/>
                          </w:rPr>
                        </m:ctrlPr>
                      </m:limLowPr>
                      <m:e>
                        <m:groupChr>
                          <m:groupChrPr>
                            <m:ctrlPr>
                              <w:rPr>
                                <w:rFonts w:ascii="Cambria Math" w:hAnsi="Cambria Math"/>
                                <w:i/>
                              </w:rPr>
                            </m:ctrlPr>
                          </m:groupChrPr>
                          <m:e>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z</m:t>
                                            </m:r>
                                          </m:e>
                                        </m:acc>
                                      </m:e>
                                    </m:d>
                                  </m:e>
                                  <m:sup>
                                    <m:r>
                                      <w:rPr>
                                        <w:rFonts w:ascii="Cambria Math" w:hAnsi="Cambria Math"/>
                                      </w:rPr>
                                      <m:t>2</m:t>
                                    </m:r>
                                  </m:sup>
                                </m:sSup>
                              </m:e>
                            </m:nary>
                          </m:e>
                        </m:groupChr>
                      </m:e>
                      <m:lim>
                        <m:r>
                          <w:rPr>
                            <w:rFonts w:ascii="Cambria Math" w:hAnsi="Cambria Math"/>
                          </w:rPr>
                          <m:t>relative error</m:t>
                        </m:r>
                      </m:lim>
                    </m:limLow>
                  </m:den>
                </m:f>
              </m:oMath>
            </m:oMathPara>
          </w:p>
        </w:tc>
        <w:tc>
          <w:tcPr>
            <w:tcW w:w="1983" w:type="dxa"/>
            <w:shd w:val="clear" w:color="auto" w:fill="auto"/>
            <w:vAlign w:val="center"/>
          </w:tcPr>
          <w:p w14:paraId="788AE3AE" w14:textId="77777777" w:rsidR="002C27A7" w:rsidRPr="00B57B36" w:rsidRDefault="002C27A7" w:rsidP="005E01FC">
            <w:pPr>
              <w:pStyle w:val="CETEquation"/>
              <w:numPr>
                <w:ilvl w:val="0"/>
                <w:numId w:val="29"/>
              </w:numPr>
              <w:jc w:val="right"/>
            </w:pPr>
          </w:p>
        </w:tc>
      </w:tr>
    </w:tbl>
    <w:p w14:paraId="70FAD373" w14:textId="66FD548B" w:rsidR="009F41DC" w:rsidRDefault="0039060E" w:rsidP="00F2530B">
      <w:pPr>
        <w:pStyle w:val="CETBodytext"/>
        <w:rPr>
          <w:lang w:val="en-GB"/>
        </w:rPr>
      </w:pPr>
      <w:r>
        <w:rPr>
          <w:color w:val="000000"/>
        </w:rPr>
        <w:t xml:space="preserve">Where </w:t>
      </w:r>
      <m:oMath>
        <m:acc>
          <m:accPr>
            <m:chr m:val="̅"/>
            <m:ctrlPr>
              <w:rPr>
                <w:rFonts w:ascii="Cambria Math" w:hAnsi="Cambria Math"/>
                <w:i/>
                <w:color w:val="000000"/>
              </w:rPr>
            </m:ctrlPr>
          </m:accPr>
          <m:e>
            <m:r>
              <w:rPr>
                <w:rFonts w:ascii="Cambria Math" w:hAnsi="Cambria Math"/>
                <w:color w:val="000000"/>
              </w:rPr>
              <m:t>z</m:t>
            </m:r>
          </m:e>
        </m:acc>
      </m:oMath>
      <w:r w:rsidR="0007070E">
        <w:rPr>
          <w:color w:val="000000"/>
        </w:rPr>
        <w:t xml:space="preserve"> is the predicted dependent variable, for the terminal node </w:t>
      </w:r>
      <m:oMath>
        <m:r>
          <w:rPr>
            <w:rFonts w:ascii="Cambria Math" w:hAnsi="Cambria Math"/>
            <w:color w:val="000000"/>
          </w:rPr>
          <m:t>t</m:t>
        </m:r>
      </m:oMath>
      <w:r w:rsidR="004D28DC">
        <w:rPr>
          <w:color w:val="000000"/>
        </w:rPr>
        <w:t>, defined as the mean value of the dependent variable at that node</w:t>
      </w:r>
      <w:r w:rsidR="00306E70">
        <w:rPr>
          <w:color w:val="000000"/>
        </w:rPr>
        <w:t xml:space="preserve">; the sum at the numerator covers all the terminal nodes </w:t>
      </w:r>
      <m:oMath>
        <m:r>
          <w:rPr>
            <w:rFonts w:ascii="Cambria Math" w:hAnsi="Cambria Math"/>
          </w:rPr>
          <m:t>t∈</m:t>
        </m:r>
        <m:acc>
          <m:accPr>
            <m:chr m:val="̃"/>
            <m:ctrlPr>
              <w:rPr>
                <w:rFonts w:ascii="Cambria Math" w:hAnsi="Cambria Math"/>
                <w:i/>
                <w:lang w:val="en-GB"/>
              </w:rPr>
            </m:ctrlPr>
          </m:accPr>
          <m:e>
            <m:r>
              <w:rPr>
                <w:rFonts w:ascii="Cambria Math" w:hAnsi="Cambria Math"/>
              </w:rPr>
              <m:t>T</m:t>
            </m:r>
          </m:e>
        </m:acc>
      </m:oMath>
      <w:r w:rsidR="00F81E50">
        <w:rPr>
          <w:lang w:val="en-GB"/>
        </w:rPr>
        <w:t xml:space="preserve">. </w:t>
      </w:r>
    </w:p>
    <w:p w14:paraId="18556A66" w14:textId="2B0C8970" w:rsidR="00F56770" w:rsidRDefault="00F56770" w:rsidP="00F56770">
      <w:pPr>
        <w:pStyle w:val="CETheadingx"/>
        <w:numPr>
          <w:ilvl w:val="0"/>
          <w:numId w:val="0"/>
        </w:numPr>
      </w:pPr>
      <w:r>
        <w:t>Implementation</w:t>
      </w:r>
    </w:p>
    <w:p w14:paraId="4EE6F371" w14:textId="7DB3630A" w:rsidR="00AD4BB5" w:rsidRDefault="00ED502C" w:rsidP="00901434">
      <w:pPr>
        <w:pStyle w:val="CETBodytext"/>
      </w:pPr>
      <w:r w:rsidRPr="00ED502C">
        <w:t>The procedure was implemented in the open-source software R (release</w:t>
      </w:r>
      <w:r>
        <w:t>#</w:t>
      </w:r>
      <w:r w:rsidRPr="00ED502C">
        <w:t xml:space="preserve"> 4.2.2)</w:t>
      </w:r>
      <w:r>
        <w:t>.</w:t>
      </w:r>
    </w:p>
    <w:p w14:paraId="4860F2C8" w14:textId="4885FF37" w:rsidR="00ED502C" w:rsidRDefault="00ED502C" w:rsidP="00ED502C">
      <w:pPr>
        <w:pStyle w:val="CETHeading1"/>
      </w:pPr>
      <w:r>
        <w:t>Results</w:t>
      </w:r>
    </w:p>
    <w:p w14:paraId="5C893DCE" w14:textId="2A95DE32" w:rsidR="00BA369E" w:rsidRPr="00B17CEC" w:rsidRDefault="00A84222" w:rsidP="00BA369E">
      <w:pPr>
        <w:pStyle w:val="CETBodytext"/>
        <w:rPr>
          <w:b/>
          <w:bCs/>
        </w:rPr>
      </w:pPr>
      <w:r w:rsidRPr="00B17CEC">
        <w:rPr>
          <w:b/>
          <w:bCs/>
        </w:rPr>
        <w:t>Coeffici</w:t>
      </w:r>
      <w:r w:rsidR="00B17CEC" w:rsidRPr="00B17CEC">
        <w:rPr>
          <w:b/>
          <w:bCs/>
        </w:rPr>
        <w:t>ent of determination</w:t>
      </w:r>
    </w:p>
    <w:p w14:paraId="05F0680E" w14:textId="18E743EA" w:rsidR="00003696" w:rsidRDefault="00D57383" w:rsidP="00ED502C">
      <w:pPr>
        <w:pStyle w:val="CETBodytext"/>
      </w:pPr>
      <w:r>
        <w:t xml:space="preserve">Table </w:t>
      </w:r>
      <w:r w:rsidR="00786E19">
        <w:t>3</w:t>
      </w:r>
      <w:r>
        <w:t xml:space="preserve"> displays </w:t>
      </w:r>
      <m:oMath>
        <m:sSubSup>
          <m:sSubSupPr>
            <m:ctrlPr>
              <w:rPr>
                <w:rFonts w:ascii="Cambria Math" w:hAnsi="Cambria Math"/>
                <w:i/>
              </w:rPr>
            </m:ctrlPr>
          </m:sSubSupPr>
          <m:e>
            <m:r>
              <w:rPr>
                <w:rFonts w:ascii="Cambria Math" w:hAnsi="Cambria Math"/>
              </w:rPr>
              <m:t>R</m:t>
            </m:r>
          </m:e>
          <m:sub>
            <m:r>
              <w:rPr>
                <w:rFonts w:ascii="Cambria Math" w:hAnsi="Cambria Math"/>
              </w:rPr>
              <m:t>adj</m:t>
            </m:r>
          </m:sub>
          <m:sup>
            <m:r>
              <w:rPr>
                <w:rFonts w:ascii="Cambria Math" w:hAnsi="Cambria Math"/>
              </w:rPr>
              <m:t>2</m:t>
            </m:r>
          </m:sup>
        </m:sSubSup>
      </m:oMath>
      <w:r w:rsidR="00337A43">
        <w:t xml:space="preserve"> for the </w:t>
      </w:r>
      <w:r w:rsidR="00634DBE">
        <w:t>different</w:t>
      </w:r>
      <w:r w:rsidR="000E4E96">
        <w:t xml:space="preserve"> regression models. </w:t>
      </w:r>
      <w:r w:rsidR="00F606F5">
        <w:t xml:space="preserve">The transition to the poly-dispersed homogeneous flow regime </w:t>
      </w:r>
      <w:r w:rsidR="006E705B">
        <w:t>is influenced mainly by the geometrical characteristics of the column</w:t>
      </w:r>
      <w:r w:rsidR="008865D9">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adj,</m:t>
            </m:r>
            <m:sSub>
              <m:sSubPr>
                <m:ctrlPr>
                  <w:rPr>
                    <w:rFonts w:ascii="Cambria Math" w:hAnsi="Cambria Math"/>
                    <w:i/>
                  </w:rPr>
                </m:ctrlPr>
              </m:sSubPr>
              <m:e>
                <m:r>
                  <w:rPr>
                    <w:rFonts w:ascii="Cambria Math" w:hAnsi="Cambria Math"/>
                  </w:rPr>
                  <m:t>ε</m:t>
                </m:r>
              </m:e>
              <m:sub>
                <m:r>
                  <w:rPr>
                    <w:rFonts w:ascii="Cambria Math" w:hAnsi="Cambria Math"/>
                  </w:rPr>
                  <m:t>G, trans</m:t>
                </m:r>
              </m:sub>
            </m:sSub>
          </m:sub>
          <m:sup>
            <m:r>
              <w:rPr>
                <w:rFonts w:ascii="Cambria Math" w:hAnsi="Cambria Math"/>
              </w:rPr>
              <m:t>2</m:t>
            </m:r>
          </m:sup>
        </m:sSubSup>
        <m:r>
          <w:rPr>
            <w:rFonts w:ascii="Cambria Math" w:hAnsi="Cambria Math"/>
          </w:rPr>
          <m:t>=56.75 %</m:t>
        </m:r>
      </m:oMath>
      <w:r w:rsidR="00A15C1D">
        <w:t xml:space="preserve"> and </w:t>
      </w:r>
      <m:oMath>
        <m:sSubSup>
          <m:sSubSupPr>
            <m:ctrlPr>
              <w:rPr>
                <w:rFonts w:ascii="Cambria Math" w:hAnsi="Cambria Math"/>
                <w:i/>
              </w:rPr>
            </m:ctrlPr>
          </m:sSubSupPr>
          <m:e>
            <m:r>
              <w:rPr>
                <w:rFonts w:ascii="Cambria Math" w:hAnsi="Cambria Math"/>
              </w:rPr>
              <m:t>R</m:t>
            </m:r>
          </m:e>
          <m:sub>
            <m:r>
              <w:rPr>
                <w:rFonts w:ascii="Cambria Math" w:hAnsi="Cambria Math"/>
              </w:rPr>
              <m:t>adj,</m:t>
            </m:r>
            <m:sSub>
              <m:sSubPr>
                <m:ctrlPr>
                  <w:rPr>
                    <w:rFonts w:ascii="Cambria Math" w:hAnsi="Cambria Math"/>
                    <w:i/>
                  </w:rPr>
                </m:ctrlPr>
              </m:sSubPr>
              <m:e>
                <m:r>
                  <w:rPr>
                    <w:rFonts w:ascii="Cambria Math" w:hAnsi="Cambria Math"/>
                  </w:rPr>
                  <m:t>U</m:t>
                </m:r>
              </m:e>
              <m:sub>
                <m:r>
                  <w:rPr>
                    <w:rFonts w:ascii="Cambria Math" w:hAnsi="Cambria Math"/>
                  </w:rPr>
                  <m:t>G, trans</m:t>
                </m:r>
              </m:sub>
            </m:sSub>
          </m:sub>
          <m:sup>
            <m:r>
              <w:rPr>
                <w:rFonts w:ascii="Cambria Math" w:hAnsi="Cambria Math"/>
              </w:rPr>
              <m:t>2</m:t>
            </m:r>
          </m:sup>
        </m:sSubSup>
        <m:r>
          <w:rPr>
            <w:rFonts w:ascii="Cambria Math" w:hAnsi="Cambria Math"/>
          </w:rPr>
          <m:t>=54.99 %</m:t>
        </m:r>
      </m:oMath>
      <w:r w:rsidR="00A15C1D">
        <w:t xml:space="preserve"> </w:t>
      </w:r>
      <w:r w:rsidR="006932B4">
        <w:t>)</w:t>
      </w:r>
      <w:r w:rsidR="00A15C1D">
        <w:t xml:space="preserve">. </w:t>
      </w:r>
      <w:r w:rsidR="00420D40">
        <w:t xml:space="preserve"> The operating conditions variables mostly influence </w:t>
      </w:r>
      <m:oMath>
        <m:sSub>
          <m:sSubPr>
            <m:ctrlPr>
              <w:rPr>
                <w:rFonts w:ascii="Cambria Math" w:hAnsi="Cambria Math"/>
                <w:i/>
              </w:rPr>
            </m:ctrlPr>
          </m:sSubPr>
          <m:e>
            <m:r>
              <w:rPr>
                <w:rFonts w:ascii="Cambria Math" w:hAnsi="Cambria Math"/>
              </w:rPr>
              <m:t>U</m:t>
            </m:r>
          </m:e>
          <m:sub>
            <m:r>
              <w:rPr>
                <w:rFonts w:ascii="Cambria Math" w:hAnsi="Cambria Math"/>
              </w:rPr>
              <m:t>G,trans</m:t>
            </m:r>
          </m:sub>
        </m:sSub>
      </m:oMath>
      <w:r w:rsidR="00A40A7C">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adj</m:t>
            </m:r>
          </m:sub>
          <m:sup>
            <m:r>
              <w:rPr>
                <w:rFonts w:ascii="Cambria Math" w:hAnsi="Cambria Math"/>
              </w:rPr>
              <m:t>2</m:t>
            </m:r>
          </m:sup>
        </m:sSubSup>
        <m:r>
          <w:rPr>
            <w:rFonts w:ascii="Cambria Math" w:hAnsi="Cambria Math"/>
          </w:rPr>
          <m:t>=26.68 %</m:t>
        </m:r>
      </m:oMath>
      <w:r w:rsidR="00E43F2E">
        <w:t xml:space="preserve">) rather than </w:t>
      </w:r>
      <m:oMath>
        <m:sSub>
          <m:sSubPr>
            <m:ctrlPr>
              <w:rPr>
                <w:rFonts w:ascii="Cambria Math" w:hAnsi="Cambria Math"/>
                <w:i/>
              </w:rPr>
            </m:ctrlPr>
          </m:sSubPr>
          <m:e>
            <m:r>
              <w:rPr>
                <w:rFonts w:ascii="Cambria Math" w:hAnsi="Cambria Math"/>
              </w:rPr>
              <m:t>ε</m:t>
            </m:r>
          </m:e>
          <m:sub>
            <m:r>
              <w:rPr>
                <w:rFonts w:ascii="Cambria Math" w:hAnsi="Cambria Math"/>
              </w:rPr>
              <m:t>G,trans</m:t>
            </m:r>
          </m:sub>
        </m:sSub>
      </m:oMath>
      <w:r w:rsidR="00E43F2E">
        <w:t xml:space="preserve"> </w:t>
      </w:r>
      <w:r w:rsidR="006932B4">
        <w:t xml:space="preserve"> </w:t>
      </w:r>
      <w:r w:rsidR="00E43F2E">
        <w:t>(</w:t>
      </w:r>
      <m:oMath>
        <m:sSubSup>
          <m:sSubSupPr>
            <m:ctrlPr>
              <w:rPr>
                <w:rFonts w:ascii="Cambria Math" w:hAnsi="Cambria Math"/>
                <w:i/>
              </w:rPr>
            </m:ctrlPr>
          </m:sSubSupPr>
          <m:e>
            <m:r>
              <w:rPr>
                <w:rFonts w:ascii="Cambria Math" w:hAnsi="Cambria Math"/>
              </w:rPr>
              <m:t>R</m:t>
            </m:r>
          </m:e>
          <m:sub>
            <m:r>
              <w:rPr>
                <w:rFonts w:ascii="Cambria Math" w:hAnsi="Cambria Math"/>
              </w:rPr>
              <m:t>adj</m:t>
            </m:r>
          </m:sub>
          <m:sup>
            <m:r>
              <w:rPr>
                <w:rFonts w:ascii="Cambria Math" w:hAnsi="Cambria Math"/>
              </w:rPr>
              <m:t>2</m:t>
            </m:r>
          </m:sup>
        </m:sSubSup>
        <m:r>
          <w:rPr>
            <w:rFonts w:ascii="Cambria Math" w:hAnsi="Cambria Math"/>
          </w:rPr>
          <m:t>=8.34 %</m:t>
        </m:r>
      </m:oMath>
      <w:r w:rsidR="00E43F2E">
        <w:t>)</w:t>
      </w:r>
      <w:r w:rsidR="005045C7">
        <w:t>.</w:t>
      </w:r>
      <w:r w:rsidR="006F02EE">
        <w:t xml:space="preserve"> Concerning the liquid phase properties</w:t>
      </w:r>
      <w:r w:rsidR="00917131">
        <w:t xml:space="preserve">, they explain the </w:t>
      </w:r>
      <w:r w:rsidR="005F55E3">
        <w:t xml:space="preserve">14.28 % of the </w:t>
      </w:r>
      <m:oMath>
        <m:sSub>
          <m:sSubPr>
            <m:ctrlPr>
              <w:rPr>
                <w:rFonts w:ascii="Cambria Math" w:hAnsi="Cambria Math"/>
                <w:i/>
              </w:rPr>
            </m:ctrlPr>
          </m:sSubPr>
          <m:e>
            <m:r>
              <w:rPr>
                <w:rFonts w:ascii="Cambria Math" w:hAnsi="Cambria Math"/>
              </w:rPr>
              <m:t>U</m:t>
            </m:r>
          </m:e>
          <m:sub>
            <m:r>
              <w:rPr>
                <w:rFonts w:ascii="Cambria Math" w:hAnsi="Cambria Math"/>
              </w:rPr>
              <m:t>G,trans</m:t>
            </m:r>
          </m:sub>
        </m:sSub>
        <m:r>
          <w:rPr>
            <w:rFonts w:ascii="Cambria Math" w:hAnsi="Cambria Math"/>
          </w:rPr>
          <m:t xml:space="preserve"> </m:t>
        </m:r>
      </m:oMath>
      <w:r w:rsidR="005F55E3">
        <w:t xml:space="preserve">variance </w:t>
      </w:r>
      <w:r w:rsidR="00191438">
        <w:t xml:space="preserve">whereas they slightly influence </w:t>
      </w:r>
      <m:oMath>
        <m:sSub>
          <m:sSubPr>
            <m:ctrlPr>
              <w:rPr>
                <w:rFonts w:ascii="Cambria Math" w:hAnsi="Cambria Math"/>
                <w:i/>
              </w:rPr>
            </m:ctrlPr>
          </m:sSubPr>
          <m:e>
            <m:r>
              <w:rPr>
                <w:rFonts w:ascii="Cambria Math" w:hAnsi="Cambria Math"/>
              </w:rPr>
              <m:t>ε</m:t>
            </m:r>
          </m:e>
          <m:sub>
            <m:r>
              <w:rPr>
                <w:rFonts w:ascii="Cambria Math" w:hAnsi="Cambria Math"/>
              </w:rPr>
              <m:t>G,trans</m:t>
            </m:r>
          </m:sub>
        </m:sSub>
      </m:oMath>
      <w:r w:rsidR="005347AA">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adj</m:t>
            </m:r>
          </m:sub>
          <m:sup>
            <m:r>
              <w:rPr>
                <w:rFonts w:ascii="Cambria Math" w:hAnsi="Cambria Math"/>
              </w:rPr>
              <m:t>2</m:t>
            </m:r>
          </m:sup>
        </m:sSubSup>
        <m:r>
          <w:rPr>
            <w:rFonts w:ascii="Cambria Math" w:hAnsi="Cambria Math"/>
          </w:rPr>
          <m:t>=2.94 %</m:t>
        </m:r>
      </m:oMath>
      <w:r w:rsidR="00BF1921">
        <w:t>).</w:t>
      </w:r>
      <w:r w:rsidR="00F407B8">
        <w:t xml:space="preserve"> </w:t>
      </w:r>
      <w:r w:rsidR="00634DBE">
        <w:t xml:space="preserve">The </w:t>
      </w:r>
      <w:r w:rsidR="003A75AB" w:rsidRPr="003A75AB">
        <w:rPr>
          <w:i/>
          <w:iCs/>
        </w:rPr>
        <w:t>“aggregate regression models”</w:t>
      </w:r>
      <w:r w:rsidR="003A75AB">
        <w:t xml:space="preserve"> </w:t>
      </w:r>
      <w:r w:rsidR="00A0720C">
        <w:t xml:space="preserve">explain 60.63 % of </w:t>
      </w:r>
      <m:oMath>
        <m:sSub>
          <m:sSubPr>
            <m:ctrlPr>
              <w:rPr>
                <w:rFonts w:ascii="Cambria Math" w:hAnsi="Cambria Math"/>
                <w:i/>
              </w:rPr>
            </m:ctrlPr>
          </m:sSubPr>
          <m:e>
            <m:r>
              <w:rPr>
                <w:rFonts w:ascii="Cambria Math" w:hAnsi="Cambria Math"/>
              </w:rPr>
              <m:t>ε</m:t>
            </m:r>
          </m:e>
          <m:sub>
            <m:r>
              <w:rPr>
                <w:rFonts w:ascii="Cambria Math" w:hAnsi="Cambria Math"/>
              </w:rPr>
              <m:t>G,trans</m:t>
            </m:r>
          </m:sub>
        </m:sSub>
      </m:oMath>
      <w:r w:rsidR="00A0720C">
        <w:t xml:space="preserve"> and </w:t>
      </w:r>
      <w:r w:rsidR="000325F2">
        <w:t xml:space="preserve">64.65 % of </w:t>
      </w:r>
      <m:oMath>
        <m:sSub>
          <m:sSubPr>
            <m:ctrlPr>
              <w:rPr>
                <w:rFonts w:ascii="Cambria Math" w:hAnsi="Cambria Math"/>
                <w:i/>
              </w:rPr>
            </m:ctrlPr>
          </m:sSubPr>
          <m:e>
            <m:r>
              <w:rPr>
                <w:rFonts w:ascii="Cambria Math" w:hAnsi="Cambria Math"/>
              </w:rPr>
              <m:t>U</m:t>
            </m:r>
          </m:e>
          <m:sub>
            <m:r>
              <w:rPr>
                <w:rFonts w:ascii="Cambria Math" w:hAnsi="Cambria Math"/>
              </w:rPr>
              <m:t>G,trans</m:t>
            </m:r>
          </m:sub>
        </m:sSub>
      </m:oMath>
      <w:r w:rsidR="000325F2">
        <w:t>.</w:t>
      </w:r>
    </w:p>
    <w:p w14:paraId="5B45A294" w14:textId="77777777" w:rsidR="005E11DC" w:rsidRDefault="005E11DC" w:rsidP="00ED502C">
      <w:pPr>
        <w:pStyle w:val="CETBodytext"/>
      </w:pPr>
    </w:p>
    <w:p w14:paraId="0079CCAB" w14:textId="77777777" w:rsidR="005E11DC" w:rsidRDefault="005E11DC" w:rsidP="00ED502C">
      <w:pPr>
        <w:pStyle w:val="CETBodytext"/>
      </w:pPr>
    </w:p>
    <w:p w14:paraId="29038238" w14:textId="77777777" w:rsidR="005E11DC" w:rsidRDefault="005E11DC" w:rsidP="00ED502C">
      <w:pPr>
        <w:pStyle w:val="CETBodytext"/>
      </w:pPr>
    </w:p>
    <w:p w14:paraId="25F2CF04" w14:textId="7BC130FD" w:rsidR="002038A1" w:rsidRPr="00ED502C" w:rsidRDefault="002038A1" w:rsidP="002038A1">
      <w:pPr>
        <w:pStyle w:val="CETTabletitle"/>
      </w:pPr>
      <w:r>
        <w:lastRenderedPageBreak/>
        <w:t xml:space="preserve">Table </w:t>
      </w:r>
      <w:r>
        <w:fldChar w:fldCharType="begin"/>
      </w:r>
      <w:r>
        <w:instrText xml:space="preserve"> SEQ Table \* ARABIC </w:instrText>
      </w:r>
      <w:r>
        <w:fldChar w:fldCharType="separate"/>
      </w:r>
      <w:r w:rsidR="00001736">
        <w:rPr>
          <w:noProof/>
        </w:rPr>
        <w:t>3</w:t>
      </w:r>
      <w:r>
        <w:fldChar w:fldCharType="end"/>
      </w:r>
      <w:r>
        <w:t>: Coefficient of determination</w:t>
      </w:r>
    </w:p>
    <w:tbl>
      <w:tblPr>
        <w:tblStyle w:val="Grigliatabellachi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830"/>
        <w:gridCol w:w="2487"/>
        <w:gridCol w:w="977"/>
        <w:gridCol w:w="977"/>
      </w:tblGrid>
      <w:tr w:rsidR="002038A1" w14:paraId="0F5CCCEA" w14:textId="77777777" w:rsidTr="00AB3B5C">
        <w:tc>
          <w:tcPr>
            <w:tcW w:w="2830" w:type="dxa"/>
            <w:tcBorders>
              <w:top w:val="single" w:sz="12" w:space="0" w:color="008000"/>
            </w:tcBorders>
            <w:hideMark/>
          </w:tcPr>
          <w:p w14:paraId="6EFC9E1F" w14:textId="77777777" w:rsidR="002038A1" w:rsidRDefault="002038A1" w:rsidP="00AB3B5C">
            <w:pPr>
              <w:pStyle w:val="CETBodytext"/>
              <w:jc w:val="left"/>
              <w:rPr>
                <w:lang w:val="en-GB"/>
              </w:rPr>
            </w:pPr>
          </w:p>
        </w:tc>
        <w:tc>
          <w:tcPr>
            <w:tcW w:w="2487" w:type="dxa"/>
            <w:tcBorders>
              <w:top w:val="single" w:sz="12" w:space="0" w:color="008000"/>
            </w:tcBorders>
            <w:hideMark/>
          </w:tcPr>
          <w:p w14:paraId="6C4B0B03" w14:textId="77777777" w:rsidR="002038A1" w:rsidRDefault="002038A1" w:rsidP="00AB3B5C">
            <w:pPr>
              <w:pStyle w:val="CETBodytext"/>
              <w:jc w:val="left"/>
              <w:rPr>
                <w:lang w:val="en-GB"/>
              </w:rPr>
            </w:pPr>
            <w:r>
              <w:rPr>
                <w:lang w:val="en-GB"/>
              </w:rPr>
              <w:t>Class of predictors</w:t>
            </w:r>
          </w:p>
        </w:tc>
        <w:tc>
          <w:tcPr>
            <w:tcW w:w="1954" w:type="dxa"/>
            <w:gridSpan w:val="2"/>
            <w:tcBorders>
              <w:top w:val="single" w:sz="12" w:space="0" w:color="008000"/>
              <w:bottom w:val="single" w:sz="6" w:space="0" w:color="008000"/>
            </w:tcBorders>
            <w:hideMark/>
          </w:tcPr>
          <w:p w14:paraId="15F266C2" w14:textId="77777777" w:rsidR="002038A1" w:rsidRDefault="002038A1" w:rsidP="00AB3B5C">
            <w:pPr>
              <w:pStyle w:val="CETBodytext"/>
              <w:jc w:val="left"/>
              <w:rPr>
                <w:lang w:val="en-GB"/>
              </w:rPr>
            </w:pPr>
            <w:r>
              <w:rPr>
                <w:lang w:val="en-GB"/>
              </w:rPr>
              <w:t>Dependent variable</w:t>
            </w:r>
          </w:p>
        </w:tc>
      </w:tr>
      <w:tr w:rsidR="002038A1" w14:paraId="1E853695" w14:textId="77777777" w:rsidTr="00AB3B5C">
        <w:tc>
          <w:tcPr>
            <w:tcW w:w="2830" w:type="dxa"/>
            <w:tcBorders>
              <w:bottom w:val="single" w:sz="6" w:space="0" w:color="008000"/>
            </w:tcBorders>
          </w:tcPr>
          <w:p w14:paraId="762DD577" w14:textId="77777777" w:rsidR="002038A1" w:rsidRDefault="002038A1" w:rsidP="00AB3B5C">
            <w:pPr>
              <w:pStyle w:val="CETBodytext"/>
              <w:jc w:val="left"/>
              <w:rPr>
                <w:lang w:val="en-GB"/>
              </w:rPr>
            </w:pPr>
          </w:p>
        </w:tc>
        <w:tc>
          <w:tcPr>
            <w:tcW w:w="2487" w:type="dxa"/>
            <w:tcBorders>
              <w:bottom w:val="single" w:sz="6" w:space="0" w:color="008000"/>
            </w:tcBorders>
          </w:tcPr>
          <w:p w14:paraId="576339BB" w14:textId="77777777" w:rsidR="002038A1" w:rsidRDefault="002038A1" w:rsidP="00AB3B5C">
            <w:pPr>
              <w:pStyle w:val="CETBodytext"/>
              <w:jc w:val="left"/>
              <w:rPr>
                <w:lang w:val="en-GB"/>
              </w:rPr>
            </w:pPr>
          </w:p>
        </w:tc>
        <w:tc>
          <w:tcPr>
            <w:tcW w:w="977" w:type="dxa"/>
            <w:tcBorders>
              <w:top w:val="single" w:sz="6" w:space="0" w:color="008000"/>
              <w:bottom w:val="single" w:sz="6" w:space="0" w:color="008000"/>
            </w:tcBorders>
          </w:tcPr>
          <w:p w14:paraId="14AA8C62" w14:textId="77777777" w:rsidR="002038A1" w:rsidRDefault="00000000" w:rsidP="00AB3B5C">
            <w:pPr>
              <w:pStyle w:val="CETBodytext"/>
              <w:jc w:val="left"/>
              <w:rPr>
                <w:lang w:val="en-GB"/>
              </w:rPr>
            </w:pPr>
            <m:oMathPara>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G,trans</m:t>
                    </m:r>
                  </m:sub>
                </m:sSub>
              </m:oMath>
            </m:oMathPara>
          </w:p>
        </w:tc>
        <w:tc>
          <w:tcPr>
            <w:tcW w:w="977" w:type="dxa"/>
            <w:tcBorders>
              <w:top w:val="single" w:sz="6" w:space="0" w:color="008000"/>
              <w:bottom w:val="single" w:sz="6" w:space="0" w:color="008000"/>
            </w:tcBorders>
          </w:tcPr>
          <w:p w14:paraId="6DD85015" w14:textId="77777777" w:rsidR="002038A1" w:rsidRDefault="00000000" w:rsidP="00AB3B5C">
            <w:pPr>
              <w:pStyle w:val="CETBodytext"/>
              <w:jc w:val="left"/>
              <w:rPr>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G,trans</m:t>
                    </m:r>
                  </m:sub>
                </m:sSub>
              </m:oMath>
            </m:oMathPara>
          </w:p>
        </w:tc>
      </w:tr>
      <w:tr w:rsidR="002038A1" w14:paraId="789CABA0" w14:textId="77777777" w:rsidTr="00AB3B5C">
        <w:tc>
          <w:tcPr>
            <w:tcW w:w="2830" w:type="dxa"/>
            <w:tcBorders>
              <w:top w:val="single" w:sz="6" w:space="0" w:color="008000"/>
            </w:tcBorders>
            <w:hideMark/>
          </w:tcPr>
          <w:p w14:paraId="778BBCD4" w14:textId="77777777" w:rsidR="002038A1" w:rsidRPr="00187859" w:rsidRDefault="002038A1" w:rsidP="00AB3B5C">
            <w:pPr>
              <w:pStyle w:val="CETBodytext"/>
              <w:jc w:val="left"/>
              <w:rPr>
                <w:i/>
                <w:iCs/>
                <w:lang w:val="en-GB"/>
              </w:rPr>
            </w:pPr>
            <w:r w:rsidRPr="00187859">
              <w:rPr>
                <w:i/>
                <w:iCs/>
                <w:lang w:val="en-GB"/>
              </w:rPr>
              <w:t>“Partial regression models”</w:t>
            </w:r>
          </w:p>
        </w:tc>
        <w:tc>
          <w:tcPr>
            <w:tcW w:w="2487" w:type="dxa"/>
            <w:tcBorders>
              <w:top w:val="single" w:sz="6" w:space="0" w:color="008000"/>
            </w:tcBorders>
          </w:tcPr>
          <w:p w14:paraId="46D814E4" w14:textId="77777777" w:rsidR="002038A1" w:rsidRDefault="002038A1" w:rsidP="00AB3B5C">
            <w:pPr>
              <w:pStyle w:val="CETBodytext"/>
              <w:jc w:val="left"/>
              <w:rPr>
                <w:lang w:val="en-GB"/>
              </w:rPr>
            </w:pPr>
            <w:r>
              <w:rPr>
                <w:lang w:val="en-GB"/>
              </w:rPr>
              <w:t>Geometrical characteristics</w:t>
            </w:r>
          </w:p>
        </w:tc>
        <w:tc>
          <w:tcPr>
            <w:tcW w:w="977" w:type="dxa"/>
            <w:tcBorders>
              <w:top w:val="single" w:sz="6" w:space="0" w:color="008000"/>
            </w:tcBorders>
          </w:tcPr>
          <w:p w14:paraId="6AA63CAD" w14:textId="77777777" w:rsidR="002038A1" w:rsidRDefault="002038A1" w:rsidP="00AB3B5C">
            <w:pPr>
              <w:pStyle w:val="CETBodytext"/>
              <w:jc w:val="left"/>
              <w:rPr>
                <w:lang w:val="en-GB"/>
              </w:rPr>
            </w:pPr>
            <w:r>
              <w:rPr>
                <w:lang w:val="en-GB"/>
              </w:rPr>
              <w:t>56.75 %</w:t>
            </w:r>
          </w:p>
        </w:tc>
        <w:tc>
          <w:tcPr>
            <w:tcW w:w="977" w:type="dxa"/>
            <w:tcBorders>
              <w:top w:val="single" w:sz="6" w:space="0" w:color="008000"/>
            </w:tcBorders>
          </w:tcPr>
          <w:p w14:paraId="0672AE7D" w14:textId="77777777" w:rsidR="002038A1" w:rsidRDefault="002038A1" w:rsidP="00AB3B5C">
            <w:pPr>
              <w:pStyle w:val="CETBodytext"/>
              <w:jc w:val="left"/>
              <w:rPr>
                <w:lang w:val="en-GB"/>
              </w:rPr>
            </w:pPr>
            <w:r>
              <w:rPr>
                <w:lang w:val="en-GB"/>
              </w:rPr>
              <w:t>54.99 %</w:t>
            </w:r>
          </w:p>
        </w:tc>
      </w:tr>
      <w:tr w:rsidR="002038A1" w14:paraId="38B4D4BD" w14:textId="77777777" w:rsidTr="00AB3B5C">
        <w:tc>
          <w:tcPr>
            <w:tcW w:w="2830" w:type="dxa"/>
          </w:tcPr>
          <w:p w14:paraId="2D711E80" w14:textId="77777777" w:rsidR="002038A1" w:rsidRDefault="002038A1" w:rsidP="00AB3B5C">
            <w:pPr>
              <w:pStyle w:val="CETBodytext"/>
              <w:ind w:right="-1"/>
              <w:jc w:val="left"/>
              <w:rPr>
                <w:rFonts w:cs="Arial"/>
                <w:szCs w:val="18"/>
                <w:lang w:val="en-GB"/>
              </w:rPr>
            </w:pPr>
          </w:p>
        </w:tc>
        <w:tc>
          <w:tcPr>
            <w:tcW w:w="2487" w:type="dxa"/>
          </w:tcPr>
          <w:p w14:paraId="67ABD443" w14:textId="77777777" w:rsidR="002038A1" w:rsidRDefault="002038A1" w:rsidP="00AB3B5C">
            <w:pPr>
              <w:pStyle w:val="CETBodytext"/>
              <w:ind w:right="-1"/>
              <w:jc w:val="left"/>
              <w:rPr>
                <w:rFonts w:cs="Arial"/>
                <w:szCs w:val="18"/>
                <w:lang w:val="en-GB"/>
              </w:rPr>
            </w:pPr>
            <w:r>
              <w:rPr>
                <w:rFonts w:cs="Arial"/>
                <w:szCs w:val="18"/>
                <w:lang w:val="en-GB"/>
              </w:rPr>
              <w:t>Operating conditions</w:t>
            </w:r>
          </w:p>
        </w:tc>
        <w:tc>
          <w:tcPr>
            <w:tcW w:w="977" w:type="dxa"/>
          </w:tcPr>
          <w:p w14:paraId="45FAFE48" w14:textId="77777777" w:rsidR="002038A1" w:rsidRDefault="002038A1" w:rsidP="00AB3B5C">
            <w:pPr>
              <w:pStyle w:val="CETBodytext"/>
              <w:ind w:right="-1"/>
              <w:jc w:val="left"/>
              <w:rPr>
                <w:rFonts w:cs="Arial"/>
                <w:szCs w:val="18"/>
                <w:lang w:val="en-GB"/>
              </w:rPr>
            </w:pPr>
            <w:r>
              <w:rPr>
                <w:rFonts w:cs="Arial"/>
                <w:szCs w:val="18"/>
                <w:lang w:val="en-GB"/>
              </w:rPr>
              <w:t>8.34 %</w:t>
            </w:r>
          </w:p>
        </w:tc>
        <w:tc>
          <w:tcPr>
            <w:tcW w:w="977" w:type="dxa"/>
          </w:tcPr>
          <w:p w14:paraId="48F9F83B" w14:textId="77777777" w:rsidR="002038A1" w:rsidRDefault="002038A1" w:rsidP="00AB3B5C">
            <w:pPr>
              <w:pStyle w:val="CETBodytext"/>
              <w:ind w:right="-1"/>
              <w:jc w:val="left"/>
              <w:rPr>
                <w:rFonts w:cs="Arial"/>
                <w:szCs w:val="18"/>
                <w:lang w:val="en-GB"/>
              </w:rPr>
            </w:pPr>
            <w:r>
              <w:rPr>
                <w:rFonts w:cs="Arial"/>
                <w:szCs w:val="18"/>
                <w:lang w:val="en-GB"/>
              </w:rPr>
              <w:t>26.68 %</w:t>
            </w:r>
          </w:p>
        </w:tc>
      </w:tr>
      <w:tr w:rsidR="002038A1" w14:paraId="793BAF7E" w14:textId="77777777" w:rsidTr="00AB3B5C">
        <w:tc>
          <w:tcPr>
            <w:tcW w:w="2830" w:type="dxa"/>
          </w:tcPr>
          <w:p w14:paraId="0C522051" w14:textId="77777777" w:rsidR="002038A1" w:rsidRDefault="002038A1" w:rsidP="00AB3B5C">
            <w:pPr>
              <w:pStyle w:val="CETBodytext"/>
              <w:ind w:right="-1"/>
              <w:jc w:val="left"/>
              <w:rPr>
                <w:rFonts w:cs="Arial"/>
                <w:szCs w:val="18"/>
                <w:lang w:val="en-GB"/>
              </w:rPr>
            </w:pPr>
          </w:p>
        </w:tc>
        <w:tc>
          <w:tcPr>
            <w:tcW w:w="2487" w:type="dxa"/>
          </w:tcPr>
          <w:p w14:paraId="45AE8C1B" w14:textId="77777777" w:rsidR="002038A1" w:rsidRDefault="002038A1" w:rsidP="00AB3B5C">
            <w:pPr>
              <w:pStyle w:val="CETBodytext"/>
              <w:ind w:right="-1"/>
              <w:jc w:val="left"/>
              <w:rPr>
                <w:rFonts w:cs="Arial"/>
                <w:szCs w:val="18"/>
                <w:lang w:val="en-GB"/>
              </w:rPr>
            </w:pPr>
            <w:r>
              <w:rPr>
                <w:rFonts w:cs="Arial"/>
                <w:szCs w:val="18"/>
                <w:lang w:val="en-GB"/>
              </w:rPr>
              <w:t>Liquid phase properties</w:t>
            </w:r>
          </w:p>
        </w:tc>
        <w:tc>
          <w:tcPr>
            <w:tcW w:w="977" w:type="dxa"/>
          </w:tcPr>
          <w:p w14:paraId="5441C8FD" w14:textId="77777777" w:rsidR="002038A1" w:rsidRDefault="002038A1" w:rsidP="00AB3B5C">
            <w:pPr>
              <w:pStyle w:val="CETBodytext"/>
              <w:ind w:right="-1"/>
              <w:jc w:val="left"/>
              <w:rPr>
                <w:rFonts w:cs="Arial"/>
                <w:szCs w:val="18"/>
                <w:lang w:val="en-GB"/>
              </w:rPr>
            </w:pPr>
            <w:r>
              <w:rPr>
                <w:rFonts w:cs="Arial"/>
                <w:szCs w:val="18"/>
                <w:lang w:val="en-GB"/>
              </w:rPr>
              <w:t>2.94 %</w:t>
            </w:r>
          </w:p>
        </w:tc>
        <w:tc>
          <w:tcPr>
            <w:tcW w:w="977" w:type="dxa"/>
          </w:tcPr>
          <w:p w14:paraId="7AC8824D" w14:textId="77777777" w:rsidR="002038A1" w:rsidRDefault="002038A1" w:rsidP="00AB3B5C">
            <w:pPr>
              <w:pStyle w:val="CETBodytext"/>
              <w:ind w:right="-1"/>
              <w:jc w:val="left"/>
              <w:rPr>
                <w:rFonts w:cs="Arial"/>
                <w:szCs w:val="18"/>
                <w:lang w:val="en-GB"/>
              </w:rPr>
            </w:pPr>
            <w:r>
              <w:rPr>
                <w:rFonts w:cs="Arial"/>
                <w:szCs w:val="18"/>
                <w:lang w:val="en-GB"/>
              </w:rPr>
              <w:t>14.28 %</w:t>
            </w:r>
          </w:p>
        </w:tc>
      </w:tr>
      <w:tr w:rsidR="002038A1" w14:paraId="4076E5BC" w14:textId="77777777" w:rsidTr="00AB3B5C">
        <w:tc>
          <w:tcPr>
            <w:tcW w:w="2830" w:type="dxa"/>
            <w:tcBorders>
              <w:bottom w:val="single" w:sz="12" w:space="0" w:color="008000"/>
            </w:tcBorders>
          </w:tcPr>
          <w:p w14:paraId="01C867CB" w14:textId="77777777" w:rsidR="002038A1" w:rsidRDefault="002038A1" w:rsidP="00AB3B5C">
            <w:pPr>
              <w:pStyle w:val="CETBodytext"/>
              <w:ind w:right="-1"/>
              <w:jc w:val="left"/>
              <w:rPr>
                <w:rFonts w:cs="Arial"/>
                <w:szCs w:val="18"/>
                <w:lang w:val="en-GB"/>
              </w:rPr>
            </w:pPr>
            <w:r w:rsidRPr="00187859">
              <w:rPr>
                <w:i/>
                <w:iCs/>
                <w:lang w:val="en-GB"/>
              </w:rPr>
              <w:t>“</w:t>
            </w:r>
            <w:r>
              <w:rPr>
                <w:i/>
                <w:iCs/>
                <w:lang w:val="en-GB"/>
              </w:rPr>
              <w:t>Aggregate</w:t>
            </w:r>
            <w:r w:rsidRPr="00187859">
              <w:rPr>
                <w:i/>
                <w:iCs/>
                <w:lang w:val="en-GB"/>
              </w:rPr>
              <w:t xml:space="preserve"> regression models”</w:t>
            </w:r>
          </w:p>
        </w:tc>
        <w:tc>
          <w:tcPr>
            <w:tcW w:w="2487" w:type="dxa"/>
            <w:tcBorders>
              <w:bottom w:val="single" w:sz="12" w:space="0" w:color="008000"/>
            </w:tcBorders>
          </w:tcPr>
          <w:p w14:paraId="00428355" w14:textId="77777777" w:rsidR="002038A1" w:rsidRDefault="002038A1" w:rsidP="00AB3B5C">
            <w:pPr>
              <w:pStyle w:val="CETBodytext"/>
              <w:ind w:right="-1"/>
              <w:jc w:val="left"/>
              <w:rPr>
                <w:rFonts w:cs="Arial"/>
                <w:szCs w:val="18"/>
                <w:lang w:val="en-GB"/>
              </w:rPr>
            </w:pPr>
          </w:p>
        </w:tc>
        <w:tc>
          <w:tcPr>
            <w:tcW w:w="977" w:type="dxa"/>
            <w:tcBorders>
              <w:bottom w:val="single" w:sz="12" w:space="0" w:color="008000"/>
            </w:tcBorders>
          </w:tcPr>
          <w:p w14:paraId="12B50A48" w14:textId="77777777" w:rsidR="002038A1" w:rsidRDefault="002038A1" w:rsidP="00AB3B5C">
            <w:pPr>
              <w:pStyle w:val="CETBodytext"/>
              <w:ind w:right="-1"/>
              <w:jc w:val="left"/>
              <w:rPr>
                <w:rFonts w:cs="Arial"/>
                <w:szCs w:val="18"/>
                <w:lang w:val="en-GB"/>
              </w:rPr>
            </w:pPr>
            <w:r>
              <w:rPr>
                <w:rFonts w:cs="Arial"/>
                <w:szCs w:val="18"/>
                <w:lang w:val="en-GB"/>
              </w:rPr>
              <w:t>60.63 %</w:t>
            </w:r>
          </w:p>
        </w:tc>
        <w:tc>
          <w:tcPr>
            <w:tcW w:w="977" w:type="dxa"/>
            <w:tcBorders>
              <w:bottom w:val="single" w:sz="12" w:space="0" w:color="008000"/>
            </w:tcBorders>
          </w:tcPr>
          <w:p w14:paraId="465831AF" w14:textId="77777777" w:rsidR="002038A1" w:rsidRDefault="002038A1" w:rsidP="00AB3B5C">
            <w:pPr>
              <w:pStyle w:val="CETBodytext"/>
              <w:ind w:right="-1"/>
              <w:jc w:val="left"/>
              <w:rPr>
                <w:rFonts w:cs="Arial"/>
                <w:szCs w:val="18"/>
                <w:lang w:val="en-GB"/>
              </w:rPr>
            </w:pPr>
            <w:r>
              <w:rPr>
                <w:rFonts w:cs="Arial"/>
                <w:szCs w:val="18"/>
                <w:lang w:val="en-GB"/>
              </w:rPr>
              <w:t>64.65 %</w:t>
            </w:r>
          </w:p>
        </w:tc>
      </w:tr>
    </w:tbl>
    <w:p w14:paraId="479781D6" w14:textId="77777777" w:rsidR="00EB3B2C" w:rsidRDefault="00EB3B2C" w:rsidP="00ED502C">
      <w:pPr>
        <w:pStyle w:val="CETBodytext"/>
      </w:pPr>
    </w:p>
    <w:p w14:paraId="28695665" w14:textId="77777777" w:rsidR="00A70D33" w:rsidRPr="00A51A52" w:rsidRDefault="00A70D33" w:rsidP="00A70D33">
      <w:pPr>
        <w:pStyle w:val="CETBodytext"/>
        <w:rPr>
          <w:b/>
          <w:bCs/>
        </w:rPr>
      </w:pPr>
      <w:r w:rsidRPr="00A51A52">
        <w:rPr>
          <w:b/>
          <w:bCs/>
        </w:rPr>
        <w:t>Regression models and segmentation</w:t>
      </w:r>
    </w:p>
    <w:p w14:paraId="3F3E03C2" w14:textId="563DBB89" w:rsidR="00EB3B2C" w:rsidRDefault="00A70D33" w:rsidP="002038A1">
      <w:pPr>
        <w:pStyle w:val="CETBodytext"/>
      </w:pPr>
      <w:r>
        <w:t xml:space="preserve">The details of the </w:t>
      </w:r>
      <w:r w:rsidRPr="00A54323">
        <w:rPr>
          <w:i/>
          <w:iCs/>
        </w:rPr>
        <w:t>“aggregate regression models”</w:t>
      </w:r>
      <w:r>
        <w:t xml:space="preserve"> are displayed in Table 4 and Table 5. The first row displays the value of the intercept,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t xml:space="preserve">, whereas in the subsequent rows, the other coefficients,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t xml:space="preserve">, are listed. For every variable the following information were provided: value of the coefficients, standard error, </w:t>
      </w:r>
      <w:r>
        <w:rPr>
          <w:i/>
          <w:iCs/>
        </w:rPr>
        <w:t>t</w:t>
      </w:r>
      <w:r>
        <w:t xml:space="preserve">-test value, </w:t>
      </w:r>
      <w:r>
        <w:rPr>
          <w:i/>
          <w:iCs/>
        </w:rPr>
        <w:t>p</w:t>
      </w:r>
      <w:r>
        <w:t>-</w:t>
      </w:r>
      <w:r w:rsidRPr="0064514E">
        <w:rPr>
          <w:i/>
          <w:iCs/>
        </w:rPr>
        <w:t>value</w:t>
      </w:r>
      <w:r>
        <w:t xml:space="preserve"> (indicated by </w:t>
      </w:r>
      <m:oMath>
        <m:r>
          <w:rPr>
            <w:rFonts w:ascii="Cambria Math" w:hAnsi="Cambria Math"/>
          </w:rPr>
          <m:t>Pr(&gt;</m:t>
        </m:r>
        <m:d>
          <m:dPr>
            <m:begChr m:val="|"/>
            <m:endChr m:val="|"/>
            <m:ctrlPr>
              <w:rPr>
                <w:rFonts w:ascii="Cambria Math" w:hAnsi="Cambria Math"/>
                <w:i/>
              </w:rPr>
            </m:ctrlPr>
          </m:dPr>
          <m:e>
            <m:r>
              <w:rPr>
                <w:rFonts w:ascii="Cambria Math" w:hAnsi="Cambria Math"/>
              </w:rPr>
              <m:t>t</m:t>
            </m:r>
          </m:e>
        </m:d>
        <m:r>
          <w:rPr>
            <w:rFonts w:ascii="Cambria Math" w:hAnsi="Cambria Math"/>
          </w:rPr>
          <m:t>)</m:t>
        </m:r>
      </m:oMath>
      <w:r w:rsidR="00D403D7">
        <w:t>)</w:t>
      </w:r>
      <w:r>
        <w:t xml:space="preserve">, </w:t>
      </w:r>
      <m:oMath>
        <m:r>
          <w:rPr>
            <w:rFonts w:ascii="Cambria Math" w:hAnsi="Cambria Math"/>
          </w:rPr>
          <m:t>VIF</m:t>
        </m:r>
      </m:oMath>
      <w:r>
        <w:t xml:space="preserve"> value and level of significance. In all cases, </w:t>
      </w:r>
      <w:r w:rsidR="00FA217B">
        <w:t xml:space="preserve">the </w:t>
      </w:r>
      <w:r>
        <w:t xml:space="preserve">residuals were checked by the </w:t>
      </w:r>
      <w:r w:rsidR="00FA217B">
        <w:t xml:space="preserve">Quantile-Quantile </w:t>
      </w:r>
      <w:r>
        <w:t>plot inspection</w:t>
      </w:r>
      <w:r w:rsidR="005F2163">
        <w:t xml:space="preserve"> to determine if the data came from some theoretical distribution</w:t>
      </w:r>
      <w:r>
        <w:t xml:space="preserve">. </w:t>
      </w:r>
    </w:p>
    <w:p w14:paraId="281849F6" w14:textId="7EF2AF5A" w:rsidR="002038A1" w:rsidRDefault="002038A1" w:rsidP="002038A1">
      <w:pPr>
        <w:pStyle w:val="CETBodytext"/>
      </w:pPr>
      <w:r w:rsidRPr="00F42D7A">
        <w:t>The information provided by the aggregate models highlights how an increment in the sparger hole diameter destabilizes the mono-dispersed homogeneous flow regime</w:t>
      </w:r>
      <w:r>
        <w:t xml:space="preserve">, causing a reduction of </w:t>
      </w:r>
      <m:oMath>
        <m:sSub>
          <m:sSubPr>
            <m:ctrlPr>
              <w:rPr>
                <w:rFonts w:ascii="Cambria Math" w:hAnsi="Cambria Math"/>
                <w:i/>
              </w:rPr>
            </m:ctrlPr>
          </m:sSubPr>
          <m:e>
            <m:r>
              <w:rPr>
                <w:rFonts w:ascii="Cambria Math" w:hAnsi="Cambria Math"/>
              </w:rPr>
              <m:t>ε</m:t>
            </m:r>
          </m:e>
          <m:sub>
            <m:r>
              <w:rPr>
                <w:rFonts w:ascii="Cambria Math" w:hAnsi="Cambria Math"/>
              </w:rPr>
              <m:t>G,trans</m:t>
            </m:r>
          </m:sub>
        </m:sSub>
      </m:oMath>
      <w:r>
        <w:t xml:space="preserve"> and </w:t>
      </w:r>
      <m:oMath>
        <m:sSub>
          <m:sSubPr>
            <m:ctrlPr>
              <w:rPr>
                <w:rFonts w:ascii="Cambria Math" w:hAnsi="Cambria Math"/>
                <w:i/>
              </w:rPr>
            </m:ctrlPr>
          </m:sSubPr>
          <m:e>
            <m:r>
              <w:rPr>
                <w:rFonts w:ascii="Cambria Math" w:hAnsi="Cambria Math"/>
              </w:rPr>
              <m:t>U</m:t>
            </m:r>
          </m:e>
          <m:sub>
            <m:r>
              <w:rPr>
                <w:rFonts w:ascii="Cambria Math" w:hAnsi="Cambria Math"/>
              </w:rPr>
              <m:t>G,trans</m:t>
            </m:r>
          </m:sub>
        </m:sSub>
      </m:oMath>
      <w:r w:rsidRPr="00F42D7A">
        <w:t>.</w:t>
      </w:r>
      <w:r>
        <w:t xml:space="preserve"> </w:t>
      </w:r>
      <w:r w:rsidRPr="00F42D7A">
        <w:t xml:space="preserve">The same conclusion can be drawn for the aspect ratio since an increase in the aspect ratio reduces both </w:t>
      </w:r>
      <m:oMath>
        <m:sSub>
          <m:sSubPr>
            <m:ctrlPr>
              <w:rPr>
                <w:rFonts w:ascii="Cambria Math" w:hAnsi="Cambria Math"/>
                <w:i/>
              </w:rPr>
            </m:ctrlPr>
          </m:sSubPr>
          <m:e>
            <m:r>
              <w:rPr>
                <w:rFonts w:ascii="Cambria Math" w:hAnsi="Cambria Math"/>
              </w:rPr>
              <m:t>ε</m:t>
            </m:r>
          </m:e>
          <m:sub>
            <m:r>
              <w:rPr>
                <w:rFonts w:ascii="Cambria Math" w:hAnsi="Cambria Math"/>
              </w:rPr>
              <m:t>G,trans</m:t>
            </m:r>
          </m:sub>
        </m:sSub>
      </m:oMath>
      <w:r>
        <w:t xml:space="preserve"> and </w:t>
      </w:r>
      <m:oMath>
        <m:sSub>
          <m:sSubPr>
            <m:ctrlPr>
              <w:rPr>
                <w:rFonts w:ascii="Cambria Math" w:hAnsi="Cambria Math"/>
                <w:i/>
              </w:rPr>
            </m:ctrlPr>
          </m:sSubPr>
          <m:e>
            <m:r>
              <w:rPr>
                <w:rFonts w:ascii="Cambria Math" w:hAnsi="Cambria Math"/>
              </w:rPr>
              <m:t>U</m:t>
            </m:r>
          </m:e>
          <m:sub>
            <m:r>
              <w:rPr>
                <w:rFonts w:ascii="Cambria Math" w:hAnsi="Cambria Math"/>
              </w:rPr>
              <m:t>G,trans</m:t>
            </m:r>
          </m:sub>
        </m:sSub>
      </m:oMath>
      <w:r w:rsidRPr="00F42D7A">
        <w:t xml:space="preserve">. </w:t>
      </w:r>
      <w:r>
        <w:t xml:space="preserve"> </w:t>
      </w:r>
    </w:p>
    <w:p w14:paraId="4A37F413" w14:textId="384C371B" w:rsidR="008332C5" w:rsidRPr="00FB30A5" w:rsidRDefault="008332C5" w:rsidP="00970377">
      <w:pPr>
        <w:pStyle w:val="CETTabletitle"/>
      </w:pPr>
      <w:r w:rsidRPr="00FB30A5">
        <w:t xml:space="preserve">Table </w:t>
      </w:r>
      <w:r w:rsidRPr="00FB30A5">
        <w:fldChar w:fldCharType="begin"/>
      </w:r>
      <w:r w:rsidRPr="00FB30A5">
        <w:instrText xml:space="preserve"> SEQ Table \* ARABIC </w:instrText>
      </w:r>
      <w:r w:rsidRPr="00FB30A5">
        <w:fldChar w:fldCharType="separate"/>
      </w:r>
      <w:r w:rsidR="00001736">
        <w:rPr>
          <w:noProof/>
        </w:rPr>
        <w:t>4</w:t>
      </w:r>
      <w:r w:rsidRPr="00FB30A5">
        <w:fldChar w:fldCharType="end"/>
      </w:r>
      <w:r w:rsidRPr="00FB30A5">
        <w:t>:</w:t>
      </w:r>
      <w:r w:rsidR="00970377" w:rsidRPr="00FB30A5">
        <w:t xml:space="preserve"> Aggregate regression model for </w:t>
      </w:r>
      <m:oMath>
        <m:sSub>
          <m:sSubPr>
            <m:ctrlPr>
              <w:rPr>
                <w:rFonts w:ascii="Cambria Math" w:hAnsi="Cambria Math"/>
              </w:rPr>
            </m:ctrlPr>
          </m:sSubPr>
          <m:e>
            <m:r>
              <w:rPr>
                <w:rFonts w:ascii="Cambria Math" w:hAnsi="Cambria Math"/>
              </w:rPr>
              <m:t>ε</m:t>
            </m:r>
          </m:e>
          <m:sub>
            <m:r>
              <w:rPr>
                <w:rFonts w:ascii="Cambria Math" w:hAnsi="Cambria Math"/>
              </w:rPr>
              <m:t>G,trans</m:t>
            </m:r>
          </m:sub>
        </m:sSub>
      </m:oMath>
      <w:r w:rsidR="00970377" w:rsidRPr="00FB30A5">
        <w:t>.</w:t>
      </w:r>
    </w:p>
    <w:tbl>
      <w:tblPr>
        <w:tblW w:w="66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71"/>
        <w:gridCol w:w="951"/>
        <w:gridCol w:w="901"/>
        <w:gridCol w:w="641"/>
        <w:gridCol w:w="830"/>
        <w:gridCol w:w="381"/>
        <w:gridCol w:w="989"/>
      </w:tblGrid>
      <w:tr w:rsidR="005943FC" w14:paraId="796C7348" w14:textId="0CE2CFA4" w:rsidTr="005801C2">
        <w:tc>
          <w:tcPr>
            <w:tcW w:w="1971" w:type="dxa"/>
            <w:tcBorders>
              <w:top w:val="single" w:sz="12" w:space="0" w:color="008000"/>
              <w:left w:val="nil"/>
              <w:bottom w:val="single" w:sz="6" w:space="0" w:color="008000"/>
              <w:right w:val="nil"/>
            </w:tcBorders>
            <w:shd w:val="clear" w:color="auto" w:fill="FFFFFF"/>
            <w:hideMark/>
          </w:tcPr>
          <w:p w14:paraId="15A181C8" w14:textId="5AB42CB8" w:rsidR="005943FC" w:rsidRDefault="005943FC" w:rsidP="00AB3B5C">
            <w:pPr>
              <w:pStyle w:val="CETBodytext"/>
              <w:rPr>
                <w:lang w:val="en-GB"/>
              </w:rPr>
            </w:pPr>
          </w:p>
        </w:tc>
        <w:tc>
          <w:tcPr>
            <w:tcW w:w="951" w:type="dxa"/>
            <w:tcBorders>
              <w:top w:val="single" w:sz="12" w:space="0" w:color="008000"/>
              <w:left w:val="nil"/>
              <w:bottom w:val="single" w:sz="6" w:space="0" w:color="008000"/>
              <w:right w:val="nil"/>
            </w:tcBorders>
            <w:shd w:val="clear" w:color="auto" w:fill="FFFFFF"/>
            <w:hideMark/>
          </w:tcPr>
          <w:p w14:paraId="6FFC8E39" w14:textId="38715D58" w:rsidR="005943FC" w:rsidRDefault="005943FC" w:rsidP="00AB3B5C">
            <w:pPr>
              <w:pStyle w:val="CETBodytext"/>
              <w:rPr>
                <w:lang w:val="en-GB"/>
              </w:rPr>
            </w:pPr>
            <w:r>
              <w:rPr>
                <w:lang w:val="en-GB"/>
              </w:rPr>
              <w:t>Coefficient</w:t>
            </w:r>
          </w:p>
        </w:tc>
        <w:tc>
          <w:tcPr>
            <w:tcW w:w="901" w:type="dxa"/>
            <w:tcBorders>
              <w:top w:val="single" w:sz="12" w:space="0" w:color="008000"/>
              <w:left w:val="nil"/>
              <w:bottom w:val="single" w:sz="6" w:space="0" w:color="008000"/>
              <w:right w:val="nil"/>
            </w:tcBorders>
            <w:shd w:val="clear" w:color="auto" w:fill="FFFFFF"/>
            <w:hideMark/>
          </w:tcPr>
          <w:p w14:paraId="46E9263B" w14:textId="3C195B00" w:rsidR="005943FC" w:rsidRDefault="000453F7" w:rsidP="00AB3B5C">
            <w:pPr>
              <w:pStyle w:val="CETBodytext"/>
              <w:jc w:val="left"/>
              <w:rPr>
                <w:lang w:val="en-GB"/>
              </w:rPr>
            </w:pPr>
            <w:r>
              <w:rPr>
                <w:lang w:val="en-GB"/>
              </w:rPr>
              <w:t>St</w:t>
            </w:r>
            <w:r w:rsidR="005801C2">
              <w:rPr>
                <w:lang w:val="en-GB"/>
              </w:rPr>
              <w:t>d.</w:t>
            </w:r>
            <w:r w:rsidR="005943FC">
              <w:rPr>
                <w:lang w:val="en-GB"/>
              </w:rPr>
              <w:t xml:space="preserve"> error </w:t>
            </w:r>
          </w:p>
        </w:tc>
        <w:tc>
          <w:tcPr>
            <w:tcW w:w="641" w:type="dxa"/>
            <w:tcBorders>
              <w:top w:val="single" w:sz="12" w:space="0" w:color="008000"/>
              <w:left w:val="nil"/>
              <w:bottom w:val="single" w:sz="6" w:space="0" w:color="008000"/>
              <w:right w:val="nil"/>
            </w:tcBorders>
            <w:shd w:val="clear" w:color="auto" w:fill="FFFFFF"/>
          </w:tcPr>
          <w:p w14:paraId="6FFE598F" w14:textId="300450D0" w:rsidR="005943FC" w:rsidRPr="00BA3817" w:rsidRDefault="005943FC" w:rsidP="00AB3B5C">
            <w:pPr>
              <w:pStyle w:val="CETBodytext"/>
              <w:jc w:val="left"/>
              <w:rPr>
                <w:lang w:val="en-GB"/>
              </w:rPr>
            </w:pPr>
            <w:r>
              <w:rPr>
                <w:i/>
                <w:iCs/>
                <w:lang w:val="en-GB"/>
              </w:rPr>
              <w:t>t</w:t>
            </w:r>
            <w:r>
              <w:rPr>
                <w:lang w:val="en-GB"/>
              </w:rPr>
              <w:t>-value</w:t>
            </w:r>
          </w:p>
        </w:tc>
        <w:tc>
          <w:tcPr>
            <w:tcW w:w="830" w:type="dxa"/>
            <w:tcBorders>
              <w:top w:val="single" w:sz="12" w:space="0" w:color="008000"/>
              <w:left w:val="nil"/>
              <w:bottom w:val="single" w:sz="6" w:space="0" w:color="008000"/>
              <w:right w:val="nil"/>
            </w:tcBorders>
            <w:shd w:val="clear" w:color="auto" w:fill="FFFFFF"/>
          </w:tcPr>
          <w:p w14:paraId="2C6269DB" w14:textId="7928A212" w:rsidR="005943FC" w:rsidRPr="005943FC" w:rsidRDefault="00D403D7" w:rsidP="00AB3B5C">
            <w:pPr>
              <w:pStyle w:val="CETBodytext"/>
              <w:jc w:val="left"/>
              <w:rPr>
                <w:lang w:val="en-GB"/>
              </w:rPr>
            </w:pPr>
            <m:oMathPara>
              <m:oMath>
                <m:r>
                  <w:rPr>
                    <w:rFonts w:ascii="Cambria Math" w:hAnsi="Cambria Math"/>
                    <w:lang w:val="en-GB"/>
                  </w:rPr>
                  <m:t>Pr(&gt;|t|)</m:t>
                </m:r>
              </m:oMath>
            </m:oMathPara>
          </w:p>
        </w:tc>
        <w:tc>
          <w:tcPr>
            <w:tcW w:w="381" w:type="dxa"/>
            <w:tcBorders>
              <w:top w:val="single" w:sz="12" w:space="0" w:color="008000"/>
              <w:left w:val="nil"/>
              <w:bottom w:val="single" w:sz="6" w:space="0" w:color="008000"/>
              <w:right w:val="nil"/>
            </w:tcBorders>
            <w:shd w:val="clear" w:color="auto" w:fill="FFFFFF"/>
          </w:tcPr>
          <w:p w14:paraId="5C7FDC55" w14:textId="3488C9DA" w:rsidR="005943FC" w:rsidRPr="005943FC" w:rsidRDefault="005943FC" w:rsidP="00AB3B5C">
            <w:pPr>
              <w:pStyle w:val="CETBodytext"/>
              <w:jc w:val="left"/>
              <w:rPr>
                <w:lang w:val="en-GB"/>
              </w:rPr>
            </w:pPr>
            <w:r>
              <w:rPr>
                <w:lang w:val="en-GB"/>
              </w:rPr>
              <w:t>VIF</w:t>
            </w:r>
          </w:p>
        </w:tc>
        <w:tc>
          <w:tcPr>
            <w:tcW w:w="989" w:type="dxa"/>
            <w:tcBorders>
              <w:top w:val="single" w:sz="12" w:space="0" w:color="008000"/>
              <w:left w:val="nil"/>
              <w:bottom w:val="single" w:sz="6" w:space="0" w:color="008000"/>
              <w:right w:val="nil"/>
            </w:tcBorders>
            <w:shd w:val="clear" w:color="auto" w:fill="FFFFFF"/>
          </w:tcPr>
          <w:p w14:paraId="74448D3C" w14:textId="4D219551" w:rsidR="005943FC" w:rsidRDefault="005943FC" w:rsidP="00AB3B5C">
            <w:pPr>
              <w:pStyle w:val="CETBodytext"/>
              <w:jc w:val="left"/>
              <w:rPr>
                <w:lang w:val="en-GB"/>
              </w:rPr>
            </w:pPr>
            <w:r>
              <w:rPr>
                <w:lang w:val="en-GB"/>
              </w:rPr>
              <w:t>Significance</w:t>
            </w:r>
          </w:p>
        </w:tc>
      </w:tr>
      <w:tr w:rsidR="005943FC" w14:paraId="3CE39997" w14:textId="28BE8186" w:rsidTr="005801C2">
        <w:tc>
          <w:tcPr>
            <w:tcW w:w="1971" w:type="dxa"/>
            <w:tcBorders>
              <w:top w:val="nil"/>
              <w:left w:val="nil"/>
              <w:bottom w:val="nil"/>
              <w:right w:val="nil"/>
            </w:tcBorders>
            <w:shd w:val="clear" w:color="auto" w:fill="FFFFFF"/>
          </w:tcPr>
          <w:p w14:paraId="508F86CB" w14:textId="19912CDC" w:rsidR="005943FC" w:rsidRDefault="005943FC" w:rsidP="00AB3B5C">
            <w:pPr>
              <w:pStyle w:val="CETBodytext"/>
              <w:rPr>
                <w:lang w:val="en-GB"/>
              </w:rPr>
            </w:pPr>
            <w:r>
              <w:rPr>
                <w:lang w:val="en-GB"/>
              </w:rPr>
              <w:t>Intercepts</w:t>
            </w:r>
          </w:p>
        </w:tc>
        <w:tc>
          <w:tcPr>
            <w:tcW w:w="951" w:type="dxa"/>
            <w:tcBorders>
              <w:top w:val="nil"/>
              <w:left w:val="nil"/>
              <w:bottom w:val="nil"/>
              <w:right w:val="nil"/>
            </w:tcBorders>
            <w:shd w:val="clear" w:color="auto" w:fill="FFFFFF"/>
          </w:tcPr>
          <w:p w14:paraId="2D32FA7B" w14:textId="72F524C3" w:rsidR="005943FC" w:rsidRDefault="009E1D5C" w:rsidP="00AB3B5C">
            <w:pPr>
              <w:pStyle w:val="CETBodytext"/>
              <w:rPr>
                <w:lang w:val="en-GB"/>
              </w:rPr>
            </w:pPr>
            <w:r>
              <w:rPr>
                <w:lang w:val="en-GB"/>
              </w:rPr>
              <w:t>0.26285</w:t>
            </w:r>
          </w:p>
        </w:tc>
        <w:tc>
          <w:tcPr>
            <w:tcW w:w="901" w:type="dxa"/>
            <w:tcBorders>
              <w:top w:val="nil"/>
              <w:left w:val="nil"/>
              <w:bottom w:val="nil"/>
              <w:right w:val="nil"/>
            </w:tcBorders>
            <w:shd w:val="clear" w:color="auto" w:fill="FFFFFF"/>
          </w:tcPr>
          <w:p w14:paraId="17C00745" w14:textId="6E1579E1" w:rsidR="005943FC" w:rsidRDefault="006C2A65" w:rsidP="00AB3B5C">
            <w:pPr>
              <w:pStyle w:val="CETBodytext"/>
              <w:rPr>
                <w:lang w:val="en-GB"/>
              </w:rPr>
            </w:pPr>
            <w:r>
              <w:rPr>
                <w:lang w:val="en-GB"/>
              </w:rPr>
              <w:t>7.92E-03</w:t>
            </w:r>
          </w:p>
        </w:tc>
        <w:tc>
          <w:tcPr>
            <w:tcW w:w="641" w:type="dxa"/>
            <w:tcBorders>
              <w:top w:val="nil"/>
              <w:left w:val="nil"/>
              <w:bottom w:val="nil"/>
              <w:right w:val="nil"/>
            </w:tcBorders>
            <w:shd w:val="clear" w:color="auto" w:fill="FFFFFF"/>
          </w:tcPr>
          <w:p w14:paraId="7E93D6CE" w14:textId="148E02D2" w:rsidR="005943FC" w:rsidRDefault="00170DE9" w:rsidP="00AB3B5C">
            <w:pPr>
              <w:pStyle w:val="CETBodytext"/>
              <w:rPr>
                <w:lang w:val="en-GB"/>
              </w:rPr>
            </w:pPr>
            <w:r>
              <w:rPr>
                <w:lang w:val="en-GB"/>
              </w:rPr>
              <w:t>33.209</w:t>
            </w:r>
          </w:p>
        </w:tc>
        <w:tc>
          <w:tcPr>
            <w:tcW w:w="830" w:type="dxa"/>
            <w:tcBorders>
              <w:top w:val="nil"/>
              <w:left w:val="nil"/>
              <w:bottom w:val="nil"/>
              <w:right w:val="nil"/>
            </w:tcBorders>
            <w:shd w:val="clear" w:color="auto" w:fill="FFFFFF"/>
          </w:tcPr>
          <w:p w14:paraId="59336BAC" w14:textId="5CE88750" w:rsidR="005943FC" w:rsidRDefault="00427B93" w:rsidP="00AB3B5C">
            <w:pPr>
              <w:pStyle w:val="CETBodytext"/>
              <w:rPr>
                <w:lang w:val="en-GB"/>
              </w:rPr>
            </w:pPr>
            <w:r>
              <w:rPr>
                <w:lang w:val="en-GB"/>
              </w:rPr>
              <w:t>&lt;</w:t>
            </w:r>
            <w:r w:rsidR="000453F7">
              <w:rPr>
                <w:lang w:val="en-GB"/>
              </w:rPr>
              <w:t>2E-16</w:t>
            </w:r>
          </w:p>
        </w:tc>
        <w:tc>
          <w:tcPr>
            <w:tcW w:w="381" w:type="dxa"/>
            <w:tcBorders>
              <w:top w:val="nil"/>
              <w:left w:val="nil"/>
              <w:bottom w:val="nil"/>
              <w:right w:val="nil"/>
            </w:tcBorders>
            <w:shd w:val="clear" w:color="auto" w:fill="FFFFFF"/>
          </w:tcPr>
          <w:p w14:paraId="11AE3ECD" w14:textId="22C312A3" w:rsidR="005943FC" w:rsidRDefault="000453F7" w:rsidP="00AB3B5C">
            <w:pPr>
              <w:pStyle w:val="CETBodytext"/>
              <w:rPr>
                <w:lang w:val="en-GB"/>
              </w:rPr>
            </w:pPr>
            <w:r>
              <w:rPr>
                <w:lang w:val="en-GB"/>
              </w:rPr>
              <w:t>-</w:t>
            </w:r>
          </w:p>
        </w:tc>
        <w:tc>
          <w:tcPr>
            <w:tcW w:w="989" w:type="dxa"/>
            <w:tcBorders>
              <w:top w:val="nil"/>
              <w:left w:val="nil"/>
              <w:bottom w:val="nil"/>
              <w:right w:val="nil"/>
            </w:tcBorders>
            <w:shd w:val="clear" w:color="auto" w:fill="FFFFFF"/>
          </w:tcPr>
          <w:p w14:paraId="2F7BC860" w14:textId="40A6C95F" w:rsidR="005943FC" w:rsidRDefault="000453F7" w:rsidP="00AB3B5C">
            <w:pPr>
              <w:pStyle w:val="CETBodytext"/>
              <w:rPr>
                <w:lang w:val="en-GB"/>
              </w:rPr>
            </w:pPr>
            <w:r>
              <w:rPr>
                <w:lang w:val="en-GB"/>
              </w:rPr>
              <w:t>***</w:t>
            </w:r>
          </w:p>
        </w:tc>
      </w:tr>
      <w:tr w:rsidR="005943FC" w14:paraId="4C19D71B" w14:textId="6AB1F4AE" w:rsidTr="005801C2">
        <w:tc>
          <w:tcPr>
            <w:tcW w:w="1971" w:type="dxa"/>
            <w:tcBorders>
              <w:top w:val="nil"/>
              <w:left w:val="nil"/>
              <w:bottom w:val="nil"/>
              <w:right w:val="nil"/>
            </w:tcBorders>
            <w:shd w:val="clear" w:color="auto" w:fill="FFFFFF"/>
          </w:tcPr>
          <w:p w14:paraId="02880030" w14:textId="4FA6E1AA" w:rsidR="005943FC" w:rsidRDefault="005943FC" w:rsidP="00AB3B5C">
            <w:pPr>
              <w:pStyle w:val="CETBodytext"/>
              <w:ind w:right="-1"/>
              <w:rPr>
                <w:rFonts w:cs="Arial"/>
                <w:szCs w:val="18"/>
                <w:lang w:val="en-GB"/>
              </w:rPr>
            </w:pPr>
            <w:r>
              <w:rPr>
                <w:rFonts w:cs="Arial"/>
                <w:szCs w:val="18"/>
                <w:lang w:val="en-GB"/>
              </w:rPr>
              <w:t xml:space="preserve">Sparger holes </w:t>
            </w:r>
            <w:r w:rsidR="00A17DB7">
              <w:rPr>
                <w:rFonts w:cs="Arial"/>
                <w:szCs w:val="18"/>
                <w:lang w:val="en-GB"/>
              </w:rPr>
              <w:t>diameter</w:t>
            </w:r>
          </w:p>
        </w:tc>
        <w:tc>
          <w:tcPr>
            <w:tcW w:w="951" w:type="dxa"/>
            <w:tcBorders>
              <w:top w:val="nil"/>
              <w:left w:val="nil"/>
              <w:bottom w:val="nil"/>
              <w:right w:val="nil"/>
            </w:tcBorders>
            <w:shd w:val="clear" w:color="auto" w:fill="FFFFFF"/>
          </w:tcPr>
          <w:p w14:paraId="367BEC1B" w14:textId="23CC3C83" w:rsidR="005943FC" w:rsidRDefault="009E1D5C" w:rsidP="00AB3B5C">
            <w:pPr>
              <w:pStyle w:val="CETBodytext"/>
              <w:ind w:right="-1"/>
              <w:rPr>
                <w:rFonts w:cs="Arial"/>
                <w:szCs w:val="18"/>
                <w:lang w:val="en-GB"/>
              </w:rPr>
            </w:pPr>
            <w:r>
              <w:rPr>
                <w:rFonts w:cs="Arial"/>
                <w:szCs w:val="18"/>
                <w:lang w:val="en-GB"/>
              </w:rPr>
              <w:t>-0.03324</w:t>
            </w:r>
          </w:p>
        </w:tc>
        <w:tc>
          <w:tcPr>
            <w:tcW w:w="901" w:type="dxa"/>
            <w:tcBorders>
              <w:top w:val="nil"/>
              <w:left w:val="nil"/>
              <w:bottom w:val="nil"/>
              <w:right w:val="nil"/>
            </w:tcBorders>
            <w:shd w:val="clear" w:color="auto" w:fill="FFFFFF"/>
          </w:tcPr>
          <w:p w14:paraId="4B1DAA44" w14:textId="5869DB86" w:rsidR="005943FC" w:rsidRDefault="006C2A65" w:rsidP="00AB3B5C">
            <w:pPr>
              <w:pStyle w:val="CETBodytext"/>
              <w:ind w:right="-1"/>
              <w:rPr>
                <w:rFonts w:cs="Arial"/>
                <w:szCs w:val="18"/>
                <w:lang w:val="en-GB"/>
              </w:rPr>
            </w:pPr>
            <w:r>
              <w:rPr>
                <w:rFonts w:cs="Arial"/>
                <w:szCs w:val="18"/>
                <w:lang w:val="en-GB"/>
              </w:rPr>
              <w:t>4.07E-03</w:t>
            </w:r>
          </w:p>
        </w:tc>
        <w:tc>
          <w:tcPr>
            <w:tcW w:w="641" w:type="dxa"/>
            <w:tcBorders>
              <w:top w:val="nil"/>
              <w:left w:val="nil"/>
              <w:bottom w:val="nil"/>
              <w:right w:val="nil"/>
            </w:tcBorders>
            <w:shd w:val="clear" w:color="auto" w:fill="FFFFFF"/>
          </w:tcPr>
          <w:p w14:paraId="7D59B44B" w14:textId="06E7A276" w:rsidR="005943FC" w:rsidRDefault="00427B93" w:rsidP="00AB3B5C">
            <w:pPr>
              <w:pStyle w:val="CETBodytext"/>
              <w:ind w:right="-1"/>
              <w:rPr>
                <w:rFonts w:cs="Arial"/>
                <w:szCs w:val="18"/>
                <w:lang w:val="en-GB"/>
              </w:rPr>
            </w:pPr>
            <w:r>
              <w:rPr>
                <w:rFonts w:cs="Arial"/>
                <w:szCs w:val="18"/>
                <w:lang w:val="en-GB"/>
              </w:rPr>
              <w:t>-8.167</w:t>
            </w:r>
          </w:p>
        </w:tc>
        <w:tc>
          <w:tcPr>
            <w:tcW w:w="830" w:type="dxa"/>
            <w:tcBorders>
              <w:top w:val="nil"/>
              <w:left w:val="nil"/>
              <w:bottom w:val="nil"/>
              <w:right w:val="nil"/>
            </w:tcBorders>
            <w:shd w:val="clear" w:color="auto" w:fill="FFFFFF"/>
          </w:tcPr>
          <w:p w14:paraId="3452DAD7" w14:textId="539C020A" w:rsidR="005943FC" w:rsidRDefault="000453F7" w:rsidP="00AB3B5C">
            <w:pPr>
              <w:pStyle w:val="CETBodytext"/>
              <w:ind w:right="-1"/>
              <w:rPr>
                <w:rFonts w:cs="Arial"/>
                <w:szCs w:val="18"/>
                <w:lang w:val="en-GB"/>
              </w:rPr>
            </w:pPr>
            <w:r>
              <w:rPr>
                <w:rFonts w:cs="Arial"/>
                <w:szCs w:val="18"/>
                <w:lang w:val="en-GB"/>
              </w:rPr>
              <w:t>2.72E-13</w:t>
            </w:r>
          </w:p>
        </w:tc>
        <w:tc>
          <w:tcPr>
            <w:tcW w:w="381" w:type="dxa"/>
            <w:tcBorders>
              <w:top w:val="nil"/>
              <w:left w:val="nil"/>
              <w:bottom w:val="nil"/>
              <w:right w:val="nil"/>
            </w:tcBorders>
            <w:shd w:val="clear" w:color="auto" w:fill="FFFFFF"/>
          </w:tcPr>
          <w:p w14:paraId="4560D991" w14:textId="1FF29602" w:rsidR="005943FC" w:rsidRDefault="000453F7" w:rsidP="00AB3B5C">
            <w:pPr>
              <w:pStyle w:val="CETBodytext"/>
              <w:ind w:right="-1"/>
              <w:rPr>
                <w:rFonts w:cs="Arial"/>
                <w:szCs w:val="18"/>
                <w:lang w:val="en-GB"/>
              </w:rPr>
            </w:pPr>
            <w:r>
              <w:rPr>
                <w:rFonts w:cs="Arial"/>
                <w:szCs w:val="18"/>
                <w:lang w:val="en-GB"/>
              </w:rPr>
              <w:t>1.6</w:t>
            </w:r>
          </w:p>
        </w:tc>
        <w:tc>
          <w:tcPr>
            <w:tcW w:w="989" w:type="dxa"/>
            <w:tcBorders>
              <w:top w:val="nil"/>
              <w:left w:val="nil"/>
              <w:bottom w:val="nil"/>
              <w:right w:val="nil"/>
            </w:tcBorders>
            <w:shd w:val="clear" w:color="auto" w:fill="FFFFFF"/>
          </w:tcPr>
          <w:p w14:paraId="4804A3C8" w14:textId="4E78D35F" w:rsidR="005943FC" w:rsidRDefault="000453F7" w:rsidP="00AB3B5C">
            <w:pPr>
              <w:pStyle w:val="CETBodytext"/>
              <w:ind w:right="-1"/>
              <w:rPr>
                <w:rFonts w:cs="Arial"/>
                <w:szCs w:val="18"/>
                <w:lang w:val="en-GB"/>
              </w:rPr>
            </w:pPr>
            <w:r>
              <w:rPr>
                <w:rFonts w:cs="Arial"/>
                <w:szCs w:val="18"/>
                <w:lang w:val="en-GB"/>
              </w:rPr>
              <w:t>***</w:t>
            </w:r>
          </w:p>
        </w:tc>
      </w:tr>
      <w:tr w:rsidR="005943FC" w14:paraId="2826D835" w14:textId="31D38B9F" w:rsidTr="005801C2">
        <w:tc>
          <w:tcPr>
            <w:tcW w:w="1971" w:type="dxa"/>
            <w:tcBorders>
              <w:top w:val="nil"/>
              <w:left w:val="nil"/>
              <w:bottom w:val="nil"/>
              <w:right w:val="nil"/>
            </w:tcBorders>
            <w:shd w:val="clear" w:color="auto" w:fill="FFFFFF"/>
          </w:tcPr>
          <w:p w14:paraId="165E0FF0" w14:textId="4DBEDF70" w:rsidR="005943FC" w:rsidRDefault="002C0D73" w:rsidP="00AB3B5C">
            <w:pPr>
              <w:pStyle w:val="CETBodytext"/>
              <w:ind w:right="-1"/>
              <w:rPr>
                <w:rFonts w:cs="Arial"/>
                <w:szCs w:val="18"/>
                <w:lang w:val="en-GB"/>
              </w:rPr>
            </w:pPr>
            <w:r>
              <w:rPr>
                <w:rFonts w:cs="Arial"/>
                <w:szCs w:val="18"/>
                <w:lang w:val="en-GB"/>
              </w:rPr>
              <w:t>Aspect ratio</w:t>
            </w:r>
          </w:p>
        </w:tc>
        <w:tc>
          <w:tcPr>
            <w:tcW w:w="951" w:type="dxa"/>
            <w:tcBorders>
              <w:top w:val="nil"/>
              <w:left w:val="nil"/>
              <w:bottom w:val="nil"/>
              <w:right w:val="nil"/>
            </w:tcBorders>
            <w:shd w:val="clear" w:color="auto" w:fill="FFFFFF"/>
          </w:tcPr>
          <w:p w14:paraId="31961798" w14:textId="2A27F808" w:rsidR="005943FC" w:rsidRDefault="006C2A65" w:rsidP="00AB3B5C">
            <w:pPr>
              <w:pStyle w:val="CETBodytext"/>
              <w:ind w:right="-1"/>
              <w:rPr>
                <w:rFonts w:cs="Arial"/>
                <w:szCs w:val="18"/>
                <w:lang w:val="en-GB"/>
              </w:rPr>
            </w:pPr>
            <w:r>
              <w:rPr>
                <w:rFonts w:cs="Arial"/>
                <w:szCs w:val="18"/>
                <w:lang w:val="en-GB"/>
              </w:rPr>
              <w:t>-0.00413</w:t>
            </w:r>
          </w:p>
        </w:tc>
        <w:tc>
          <w:tcPr>
            <w:tcW w:w="901" w:type="dxa"/>
            <w:tcBorders>
              <w:top w:val="nil"/>
              <w:left w:val="nil"/>
              <w:bottom w:val="nil"/>
              <w:right w:val="nil"/>
            </w:tcBorders>
            <w:shd w:val="clear" w:color="auto" w:fill="FFFFFF"/>
          </w:tcPr>
          <w:p w14:paraId="6613FEE7" w14:textId="444846B1" w:rsidR="005943FC" w:rsidRDefault="00170DE9" w:rsidP="00AB3B5C">
            <w:pPr>
              <w:pStyle w:val="CETBodytext"/>
              <w:ind w:right="-1"/>
              <w:rPr>
                <w:rFonts w:cs="Arial"/>
                <w:szCs w:val="18"/>
                <w:lang w:val="en-GB"/>
              </w:rPr>
            </w:pPr>
            <w:r>
              <w:rPr>
                <w:rFonts w:cs="Arial"/>
                <w:szCs w:val="18"/>
                <w:lang w:val="en-GB"/>
              </w:rPr>
              <w:t>1.02E-03</w:t>
            </w:r>
          </w:p>
        </w:tc>
        <w:tc>
          <w:tcPr>
            <w:tcW w:w="641" w:type="dxa"/>
            <w:tcBorders>
              <w:top w:val="nil"/>
              <w:left w:val="nil"/>
              <w:bottom w:val="nil"/>
              <w:right w:val="nil"/>
            </w:tcBorders>
            <w:shd w:val="clear" w:color="auto" w:fill="FFFFFF"/>
          </w:tcPr>
          <w:p w14:paraId="45C0BD6C" w14:textId="62D79DEB" w:rsidR="005943FC" w:rsidRDefault="00427B93" w:rsidP="00AB3B5C">
            <w:pPr>
              <w:pStyle w:val="CETBodytext"/>
              <w:ind w:right="-1"/>
              <w:rPr>
                <w:rFonts w:cs="Arial"/>
                <w:szCs w:val="18"/>
                <w:lang w:val="en-GB"/>
              </w:rPr>
            </w:pPr>
            <w:r>
              <w:rPr>
                <w:rFonts w:cs="Arial"/>
                <w:szCs w:val="18"/>
                <w:lang w:val="en-GB"/>
              </w:rPr>
              <w:t>-4.038</w:t>
            </w:r>
          </w:p>
        </w:tc>
        <w:tc>
          <w:tcPr>
            <w:tcW w:w="830" w:type="dxa"/>
            <w:tcBorders>
              <w:top w:val="nil"/>
              <w:left w:val="nil"/>
              <w:bottom w:val="nil"/>
              <w:right w:val="nil"/>
            </w:tcBorders>
            <w:shd w:val="clear" w:color="auto" w:fill="FFFFFF"/>
          </w:tcPr>
          <w:p w14:paraId="093BCFEC" w14:textId="167D804A" w:rsidR="005943FC" w:rsidRDefault="000453F7" w:rsidP="00AB3B5C">
            <w:pPr>
              <w:pStyle w:val="CETBodytext"/>
              <w:ind w:right="-1"/>
              <w:rPr>
                <w:rFonts w:cs="Arial"/>
                <w:szCs w:val="18"/>
                <w:lang w:val="en-GB"/>
              </w:rPr>
            </w:pPr>
            <w:r>
              <w:rPr>
                <w:rFonts w:cs="Arial"/>
                <w:szCs w:val="18"/>
                <w:lang w:val="en-GB"/>
              </w:rPr>
              <w:t>9.27E-05</w:t>
            </w:r>
          </w:p>
        </w:tc>
        <w:tc>
          <w:tcPr>
            <w:tcW w:w="381" w:type="dxa"/>
            <w:tcBorders>
              <w:top w:val="nil"/>
              <w:left w:val="nil"/>
              <w:bottom w:val="nil"/>
              <w:right w:val="nil"/>
            </w:tcBorders>
            <w:shd w:val="clear" w:color="auto" w:fill="FFFFFF"/>
          </w:tcPr>
          <w:p w14:paraId="2564A1A7" w14:textId="47ECC60A" w:rsidR="005943FC" w:rsidRDefault="000453F7" w:rsidP="00AB3B5C">
            <w:pPr>
              <w:pStyle w:val="CETBodytext"/>
              <w:ind w:right="-1"/>
              <w:rPr>
                <w:rFonts w:cs="Arial"/>
                <w:szCs w:val="18"/>
                <w:lang w:val="en-GB"/>
              </w:rPr>
            </w:pPr>
            <w:r>
              <w:rPr>
                <w:rFonts w:cs="Arial"/>
                <w:szCs w:val="18"/>
                <w:lang w:val="en-GB"/>
              </w:rPr>
              <w:t>1.6</w:t>
            </w:r>
          </w:p>
        </w:tc>
        <w:tc>
          <w:tcPr>
            <w:tcW w:w="989" w:type="dxa"/>
            <w:tcBorders>
              <w:top w:val="nil"/>
              <w:left w:val="nil"/>
              <w:bottom w:val="nil"/>
              <w:right w:val="nil"/>
            </w:tcBorders>
            <w:shd w:val="clear" w:color="auto" w:fill="FFFFFF"/>
          </w:tcPr>
          <w:p w14:paraId="1BA02782" w14:textId="64F9ABB5" w:rsidR="005943FC" w:rsidRDefault="000453F7" w:rsidP="00AB3B5C">
            <w:pPr>
              <w:pStyle w:val="CETBodytext"/>
              <w:ind w:right="-1"/>
              <w:rPr>
                <w:rFonts w:cs="Arial"/>
                <w:szCs w:val="18"/>
                <w:lang w:val="en-GB"/>
              </w:rPr>
            </w:pPr>
            <w:r>
              <w:rPr>
                <w:rFonts w:cs="Arial"/>
                <w:szCs w:val="18"/>
                <w:lang w:val="en-GB"/>
              </w:rPr>
              <w:t>***</w:t>
            </w:r>
          </w:p>
        </w:tc>
      </w:tr>
      <w:tr w:rsidR="005943FC" w14:paraId="6B5D0113" w14:textId="1DCF1CD2" w:rsidTr="005801C2">
        <w:tc>
          <w:tcPr>
            <w:tcW w:w="1971" w:type="dxa"/>
            <w:tcBorders>
              <w:top w:val="nil"/>
              <w:left w:val="nil"/>
              <w:bottom w:val="single" w:sz="12" w:space="0" w:color="008000"/>
              <w:right w:val="nil"/>
            </w:tcBorders>
            <w:shd w:val="clear" w:color="auto" w:fill="FFFFFF"/>
          </w:tcPr>
          <w:p w14:paraId="75413F7E" w14:textId="03BB1257" w:rsidR="005943FC" w:rsidRDefault="009E1D5C" w:rsidP="00AB3B5C">
            <w:pPr>
              <w:pStyle w:val="CETBodytext"/>
              <w:ind w:right="-1"/>
              <w:rPr>
                <w:rFonts w:cs="Arial"/>
                <w:szCs w:val="18"/>
                <w:lang w:val="en-GB"/>
              </w:rPr>
            </w:pPr>
            <w:r>
              <w:rPr>
                <w:rFonts w:cs="Arial"/>
                <w:szCs w:val="18"/>
                <w:lang w:val="en-GB"/>
              </w:rPr>
              <w:t>Viscosity</w:t>
            </w:r>
          </w:p>
        </w:tc>
        <w:tc>
          <w:tcPr>
            <w:tcW w:w="951" w:type="dxa"/>
            <w:tcBorders>
              <w:top w:val="nil"/>
              <w:left w:val="nil"/>
              <w:bottom w:val="single" w:sz="12" w:space="0" w:color="008000"/>
              <w:right w:val="nil"/>
            </w:tcBorders>
            <w:shd w:val="clear" w:color="auto" w:fill="FFFFFF"/>
          </w:tcPr>
          <w:p w14:paraId="632DC799" w14:textId="2365C0D3" w:rsidR="005943FC" w:rsidRDefault="006C2A65" w:rsidP="00AB3B5C">
            <w:pPr>
              <w:pStyle w:val="CETBodytext"/>
              <w:ind w:right="-1"/>
              <w:rPr>
                <w:rFonts w:cs="Arial"/>
                <w:szCs w:val="18"/>
                <w:lang w:val="en-GB"/>
              </w:rPr>
            </w:pPr>
            <w:r>
              <w:rPr>
                <w:rFonts w:cs="Arial"/>
                <w:szCs w:val="18"/>
                <w:lang w:val="en-GB"/>
              </w:rPr>
              <w:t>-0.00506</w:t>
            </w:r>
          </w:p>
        </w:tc>
        <w:tc>
          <w:tcPr>
            <w:tcW w:w="901" w:type="dxa"/>
            <w:tcBorders>
              <w:top w:val="nil"/>
              <w:left w:val="nil"/>
              <w:bottom w:val="single" w:sz="12" w:space="0" w:color="008000"/>
              <w:right w:val="nil"/>
            </w:tcBorders>
            <w:shd w:val="clear" w:color="auto" w:fill="FFFFFF"/>
          </w:tcPr>
          <w:p w14:paraId="6E4F181D" w14:textId="3E662A74" w:rsidR="005943FC" w:rsidRDefault="00170DE9" w:rsidP="00AB3B5C">
            <w:pPr>
              <w:pStyle w:val="CETBodytext"/>
              <w:ind w:right="-1"/>
              <w:rPr>
                <w:rFonts w:cs="Arial"/>
                <w:szCs w:val="18"/>
                <w:lang w:val="en-GB"/>
              </w:rPr>
            </w:pPr>
            <w:r>
              <w:rPr>
                <w:rFonts w:cs="Arial"/>
                <w:szCs w:val="18"/>
                <w:lang w:val="en-GB"/>
              </w:rPr>
              <w:t>1.37E-03</w:t>
            </w:r>
          </w:p>
        </w:tc>
        <w:tc>
          <w:tcPr>
            <w:tcW w:w="641" w:type="dxa"/>
            <w:tcBorders>
              <w:top w:val="nil"/>
              <w:left w:val="nil"/>
              <w:bottom w:val="single" w:sz="12" w:space="0" w:color="008000"/>
              <w:right w:val="nil"/>
            </w:tcBorders>
            <w:shd w:val="clear" w:color="auto" w:fill="FFFFFF"/>
          </w:tcPr>
          <w:p w14:paraId="5B422BE3" w14:textId="658F5416" w:rsidR="005943FC" w:rsidRDefault="00427B93" w:rsidP="00AB3B5C">
            <w:pPr>
              <w:pStyle w:val="CETBodytext"/>
              <w:ind w:right="-1"/>
              <w:rPr>
                <w:rFonts w:cs="Arial"/>
                <w:szCs w:val="18"/>
                <w:lang w:val="en-GB"/>
              </w:rPr>
            </w:pPr>
            <w:r>
              <w:rPr>
                <w:rFonts w:cs="Arial"/>
                <w:szCs w:val="18"/>
                <w:lang w:val="en-GB"/>
              </w:rPr>
              <w:t>-3.693</w:t>
            </w:r>
          </w:p>
        </w:tc>
        <w:tc>
          <w:tcPr>
            <w:tcW w:w="830" w:type="dxa"/>
            <w:tcBorders>
              <w:top w:val="nil"/>
              <w:left w:val="nil"/>
              <w:bottom w:val="single" w:sz="12" w:space="0" w:color="008000"/>
              <w:right w:val="nil"/>
            </w:tcBorders>
            <w:shd w:val="clear" w:color="auto" w:fill="FFFFFF"/>
          </w:tcPr>
          <w:p w14:paraId="0990182E" w14:textId="43E0D11D" w:rsidR="005943FC" w:rsidRDefault="000453F7" w:rsidP="00AB3B5C">
            <w:pPr>
              <w:pStyle w:val="CETBodytext"/>
              <w:ind w:right="-1"/>
              <w:rPr>
                <w:rFonts w:cs="Arial"/>
                <w:szCs w:val="18"/>
                <w:lang w:val="en-GB"/>
              </w:rPr>
            </w:pPr>
            <w:r>
              <w:rPr>
                <w:rFonts w:cs="Arial"/>
                <w:szCs w:val="18"/>
                <w:lang w:val="en-GB"/>
              </w:rPr>
              <w:t>3.28E-04</w:t>
            </w:r>
          </w:p>
        </w:tc>
        <w:tc>
          <w:tcPr>
            <w:tcW w:w="381" w:type="dxa"/>
            <w:tcBorders>
              <w:top w:val="nil"/>
              <w:left w:val="nil"/>
              <w:bottom w:val="single" w:sz="12" w:space="0" w:color="008000"/>
              <w:right w:val="nil"/>
            </w:tcBorders>
            <w:shd w:val="clear" w:color="auto" w:fill="FFFFFF"/>
          </w:tcPr>
          <w:p w14:paraId="676FEA70" w14:textId="6176479F" w:rsidR="005943FC" w:rsidRDefault="000453F7" w:rsidP="00AB3B5C">
            <w:pPr>
              <w:pStyle w:val="CETBodytext"/>
              <w:ind w:right="-1"/>
              <w:rPr>
                <w:rFonts w:cs="Arial"/>
                <w:szCs w:val="18"/>
                <w:lang w:val="en-GB"/>
              </w:rPr>
            </w:pPr>
            <w:r>
              <w:rPr>
                <w:rFonts w:cs="Arial"/>
                <w:szCs w:val="18"/>
                <w:lang w:val="en-GB"/>
              </w:rPr>
              <w:t>1</w:t>
            </w:r>
          </w:p>
        </w:tc>
        <w:tc>
          <w:tcPr>
            <w:tcW w:w="989" w:type="dxa"/>
            <w:tcBorders>
              <w:top w:val="nil"/>
              <w:left w:val="nil"/>
              <w:bottom w:val="single" w:sz="12" w:space="0" w:color="008000"/>
              <w:right w:val="nil"/>
            </w:tcBorders>
            <w:shd w:val="clear" w:color="auto" w:fill="FFFFFF"/>
          </w:tcPr>
          <w:p w14:paraId="2D917956" w14:textId="25ACC50A" w:rsidR="005943FC" w:rsidRDefault="000453F7" w:rsidP="00AB3B5C">
            <w:pPr>
              <w:pStyle w:val="CETBodytext"/>
              <w:ind w:right="-1"/>
              <w:rPr>
                <w:rFonts w:cs="Arial"/>
                <w:szCs w:val="18"/>
                <w:lang w:val="en-GB"/>
              </w:rPr>
            </w:pPr>
            <w:r>
              <w:rPr>
                <w:rFonts w:cs="Arial"/>
                <w:szCs w:val="18"/>
                <w:lang w:val="en-GB"/>
              </w:rPr>
              <w:t>***</w:t>
            </w:r>
          </w:p>
        </w:tc>
      </w:tr>
    </w:tbl>
    <w:p w14:paraId="788E1EAD" w14:textId="4C9FBE86" w:rsidR="00A920ED" w:rsidRPr="00111AF4" w:rsidRDefault="00A920ED" w:rsidP="00C47F90">
      <w:pPr>
        <w:pStyle w:val="CETTabletitle"/>
      </w:pPr>
      <w:r w:rsidRPr="00111AF4">
        <w:t xml:space="preserve">Table </w:t>
      </w:r>
      <w:r w:rsidRPr="00111AF4">
        <w:fldChar w:fldCharType="begin"/>
      </w:r>
      <w:r w:rsidRPr="00111AF4">
        <w:instrText xml:space="preserve"> SEQ Table \* ARABIC </w:instrText>
      </w:r>
      <w:r w:rsidRPr="00111AF4">
        <w:fldChar w:fldCharType="separate"/>
      </w:r>
      <w:r w:rsidR="00001736">
        <w:rPr>
          <w:noProof/>
        </w:rPr>
        <w:t>5</w:t>
      </w:r>
      <w:r w:rsidRPr="00111AF4">
        <w:fldChar w:fldCharType="end"/>
      </w:r>
      <w:r w:rsidRPr="00111AF4">
        <w:t xml:space="preserve">: Aggregate regression model for </w:t>
      </w:r>
      <m:oMath>
        <m:sSub>
          <m:sSubPr>
            <m:ctrlPr>
              <w:rPr>
                <w:rFonts w:ascii="Cambria Math" w:hAnsi="Cambria Math"/>
              </w:rPr>
            </m:ctrlPr>
          </m:sSubPr>
          <m:e>
            <m:r>
              <w:rPr>
                <w:rFonts w:ascii="Cambria Math" w:hAnsi="Cambria Math"/>
              </w:rPr>
              <m:t>U</m:t>
            </m:r>
          </m:e>
          <m:sub>
            <m:r>
              <w:rPr>
                <w:rFonts w:ascii="Cambria Math" w:hAnsi="Cambria Math"/>
              </w:rPr>
              <m:t>G,trans</m:t>
            </m:r>
          </m:sub>
        </m:sSub>
      </m:oMath>
      <w:r w:rsidR="0052612A">
        <w:t>.</w:t>
      </w:r>
    </w:p>
    <w:tbl>
      <w:tblPr>
        <w:tblW w:w="68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61"/>
        <w:gridCol w:w="951"/>
        <w:gridCol w:w="951"/>
        <w:gridCol w:w="641"/>
        <w:gridCol w:w="830"/>
        <w:gridCol w:w="381"/>
        <w:gridCol w:w="989"/>
      </w:tblGrid>
      <w:tr w:rsidR="00F05E71" w14:paraId="691C18C2" w14:textId="77777777" w:rsidTr="005801C2">
        <w:tc>
          <w:tcPr>
            <w:tcW w:w="2061" w:type="dxa"/>
            <w:tcBorders>
              <w:top w:val="single" w:sz="12" w:space="0" w:color="008000"/>
              <w:left w:val="nil"/>
              <w:bottom w:val="single" w:sz="6" w:space="0" w:color="008000"/>
              <w:right w:val="nil"/>
            </w:tcBorders>
            <w:shd w:val="clear" w:color="auto" w:fill="FFFFFF"/>
            <w:hideMark/>
          </w:tcPr>
          <w:p w14:paraId="59774257" w14:textId="496D06FD" w:rsidR="00F05E71" w:rsidRDefault="00F05E71" w:rsidP="00AB3B5C">
            <w:pPr>
              <w:pStyle w:val="CETBodytext"/>
              <w:rPr>
                <w:lang w:val="en-GB"/>
              </w:rPr>
            </w:pPr>
          </w:p>
        </w:tc>
        <w:tc>
          <w:tcPr>
            <w:tcW w:w="951" w:type="dxa"/>
            <w:tcBorders>
              <w:top w:val="single" w:sz="12" w:space="0" w:color="008000"/>
              <w:left w:val="nil"/>
              <w:bottom w:val="single" w:sz="6" w:space="0" w:color="008000"/>
              <w:right w:val="nil"/>
            </w:tcBorders>
            <w:shd w:val="clear" w:color="auto" w:fill="FFFFFF"/>
            <w:hideMark/>
          </w:tcPr>
          <w:p w14:paraId="4F38E606" w14:textId="77777777" w:rsidR="00F05E71" w:rsidRDefault="00F05E71" w:rsidP="00AB3B5C">
            <w:pPr>
              <w:pStyle w:val="CETBodytext"/>
              <w:rPr>
                <w:lang w:val="en-GB"/>
              </w:rPr>
            </w:pPr>
            <w:r>
              <w:rPr>
                <w:lang w:val="en-GB"/>
              </w:rPr>
              <w:t>Coefficient</w:t>
            </w:r>
          </w:p>
        </w:tc>
        <w:tc>
          <w:tcPr>
            <w:tcW w:w="951" w:type="dxa"/>
            <w:tcBorders>
              <w:top w:val="single" w:sz="12" w:space="0" w:color="008000"/>
              <w:left w:val="nil"/>
              <w:bottom w:val="single" w:sz="6" w:space="0" w:color="008000"/>
              <w:right w:val="nil"/>
            </w:tcBorders>
            <w:shd w:val="clear" w:color="auto" w:fill="FFFFFF"/>
            <w:hideMark/>
          </w:tcPr>
          <w:p w14:paraId="54DD513D" w14:textId="5CC2EB58" w:rsidR="00F05E71" w:rsidRDefault="00F05E71" w:rsidP="00AB3B5C">
            <w:pPr>
              <w:pStyle w:val="CETBodytext"/>
              <w:jc w:val="left"/>
              <w:rPr>
                <w:lang w:val="en-GB"/>
              </w:rPr>
            </w:pPr>
            <w:r>
              <w:rPr>
                <w:lang w:val="en-GB"/>
              </w:rPr>
              <w:t>St</w:t>
            </w:r>
            <w:r w:rsidR="005801C2">
              <w:rPr>
                <w:lang w:val="en-GB"/>
              </w:rPr>
              <w:t>d.</w:t>
            </w:r>
            <w:r>
              <w:rPr>
                <w:lang w:val="en-GB"/>
              </w:rPr>
              <w:t xml:space="preserve">  error </w:t>
            </w:r>
          </w:p>
        </w:tc>
        <w:tc>
          <w:tcPr>
            <w:tcW w:w="641" w:type="dxa"/>
            <w:tcBorders>
              <w:top w:val="single" w:sz="12" w:space="0" w:color="008000"/>
              <w:left w:val="nil"/>
              <w:bottom w:val="single" w:sz="6" w:space="0" w:color="008000"/>
              <w:right w:val="nil"/>
            </w:tcBorders>
            <w:shd w:val="clear" w:color="auto" w:fill="FFFFFF"/>
          </w:tcPr>
          <w:p w14:paraId="498281ED" w14:textId="77777777" w:rsidR="00F05E71" w:rsidRPr="00BA3817" w:rsidRDefault="00F05E71" w:rsidP="00AB3B5C">
            <w:pPr>
              <w:pStyle w:val="CETBodytext"/>
              <w:jc w:val="left"/>
              <w:rPr>
                <w:lang w:val="en-GB"/>
              </w:rPr>
            </w:pPr>
            <w:r>
              <w:rPr>
                <w:i/>
                <w:iCs/>
                <w:lang w:val="en-GB"/>
              </w:rPr>
              <w:t>t</w:t>
            </w:r>
            <w:r>
              <w:rPr>
                <w:lang w:val="en-GB"/>
              </w:rPr>
              <w:t>-value</w:t>
            </w:r>
          </w:p>
        </w:tc>
        <w:tc>
          <w:tcPr>
            <w:tcW w:w="830" w:type="dxa"/>
            <w:tcBorders>
              <w:top w:val="single" w:sz="12" w:space="0" w:color="008000"/>
              <w:left w:val="nil"/>
              <w:bottom w:val="single" w:sz="6" w:space="0" w:color="008000"/>
              <w:right w:val="nil"/>
            </w:tcBorders>
            <w:shd w:val="clear" w:color="auto" w:fill="FFFFFF"/>
          </w:tcPr>
          <w:p w14:paraId="2EBF4919" w14:textId="77777777" w:rsidR="00F05E71" w:rsidRPr="005943FC" w:rsidRDefault="00F05E71" w:rsidP="00AB3B5C">
            <w:pPr>
              <w:pStyle w:val="CETBodytext"/>
              <w:jc w:val="left"/>
              <w:rPr>
                <w:lang w:val="en-GB"/>
              </w:rPr>
            </w:pPr>
            <w:proofErr w:type="spellStart"/>
            <w:r w:rsidRPr="005943FC">
              <w:rPr>
                <w:lang w:val="en-GB"/>
              </w:rPr>
              <w:t>Pr</w:t>
            </w:r>
            <w:proofErr w:type="spellEnd"/>
            <w:r w:rsidRPr="005943FC">
              <w:rPr>
                <w:lang w:val="en-GB"/>
              </w:rPr>
              <w:t>(&gt;|t|)</w:t>
            </w:r>
          </w:p>
        </w:tc>
        <w:tc>
          <w:tcPr>
            <w:tcW w:w="381" w:type="dxa"/>
            <w:tcBorders>
              <w:top w:val="single" w:sz="12" w:space="0" w:color="008000"/>
              <w:left w:val="nil"/>
              <w:bottom w:val="single" w:sz="6" w:space="0" w:color="008000"/>
              <w:right w:val="nil"/>
            </w:tcBorders>
            <w:shd w:val="clear" w:color="auto" w:fill="FFFFFF"/>
          </w:tcPr>
          <w:p w14:paraId="7B64226A" w14:textId="77777777" w:rsidR="00F05E71" w:rsidRPr="005943FC" w:rsidRDefault="00F05E71" w:rsidP="00AB3B5C">
            <w:pPr>
              <w:pStyle w:val="CETBodytext"/>
              <w:jc w:val="left"/>
              <w:rPr>
                <w:lang w:val="en-GB"/>
              </w:rPr>
            </w:pPr>
            <w:r>
              <w:rPr>
                <w:lang w:val="en-GB"/>
              </w:rPr>
              <w:t>VIF</w:t>
            </w:r>
          </w:p>
        </w:tc>
        <w:tc>
          <w:tcPr>
            <w:tcW w:w="989" w:type="dxa"/>
            <w:tcBorders>
              <w:top w:val="single" w:sz="12" w:space="0" w:color="008000"/>
              <w:left w:val="nil"/>
              <w:bottom w:val="single" w:sz="6" w:space="0" w:color="008000"/>
              <w:right w:val="nil"/>
            </w:tcBorders>
            <w:shd w:val="clear" w:color="auto" w:fill="FFFFFF"/>
          </w:tcPr>
          <w:p w14:paraId="4B8930A5" w14:textId="77777777" w:rsidR="00F05E71" w:rsidRDefault="00F05E71" w:rsidP="00AB3B5C">
            <w:pPr>
              <w:pStyle w:val="CETBodytext"/>
              <w:jc w:val="left"/>
              <w:rPr>
                <w:lang w:val="en-GB"/>
              </w:rPr>
            </w:pPr>
            <w:r>
              <w:rPr>
                <w:lang w:val="en-GB"/>
              </w:rPr>
              <w:t>Significance</w:t>
            </w:r>
          </w:p>
        </w:tc>
      </w:tr>
      <w:tr w:rsidR="00F05E71" w14:paraId="22637F82" w14:textId="77777777" w:rsidTr="005801C2">
        <w:tc>
          <w:tcPr>
            <w:tcW w:w="2061" w:type="dxa"/>
            <w:tcBorders>
              <w:top w:val="nil"/>
              <w:left w:val="nil"/>
              <w:bottom w:val="nil"/>
              <w:right w:val="nil"/>
            </w:tcBorders>
            <w:shd w:val="clear" w:color="auto" w:fill="FFFFFF"/>
          </w:tcPr>
          <w:p w14:paraId="75EEBD1D" w14:textId="77777777" w:rsidR="00F05E71" w:rsidRDefault="00F05E71" w:rsidP="00AB3B5C">
            <w:pPr>
              <w:pStyle w:val="CETBodytext"/>
              <w:rPr>
                <w:lang w:val="en-GB"/>
              </w:rPr>
            </w:pPr>
            <w:r>
              <w:rPr>
                <w:lang w:val="en-GB"/>
              </w:rPr>
              <w:t>Intercepts</w:t>
            </w:r>
          </w:p>
        </w:tc>
        <w:tc>
          <w:tcPr>
            <w:tcW w:w="951" w:type="dxa"/>
            <w:tcBorders>
              <w:top w:val="nil"/>
              <w:left w:val="nil"/>
              <w:bottom w:val="nil"/>
              <w:right w:val="nil"/>
            </w:tcBorders>
            <w:shd w:val="clear" w:color="auto" w:fill="FFFFFF"/>
          </w:tcPr>
          <w:p w14:paraId="62D9FE4A" w14:textId="20909C4B" w:rsidR="00F05E71" w:rsidRDefault="005B75A1" w:rsidP="00AB3B5C">
            <w:pPr>
              <w:pStyle w:val="CETBodytext"/>
              <w:rPr>
                <w:lang w:val="en-GB"/>
              </w:rPr>
            </w:pPr>
            <w:r>
              <w:rPr>
                <w:lang w:val="en-GB"/>
              </w:rPr>
              <w:t>0.</w:t>
            </w:r>
            <w:r w:rsidR="00B82A96">
              <w:rPr>
                <w:lang w:val="en-GB"/>
              </w:rPr>
              <w:t>05179</w:t>
            </w:r>
          </w:p>
        </w:tc>
        <w:tc>
          <w:tcPr>
            <w:tcW w:w="951" w:type="dxa"/>
            <w:tcBorders>
              <w:top w:val="nil"/>
              <w:left w:val="nil"/>
              <w:bottom w:val="nil"/>
              <w:right w:val="nil"/>
            </w:tcBorders>
            <w:shd w:val="clear" w:color="auto" w:fill="FFFFFF"/>
          </w:tcPr>
          <w:p w14:paraId="5FFD475B" w14:textId="2CC51A2B" w:rsidR="00F05E71" w:rsidRDefault="00C91D29" w:rsidP="00AB3B5C">
            <w:pPr>
              <w:pStyle w:val="CETBodytext"/>
              <w:rPr>
                <w:lang w:val="en-GB"/>
              </w:rPr>
            </w:pPr>
            <w:r>
              <w:rPr>
                <w:lang w:val="en-GB"/>
              </w:rPr>
              <w:t>1.40E-03</w:t>
            </w:r>
          </w:p>
        </w:tc>
        <w:tc>
          <w:tcPr>
            <w:tcW w:w="641" w:type="dxa"/>
            <w:tcBorders>
              <w:top w:val="nil"/>
              <w:left w:val="nil"/>
              <w:bottom w:val="nil"/>
              <w:right w:val="nil"/>
            </w:tcBorders>
            <w:shd w:val="clear" w:color="auto" w:fill="FFFFFF"/>
          </w:tcPr>
          <w:p w14:paraId="12A74C2C" w14:textId="15FEF9BD" w:rsidR="00F05E71" w:rsidRDefault="00630A4F" w:rsidP="00AB3B5C">
            <w:pPr>
              <w:pStyle w:val="CETBodytext"/>
              <w:rPr>
                <w:lang w:val="en-GB"/>
              </w:rPr>
            </w:pPr>
            <w:r>
              <w:rPr>
                <w:lang w:val="en-GB"/>
              </w:rPr>
              <w:t>37.103</w:t>
            </w:r>
          </w:p>
        </w:tc>
        <w:tc>
          <w:tcPr>
            <w:tcW w:w="830" w:type="dxa"/>
            <w:tcBorders>
              <w:top w:val="nil"/>
              <w:left w:val="nil"/>
              <w:bottom w:val="nil"/>
              <w:right w:val="nil"/>
            </w:tcBorders>
            <w:shd w:val="clear" w:color="auto" w:fill="FFFFFF"/>
          </w:tcPr>
          <w:p w14:paraId="3721ECDB" w14:textId="02C0307F" w:rsidR="00F05E71" w:rsidRDefault="00F67730" w:rsidP="00AB3B5C">
            <w:pPr>
              <w:pStyle w:val="CETBodytext"/>
              <w:rPr>
                <w:lang w:val="en-GB"/>
              </w:rPr>
            </w:pPr>
            <w:r>
              <w:rPr>
                <w:lang w:val="en-GB"/>
              </w:rPr>
              <w:t>&lt;2E-16</w:t>
            </w:r>
          </w:p>
        </w:tc>
        <w:tc>
          <w:tcPr>
            <w:tcW w:w="381" w:type="dxa"/>
            <w:tcBorders>
              <w:top w:val="nil"/>
              <w:left w:val="nil"/>
              <w:bottom w:val="nil"/>
              <w:right w:val="nil"/>
            </w:tcBorders>
            <w:shd w:val="clear" w:color="auto" w:fill="FFFFFF"/>
          </w:tcPr>
          <w:p w14:paraId="2B88623B" w14:textId="0338CE6B" w:rsidR="00F05E71" w:rsidRDefault="00A61D35" w:rsidP="00AB3B5C">
            <w:pPr>
              <w:pStyle w:val="CETBodytext"/>
              <w:rPr>
                <w:lang w:val="en-GB"/>
              </w:rPr>
            </w:pPr>
            <w:r>
              <w:rPr>
                <w:lang w:val="en-GB"/>
              </w:rPr>
              <w:t>-</w:t>
            </w:r>
          </w:p>
        </w:tc>
        <w:tc>
          <w:tcPr>
            <w:tcW w:w="989" w:type="dxa"/>
            <w:tcBorders>
              <w:top w:val="nil"/>
              <w:left w:val="nil"/>
              <w:bottom w:val="nil"/>
              <w:right w:val="nil"/>
            </w:tcBorders>
            <w:shd w:val="clear" w:color="auto" w:fill="FFFFFF"/>
          </w:tcPr>
          <w:p w14:paraId="2A2D2EA7" w14:textId="77777777" w:rsidR="00F05E71" w:rsidRDefault="00F05E71" w:rsidP="00AB3B5C">
            <w:pPr>
              <w:pStyle w:val="CETBodytext"/>
              <w:rPr>
                <w:lang w:val="en-GB"/>
              </w:rPr>
            </w:pPr>
            <w:r>
              <w:rPr>
                <w:lang w:val="en-GB"/>
              </w:rPr>
              <w:t>***</w:t>
            </w:r>
          </w:p>
        </w:tc>
      </w:tr>
      <w:tr w:rsidR="00F05E71" w14:paraId="0F53E820" w14:textId="77777777" w:rsidTr="005801C2">
        <w:tc>
          <w:tcPr>
            <w:tcW w:w="2061" w:type="dxa"/>
            <w:tcBorders>
              <w:top w:val="nil"/>
              <w:left w:val="nil"/>
              <w:bottom w:val="nil"/>
              <w:right w:val="nil"/>
            </w:tcBorders>
            <w:shd w:val="clear" w:color="auto" w:fill="FFFFFF"/>
          </w:tcPr>
          <w:p w14:paraId="5E1F529A" w14:textId="77777777" w:rsidR="00F05E71" w:rsidRDefault="00F05E71" w:rsidP="00AB3B5C">
            <w:pPr>
              <w:pStyle w:val="CETBodytext"/>
              <w:ind w:right="-1"/>
              <w:rPr>
                <w:rFonts w:cs="Arial"/>
                <w:szCs w:val="18"/>
                <w:lang w:val="en-GB"/>
              </w:rPr>
            </w:pPr>
            <w:r>
              <w:rPr>
                <w:rFonts w:cs="Arial"/>
                <w:szCs w:val="18"/>
                <w:lang w:val="en-GB"/>
              </w:rPr>
              <w:t>Sparger holes diameter</w:t>
            </w:r>
          </w:p>
        </w:tc>
        <w:tc>
          <w:tcPr>
            <w:tcW w:w="951" w:type="dxa"/>
            <w:tcBorders>
              <w:top w:val="nil"/>
              <w:left w:val="nil"/>
              <w:bottom w:val="nil"/>
              <w:right w:val="nil"/>
            </w:tcBorders>
            <w:shd w:val="clear" w:color="auto" w:fill="FFFFFF"/>
          </w:tcPr>
          <w:p w14:paraId="72B0B682" w14:textId="6874D72A" w:rsidR="00F05E71" w:rsidRDefault="00B82A96" w:rsidP="00AB3B5C">
            <w:pPr>
              <w:pStyle w:val="CETBodytext"/>
              <w:ind w:right="-1"/>
              <w:rPr>
                <w:rFonts w:cs="Arial"/>
                <w:szCs w:val="18"/>
                <w:lang w:val="en-GB"/>
              </w:rPr>
            </w:pPr>
            <w:r>
              <w:rPr>
                <w:rFonts w:cs="Arial"/>
                <w:szCs w:val="18"/>
                <w:lang w:val="en-GB"/>
              </w:rPr>
              <w:t>-0.00361</w:t>
            </w:r>
          </w:p>
        </w:tc>
        <w:tc>
          <w:tcPr>
            <w:tcW w:w="951" w:type="dxa"/>
            <w:tcBorders>
              <w:top w:val="nil"/>
              <w:left w:val="nil"/>
              <w:bottom w:val="nil"/>
              <w:right w:val="nil"/>
            </w:tcBorders>
            <w:shd w:val="clear" w:color="auto" w:fill="FFFFFF"/>
          </w:tcPr>
          <w:p w14:paraId="00568DE5" w14:textId="24C2EBFF" w:rsidR="00F05E71" w:rsidRDefault="00C91D29" w:rsidP="00AB3B5C">
            <w:pPr>
              <w:pStyle w:val="CETBodytext"/>
              <w:ind w:right="-1"/>
              <w:rPr>
                <w:rFonts w:cs="Arial"/>
                <w:szCs w:val="18"/>
                <w:lang w:val="en-GB"/>
              </w:rPr>
            </w:pPr>
            <w:r>
              <w:rPr>
                <w:rFonts w:cs="Arial"/>
                <w:szCs w:val="18"/>
                <w:lang w:val="en-GB"/>
              </w:rPr>
              <w:t>7.21E-04</w:t>
            </w:r>
          </w:p>
        </w:tc>
        <w:tc>
          <w:tcPr>
            <w:tcW w:w="641" w:type="dxa"/>
            <w:tcBorders>
              <w:top w:val="nil"/>
              <w:left w:val="nil"/>
              <w:bottom w:val="nil"/>
              <w:right w:val="nil"/>
            </w:tcBorders>
            <w:shd w:val="clear" w:color="auto" w:fill="FFFFFF"/>
          </w:tcPr>
          <w:p w14:paraId="138E36A0" w14:textId="04C1A926" w:rsidR="00F05E71" w:rsidRDefault="00630A4F" w:rsidP="00AB3B5C">
            <w:pPr>
              <w:pStyle w:val="CETBodytext"/>
              <w:ind w:right="-1"/>
              <w:rPr>
                <w:rFonts w:cs="Arial"/>
                <w:szCs w:val="18"/>
                <w:lang w:val="en-GB"/>
              </w:rPr>
            </w:pPr>
            <w:r>
              <w:rPr>
                <w:rFonts w:cs="Arial"/>
                <w:szCs w:val="18"/>
                <w:lang w:val="en-GB"/>
              </w:rPr>
              <w:t>-5.011</w:t>
            </w:r>
          </w:p>
        </w:tc>
        <w:tc>
          <w:tcPr>
            <w:tcW w:w="830" w:type="dxa"/>
            <w:tcBorders>
              <w:top w:val="nil"/>
              <w:left w:val="nil"/>
              <w:bottom w:val="nil"/>
              <w:right w:val="nil"/>
            </w:tcBorders>
            <w:shd w:val="clear" w:color="auto" w:fill="FFFFFF"/>
          </w:tcPr>
          <w:p w14:paraId="51D266F3" w14:textId="77B8F4E8" w:rsidR="00F05E71" w:rsidRDefault="00F67730" w:rsidP="00AB3B5C">
            <w:pPr>
              <w:pStyle w:val="CETBodytext"/>
              <w:ind w:right="-1"/>
              <w:rPr>
                <w:rFonts w:cs="Arial"/>
                <w:szCs w:val="18"/>
                <w:lang w:val="en-GB"/>
              </w:rPr>
            </w:pPr>
            <w:r>
              <w:rPr>
                <w:rFonts w:cs="Arial"/>
                <w:szCs w:val="18"/>
                <w:lang w:val="en-GB"/>
              </w:rPr>
              <w:t>1.79E-06</w:t>
            </w:r>
          </w:p>
        </w:tc>
        <w:tc>
          <w:tcPr>
            <w:tcW w:w="381" w:type="dxa"/>
            <w:tcBorders>
              <w:top w:val="nil"/>
              <w:left w:val="nil"/>
              <w:bottom w:val="nil"/>
              <w:right w:val="nil"/>
            </w:tcBorders>
            <w:shd w:val="clear" w:color="auto" w:fill="FFFFFF"/>
          </w:tcPr>
          <w:p w14:paraId="0FC463C9" w14:textId="4FC84E42" w:rsidR="00F05E71" w:rsidRDefault="00F67730" w:rsidP="00AB3B5C">
            <w:pPr>
              <w:pStyle w:val="CETBodytext"/>
              <w:ind w:right="-1"/>
              <w:rPr>
                <w:rFonts w:cs="Arial"/>
                <w:szCs w:val="18"/>
                <w:lang w:val="en-GB"/>
              </w:rPr>
            </w:pPr>
            <w:r>
              <w:rPr>
                <w:rFonts w:cs="Arial"/>
                <w:szCs w:val="18"/>
                <w:lang w:val="en-GB"/>
              </w:rPr>
              <w:t>1.</w:t>
            </w:r>
            <w:r w:rsidR="00A920ED">
              <w:rPr>
                <w:rFonts w:cs="Arial"/>
                <w:szCs w:val="18"/>
                <w:lang w:val="en-GB"/>
              </w:rPr>
              <w:t>7</w:t>
            </w:r>
          </w:p>
        </w:tc>
        <w:tc>
          <w:tcPr>
            <w:tcW w:w="989" w:type="dxa"/>
            <w:tcBorders>
              <w:top w:val="nil"/>
              <w:left w:val="nil"/>
              <w:bottom w:val="nil"/>
              <w:right w:val="nil"/>
            </w:tcBorders>
            <w:shd w:val="clear" w:color="auto" w:fill="FFFFFF"/>
          </w:tcPr>
          <w:p w14:paraId="7C34C419" w14:textId="77777777" w:rsidR="00F05E71" w:rsidRDefault="00F05E71" w:rsidP="00AB3B5C">
            <w:pPr>
              <w:pStyle w:val="CETBodytext"/>
              <w:ind w:right="-1"/>
              <w:rPr>
                <w:rFonts w:cs="Arial"/>
                <w:szCs w:val="18"/>
                <w:lang w:val="en-GB"/>
              </w:rPr>
            </w:pPr>
            <w:r>
              <w:rPr>
                <w:rFonts w:cs="Arial"/>
                <w:szCs w:val="18"/>
                <w:lang w:val="en-GB"/>
              </w:rPr>
              <w:t>***</w:t>
            </w:r>
          </w:p>
        </w:tc>
      </w:tr>
      <w:tr w:rsidR="00F05E71" w14:paraId="28D17833" w14:textId="77777777" w:rsidTr="005801C2">
        <w:tc>
          <w:tcPr>
            <w:tcW w:w="2061" w:type="dxa"/>
            <w:tcBorders>
              <w:top w:val="nil"/>
              <w:left w:val="nil"/>
              <w:bottom w:val="nil"/>
              <w:right w:val="nil"/>
            </w:tcBorders>
            <w:shd w:val="clear" w:color="auto" w:fill="FFFFFF"/>
          </w:tcPr>
          <w:p w14:paraId="20FCBC9D" w14:textId="77777777" w:rsidR="00F05E71" w:rsidRDefault="00F05E71" w:rsidP="00AB3B5C">
            <w:pPr>
              <w:pStyle w:val="CETBodytext"/>
              <w:ind w:right="-1"/>
              <w:rPr>
                <w:rFonts w:cs="Arial"/>
                <w:szCs w:val="18"/>
                <w:lang w:val="en-GB"/>
              </w:rPr>
            </w:pPr>
            <w:r>
              <w:rPr>
                <w:rFonts w:cs="Arial"/>
                <w:szCs w:val="18"/>
                <w:lang w:val="en-GB"/>
              </w:rPr>
              <w:t>Aspect ratio</w:t>
            </w:r>
          </w:p>
        </w:tc>
        <w:tc>
          <w:tcPr>
            <w:tcW w:w="951" w:type="dxa"/>
            <w:tcBorders>
              <w:top w:val="nil"/>
              <w:left w:val="nil"/>
              <w:bottom w:val="nil"/>
              <w:right w:val="nil"/>
            </w:tcBorders>
            <w:shd w:val="clear" w:color="auto" w:fill="FFFFFF"/>
          </w:tcPr>
          <w:p w14:paraId="1ADC943A" w14:textId="60228221" w:rsidR="00F05E71" w:rsidRDefault="00B82A96" w:rsidP="00AB3B5C">
            <w:pPr>
              <w:pStyle w:val="CETBodytext"/>
              <w:ind w:right="-1"/>
              <w:rPr>
                <w:rFonts w:cs="Arial"/>
                <w:szCs w:val="18"/>
                <w:lang w:val="en-GB"/>
              </w:rPr>
            </w:pPr>
            <w:r>
              <w:rPr>
                <w:rFonts w:cs="Arial"/>
                <w:szCs w:val="18"/>
                <w:lang w:val="en-GB"/>
              </w:rPr>
              <w:t>-0.00096</w:t>
            </w:r>
          </w:p>
        </w:tc>
        <w:tc>
          <w:tcPr>
            <w:tcW w:w="951" w:type="dxa"/>
            <w:tcBorders>
              <w:top w:val="nil"/>
              <w:left w:val="nil"/>
              <w:bottom w:val="nil"/>
              <w:right w:val="nil"/>
            </w:tcBorders>
            <w:shd w:val="clear" w:color="auto" w:fill="FFFFFF"/>
          </w:tcPr>
          <w:p w14:paraId="1B2F2999" w14:textId="3DA666D0" w:rsidR="00F05E71" w:rsidRDefault="00C91D29" w:rsidP="00AB3B5C">
            <w:pPr>
              <w:pStyle w:val="CETBodytext"/>
              <w:ind w:right="-1"/>
              <w:rPr>
                <w:rFonts w:cs="Arial"/>
                <w:szCs w:val="18"/>
                <w:lang w:val="en-GB"/>
              </w:rPr>
            </w:pPr>
            <w:r>
              <w:rPr>
                <w:rFonts w:cs="Arial"/>
                <w:szCs w:val="18"/>
                <w:lang w:val="en-GB"/>
              </w:rPr>
              <w:t>1.80E-04</w:t>
            </w:r>
          </w:p>
        </w:tc>
        <w:tc>
          <w:tcPr>
            <w:tcW w:w="641" w:type="dxa"/>
            <w:tcBorders>
              <w:top w:val="nil"/>
              <w:left w:val="nil"/>
              <w:bottom w:val="nil"/>
              <w:right w:val="nil"/>
            </w:tcBorders>
            <w:shd w:val="clear" w:color="auto" w:fill="FFFFFF"/>
          </w:tcPr>
          <w:p w14:paraId="7B5B92B8" w14:textId="316537DE" w:rsidR="00F05E71" w:rsidRDefault="00630A4F" w:rsidP="00AB3B5C">
            <w:pPr>
              <w:pStyle w:val="CETBodytext"/>
              <w:ind w:right="-1"/>
              <w:rPr>
                <w:rFonts w:cs="Arial"/>
                <w:szCs w:val="18"/>
                <w:lang w:val="en-GB"/>
              </w:rPr>
            </w:pPr>
            <w:r>
              <w:rPr>
                <w:rFonts w:cs="Arial"/>
                <w:szCs w:val="18"/>
                <w:lang w:val="en-GB"/>
              </w:rPr>
              <w:t>-5.361</w:t>
            </w:r>
          </w:p>
        </w:tc>
        <w:tc>
          <w:tcPr>
            <w:tcW w:w="830" w:type="dxa"/>
            <w:tcBorders>
              <w:top w:val="nil"/>
              <w:left w:val="nil"/>
              <w:bottom w:val="nil"/>
              <w:right w:val="nil"/>
            </w:tcBorders>
            <w:shd w:val="clear" w:color="auto" w:fill="FFFFFF"/>
          </w:tcPr>
          <w:p w14:paraId="03188945" w14:textId="13F72D43" w:rsidR="00F05E71" w:rsidRDefault="00F67730" w:rsidP="00AB3B5C">
            <w:pPr>
              <w:pStyle w:val="CETBodytext"/>
              <w:ind w:right="-1"/>
              <w:rPr>
                <w:rFonts w:cs="Arial"/>
                <w:szCs w:val="18"/>
                <w:lang w:val="en-GB"/>
              </w:rPr>
            </w:pPr>
            <w:r>
              <w:rPr>
                <w:rFonts w:cs="Arial"/>
                <w:szCs w:val="18"/>
                <w:lang w:val="en-GB"/>
              </w:rPr>
              <w:t>3.82E-07</w:t>
            </w:r>
          </w:p>
        </w:tc>
        <w:tc>
          <w:tcPr>
            <w:tcW w:w="381" w:type="dxa"/>
            <w:tcBorders>
              <w:top w:val="nil"/>
              <w:left w:val="nil"/>
              <w:bottom w:val="nil"/>
              <w:right w:val="nil"/>
            </w:tcBorders>
            <w:shd w:val="clear" w:color="auto" w:fill="FFFFFF"/>
          </w:tcPr>
          <w:p w14:paraId="5F56C93F" w14:textId="1046CE3D" w:rsidR="00F05E71" w:rsidRDefault="00A920ED" w:rsidP="00AB3B5C">
            <w:pPr>
              <w:pStyle w:val="CETBodytext"/>
              <w:ind w:right="-1"/>
              <w:rPr>
                <w:rFonts w:cs="Arial"/>
                <w:szCs w:val="18"/>
                <w:lang w:val="en-GB"/>
              </w:rPr>
            </w:pPr>
            <w:r>
              <w:rPr>
                <w:rFonts w:cs="Arial"/>
                <w:szCs w:val="18"/>
                <w:lang w:val="en-GB"/>
              </w:rPr>
              <w:t>1.7</w:t>
            </w:r>
          </w:p>
        </w:tc>
        <w:tc>
          <w:tcPr>
            <w:tcW w:w="989" w:type="dxa"/>
            <w:tcBorders>
              <w:top w:val="nil"/>
              <w:left w:val="nil"/>
              <w:bottom w:val="nil"/>
              <w:right w:val="nil"/>
            </w:tcBorders>
            <w:shd w:val="clear" w:color="auto" w:fill="FFFFFF"/>
          </w:tcPr>
          <w:p w14:paraId="1F736409" w14:textId="77777777" w:rsidR="00F05E71" w:rsidRDefault="00F05E71" w:rsidP="00AB3B5C">
            <w:pPr>
              <w:pStyle w:val="CETBodytext"/>
              <w:ind w:right="-1"/>
              <w:rPr>
                <w:rFonts w:cs="Arial"/>
                <w:szCs w:val="18"/>
                <w:lang w:val="en-GB"/>
              </w:rPr>
            </w:pPr>
            <w:r>
              <w:rPr>
                <w:rFonts w:cs="Arial"/>
                <w:szCs w:val="18"/>
                <w:lang w:val="en-GB"/>
              </w:rPr>
              <w:t>***</w:t>
            </w:r>
          </w:p>
        </w:tc>
      </w:tr>
      <w:tr w:rsidR="00F05E71" w14:paraId="5055BB44" w14:textId="77777777" w:rsidTr="005801C2">
        <w:tc>
          <w:tcPr>
            <w:tcW w:w="2061" w:type="dxa"/>
            <w:tcBorders>
              <w:top w:val="nil"/>
              <w:left w:val="nil"/>
              <w:bottom w:val="nil"/>
              <w:right w:val="nil"/>
            </w:tcBorders>
            <w:shd w:val="clear" w:color="auto" w:fill="FFFFFF"/>
          </w:tcPr>
          <w:p w14:paraId="06FD0895" w14:textId="216378A5" w:rsidR="00F05E71" w:rsidRDefault="005B75A1" w:rsidP="00AB3B5C">
            <w:pPr>
              <w:pStyle w:val="CETBodytext"/>
              <w:ind w:right="-1"/>
              <w:rPr>
                <w:rFonts w:cs="Arial"/>
                <w:szCs w:val="18"/>
                <w:lang w:val="en-GB"/>
              </w:rPr>
            </w:pPr>
            <w:r>
              <w:rPr>
                <w:rFonts w:cs="Arial"/>
                <w:szCs w:val="18"/>
                <w:lang w:val="en-GB"/>
              </w:rPr>
              <w:t>Superficial liquid velocity</w:t>
            </w:r>
          </w:p>
        </w:tc>
        <w:tc>
          <w:tcPr>
            <w:tcW w:w="951" w:type="dxa"/>
            <w:tcBorders>
              <w:top w:val="nil"/>
              <w:left w:val="nil"/>
              <w:bottom w:val="nil"/>
              <w:right w:val="nil"/>
            </w:tcBorders>
            <w:shd w:val="clear" w:color="auto" w:fill="FFFFFF"/>
          </w:tcPr>
          <w:p w14:paraId="343EFD9E" w14:textId="21325F3C" w:rsidR="00F05E71" w:rsidRDefault="00B82A96" w:rsidP="00AB3B5C">
            <w:pPr>
              <w:pStyle w:val="CETBodytext"/>
              <w:ind w:right="-1"/>
              <w:rPr>
                <w:rFonts w:cs="Arial"/>
                <w:szCs w:val="18"/>
                <w:lang w:val="en-GB"/>
              </w:rPr>
            </w:pPr>
            <w:r>
              <w:rPr>
                <w:rFonts w:cs="Arial"/>
                <w:szCs w:val="18"/>
                <w:lang w:val="en-GB"/>
              </w:rPr>
              <w:t>0.10994</w:t>
            </w:r>
          </w:p>
        </w:tc>
        <w:tc>
          <w:tcPr>
            <w:tcW w:w="951" w:type="dxa"/>
            <w:tcBorders>
              <w:top w:val="nil"/>
              <w:left w:val="nil"/>
              <w:bottom w:val="nil"/>
              <w:right w:val="nil"/>
            </w:tcBorders>
            <w:shd w:val="clear" w:color="auto" w:fill="FFFFFF"/>
          </w:tcPr>
          <w:p w14:paraId="6F9466CB" w14:textId="0A62AD3D" w:rsidR="00F05E71" w:rsidRDefault="00C91D29" w:rsidP="00AB3B5C">
            <w:pPr>
              <w:pStyle w:val="CETBodytext"/>
              <w:ind w:right="-1"/>
              <w:rPr>
                <w:rFonts w:cs="Arial"/>
                <w:szCs w:val="18"/>
                <w:lang w:val="en-GB"/>
              </w:rPr>
            </w:pPr>
            <w:r>
              <w:rPr>
                <w:rFonts w:cs="Arial"/>
                <w:szCs w:val="18"/>
                <w:lang w:val="en-GB"/>
              </w:rPr>
              <w:t>2.95E-02</w:t>
            </w:r>
          </w:p>
        </w:tc>
        <w:tc>
          <w:tcPr>
            <w:tcW w:w="641" w:type="dxa"/>
            <w:tcBorders>
              <w:top w:val="nil"/>
              <w:left w:val="nil"/>
              <w:bottom w:val="nil"/>
              <w:right w:val="nil"/>
            </w:tcBorders>
            <w:shd w:val="clear" w:color="auto" w:fill="FFFFFF"/>
          </w:tcPr>
          <w:p w14:paraId="2B387621" w14:textId="0BB68968" w:rsidR="00F05E71" w:rsidRDefault="00630A4F" w:rsidP="00AB3B5C">
            <w:pPr>
              <w:pStyle w:val="CETBodytext"/>
              <w:ind w:right="-1"/>
              <w:rPr>
                <w:rFonts w:cs="Arial"/>
                <w:szCs w:val="18"/>
                <w:lang w:val="en-GB"/>
              </w:rPr>
            </w:pPr>
            <w:r>
              <w:rPr>
                <w:rFonts w:cs="Arial"/>
                <w:szCs w:val="18"/>
                <w:lang w:val="en-GB"/>
              </w:rPr>
              <w:t>3.731</w:t>
            </w:r>
          </w:p>
        </w:tc>
        <w:tc>
          <w:tcPr>
            <w:tcW w:w="830" w:type="dxa"/>
            <w:tcBorders>
              <w:top w:val="nil"/>
              <w:left w:val="nil"/>
              <w:bottom w:val="nil"/>
              <w:right w:val="nil"/>
            </w:tcBorders>
            <w:shd w:val="clear" w:color="auto" w:fill="FFFFFF"/>
          </w:tcPr>
          <w:p w14:paraId="3018978C" w14:textId="37378641" w:rsidR="00F05E71" w:rsidRDefault="00F67730" w:rsidP="00AB3B5C">
            <w:pPr>
              <w:pStyle w:val="CETBodytext"/>
              <w:ind w:right="-1"/>
              <w:rPr>
                <w:rFonts w:cs="Arial"/>
                <w:szCs w:val="18"/>
                <w:lang w:val="en-GB"/>
              </w:rPr>
            </w:pPr>
            <w:r>
              <w:rPr>
                <w:rFonts w:cs="Arial"/>
                <w:szCs w:val="18"/>
                <w:lang w:val="en-GB"/>
              </w:rPr>
              <w:t>2.87E-04</w:t>
            </w:r>
          </w:p>
        </w:tc>
        <w:tc>
          <w:tcPr>
            <w:tcW w:w="381" w:type="dxa"/>
            <w:tcBorders>
              <w:top w:val="nil"/>
              <w:left w:val="nil"/>
              <w:bottom w:val="nil"/>
              <w:right w:val="nil"/>
            </w:tcBorders>
            <w:shd w:val="clear" w:color="auto" w:fill="FFFFFF"/>
          </w:tcPr>
          <w:p w14:paraId="3A7A9B3E" w14:textId="28A7DE22" w:rsidR="00F05E71" w:rsidRDefault="00A920ED" w:rsidP="00AB3B5C">
            <w:pPr>
              <w:pStyle w:val="CETBodytext"/>
              <w:ind w:right="-1"/>
              <w:rPr>
                <w:rFonts w:cs="Arial"/>
                <w:szCs w:val="18"/>
                <w:lang w:val="en-GB"/>
              </w:rPr>
            </w:pPr>
            <w:r>
              <w:rPr>
                <w:rFonts w:cs="Arial"/>
                <w:szCs w:val="18"/>
                <w:lang w:val="en-GB"/>
              </w:rPr>
              <w:t>1.3</w:t>
            </w:r>
          </w:p>
        </w:tc>
        <w:tc>
          <w:tcPr>
            <w:tcW w:w="989" w:type="dxa"/>
            <w:tcBorders>
              <w:top w:val="nil"/>
              <w:left w:val="nil"/>
              <w:bottom w:val="nil"/>
              <w:right w:val="nil"/>
            </w:tcBorders>
            <w:shd w:val="clear" w:color="auto" w:fill="FFFFFF"/>
          </w:tcPr>
          <w:p w14:paraId="0CA27B02" w14:textId="77777777" w:rsidR="00F05E71" w:rsidRDefault="00F05E71" w:rsidP="00AB3B5C">
            <w:pPr>
              <w:pStyle w:val="CETBodytext"/>
              <w:ind w:right="-1"/>
              <w:rPr>
                <w:rFonts w:cs="Arial"/>
                <w:szCs w:val="18"/>
                <w:lang w:val="en-GB"/>
              </w:rPr>
            </w:pPr>
            <w:r>
              <w:rPr>
                <w:rFonts w:cs="Arial"/>
                <w:szCs w:val="18"/>
                <w:lang w:val="en-GB"/>
              </w:rPr>
              <w:t>***</w:t>
            </w:r>
          </w:p>
        </w:tc>
      </w:tr>
      <w:tr w:rsidR="00F05E71" w14:paraId="15C654E3" w14:textId="77777777" w:rsidTr="005801C2">
        <w:tc>
          <w:tcPr>
            <w:tcW w:w="2061" w:type="dxa"/>
            <w:tcBorders>
              <w:top w:val="nil"/>
              <w:left w:val="nil"/>
              <w:bottom w:val="single" w:sz="12" w:space="0" w:color="008000"/>
              <w:right w:val="nil"/>
            </w:tcBorders>
            <w:shd w:val="clear" w:color="auto" w:fill="FFFFFF"/>
          </w:tcPr>
          <w:p w14:paraId="041650B3" w14:textId="2DC9C898" w:rsidR="00F05E71" w:rsidRDefault="005B75A1" w:rsidP="00AB3B5C">
            <w:pPr>
              <w:pStyle w:val="CETBodytext"/>
              <w:ind w:right="-1"/>
              <w:rPr>
                <w:rFonts w:cs="Arial"/>
                <w:szCs w:val="18"/>
                <w:lang w:val="en-GB"/>
              </w:rPr>
            </w:pPr>
            <w:r>
              <w:rPr>
                <w:rFonts w:cs="Arial"/>
                <w:szCs w:val="18"/>
                <w:lang w:val="en-GB"/>
              </w:rPr>
              <w:t>Viscosity</w:t>
            </w:r>
          </w:p>
        </w:tc>
        <w:tc>
          <w:tcPr>
            <w:tcW w:w="951" w:type="dxa"/>
            <w:tcBorders>
              <w:top w:val="nil"/>
              <w:left w:val="nil"/>
              <w:bottom w:val="single" w:sz="12" w:space="0" w:color="008000"/>
              <w:right w:val="nil"/>
            </w:tcBorders>
            <w:shd w:val="clear" w:color="auto" w:fill="FFFFFF"/>
          </w:tcPr>
          <w:p w14:paraId="67229B5F" w14:textId="73AF20F7" w:rsidR="00F05E71" w:rsidRDefault="00B82A96" w:rsidP="00AB3B5C">
            <w:pPr>
              <w:pStyle w:val="CETBodytext"/>
              <w:ind w:right="-1"/>
              <w:rPr>
                <w:rFonts w:cs="Arial"/>
                <w:szCs w:val="18"/>
                <w:lang w:val="en-GB"/>
              </w:rPr>
            </w:pPr>
            <w:r>
              <w:rPr>
                <w:rFonts w:cs="Arial"/>
                <w:szCs w:val="18"/>
                <w:lang w:val="en-GB"/>
              </w:rPr>
              <w:t>0.00111</w:t>
            </w:r>
          </w:p>
        </w:tc>
        <w:tc>
          <w:tcPr>
            <w:tcW w:w="951" w:type="dxa"/>
            <w:tcBorders>
              <w:top w:val="nil"/>
              <w:left w:val="nil"/>
              <w:bottom w:val="single" w:sz="12" w:space="0" w:color="008000"/>
              <w:right w:val="nil"/>
            </w:tcBorders>
            <w:shd w:val="clear" w:color="auto" w:fill="FFFFFF"/>
          </w:tcPr>
          <w:p w14:paraId="35AF7C21" w14:textId="451B3F29" w:rsidR="00F05E71" w:rsidRDefault="00C91D29" w:rsidP="00AB3B5C">
            <w:pPr>
              <w:pStyle w:val="CETBodytext"/>
              <w:ind w:right="-1"/>
              <w:rPr>
                <w:rFonts w:cs="Arial"/>
                <w:szCs w:val="18"/>
                <w:lang w:val="en-GB"/>
              </w:rPr>
            </w:pPr>
            <w:r>
              <w:rPr>
                <w:rFonts w:cs="Arial"/>
                <w:szCs w:val="18"/>
                <w:lang w:val="en-GB"/>
              </w:rPr>
              <w:t>2.36E-04</w:t>
            </w:r>
          </w:p>
        </w:tc>
        <w:tc>
          <w:tcPr>
            <w:tcW w:w="641" w:type="dxa"/>
            <w:tcBorders>
              <w:top w:val="nil"/>
              <w:left w:val="nil"/>
              <w:bottom w:val="single" w:sz="12" w:space="0" w:color="008000"/>
              <w:right w:val="nil"/>
            </w:tcBorders>
            <w:shd w:val="clear" w:color="auto" w:fill="FFFFFF"/>
          </w:tcPr>
          <w:p w14:paraId="2839D80E" w14:textId="60E66015" w:rsidR="00F05E71" w:rsidRDefault="00630A4F" w:rsidP="00AB3B5C">
            <w:pPr>
              <w:pStyle w:val="CETBodytext"/>
              <w:ind w:right="-1"/>
              <w:rPr>
                <w:rFonts w:cs="Arial"/>
                <w:szCs w:val="18"/>
                <w:lang w:val="en-GB"/>
              </w:rPr>
            </w:pPr>
            <w:r>
              <w:rPr>
                <w:rFonts w:cs="Arial"/>
                <w:szCs w:val="18"/>
                <w:lang w:val="en-GB"/>
              </w:rPr>
              <w:t>4.712</w:t>
            </w:r>
          </w:p>
        </w:tc>
        <w:tc>
          <w:tcPr>
            <w:tcW w:w="830" w:type="dxa"/>
            <w:tcBorders>
              <w:top w:val="nil"/>
              <w:left w:val="nil"/>
              <w:bottom w:val="single" w:sz="12" w:space="0" w:color="008000"/>
              <w:right w:val="nil"/>
            </w:tcBorders>
            <w:shd w:val="clear" w:color="auto" w:fill="FFFFFF"/>
          </w:tcPr>
          <w:p w14:paraId="4E22514D" w14:textId="35FA63EB" w:rsidR="00F05E71" w:rsidRDefault="00F67730" w:rsidP="00AB3B5C">
            <w:pPr>
              <w:pStyle w:val="CETBodytext"/>
              <w:ind w:right="-1"/>
              <w:rPr>
                <w:rFonts w:cs="Arial"/>
                <w:szCs w:val="18"/>
                <w:lang w:val="en-GB"/>
              </w:rPr>
            </w:pPr>
            <w:r>
              <w:rPr>
                <w:rFonts w:cs="Arial"/>
                <w:szCs w:val="18"/>
                <w:lang w:val="en-GB"/>
              </w:rPr>
              <w:t>6.37E-06</w:t>
            </w:r>
          </w:p>
        </w:tc>
        <w:tc>
          <w:tcPr>
            <w:tcW w:w="381" w:type="dxa"/>
            <w:tcBorders>
              <w:top w:val="nil"/>
              <w:left w:val="nil"/>
              <w:bottom w:val="single" w:sz="12" w:space="0" w:color="008000"/>
              <w:right w:val="nil"/>
            </w:tcBorders>
            <w:shd w:val="clear" w:color="auto" w:fill="FFFFFF"/>
          </w:tcPr>
          <w:p w14:paraId="1595C400" w14:textId="4B0177D2" w:rsidR="00F05E71" w:rsidRDefault="00A920ED" w:rsidP="00AB3B5C">
            <w:pPr>
              <w:pStyle w:val="CETBodytext"/>
              <w:ind w:right="-1"/>
              <w:rPr>
                <w:rFonts w:cs="Arial"/>
                <w:szCs w:val="18"/>
                <w:lang w:val="en-GB"/>
              </w:rPr>
            </w:pPr>
            <w:r>
              <w:rPr>
                <w:rFonts w:cs="Arial"/>
                <w:szCs w:val="18"/>
                <w:lang w:val="en-GB"/>
              </w:rPr>
              <w:t>1</w:t>
            </w:r>
          </w:p>
        </w:tc>
        <w:tc>
          <w:tcPr>
            <w:tcW w:w="989" w:type="dxa"/>
            <w:tcBorders>
              <w:top w:val="nil"/>
              <w:left w:val="nil"/>
              <w:bottom w:val="single" w:sz="12" w:space="0" w:color="008000"/>
              <w:right w:val="nil"/>
            </w:tcBorders>
            <w:shd w:val="clear" w:color="auto" w:fill="FFFFFF"/>
          </w:tcPr>
          <w:p w14:paraId="2D8D035A" w14:textId="6278BED4" w:rsidR="00F05E71" w:rsidRDefault="005B75A1" w:rsidP="00AB3B5C">
            <w:pPr>
              <w:pStyle w:val="CETBodytext"/>
              <w:ind w:right="-1"/>
              <w:rPr>
                <w:rFonts w:cs="Arial"/>
                <w:szCs w:val="18"/>
                <w:lang w:val="en-GB"/>
              </w:rPr>
            </w:pPr>
            <w:r>
              <w:rPr>
                <w:rFonts w:cs="Arial"/>
                <w:szCs w:val="18"/>
                <w:lang w:val="en-GB"/>
              </w:rPr>
              <w:t>***</w:t>
            </w:r>
          </w:p>
        </w:tc>
      </w:tr>
    </w:tbl>
    <w:p w14:paraId="01BAFC0C" w14:textId="77777777" w:rsidR="000114F1" w:rsidRDefault="000114F1" w:rsidP="00355B78">
      <w:pPr>
        <w:pStyle w:val="CETBodytext"/>
      </w:pPr>
    </w:p>
    <w:p w14:paraId="08906209" w14:textId="77777777" w:rsidR="00A61D35" w:rsidRDefault="008B0840" w:rsidP="00BE6427">
      <w:pPr>
        <w:pStyle w:val="CETBodytext"/>
      </w:pPr>
      <w:r>
        <w:t>Concerning the superficial liquid velocity</w:t>
      </w:r>
      <w:r w:rsidR="00214D42">
        <w:t xml:space="preserve"> an increment of </w:t>
      </w:r>
      <m:oMath>
        <m:r>
          <w:rPr>
            <w:rFonts w:ascii="Cambria Math" w:hAnsi="Cambria Math"/>
          </w:rPr>
          <m:t>1 m/s</m:t>
        </m:r>
      </m:oMath>
      <w:r w:rsidR="003A7188">
        <w:t xml:space="preserve"> </w:t>
      </w:r>
      <w:r w:rsidR="00214D42">
        <w:t>in its value</w:t>
      </w:r>
      <w:r w:rsidR="003A7188">
        <w:t xml:space="preserve"> (the sign is herein considered) </w:t>
      </w:r>
      <w:r w:rsidR="00AD65A2">
        <w:t xml:space="preserve"> leads to an </w:t>
      </w:r>
      <w:r w:rsidR="00D51652">
        <w:t xml:space="preserve">increase in </w:t>
      </w:r>
      <m:oMath>
        <m:sSub>
          <m:sSubPr>
            <m:ctrlPr>
              <w:rPr>
                <w:rFonts w:ascii="Cambria Math" w:hAnsi="Cambria Math"/>
                <w:i/>
              </w:rPr>
            </m:ctrlPr>
          </m:sSubPr>
          <m:e>
            <m:r>
              <w:rPr>
                <w:rFonts w:ascii="Cambria Math" w:hAnsi="Cambria Math"/>
              </w:rPr>
              <m:t>U</m:t>
            </m:r>
          </m:e>
          <m:sub>
            <m:r>
              <w:rPr>
                <w:rFonts w:ascii="Cambria Math" w:hAnsi="Cambria Math"/>
              </w:rPr>
              <m:t>G,trans</m:t>
            </m:r>
          </m:sub>
        </m:sSub>
      </m:oMath>
      <w:r w:rsidR="00D51652">
        <w:t xml:space="preserve"> of 10.99 % indicating that the counter</w:t>
      </w:r>
      <w:r w:rsidR="000E15AA">
        <w:t xml:space="preserve"> current mode</w:t>
      </w:r>
      <w:r w:rsidR="00677209">
        <w:t xml:space="preserve"> (i.e. negative</w:t>
      </w:r>
      <w:r w:rsidR="00CA7DD0">
        <w:t xml:space="preserve"> value of</w:t>
      </w:r>
      <w:r w:rsidR="00677209">
        <w:t xml:space="preserve"> superficial liquid velocity) </w:t>
      </w:r>
      <w:r w:rsidR="000E15AA">
        <w:t xml:space="preserve"> destabilizes the mono-dispersed homogeneous flow regime</w:t>
      </w:r>
      <w:r w:rsidR="00697A4D">
        <w:t xml:space="preserve">. </w:t>
      </w:r>
    </w:p>
    <w:p w14:paraId="6159B40B" w14:textId="0EE52A31" w:rsidR="00EB3B2C" w:rsidRDefault="00822A62" w:rsidP="00BE6427">
      <w:pPr>
        <w:pStyle w:val="CETBodytext"/>
      </w:pPr>
      <w:r>
        <w:t xml:space="preserve">The regression models does not </w:t>
      </w:r>
      <w:r w:rsidR="00FC2273">
        <w:t xml:space="preserve">clearly describe the effect of the viscosity: as the viscosity increases </w:t>
      </w:r>
      <m:oMath>
        <m:sSub>
          <m:sSubPr>
            <m:ctrlPr>
              <w:rPr>
                <w:rFonts w:ascii="Cambria Math" w:hAnsi="Cambria Math"/>
                <w:i/>
              </w:rPr>
            </m:ctrlPr>
          </m:sSubPr>
          <m:e>
            <m:r>
              <w:rPr>
                <w:rFonts w:ascii="Cambria Math" w:hAnsi="Cambria Math"/>
              </w:rPr>
              <m:t>ε</m:t>
            </m:r>
          </m:e>
          <m:sub>
            <m:r>
              <w:rPr>
                <w:rFonts w:ascii="Cambria Math" w:hAnsi="Cambria Math"/>
              </w:rPr>
              <m:t>G,trans</m:t>
            </m:r>
          </m:sub>
        </m:sSub>
      </m:oMath>
      <w:r w:rsidR="00FC2273">
        <w:t xml:space="preserve"> </w:t>
      </w:r>
      <w:r w:rsidR="00D64A53">
        <w:t>decreases</w:t>
      </w:r>
      <w:r w:rsidR="00FC2273">
        <w:t xml:space="preserve"> but, at the same time, </w:t>
      </w:r>
      <m:oMath>
        <m:sSub>
          <m:sSubPr>
            <m:ctrlPr>
              <w:rPr>
                <w:rFonts w:ascii="Cambria Math" w:hAnsi="Cambria Math"/>
                <w:i/>
              </w:rPr>
            </m:ctrlPr>
          </m:sSubPr>
          <m:e>
            <m:r>
              <w:rPr>
                <w:rFonts w:ascii="Cambria Math" w:hAnsi="Cambria Math"/>
              </w:rPr>
              <m:t>U</m:t>
            </m:r>
          </m:e>
          <m:sub>
            <m:r>
              <w:rPr>
                <w:rFonts w:ascii="Cambria Math" w:hAnsi="Cambria Math"/>
              </w:rPr>
              <m:t xml:space="preserve">G,trans </m:t>
            </m:r>
          </m:sub>
        </m:sSub>
      </m:oMath>
      <w:r w:rsidR="00F22E64">
        <w:t xml:space="preserve"> </w:t>
      </w:r>
      <w:r w:rsidR="00D64A53">
        <w:t>increases</w:t>
      </w:r>
      <w:r w:rsidR="00F22E64">
        <w:t xml:space="preserve"> and so</w:t>
      </w:r>
      <w:r w:rsidR="00EE37DA">
        <w:t xml:space="preserve"> </w:t>
      </w:r>
      <w:r w:rsidR="00F22E64">
        <w:t xml:space="preserve">a general conclusion </w:t>
      </w:r>
      <w:r w:rsidR="00EE37DA">
        <w:t xml:space="preserve">cannot be </w:t>
      </w:r>
      <w:r w:rsidR="000175D2">
        <w:t>reached</w:t>
      </w:r>
      <w:r w:rsidR="00EE37DA">
        <w:t>.</w:t>
      </w:r>
      <w:r w:rsidR="00FB30A5">
        <w:t xml:space="preserve"> </w:t>
      </w:r>
    </w:p>
    <w:p w14:paraId="66EB7D68" w14:textId="482BD243" w:rsidR="00EB3B2C" w:rsidRDefault="007A3313" w:rsidP="00BE6427">
      <w:pPr>
        <w:pStyle w:val="CETBodytext"/>
      </w:pPr>
      <w:r>
        <w:t xml:space="preserve">The results of the CART approach are presented in </w:t>
      </w:r>
      <w:r w:rsidR="006B373F">
        <w:rPr>
          <w:color w:val="000000" w:themeColor="text1"/>
        </w:rPr>
        <w:fldChar w:fldCharType="begin"/>
      </w:r>
      <w:r w:rsidR="006B373F">
        <w:instrText xml:space="preserve"> REF _Ref126852158 \h </w:instrText>
      </w:r>
      <w:r w:rsidR="006B373F">
        <w:rPr>
          <w:color w:val="000000" w:themeColor="text1"/>
        </w:rPr>
      </w:r>
      <w:r w:rsidR="006B373F">
        <w:rPr>
          <w:color w:val="000000" w:themeColor="text1"/>
        </w:rPr>
        <w:fldChar w:fldCharType="separate"/>
      </w:r>
      <w:r w:rsidR="005E11DC">
        <w:t xml:space="preserve">Figure </w:t>
      </w:r>
      <w:r w:rsidR="005E11DC">
        <w:rPr>
          <w:noProof/>
        </w:rPr>
        <w:t>4</w:t>
      </w:r>
      <w:r w:rsidR="006B373F">
        <w:rPr>
          <w:color w:val="000000" w:themeColor="text1"/>
        </w:rPr>
        <w:fldChar w:fldCharType="end"/>
      </w:r>
      <w:r w:rsidR="006B373F">
        <w:rPr>
          <w:color w:val="000000" w:themeColor="text1"/>
        </w:rPr>
        <w:t xml:space="preserve"> </w:t>
      </w:r>
      <w:r w:rsidR="006901A1">
        <w:rPr>
          <w:color w:val="000000" w:themeColor="text1"/>
        </w:rPr>
        <w:t>and</w:t>
      </w:r>
      <w:r w:rsidR="006B373F">
        <w:rPr>
          <w:color w:val="000000" w:themeColor="text1"/>
        </w:rPr>
        <w:t xml:space="preserve"> </w:t>
      </w:r>
      <w:r w:rsidR="006B373F">
        <w:rPr>
          <w:color w:val="000000" w:themeColor="text1"/>
        </w:rPr>
        <w:fldChar w:fldCharType="begin"/>
      </w:r>
      <w:r w:rsidR="006B373F">
        <w:rPr>
          <w:color w:val="000000" w:themeColor="text1"/>
        </w:rPr>
        <w:instrText xml:space="preserve"> REF _Ref126852183 \h </w:instrText>
      </w:r>
      <w:r w:rsidR="006B373F">
        <w:rPr>
          <w:color w:val="000000" w:themeColor="text1"/>
        </w:rPr>
      </w:r>
      <w:r w:rsidR="006B373F">
        <w:rPr>
          <w:color w:val="000000" w:themeColor="text1"/>
        </w:rPr>
        <w:fldChar w:fldCharType="separate"/>
      </w:r>
      <w:r w:rsidR="005E11DC">
        <w:t xml:space="preserve">Figure </w:t>
      </w:r>
      <w:r w:rsidR="005E11DC">
        <w:rPr>
          <w:noProof/>
        </w:rPr>
        <w:t>5</w:t>
      </w:r>
      <w:r w:rsidR="006B373F">
        <w:rPr>
          <w:color w:val="000000" w:themeColor="text1"/>
        </w:rPr>
        <w:fldChar w:fldCharType="end"/>
      </w:r>
      <w:r w:rsidR="006901A1">
        <w:rPr>
          <w:color w:val="000000" w:themeColor="text1"/>
        </w:rPr>
        <w:t>.</w:t>
      </w:r>
      <w:r w:rsidR="00FF0A41">
        <w:rPr>
          <w:color w:val="FF0000"/>
        </w:rPr>
        <w:t xml:space="preserve"> </w:t>
      </w:r>
      <w:r w:rsidR="00FF0A41">
        <w:rPr>
          <w:color w:val="000000" w:themeColor="text1"/>
        </w:rPr>
        <w:t xml:space="preserve">Considering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G,trans</m:t>
            </m:r>
          </m:sub>
        </m:sSub>
        <m:r>
          <w:rPr>
            <w:rFonts w:ascii="Cambria Math" w:hAnsi="Cambria Math"/>
            <w:color w:val="000000" w:themeColor="text1"/>
          </w:rPr>
          <m:t xml:space="preserve"> </m:t>
        </m:r>
      </m:oMath>
      <w:r w:rsidR="00B502AF">
        <w:rPr>
          <w:color w:val="000000" w:themeColor="text1"/>
        </w:rPr>
        <w:t xml:space="preserve"> regression tree </w:t>
      </w:r>
      <w:r w:rsidR="00DB6E5D" w:rsidRPr="00DB6E5D">
        <w:rPr>
          <w:color w:val="000000" w:themeColor="text1"/>
        </w:rPr>
        <w:t xml:space="preserve">(10 splits, 11 clusters), geometrical characteristics and fluid properties are used to split the dataset. The first, and most important, </w:t>
      </w:r>
      <w:r w:rsidR="00D12D9F">
        <w:rPr>
          <w:color w:val="000000" w:themeColor="text1"/>
        </w:rPr>
        <w:t>segmentation</w:t>
      </w:r>
      <w:r w:rsidR="00DB6E5D" w:rsidRPr="00DB6E5D">
        <w:rPr>
          <w:color w:val="000000" w:themeColor="text1"/>
        </w:rPr>
        <w:t xml:space="preserve"> is based on the sparger hole diameter</w:t>
      </w:r>
      <w:r w:rsidR="00E86916">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0</m:t>
            </m:r>
          </m:sub>
        </m:sSub>
        <m:r>
          <w:rPr>
            <w:rFonts w:ascii="Cambria Math" w:hAnsi="Cambria Math"/>
            <w:color w:val="000000" w:themeColor="text1"/>
          </w:rPr>
          <m:t>=0.6 mm</m:t>
        </m:r>
      </m:oMath>
      <w:r w:rsidR="00E86916">
        <w:rPr>
          <w:color w:val="000000" w:themeColor="text1"/>
        </w:rPr>
        <w:t>)</w:t>
      </w:r>
      <w:r w:rsidR="00546EBE">
        <w:rPr>
          <w:color w:val="000000" w:themeColor="text1"/>
        </w:rPr>
        <w:t xml:space="preserve"> </w:t>
      </w:r>
      <w:r w:rsidR="00F12D23">
        <w:rPr>
          <w:color w:val="000000" w:themeColor="text1"/>
        </w:rPr>
        <w:t xml:space="preserve">differentiating between </w:t>
      </w:r>
      <w:r w:rsidR="00193889">
        <w:rPr>
          <w:i/>
          <w:iCs/>
          <w:color w:val="000000" w:themeColor="text1"/>
        </w:rPr>
        <w:t xml:space="preserve">“coarse sparger” </w:t>
      </w:r>
      <w:r w:rsidR="00193889">
        <w:rPr>
          <w:color w:val="000000" w:themeColor="text1"/>
        </w:rPr>
        <w:t xml:space="preserve">and </w:t>
      </w:r>
      <w:r w:rsidR="00193889">
        <w:rPr>
          <w:i/>
          <w:iCs/>
          <w:color w:val="000000" w:themeColor="text1"/>
        </w:rPr>
        <w:t>“fine sparger”.</w:t>
      </w:r>
      <w:r w:rsidR="005646D4">
        <w:rPr>
          <w:i/>
          <w:iCs/>
          <w:color w:val="000000" w:themeColor="text1"/>
        </w:rPr>
        <w:t xml:space="preserve"> </w:t>
      </w:r>
      <w:r w:rsidR="005646D4" w:rsidRPr="005646D4">
        <w:rPr>
          <w:color w:val="000000" w:themeColor="text1"/>
        </w:rPr>
        <w:t>The aspect ratio is the second important variable, followed by the liquid phase viscosity</w:t>
      </w:r>
      <w:r w:rsidR="00052272">
        <w:rPr>
          <w:color w:val="000000" w:themeColor="text1"/>
        </w:rPr>
        <w:t>.</w:t>
      </w:r>
      <w:r w:rsidR="00FB30A5">
        <w:t xml:space="preserve"> </w:t>
      </w:r>
      <w:r w:rsidR="00145E62" w:rsidRPr="00145E62">
        <w:t xml:space="preserve">Regarding  </w:t>
      </w:r>
      <m:oMath>
        <m:sSub>
          <m:sSubPr>
            <m:ctrlPr>
              <w:rPr>
                <w:rFonts w:ascii="Cambria Math" w:hAnsi="Cambria Math"/>
                <w:i/>
              </w:rPr>
            </m:ctrlPr>
          </m:sSubPr>
          <m:e>
            <m:r>
              <w:rPr>
                <w:rFonts w:ascii="Cambria Math" w:hAnsi="Cambria Math"/>
              </w:rPr>
              <m:t>U</m:t>
            </m:r>
          </m:e>
          <m:sub>
            <m:r>
              <w:rPr>
                <w:rFonts w:ascii="Cambria Math" w:hAnsi="Cambria Math"/>
              </w:rPr>
              <m:t xml:space="preserve">G,trans </m:t>
            </m:r>
          </m:sub>
        </m:sSub>
      </m:oMath>
      <w:r w:rsidR="00145E62">
        <w:t xml:space="preserve"> regre</w:t>
      </w:r>
      <w:r w:rsidR="00B502AF">
        <w:t xml:space="preserve">ssion tree </w:t>
      </w:r>
      <w:r w:rsidR="00145E62" w:rsidRPr="00145E62">
        <w:t>(9 splits, 10 clusters), the first segmentation is based on the aspect ratio value (</w:t>
      </w:r>
      <m:oMath>
        <m:r>
          <w:rPr>
            <w:rFonts w:ascii="Cambria Math" w:hAnsi="Cambria Math"/>
          </w:rPr>
          <m:t>AR=4.9</m:t>
        </m:r>
      </m:oMath>
      <w:r w:rsidR="00145E62" w:rsidRPr="00145E62">
        <w:t xml:space="preserve">). The superficial liquid velocity splits the dataset only when columns with </w:t>
      </w:r>
      <m:oMath>
        <m:r>
          <w:rPr>
            <w:rFonts w:ascii="Cambria Math" w:hAnsi="Cambria Math"/>
          </w:rPr>
          <m:t>AR</m:t>
        </m:r>
      </m:oMath>
      <w:r w:rsidR="00145E62" w:rsidRPr="00145E62">
        <w:t xml:space="preserve"> greater than 4.9 are considered since the dataset  provides information on counter-current operation only for </w:t>
      </w:r>
      <m:oMath>
        <m:r>
          <w:rPr>
            <w:rFonts w:ascii="Cambria Math" w:hAnsi="Cambria Math"/>
          </w:rPr>
          <m:t>AR≥ 5</m:t>
        </m:r>
      </m:oMath>
      <w:r w:rsidR="00145E62" w:rsidRPr="00145E62">
        <w:t xml:space="preserve">. </w:t>
      </w:r>
    </w:p>
    <w:p w14:paraId="3E7611F4" w14:textId="77777777" w:rsidR="00AD4BB5" w:rsidRDefault="00AD4BB5" w:rsidP="00AD4BB5">
      <w:pPr>
        <w:pStyle w:val="CETHeading1"/>
      </w:pPr>
      <w:r>
        <w:t>Conclusion</w:t>
      </w:r>
    </w:p>
    <w:p w14:paraId="010C473D" w14:textId="1D08B1F9" w:rsidR="00AD4BB5" w:rsidRDefault="00AD4BB5" w:rsidP="00BE6427">
      <w:pPr>
        <w:pStyle w:val="CETBodytext"/>
      </w:pPr>
      <w:r w:rsidRPr="00FA5A3B">
        <w:t>This study proposes a statistical method to identify the predictors of the transition between the mono-dispersed and the poly-dispersed homogeneous flow regime. It was found that the geometrical characteristics of the column are significant in determining the flow regime transition</w:t>
      </w:r>
      <w:r>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adj,</m:t>
            </m:r>
            <m:sSub>
              <m:sSubPr>
                <m:ctrlPr>
                  <w:rPr>
                    <w:rFonts w:ascii="Cambria Math" w:hAnsi="Cambria Math"/>
                    <w:i/>
                  </w:rPr>
                </m:ctrlPr>
              </m:sSubPr>
              <m:e>
                <m:r>
                  <w:rPr>
                    <w:rFonts w:ascii="Cambria Math" w:hAnsi="Cambria Math"/>
                  </w:rPr>
                  <m:t>ε</m:t>
                </m:r>
              </m:e>
              <m:sub>
                <m:r>
                  <w:rPr>
                    <w:rFonts w:ascii="Cambria Math" w:hAnsi="Cambria Math"/>
                  </w:rPr>
                  <m:t>G, trans</m:t>
                </m:r>
              </m:sub>
            </m:sSub>
          </m:sub>
          <m:sup>
            <m:r>
              <w:rPr>
                <w:rFonts w:ascii="Cambria Math" w:hAnsi="Cambria Math"/>
              </w:rPr>
              <m:t>2</m:t>
            </m:r>
          </m:sup>
        </m:sSubSup>
        <m:r>
          <w:rPr>
            <w:rFonts w:ascii="Cambria Math" w:hAnsi="Cambria Math"/>
          </w:rPr>
          <m:t xml:space="preserve">=56.75 %, </m:t>
        </m:r>
        <m:sSubSup>
          <m:sSubSupPr>
            <m:ctrlPr>
              <w:rPr>
                <w:rFonts w:ascii="Cambria Math" w:hAnsi="Cambria Math"/>
                <w:i/>
              </w:rPr>
            </m:ctrlPr>
          </m:sSubSupPr>
          <m:e>
            <m:r>
              <w:rPr>
                <w:rFonts w:ascii="Cambria Math" w:hAnsi="Cambria Math"/>
              </w:rPr>
              <m:t>R</m:t>
            </m:r>
          </m:e>
          <m:sub>
            <m:r>
              <w:rPr>
                <w:rFonts w:ascii="Cambria Math" w:hAnsi="Cambria Math"/>
              </w:rPr>
              <m:t>adj,</m:t>
            </m:r>
            <m:sSub>
              <m:sSubPr>
                <m:ctrlPr>
                  <w:rPr>
                    <w:rFonts w:ascii="Cambria Math" w:hAnsi="Cambria Math"/>
                    <w:i/>
                  </w:rPr>
                </m:ctrlPr>
              </m:sSubPr>
              <m:e>
                <m:r>
                  <w:rPr>
                    <w:rFonts w:ascii="Cambria Math" w:hAnsi="Cambria Math"/>
                  </w:rPr>
                  <m:t>U</m:t>
                </m:r>
              </m:e>
              <m:sub>
                <m:r>
                  <w:rPr>
                    <w:rFonts w:ascii="Cambria Math" w:hAnsi="Cambria Math"/>
                  </w:rPr>
                  <m:t>G, trans</m:t>
                </m:r>
              </m:sub>
            </m:sSub>
          </m:sub>
          <m:sup>
            <m:r>
              <w:rPr>
                <w:rFonts w:ascii="Cambria Math" w:hAnsi="Cambria Math"/>
              </w:rPr>
              <m:t>2</m:t>
            </m:r>
          </m:sup>
        </m:sSubSup>
        <m:r>
          <w:rPr>
            <w:rFonts w:ascii="Cambria Math" w:hAnsi="Cambria Math"/>
          </w:rPr>
          <m:t>=54.99 %</m:t>
        </m:r>
      </m:oMath>
      <w:r>
        <w:t xml:space="preserve"> )</w:t>
      </w:r>
      <w:r w:rsidRPr="00FA5A3B">
        <w:t>, followed by the operating conditions and liquid phase properties.</w:t>
      </w:r>
      <w:r>
        <w:t xml:space="preserve"> </w:t>
      </w:r>
      <w:r w:rsidRPr="000F42A2">
        <w:t xml:space="preserve">In addition, the results of the CART </w:t>
      </w:r>
      <w:r>
        <w:t>method</w:t>
      </w:r>
      <w:r w:rsidRPr="000F42A2">
        <w:t xml:space="preserve"> (provided as regression trees) make it </w:t>
      </w:r>
      <w:r>
        <w:t>straightforward</w:t>
      </w:r>
      <w:r w:rsidRPr="000F42A2">
        <w:t xml:space="preserve"> to determine the transition point for a </w:t>
      </w:r>
      <w:r w:rsidRPr="000F42A2">
        <w:lastRenderedPageBreak/>
        <w:t>given bubble column and agree with those of the regression approach.</w:t>
      </w:r>
      <w:r>
        <w:t xml:space="preserve"> The method proposed can be applied to the other flow regime transitions and future studies should extend the validity of the approach proposed by extending the present dataset. For example, column operating in co-current mode and with different pressures and temperatures should be considered. </w:t>
      </w:r>
    </w:p>
    <w:p w14:paraId="0A1EAF23" w14:textId="77777777" w:rsidR="00AD4BB5" w:rsidRDefault="00AD4BB5" w:rsidP="00BE6427">
      <w:pPr>
        <w:pStyle w:val="CETBodytext"/>
      </w:pPr>
    </w:p>
    <w:p w14:paraId="6D8074DA" w14:textId="650D4DCE" w:rsidR="00B91E61" w:rsidRDefault="002F4D3C" w:rsidP="00A70D33">
      <w:pPr>
        <w:pStyle w:val="CETBodytext"/>
      </w:pPr>
      <w:r w:rsidRPr="002F4D3C">
        <w:rPr>
          <w:noProof/>
        </w:rPr>
        <w:drawing>
          <wp:inline distT="0" distB="0" distL="0" distR="0" wp14:anchorId="03D97BF3" wp14:editId="4D74FE66">
            <wp:extent cx="3700462" cy="168072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0261" cy="1689719"/>
                    </a:xfrm>
                    <a:prstGeom prst="rect">
                      <a:avLst/>
                    </a:prstGeom>
                  </pic:spPr>
                </pic:pic>
              </a:graphicData>
            </a:graphic>
          </wp:inline>
        </w:drawing>
      </w:r>
    </w:p>
    <w:p w14:paraId="264E9892" w14:textId="65B90C53" w:rsidR="005F2163" w:rsidRDefault="00B91E61" w:rsidP="00B91E61">
      <w:pPr>
        <w:pStyle w:val="CETCaption"/>
      </w:pPr>
      <w:bookmarkStart w:id="2" w:name="_Ref126852158"/>
      <w:r>
        <w:t xml:space="preserve">Figure </w:t>
      </w:r>
      <w:r>
        <w:fldChar w:fldCharType="begin"/>
      </w:r>
      <w:r>
        <w:instrText xml:space="preserve"> SEQ Figure \* ARABIC </w:instrText>
      </w:r>
      <w:r>
        <w:fldChar w:fldCharType="separate"/>
      </w:r>
      <w:r w:rsidR="00AD4BB5">
        <w:rPr>
          <w:noProof/>
        </w:rPr>
        <w:t>4</w:t>
      </w:r>
      <w:r>
        <w:fldChar w:fldCharType="end"/>
      </w:r>
      <w:bookmarkEnd w:id="2"/>
      <w:r>
        <w:t xml:space="preserve">: Bubble column </w:t>
      </w:r>
      <w:r w:rsidRPr="000A5CB5">
        <w:t xml:space="preserve">segmentation, </w:t>
      </w:r>
      <m:oMath>
        <m:sSub>
          <m:sSubPr>
            <m:ctrlPr>
              <w:rPr>
                <w:rFonts w:ascii="Cambria Math" w:hAnsi="Cambria Math"/>
              </w:rPr>
            </m:ctrlPr>
          </m:sSubPr>
          <m:e>
            <m:r>
              <w:rPr>
                <w:rFonts w:ascii="Cambria Math" w:hAnsi="Cambria Math"/>
              </w:rPr>
              <m:t>ε</m:t>
            </m:r>
          </m:e>
          <m:sub>
            <m:r>
              <w:rPr>
                <w:rFonts w:ascii="Cambria Math" w:hAnsi="Cambria Math"/>
              </w:rPr>
              <m:t>G,trans</m:t>
            </m:r>
          </m:sub>
        </m:sSub>
      </m:oMath>
    </w:p>
    <w:p w14:paraId="06D87A37" w14:textId="11598D74" w:rsidR="005F2163" w:rsidRDefault="005E01FC" w:rsidP="005F2163">
      <w:pPr>
        <w:pStyle w:val="CETBodytext"/>
        <w:keepNext/>
      </w:pPr>
      <w:r w:rsidRPr="00FB1F09">
        <w:rPr>
          <w:noProof/>
        </w:rPr>
        <w:drawing>
          <wp:anchor distT="0" distB="0" distL="114300" distR="114300" simplePos="0" relativeHeight="251659776" behindDoc="0" locked="0" layoutInCell="1" allowOverlap="1" wp14:anchorId="06CC7FBF" wp14:editId="7C655F74">
            <wp:simplePos x="0" y="0"/>
            <wp:positionH relativeFrom="column">
              <wp:posOffset>3140075</wp:posOffset>
            </wp:positionH>
            <wp:positionV relativeFrom="paragraph">
              <wp:posOffset>681838</wp:posOffset>
            </wp:positionV>
            <wp:extent cx="130765" cy="1790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765" cy="17907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36313E19">
          <v:rect id="_x0000_s2051" style="position:absolute;left:0;text-align:left;margin-left:245.85pt;margin-top:53.15pt;width:14.25pt;height:14.1pt;z-index:251658240;mso-position-horizontal-relative:text;mso-position-vertical-relative:text" stroked="f"/>
        </w:pict>
      </w:r>
      <w:r w:rsidR="005F2163" w:rsidRPr="005C108D">
        <w:rPr>
          <w:noProof/>
        </w:rPr>
        <w:drawing>
          <wp:inline distT="0" distB="0" distL="0" distR="0" wp14:anchorId="44282115" wp14:editId="12C02ED7">
            <wp:extent cx="4032634" cy="1514475"/>
            <wp:effectExtent l="0" t="0" r="0" b="0"/>
            <wp:docPr id="1" name="Immagine 1"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agramma&#10;&#10;Descrizione generata automaticamente"/>
                    <pic:cNvPicPr/>
                  </pic:nvPicPr>
                  <pic:blipFill>
                    <a:blip r:embed="rId15"/>
                    <a:stretch>
                      <a:fillRect/>
                    </a:stretch>
                  </pic:blipFill>
                  <pic:spPr>
                    <a:xfrm>
                      <a:off x="0" y="0"/>
                      <a:ext cx="4062559" cy="1525713"/>
                    </a:xfrm>
                    <a:prstGeom prst="rect">
                      <a:avLst/>
                    </a:prstGeom>
                  </pic:spPr>
                </pic:pic>
              </a:graphicData>
            </a:graphic>
          </wp:inline>
        </w:drawing>
      </w:r>
    </w:p>
    <w:p w14:paraId="68119D9D" w14:textId="2EA76EC7" w:rsidR="005F2163" w:rsidRPr="005F2163" w:rsidRDefault="005F2163" w:rsidP="00B91E61">
      <w:pPr>
        <w:pStyle w:val="CETCaption"/>
        <w:rPr>
          <w:i w:val="0"/>
        </w:rPr>
      </w:pPr>
      <w:bookmarkStart w:id="3" w:name="_Ref126852183"/>
      <w:r>
        <w:t xml:space="preserve">Figure </w:t>
      </w:r>
      <w:r>
        <w:fldChar w:fldCharType="begin"/>
      </w:r>
      <w:r>
        <w:instrText xml:space="preserve"> SEQ Figure \* ARABIC </w:instrText>
      </w:r>
      <w:r>
        <w:fldChar w:fldCharType="separate"/>
      </w:r>
      <w:r w:rsidR="00AD4BB5">
        <w:rPr>
          <w:noProof/>
        </w:rPr>
        <w:t>5</w:t>
      </w:r>
      <w:r>
        <w:fldChar w:fldCharType="end"/>
      </w:r>
      <w:bookmarkEnd w:id="3"/>
      <w:r>
        <w:t>:</w:t>
      </w:r>
      <w:r w:rsidRPr="000A5CB5">
        <w:rPr>
          <w:rStyle w:val="CETCaptionCarattere"/>
        </w:rPr>
        <w:t xml:space="preserve"> Bubble column segmentation, </w:t>
      </w:r>
      <m:oMath>
        <m:sSub>
          <m:sSubPr>
            <m:ctrlPr>
              <w:rPr>
                <w:rStyle w:val="CETCaptionCarattere"/>
                <w:rFonts w:ascii="Cambria Math" w:hAnsi="Cambria Math"/>
                <w:i/>
              </w:rPr>
            </m:ctrlPr>
          </m:sSubPr>
          <m:e>
            <m:r>
              <w:rPr>
                <w:rStyle w:val="CETCaptionCarattere"/>
                <w:rFonts w:ascii="Cambria Math" w:hAnsi="Cambria Math"/>
              </w:rPr>
              <m:t>U</m:t>
            </m:r>
          </m:e>
          <m:sub>
            <m:r>
              <w:rPr>
                <w:rStyle w:val="CETCaptionCarattere"/>
                <w:rFonts w:ascii="Cambria Math" w:hAnsi="Cambria Math"/>
              </w:rPr>
              <m:t>G,trans</m:t>
            </m:r>
          </m:sub>
        </m:sSub>
      </m:oMath>
    </w:p>
    <w:p w14:paraId="7E0F0FC0" w14:textId="0693466F" w:rsidR="00FA217B" w:rsidRPr="00D84913" w:rsidRDefault="00FA217B" w:rsidP="00FA217B">
      <w:pPr>
        <w:pStyle w:val="CETReference"/>
        <w:rPr>
          <w:rStyle w:val="CETCaptionCarattere"/>
          <w:i w:val="0"/>
        </w:rPr>
      </w:pPr>
      <w:r>
        <w:rPr>
          <w:rStyle w:val="CETCaptionCarattere"/>
        </w:rPr>
        <w:t>References</w:t>
      </w:r>
    </w:p>
    <w:p w14:paraId="3F48EBCA" w14:textId="197D0EAC" w:rsidR="00D84913" w:rsidRPr="00D84913" w:rsidRDefault="00D84913" w:rsidP="003E0283">
      <w:pPr>
        <w:pStyle w:val="CETReferencetext"/>
        <w:rPr>
          <w:rStyle w:val="CETCaptionCarattere"/>
          <w:i w:val="0"/>
          <w:lang w:val="en-US"/>
        </w:rPr>
      </w:pPr>
      <w:r w:rsidRPr="00D84913">
        <w:rPr>
          <w:rStyle w:val="CETCaptionCarattere"/>
          <w:i w:val="0"/>
          <w:lang w:val="en-US"/>
        </w:rPr>
        <w:t xml:space="preserve">Besagni G., </w:t>
      </w:r>
      <w:proofErr w:type="spellStart"/>
      <w:r w:rsidRPr="00D84913">
        <w:rPr>
          <w:rStyle w:val="CETCaptionCarattere"/>
          <w:i w:val="0"/>
          <w:lang w:val="en-US"/>
        </w:rPr>
        <w:t>Borgarello</w:t>
      </w:r>
      <w:proofErr w:type="spellEnd"/>
      <w:r w:rsidRPr="00D84913">
        <w:rPr>
          <w:rStyle w:val="CETCaptionCarattere"/>
          <w:i w:val="0"/>
          <w:lang w:val="en-US"/>
        </w:rPr>
        <w:t xml:space="preserve"> M., 2018, The determinants of r</w:t>
      </w:r>
      <w:r>
        <w:rPr>
          <w:rStyle w:val="CETCaptionCarattere"/>
          <w:i w:val="0"/>
          <w:lang w:val="en-US"/>
        </w:rPr>
        <w:t>esidential energy expenditure in Italy, Energy, 165, pp. 369-386.</w:t>
      </w:r>
    </w:p>
    <w:p w14:paraId="3C9D858E" w14:textId="6FB2F409" w:rsidR="00933433" w:rsidRPr="0052612A" w:rsidRDefault="00933433" w:rsidP="003E0283">
      <w:pPr>
        <w:pStyle w:val="CETReferencetext"/>
      </w:pPr>
      <w:r w:rsidRPr="0052612A">
        <w:rPr>
          <w:rStyle w:val="CETCaptionCarattere"/>
          <w:i w:val="0"/>
        </w:rPr>
        <w:t xml:space="preserve">Besagni G., 2021, </w:t>
      </w:r>
      <w:r w:rsidRPr="0052612A">
        <w:t>Bubble column fluid dynamics: A novel perspective for flow regimes and comprehensive experimental investigations</w:t>
      </w:r>
      <w:r w:rsidR="00CE66F6" w:rsidRPr="0052612A">
        <w:t>,</w:t>
      </w:r>
      <w:r w:rsidRPr="0052612A">
        <w:t xml:space="preserve"> International Journal of Multiphase Flow, 135, p.</w:t>
      </w:r>
      <w:r w:rsidR="00CE66F6" w:rsidRPr="0052612A">
        <w:t xml:space="preserve"> </w:t>
      </w:r>
      <w:r w:rsidRPr="0052612A">
        <w:t>103510.</w:t>
      </w:r>
    </w:p>
    <w:p w14:paraId="6077FE61" w14:textId="53F8FC36" w:rsidR="00CE66F6" w:rsidRPr="0052612A" w:rsidRDefault="00CE66F6" w:rsidP="003E0283">
      <w:pPr>
        <w:pStyle w:val="CETReferencetext"/>
      </w:pPr>
      <w:proofErr w:type="spellStart"/>
      <w:r w:rsidRPr="0052612A">
        <w:rPr>
          <w:rStyle w:val="CETCaptionCarattere"/>
          <w:i w:val="0"/>
        </w:rPr>
        <w:t>Chilekar</w:t>
      </w:r>
      <w:proofErr w:type="spellEnd"/>
      <w:r w:rsidRPr="0052612A">
        <w:rPr>
          <w:rStyle w:val="CETCaptionCarattere"/>
          <w:i w:val="0"/>
        </w:rPr>
        <w:t xml:space="preserve"> V.</w:t>
      </w:r>
      <w:r w:rsidR="003E0283">
        <w:rPr>
          <w:rStyle w:val="CETCaptionCarattere"/>
          <w:i w:val="0"/>
        </w:rPr>
        <w:t xml:space="preserve"> </w:t>
      </w:r>
      <w:r w:rsidRPr="0052612A">
        <w:rPr>
          <w:rStyle w:val="CETCaptionCarattere"/>
          <w:i w:val="0"/>
        </w:rPr>
        <w:t xml:space="preserve">P., Singh C., </w:t>
      </w:r>
      <w:r w:rsidR="0052612A" w:rsidRPr="0052612A">
        <w:rPr>
          <w:rStyle w:val="CETCaptionCarattere"/>
          <w:i w:val="0"/>
        </w:rPr>
        <w:t>Van Der Schaaf J.</w:t>
      </w:r>
      <w:r w:rsidRPr="0052612A">
        <w:rPr>
          <w:rStyle w:val="CETCaptionCarattere"/>
          <w:i w:val="0"/>
        </w:rPr>
        <w:t xml:space="preserve">, </w:t>
      </w:r>
      <w:proofErr w:type="spellStart"/>
      <w:r w:rsidRPr="0052612A">
        <w:rPr>
          <w:rStyle w:val="CETCaptionCarattere"/>
          <w:i w:val="0"/>
        </w:rPr>
        <w:t>Kuster</w:t>
      </w:r>
      <w:proofErr w:type="spellEnd"/>
      <w:r w:rsidRPr="0052612A">
        <w:rPr>
          <w:rStyle w:val="CETCaptionCarattere"/>
          <w:i w:val="0"/>
        </w:rPr>
        <w:t xml:space="preserve"> B.F.M., Schouten J.C., 2007, </w:t>
      </w:r>
      <w:r w:rsidRPr="0052612A">
        <w:t>A Gas hold-up model for slurry bubble columns, AIChE Journal, 53(7), pp. 1687–1702.</w:t>
      </w:r>
    </w:p>
    <w:p w14:paraId="3C142D9F" w14:textId="11F08A6C" w:rsidR="00CE66F6" w:rsidRPr="0052612A" w:rsidRDefault="00CE66F6" w:rsidP="003E0283">
      <w:pPr>
        <w:pStyle w:val="CETReferencetext"/>
      </w:pPr>
      <w:proofErr w:type="spellStart"/>
      <w:r w:rsidRPr="0052612A">
        <w:rPr>
          <w:rStyle w:val="CETCaptionCarattere"/>
          <w:i w:val="0"/>
        </w:rPr>
        <w:t>Deckwer</w:t>
      </w:r>
      <w:proofErr w:type="spellEnd"/>
      <w:r w:rsidRPr="0052612A">
        <w:rPr>
          <w:rStyle w:val="CETCaptionCarattere"/>
          <w:i w:val="0"/>
        </w:rPr>
        <w:t xml:space="preserve"> W.</w:t>
      </w:r>
      <w:r w:rsidR="003E0283">
        <w:rPr>
          <w:rStyle w:val="CETCaptionCarattere"/>
          <w:i w:val="0"/>
        </w:rPr>
        <w:t xml:space="preserve"> </w:t>
      </w:r>
      <w:r w:rsidRPr="0052612A">
        <w:rPr>
          <w:rStyle w:val="CETCaptionCarattere"/>
          <w:i w:val="0"/>
        </w:rPr>
        <w:t xml:space="preserve">D., </w:t>
      </w:r>
      <w:proofErr w:type="spellStart"/>
      <w:r w:rsidRPr="0052612A">
        <w:rPr>
          <w:rStyle w:val="CETCaptionCarattere"/>
          <w:i w:val="0"/>
        </w:rPr>
        <w:t>Burckhart</w:t>
      </w:r>
      <w:proofErr w:type="spellEnd"/>
      <w:r w:rsidRPr="0052612A">
        <w:rPr>
          <w:rStyle w:val="CETCaptionCarattere"/>
          <w:i w:val="0"/>
        </w:rPr>
        <w:t xml:space="preserve"> R., </w:t>
      </w:r>
      <w:proofErr w:type="spellStart"/>
      <w:r w:rsidRPr="0052612A">
        <w:rPr>
          <w:rStyle w:val="CETCaptionCarattere"/>
          <w:i w:val="0"/>
        </w:rPr>
        <w:t>Zoll</w:t>
      </w:r>
      <w:proofErr w:type="spellEnd"/>
      <w:r w:rsidRPr="0052612A">
        <w:rPr>
          <w:rStyle w:val="CETCaptionCarattere"/>
          <w:i w:val="0"/>
        </w:rPr>
        <w:t xml:space="preserve"> G., 1974, </w:t>
      </w:r>
      <w:r w:rsidRPr="0052612A">
        <w:t>Mixing and mass transfer in tall bubble columns, Chemical Engineering Science, 29(11), pp. 2177–2188.</w:t>
      </w:r>
    </w:p>
    <w:p w14:paraId="488731C5" w14:textId="53FB0CCD" w:rsidR="00CE66F6" w:rsidRPr="0052612A" w:rsidRDefault="00CE66F6" w:rsidP="003E0283">
      <w:pPr>
        <w:pStyle w:val="CETReferencetext"/>
      </w:pPr>
      <w:proofErr w:type="spellStart"/>
      <w:r w:rsidRPr="0052612A">
        <w:rPr>
          <w:rStyle w:val="CETCaptionCarattere"/>
          <w:i w:val="0"/>
        </w:rPr>
        <w:t>Kantarci</w:t>
      </w:r>
      <w:proofErr w:type="spellEnd"/>
      <w:r w:rsidRPr="0052612A">
        <w:rPr>
          <w:rStyle w:val="CETCaptionCarattere"/>
          <w:i w:val="0"/>
        </w:rPr>
        <w:t xml:space="preserve"> N., </w:t>
      </w:r>
      <w:proofErr w:type="spellStart"/>
      <w:r w:rsidRPr="0052612A">
        <w:rPr>
          <w:rStyle w:val="CETCaptionCarattere"/>
          <w:i w:val="0"/>
        </w:rPr>
        <w:t>Borak</w:t>
      </w:r>
      <w:proofErr w:type="spellEnd"/>
      <w:r w:rsidRPr="0052612A">
        <w:rPr>
          <w:rStyle w:val="CETCaptionCarattere"/>
          <w:i w:val="0"/>
        </w:rPr>
        <w:t xml:space="preserve"> F., Ulgen K.</w:t>
      </w:r>
      <w:r w:rsidR="003E0283">
        <w:rPr>
          <w:rStyle w:val="CETCaptionCarattere"/>
          <w:i w:val="0"/>
        </w:rPr>
        <w:t xml:space="preserve"> </w:t>
      </w:r>
      <w:r w:rsidRPr="0052612A">
        <w:rPr>
          <w:rStyle w:val="CETCaptionCarattere"/>
          <w:i w:val="0"/>
        </w:rPr>
        <w:t xml:space="preserve">O., 2005, </w:t>
      </w:r>
      <w:r w:rsidRPr="0052612A">
        <w:t xml:space="preserve">Bubble Column Reactors, </w:t>
      </w:r>
      <w:proofErr w:type="spellStart"/>
      <w:r w:rsidRPr="0052612A">
        <w:t>ChemInform</w:t>
      </w:r>
      <w:proofErr w:type="spellEnd"/>
      <w:r w:rsidRPr="0052612A">
        <w:t>, 40(7), pp. 2263-2283.</w:t>
      </w:r>
    </w:p>
    <w:p w14:paraId="2D2B7531" w14:textId="551675F5" w:rsidR="00CE66F6" w:rsidRPr="0052612A" w:rsidRDefault="0052612A" w:rsidP="003E0283">
      <w:pPr>
        <w:pStyle w:val="CETReferencetext"/>
      </w:pPr>
      <w:r w:rsidRPr="0052612A">
        <w:rPr>
          <w:rStyle w:val="CETCaptionCarattere"/>
          <w:i w:val="0"/>
        </w:rPr>
        <w:t xml:space="preserve">Krishna R., Ellenberger J., </w:t>
      </w:r>
      <w:proofErr w:type="spellStart"/>
      <w:r w:rsidRPr="0052612A">
        <w:rPr>
          <w:rStyle w:val="CETCaptionCarattere"/>
          <w:i w:val="0"/>
        </w:rPr>
        <w:t>Maretto</w:t>
      </w:r>
      <w:proofErr w:type="spellEnd"/>
      <w:r w:rsidRPr="0052612A">
        <w:rPr>
          <w:rStyle w:val="CETCaptionCarattere"/>
          <w:i w:val="0"/>
        </w:rPr>
        <w:t xml:space="preserve"> C., 1999, </w:t>
      </w:r>
      <w:r w:rsidRPr="0052612A">
        <w:t>Flow regime transition in bubble columns, International Communications in Heat and Mass Transfer, 26</w:t>
      </w:r>
      <w:r>
        <w:t xml:space="preserve"> </w:t>
      </w:r>
      <w:r w:rsidRPr="0052612A">
        <w:t>(4), pp 467-475.</w:t>
      </w:r>
    </w:p>
    <w:p w14:paraId="5C2AE250" w14:textId="59B82D57" w:rsidR="0052612A" w:rsidRDefault="0052612A" w:rsidP="003E0283">
      <w:pPr>
        <w:pStyle w:val="CETReferencetext"/>
      </w:pPr>
      <w:proofErr w:type="spellStart"/>
      <w:r w:rsidRPr="0052612A">
        <w:rPr>
          <w:rStyle w:val="CETCaptionCarattere"/>
          <w:i w:val="0"/>
        </w:rPr>
        <w:t>Letzel</w:t>
      </w:r>
      <w:proofErr w:type="spellEnd"/>
      <w:r w:rsidRPr="0052612A">
        <w:rPr>
          <w:rStyle w:val="CETCaptionCarattere"/>
          <w:i w:val="0"/>
        </w:rPr>
        <w:t xml:space="preserve"> H.M., Schouten J.C., Van Der </w:t>
      </w:r>
      <w:proofErr w:type="spellStart"/>
      <w:r w:rsidRPr="0052612A">
        <w:rPr>
          <w:rStyle w:val="CETCaptionCarattere"/>
          <w:i w:val="0"/>
        </w:rPr>
        <w:t>Bleek</w:t>
      </w:r>
      <w:proofErr w:type="spellEnd"/>
      <w:r w:rsidRPr="0052612A">
        <w:rPr>
          <w:rStyle w:val="CETCaptionCarattere"/>
          <w:i w:val="0"/>
        </w:rPr>
        <w:t xml:space="preserve"> C.M., 1997, </w:t>
      </w:r>
      <w:r w:rsidRPr="0052612A">
        <w:t>Characterization of regimes and regime transitions in bubble columns by chaos analysis of pressure signals, Chemical Engineering Science, 52</w:t>
      </w:r>
      <w:r>
        <w:t xml:space="preserve"> </w:t>
      </w:r>
      <w:r w:rsidRPr="0052612A">
        <w:t>(24), pp. 4447-4459.</w:t>
      </w:r>
    </w:p>
    <w:p w14:paraId="7C1C5E9D" w14:textId="2124DDFF" w:rsidR="0052612A" w:rsidRDefault="0052612A" w:rsidP="003E0283">
      <w:pPr>
        <w:pStyle w:val="CETReferencetext"/>
      </w:pPr>
      <w:proofErr w:type="spellStart"/>
      <w:r>
        <w:t>Ruzicka</w:t>
      </w:r>
      <w:proofErr w:type="spellEnd"/>
      <w:r>
        <w:t xml:space="preserve"> M.C., </w:t>
      </w:r>
      <w:proofErr w:type="spellStart"/>
      <w:r w:rsidRPr="002E1F88">
        <w:t>Drahoš</w:t>
      </w:r>
      <w:proofErr w:type="spellEnd"/>
      <w:r>
        <w:t xml:space="preserve"> J., </w:t>
      </w:r>
      <w:proofErr w:type="spellStart"/>
      <w:r w:rsidRPr="002E1F88">
        <w:t>Fialová</w:t>
      </w:r>
      <w:proofErr w:type="spellEnd"/>
      <w:r>
        <w:t xml:space="preserve"> M., Thomas N.H., 2001, </w:t>
      </w:r>
      <w:r w:rsidRPr="002E1F88">
        <w:t>Effect of bubble column dimensions on flow regime transition</w:t>
      </w:r>
      <w:r>
        <w:t>, Chemical Engineering Science, 56 (21-22), pp. 6117-6124.</w:t>
      </w:r>
    </w:p>
    <w:p w14:paraId="51537780" w14:textId="181E0213" w:rsidR="003E0283" w:rsidRPr="003E0283" w:rsidRDefault="003E0283" w:rsidP="003E0283">
      <w:pPr>
        <w:pStyle w:val="CETReferencetext"/>
      </w:pPr>
      <w:proofErr w:type="spellStart"/>
      <w:r w:rsidRPr="003E0283">
        <w:t>Ruzicka</w:t>
      </w:r>
      <w:proofErr w:type="spellEnd"/>
      <w:r w:rsidRPr="003E0283">
        <w:t xml:space="preserve"> M.C., </w:t>
      </w:r>
      <w:proofErr w:type="spellStart"/>
      <w:r w:rsidRPr="003E0283">
        <w:t>Vecer</w:t>
      </w:r>
      <w:proofErr w:type="spellEnd"/>
      <w:r w:rsidRPr="003E0283">
        <w:t xml:space="preserve"> M. M., </w:t>
      </w:r>
      <w:proofErr w:type="spellStart"/>
      <w:r w:rsidRPr="003E0283">
        <w:t>Orvalh</w:t>
      </w:r>
      <w:r>
        <w:t>o</w:t>
      </w:r>
      <w:proofErr w:type="spellEnd"/>
      <w:r>
        <w:t xml:space="preserve"> S., </w:t>
      </w:r>
      <w:proofErr w:type="spellStart"/>
      <w:r w:rsidRPr="002E1F88">
        <w:t>Drahoš</w:t>
      </w:r>
      <w:proofErr w:type="spellEnd"/>
      <w:r>
        <w:t xml:space="preserve"> J., 2008, </w:t>
      </w:r>
      <w:r w:rsidRPr="002E1F88">
        <w:t>). Effect of surfactant on homogeneous regime stability in bubble column</w:t>
      </w:r>
      <w:r>
        <w:t>, Chemical Engineering Science, 63 (4), pp. 951-967.</w:t>
      </w:r>
    </w:p>
    <w:p w14:paraId="09F0FC89" w14:textId="3645059A" w:rsidR="0052612A" w:rsidRPr="003E0283" w:rsidRDefault="003E0283" w:rsidP="003E0283">
      <w:pPr>
        <w:pStyle w:val="CETReferencetext"/>
      </w:pPr>
      <w:proofErr w:type="spellStart"/>
      <w:r w:rsidRPr="003E0283">
        <w:rPr>
          <w:lang w:val="en-US"/>
        </w:rPr>
        <w:t>Şal</w:t>
      </w:r>
      <w:proofErr w:type="spellEnd"/>
      <w:r w:rsidRPr="003E0283">
        <w:rPr>
          <w:lang w:val="en-US"/>
        </w:rPr>
        <w:t xml:space="preserve"> S., Gül Ö. F., </w:t>
      </w:r>
      <w:proofErr w:type="spellStart"/>
      <w:r w:rsidRPr="003E0283">
        <w:rPr>
          <w:lang w:val="en-US"/>
        </w:rPr>
        <w:t>Özdemir</w:t>
      </w:r>
      <w:proofErr w:type="spellEnd"/>
      <w:r w:rsidRPr="003E0283">
        <w:rPr>
          <w:lang w:val="en-US"/>
        </w:rPr>
        <w:t xml:space="preserve"> M., 2013, </w:t>
      </w:r>
      <w:r w:rsidRPr="002E1F88">
        <w:t xml:space="preserve">The effect of sparger geometry on gas holdup and regime transition </w:t>
      </w:r>
      <w:r w:rsidRPr="003E0283">
        <w:t>points in a bubble column equipped with perforated plate spargers, Chemical Engineering and Processing: Process Intensification, 70, pp. 259-266.</w:t>
      </w:r>
    </w:p>
    <w:p w14:paraId="601A14B4" w14:textId="7FE8729B" w:rsidR="003E0283" w:rsidRPr="003E0283" w:rsidRDefault="003E0283" w:rsidP="003E0283">
      <w:pPr>
        <w:pStyle w:val="CETReferencetext"/>
      </w:pPr>
      <w:proofErr w:type="spellStart"/>
      <w:r w:rsidRPr="003E0283">
        <w:t>Vandu</w:t>
      </w:r>
      <w:proofErr w:type="spellEnd"/>
      <w:r w:rsidRPr="003E0283">
        <w:t xml:space="preserve"> C. O., Koop K., Krishna R., 2004, Large Bubble Sizes and Rise Velocities in a Bubble Column Slurry Reactor, Chemical Engineering &amp; Technology, 27 (11), pp. 1195-1199.</w:t>
      </w:r>
    </w:p>
    <w:p w14:paraId="4D8C07CC" w14:textId="1013F082" w:rsidR="005E11DC" w:rsidRPr="005E11DC" w:rsidRDefault="003E0283" w:rsidP="005E11DC">
      <w:pPr>
        <w:pStyle w:val="CETReferencetext"/>
        <w:rPr>
          <w:lang w:val="en-US"/>
        </w:rPr>
      </w:pPr>
      <w:r w:rsidRPr="003E0283">
        <w:rPr>
          <w:lang w:val="en-US"/>
        </w:rPr>
        <w:t>Wallis G.B., One-dimensional two</w:t>
      </w:r>
      <w:r>
        <w:rPr>
          <w:lang w:val="en-US"/>
        </w:rPr>
        <w:t>-phase flow, New York, McGraw-Hill</w:t>
      </w:r>
      <w:r w:rsidR="005E11DC">
        <w:rPr>
          <w:lang w:val="en-US"/>
        </w:rPr>
        <w:t>.</w:t>
      </w:r>
    </w:p>
    <w:sectPr w:rsidR="005E11DC" w:rsidRPr="005E11D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3110" w14:textId="77777777" w:rsidR="009340AC" w:rsidRDefault="009340AC" w:rsidP="004F5E36">
      <w:r>
        <w:separator/>
      </w:r>
    </w:p>
  </w:endnote>
  <w:endnote w:type="continuationSeparator" w:id="0">
    <w:p w14:paraId="2F1148FA" w14:textId="77777777" w:rsidR="009340AC" w:rsidRDefault="009340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2FB6" w14:textId="77777777" w:rsidR="009340AC" w:rsidRDefault="009340AC" w:rsidP="004F5E36">
      <w:r>
        <w:separator/>
      </w:r>
    </w:p>
  </w:footnote>
  <w:footnote w:type="continuationSeparator" w:id="0">
    <w:p w14:paraId="7219A95D" w14:textId="77777777" w:rsidR="009340AC" w:rsidRDefault="009340A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5F284C"/>
    <w:multiLevelType w:val="hybridMultilevel"/>
    <w:tmpl w:val="2B3E5142"/>
    <w:lvl w:ilvl="0" w:tplc="2D709E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3BB56ED"/>
    <w:multiLevelType w:val="hybridMultilevel"/>
    <w:tmpl w:val="359633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42069DA"/>
    <w:multiLevelType w:val="hybridMultilevel"/>
    <w:tmpl w:val="1926196A"/>
    <w:lvl w:ilvl="0" w:tplc="FDF657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4A67730"/>
    <w:multiLevelType w:val="hybridMultilevel"/>
    <w:tmpl w:val="6820F8A8"/>
    <w:lvl w:ilvl="0" w:tplc="7992593A">
      <w:start w:val="3"/>
      <w:numFmt w:val="bullet"/>
      <w:lvlText w:val="-"/>
      <w:lvlJc w:val="left"/>
      <w:pPr>
        <w:ind w:left="7820" w:hanging="360"/>
      </w:pPr>
      <w:rPr>
        <w:rFonts w:ascii="Arial" w:eastAsia="Times New Roman" w:hAnsi="Arial" w:cs="Arial" w:hint="default"/>
      </w:rPr>
    </w:lvl>
    <w:lvl w:ilvl="1" w:tplc="04100003" w:tentative="1">
      <w:start w:val="1"/>
      <w:numFmt w:val="bullet"/>
      <w:lvlText w:val="o"/>
      <w:lvlJc w:val="left"/>
      <w:pPr>
        <w:ind w:left="8540" w:hanging="360"/>
      </w:pPr>
      <w:rPr>
        <w:rFonts w:ascii="Courier New" w:hAnsi="Courier New" w:cs="Courier New" w:hint="default"/>
      </w:rPr>
    </w:lvl>
    <w:lvl w:ilvl="2" w:tplc="04100005" w:tentative="1">
      <w:start w:val="1"/>
      <w:numFmt w:val="bullet"/>
      <w:lvlText w:val=""/>
      <w:lvlJc w:val="left"/>
      <w:pPr>
        <w:ind w:left="9260" w:hanging="360"/>
      </w:pPr>
      <w:rPr>
        <w:rFonts w:ascii="Wingdings" w:hAnsi="Wingdings" w:hint="default"/>
      </w:rPr>
    </w:lvl>
    <w:lvl w:ilvl="3" w:tplc="04100001" w:tentative="1">
      <w:start w:val="1"/>
      <w:numFmt w:val="bullet"/>
      <w:lvlText w:val=""/>
      <w:lvlJc w:val="left"/>
      <w:pPr>
        <w:ind w:left="9980" w:hanging="360"/>
      </w:pPr>
      <w:rPr>
        <w:rFonts w:ascii="Symbol" w:hAnsi="Symbol" w:hint="default"/>
      </w:rPr>
    </w:lvl>
    <w:lvl w:ilvl="4" w:tplc="04100003" w:tentative="1">
      <w:start w:val="1"/>
      <w:numFmt w:val="bullet"/>
      <w:lvlText w:val="o"/>
      <w:lvlJc w:val="left"/>
      <w:pPr>
        <w:ind w:left="10700" w:hanging="360"/>
      </w:pPr>
      <w:rPr>
        <w:rFonts w:ascii="Courier New" w:hAnsi="Courier New" w:cs="Courier New" w:hint="default"/>
      </w:rPr>
    </w:lvl>
    <w:lvl w:ilvl="5" w:tplc="04100005" w:tentative="1">
      <w:start w:val="1"/>
      <w:numFmt w:val="bullet"/>
      <w:lvlText w:val=""/>
      <w:lvlJc w:val="left"/>
      <w:pPr>
        <w:ind w:left="11420" w:hanging="360"/>
      </w:pPr>
      <w:rPr>
        <w:rFonts w:ascii="Wingdings" w:hAnsi="Wingdings" w:hint="default"/>
      </w:rPr>
    </w:lvl>
    <w:lvl w:ilvl="6" w:tplc="04100001" w:tentative="1">
      <w:start w:val="1"/>
      <w:numFmt w:val="bullet"/>
      <w:lvlText w:val=""/>
      <w:lvlJc w:val="left"/>
      <w:pPr>
        <w:ind w:left="12140" w:hanging="360"/>
      </w:pPr>
      <w:rPr>
        <w:rFonts w:ascii="Symbol" w:hAnsi="Symbol" w:hint="default"/>
      </w:rPr>
    </w:lvl>
    <w:lvl w:ilvl="7" w:tplc="04100003" w:tentative="1">
      <w:start w:val="1"/>
      <w:numFmt w:val="bullet"/>
      <w:lvlText w:val="o"/>
      <w:lvlJc w:val="left"/>
      <w:pPr>
        <w:ind w:left="12860" w:hanging="360"/>
      </w:pPr>
      <w:rPr>
        <w:rFonts w:ascii="Courier New" w:hAnsi="Courier New" w:cs="Courier New" w:hint="default"/>
      </w:rPr>
    </w:lvl>
    <w:lvl w:ilvl="8" w:tplc="04100005" w:tentative="1">
      <w:start w:val="1"/>
      <w:numFmt w:val="bullet"/>
      <w:lvlText w:val=""/>
      <w:lvlJc w:val="left"/>
      <w:pPr>
        <w:ind w:left="13580" w:hanging="360"/>
      </w:pPr>
      <w:rPr>
        <w:rFonts w:ascii="Wingdings" w:hAnsi="Wingdings" w:hint="default"/>
      </w:rPr>
    </w:lvl>
  </w:abstractNum>
  <w:abstractNum w:abstractNumId="14" w15:restartNumberingAfterBreak="0">
    <w:nsid w:val="1BC74DF2"/>
    <w:multiLevelType w:val="hybridMultilevel"/>
    <w:tmpl w:val="E4B473F0"/>
    <w:lvl w:ilvl="0" w:tplc="2D709E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BB19FE"/>
    <w:multiLevelType w:val="hybridMultilevel"/>
    <w:tmpl w:val="9E00E986"/>
    <w:lvl w:ilvl="0" w:tplc="2D709E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F25DEF"/>
    <w:multiLevelType w:val="hybridMultilevel"/>
    <w:tmpl w:val="E4286DFC"/>
    <w:lvl w:ilvl="0" w:tplc="FDF65758">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2F202648"/>
    <w:multiLevelType w:val="hybridMultilevel"/>
    <w:tmpl w:val="C9A67A88"/>
    <w:lvl w:ilvl="0" w:tplc="2D709E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165D9C"/>
    <w:multiLevelType w:val="hybridMultilevel"/>
    <w:tmpl w:val="891EB3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1AE7EEA"/>
    <w:multiLevelType w:val="hybridMultilevel"/>
    <w:tmpl w:val="ED602F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DAB5273"/>
    <w:multiLevelType w:val="hybridMultilevel"/>
    <w:tmpl w:val="8C761A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9C43D9"/>
    <w:multiLevelType w:val="hybridMultilevel"/>
    <w:tmpl w:val="4410AD32"/>
    <w:lvl w:ilvl="0" w:tplc="2D709E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B26CF4"/>
    <w:multiLevelType w:val="hybridMultilevel"/>
    <w:tmpl w:val="552CDC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5051E1"/>
    <w:multiLevelType w:val="hybridMultilevel"/>
    <w:tmpl w:val="638EBE08"/>
    <w:lvl w:ilvl="0" w:tplc="7992593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A61DB6"/>
    <w:multiLevelType w:val="hybridMultilevel"/>
    <w:tmpl w:val="0AD4CA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6B969F7"/>
    <w:multiLevelType w:val="hybridMultilevel"/>
    <w:tmpl w:val="FD2E5E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3D16FD"/>
    <w:multiLevelType w:val="hybridMultilevel"/>
    <w:tmpl w:val="3DC878DA"/>
    <w:lvl w:ilvl="0" w:tplc="F8CA0E3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8507097">
    <w:abstractNumId w:val="17"/>
  </w:num>
  <w:num w:numId="2" w16cid:durableId="461072217">
    <w:abstractNumId w:val="8"/>
  </w:num>
  <w:num w:numId="3" w16cid:durableId="260455240">
    <w:abstractNumId w:val="3"/>
  </w:num>
  <w:num w:numId="4" w16cid:durableId="1157190056">
    <w:abstractNumId w:val="2"/>
  </w:num>
  <w:num w:numId="5" w16cid:durableId="15473168">
    <w:abstractNumId w:val="1"/>
  </w:num>
  <w:num w:numId="6" w16cid:durableId="781845866">
    <w:abstractNumId w:val="0"/>
  </w:num>
  <w:num w:numId="7" w16cid:durableId="1936666251">
    <w:abstractNumId w:val="9"/>
  </w:num>
  <w:num w:numId="8" w16cid:durableId="1151602468">
    <w:abstractNumId w:val="7"/>
  </w:num>
  <w:num w:numId="9" w16cid:durableId="1907260402">
    <w:abstractNumId w:val="6"/>
  </w:num>
  <w:num w:numId="10" w16cid:durableId="52389701">
    <w:abstractNumId w:val="5"/>
  </w:num>
  <w:num w:numId="11" w16cid:durableId="928998803">
    <w:abstractNumId w:val="4"/>
  </w:num>
  <w:num w:numId="12" w16cid:durableId="165101513">
    <w:abstractNumId w:val="28"/>
  </w:num>
  <w:num w:numId="13" w16cid:durableId="713120860">
    <w:abstractNumId w:val="21"/>
  </w:num>
  <w:num w:numId="14" w16cid:durableId="458299056">
    <w:abstractNumId w:val="29"/>
  </w:num>
  <w:num w:numId="15" w16cid:durableId="2033341316">
    <w:abstractNumId w:val="33"/>
  </w:num>
  <w:num w:numId="16" w16cid:durableId="1431778107">
    <w:abstractNumId w:val="32"/>
  </w:num>
  <w:num w:numId="17" w16cid:durableId="2064672119">
    <w:abstractNumId w:val="20"/>
  </w:num>
  <w:num w:numId="18" w16cid:durableId="430391613">
    <w:abstractNumId w:val="21"/>
    <w:lvlOverride w:ilvl="0">
      <w:startOverride w:val="1"/>
    </w:lvlOverride>
  </w:num>
  <w:num w:numId="19" w16cid:durableId="792410309">
    <w:abstractNumId w:val="27"/>
  </w:num>
  <w:num w:numId="20" w16cid:durableId="1281962001">
    <w:abstractNumId w:val="26"/>
  </w:num>
  <w:num w:numId="21" w16cid:durableId="674069878">
    <w:abstractNumId w:val="23"/>
  </w:num>
  <w:num w:numId="22" w16cid:durableId="1088765992">
    <w:abstractNumId w:val="22"/>
  </w:num>
  <w:num w:numId="23" w16cid:durableId="1171867374">
    <w:abstractNumId w:val="31"/>
  </w:num>
  <w:num w:numId="24" w16cid:durableId="993333810">
    <w:abstractNumId w:val="34"/>
  </w:num>
  <w:num w:numId="25" w16cid:durableId="1380519442">
    <w:abstractNumId w:val="13"/>
  </w:num>
  <w:num w:numId="26" w16cid:durableId="1371302138">
    <w:abstractNumId w:val="37"/>
  </w:num>
  <w:num w:numId="27" w16cid:durableId="1800147811">
    <w:abstractNumId w:val="11"/>
  </w:num>
  <w:num w:numId="28" w16cid:durableId="61487539">
    <w:abstractNumId w:val="24"/>
  </w:num>
  <w:num w:numId="29" w16cid:durableId="275601524">
    <w:abstractNumId w:val="16"/>
  </w:num>
  <w:num w:numId="30" w16cid:durableId="493028281">
    <w:abstractNumId w:val="12"/>
  </w:num>
  <w:num w:numId="31" w16cid:durableId="326052456">
    <w:abstractNumId w:val="14"/>
  </w:num>
  <w:num w:numId="32" w16cid:durableId="83914693">
    <w:abstractNumId w:val="18"/>
  </w:num>
  <w:num w:numId="33" w16cid:durableId="820268087">
    <w:abstractNumId w:val="15"/>
  </w:num>
  <w:num w:numId="34" w16cid:durableId="593395196">
    <w:abstractNumId w:val="10"/>
  </w:num>
  <w:num w:numId="35" w16cid:durableId="154956929">
    <w:abstractNumId w:val="30"/>
  </w:num>
  <w:num w:numId="36" w16cid:durableId="2035568391">
    <w:abstractNumId w:val="19"/>
  </w:num>
  <w:num w:numId="37" w16cid:durableId="1198272416">
    <w:abstractNumId w:val="25"/>
  </w:num>
  <w:num w:numId="38" w16cid:durableId="335620274">
    <w:abstractNumId w:val="35"/>
  </w:num>
  <w:num w:numId="39" w16cid:durableId="16842357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36"/>
    <w:rsid w:val="000027C0"/>
    <w:rsid w:val="00003696"/>
    <w:rsid w:val="000052FB"/>
    <w:rsid w:val="000113E4"/>
    <w:rsid w:val="000114F1"/>
    <w:rsid w:val="000117CB"/>
    <w:rsid w:val="00014646"/>
    <w:rsid w:val="000175D2"/>
    <w:rsid w:val="00024806"/>
    <w:rsid w:val="0003148D"/>
    <w:rsid w:val="00031EEC"/>
    <w:rsid w:val="000325F2"/>
    <w:rsid w:val="00032B1C"/>
    <w:rsid w:val="00043FD9"/>
    <w:rsid w:val="000453F7"/>
    <w:rsid w:val="00051566"/>
    <w:rsid w:val="00052272"/>
    <w:rsid w:val="0005347F"/>
    <w:rsid w:val="000562A9"/>
    <w:rsid w:val="00057838"/>
    <w:rsid w:val="00062A9A"/>
    <w:rsid w:val="00063090"/>
    <w:rsid w:val="00063EAF"/>
    <w:rsid w:val="00065058"/>
    <w:rsid w:val="0007070E"/>
    <w:rsid w:val="00070A7D"/>
    <w:rsid w:val="000810C3"/>
    <w:rsid w:val="00081BC9"/>
    <w:rsid w:val="00086C39"/>
    <w:rsid w:val="00087913"/>
    <w:rsid w:val="000A03B2"/>
    <w:rsid w:val="000A2CD3"/>
    <w:rsid w:val="000A5CB5"/>
    <w:rsid w:val="000A7AA1"/>
    <w:rsid w:val="000C338E"/>
    <w:rsid w:val="000C6FBE"/>
    <w:rsid w:val="000C7592"/>
    <w:rsid w:val="000D0268"/>
    <w:rsid w:val="000D34BE"/>
    <w:rsid w:val="000D7565"/>
    <w:rsid w:val="000E102F"/>
    <w:rsid w:val="000E15AA"/>
    <w:rsid w:val="000E36F1"/>
    <w:rsid w:val="000E3A73"/>
    <w:rsid w:val="000E414A"/>
    <w:rsid w:val="000E41FA"/>
    <w:rsid w:val="000E4E96"/>
    <w:rsid w:val="000F093C"/>
    <w:rsid w:val="000F1151"/>
    <w:rsid w:val="000F3745"/>
    <w:rsid w:val="000F42A2"/>
    <w:rsid w:val="000F787B"/>
    <w:rsid w:val="00103110"/>
    <w:rsid w:val="00103577"/>
    <w:rsid w:val="00103CEE"/>
    <w:rsid w:val="00104D11"/>
    <w:rsid w:val="001101D6"/>
    <w:rsid w:val="0011169C"/>
    <w:rsid w:val="00111AF4"/>
    <w:rsid w:val="001159EE"/>
    <w:rsid w:val="00115BC9"/>
    <w:rsid w:val="0012091F"/>
    <w:rsid w:val="001237B2"/>
    <w:rsid w:val="00126BC2"/>
    <w:rsid w:val="0012772E"/>
    <w:rsid w:val="00127E62"/>
    <w:rsid w:val="001308B6"/>
    <w:rsid w:val="0013121F"/>
    <w:rsid w:val="00131FE6"/>
    <w:rsid w:val="0013263F"/>
    <w:rsid w:val="001331DF"/>
    <w:rsid w:val="00133AF2"/>
    <w:rsid w:val="00134184"/>
    <w:rsid w:val="00134DE4"/>
    <w:rsid w:val="0013538C"/>
    <w:rsid w:val="00135699"/>
    <w:rsid w:val="0014034D"/>
    <w:rsid w:val="00141A74"/>
    <w:rsid w:val="00142066"/>
    <w:rsid w:val="00142BB2"/>
    <w:rsid w:val="00143AD0"/>
    <w:rsid w:val="00144D16"/>
    <w:rsid w:val="00145E62"/>
    <w:rsid w:val="00150E44"/>
    <w:rsid w:val="00150E59"/>
    <w:rsid w:val="00152DE3"/>
    <w:rsid w:val="001609F7"/>
    <w:rsid w:val="00161A26"/>
    <w:rsid w:val="00164CF9"/>
    <w:rsid w:val="001667A6"/>
    <w:rsid w:val="00170DE9"/>
    <w:rsid w:val="00170E9A"/>
    <w:rsid w:val="0017349C"/>
    <w:rsid w:val="001844E6"/>
    <w:rsid w:val="00184AD6"/>
    <w:rsid w:val="00187859"/>
    <w:rsid w:val="00187BFB"/>
    <w:rsid w:val="00191438"/>
    <w:rsid w:val="00193889"/>
    <w:rsid w:val="00197263"/>
    <w:rsid w:val="001A1401"/>
    <w:rsid w:val="001A4AF7"/>
    <w:rsid w:val="001B0349"/>
    <w:rsid w:val="001B1E93"/>
    <w:rsid w:val="001B30E5"/>
    <w:rsid w:val="001B65C1"/>
    <w:rsid w:val="001C3FF7"/>
    <w:rsid w:val="001C684B"/>
    <w:rsid w:val="001D0CFB"/>
    <w:rsid w:val="001D21AF"/>
    <w:rsid w:val="001D53FC"/>
    <w:rsid w:val="001D6ACE"/>
    <w:rsid w:val="001D6FBC"/>
    <w:rsid w:val="001D77A5"/>
    <w:rsid w:val="001E54D9"/>
    <w:rsid w:val="001E6C3A"/>
    <w:rsid w:val="001F42A5"/>
    <w:rsid w:val="001F7B9D"/>
    <w:rsid w:val="00201C93"/>
    <w:rsid w:val="002038A1"/>
    <w:rsid w:val="00205771"/>
    <w:rsid w:val="0021288A"/>
    <w:rsid w:val="00214D42"/>
    <w:rsid w:val="002160F9"/>
    <w:rsid w:val="002224B4"/>
    <w:rsid w:val="00227E29"/>
    <w:rsid w:val="00231378"/>
    <w:rsid w:val="00234B1B"/>
    <w:rsid w:val="00235A1C"/>
    <w:rsid w:val="002361EB"/>
    <w:rsid w:val="0023725A"/>
    <w:rsid w:val="002447EF"/>
    <w:rsid w:val="00245E17"/>
    <w:rsid w:val="00247990"/>
    <w:rsid w:val="00251550"/>
    <w:rsid w:val="00254AF2"/>
    <w:rsid w:val="002573E5"/>
    <w:rsid w:val="00260161"/>
    <w:rsid w:val="002615AF"/>
    <w:rsid w:val="00263B05"/>
    <w:rsid w:val="00263E89"/>
    <w:rsid w:val="00266803"/>
    <w:rsid w:val="002678DB"/>
    <w:rsid w:val="0027221A"/>
    <w:rsid w:val="002748AF"/>
    <w:rsid w:val="00275B61"/>
    <w:rsid w:val="00280FAF"/>
    <w:rsid w:val="002820B2"/>
    <w:rsid w:val="00282656"/>
    <w:rsid w:val="002858DC"/>
    <w:rsid w:val="00291333"/>
    <w:rsid w:val="00296B83"/>
    <w:rsid w:val="002A01EF"/>
    <w:rsid w:val="002A378B"/>
    <w:rsid w:val="002A57FD"/>
    <w:rsid w:val="002A5F32"/>
    <w:rsid w:val="002A7387"/>
    <w:rsid w:val="002B129D"/>
    <w:rsid w:val="002B33A4"/>
    <w:rsid w:val="002B4015"/>
    <w:rsid w:val="002B78CE"/>
    <w:rsid w:val="002C0D73"/>
    <w:rsid w:val="002C27A7"/>
    <w:rsid w:val="002C2FB6"/>
    <w:rsid w:val="002C5368"/>
    <w:rsid w:val="002C7E87"/>
    <w:rsid w:val="002D4712"/>
    <w:rsid w:val="002D517A"/>
    <w:rsid w:val="002D73AF"/>
    <w:rsid w:val="002E1F88"/>
    <w:rsid w:val="002E2827"/>
    <w:rsid w:val="002E5FA7"/>
    <w:rsid w:val="002F3309"/>
    <w:rsid w:val="002F4D3C"/>
    <w:rsid w:val="003008CE"/>
    <w:rsid w:val="003009B7"/>
    <w:rsid w:val="00300E56"/>
    <w:rsid w:val="0030152C"/>
    <w:rsid w:val="0030469C"/>
    <w:rsid w:val="00306E70"/>
    <w:rsid w:val="00307441"/>
    <w:rsid w:val="00313CE3"/>
    <w:rsid w:val="00321CA6"/>
    <w:rsid w:val="00323763"/>
    <w:rsid w:val="00323C5F"/>
    <w:rsid w:val="00324560"/>
    <w:rsid w:val="00330715"/>
    <w:rsid w:val="00334C09"/>
    <w:rsid w:val="00337A43"/>
    <w:rsid w:val="0034362A"/>
    <w:rsid w:val="00347837"/>
    <w:rsid w:val="00355B78"/>
    <w:rsid w:val="00360488"/>
    <w:rsid w:val="00362E22"/>
    <w:rsid w:val="00364BFF"/>
    <w:rsid w:val="003677E2"/>
    <w:rsid w:val="003723D4"/>
    <w:rsid w:val="003735AF"/>
    <w:rsid w:val="0037621A"/>
    <w:rsid w:val="00376F3A"/>
    <w:rsid w:val="003809EB"/>
    <w:rsid w:val="00380CAA"/>
    <w:rsid w:val="00381905"/>
    <w:rsid w:val="00384CC8"/>
    <w:rsid w:val="00385005"/>
    <w:rsid w:val="003871FD"/>
    <w:rsid w:val="0039060E"/>
    <w:rsid w:val="003942B6"/>
    <w:rsid w:val="003A10D4"/>
    <w:rsid w:val="003A1E30"/>
    <w:rsid w:val="003A2829"/>
    <w:rsid w:val="003A6492"/>
    <w:rsid w:val="003A7188"/>
    <w:rsid w:val="003A75AB"/>
    <w:rsid w:val="003A77E3"/>
    <w:rsid w:val="003A7D1C"/>
    <w:rsid w:val="003B304B"/>
    <w:rsid w:val="003B3146"/>
    <w:rsid w:val="003B3AB8"/>
    <w:rsid w:val="003B4E2B"/>
    <w:rsid w:val="003B55EF"/>
    <w:rsid w:val="003C0EFB"/>
    <w:rsid w:val="003C1BF0"/>
    <w:rsid w:val="003C359F"/>
    <w:rsid w:val="003D5D33"/>
    <w:rsid w:val="003D6B0F"/>
    <w:rsid w:val="003E0283"/>
    <w:rsid w:val="003F015E"/>
    <w:rsid w:val="003F421B"/>
    <w:rsid w:val="00400414"/>
    <w:rsid w:val="00411863"/>
    <w:rsid w:val="004119CF"/>
    <w:rsid w:val="0041446B"/>
    <w:rsid w:val="00414F80"/>
    <w:rsid w:val="00417800"/>
    <w:rsid w:val="00420D40"/>
    <w:rsid w:val="00422F8A"/>
    <w:rsid w:val="00423B7F"/>
    <w:rsid w:val="00427B93"/>
    <w:rsid w:val="00431A1F"/>
    <w:rsid w:val="00433443"/>
    <w:rsid w:val="0043492A"/>
    <w:rsid w:val="00437D69"/>
    <w:rsid w:val="0044071E"/>
    <w:rsid w:val="0044329C"/>
    <w:rsid w:val="00444825"/>
    <w:rsid w:val="00444888"/>
    <w:rsid w:val="00444D0B"/>
    <w:rsid w:val="00446069"/>
    <w:rsid w:val="00453E24"/>
    <w:rsid w:val="004556CD"/>
    <w:rsid w:val="00457456"/>
    <w:rsid w:val="004577FE"/>
    <w:rsid w:val="00457B9C"/>
    <w:rsid w:val="0046164A"/>
    <w:rsid w:val="004628D2"/>
    <w:rsid w:val="00462DCD"/>
    <w:rsid w:val="004648AD"/>
    <w:rsid w:val="004703A9"/>
    <w:rsid w:val="00473E50"/>
    <w:rsid w:val="004760DE"/>
    <w:rsid w:val="004763D7"/>
    <w:rsid w:val="00480670"/>
    <w:rsid w:val="004875A7"/>
    <w:rsid w:val="004A004E"/>
    <w:rsid w:val="004A24CF"/>
    <w:rsid w:val="004B1882"/>
    <w:rsid w:val="004B29D2"/>
    <w:rsid w:val="004B5E99"/>
    <w:rsid w:val="004B6EEC"/>
    <w:rsid w:val="004C3D1D"/>
    <w:rsid w:val="004C3D84"/>
    <w:rsid w:val="004C7913"/>
    <w:rsid w:val="004C7D85"/>
    <w:rsid w:val="004D28DC"/>
    <w:rsid w:val="004D3EB2"/>
    <w:rsid w:val="004D5D2C"/>
    <w:rsid w:val="004E0D6A"/>
    <w:rsid w:val="004E4DD6"/>
    <w:rsid w:val="004E4EED"/>
    <w:rsid w:val="004F5E36"/>
    <w:rsid w:val="0050247A"/>
    <w:rsid w:val="0050270B"/>
    <w:rsid w:val="0050346F"/>
    <w:rsid w:val="005045C7"/>
    <w:rsid w:val="00504C7A"/>
    <w:rsid w:val="00506EFA"/>
    <w:rsid w:val="005073AD"/>
    <w:rsid w:val="00507B47"/>
    <w:rsid w:val="00507BEF"/>
    <w:rsid w:val="00507CC9"/>
    <w:rsid w:val="005119A5"/>
    <w:rsid w:val="005119F4"/>
    <w:rsid w:val="005149A0"/>
    <w:rsid w:val="0051760E"/>
    <w:rsid w:val="0052612A"/>
    <w:rsid w:val="00526A33"/>
    <w:rsid w:val="005278B7"/>
    <w:rsid w:val="005305B1"/>
    <w:rsid w:val="00532016"/>
    <w:rsid w:val="00532F5D"/>
    <w:rsid w:val="005346AD"/>
    <w:rsid w:val="005346C8"/>
    <w:rsid w:val="005347AA"/>
    <w:rsid w:val="00543E7D"/>
    <w:rsid w:val="0054568F"/>
    <w:rsid w:val="00545CE1"/>
    <w:rsid w:val="00546EBE"/>
    <w:rsid w:val="00547A68"/>
    <w:rsid w:val="00551810"/>
    <w:rsid w:val="005531C9"/>
    <w:rsid w:val="00562FD2"/>
    <w:rsid w:val="00563F19"/>
    <w:rsid w:val="005646D4"/>
    <w:rsid w:val="00564819"/>
    <w:rsid w:val="005674B9"/>
    <w:rsid w:val="00570C43"/>
    <w:rsid w:val="0057276F"/>
    <w:rsid w:val="005736DF"/>
    <w:rsid w:val="00573C2D"/>
    <w:rsid w:val="00576FD3"/>
    <w:rsid w:val="005801C2"/>
    <w:rsid w:val="00582715"/>
    <w:rsid w:val="005865CB"/>
    <w:rsid w:val="005900CF"/>
    <w:rsid w:val="005904CF"/>
    <w:rsid w:val="00591207"/>
    <w:rsid w:val="00593DDB"/>
    <w:rsid w:val="005943FC"/>
    <w:rsid w:val="00595843"/>
    <w:rsid w:val="005975FB"/>
    <w:rsid w:val="00597A9A"/>
    <w:rsid w:val="005A1370"/>
    <w:rsid w:val="005A4B5E"/>
    <w:rsid w:val="005A71D4"/>
    <w:rsid w:val="005B2110"/>
    <w:rsid w:val="005B61E6"/>
    <w:rsid w:val="005B75A1"/>
    <w:rsid w:val="005C108D"/>
    <w:rsid w:val="005C1F48"/>
    <w:rsid w:val="005C77E1"/>
    <w:rsid w:val="005D668A"/>
    <w:rsid w:val="005D6A2F"/>
    <w:rsid w:val="005E01FC"/>
    <w:rsid w:val="005E11DC"/>
    <w:rsid w:val="005E1A82"/>
    <w:rsid w:val="005E4475"/>
    <w:rsid w:val="005E794C"/>
    <w:rsid w:val="005F0A28"/>
    <w:rsid w:val="005F0E5E"/>
    <w:rsid w:val="005F1090"/>
    <w:rsid w:val="005F2163"/>
    <w:rsid w:val="005F2AE1"/>
    <w:rsid w:val="005F2F38"/>
    <w:rsid w:val="005F55E3"/>
    <w:rsid w:val="00600535"/>
    <w:rsid w:val="00604924"/>
    <w:rsid w:val="0060718B"/>
    <w:rsid w:val="00610CD6"/>
    <w:rsid w:val="006122C6"/>
    <w:rsid w:val="00620DEE"/>
    <w:rsid w:val="00621F92"/>
    <w:rsid w:val="0062280A"/>
    <w:rsid w:val="006234AB"/>
    <w:rsid w:val="0062486E"/>
    <w:rsid w:val="00625639"/>
    <w:rsid w:val="00630A4F"/>
    <w:rsid w:val="00631B33"/>
    <w:rsid w:val="00633D17"/>
    <w:rsid w:val="00634DBE"/>
    <w:rsid w:val="00640525"/>
    <w:rsid w:val="0064184D"/>
    <w:rsid w:val="006422CC"/>
    <w:rsid w:val="0064514E"/>
    <w:rsid w:val="00646171"/>
    <w:rsid w:val="0065101B"/>
    <w:rsid w:val="00660E3E"/>
    <w:rsid w:val="00662E74"/>
    <w:rsid w:val="00666992"/>
    <w:rsid w:val="006720C1"/>
    <w:rsid w:val="00677209"/>
    <w:rsid w:val="00680C23"/>
    <w:rsid w:val="006901A1"/>
    <w:rsid w:val="006932B4"/>
    <w:rsid w:val="00693766"/>
    <w:rsid w:val="006978E7"/>
    <w:rsid w:val="00697A4D"/>
    <w:rsid w:val="006A2529"/>
    <w:rsid w:val="006A3281"/>
    <w:rsid w:val="006A45A9"/>
    <w:rsid w:val="006B373F"/>
    <w:rsid w:val="006B4888"/>
    <w:rsid w:val="006B57B2"/>
    <w:rsid w:val="006C22F2"/>
    <w:rsid w:val="006C2A65"/>
    <w:rsid w:val="006C2E45"/>
    <w:rsid w:val="006C359C"/>
    <w:rsid w:val="006C5579"/>
    <w:rsid w:val="006C71C3"/>
    <w:rsid w:val="006C729A"/>
    <w:rsid w:val="006D6E8B"/>
    <w:rsid w:val="006E30CF"/>
    <w:rsid w:val="006E48FF"/>
    <w:rsid w:val="006E5076"/>
    <w:rsid w:val="006E705B"/>
    <w:rsid w:val="006E737D"/>
    <w:rsid w:val="006F02EE"/>
    <w:rsid w:val="006F30BE"/>
    <w:rsid w:val="007005F8"/>
    <w:rsid w:val="007006B0"/>
    <w:rsid w:val="007027D5"/>
    <w:rsid w:val="00707958"/>
    <w:rsid w:val="00713655"/>
    <w:rsid w:val="00713973"/>
    <w:rsid w:val="0071627B"/>
    <w:rsid w:val="00720A24"/>
    <w:rsid w:val="00726D5D"/>
    <w:rsid w:val="0073002B"/>
    <w:rsid w:val="00732386"/>
    <w:rsid w:val="0073514D"/>
    <w:rsid w:val="007353A9"/>
    <w:rsid w:val="00736732"/>
    <w:rsid w:val="00736A6E"/>
    <w:rsid w:val="00740F4B"/>
    <w:rsid w:val="007447F3"/>
    <w:rsid w:val="00751E42"/>
    <w:rsid w:val="00754014"/>
    <w:rsid w:val="0075499F"/>
    <w:rsid w:val="0075672F"/>
    <w:rsid w:val="00760E31"/>
    <w:rsid w:val="007661C8"/>
    <w:rsid w:val="0077098D"/>
    <w:rsid w:val="0077218F"/>
    <w:rsid w:val="00773B3B"/>
    <w:rsid w:val="00782D08"/>
    <w:rsid w:val="00786E19"/>
    <w:rsid w:val="007931FA"/>
    <w:rsid w:val="007A3313"/>
    <w:rsid w:val="007A4861"/>
    <w:rsid w:val="007A7BBA"/>
    <w:rsid w:val="007B0738"/>
    <w:rsid w:val="007B0C50"/>
    <w:rsid w:val="007B2805"/>
    <w:rsid w:val="007B48F9"/>
    <w:rsid w:val="007B493F"/>
    <w:rsid w:val="007C1A43"/>
    <w:rsid w:val="007C47C0"/>
    <w:rsid w:val="007C516E"/>
    <w:rsid w:val="007C5D9E"/>
    <w:rsid w:val="007D0951"/>
    <w:rsid w:val="007E25F9"/>
    <w:rsid w:val="007E2F73"/>
    <w:rsid w:val="007F09C6"/>
    <w:rsid w:val="007F4D7F"/>
    <w:rsid w:val="007F5534"/>
    <w:rsid w:val="007F66FB"/>
    <w:rsid w:val="007F6F0F"/>
    <w:rsid w:val="0080013E"/>
    <w:rsid w:val="008010AD"/>
    <w:rsid w:val="008046AB"/>
    <w:rsid w:val="00804938"/>
    <w:rsid w:val="00811CA5"/>
    <w:rsid w:val="00813288"/>
    <w:rsid w:val="00813DDE"/>
    <w:rsid w:val="0081450C"/>
    <w:rsid w:val="008168FC"/>
    <w:rsid w:val="00822A62"/>
    <w:rsid w:val="00830996"/>
    <w:rsid w:val="008332C5"/>
    <w:rsid w:val="008345F1"/>
    <w:rsid w:val="008416E4"/>
    <w:rsid w:val="00844093"/>
    <w:rsid w:val="00853D82"/>
    <w:rsid w:val="00856797"/>
    <w:rsid w:val="00860E61"/>
    <w:rsid w:val="008637A3"/>
    <w:rsid w:val="00863858"/>
    <w:rsid w:val="00864C21"/>
    <w:rsid w:val="00865B07"/>
    <w:rsid w:val="008667EA"/>
    <w:rsid w:val="00872E0E"/>
    <w:rsid w:val="00873922"/>
    <w:rsid w:val="0087637F"/>
    <w:rsid w:val="00882B40"/>
    <w:rsid w:val="008865D9"/>
    <w:rsid w:val="008920DD"/>
    <w:rsid w:val="00892AD5"/>
    <w:rsid w:val="00893349"/>
    <w:rsid w:val="008A10EA"/>
    <w:rsid w:val="008A1512"/>
    <w:rsid w:val="008A520A"/>
    <w:rsid w:val="008A6AEB"/>
    <w:rsid w:val="008B0840"/>
    <w:rsid w:val="008B09F5"/>
    <w:rsid w:val="008B2F3C"/>
    <w:rsid w:val="008B3321"/>
    <w:rsid w:val="008C11F1"/>
    <w:rsid w:val="008C3B4D"/>
    <w:rsid w:val="008C607B"/>
    <w:rsid w:val="008D28F0"/>
    <w:rsid w:val="008D32B9"/>
    <w:rsid w:val="008D433B"/>
    <w:rsid w:val="008D4A16"/>
    <w:rsid w:val="008E0B29"/>
    <w:rsid w:val="008E3EF8"/>
    <w:rsid w:val="008E566E"/>
    <w:rsid w:val="008F409A"/>
    <w:rsid w:val="008F7664"/>
    <w:rsid w:val="008F7D9F"/>
    <w:rsid w:val="00901434"/>
    <w:rsid w:val="0090161A"/>
    <w:rsid w:val="00901CE3"/>
    <w:rsid w:val="00901EB6"/>
    <w:rsid w:val="00904C62"/>
    <w:rsid w:val="00904E15"/>
    <w:rsid w:val="0091324A"/>
    <w:rsid w:val="0091578E"/>
    <w:rsid w:val="00917131"/>
    <w:rsid w:val="009226E1"/>
    <w:rsid w:val="00922BA8"/>
    <w:rsid w:val="00924DAC"/>
    <w:rsid w:val="00927058"/>
    <w:rsid w:val="00930074"/>
    <w:rsid w:val="00933366"/>
    <w:rsid w:val="00933433"/>
    <w:rsid w:val="00933AE6"/>
    <w:rsid w:val="009340AC"/>
    <w:rsid w:val="0093429E"/>
    <w:rsid w:val="00937AF8"/>
    <w:rsid w:val="00942750"/>
    <w:rsid w:val="0094381E"/>
    <w:rsid w:val="0094423D"/>
    <w:rsid w:val="009450CE"/>
    <w:rsid w:val="009459BB"/>
    <w:rsid w:val="00947179"/>
    <w:rsid w:val="00947C5F"/>
    <w:rsid w:val="0095164B"/>
    <w:rsid w:val="00954090"/>
    <w:rsid w:val="00955B0D"/>
    <w:rsid w:val="009573E7"/>
    <w:rsid w:val="009611F9"/>
    <w:rsid w:val="00963E05"/>
    <w:rsid w:val="00964A45"/>
    <w:rsid w:val="00967843"/>
    <w:rsid w:val="00967D54"/>
    <w:rsid w:val="00970377"/>
    <w:rsid w:val="00971028"/>
    <w:rsid w:val="00977084"/>
    <w:rsid w:val="00980CA7"/>
    <w:rsid w:val="00984576"/>
    <w:rsid w:val="009914DA"/>
    <w:rsid w:val="00993B84"/>
    <w:rsid w:val="00993C86"/>
    <w:rsid w:val="00993FEC"/>
    <w:rsid w:val="00996483"/>
    <w:rsid w:val="00996F5A"/>
    <w:rsid w:val="00997A31"/>
    <w:rsid w:val="009A0940"/>
    <w:rsid w:val="009A0DB8"/>
    <w:rsid w:val="009A0E43"/>
    <w:rsid w:val="009B041A"/>
    <w:rsid w:val="009B0664"/>
    <w:rsid w:val="009B1999"/>
    <w:rsid w:val="009C37C3"/>
    <w:rsid w:val="009C562F"/>
    <w:rsid w:val="009C7C86"/>
    <w:rsid w:val="009D2F2D"/>
    <w:rsid w:val="009D2FF7"/>
    <w:rsid w:val="009D3F58"/>
    <w:rsid w:val="009E11D1"/>
    <w:rsid w:val="009E1D5C"/>
    <w:rsid w:val="009E3C3F"/>
    <w:rsid w:val="009E6381"/>
    <w:rsid w:val="009E6A31"/>
    <w:rsid w:val="009E7884"/>
    <w:rsid w:val="009E788A"/>
    <w:rsid w:val="009E79A5"/>
    <w:rsid w:val="009F0E08"/>
    <w:rsid w:val="009F1339"/>
    <w:rsid w:val="009F2B10"/>
    <w:rsid w:val="009F41DC"/>
    <w:rsid w:val="00A0720C"/>
    <w:rsid w:val="00A12461"/>
    <w:rsid w:val="00A15C1D"/>
    <w:rsid w:val="00A1763D"/>
    <w:rsid w:val="00A17CEC"/>
    <w:rsid w:val="00A17DB7"/>
    <w:rsid w:val="00A27EF0"/>
    <w:rsid w:val="00A34FFE"/>
    <w:rsid w:val="00A3652B"/>
    <w:rsid w:val="00A37A23"/>
    <w:rsid w:val="00A40A7C"/>
    <w:rsid w:val="00A40B67"/>
    <w:rsid w:val="00A42361"/>
    <w:rsid w:val="00A44FE3"/>
    <w:rsid w:val="00A47921"/>
    <w:rsid w:val="00A47D4C"/>
    <w:rsid w:val="00A50B20"/>
    <w:rsid w:val="00A51390"/>
    <w:rsid w:val="00A51A52"/>
    <w:rsid w:val="00A54323"/>
    <w:rsid w:val="00A60BAC"/>
    <w:rsid w:val="00A60D13"/>
    <w:rsid w:val="00A61D35"/>
    <w:rsid w:val="00A702B1"/>
    <w:rsid w:val="00A70D33"/>
    <w:rsid w:val="00A71AD1"/>
    <w:rsid w:val="00A7223D"/>
    <w:rsid w:val="00A72745"/>
    <w:rsid w:val="00A7663D"/>
    <w:rsid w:val="00A76EFC"/>
    <w:rsid w:val="00A84222"/>
    <w:rsid w:val="00A876BA"/>
    <w:rsid w:val="00A87D50"/>
    <w:rsid w:val="00A91010"/>
    <w:rsid w:val="00A915EE"/>
    <w:rsid w:val="00A920ED"/>
    <w:rsid w:val="00A939B5"/>
    <w:rsid w:val="00A95B87"/>
    <w:rsid w:val="00A96B1E"/>
    <w:rsid w:val="00A97F29"/>
    <w:rsid w:val="00AA702E"/>
    <w:rsid w:val="00AA7D26"/>
    <w:rsid w:val="00AB0964"/>
    <w:rsid w:val="00AB3B5C"/>
    <w:rsid w:val="00AB5011"/>
    <w:rsid w:val="00AC0AB8"/>
    <w:rsid w:val="00AC4138"/>
    <w:rsid w:val="00AC5C32"/>
    <w:rsid w:val="00AC5C4F"/>
    <w:rsid w:val="00AC6C75"/>
    <w:rsid w:val="00AC7368"/>
    <w:rsid w:val="00AD16B9"/>
    <w:rsid w:val="00AD4BB5"/>
    <w:rsid w:val="00AD65A2"/>
    <w:rsid w:val="00AE186C"/>
    <w:rsid w:val="00AE377D"/>
    <w:rsid w:val="00AF0EBA"/>
    <w:rsid w:val="00AF207C"/>
    <w:rsid w:val="00AF249F"/>
    <w:rsid w:val="00AF4B87"/>
    <w:rsid w:val="00AF5039"/>
    <w:rsid w:val="00B00CCE"/>
    <w:rsid w:val="00B014D5"/>
    <w:rsid w:val="00B02C8A"/>
    <w:rsid w:val="00B06434"/>
    <w:rsid w:val="00B06EC3"/>
    <w:rsid w:val="00B13F38"/>
    <w:rsid w:val="00B17CEC"/>
    <w:rsid w:val="00B17FBD"/>
    <w:rsid w:val="00B21DB0"/>
    <w:rsid w:val="00B235A8"/>
    <w:rsid w:val="00B23818"/>
    <w:rsid w:val="00B315A6"/>
    <w:rsid w:val="00B31813"/>
    <w:rsid w:val="00B33365"/>
    <w:rsid w:val="00B35D6B"/>
    <w:rsid w:val="00B37D29"/>
    <w:rsid w:val="00B423BB"/>
    <w:rsid w:val="00B44714"/>
    <w:rsid w:val="00B4703F"/>
    <w:rsid w:val="00B502AF"/>
    <w:rsid w:val="00B52D34"/>
    <w:rsid w:val="00B57B36"/>
    <w:rsid w:val="00B57E6F"/>
    <w:rsid w:val="00B66765"/>
    <w:rsid w:val="00B67C0E"/>
    <w:rsid w:val="00B803F0"/>
    <w:rsid w:val="00B82A96"/>
    <w:rsid w:val="00B84846"/>
    <w:rsid w:val="00B860BE"/>
    <w:rsid w:val="00B861AC"/>
    <w:rsid w:val="00B8686D"/>
    <w:rsid w:val="00B90F01"/>
    <w:rsid w:val="00B91E61"/>
    <w:rsid w:val="00B92B7E"/>
    <w:rsid w:val="00B93F2B"/>
    <w:rsid w:val="00B93F69"/>
    <w:rsid w:val="00B97AF5"/>
    <w:rsid w:val="00BA0185"/>
    <w:rsid w:val="00BA32CB"/>
    <w:rsid w:val="00BA369E"/>
    <w:rsid w:val="00BA3817"/>
    <w:rsid w:val="00BA5AEF"/>
    <w:rsid w:val="00BA5BA7"/>
    <w:rsid w:val="00BB1DDC"/>
    <w:rsid w:val="00BB6E57"/>
    <w:rsid w:val="00BC2673"/>
    <w:rsid w:val="00BC2910"/>
    <w:rsid w:val="00BC30C9"/>
    <w:rsid w:val="00BC409A"/>
    <w:rsid w:val="00BD077D"/>
    <w:rsid w:val="00BD5D2E"/>
    <w:rsid w:val="00BE15AE"/>
    <w:rsid w:val="00BE3E58"/>
    <w:rsid w:val="00BE4422"/>
    <w:rsid w:val="00BE6427"/>
    <w:rsid w:val="00BF1921"/>
    <w:rsid w:val="00C01029"/>
    <w:rsid w:val="00C01616"/>
    <w:rsid w:val="00C0162B"/>
    <w:rsid w:val="00C068ED"/>
    <w:rsid w:val="00C10C4C"/>
    <w:rsid w:val="00C11B31"/>
    <w:rsid w:val="00C15C21"/>
    <w:rsid w:val="00C22E0C"/>
    <w:rsid w:val="00C245F4"/>
    <w:rsid w:val="00C253F0"/>
    <w:rsid w:val="00C26396"/>
    <w:rsid w:val="00C30B16"/>
    <w:rsid w:val="00C3380A"/>
    <w:rsid w:val="00C345B1"/>
    <w:rsid w:val="00C40142"/>
    <w:rsid w:val="00C42B73"/>
    <w:rsid w:val="00C44AE4"/>
    <w:rsid w:val="00C47F90"/>
    <w:rsid w:val="00C520B1"/>
    <w:rsid w:val="00C52C3C"/>
    <w:rsid w:val="00C530E8"/>
    <w:rsid w:val="00C5626A"/>
    <w:rsid w:val="00C57182"/>
    <w:rsid w:val="00C57863"/>
    <w:rsid w:val="00C60FEA"/>
    <w:rsid w:val="00C61795"/>
    <w:rsid w:val="00C61C02"/>
    <w:rsid w:val="00C61F0E"/>
    <w:rsid w:val="00C640AF"/>
    <w:rsid w:val="00C64A64"/>
    <w:rsid w:val="00C655FD"/>
    <w:rsid w:val="00C75407"/>
    <w:rsid w:val="00C754FE"/>
    <w:rsid w:val="00C870A8"/>
    <w:rsid w:val="00C91A8D"/>
    <w:rsid w:val="00C91D29"/>
    <w:rsid w:val="00C92938"/>
    <w:rsid w:val="00C93BA8"/>
    <w:rsid w:val="00C94434"/>
    <w:rsid w:val="00C96EF0"/>
    <w:rsid w:val="00CA0D75"/>
    <w:rsid w:val="00CA1C95"/>
    <w:rsid w:val="00CA1FF0"/>
    <w:rsid w:val="00CA27AA"/>
    <w:rsid w:val="00CA5A9C"/>
    <w:rsid w:val="00CA7DD0"/>
    <w:rsid w:val="00CB1481"/>
    <w:rsid w:val="00CB35F2"/>
    <w:rsid w:val="00CB526E"/>
    <w:rsid w:val="00CB773C"/>
    <w:rsid w:val="00CB78F6"/>
    <w:rsid w:val="00CC25FD"/>
    <w:rsid w:val="00CC4C20"/>
    <w:rsid w:val="00CD08C3"/>
    <w:rsid w:val="00CD3517"/>
    <w:rsid w:val="00CD5FE2"/>
    <w:rsid w:val="00CE463A"/>
    <w:rsid w:val="00CE66F6"/>
    <w:rsid w:val="00CE7C68"/>
    <w:rsid w:val="00CF1E29"/>
    <w:rsid w:val="00CF1F28"/>
    <w:rsid w:val="00CF2C75"/>
    <w:rsid w:val="00CF4CB4"/>
    <w:rsid w:val="00CF5066"/>
    <w:rsid w:val="00CF54FF"/>
    <w:rsid w:val="00CF5911"/>
    <w:rsid w:val="00D02B4C"/>
    <w:rsid w:val="00D030CD"/>
    <w:rsid w:val="00D040C4"/>
    <w:rsid w:val="00D100E4"/>
    <w:rsid w:val="00D12D9F"/>
    <w:rsid w:val="00D20328"/>
    <w:rsid w:val="00D20AD1"/>
    <w:rsid w:val="00D2192F"/>
    <w:rsid w:val="00D21ACB"/>
    <w:rsid w:val="00D21D59"/>
    <w:rsid w:val="00D21DD4"/>
    <w:rsid w:val="00D226F4"/>
    <w:rsid w:val="00D23208"/>
    <w:rsid w:val="00D236FB"/>
    <w:rsid w:val="00D26585"/>
    <w:rsid w:val="00D30E42"/>
    <w:rsid w:val="00D338B5"/>
    <w:rsid w:val="00D33C19"/>
    <w:rsid w:val="00D36B5F"/>
    <w:rsid w:val="00D37BB6"/>
    <w:rsid w:val="00D403D7"/>
    <w:rsid w:val="00D42094"/>
    <w:rsid w:val="00D44DB5"/>
    <w:rsid w:val="00D46B7E"/>
    <w:rsid w:val="00D51652"/>
    <w:rsid w:val="00D51FE9"/>
    <w:rsid w:val="00D52043"/>
    <w:rsid w:val="00D55CDB"/>
    <w:rsid w:val="00D560AF"/>
    <w:rsid w:val="00D57383"/>
    <w:rsid w:val="00D57AB5"/>
    <w:rsid w:val="00D57C84"/>
    <w:rsid w:val="00D6057D"/>
    <w:rsid w:val="00D64664"/>
    <w:rsid w:val="00D64A53"/>
    <w:rsid w:val="00D70205"/>
    <w:rsid w:val="00D71640"/>
    <w:rsid w:val="00D731C8"/>
    <w:rsid w:val="00D836C5"/>
    <w:rsid w:val="00D84576"/>
    <w:rsid w:val="00D84913"/>
    <w:rsid w:val="00D860CB"/>
    <w:rsid w:val="00D8768E"/>
    <w:rsid w:val="00D9068B"/>
    <w:rsid w:val="00D94EF9"/>
    <w:rsid w:val="00D956FF"/>
    <w:rsid w:val="00D97AA7"/>
    <w:rsid w:val="00DA0DD7"/>
    <w:rsid w:val="00DA1399"/>
    <w:rsid w:val="00DA24C6"/>
    <w:rsid w:val="00DA2910"/>
    <w:rsid w:val="00DA4D7B"/>
    <w:rsid w:val="00DA5B03"/>
    <w:rsid w:val="00DB02E1"/>
    <w:rsid w:val="00DB25F1"/>
    <w:rsid w:val="00DB2AAD"/>
    <w:rsid w:val="00DB6E5D"/>
    <w:rsid w:val="00DB7E40"/>
    <w:rsid w:val="00DC156A"/>
    <w:rsid w:val="00DC3F7F"/>
    <w:rsid w:val="00DD1F27"/>
    <w:rsid w:val="00DD271C"/>
    <w:rsid w:val="00DD67A7"/>
    <w:rsid w:val="00DD6E14"/>
    <w:rsid w:val="00DE0601"/>
    <w:rsid w:val="00DE264A"/>
    <w:rsid w:val="00DE53BD"/>
    <w:rsid w:val="00DF3645"/>
    <w:rsid w:val="00DF5072"/>
    <w:rsid w:val="00E02D18"/>
    <w:rsid w:val="00E041E7"/>
    <w:rsid w:val="00E1164F"/>
    <w:rsid w:val="00E117A3"/>
    <w:rsid w:val="00E151A3"/>
    <w:rsid w:val="00E23CA1"/>
    <w:rsid w:val="00E24859"/>
    <w:rsid w:val="00E409A8"/>
    <w:rsid w:val="00E4380A"/>
    <w:rsid w:val="00E43F2E"/>
    <w:rsid w:val="00E50450"/>
    <w:rsid w:val="00E50C12"/>
    <w:rsid w:val="00E55C45"/>
    <w:rsid w:val="00E5674C"/>
    <w:rsid w:val="00E579F8"/>
    <w:rsid w:val="00E63594"/>
    <w:rsid w:val="00E65B91"/>
    <w:rsid w:val="00E7188F"/>
    <w:rsid w:val="00E7190A"/>
    <w:rsid w:val="00E7209D"/>
    <w:rsid w:val="00E72EAD"/>
    <w:rsid w:val="00E75275"/>
    <w:rsid w:val="00E77223"/>
    <w:rsid w:val="00E8528B"/>
    <w:rsid w:val="00E853B6"/>
    <w:rsid w:val="00E85B94"/>
    <w:rsid w:val="00E86342"/>
    <w:rsid w:val="00E86916"/>
    <w:rsid w:val="00E93884"/>
    <w:rsid w:val="00E9739E"/>
    <w:rsid w:val="00E978D0"/>
    <w:rsid w:val="00EA0B57"/>
    <w:rsid w:val="00EA4613"/>
    <w:rsid w:val="00EA7354"/>
    <w:rsid w:val="00EA7F91"/>
    <w:rsid w:val="00EB13F5"/>
    <w:rsid w:val="00EB1523"/>
    <w:rsid w:val="00EB3B2C"/>
    <w:rsid w:val="00EB5EEC"/>
    <w:rsid w:val="00EC0E49"/>
    <w:rsid w:val="00EC101F"/>
    <w:rsid w:val="00EC1C74"/>
    <w:rsid w:val="00EC1D9F"/>
    <w:rsid w:val="00EC4BD3"/>
    <w:rsid w:val="00ED3C90"/>
    <w:rsid w:val="00ED502C"/>
    <w:rsid w:val="00EE0131"/>
    <w:rsid w:val="00EE11C7"/>
    <w:rsid w:val="00EE1379"/>
    <w:rsid w:val="00EE17B0"/>
    <w:rsid w:val="00EE2AA3"/>
    <w:rsid w:val="00EE37DA"/>
    <w:rsid w:val="00EE385A"/>
    <w:rsid w:val="00EE5919"/>
    <w:rsid w:val="00EE794E"/>
    <w:rsid w:val="00EF06D9"/>
    <w:rsid w:val="00EF1982"/>
    <w:rsid w:val="00EF39DF"/>
    <w:rsid w:val="00EF5057"/>
    <w:rsid w:val="00F02967"/>
    <w:rsid w:val="00F05E71"/>
    <w:rsid w:val="00F12D23"/>
    <w:rsid w:val="00F201DC"/>
    <w:rsid w:val="00F2073C"/>
    <w:rsid w:val="00F22E64"/>
    <w:rsid w:val="00F251C8"/>
    <w:rsid w:val="00F2530B"/>
    <w:rsid w:val="00F3049E"/>
    <w:rsid w:val="00F30B25"/>
    <w:rsid w:val="00F30C64"/>
    <w:rsid w:val="00F32BA2"/>
    <w:rsid w:val="00F32CDB"/>
    <w:rsid w:val="00F3426E"/>
    <w:rsid w:val="00F36522"/>
    <w:rsid w:val="00F407B8"/>
    <w:rsid w:val="00F41046"/>
    <w:rsid w:val="00F41F04"/>
    <w:rsid w:val="00F42D7A"/>
    <w:rsid w:val="00F478F1"/>
    <w:rsid w:val="00F54FE8"/>
    <w:rsid w:val="00F565FE"/>
    <w:rsid w:val="00F56770"/>
    <w:rsid w:val="00F576F7"/>
    <w:rsid w:val="00F600E4"/>
    <w:rsid w:val="00F606F5"/>
    <w:rsid w:val="00F60C07"/>
    <w:rsid w:val="00F63A70"/>
    <w:rsid w:val="00F63D48"/>
    <w:rsid w:val="00F63D8C"/>
    <w:rsid w:val="00F67730"/>
    <w:rsid w:val="00F7534E"/>
    <w:rsid w:val="00F76F6D"/>
    <w:rsid w:val="00F81E50"/>
    <w:rsid w:val="00F85386"/>
    <w:rsid w:val="00F9030E"/>
    <w:rsid w:val="00F912C1"/>
    <w:rsid w:val="00F93EDF"/>
    <w:rsid w:val="00FA1802"/>
    <w:rsid w:val="00FA217B"/>
    <w:rsid w:val="00FA21D0"/>
    <w:rsid w:val="00FA2649"/>
    <w:rsid w:val="00FA2A0B"/>
    <w:rsid w:val="00FA5A3B"/>
    <w:rsid w:val="00FA5F5F"/>
    <w:rsid w:val="00FA60B0"/>
    <w:rsid w:val="00FB0542"/>
    <w:rsid w:val="00FB1F09"/>
    <w:rsid w:val="00FB30A5"/>
    <w:rsid w:val="00FB4546"/>
    <w:rsid w:val="00FB4795"/>
    <w:rsid w:val="00FB64E4"/>
    <w:rsid w:val="00FB730C"/>
    <w:rsid w:val="00FC0916"/>
    <w:rsid w:val="00FC2273"/>
    <w:rsid w:val="00FC2695"/>
    <w:rsid w:val="00FC324E"/>
    <w:rsid w:val="00FC3E03"/>
    <w:rsid w:val="00FC3FC1"/>
    <w:rsid w:val="00FC5E49"/>
    <w:rsid w:val="00FD0A34"/>
    <w:rsid w:val="00FD23B7"/>
    <w:rsid w:val="00FE3805"/>
    <w:rsid w:val="00FF02B8"/>
    <w:rsid w:val="00FF0A41"/>
    <w:rsid w:val="00FF3A24"/>
    <w:rsid w:val="00FF5CC6"/>
    <w:rsid w:val="00FF6E1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2AE0CC22"/>
  <w14:defaultImageDpi w14:val="32767"/>
  <w15:docId w15:val="{75366462-CC53-4BB2-9FED-386F2797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C11B31"/>
    <w:rPr>
      <w:color w:val="808080"/>
    </w:rPr>
  </w:style>
  <w:style w:type="table" w:styleId="Grigliatabellachiara">
    <w:name w:val="Grid Table Light"/>
    <w:basedOn w:val="Tabellanormale"/>
    <w:uiPriority w:val="40"/>
    <w:rsid w:val="00C338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zionenonrisolta">
    <w:name w:val="Unresolved Mention"/>
    <w:basedOn w:val="Carpredefinitoparagrafo"/>
    <w:uiPriority w:val="99"/>
    <w:semiHidden/>
    <w:unhideWhenUsed/>
    <w:rsid w:val="00F2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123">
      <w:bodyDiv w:val="1"/>
      <w:marLeft w:val="0"/>
      <w:marRight w:val="0"/>
      <w:marTop w:val="0"/>
      <w:marBottom w:val="0"/>
      <w:divBdr>
        <w:top w:val="none" w:sz="0" w:space="0" w:color="auto"/>
        <w:left w:val="none" w:sz="0" w:space="0" w:color="auto"/>
        <w:bottom w:val="none" w:sz="0" w:space="0" w:color="auto"/>
        <w:right w:val="none" w:sz="0" w:space="0" w:color="auto"/>
      </w:divBdr>
    </w:div>
    <w:div w:id="28145332">
      <w:bodyDiv w:val="1"/>
      <w:marLeft w:val="0"/>
      <w:marRight w:val="0"/>
      <w:marTop w:val="0"/>
      <w:marBottom w:val="0"/>
      <w:divBdr>
        <w:top w:val="none" w:sz="0" w:space="0" w:color="auto"/>
        <w:left w:val="none" w:sz="0" w:space="0" w:color="auto"/>
        <w:bottom w:val="none" w:sz="0" w:space="0" w:color="auto"/>
        <w:right w:val="none" w:sz="0" w:space="0" w:color="auto"/>
      </w:divBdr>
    </w:div>
    <w:div w:id="67577762">
      <w:bodyDiv w:val="1"/>
      <w:marLeft w:val="0"/>
      <w:marRight w:val="0"/>
      <w:marTop w:val="0"/>
      <w:marBottom w:val="0"/>
      <w:divBdr>
        <w:top w:val="none" w:sz="0" w:space="0" w:color="auto"/>
        <w:left w:val="none" w:sz="0" w:space="0" w:color="auto"/>
        <w:bottom w:val="none" w:sz="0" w:space="0" w:color="auto"/>
        <w:right w:val="none" w:sz="0" w:space="0" w:color="auto"/>
      </w:divBdr>
    </w:div>
    <w:div w:id="107510107">
      <w:bodyDiv w:val="1"/>
      <w:marLeft w:val="0"/>
      <w:marRight w:val="0"/>
      <w:marTop w:val="0"/>
      <w:marBottom w:val="0"/>
      <w:divBdr>
        <w:top w:val="none" w:sz="0" w:space="0" w:color="auto"/>
        <w:left w:val="none" w:sz="0" w:space="0" w:color="auto"/>
        <w:bottom w:val="none" w:sz="0" w:space="0" w:color="auto"/>
        <w:right w:val="none" w:sz="0" w:space="0" w:color="auto"/>
      </w:divBdr>
    </w:div>
    <w:div w:id="107747050">
      <w:bodyDiv w:val="1"/>
      <w:marLeft w:val="0"/>
      <w:marRight w:val="0"/>
      <w:marTop w:val="0"/>
      <w:marBottom w:val="0"/>
      <w:divBdr>
        <w:top w:val="none" w:sz="0" w:space="0" w:color="auto"/>
        <w:left w:val="none" w:sz="0" w:space="0" w:color="auto"/>
        <w:bottom w:val="none" w:sz="0" w:space="0" w:color="auto"/>
        <w:right w:val="none" w:sz="0" w:space="0" w:color="auto"/>
      </w:divBdr>
    </w:div>
    <w:div w:id="170294232">
      <w:bodyDiv w:val="1"/>
      <w:marLeft w:val="0"/>
      <w:marRight w:val="0"/>
      <w:marTop w:val="0"/>
      <w:marBottom w:val="0"/>
      <w:divBdr>
        <w:top w:val="none" w:sz="0" w:space="0" w:color="auto"/>
        <w:left w:val="none" w:sz="0" w:space="0" w:color="auto"/>
        <w:bottom w:val="none" w:sz="0" w:space="0" w:color="auto"/>
        <w:right w:val="none" w:sz="0" w:space="0" w:color="auto"/>
      </w:divBdr>
      <w:divsChild>
        <w:div w:id="1438676964">
          <w:marLeft w:val="480"/>
          <w:marRight w:val="0"/>
          <w:marTop w:val="0"/>
          <w:marBottom w:val="0"/>
          <w:divBdr>
            <w:top w:val="none" w:sz="0" w:space="0" w:color="auto"/>
            <w:left w:val="none" w:sz="0" w:space="0" w:color="auto"/>
            <w:bottom w:val="none" w:sz="0" w:space="0" w:color="auto"/>
            <w:right w:val="none" w:sz="0" w:space="0" w:color="auto"/>
          </w:divBdr>
        </w:div>
      </w:divsChild>
    </w:div>
    <w:div w:id="198125931">
      <w:bodyDiv w:val="1"/>
      <w:marLeft w:val="0"/>
      <w:marRight w:val="0"/>
      <w:marTop w:val="0"/>
      <w:marBottom w:val="0"/>
      <w:divBdr>
        <w:top w:val="none" w:sz="0" w:space="0" w:color="auto"/>
        <w:left w:val="none" w:sz="0" w:space="0" w:color="auto"/>
        <w:bottom w:val="none" w:sz="0" w:space="0" w:color="auto"/>
        <w:right w:val="none" w:sz="0" w:space="0" w:color="auto"/>
      </w:divBdr>
    </w:div>
    <w:div w:id="201405910">
      <w:bodyDiv w:val="1"/>
      <w:marLeft w:val="0"/>
      <w:marRight w:val="0"/>
      <w:marTop w:val="0"/>
      <w:marBottom w:val="0"/>
      <w:divBdr>
        <w:top w:val="none" w:sz="0" w:space="0" w:color="auto"/>
        <w:left w:val="none" w:sz="0" w:space="0" w:color="auto"/>
        <w:bottom w:val="none" w:sz="0" w:space="0" w:color="auto"/>
        <w:right w:val="none" w:sz="0" w:space="0" w:color="auto"/>
      </w:divBdr>
      <w:divsChild>
        <w:div w:id="200748083">
          <w:marLeft w:val="480"/>
          <w:marRight w:val="0"/>
          <w:marTop w:val="0"/>
          <w:marBottom w:val="0"/>
          <w:divBdr>
            <w:top w:val="none" w:sz="0" w:space="0" w:color="auto"/>
            <w:left w:val="none" w:sz="0" w:space="0" w:color="auto"/>
            <w:bottom w:val="none" w:sz="0" w:space="0" w:color="auto"/>
            <w:right w:val="none" w:sz="0" w:space="0" w:color="auto"/>
          </w:divBdr>
        </w:div>
        <w:div w:id="344678310">
          <w:marLeft w:val="480"/>
          <w:marRight w:val="0"/>
          <w:marTop w:val="0"/>
          <w:marBottom w:val="0"/>
          <w:divBdr>
            <w:top w:val="none" w:sz="0" w:space="0" w:color="auto"/>
            <w:left w:val="none" w:sz="0" w:space="0" w:color="auto"/>
            <w:bottom w:val="none" w:sz="0" w:space="0" w:color="auto"/>
            <w:right w:val="none" w:sz="0" w:space="0" w:color="auto"/>
          </w:divBdr>
        </w:div>
        <w:div w:id="748959768">
          <w:marLeft w:val="480"/>
          <w:marRight w:val="0"/>
          <w:marTop w:val="0"/>
          <w:marBottom w:val="0"/>
          <w:divBdr>
            <w:top w:val="none" w:sz="0" w:space="0" w:color="auto"/>
            <w:left w:val="none" w:sz="0" w:space="0" w:color="auto"/>
            <w:bottom w:val="none" w:sz="0" w:space="0" w:color="auto"/>
            <w:right w:val="none" w:sz="0" w:space="0" w:color="auto"/>
          </w:divBdr>
        </w:div>
      </w:divsChild>
    </w:div>
    <w:div w:id="254483894">
      <w:bodyDiv w:val="1"/>
      <w:marLeft w:val="0"/>
      <w:marRight w:val="0"/>
      <w:marTop w:val="0"/>
      <w:marBottom w:val="0"/>
      <w:divBdr>
        <w:top w:val="none" w:sz="0" w:space="0" w:color="auto"/>
        <w:left w:val="none" w:sz="0" w:space="0" w:color="auto"/>
        <w:bottom w:val="none" w:sz="0" w:space="0" w:color="auto"/>
        <w:right w:val="none" w:sz="0" w:space="0" w:color="auto"/>
      </w:divBdr>
    </w:div>
    <w:div w:id="301815465">
      <w:bodyDiv w:val="1"/>
      <w:marLeft w:val="0"/>
      <w:marRight w:val="0"/>
      <w:marTop w:val="0"/>
      <w:marBottom w:val="0"/>
      <w:divBdr>
        <w:top w:val="none" w:sz="0" w:space="0" w:color="auto"/>
        <w:left w:val="none" w:sz="0" w:space="0" w:color="auto"/>
        <w:bottom w:val="none" w:sz="0" w:space="0" w:color="auto"/>
        <w:right w:val="none" w:sz="0" w:space="0" w:color="auto"/>
      </w:divBdr>
    </w:div>
    <w:div w:id="324019091">
      <w:bodyDiv w:val="1"/>
      <w:marLeft w:val="0"/>
      <w:marRight w:val="0"/>
      <w:marTop w:val="0"/>
      <w:marBottom w:val="0"/>
      <w:divBdr>
        <w:top w:val="none" w:sz="0" w:space="0" w:color="auto"/>
        <w:left w:val="none" w:sz="0" w:space="0" w:color="auto"/>
        <w:bottom w:val="none" w:sz="0" w:space="0" w:color="auto"/>
        <w:right w:val="none" w:sz="0" w:space="0" w:color="auto"/>
      </w:divBdr>
    </w:div>
    <w:div w:id="369719628">
      <w:bodyDiv w:val="1"/>
      <w:marLeft w:val="0"/>
      <w:marRight w:val="0"/>
      <w:marTop w:val="0"/>
      <w:marBottom w:val="0"/>
      <w:divBdr>
        <w:top w:val="none" w:sz="0" w:space="0" w:color="auto"/>
        <w:left w:val="none" w:sz="0" w:space="0" w:color="auto"/>
        <w:bottom w:val="none" w:sz="0" w:space="0" w:color="auto"/>
        <w:right w:val="none" w:sz="0" w:space="0" w:color="auto"/>
      </w:divBdr>
      <w:divsChild>
        <w:div w:id="31030794">
          <w:marLeft w:val="480"/>
          <w:marRight w:val="0"/>
          <w:marTop w:val="0"/>
          <w:marBottom w:val="0"/>
          <w:divBdr>
            <w:top w:val="none" w:sz="0" w:space="0" w:color="auto"/>
            <w:left w:val="none" w:sz="0" w:space="0" w:color="auto"/>
            <w:bottom w:val="none" w:sz="0" w:space="0" w:color="auto"/>
            <w:right w:val="none" w:sz="0" w:space="0" w:color="auto"/>
          </w:divBdr>
        </w:div>
        <w:div w:id="197134753">
          <w:marLeft w:val="480"/>
          <w:marRight w:val="0"/>
          <w:marTop w:val="0"/>
          <w:marBottom w:val="0"/>
          <w:divBdr>
            <w:top w:val="none" w:sz="0" w:space="0" w:color="auto"/>
            <w:left w:val="none" w:sz="0" w:space="0" w:color="auto"/>
            <w:bottom w:val="none" w:sz="0" w:space="0" w:color="auto"/>
            <w:right w:val="none" w:sz="0" w:space="0" w:color="auto"/>
          </w:divBdr>
        </w:div>
        <w:div w:id="242371990">
          <w:marLeft w:val="480"/>
          <w:marRight w:val="0"/>
          <w:marTop w:val="0"/>
          <w:marBottom w:val="0"/>
          <w:divBdr>
            <w:top w:val="none" w:sz="0" w:space="0" w:color="auto"/>
            <w:left w:val="none" w:sz="0" w:space="0" w:color="auto"/>
            <w:bottom w:val="none" w:sz="0" w:space="0" w:color="auto"/>
            <w:right w:val="none" w:sz="0" w:space="0" w:color="auto"/>
          </w:divBdr>
        </w:div>
        <w:div w:id="271205992">
          <w:marLeft w:val="480"/>
          <w:marRight w:val="0"/>
          <w:marTop w:val="0"/>
          <w:marBottom w:val="0"/>
          <w:divBdr>
            <w:top w:val="none" w:sz="0" w:space="0" w:color="auto"/>
            <w:left w:val="none" w:sz="0" w:space="0" w:color="auto"/>
            <w:bottom w:val="none" w:sz="0" w:space="0" w:color="auto"/>
            <w:right w:val="none" w:sz="0" w:space="0" w:color="auto"/>
          </w:divBdr>
        </w:div>
        <w:div w:id="360671014">
          <w:marLeft w:val="480"/>
          <w:marRight w:val="0"/>
          <w:marTop w:val="0"/>
          <w:marBottom w:val="0"/>
          <w:divBdr>
            <w:top w:val="none" w:sz="0" w:space="0" w:color="auto"/>
            <w:left w:val="none" w:sz="0" w:space="0" w:color="auto"/>
            <w:bottom w:val="none" w:sz="0" w:space="0" w:color="auto"/>
            <w:right w:val="none" w:sz="0" w:space="0" w:color="auto"/>
          </w:divBdr>
        </w:div>
        <w:div w:id="425467396">
          <w:marLeft w:val="480"/>
          <w:marRight w:val="0"/>
          <w:marTop w:val="0"/>
          <w:marBottom w:val="0"/>
          <w:divBdr>
            <w:top w:val="none" w:sz="0" w:space="0" w:color="auto"/>
            <w:left w:val="none" w:sz="0" w:space="0" w:color="auto"/>
            <w:bottom w:val="none" w:sz="0" w:space="0" w:color="auto"/>
            <w:right w:val="none" w:sz="0" w:space="0" w:color="auto"/>
          </w:divBdr>
        </w:div>
        <w:div w:id="436292913">
          <w:marLeft w:val="480"/>
          <w:marRight w:val="0"/>
          <w:marTop w:val="0"/>
          <w:marBottom w:val="0"/>
          <w:divBdr>
            <w:top w:val="none" w:sz="0" w:space="0" w:color="auto"/>
            <w:left w:val="none" w:sz="0" w:space="0" w:color="auto"/>
            <w:bottom w:val="none" w:sz="0" w:space="0" w:color="auto"/>
            <w:right w:val="none" w:sz="0" w:space="0" w:color="auto"/>
          </w:divBdr>
        </w:div>
        <w:div w:id="478108322">
          <w:marLeft w:val="480"/>
          <w:marRight w:val="0"/>
          <w:marTop w:val="0"/>
          <w:marBottom w:val="0"/>
          <w:divBdr>
            <w:top w:val="none" w:sz="0" w:space="0" w:color="auto"/>
            <w:left w:val="none" w:sz="0" w:space="0" w:color="auto"/>
            <w:bottom w:val="none" w:sz="0" w:space="0" w:color="auto"/>
            <w:right w:val="none" w:sz="0" w:space="0" w:color="auto"/>
          </w:divBdr>
        </w:div>
        <w:div w:id="520166576">
          <w:marLeft w:val="480"/>
          <w:marRight w:val="0"/>
          <w:marTop w:val="0"/>
          <w:marBottom w:val="0"/>
          <w:divBdr>
            <w:top w:val="none" w:sz="0" w:space="0" w:color="auto"/>
            <w:left w:val="none" w:sz="0" w:space="0" w:color="auto"/>
            <w:bottom w:val="none" w:sz="0" w:space="0" w:color="auto"/>
            <w:right w:val="none" w:sz="0" w:space="0" w:color="auto"/>
          </w:divBdr>
        </w:div>
        <w:div w:id="687222281">
          <w:marLeft w:val="480"/>
          <w:marRight w:val="0"/>
          <w:marTop w:val="0"/>
          <w:marBottom w:val="0"/>
          <w:divBdr>
            <w:top w:val="none" w:sz="0" w:space="0" w:color="auto"/>
            <w:left w:val="none" w:sz="0" w:space="0" w:color="auto"/>
            <w:bottom w:val="none" w:sz="0" w:space="0" w:color="auto"/>
            <w:right w:val="none" w:sz="0" w:space="0" w:color="auto"/>
          </w:divBdr>
        </w:div>
        <w:div w:id="1171681445">
          <w:marLeft w:val="480"/>
          <w:marRight w:val="0"/>
          <w:marTop w:val="0"/>
          <w:marBottom w:val="0"/>
          <w:divBdr>
            <w:top w:val="none" w:sz="0" w:space="0" w:color="auto"/>
            <w:left w:val="none" w:sz="0" w:space="0" w:color="auto"/>
            <w:bottom w:val="none" w:sz="0" w:space="0" w:color="auto"/>
            <w:right w:val="none" w:sz="0" w:space="0" w:color="auto"/>
          </w:divBdr>
        </w:div>
        <w:div w:id="1781679830">
          <w:marLeft w:val="480"/>
          <w:marRight w:val="0"/>
          <w:marTop w:val="0"/>
          <w:marBottom w:val="0"/>
          <w:divBdr>
            <w:top w:val="none" w:sz="0" w:space="0" w:color="auto"/>
            <w:left w:val="none" w:sz="0" w:space="0" w:color="auto"/>
            <w:bottom w:val="none" w:sz="0" w:space="0" w:color="auto"/>
            <w:right w:val="none" w:sz="0" w:space="0" w:color="auto"/>
          </w:divBdr>
        </w:div>
        <w:div w:id="1851288410">
          <w:marLeft w:val="480"/>
          <w:marRight w:val="0"/>
          <w:marTop w:val="0"/>
          <w:marBottom w:val="0"/>
          <w:divBdr>
            <w:top w:val="none" w:sz="0" w:space="0" w:color="auto"/>
            <w:left w:val="none" w:sz="0" w:space="0" w:color="auto"/>
            <w:bottom w:val="none" w:sz="0" w:space="0" w:color="auto"/>
            <w:right w:val="none" w:sz="0" w:space="0" w:color="auto"/>
          </w:divBdr>
        </w:div>
        <w:div w:id="2118088859">
          <w:marLeft w:val="480"/>
          <w:marRight w:val="0"/>
          <w:marTop w:val="0"/>
          <w:marBottom w:val="0"/>
          <w:divBdr>
            <w:top w:val="none" w:sz="0" w:space="0" w:color="auto"/>
            <w:left w:val="none" w:sz="0" w:space="0" w:color="auto"/>
            <w:bottom w:val="none" w:sz="0" w:space="0" w:color="auto"/>
            <w:right w:val="none" w:sz="0" w:space="0" w:color="auto"/>
          </w:divBdr>
        </w:div>
      </w:divsChild>
    </w:div>
    <w:div w:id="414716302">
      <w:bodyDiv w:val="1"/>
      <w:marLeft w:val="0"/>
      <w:marRight w:val="0"/>
      <w:marTop w:val="0"/>
      <w:marBottom w:val="0"/>
      <w:divBdr>
        <w:top w:val="none" w:sz="0" w:space="0" w:color="auto"/>
        <w:left w:val="none" w:sz="0" w:space="0" w:color="auto"/>
        <w:bottom w:val="none" w:sz="0" w:space="0" w:color="auto"/>
        <w:right w:val="none" w:sz="0" w:space="0" w:color="auto"/>
      </w:divBdr>
      <w:divsChild>
        <w:div w:id="302664170">
          <w:marLeft w:val="480"/>
          <w:marRight w:val="0"/>
          <w:marTop w:val="0"/>
          <w:marBottom w:val="0"/>
          <w:divBdr>
            <w:top w:val="none" w:sz="0" w:space="0" w:color="auto"/>
            <w:left w:val="none" w:sz="0" w:space="0" w:color="auto"/>
            <w:bottom w:val="none" w:sz="0" w:space="0" w:color="auto"/>
            <w:right w:val="none" w:sz="0" w:space="0" w:color="auto"/>
          </w:divBdr>
        </w:div>
        <w:div w:id="351223819">
          <w:marLeft w:val="480"/>
          <w:marRight w:val="0"/>
          <w:marTop w:val="0"/>
          <w:marBottom w:val="0"/>
          <w:divBdr>
            <w:top w:val="none" w:sz="0" w:space="0" w:color="auto"/>
            <w:left w:val="none" w:sz="0" w:space="0" w:color="auto"/>
            <w:bottom w:val="none" w:sz="0" w:space="0" w:color="auto"/>
            <w:right w:val="none" w:sz="0" w:space="0" w:color="auto"/>
          </w:divBdr>
        </w:div>
        <w:div w:id="620763051">
          <w:marLeft w:val="480"/>
          <w:marRight w:val="0"/>
          <w:marTop w:val="0"/>
          <w:marBottom w:val="0"/>
          <w:divBdr>
            <w:top w:val="none" w:sz="0" w:space="0" w:color="auto"/>
            <w:left w:val="none" w:sz="0" w:space="0" w:color="auto"/>
            <w:bottom w:val="none" w:sz="0" w:space="0" w:color="auto"/>
            <w:right w:val="none" w:sz="0" w:space="0" w:color="auto"/>
          </w:divBdr>
        </w:div>
        <w:div w:id="699814877">
          <w:marLeft w:val="480"/>
          <w:marRight w:val="0"/>
          <w:marTop w:val="0"/>
          <w:marBottom w:val="0"/>
          <w:divBdr>
            <w:top w:val="none" w:sz="0" w:space="0" w:color="auto"/>
            <w:left w:val="none" w:sz="0" w:space="0" w:color="auto"/>
            <w:bottom w:val="none" w:sz="0" w:space="0" w:color="auto"/>
            <w:right w:val="none" w:sz="0" w:space="0" w:color="auto"/>
          </w:divBdr>
        </w:div>
        <w:div w:id="864487544">
          <w:marLeft w:val="480"/>
          <w:marRight w:val="0"/>
          <w:marTop w:val="0"/>
          <w:marBottom w:val="0"/>
          <w:divBdr>
            <w:top w:val="none" w:sz="0" w:space="0" w:color="auto"/>
            <w:left w:val="none" w:sz="0" w:space="0" w:color="auto"/>
            <w:bottom w:val="none" w:sz="0" w:space="0" w:color="auto"/>
            <w:right w:val="none" w:sz="0" w:space="0" w:color="auto"/>
          </w:divBdr>
        </w:div>
        <w:div w:id="1097865337">
          <w:marLeft w:val="480"/>
          <w:marRight w:val="0"/>
          <w:marTop w:val="0"/>
          <w:marBottom w:val="0"/>
          <w:divBdr>
            <w:top w:val="none" w:sz="0" w:space="0" w:color="auto"/>
            <w:left w:val="none" w:sz="0" w:space="0" w:color="auto"/>
            <w:bottom w:val="none" w:sz="0" w:space="0" w:color="auto"/>
            <w:right w:val="none" w:sz="0" w:space="0" w:color="auto"/>
          </w:divBdr>
        </w:div>
        <w:div w:id="1139882412">
          <w:marLeft w:val="480"/>
          <w:marRight w:val="0"/>
          <w:marTop w:val="0"/>
          <w:marBottom w:val="0"/>
          <w:divBdr>
            <w:top w:val="none" w:sz="0" w:space="0" w:color="auto"/>
            <w:left w:val="none" w:sz="0" w:space="0" w:color="auto"/>
            <w:bottom w:val="none" w:sz="0" w:space="0" w:color="auto"/>
            <w:right w:val="none" w:sz="0" w:space="0" w:color="auto"/>
          </w:divBdr>
        </w:div>
        <w:div w:id="1741247819">
          <w:marLeft w:val="480"/>
          <w:marRight w:val="0"/>
          <w:marTop w:val="0"/>
          <w:marBottom w:val="0"/>
          <w:divBdr>
            <w:top w:val="none" w:sz="0" w:space="0" w:color="auto"/>
            <w:left w:val="none" w:sz="0" w:space="0" w:color="auto"/>
            <w:bottom w:val="none" w:sz="0" w:space="0" w:color="auto"/>
            <w:right w:val="none" w:sz="0" w:space="0" w:color="auto"/>
          </w:divBdr>
        </w:div>
        <w:div w:id="1742285898">
          <w:marLeft w:val="480"/>
          <w:marRight w:val="0"/>
          <w:marTop w:val="0"/>
          <w:marBottom w:val="0"/>
          <w:divBdr>
            <w:top w:val="none" w:sz="0" w:space="0" w:color="auto"/>
            <w:left w:val="none" w:sz="0" w:space="0" w:color="auto"/>
            <w:bottom w:val="none" w:sz="0" w:space="0" w:color="auto"/>
            <w:right w:val="none" w:sz="0" w:space="0" w:color="auto"/>
          </w:divBdr>
        </w:div>
        <w:div w:id="1868634373">
          <w:marLeft w:val="480"/>
          <w:marRight w:val="0"/>
          <w:marTop w:val="0"/>
          <w:marBottom w:val="0"/>
          <w:divBdr>
            <w:top w:val="none" w:sz="0" w:space="0" w:color="auto"/>
            <w:left w:val="none" w:sz="0" w:space="0" w:color="auto"/>
            <w:bottom w:val="none" w:sz="0" w:space="0" w:color="auto"/>
            <w:right w:val="none" w:sz="0" w:space="0" w:color="auto"/>
          </w:divBdr>
        </w:div>
        <w:div w:id="1872183828">
          <w:marLeft w:val="480"/>
          <w:marRight w:val="0"/>
          <w:marTop w:val="0"/>
          <w:marBottom w:val="0"/>
          <w:divBdr>
            <w:top w:val="none" w:sz="0" w:space="0" w:color="auto"/>
            <w:left w:val="none" w:sz="0" w:space="0" w:color="auto"/>
            <w:bottom w:val="none" w:sz="0" w:space="0" w:color="auto"/>
            <w:right w:val="none" w:sz="0" w:space="0" w:color="auto"/>
          </w:divBdr>
        </w:div>
        <w:div w:id="1957906363">
          <w:marLeft w:val="480"/>
          <w:marRight w:val="0"/>
          <w:marTop w:val="0"/>
          <w:marBottom w:val="0"/>
          <w:divBdr>
            <w:top w:val="none" w:sz="0" w:space="0" w:color="auto"/>
            <w:left w:val="none" w:sz="0" w:space="0" w:color="auto"/>
            <w:bottom w:val="none" w:sz="0" w:space="0" w:color="auto"/>
            <w:right w:val="none" w:sz="0" w:space="0" w:color="auto"/>
          </w:divBdr>
        </w:div>
        <w:div w:id="1998344215">
          <w:marLeft w:val="480"/>
          <w:marRight w:val="0"/>
          <w:marTop w:val="0"/>
          <w:marBottom w:val="0"/>
          <w:divBdr>
            <w:top w:val="none" w:sz="0" w:space="0" w:color="auto"/>
            <w:left w:val="none" w:sz="0" w:space="0" w:color="auto"/>
            <w:bottom w:val="none" w:sz="0" w:space="0" w:color="auto"/>
            <w:right w:val="none" w:sz="0" w:space="0" w:color="auto"/>
          </w:divBdr>
        </w:div>
        <w:div w:id="2017686195">
          <w:marLeft w:val="480"/>
          <w:marRight w:val="0"/>
          <w:marTop w:val="0"/>
          <w:marBottom w:val="0"/>
          <w:divBdr>
            <w:top w:val="none" w:sz="0" w:space="0" w:color="auto"/>
            <w:left w:val="none" w:sz="0" w:space="0" w:color="auto"/>
            <w:bottom w:val="none" w:sz="0" w:space="0" w:color="auto"/>
            <w:right w:val="none" w:sz="0" w:space="0" w:color="auto"/>
          </w:divBdr>
        </w:div>
        <w:div w:id="2028096619">
          <w:marLeft w:val="480"/>
          <w:marRight w:val="0"/>
          <w:marTop w:val="0"/>
          <w:marBottom w:val="0"/>
          <w:divBdr>
            <w:top w:val="none" w:sz="0" w:space="0" w:color="auto"/>
            <w:left w:val="none" w:sz="0" w:space="0" w:color="auto"/>
            <w:bottom w:val="none" w:sz="0" w:space="0" w:color="auto"/>
            <w:right w:val="none" w:sz="0" w:space="0" w:color="auto"/>
          </w:divBdr>
        </w:div>
      </w:divsChild>
    </w:div>
    <w:div w:id="435177130">
      <w:bodyDiv w:val="1"/>
      <w:marLeft w:val="0"/>
      <w:marRight w:val="0"/>
      <w:marTop w:val="0"/>
      <w:marBottom w:val="0"/>
      <w:divBdr>
        <w:top w:val="none" w:sz="0" w:space="0" w:color="auto"/>
        <w:left w:val="none" w:sz="0" w:space="0" w:color="auto"/>
        <w:bottom w:val="none" w:sz="0" w:space="0" w:color="auto"/>
        <w:right w:val="none" w:sz="0" w:space="0" w:color="auto"/>
      </w:divBdr>
    </w:div>
    <w:div w:id="500395822">
      <w:bodyDiv w:val="1"/>
      <w:marLeft w:val="0"/>
      <w:marRight w:val="0"/>
      <w:marTop w:val="0"/>
      <w:marBottom w:val="0"/>
      <w:divBdr>
        <w:top w:val="none" w:sz="0" w:space="0" w:color="auto"/>
        <w:left w:val="none" w:sz="0" w:space="0" w:color="auto"/>
        <w:bottom w:val="none" w:sz="0" w:space="0" w:color="auto"/>
        <w:right w:val="none" w:sz="0" w:space="0" w:color="auto"/>
      </w:divBdr>
    </w:div>
    <w:div w:id="502624097">
      <w:bodyDiv w:val="1"/>
      <w:marLeft w:val="0"/>
      <w:marRight w:val="0"/>
      <w:marTop w:val="0"/>
      <w:marBottom w:val="0"/>
      <w:divBdr>
        <w:top w:val="none" w:sz="0" w:space="0" w:color="auto"/>
        <w:left w:val="none" w:sz="0" w:space="0" w:color="auto"/>
        <w:bottom w:val="none" w:sz="0" w:space="0" w:color="auto"/>
        <w:right w:val="none" w:sz="0" w:space="0" w:color="auto"/>
      </w:divBdr>
      <w:divsChild>
        <w:div w:id="118187690">
          <w:marLeft w:val="480"/>
          <w:marRight w:val="0"/>
          <w:marTop w:val="0"/>
          <w:marBottom w:val="0"/>
          <w:divBdr>
            <w:top w:val="none" w:sz="0" w:space="0" w:color="auto"/>
            <w:left w:val="none" w:sz="0" w:space="0" w:color="auto"/>
            <w:bottom w:val="none" w:sz="0" w:space="0" w:color="auto"/>
            <w:right w:val="none" w:sz="0" w:space="0" w:color="auto"/>
          </w:divBdr>
        </w:div>
        <w:div w:id="1022124488">
          <w:marLeft w:val="480"/>
          <w:marRight w:val="0"/>
          <w:marTop w:val="0"/>
          <w:marBottom w:val="0"/>
          <w:divBdr>
            <w:top w:val="none" w:sz="0" w:space="0" w:color="auto"/>
            <w:left w:val="none" w:sz="0" w:space="0" w:color="auto"/>
            <w:bottom w:val="none" w:sz="0" w:space="0" w:color="auto"/>
            <w:right w:val="none" w:sz="0" w:space="0" w:color="auto"/>
          </w:divBdr>
        </w:div>
        <w:div w:id="1292663759">
          <w:marLeft w:val="480"/>
          <w:marRight w:val="0"/>
          <w:marTop w:val="0"/>
          <w:marBottom w:val="0"/>
          <w:divBdr>
            <w:top w:val="none" w:sz="0" w:space="0" w:color="auto"/>
            <w:left w:val="none" w:sz="0" w:space="0" w:color="auto"/>
            <w:bottom w:val="none" w:sz="0" w:space="0" w:color="auto"/>
            <w:right w:val="none" w:sz="0" w:space="0" w:color="auto"/>
          </w:divBdr>
        </w:div>
        <w:div w:id="1498686572">
          <w:marLeft w:val="480"/>
          <w:marRight w:val="0"/>
          <w:marTop w:val="0"/>
          <w:marBottom w:val="0"/>
          <w:divBdr>
            <w:top w:val="none" w:sz="0" w:space="0" w:color="auto"/>
            <w:left w:val="none" w:sz="0" w:space="0" w:color="auto"/>
            <w:bottom w:val="none" w:sz="0" w:space="0" w:color="auto"/>
            <w:right w:val="none" w:sz="0" w:space="0" w:color="auto"/>
          </w:divBdr>
        </w:div>
        <w:div w:id="1309435422">
          <w:marLeft w:val="480"/>
          <w:marRight w:val="0"/>
          <w:marTop w:val="0"/>
          <w:marBottom w:val="0"/>
          <w:divBdr>
            <w:top w:val="none" w:sz="0" w:space="0" w:color="auto"/>
            <w:left w:val="none" w:sz="0" w:space="0" w:color="auto"/>
            <w:bottom w:val="none" w:sz="0" w:space="0" w:color="auto"/>
            <w:right w:val="none" w:sz="0" w:space="0" w:color="auto"/>
          </w:divBdr>
        </w:div>
        <w:div w:id="585917863">
          <w:marLeft w:val="480"/>
          <w:marRight w:val="0"/>
          <w:marTop w:val="0"/>
          <w:marBottom w:val="0"/>
          <w:divBdr>
            <w:top w:val="none" w:sz="0" w:space="0" w:color="auto"/>
            <w:left w:val="none" w:sz="0" w:space="0" w:color="auto"/>
            <w:bottom w:val="none" w:sz="0" w:space="0" w:color="auto"/>
            <w:right w:val="none" w:sz="0" w:space="0" w:color="auto"/>
          </w:divBdr>
        </w:div>
        <w:div w:id="1384522382">
          <w:marLeft w:val="480"/>
          <w:marRight w:val="0"/>
          <w:marTop w:val="0"/>
          <w:marBottom w:val="0"/>
          <w:divBdr>
            <w:top w:val="none" w:sz="0" w:space="0" w:color="auto"/>
            <w:left w:val="none" w:sz="0" w:space="0" w:color="auto"/>
            <w:bottom w:val="none" w:sz="0" w:space="0" w:color="auto"/>
            <w:right w:val="none" w:sz="0" w:space="0" w:color="auto"/>
          </w:divBdr>
        </w:div>
        <w:div w:id="824854160">
          <w:marLeft w:val="480"/>
          <w:marRight w:val="0"/>
          <w:marTop w:val="0"/>
          <w:marBottom w:val="0"/>
          <w:divBdr>
            <w:top w:val="none" w:sz="0" w:space="0" w:color="auto"/>
            <w:left w:val="none" w:sz="0" w:space="0" w:color="auto"/>
            <w:bottom w:val="none" w:sz="0" w:space="0" w:color="auto"/>
            <w:right w:val="none" w:sz="0" w:space="0" w:color="auto"/>
          </w:divBdr>
        </w:div>
        <w:div w:id="730619123">
          <w:marLeft w:val="480"/>
          <w:marRight w:val="0"/>
          <w:marTop w:val="0"/>
          <w:marBottom w:val="0"/>
          <w:divBdr>
            <w:top w:val="none" w:sz="0" w:space="0" w:color="auto"/>
            <w:left w:val="none" w:sz="0" w:space="0" w:color="auto"/>
            <w:bottom w:val="none" w:sz="0" w:space="0" w:color="auto"/>
            <w:right w:val="none" w:sz="0" w:space="0" w:color="auto"/>
          </w:divBdr>
        </w:div>
        <w:div w:id="1803115579">
          <w:marLeft w:val="480"/>
          <w:marRight w:val="0"/>
          <w:marTop w:val="0"/>
          <w:marBottom w:val="0"/>
          <w:divBdr>
            <w:top w:val="none" w:sz="0" w:space="0" w:color="auto"/>
            <w:left w:val="none" w:sz="0" w:space="0" w:color="auto"/>
            <w:bottom w:val="none" w:sz="0" w:space="0" w:color="auto"/>
            <w:right w:val="none" w:sz="0" w:space="0" w:color="auto"/>
          </w:divBdr>
        </w:div>
        <w:div w:id="1498568411">
          <w:marLeft w:val="480"/>
          <w:marRight w:val="0"/>
          <w:marTop w:val="0"/>
          <w:marBottom w:val="0"/>
          <w:divBdr>
            <w:top w:val="none" w:sz="0" w:space="0" w:color="auto"/>
            <w:left w:val="none" w:sz="0" w:space="0" w:color="auto"/>
            <w:bottom w:val="none" w:sz="0" w:space="0" w:color="auto"/>
            <w:right w:val="none" w:sz="0" w:space="0" w:color="auto"/>
          </w:divBdr>
        </w:div>
        <w:div w:id="1083722434">
          <w:marLeft w:val="480"/>
          <w:marRight w:val="0"/>
          <w:marTop w:val="0"/>
          <w:marBottom w:val="0"/>
          <w:divBdr>
            <w:top w:val="none" w:sz="0" w:space="0" w:color="auto"/>
            <w:left w:val="none" w:sz="0" w:space="0" w:color="auto"/>
            <w:bottom w:val="none" w:sz="0" w:space="0" w:color="auto"/>
            <w:right w:val="none" w:sz="0" w:space="0" w:color="auto"/>
          </w:divBdr>
        </w:div>
        <w:div w:id="350374111">
          <w:marLeft w:val="480"/>
          <w:marRight w:val="0"/>
          <w:marTop w:val="0"/>
          <w:marBottom w:val="0"/>
          <w:divBdr>
            <w:top w:val="none" w:sz="0" w:space="0" w:color="auto"/>
            <w:left w:val="none" w:sz="0" w:space="0" w:color="auto"/>
            <w:bottom w:val="none" w:sz="0" w:space="0" w:color="auto"/>
            <w:right w:val="none" w:sz="0" w:space="0" w:color="auto"/>
          </w:divBdr>
        </w:div>
        <w:div w:id="609358673">
          <w:marLeft w:val="480"/>
          <w:marRight w:val="0"/>
          <w:marTop w:val="0"/>
          <w:marBottom w:val="0"/>
          <w:divBdr>
            <w:top w:val="none" w:sz="0" w:space="0" w:color="auto"/>
            <w:left w:val="none" w:sz="0" w:space="0" w:color="auto"/>
            <w:bottom w:val="none" w:sz="0" w:space="0" w:color="auto"/>
            <w:right w:val="none" w:sz="0" w:space="0" w:color="auto"/>
          </w:divBdr>
        </w:div>
      </w:divsChild>
    </w:div>
    <w:div w:id="510876033">
      <w:bodyDiv w:val="1"/>
      <w:marLeft w:val="0"/>
      <w:marRight w:val="0"/>
      <w:marTop w:val="0"/>
      <w:marBottom w:val="0"/>
      <w:divBdr>
        <w:top w:val="none" w:sz="0" w:space="0" w:color="auto"/>
        <w:left w:val="none" w:sz="0" w:space="0" w:color="auto"/>
        <w:bottom w:val="none" w:sz="0" w:space="0" w:color="auto"/>
        <w:right w:val="none" w:sz="0" w:space="0" w:color="auto"/>
      </w:divBdr>
    </w:div>
    <w:div w:id="561260044">
      <w:bodyDiv w:val="1"/>
      <w:marLeft w:val="0"/>
      <w:marRight w:val="0"/>
      <w:marTop w:val="0"/>
      <w:marBottom w:val="0"/>
      <w:divBdr>
        <w:top w:val="none" w:sz="0" w:space="0" w:color="auto"/>
        <w:left w:val="none" w:sz="0" w:space="0" w:color="auto"/>
        <w:bottom w:val="none" w:sz="0" w:space="0" w:color="auto"/>
        <w:right w:val="none" w:sz="0" w:space="0" w:color="auto"/>
      </w:divBdr>
    </w:div>
    <w:div w:id="573008187">
      <w:bodyDiv w:val="1"/>
      <w:marLeft w:val="0"/>
      <w:marRight w:val="0"/>
      <w:marTop w:val="0"/>
      <w:marBottom w:val="0"/>
      <w:divBdr>
        <w:top w:val="none" w:sz="0" w:space="0" w:color="auto"/>
        <w:left w:val="none" w:sz="0" w:space="0" w:color="auto"/>
        <w:bottom w:val="none" w:sz="0" w:space="0" w:color="auto"/>
        <w:right w:val="none" w:sz="0" w:space="0" w:color="auto"/>
      </w:divBdr>
    </w:div>
    <w:div w:id="622615208">
      <w:bodyDiv w:val="1"/>
      <w:marLeft w:val="0"/>
      <w:marRight w:val="0"/>
      <w:marTop w:val="0"/>
      <w:marBottom w:val="0"/>
      <w:divBdr>
        <w:top w:val="none" w:sz="0" w:space="0" w:color="auto"/>
        <w:left w:val="none" w:sz="0" w:space="0" w:color="auto"/>
        <w:bottom w:val="none" w:sz="0" w:space="0" w:color="auto"/>
        <w:right w:val="none" w:sz="0" w:space="0" w:color="auto"/>
      </w:divBdr>
      <w:divsChild>
        <w:div w:id="36399527">
          <w:marLeft w:val="480"/>
          <w:marRight w:val="0"/>
          <w:marTop w:val="0"/>
          <w:marBottom w:val="0"/>
          <w:divBdr>
            <w:top w:val="none" w:sz="0" w:space="0" w:color="auto"/>
            <w:left w:val="none" w:sz="0" w:space="0" w:color="auto"/>
            <w:bottom w:val="none" w:sz="0" w:space="0" w:color="auto"/>
            <w:right w:val="none" w:sz="0" w:space="0" w:color="auto"/>
          </w:divBdr>
        </w:div>
        <w:div w:id="62027080">
          <w:marLeft w:val="480"/>
          <w:marRight w:val="0"/>
          <w:marTop w:val="0"/>
          <w:marBottom w:val="0"/>
          <w:divBdr>
            <w:top w:val="none" w:sz="0" w:space="0" w:color="auto"/>
            <w:left w:val="none" w:sz="0" w:space="0" w:color="auto"/>
            <w:bottom w:val="none" w:sz="0" w:space="0" w:color="auto"/>
            <w:right w:val="none" w:sz="0" w:space="0" w:color="auto"/>
          </w:divBdr>
        </w:div>
        <w:div w:id="605967949">
          <w:marLeft w:val="480"/>
          <w:marRight w:val="0"/>
          <w:marTop w:val="0"/>
          <w:marBottom w:val="0"/>
          <w:divBdr>
            <w:top w:val="none" w:sz="0" w:space="0" w:color="auto"/>
            <w:left w:val="none" w:sz="0" w:space="0" w:color="auto"/>
            <w:bottom w:val="none" w:sz="0" w:space="0" w:color="auto"/>
            <w:right w:val="none" w:sz="0" w:space="0" w:color="auto"/>
          </w:divBdr>
        </w:div>
        <w:div w:id="608660315">
          <w:marLeft w:val="480"/>
          <w:marRight w:val="0"/>
          <w:marTop w:val="0"/>
          <w:marBottom w:val="0"/>
          <w:divBdr>
            <w:top w:val="none" w:sz="0" w:space="0" w:color="auto"/>
            <w:left w:val="none" w:sz="0" w:space="0" w:color="auto"/>
            <w:bottom w:val="none" w:sz="0" w:space="0" w:color="auto"/>
            <w:right w:val="none" w:sz="0" w:space="0" w:color="auto"/>
          </w:divBdr>
        </w:div>
        <w:div w:id="763571496">
          <w:marLeft w:val="480"/>
          <w:marRight w:val="0"/>
          <w:marTop w:val="0"/>
          <w:marBottom w:val="0"/>
          <w:divBdr>
            <w:top w:val="none" w:sz="0" w:space="0" w:color="auto"/>
            <w:left w:val="none" w:sz="0" w:space="0" w:color="auto"/>
            <w:bottom w:val="none" w:sz="0" w:space="0" w:color="auto"/>
            <w:right w:val="none" w:sz="0" w:space="0" w:color="auto"/>
          </w:divBdr>
        </w:div>
        <w:div w:id="790168065">
          <w:marLeft w:val="480"/>
          <w:marRight w:val="0"/>
          <w:marTop w:val="0"/>
          <w:marBottom w:val="0"/>
          <w:divBdr>
            <w:top w:val="none" w:sz="0" w:space="0" w:color="auto"/>
            <w:left w:val="none" w:sz="0" w:space="0" w:color="auto"/>
            <w:bottom w:val="none" w:sz="0" w:space="0" w:color="auto"/>
            <w:right w:val="none" w:sz="0" w:space="0" w:color="auto"/>
          </w:divBdr>
        </w:div>
        <w:div w:id="1538809510">
          <w:marLeft w:val="480"/>
          <w:marRight w:val="0"/>
          <w:marTop w:val="0"/>
          <w:marBottom w:val="0"/>
          <w:divBdr>
            <w:top w:val="none" w:sz="0" w:space="0" w:color="auto"/>
            <w:left w:val="none" w:sz="0" w:space="0" w:color="auto"/>
            <w:bottom w:val="none" w:sz="0" w:space="0" w:color="auto"/>
            <w:right w:val="none" w:sz="0" w:space="0" w:color="auto"/>
          </w:divBdr>
        </w:div>
        <w:div w:id="1565414792">
          <w:marLeft w:val="480"/>
          <w:marRight w:val="0"/>
          <w:marTop w:val="0"/>
          <w:marBottom w:val="0"/>
          <w:divBdr>
            <w:top w:val="none" w:sz="0" w:space="0" w:color="auto"/>
            <w:left w:val="none" w:sz="0" w:space="0" w:color="auto"/>
            <w:bottom w:val="none" w:sz="0" w:space="0" w:color="auto"/>
            <w:right w:val="none" w:sz="0" w:space="0" w:color="auto"/>
          </w:divBdr>
        </w:div>
        <w:div w:id="1572543640">
          <w:marLeft w:val="480"/>
          <w:marRight w:val="0"/>
          <w:marTop w:val="0"/>
          <w:marBottom w:val="0"/>
          <w:divBdr>
            <w:top w:val="none" w:sz="0" w:space="0" w:color="auto"/>
            <w:left w:val="none" w:sz="0" w:space="0" w:color="auto"/>
            <w:bottom w:val="none" w:sz="0" w:space="0" w:color="auto"/>
            <w:right w:val="none" w:sz="0" w:space="0" w:color="auto"/>
          </w:divBdr>
        </w:div>
        <w:div w:id="1827503499">
          <w:marLeft w:val="480"/>
          <w:marRight w:val="0"/>
          <w:marTop w:val="0"/>
          <w:marBottom w:val="0"/>
          <w:divBdr>
            <w:top w:val="none" w:sz="0" w:space="0" w:color="auto"/>
            <w:left w:val="none" w:sz="0" w:space="0" w:color="auto"/>
            <w:bottom w:val="none" w:sz="0" w:space="0" w:color="auto"/>
            <w:right w:val="none" w:sz="0" w:space="0" w:color="auto"/>
          </w:divBdr>
        </w:div>
        <w:div w:id="1827865926">
          <w:marLeft w:val="480"/>
          <w:marRight w:val="0"/>
          <w:marTop w:val="0"/>
          <w:marBottom w:val="0"/>
          <w:divBdr>
            <w:top w:val="none" w:sz="0" w:space="0" w:color="auto"/>
            <w:left w:val="none" w:sz="0" w:space="0" w:color="auto"/>
            <w:bottom w:val="none" w:sz="0" w:space="0" w:color="auto"/>
            <w:right w:val="none" w:sz="0" w:space="0" w:color="auto"/>
          </w:divBdr>
        </w:div>
        <w:div w:id="1856579794">
          <w:marLeft w:val="480"/>
          <w:marRight w:val="0"/>
          <w:marTop w:val="0"/>
          <w:marBottom w:val="0"/>
          <w:divBdr>
            <w:top w:val="none" w:sz="0" w:space="0" w:color="auto"/>
            <w:left w:val="none" w:sz="0" w:space="0" w:color="auto"/>
            <w:bottom w:val="none" w:sz="0" w:space="0" w:color="auto"/>
            <w:right w:val="none" w:sz="0" w:space="0" w:color="auto"/>
          </w:divBdr>
        </w:div>
        <w:div w:id="1941060759">
          <w:marLeft w:val="480"/>
          <w:marRight w:val="0"/>
          <w:marTop w:val="0"/>
          <w:marBottom w:val="0"/>
          <w:divBdr>
            <w:top w:val="none" w:sz="0" w:space="0" w:color="auto"/>
            <w:left w:val="none" w:sz="0" w:space="0" w:color="auto"/>
            <w:bottom w:val="none" w:sz="0" w:space="0" w:color="auto"/>
            <w:right w:val="none" w:sz="0" w:space="0" w:color="auto"/>
          </w:divBdr>
        </w:div>
        <w:div w:id="1959993681">
          <w:marLeft w:val="480"/>
          <w:marRight w:val="0"/>
          <w:marTop w:val="0"/>
          <w:marBottom w:val="0"/>
          <w:divBdr>
            <w:top w:val="none" w:sz="0" w:space="0" w:color="auto"/>
            <w:left w:val="none" w:sz="0" w:space="0" w:color="auto"/>
            <w:bottom w:val="none" w:sz="0" w:space="0" w:color="auto"/>
            <w:right w:val="none" w:sz="0" w:space="0" w:color="auto"/>
          </w:divBdr>
        </w:div>
      </w:divsChild>
    </w:div>
    <w:div w:id="667367942">
      <w:bodyDiv w:val="1"/>
      <w:marLeft w:val="0"/>
      <w:marRight w:val="0"/>
      <w:marTop w:val="0"/>
      <w:marBottom w:val="0"/>
      <w:divBdr>
        <w:top w:val="none" w:sz="0" w:space="0" w:color="auto"/>
        <w:left w:val="none" w:sz="0" w:space="0" w:color="auto"/>
        <w:bottom w:val="none" w:sz="0" w:space="0" w:color="auto"/>
        <w:right w:val="none" w:sz="0" w:space="0" w:color="auto"/>
      </w:divBdr>
    </w:div>
    <w:div w:id="677465193">
      <w:bodyDiv w:val="1"/>
      <w:marLeft w:val="0"/>
      <w:marRight w:val="0"/>
      <w:marTop w:val="0"/>
      <w:marBottom w:val="0"/>
      <w:divBdr>
        <w:top w:val="none" w:sz="0" w:space="0" w:color="auto"/>
        <w:left w:val="none" w:sz="0" w:space="0" w:color="auto"/>
        <w:bottom w:val="none" w:sz="0" w:space="0" w:color="auto"/>
        <w:right w:val="none" w:sz="0" w:space="0" w:color="auto"/>
      </w:divBdr>
    </w:div>
    <w:div w:id="687830559">
      <w:bodyDiv w:val="1"/>
      <w:marLeft w:val="0"/>
      <w:marRight w:val="0"/>
      <w:marTop w:val="0"/>
      <w:marBottom w:val="0"/>
      <w:divBdr>
        <w:top w:val="none" w:sz="0" w:space="0" w:color="auto"/>
        <w:left w:val="none" w:sz="0" w:space="0" w:color="auto"/>
        <w:bottom w:val="none" w:sz="0" w:space="0" w:color="auto"/>
        <w:right w:val="none" w:sz="0" w:space="0" w:color="auto"/>
      </w:divBdr>
    </w:div>
    <w:div w:id="705103378">
      <w:bodyDiv w:val="1"/>
      <w:marLeft w:val="0"/>
      <w:marRight w:val="0"/>
      <w:marTop w:val="0"/>
      <w:marBottom w:val="0"/>
      <w:divBdr>
        <w:top w:val="none" w:sz="0" w:space="0" w:color="auto"/>
        <w:left w:val="none" w:sz="0" w:space="0" w:color="auto"/>
        <w:bottom w:val="none" w:sz="0" w:space="0" w:color="auto"/>
        <w:right w:val="none" w:sz="0" w:space="0" w:color="auto"/>
      </w:divBdr>
    </w:div>
    <w:div w:id="717751770">
      <w:bodyDiv w:val="1"/>
      <w:marLeft w:val="0"/>
      <w:marRight w:val="0"/>
      <w:marTop w:val="0"/>
      <w:marBottom w:val="0"/>
      <w:divBdr>
        <w:top w:val="none" w:sz="0" w:space="0" w:color="auto"/>
        <w:left w:val="none" w:sz="0" w:space="0" w:color="auto"/>
        <w:bottom w:val="none" w:sz="0" w:space="0" w:color="auto"/>
        <w:right w:val="none" w:sz="0" w:space="0" w:color="auto"/>
      </w:divBdr>
      <w:divsChild>
        <w:div w:id="68309113">
          <w:marLeft w:val="480"/>
          <w:marRight w:val="0"/>
          <w:marTop w:val="0"/>
          <w:marBottom w:val="0"/>
          <w:divBdr>
            <w:top w:val="none" w:sz="0" w:space="0" w:color="auto"/>
            <w:left w:val="none" w:sz="0" w:space="0" w:color="auto"/>
            <w:bottom w:val="none" w:sz="0" w:space="0" w:color="auto"/>
            <w:right w:val="none" w:sz="0" w:space="0" w:color="auto"/>
          </w:divBdr>
        </w:div>
        <w:div w:id="115492807">
          <w:marLeft w:val="480"/>
          <w:marRight w:val="0"/>
          <w:marTop w:val="0"/>
          <w:marBottom w:val="0"/>
          <w:divBdr>
            <w:top w:val="none" w:sz="0" w:space="0" w:color="auto"/>
            <w:left w:val="none" w:sz="0" w:space="0" w:color="auto"/>
            <w:bottom w:val="none" w:sz="0" w:space="0" w:color="auto"/>
            <w:right w:val="none" w:sz="0" w:space="0" w:color="auto"/>
          </w:divBdr>
        </w:div>
        <w:div w:id="202905120">
          <w:marLeft w:val="480"/>
          <w:marRight w:val="0"/>
          <w:marTop w:val="0"/>
          <w:marBottom w:val="0"/>
          <w:divBdr>
            <w:top w:val="none" w:sz="0" w:space="0" w:color="auto"/>
            <w:left w:val="none" w:sz="0" w:space="0" w:color="auto"/>
            <w:bottom w:val="none" w:sz="0" w:space="0" w:color="auto"/>
            <w:right w:val="none" w:sz="0" w:space="0" w:color="auto"/>
          </w:divBdr>
        </w:div>
        <w:div w:id="246496665">
          <w:marLeft w:val="480"/>
          <w:marRight w:val="0"/>
          <w:marTop w:val="0"/>
          <w:marBottom w:val="0"/>
          <w:divBdr>
            <w:top w:val="none" w:sz="0" w:space="0" w:color="auto"/>
            <w:left w:val="none" w:sz="0" w:space="0" w:color="auto"/>
            <w:bottom w:val="none" w:sz="0" w:space="0" w:color="auto"/>
            <w:right w:val="none" w:sz="0" w:space="0" w:color="auto"/>
          </w:divBdr>
        </w:div>
        <w:div w:id="595599863">
          <w:marLeft w:val="480"/>
          <w:marRight w:val="0"/>
          <w:marTop w:val="0"/>
          <w:marBottom w:val="0"/>
          <w:divBdr>
            <w:top w:val="none" w:sz="0" w:space="0" w:color="auto"/>
            <w:left w:val="none" w:sz="0" w:space="0" w:color="auto"/>
            <w:bottom w:val="none" w:sz="0" w:space="0" w:color="auto"/>
            <w:right w:val="none" w:sz="0" w:space="0" w:color="auto"/>
          </w:divBdr>
        </w:div>
        <w:div w:id="747268070">
          <w:marLeft w:val="480"/>
          <w:marRight w:val="0"/>
          <w:marTop w:val="0"/>
          <w:marBottom w:val="0"/>
          <w:divBdr>
            <w:top w:val="none" w:sz="0" w:space="0" w:color="auto"/>
            <w:left w:val="none" w:sz="0" w:space="0" w:color="auto"/>
            <w:bottom w:val="none" w:sz="0" w:space="0" w:color="auto"/>
            <w:right w:val="none" w:sz="0" w:space="0" w:color="auto"/>
          </w:divBdr>
        </w:div>
        <w:div w:id="909776778">
          <w:marLeft w:val="480"/>
          <w:marRight w:val="0"/>
          <w:marTop w:val="0"/>
          <w:marBottom w:val="0"/>
          <w:divBdr>
            <w:top w:val="none" w:sz="0" w:space="0" w:color="auto"/>
            <w:left w:val="none" w:sz="0" w:space="0" w:color="auto"/>
            <w:bottom w:val="none" w:sz="0" w:space="0" w:color="auto"/>
            <w:right w:val="none" w:sz="0" w:space="0" w:color="auto"/>
          </w:divBdr>
        </w:div>
        <w:div w:id="1085031878">
          <w:marLeft w:val="480"/>
          <w:marRight w:val="0"/>
          <w:marTop w:val="0"/>
          <w:marBottom w:val="0"/>
          <w:divBdr>
            <w:top w:val="none" w:sz="0" w:space="0" w:color="auto"/>
            <w:left w:val="none" w:sz="0" w:space="0" w:color="auto"/>
            <w:bottom w:val="none" w:sz="0" w:space="0" w:color="auto"/>
            <w:right w:val="none" w:sz="0" w:space="0" w:color="auto"/>
          </w:divBdr>
        </w:div>
        <w:div w:id="1315111139">
          <w:marLeft w:val="480"/>
          <w:marRight w:val="0"/>
          <w:marTop w:val="0"/>
          <w:marBottom w:val="0"/>
          <w:divBdr>
            <w:top w:val="none" w:sz="0" w:space="0" w:color="auto"/>
            <w:left w:val="none" w:sz="0" w:space="0" w:color="auto"/>
            <w:bottom w:val="none" w:sz="0" w:space="0" w:color="auto"/>
            <w:right w:val="none" w:sz="0" w:space="0" w:color="auto"/>
          </w:divBdr>
        </w:div>
        <w:div w:id="1412003782">
          <w:marLeft w:val="480"/>
          <w:marRight w:val="0"/>
          <w:marTop w:val="0"/>
          <w:marBottom w:val="0"/>
          <w:divBdr>
            <w:top w:val="none" w:sz="0" w:space="0" w:color="auto"/>
            <w:left w:val="none" w:sz="0" w:space="0" w:color="auto"/>
            <w:bottom w:val="none" w:sz="0" w:space="0" w:color="auto"/>
            <w:right w:val="none" w:sz="0" w:space="0" w:color="auto"/>
          </w:divBdr>
        </w:div>
        <w:div w:id="1599100412">
          <w:marLeft w:val="480"/>
          <w:marRight w:val="0"/>
          <w:marTop w:val="0"/>
          <w:marBottom w:val="0"/>
          <w:divBdr>
            <w:top w:val="none" w:sz="0" w:space="0" w:color="auto"/>
            <w:left w:val="none" w:sz="0" w:space="0" w:color="auto"/>
            <w:bottom w:val="none" w:sz="0" w:space="0" w:color="auto"/>
            <w:right w:val="none" w:sz="0" w:space="0" w:color="auto"/>
          </w:divBdr>
        </w:div>
        <w:div w:id="1939674989">
          <w:marLeft w:val="480"/>
          <w:marRight w:val="0"/>
          <w:marTop w:val="0"/>
          <w:marBottom w:val="0"/>
          <w:divBdr>
            <w:top w:val="none" w:sz="0" w:space="0" w:color="auto"/>
            <w:left w:val="none" w:sz="0" w:space="0" w:color="auto"/>
            <w:bottom w:val="none" w:sz="0" w:space="0" w:color="auto"/>
            <w:right w:val="none" w:sz="0" w:space="0" w:color="auto"/>
          </w:divBdr>
        </w:div>
        <w:div w:id="2094472684">
          <w:marLeft w:val="480"/>
          <w:marRight w:val="0"/>
          <w:marTop w:val="0"/>
          <w:marBottom w:val="0"/>
          <w:divBdr>
            <w:top w:val="none" w:sz="0" w:space="0" w:color="auto"/>
            <w:left w:val="none" w:sz="0" w:space="0" w:color="auto"/>
            <w:bottom w:val="none" w:sz="0" w:space="0" w:color="auto"/>
            <w:right w:val="none" w:sz="0" w:space="0" w:color="auto"/>
          </w:divBdr>
        </w:div>
      </w:divsChild>
    </w:div>
    <w:div w:id="750085346">
      <w:bodyDiv w:val="1"/>
      <w:marLeft w:val="0"/>
      <w:marRight w:val="0"/>
      <w:marTop w:val="0"/>
      <w:marBottom w:val="0"/>
      <w:divBdr>
        <w:top w:val="none" w:sz="0" w:space="0" w:color="auto"/>
        <w:left w:val="none" w:sz="0" w:space="0" w:color="auto"/>
        <w:bottom w:val="none" w:sz="0" w:space="0" w:color="auto"/>
        <w:right w:val="none" w:sz="0" w:space="0" w:color="auto"/>
      </w:divBdr>
    </w:div>
    <w:div w:id="76041762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64246">
      <w:bodyDiv w:val="1"/>
      <w:marLeft w:val="0"/>
      <w:marRight w:val="0"/>
      <w:marTop w:val="0"/>
      <w:marBottom w:val="0"/>
      <w:divBdr>
        <w:top w:val="none" w:sz="0" w:space="0" w:color="auto"/>
        <w:left w:val="none" w:sz="0" w:space="0" w:color="auto"/>
        <w:bottom w:val="none" w:sz="0" w:space="0" w:color="auto"/>
        <w:right w:val="none" w:sz="0" w:space="0" w:color="auto"/>
      </w:divBdr>
      <w:divsChild>
        <w:div w:id="327297045">
          <w:marLeft w:val="480"/>
          <w:marRight w:val="0"/>
          <w:marTop w:val="0"/>
          <w:marBottom w:val="0"/>
          <w:divBdr>
            <w:top w:val="none" w:sz="0" w:space="0" w:color="auto"/>
            <w:left w:val="none" w:sz="0" w:space="0" w:color="auto"/>
            <w:bottom w:val="none" w:sz="0" w:space="0" w:color="auto"/>
            <w:right w:val="none" w:sz="0" w:space="0" w:color="auto"/>
          </w:divBdr>
        </w:div>
        <w:div w:id="417019966">
          <w:marLeft w:val="480"/>
          <w:marRight w:val="0"/>
          <w:marTop w:val="0"/>
          <w:marBottom w:val="0"/>
          <w:divBdr>
            <w:top w:val="none" w:sz="0" w:space="0" w:color="auto"/>
            <w:left w:val="none" w:sz="0" w:space="0" w:color="auto"/>
            <w:bottom w:val="none" w:sz="0" w:space="0" w:color="auto"/>
            <w:right w:val="none" w:sz="0" w:space="0" w:color="auto"/>
          </w:divBdr>
        </w:div>
        <w:div w:id="435298522">
          <w:marLeft w:val="480"/>
          <w:marRight w:val="0"/>
          <w:marTop w:val="0"/>
          <w:marBottom w:val="0"/>
          <w:divBdr>
            <w:top w:val="none" w:sz="0" w:space="0" w:color="auto"/>
            <w:left w:val="none" w:sz="0" w:space="0" w:color="auto"/>
            <w:bottom w:val="none" w:sz="0" w:space="0" w:color="auto"/>
            <w:right w:val="none" w:sz="0" w:space="0" w:color="auto"/>
          </w:divBdr>
        </w:div>
        <w:div w:id="521937219">
          <w:marLeft w:val="480"/>
          <w:marRight w:val="0"/>
          <w:marTop w:val="0"/>
          <w:marBottom w:val="0"/>
          <w:divBdr>
            <w:top w:val="none" w:sz="0" w:space="0" w:color="auto"/>
            <w:left w:val="none" w:sz="0" w:space="0" w:color="auto"/>
            <w:bottom w:val="none" w:sz="0" w:space="0" w:color="auto"/>
            <w:right w:val="none" w:sz="0" w:space="0" w:color="auto"/>
          </w:divBdr>
        </w:div>
        <w:div w:id="704327557">
          <w:marLeft w:val="480"/>
          <w:marRight w:val="0"/>
          <w:marTop w:val="0"/>
          <w:marBottom w:val="0"/>
          <w:divBdr>
            <w:top w:val="none" w:sz="0" w:space="0" w:color="auto"/>
            <w:left w:val="none" w:sz="0" w:space="0" w:color="auto"/>
            <w:bottom w:val="none" w:sz="0" w:space="0" w:color="auto"/>
            <w:right w:val="none" w:sz="0" w:space="0" w:color="auto"/>
          </w:divBdr>
        </w:div>
        <w:div w:id="807362535">
          <w:marLeft w:val="480"/>
          <w:marRight w:val="0"/>
          <w:marTop w:val="0"/>
          <w:marBottom w:val="0"/>
          <w:divBdr>
            <w:top w:val="none" w:sz="0" w:space="0" w:color="auto"/>
            <w:left w:val="none" w:sz="0" w:space="0" w:color="auto"/>
            <w:bottom w:val="none" w:sz="0" w:space="0" w:color="auto"/>
            <w:right w:val="none" w:sz="0" w:space="0" w:color="auto"/>
          </w:divBdr>
        </w:div>
        <w:div w:id="877160251">
          <w:marLeft w:val="480"/>
          <w:marRight w:val="0"/>
          <w:marTop w:val="0"/>
          <w:marBottom w:val="0"/>
          <w:divBdr>
            <w:top w:val="none" w:sz="0" w:space="0" w:color="auto"/>
            <w:left w:val="none" w:sz="0" w:space="0" w:color="auto"/>
            <w:bottom w:val="none" w:sz="0" w:space="0" w:color="auto"/>
            <w:right w:val="none" w:sz="0" w:space="0" w:color="auto"/>
          </w:divBdr>
        </w:div>
        <w:div w:id="884214000">
          <w:marLeft w:val="480"/>
          <w:marRight w:val="0"/>
          <w:marTop w:val="0"/>
          <w:marBottom w:val="0"/>
          <w:divBdr>
            <w:top w:val="none" w:sz="0" w:space="0" w:color="auto"/>
            <w:left w:val="none" w:sz="0" w:space="0" w:color="auto"/>
            <w:bottom w:val="none" w:sz="0" w:space="0" w:color="auto"/>
            <w:right w:val="none" w:sz="0" w:space="0" w:color="auto"/>
          </w:divBdr>
        </w:div>
        <w:div w:id="1442071141">
          <w:marLeft w:val="480"/>
          <w:marRight w:val="0"/>
          <w:marTop w:val="0"/>
          <w:marBottom w:val="0"/>
          <w:divBdr>
            <w:top w:val="none" w:sz="0" w:space="0" w:color="auto"/>
            <w:left w:val="none" w:sz="0" w:space="0" w:color="auto"/>
            <w:bottom w:val="none" w:sz="0" w:space="0" w:color="auto"/>
            <w:right w:val="none" w:sz="0" w:space="0" w:color="auto"/>
          </w:divBdr>
        </w:div>
        <w:div w:id="1478497322">
          <w:marLeft w:val="480"/>
          <w:marRight w:val="0"/>
          <w:marTop w:val="0"/>
          <w:marBottom w:val="0"/>
          <w:divBdr>
            <w:top w:val="none" w:sz="0" w:space="0" w:color="auto"/>
            <w:left w:val="none" w:sz="0" w:space="0" w:color="auto"/>
            <w:bottom w:val="none" w:sz="0" w:space="0" w:color="auto"/>
            <w:right w:val="none" w:sz="0" w:space="0" w:color="auto"/>
          </w:divBdr>
        </w:div>
        <w:div w:id="1578783801">
          <w:marLeft w:val="480"/>
          <w:marRight w:val="0"/>
          <w:marTop w:val="0"/>
          <w:marBottom w:val="0"/>
          <w:divBdr>
            <w:top w:val="none" w:sz="0" w:space="0" w:color="auto"/>
            <w:left w:val="none" w:sz="0" w:space="0" w:color="auto"/>
            <w:bottom w:val="none" w:sz="0" w:space="0" w:color="auto"/>
            <w:right w:val="none" w:sz="0" w:space="0" w:color="auto"/>
          </w:divBdr>
        </w:div>
        <w:div w:id="1633365890">
          <w:marLeft w:val="480"/>
          <w:marRight w:val="0"/>
          <w:marTop w:val="0"/>
          <w:marBottom w:val="0"/>
          <w:divBdr>
            <w:top w:val="none" w:sz="0" w:space="0" w:color="auto"/>
            <w:left w:val="none" w:sz="0" w:space="0" w:color="auto"/>
            <w:bottom w:val="none" w:sz="0" w:space="0" w:color="auto"/>
            <w:right w:val="none" w:sz="0" w:space="0" w:color="auto"/>
          </w:divBdr>
        </w:div>
        <w:div w:id="2064406016">
          <w:marLeft w:val="480"/>
          <w:marRight w:val="0"/>
          <w:marTop w:val="0"/>
          <w:marBottom w:val="0"/>
          <w:divBdr>
            <w:top w:val="none" w:sz="0" w:space="0" w:color="auto"/>
            <w:left w:val="none" w:sz="0" w:space="0" w:color="auto"/>
            <w:bottom w:val="none" w:sz="0" w:space="0" w:color="auto"/>
            <w:right w:val="none" w:sz="0" w:space="0" w:color="auto"/>
          </w:divBdr>
        </w:div>
      </w:divsChild>
    </w:div>
    <w:div w:id="878203813">
      <w:bodyDiv w:val="1"/>
      <w:marLeft w:val="0"/>
      <w:marRight w:val="0"/>
      <w:marTop w:val="0"/>
      <w:marBottom w:val="0"/>
      <w:divBdr>
        <w:top w:val="none" w:sz="0" w:space="0" w:color="auto"/>
        <w:left w:val="none" w:sz="0" w:space="0" w:color="auto"/>
        <w:bottom w:val="none" w:sz="0" w:space="0" w:color="auto"/>
        <w:right w:val="none" w:sz="0" w:space="0" w:color="auto"/>
      </w:divBdr>
    </w:div>
    <w:div w:id="879901527">
      <w:bodyDiv w:val="1"/>
      <w:marLeft w:val="0"/>
      <w:marRight w:val="0"/>
      <w:marTop w:val="0"/>
      <w:marBottom w:val="0"/>
      <w:divBdr>
        <w:top w:val="none" w:sz="0" w:space="0" w:color="auto"/>
        <w:left w:val="none" w:sz="0" w:space="0" w:color="auto"/>
        <w:bottom w:val="none" w:sz="0" w:space="0" w:color="auto"/>
        <w:right w:val="none" w:sz="0" w:space="0" w:color="auto"/>
      </w:divBdr>
      <w:divsChild>
        <w:div w:id="99883215">
          <w:marLeft w:val="480"/>
          <w:marRight w:val="0"/>
          <w:marTop w:val="0"/>
          <w:marBottom w:val="0"/>
          <w:divBdr>
            <w:top w:val="none" w:sz="0" w:space="0" w:color="auto"/>
            <w:left w:val="none" w:sz="0" w:space="0" w:color="auto"/>
            <w:bottom w:val="none" w:sz="0" w:space="0" w:color="auto"/>
            <w:right w:val="none" w:sz="0" w:space="0" w:color="auto"/>
          </w:divBdr>
        </w:div>
        <w:div w:id="173500416">
          <w:marLeft w:val="480"/>
          <w:marRight w:val="0"/>
          <w:marTop w:val="0"/>
          <w:marBottom w:val="0"/>
          <w:divBdr>
            <w:top w:val="none" w:sz="0" w:space="0" w:color="auto"/>
            <w:left w:val="none" w:sz="0" w:space="0" w:color="auto"/>
            <w:bottom w:val="none" w:sz="0" w:space="0" w:color="auto"/>
            <w:right w:val="none" w:sz="0" w:space="0" w:color="auto"/>
          </w:divBdr>
        </w:div>
        <w:div w:id="440228462">
          <w:marLeft w:val="480"/>
          <w:marRight w:val="0"/>
          <w:marTop w:val="0"/>
          <w:marBottom w:val="0"/>
          <w:divBdr>
            <w:top w:val="none" w:sz="0" w:space="0" w:color="auto"/>
            <w:left w:val="none" w:sz="0" w:space="0" w:color="auto"/>
            <w:bottom w:val="none" w:sz="0" w:space="0" w:color="auto"/>
            <w:right w:val="none" w:sz="0" w:space="0" w:color="auto"/>
          </w:divBdr>
        </w:div>
        <w:div w:id="775372606">
          <w:marLeft w:val="480"/>
          <w:marRight w:val="0"/>
          <w:marTop w:val="0"/>
          <w:marBottom w:val="0"/>
          <w:divBdr>
            <w:top w:val="none" w:sz="0" w:space="0" w:color="auto"/>
            <w:left w:val="none" w:sz="0" w:space="0" w:color="auto"/>
            <w:bottom w:val="none" w:sz="0" w:space="0" w:color="auto"/>
            <w:right w:val="none" w:sz="0" w:space="0" w:color="auto"/>
          </w:divBdr>
        </w:div>
        <w:div w:id="784082772">
          <w:marLeft w:val="480"/>
          <w:marRight w:val="0"/>
          <w:marTop w:val="0"/>
          <w:marBottom w:val="0"/>
          <w:divBdr>
            <w:top w:val="none" w:sz="0" w:space="0" w:color="auto"/>
            <w:left w:val="none" w:sz="0" w:space="0" w:color="auto"/>
            <w:bottom w:val="none" w:sz="0" w:space="0" w:color="auto"/>
            <w:right w:val="none" w:sz="0" w:space="0" w:color="auto"/>
          </w:divBdr>
        </w:div>
        <w:div w:id="1068188504">
          <w:marLeft w:val="480"/>
          <w:marRight w:val="0"/>
          <w:marTop w:val="0"/>
          <w:marBottom w:val="0"/>
          <w:divBdr>
            <w:top w:val="none" w:sz="0" w:space="0" w:color="auto"/>
            <w:left w:val="none" w:sz="0" w:space="0" w:color="auto"/>
            <w:bottom w:val="none" w:sz="0" w:space="0" w:color="auto"/>
            <w:right w:val="none" w:sz="0" w:space="0" w:color="auto"/>
          </w:divBdr>
        </w:div>
        <w:div w:id="1140728281">
          <w:marLeft w:val="480"/>
          <w:marRight w:val="0"/>
          <w:marTop w:val="0"/>
          <w:marBottom w:val="0"/>
          <w:divBdr>
            <w:top w:val="none" w:sz="0" w:space="0" w:color="auto"/>
            <w:left w:val="none" w:sz="0" w:space="0" w:color="auto"/>
            <w:bottom w:val="none" w:sz="0" w:space="0" w:color="auto"/>
            <w:right w:val="none" w:sz="0" w:space="0" w:color="auto"/>
          </w:divBdr>
        </w:div>
        <w:div w:id="1372681167">
          <w:marLeft w:val="480"/>
          <w:marRight w:val="0"/>
          <w:marTop w:val="0"/>
          <w:marBottom w:val="0"/>
          <w:divBdr>
            <w:top w:val="none" w:sz="0" w:space="0" w:color="auto"/>
            <w:left w:val="none" w:sz="0" w:space="0" w:color="auto"/>
            <w:bottom w:val="none" w:sz="0" w:space="0" w:color="auto"/>
            <w:right w:val="none" w:sz="0" w:space="0" w:color="auto"/>
          </w:divBdr>
        </w:div>
        <w:div w:id="1385442521">
          <w:marLeft w:val="480"/>
          <w:marRight w:val="0"/>
          <w:marTop w:val="0"/>
          <w:marBottom w:val="0"/>
          <w:divBdr>
            <w:top w:val="none" w:sz="0" w:space="0" w:color="auto"/>
            <w:left w:val="none" w:sz="0" w:space="0" w:color="auto"/>
            <w:bottom w:val="none" w:sz="0" w:space="0" w:color="auto"/>
            <w:right w:val="none" w:sz="0" w:space="0" w:color="auto"/>
          </w:divBdr>
        </w:div>
        <w:div w:id="1415591083">
          <w:marLeft w:val="480"/>
          <w:marRight w:val="0"/>
          <w:marTop w:val="0"/>
          <w:marBottom w:val="0"/>
          <w:divBdr>
            <w:top w:val="none" w:sz="0" w:space="0" w:color="auto"/>
            <w:left w:val="none" w:sz="0" w:space="0" w:color="auto"/>
            <w:bottom w:val="none" w:sz="0" w:space="0" w:color="auto"/>
            <w:right w:val="none" w:sz="0" w:space="0" w:color="auto"/>
          </w:divBdr>
        </w:div>
        <w:div w:id="1551335216">
          <w:marLeft w:val="480"/>
          <w:marRight w:val="0"/>
          <w:marTop w:val="0"/>
          <w:marBottom w:val="0"/>
          <w:divBdr>
            <w:top w:val="none" w:sz="0" w:space="0" w:color="auto"/>
            <w:left w:val="none" w:sz="0" w:space="0" w:color="auto"/>
            <w:bottom w:val="none" w:sz="0" w:space="0" w:color="auto"/>
            <w:right w:val="none" w:sz="0" w:space="0" w:color="auto"/>
          </w:divBdr>
        </w:div>
        <w:div w:id="1798985796">
          <w:marLeft w:val="480"/>
          <w:marRight w:val="0"/>
          <w:marTop w:val="0"/>
          <w:marBottom w:val="0"/>
          <w:divBdr>
            <w:top w:val="none" w:sz="0" w:space="0" w:color="auto"/>
            <w:left w:val="none" w:sz="0" w:space="0" w:color="auto"/>
            <w:bottom w:val="none" w:sz="0" w:space="0" w:color="auto"/>
            <w:right w:val="none" w:sz="0" w:space="0" w:color="auto"/>
          </w:divBdr>
        </w:div>
        <w:div w:id="2049646489">
          <w:marLeft w:val="480"/>
          <w:marRight w:val="0"/>
          <w:marTop w:val="0"/>
          <w:marBottom w:val="0"/>
          <w:divBdr>
            <w:top w:val="none" w:sz="0" w:space="0" w:color="auto"/>
            <w:left w:val="none" w:sz="0" w:space="0" w:color="auto"/>
            <w:bottom w:val="none" w:sz="0" w:space="0" w:color="auto"/>
            <w:right w:val="none" w:sz="0" w:space="0" w:color="auto"/>
          </w:divBdr>
        </w:div>
        <w:div w:id="2101024879">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8653">
      <w:bodyDiv w:val="1"/>
      <w:marLeft w:val="0"/>
      <w:marRight w:val="0"/>
      <w:marTop w:val="0"/>
      <w:marBottom w:val="0"/>
      <w:divBdr>
        <w:top w:val="none" w:sz="0" w:space="0" w:color="auto"/>
        <w:left w:val="none" w:sz="0" w:space="0" w:color="auto"/>
        <w:bottom w:val="none" w:sz="0" w:space="0" w:color="auto"/>
        <w:right w:val="none" w:sz="0" w:space="0" w:color="auto"/>
      </w:divBdr>
    </w:div>
    <w:div w:id="1036079514">
      <w:bodyDiv w:val="1"/>
      <w:marLeft w:val="0"/>
      <w:marRight w:val="0"/>
      <w:marTop w:val="0"/>
      <w:marBottom w:val="0"/>
      <w:divBdr>
        <w:top w:val="none" w:sz="0" w:space="0" w:color="auto"/>
        <w:left w:val="none" w:sz="0" w:space="0" w:color="auto"/>
        <w:bottom w:val="none" w:sz="0" w:space="0" w:color="auto"/>
        <w:right w:val="none" w:sz="0" w:space="0" w:color="auto"/>
      </w:divBdr>
    </w:div>
    <w:div w:id="1248345315">
      <w:bodyDiv w:val="1"/>
      <w:marLeft w:val="0"/>
      <w:marRight w:val="0"/>
      <w:marTop w:val="0"/>
      <w:marBottom w:val="0"/>
      <w:divBdr>
        <w:top w:val="none" w:sz="0" w:space="0" w:color="auto"/>
        <w:left w:val="none" w:sz="0" w:space="0" w:color="auto"/>
        <w:bottom w:val="none" w:sz="0" w:space="0" w:color="auto"/>
        <w:right w:val="none" w:sz="0" w:space="0" w:color="auto"/>
      </w:divBdr>
    </w:div>
    <w:div w:id="1394619807">
      <w:bodyDiv w:val="1"/>
      <w:marLeft w:val="0"/>
      <w:marRight w:val="0"/>
      <w:marTop w:val="0"/>
      <w:marBottom w:val="0"/>
      <w:divBdr>
        <w:top w:val="none" w:sz="0" w:space="0" w:color="auto"/>
        <w:left w:val="none" w:sz="0" w:space="0" w:color="auto"/>
        <w:bottom w:val="none" w:sz="0" w:space="0" w:color="auto"/>
        <w:right w:val="none" w:sz="0" w:space="0" w:color="auto"/>
      </w:divBdr>
    </w:div>
    <w:div w:id="1407416775">
      <w:bodyDiv w:val="1"/>
      <w:marLeft w:val="0"/>
      <w:marRight w:val="0"/>
      <w:marTop w:val="0"/>
      <w:marBottom w:val="0"/>
      <w:divBdr>
        <w:top w:val="none" w:sz="0" w:space="0" w:color="auto"/>
        <w:left w:val="none" w:sz="0" w:space="0" w:color="auto"/>
        <w:bottom w:val="none" w:sz="0" w:space="0" w:color="auto"/>
        <w:right w:val="none" w:sz="0" w:space="0" w:color="auto"/>
      </w:divBdr>
      <w:divsChild>
        <w:div w:id="48388067">
          <w:marLeft w:val="480"/>
          <w:marRight w:val="0"/>
          <w:marTop w:val="0"/>
          <w:marBottom w:val="0"/>
          <w:divBdr>
            <w:top w:val="none" w:sz="0" w:space="0" w:color="auto"/>
            <w:left w:val="none" w:sz="0" w:space="0" w:color="auto"/>
            <w:bottom w:val="none" w:sz="0" w:space="0" w:color="auto"/>
            <w:right w:val="none" w:sz="0" w:space="0" w:color="auto"/>
          </w:divBdr>
        </w:div>
      </w:divsChild>
    </w:div>
    <w:div w:id="142267461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5026390">
      <w:bodyDiv w:val="1"/>
      <w:marLeft w:val="0"/>
      <w:marRight w:val="0"/>
      <w:marTop w:val="0"/>
      <w:marBottom w:val="0"/>
      <w:divBdr>
        <w:top w:val="none" w:sz="0" w:space="0" w:color="auto"/>
        <w:left w:val="none" w:sz="0" w:space="0" w:color="auto"/>
        <w:bottom w:val="none" w:sz="0" w:space="0" w:color="auto"/>
        <w:right w:val="none" w:sz="0" w:space="0" w:color="auto"/>
      </w:divBdr>
    </w:div>
    <w:div w:id="148827887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009420">
      <w:bodyDiv w:val="1"/>
      <w:marLeft w:val="0"/>
      <w:marRight w:val="0"/>
      <w:marTop w:val="0"/>
      <w:marBottom w:val="0"/>
      <w:divBdr>
        <w:top w:val="none" w:sz="0" w:space="0" w:color="auto"/>
        <w:left w:val="none" w:sz="0" w:space="0" w:color="auto"/>
        <w:bottom w:val="none" w:sz="0" w:space="0" w:color="auto"/>
        <w:right w:val="none" w:sz="0" w:space="0" w:color="auto"/>
      </w:divBdr>
    </w:div>
    <w:div w:id="1602490918">
      <w:bodyDiv w:val="1"/>
      <w:marLeft w:val="0"/>
      <w:marRight w:val="0"/>
      <w:marTop w:val="0"/>
      <w:marBottom w:val="0"/>
      <w:divBdr>
        <w:top w:val="none" w:sz="0" w:space="0" w:color="auto"/>
        <w:left w:val="none" w:sz="0" w:space="0" w:color="auto"/>
        <w:bottom w:val="none" w:sz="0" w:space="0" w:color="auto"/>
        <w:right w:val="none" w:sz="0" w:space="0" w:color="auto"/>
      </w:divBdr>
    </w:div>
    <w:div w:id="1630477073">
      <w:bodyDiv w:val="1"/>
      <w:marLeft w:val="0"/>
      <w:marRight w:val="0"/>
      <w:marTop w:val="0"/>
      <w:marBottom w:val="0"/>
      <w:divBdr>
        <w:top w:val="none" w:sz="0" w:space="0" w:color="auto"/>
        <w:left w:val="none" w:sz="0" w:space="0" w:color="auto"/>
        <w:bottom w:val="none" w:sz="0" w:space="0" w:color="auto"/>
        <w:right w:val="none" w:sz="0" w:space="0" w:color="auto"/>
      </w:divBdr>
    </w:div>
    <w:div w:id="166304153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8222">
      <w:bodyDiv w:val="1"/>
      <w:marLeft w:val="0"/>
      <w:marRight w:val="0"/>
      <w:marTop w:val="0"/>
      <w:marBottom w:val="0"/>
      <w:divBdr>
        <w:top w:val="none" w:sz="0" w:space="0" w:color="auto"/>
        <w:left w:val="none" w:sz="0" w:space="0" w:color="auto"/>
        <w:bottom w:val="none" w:sz="0" w:space="0" w:color="auto"/>
        <w:right w:val="none" w:sz="0" w:space="0" w:color="auto"/>
      </w:divBdr>
    </w:div>
    <w:div w:id="1831754973">
      <w:bodyDiv w:val="1"/>
      <w:marLeft w:val="0"/>
      <w:marRight w:val="0"/>
      <w:marTop w:val="0"/>
      <w:marBottom w:val="0"/>
      <w:divBdr>
        <w:top w:val="none" w:sz="0" w:space="0" w:color="auto"/>
        <w:left w:val="none" w:sz="0" w:space="0" w:color="auto"/>
        <w:bottom w:val="none" w:sz="0" w:space="0" w:color="auto"/>
        <w:right w:val="none" w:sz="0" w:space="0" w:color="auto"/>
      </w:divBdr>
    </w:div>
    <w:div w:id="1895004298">
      <w:bodyDiv w:val="1"/>
      <w:marLeft w:val="0"/>
      <w:marRight w:val="0"/>
      <w:marTop w:val="0"/>
      <w:marBottom w:val="0"/>
      <w:divBdr>
        <w:top w:val="none" w:sz="0" w:space="0" w:color="auto"/>
        <w:left w:val="none" w:sz="0" w:space="0" w:color="auto"/>
        <w:bottom w:val="none" w:sz="0" w:space="0" w:color="auto"/>
        <w:right w:val="none" w:sz="0" w:space="0" w:color="auto"/>
      </w:divBdr>
    </w:div>
    <w:div w:id="1958367670">
      <w:bodyDiv w:val="1"/>
      <w:marLeft w:val="0"/>
      <w:marRight w:val="0"/>
      <w:marTop w:val="0"/>
      <w:marBottom w:val="0"/>
      <w:divBdr>
        <w:top w:val="none" w:sz="0" w:space="0" w:color="auto"/>
        <w:left w:val="none" w:sz="0" w:space="0" w:color="auto"/>
        <w:bottom w:val="none" w:sz="0" w:space="0" w:color="auto"/>
        <w:right w:val="none" w:sz="0" w:space="0" w:color="auto"/>
      </w:divBdr>
      <w:divsChild>
        <w:div w:id="87697550">
          <w:marLeft w:val="480"/>
          <w:marRight w:val="0"/>
          <w:marTop w:val="0"/>
          <w:marBottom w:val="0"/>
          <w:divBdr>
            <w:top w:val="none" w:sz="0" w:space="0" w:color="auto"/>
            <w:left w:val="none" w:sz="0" w:space="0" w:color="auto"/>
            <w:bottom w:val="none" w:sz="0" w:space="0" w:color="auto"/>
            <w:right w:val="none" w:sz="0" w:space="0" w:color="auto"/>
          </w:divBdr>
        </w:div>
        <w:div w:id="421494092">
          <w:marLeft w:val="480"/>
          <w:marRight w:val="0"/>
          <w:marTop w:val="0"/>
          <w:marBottom w:val="0"/>
          <w:divBdr>
            <w:top w:val="none" w:sz="0" w:space="0" w:color="auto"/>
            <w:left w:val="none" w:sz="0" w:space="0" w:color="auto"/>
            <w:bottom w:val="none" w:sz="0" w:space="0" w:color="auto"/>
            <w:right w:val="none" w:sz="0" w:space="0" w:color="auto"/>
          </w:divBdr>
        </w:div>
        <w:div w:id="464157646">
          <w:marLeft w:val="480"/>
          <w:marRight w:val="0"/>
          <w:marTop w:val="0"/>
          <w:marBottom w:val="0"/>
          <w:divBdr>
            <w:top w:val="none" w:sz="0" w:space="0" w:color="auto"/>
            <w:left w:val="none" w:sz="0" w:space="0" w:color="auto"/>
            <w:bottom w:val="none" w:sz="0" w:space="0" w:color="auto"/>
            <w:right w:val="none" w:sz="0" w:space="0" w:color="auto"/>
          </w:divBdr>
        </w:div>
        <w:div w:id="575408192">
          <w:marLeft w:val="480"/>
          <w:marRight w:val="0"/>
          <w:marTop w:val="0"/>
          <w:marBottom w:val="0"/>
          <w:divBdr>
            <w:top w:val="none" w:sz="0" w:space="0" w:color="auto"/>
            <w:left w:val="none" w:sz="0" w:space="0" w:color="auto"/>
            <w:bottom w:val="none" w:sz="0" w:space="0" w:color="auto"/>
            <w:right w:val="none" w:sz="0" w:space="0" w:color="auto"/>
          </w:divBdr>
        </w:div>
        <w:div w:id="789476367">
          <w:marLeft w:val="480"/>
          <w:marRight w:val="0"/>
          <w:marTop w:val="0"/>
          <w:marBottom w:val="0"/>
          <w:divBdr>
            <w:top w:val="none" w:sz="0" w:space="0" w:color="auto"/>
            <w:left w:val="none" w:sz="0" w:space="0" w:color="auto"/>
            <w:bottom w:val="none" w:sz="0" w:space="0" w:color="auto"/>
            <w:right w:val="none" w:sz="0" w:space="0" w:color="auto"/>
          </w:divBdr>
        </w:div>
        <w:div w:id="1252854492">
          <w:marLeft w:val="480"/>
          <w:marRight w:val="0"/>
          <w:marTop w:val="0"/>
          <w:marBottom w:val="0"/>
          <w:divBdr>
            <w:top w:val="none" w:sz="0" w:space="0" w:color="auto"/>
            <w:left w:val="none" w:sz="0" w:space="0" w:color="auto"/>
            <w:bottom w:val="none" w:sz="0" w:space="0" w:color="auto"/>
            <w:right w:val="none" w:sz="0" w:space="0" w:color="auto"/>
          </w:divBdr>
        </w:div>
        <w:div w:id="1435438172">
          <w:marLeft w:val="480"/>
          <w:marRight w:val="0"/>
          <w:marTop w:val="0"/>
          <w:marBottom w:val="0"/>
          <w:divBdr>
            <w:top w:val="none" w:sz="0" w:space="0" w:color="auto"/>
            <w:left w:val="none" w:sz="0" w:space="0" w:color="auto"/>
            <w:bottom w:val="none" w:sz="0" w:space="0" w:color="auto"/>
            <w:right w:val="none" w:sz="0" w:space="0" w:color="auto"/>
          </w:divBdr>
        </w:div>
        <w:div w:id="1552300412">
          <w:marLeft w:val="480"/>
          <w:marRight w:val="0"/>
          <w:marTop w:val="0"/>
          <w:marBottom w:val="0"/>
          <w:divBdr>
            <w:top w:val="none" w:sz="0" w:space="0" w:color="auto"/>
            <w:left w:val="none" w:sz="0" w:space="0" w:color="auto"/>
            <w:bottom w:val="none" w:sz="0" w:space="0" w:color="auto"/>
            <w:right w:val="none" w:sz="0" w:space="0" w:color="auto"/>
          </w:divBdr>
        </w:div>
        <w:div w:id="1580141898">
          <w:marLeft w:val="480"/>
          <w:marRight w:val="0"/>
          <w:marTop w:val="0"/>
          <w:marBottom w:val="0"/>
          <w:divBdr>
            <w:top w:val="none" w:sz="0" w:space="0" w:color="auto"/>
            <w:left w:val="none" w:sz="0" w:space="0" w:color="auto"/>
            <w:bottom w:val="none" w:sz="0" w:space="0" w:color="auto"/>
            <w:right w:val="none" w:sz="0" w:space="0" w:color="auto"/>
          </w:divBdr>
        </w:div>
        <w:div w:id="1834294326">
          <w:marLeft w:val="480"/>
          <w:marRight w:val="0"/>
          <w:marTop w:val="0"/>
          <w:marBottom w:val="0"/>
          <w:divBdr>
            <w:top w:val="none" w:sz="0" w:space="0" w:color="auto"/>
            <w:left w:val="none" w:sz="0" w:space="0" w:color="auto"/>
            <w:bottom w:val="none" w:sz="0" w:space="0" w:color="auto"/>
            <w:right w:val="none" w:sz="0" w:space="0" w:color="auto"/>
          </w:divBdr>
        </w:div>
        <w:div w:id="2003271342">
          <w:marLeft w:val="480"/>
          <w:marRight w:val="0"/>
          <w:marTop w:val="0"/>
          <w:marBottom w:val="0"/>
          <w:divBdr>
            <w:top w:val="none" w:sz="0" w:space="0" w:color="auto"/>
            <w:left w:val="none" w:sz="0" w:space="0" w:color="auto"/>
            <w:bottom w:val="none" w:sz="0" w:space="0" w:color="auto"/>
            <w:right w:val="none" w:sz="0" w:space="0" w:color="auto"/>
          </w:divBdr>
        </w:div>
        <w:div w:id="2119333035">
          <w:marLeft w:val="480"/>
          <w:marRight w:val="0"/>
          <w:marTop w:val="0"/>
          <w:marBottom w:val="0"/>
          <w:divBdr>
            <w:top w:val="none" w:sz="0" w:space="0" w:color="auto"/>
            <w:left w:val="none" w:sz="0" w:space="0" w:color="auto"/>
            <w:bottom w:val="none" w:sz="0" w:space="0" w:color="auto"/>
            <w:right w:val="none" w:sz="0" w:space="0" w:color="auto"/>
          </w:divBdr>
        </w:div>
        <w:div w:id="2129395771">
          <w:marLeft w:val="480"/>
          <w:marRight w:val="0"/>
          <w:marTop w:val="0"/>
          <w:marBottom w:val="0"/>
          <w:divBdr>
            <w:top w:val="none" w:sz="0" w:space="0" w:color="auto"/>
            <w:left w:val="none" w:sz="0" w:space="0" w:color="auto"/>
            <w:bottom w:val="none" w:sz="0" w:space="0" w:color="auto"/>
            <w:right w:val="none" w:sz="0" w:space="0" w:color="auto"/>
          </w:divBdr>
        </w:div>
      </w:divsChild>
    </w:div>
    <w:div w:id="1985499821">
      <w:bodyDiv w:val="1"/>
      <w:marLeft w:val="0"/>
      <w:marRight w:val="0"/>
      <w:marTop w:val="0"/>
      <w:marBottom w:val="0"/>
      <w:divBdr>
        <w:top w:val="none" w:sz="0" w:space="0" w:color="auto"/>
        <w:left w:val="none" w:sz="0" w:space="0" w:color="auto"/>
        <w:bottom w:val="none" w:sz="0" w:space="0" w:color="auto"/>
        <w:right w:val="none" w:sz="0" w:space="0" w:color="auto"/>
      </w:divBdr>
    </w:div>
    <w:div w:id="1988899118">
      <w:bodyDiv w:val="1"/>
      <w:marLeft w:val="0"/>
      <w:marRight w:val="0"/>
      <w:marTop w:val="0"/>
      <w:marBottom w:val="0"/>
      <w:divBdr>
        <w:top w:val="none" w:sz="0" w:space="0" w:color="auto"/>
        <w:left w:val="none" w:sz="0" w:space="0" w:color="auto"/>
        <w:bottom w:val="none" w:sz="0" w:space="0" w:color="auto"/>
        <w:right w:val="none" w:sz="0" w:space="0" w:color="auto"/>
      </w:divBdr>
    </w:div>
    <w:div w:id="2112774948">
      <w:bodyDiv w:val="1"/>
      <w:marLeft w:val="0"/>
      <w:marRight w:val="0"/>
      <w:marTop w:val="0"/>
      <w:marBottom w:val="0"/>
      <w:divBdr>
        <w:top w:val="none" w:sz="0" w:space="0" w:color="auto"/>
        <w:left w:val="none" w:sz="0" w:space="0" w:color="auto"/>
        <w:bottom w:val="none" w:sz="0" w:space="0" w:color="auto"/>
        <w:right w:val="none" w:sz="0" w:space="0" w:color="auto"/>
      </w:divBdr>
      <w:divsChild>
        <w:div w:id="475028693">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A4FA2F2-CEEC-41B0-A9E8-2F281B91BC0C}"/>
      </w:docPartPr>
      <w:docPartBody>
        <w:p w:rsidR="00632151" w:rsidRDefault="00EF26AE">
          <w:r w:rsidRPr="0094308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AE"/>
    <w:rsid w:val="0004036D"/>
    <w:rsid w:val="000E4DCD"/>
    <w:rsid w:val="0019439C"/>
    <w:rsid w:val="001A63C5"/>
    <w:rsid w:val="00244B4C"/>
    <w:rsid w:val="00286159"/>
    <w:rsid w:val="00341DC9"/>
    <w:rsid w:val="003A1DF9"/>
    <w:rsid w:val="003F3F83"/>
    <w:rsid w:val="0042158D"/>
    <w:rsid w:val="00432EB3"/>
    <w:rsid w:val="004D3F9B"/>
    <w:rsid w:val="00621698"/>
    <w:rsid w:val="00632151"/>
    <w:rsid w:val="006A0EDC"/>
    <w:rsid w:val="006B3A04"/>
    <w:rsid w:val="006C565D"/>
    <w:rsid w:val="00706DCC"/>
    <w:rsid w:val="00706EE2"/>
    <w:rsid w:val="00804778"/>
    <w:rsid w:val="00810AE1"/>
    <w:rsid w:val="0083358F"/>
    <w:rsid w:val="008550D3"/>
    <w:rsid w:val="009214A2"/>
    <w:rsid w:val="00985960"/>
    <w:rsid w:val="00A10BB1"/>
    <w:rsid w:val="00AE6059"/>
    <w:rsid w:val="00B047E5"/>
    <w:rsid w:val="00B24A89"/>
    <w:rsid w:val="00B37F04"/>
    <w:rsid w:val="00C76222"/>
    <w:rsid w:val="00E1057E"/>
    <w:rsid w:val="00EF2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B3A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8F23A-E100-4312-AFA8-956BD955F711}">
  <we:reference id="f78a3046-9e99-4300-aa2b-5814002b01a2" version="1.46.0.0" store="EXCatalog" storeType="EXCatalog"/>
  <we:alternateReferences>
    <we:reference id="WA104382081" version="1.46.0.0" store="it-IT" storeType="OMEX"/>
  </we:alternateReferences>
  <we:properties>
    <we:property name="MENDELEY_CITATIONS" value="[{&quot;citationID&quot;:&quot;MENDELEY_CITATION_a97bbf45-d827-4ae4-ad21-9c51d2534c26&quot;,&quot;properties&quot;:{&quot;noteIndex&quot;:0},&quot;isEdited&quot;:false,&quot;manualOverride&quot;:{&quot;isManuallyOverridden&quot;:true,&quot;citeprocText&quot;:&quot;(Wallis 1969)&quot;,&quot;manualOverrideText&quot;:&quot;(Wallis, 1969)&quot;},&quot;citationItems&quot;:[{&quot;id&quot;:&quot;65fab9e6-5dad-3175-9743-7dd95dba5810&quot;,&quot;itemData&quot;:{&quot;type&quot;:&quot;book&quot;,&quot;id&quot;:&quot;65fab9e6-5dad-3175-9743-7dd95dba5810&quot;,&quot;title&quot;:&quot;One-Dimensional two-phase flow&quot;,&quot;author&quot;:[{&quot;family&quot;:&quot;Wallis&quot;,&quot;given&quot;:&quot;Graham B.&quot;,&quot;parse-names&quot;:false,&quot;dropping-particle&quot;:&quot;&quot;,&quot;non-dropping-particle&quot;:&quot;&quot;}],&quot;editor&quot;:[{&quot;family&quot;:&quot;McGraw-Hill&quot;,&quot;given&quot;:&quot;&quot;,&quot;parse-names&quot;:false,&quot;dropping-particle&quot;:&quot;&quot;,&quot;non-dropping-particle&quot;:&quot;&quot;}],&quot;issued&quot;:{&quot;date-parts&quot;:[[1969]]},&quot;publisher-place&quot;:&quot;New York&quot;,&quot;container-title-short&quot;:&quot;&quot;},&quot;isTemporary&quot;:false}],&quot;citationTag&quot;:&quot;MENDELEY_CITATION_v3_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&quot;},{&quot;citationID&quot;:&quot;MENDELEY_CITATION_598919b5-b095-44f9-8121-4c44bd98d4d3&quot;,&quot;properties&quot;:{&quot;noteIndex&quot;:0},&quot;isEdited&quot;:false,&quot;manualOverride&quot;:{&quot;isManuallyOverridden&quot;:true,&quot;citeprocText&quot;:&quot;(Krishna et al. 1999)&quot;,&quot;manualOverrideText&quot;:&quot;(Krishna et al., 1999)&quot;},&quot;citationItems&quot;:[{&quot;id&quot;:&quot;17fece16-46eb-3911-a9df-c6bbfa5a1635&quot;,&quot;itemData&quot;:{&quot;type&quot;:&quot;report&quot;,&quot;id&quot;:&quot;17fece16-46eb-3911-a9df-c6bbfa5a1635&quot;,&quot;title&quot;:&quot;FLOW REGIME TRANSITION IN BUBBLE COLUMNS&quot;,&quot;author&quot;:[{&quot;family&quot;:&quot;Krishna&quot;,&quot;given&quot;:&quot;R&quot;,&quot;parse-names&quot;:false,&quot;dropping-particle&quot;:&quot;&quot;,&quot;non-dropping-particle&quot;:&quot;&quot;},{&quot;family&quot;:&quot;Ellenberger&quot;,&quot;given&quot;:&quot;J&quot;,&quot;parse-names&quot;:false,&quot;dropping-particle&quot;:&quot;&quot;,&quot;non-dropping-particle&quot;:&quot;&quot;},{&quot;family&quot;:&quot;Maretto&quot;,&quot;given&quot;:&quot;C&quot;,&quot;parse-names&quot;:false,&quot;dropping-particle&quot;:&quot;&quot;,&quot;non-dropping-particle&quot;:&quot;&quot;},{&quot;family&quot;:&quot;Rose&quot;,&quot;given&quot;:&quot;by JW&quot;,&quot;parse-names&quot;:false,&quot;dropping-particle&quot;:&quot;&quot;,&quot;non-dropping-particle&quot;:&quot;&quot;},{&quot;family&quot;:&quot;Briggs&quot;,&quot;given&quot;:&quot;A&quot;,&quot;parse-names&quot;:false,&quot;dropping-particle&quot;:&quot;&quot;,&quot;non-dropping-particle&quot;:&quot;&quot;}],&quot;container-title&quot;:&quot;HeatMass Transfer&quot;,&quot;issued&quot;:{&quot;date-parts&quot;:[[1999]]},&quot;number-of-pages&quot;:&quot;467-475&quot;,&quot;abstract&quot;:&quot;The various factors influencing the regime transition point in gas-liquid bubble columns are examined. Increasing gas density delays regime transition. This phenomenon is described in a qualitative way by the correlations of Reilly [1] and Wilkinson [2] of which the Reilly correlation is found to be more accurate. However, both correlations are unable to account for the influence of the addition of small quantities of surface tension reducing agents. The Reilly and Wilkinson correlations are also not adequate to describe the influence of the addition of catalyst particles on the transition point for a bubble column slurry reactor. Flow Regimes and Regime Transitions If one sparges gas into a column filled with a liquid (see Figure 1 (a)), the bed of liquid begins to expand \&quot;homogeneously\&quot; and the bed height increases almost linearly with the superficial gas velocity U. This regime of operation of a bubble column is called the homogeneous bubbly flow regime. The bubble size distribution is narrow and a roughly uniform bubble size, in the range 2-7 mm, is found. As the gas velocity is increased the gas holdup, e, increases and at a certain gas velocity Utran s coalescence of the bubbles takes place to produce the first fast-rising \&quot;large\&quot; bubble. The appearance of the first large bubble changes the hydrodynamic picture dramatically. The regime of operation for superficial gas velocities exceeding U~n s is commonly referred to as heterogeneous or churn-turbulent regime; this regime is of importance in industrial reactor operation. An analogous picture exists for a gas-solid fluid bed. When a gaseous phase is introduced uniformly through the bottom of a packed bed of particles (see Figure 1 (b)) the bed begins to expand for gas velocities exceeding the minimum fluidization velocity Umf. For fine particles, say smaller than 200 ~tm, the bed expands uniformly; this is the regime of homogeneous fluidization. This regime of homogeneous fluidization prevails till a certain velocity is reached at which bubbles are first observed; the velocity at this point, Umb, is usually called the minimum bubbling velocity. For the purposes of drawing analogies with gas liquid systems, we shall denote this velocity as the transition velocity, U~ar~. The operating gas velocity window between Umf and U~a,s is 467&quot;,&quot;issue&quot;:&quot;4&quot;,&quot;volume&quot;:&quot;26&quot;,&quot;container-title-short&quot;:&quot;&quot;},&quot;isTemporary&quot;:false}],&quot;citationTag&quot;:&quot;MENDELEY_CITATION_v3_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&quot;}]"/>
    <we:property name="MENDELEY_CITATIONS_LOCALE_CODE" value="&quot;en-GB&quot;"/>
    <we:property name="MENDELEY_CITATIONS_STYLE" value="{&quot;id&quot;:&quot;https://www.zotero.org/styles/african-online-scientific-information-systems-harvard&quot;,&quot;title&quot;:&quot;African Online Scientific Information Systems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Wal69</b:Tag>
    <b:SourceType>Book</b:SourceType>
    <b:Guid>{1AC06C4D-553D-4CDA-A45D-991ADC98F4EA}</b:Guid>
    <b:Author>
      <b:Author>
        <b:NameList>
          <b:Person>
            <b:Last>GB</b:Last>
            <b:First>Wallis</b:First>
          </b:Person>
        </b:NameList>
      </b:Author>
    </b:Author>
    <b:Title>One-Dimensional Two-Phase Flow</b:Title>
    <b:Year>1969</b:Year>
    <b:City>New York</b:City>
    <b:Publisher>McGraw-Hill</b:Publisher>
    <b:RefOrder>1</b:RefOrder>
  </b:Source>
</b:Sources>
</file>

<file path=customXml/itemProps1.xml><?xml version="1.0" encoding="utf-8"?>
<ds:datastoreItem xmlns:ds="http://schemas.openxmlformats.org/officeDocument/2006/customXml" ds:itemID="{DF2F2427-D53A-4804-95C1-D8B068D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2908</Words>
  <Characters>16580</Characters>
  <Application>Microsoft Office Word</Application>
  <DocSecurity>0</DocSecurity>
  <Lines>138</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Nicolò Varallo</cp:lastModifiedBy>
  <cp:revision>53</cp:revision>
  <cp:lastPrinted>2015-05-12T18:31:00Z</cp:lastPrinted>
  <dcterms:created xsi:type="dcterms:W3CDTF">2022-09-21T08:52:00Z</dcterms:created>
  <dcterms:modified xsi:type="dcterms:W3CDTF">2023-04-12T13:49:00Z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