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244ABC" w14:paraId="2A131A54" w14:textId="77777777" w:rsidTr="008C0A47">
        <w:trPr>
          <w:trHeight w:val="852"/>
          <w:jc w:val="center"/>
        </w:trPr>
        <w:tc>
          <w:tcPr>
            <w:tcW w:w="6940" w:type="dxa"/>
            <w:vMerge w:val="restart"/>
            <w:tcBorders>
              <w:right w:val="single" w:sz="4" w:space="0" w:color="auto"/>
            </w:tcBorders>
          </w:tcPr>
          <w:p w14:paraId="38C3D2BA" w14:textId="77777777" w:rsidR="000A03B2" w:rsidRPr="00244ABC" w:rsidRDefault="000A03B2" w:rsidP="00DE264A">
            <w:pPr>
              <w:tabs>
                <w:tab w:val="left" w:pos="-108"/>
              </w:tabs>
              <w:ind w:left="-108"/>
              <w:jc w:val="left"/>
              <w:rPr>
                <w:rFonts w:cs="Arial"/>
                <w:b/>
                <w:bCs/>
                <w:i/>
                <w:iCs/>
                <w:color w:val="000066"/>
                <w:sz w:val="12"/>
                <w:szCs w:val="12"/>
                <w:lang w:eastAsia="it-IT"/>
              </w:rPr>
            </w:pPr>
            <w:r w:rsidRPr="00244ABC">
              <w:rPr>
                <w:rFonts w:ascii="AdvP6960" w:hAnsi="AdvP6960" w:cs="AdvP6960"/>
                <w:noProof/>
                <w:color w:val="241F20"/>
                <w:szCs w:val="18"/>
                <w:lang w:val="en-US"/>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244ABC">
              <w:rPr>
                <w:rFonts w:ascii="AdvP6960" w:hAnsi="AdvP6960" w:cs="AdvP6960"/>
                <w:color w:val="241F20"/>
                <w:szCs w:val="18"/>
                <w:lang w:eastAsia="it-IT"/>
              </w:rPr>
              <w:t xml:space="preserve"> </w:t>
            </w:r>
            <w:r w:rsidRPr="00244ABC">
              <w:rPr>
                <w:rFonts w:cs="Arial"/>
                <w:b/>
                <w:bCs/>
                <w:i/>
                <w:iCs/>
                <w:color w:val="000066"/>
                <w:sz w:val="24"/>
                <w:szCs w:val="24"/>
                <w:lang w:eastAsia="it-IT"/>
              </w:rPr>
              <w:t>CHEMICAL ENGINEERING</w:t>
            </w:r>
            <w:r w:rsidRPr="00244ABC">
              <w:rPr>
                <w:rFonts w:cs="Arial"/>
                <w:b/>
                <w:bCs/>
                <w:i/>
                <w:iCs/>
                <w:color w:val="0033FF"/>
                <w:sz w:val="24"/>
                <w:szCs w:val="24"/>
                <w:lang w:eastAsia="it-IT"/>
              </w:rPr>
              <w:t xml:space="preserve"> </w:t>
            </w:r>
            <w:r w:rsidRPr="00244ABC">
              <w:rPr>
                <w:rFonts w:cs="Arial"/>
                <w:b/>
                <w:bCs/>
                <w:i/>
                <w:iCs/>
                <w:color w:val="666666"/>
                <w:sz w:val="24"/>
                <w:szCs w:val="24"/>
                <w:lang w:eastAsia="it-IT"/>
              </w:rPr>
              <w:t>TRANSACTIONS</w:t>
            </w:r>
            <w:r w:rsidRPr="00244ABC">
              <w:rPr>
                <w:color w:val="333333"/>
                <w:sz w:val="24"/>
                <w:szCs w:val="24"/>
                <w:lang w:eastAsia="it-IT"/>
              </w:rPr>
              <w:t xml:space="preserve"> </w:t>
            </w:r>
            <w:r w:rsidRPr="00244ABC">
              <w:rPr>
                <w:rFonts w:cs="Arial"/>
                <w:b/>
                <w:bCs/>
                <w:i/>
                <w:iCs/>
                <w:color w:val="000066"/>
                <w:sz w:val="27"/>
                <w:szCs w:val="27"/>
                <w:lang w:eastAsia="it-IT"/>
              </w:rPr>
              <w:br/>
            </w:r>
          </w:p>
          <w:p w14:paraId="4B780582" w14:textId="530285EB" w:rsidR="000A03B2" w:rsidRPr="00244ABC" w:rsidRDefault="00A76EFC" w:rsidP="001D21AF">
            <w:pPr>
              <w:tabs>
                <w:tab w:val="left" w:pos="-108"/>
              </w:tabs>
              <w:ind w:left="-108"/>
              <w:rPr>
                <w:rFonts w:cs="Arial"/>
                <w:b/>
                <w:bCs/>
                <w:i/>
                <w:iCs/>
                <w:color w:val="000066"/>
                <w:sz w:val="22"/>
                <w:szCs w:val="22"/>
                <w:lang w:eastAsia="it-IT"/>
              </w:rPr>
            </w:pPr>
            <w:r w:rsidRPr="00244ABC">
              <w:rPr>
                <w:rFonts w:cs="Arial"/>
                <w:b/>
                <w:bCs/>
                <w:i/>
                <w:iCs/>
                <w:color w:val="000066"/>
                <w:sz w:val="22"/>
                <w:szCs w:val="22"/>
                <w:lang w:eastAsia="it-IT"/>
              </w:rPr>
              <w:t xml:space="preserve">VOL. </w:t>
            </w:r>
            <w:r w:rsidR="0030152C" w:rsidRPr="00244ABC">
              <w:rPr>
                <w:rFonts w:cs="Arial"/>
                <w:b/>
                <w:bCs/>
                <w:i/>
                <w:iCs/>
                <w:color w:val="000066"/>
                <w:sz w:val="22"/>
                <w:szCs w:val="22"/>
                <w:lang w:eastAsia="it-IT"/>
              </w:rPr>
              <w:t xml:space="preserve"> </w:t>
            </w:r>
            <w:proofErr w:type="gramStart"/>
            <w:r w:rsidR="0030152C" w:rsidRPr="00244ABC">
              <w:rPr>
                <w:rFonts w:cs="Arial"/>
                <w:b/>
                <w:bCs/>
                <w:i/>
                <w:iCs/>
                <w:color w:val="000066"/>
                <w:sz w:val="22"/>
                <w:szCs w:val="22"/>
                <w:lang w:eastAsia="it-IT"/>
              </w:rPr>
              <w:t xml:space="preserve">  </w:t>
            </w:r>
            <w:r w:rsidR="007B48F9" w:rsidRPr="00244ABC">
              <w:rPr>
                <w:rFonts w:cs="Arial"/>
                <w:b/>
                <w:bCs/>
                <w:i/>
                <w:iCs/>
                <w:color w:val="000066"/>
                <w:sz w:val="22"/>
                <w:szCs w:val="22"/>
                <w:lang w:eastAsia="it-IT"/>
              </w:rPr>
              <w:t>,</w:t>
            </w:r>
            <w:proofErr w:type="gramEnd"/>
            <w:r w:rsidR="00FA5F5F" w:rsidRPr="00244ABC">
              <w:rPr>
                <w:rFonts w:cs="Arial"/>
                <w:b/>
                <w:bCs/>
                <w:i/>
                <w:iCs/>
                <w:color w:val="000066"/>
                <w:sz w:val="22"/>
                <w:szCs w:val="22"/>
                <w:lang w:eastAsia="it-IT"/>
              </w:rPr>
              <w:t xml:space="preserve"> </w:t>
            </w:r>
            <w:r w:rsidR="0030152C" w:rsidRPr="00244ABC">
              <w:rPr>
                <w:rFonts w:cs="Arial"/>
                <w:b/>
                <w:bCs/>
                <w:i/>
                <w:iCs/>
                <w:color w:val="000066"/>
                <w:sz w:val="22"/>
                <w:szCs w:val="22"/>
                <w:lang w:eastAsia="it-IT"/>
              </w:rPr>
              <w:t>2023</w:t>
            </w:r>
          </w:p>
        </w:tc>
        <w:tc>
          <w:tcPr>
            <w:tcW w:w="1842" w:type="dxa"/>
            <w:tcBorders>
              <w:left w:val="single" w:sz="4" w:space="0" w:color="auto"/>
              <w:bottom w:val="nil"/>
              <w:right w:val="single" w:sz="4" w:space="0" w:color="auto"/>
            </w:tcBorders>
          </w:tcPr>
          <w:p w14:paraId="56782132" w14:textId="77777777" w:rsidR="000A03B2" w:rsidRPr="00244ABC" w:rsidRDefault="000A03B2" w:rsidP="00CD5FE2">
            <w:pPr>
              <w:spacing w:line="140" w:lineRule="atLeast"/>
              <w:jc w:val="right"/>
              <w:rPr>
                <w:rFonts w:cs="Arial"/>
                <w:sz w:val="14"/>
                <w:szCs w:val="14"/>
              </w:rPr>
            </w:pPr>
            <w:r w:rsidRPr="00244ABC">
              <w:rPr>
                <w:rFonts w:cs="Arial"/>
                <w:sz w:val="14"/>
                <w:szCs w:val="14"/>
              </w:rPr>
              <w:t>A publication of</w:t>
            </w:r>
          </w:p>
          <w:p w14:paraId="599E5441" w14:textId="77777777" w:rsidR="000A03B2" w:rsidRPr="00244ABC" w:rsidRDefault="000A03B2" w:rsidP="00CD5FE2">
            <w:pPr>
              <w:jc w:val="right"/>
            </w:pPr>
            <w:r w:rsidRPr="00244ABC">
              <w:rPr>
                <w:noProof/>
                <w:lang w:val="en-US"/>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244ABC" w14:paraId="380FA3CD" w14:textId="77777777" w:rsidTr="008C0A47">
        <w:trPr>
          <w:trHeight w:val="567"/>
          <w:jc w:val="center"/>
        </w:trPr>
        <w:tc>
          <w:tcPr>
            <w:tcW w:w="6940" w:type="dxa"/>
            <w:vMerge/>
            <w:tcBorders>
              <w:right w:val="single" w:sz="4" w:space="0" w:color="auto"/>
            </w:tcBorders>
          </w:tcPr>
          <w:p w14:paraId="39E5E4C1" w14:textId="77777777" w:rsidR="000A03B2" w:rsidRPr="00244ABC" w:rsidRDefault="000A03B2" w:rsidP="00CD5FE2">
            <w:pPr>
              <w:tabs>
                <w:tab w:val="left" w:pos="-108"/>
              </w:tabs>
            </w:pPr>
          </w:p>
        </w:tc>
        <w:tc>
          <w:tcPr>
            <w:tcW w:w="1842" w:type="dxa"/>
            <w:tcBorders>
              <w:left w:val="single" w:sz="4" w:space="0" w:color="auto"/>
              <w:bottom w:val="nil"/>
              <w:right w:val="single" w:sz="4" w:space="0" w:color="auto"/>
            </w:tcBorders>
          </w:tcPr>
          <w:p w14:paraId="43858A98" w14:textId="77777777" w:rsidR="000A03B2" w:rsidRPr="00244ABC" w:rsidRDefault="000A03B2" w:rsidP="00CD5FE2">
            <w:pPr>
              <w:spacing w:line="140" w:lineRule="atLeast"/>
              <w:jc w:val="right"/>
              <w:rPr>
                <w:rFonts w:cs="Arial"/>
                <w:sz w:val="14"/>
                <w:szCs w:val="14"/>
              </w:rPr>
            </w:pPr>
            <w:r w:rsidRPr="00244ABC">
              <w:rPr>
                <w:rFonts w:cs="Arial"/>
                <w:sz w:val="14"/>
                <w:szCs w:val="14"/>
              </w:rPr>
              <w:t>The Italian Association</w:t>
            </w:r>
          </w:p>
          <w:p w14:paraId="7522B1D2" w14:textId="77777777" w:rsidR="000A03B2" w:rsidRPr="00244ABC" w:rsidRDefault="000A03B2" w:rsidP="00CD5FE2">
            <w:pPr>
              <w:spacing w:line="140" w:lineRule="atLeast"/>
              <w:jc w:val="right"/>
              <w:rPr>
                <w:rFonts w:cs="Arial"/>
                <w:sz w:val="14"/>
                <w:szCs w:val="14"/>
              </w:rPr>
            </w:pPr>
            <w:r w:rsidRPr="00244ABC">
              <w:rPr>
                <w:rFonts w:cs="Arial"/>
                <w:sz w:val="14"/>
                <w:szCs w:val="14"/>
              </w:rPr>
              <w:t>of Chemical Engineering</w:t>
            </w:r>
          </w:p>
          <w:p w14:paraId="4F0CC5DE" w14:textId="47FDB2FC" w:rsidR="000A03B2" w:rsidRPr="00244ABC" w:rsidRDefault="000D0268" w:rsidP="00CD5FE2">
            <w:pPr>
              <w:spacing w:line="140" w:lineRule="atLeast"/>
              <w:jc w:val="right"/>
              <w:rPr>
                <w:rFonts w:cs="Arial"/>
                <w:sz w:val="13"/>
                <w:szCs w:val="13"/>
              </w:rPr>
            </w:pPr>
            <w:r w:rsidRPr="00244ABC">
              <w:rPr>
                <w:rFonts w:cs="Arial"/>
                <w:sz w:val="13"/>
                <w:szCs w:val="13"/>
              </w:rPr>
              <w:t>Online at www.cetjournal.it</w:t>
            </w:r>
          </w:p>
        </w:tc>
      </w:tr>
      <w:tr w:rsidR="000A03B2" w:rsidRPr="00244ABC" w14:paraId="2D1B7169" w14:textId="77777777" w:rsidTr="008C0A47">
        <w:trPr>
          <w:trHeight w:val="68"/>
          <w:jc w:val="center"/>
        </w:trPr>
        <w:tc>
          <w:tcPr>
            <w:tcW w:w="8782" w:type="dxa"/>
            <w:gridSpan w:val="2"/>
          </w:tcPr>
          <w:p w14:paraId="1D8DD3C9" w14:textId="72C518CF" w:rsidR="00AA7D26" w:rsidRPr="00244ABC" w:rsidRDefault="00AA7D26" w:rsidP="00AA7D26">
            <w:pPr>
              <w:ind w:left="-107"/>
              <w:outlineLvl w:val="2"/>
              <w:rPr>
                <w:rFonts w:ascii="Tahoma" w:hAnsi="Tahoma" w:cs="Tahoma"/>
                <w:bCs/>
                <w:color w:val="000000"/>
                <w:sz w:val="14"/>
                <w:szCs w:val="14"/>
                <w:lang w:eastAsia="it-IT"/>
              </w:rPr>
            </w:pPr>
            <w:r w:rsidRPr="00244ABC">
              <w:rPr>
                <w:rFonts w:ascii="Tahoma" w:hAnsi="Tahoma" w:cs="Tahoma"/>
                <w:iCs/>
                <w:color w:val="333333"/>
                <w:sz w:val="14"/>
                <w:szCs w:val="14"/>
                <w:lang w:eastAsia="it-IT"/>
              </w:rPr>
              <w:t>Guest Editor:</w:t>
            </w:r>
            <w:r w:rsidRPr="00244ABC">
              <w:rPr>
                <w:rFonts w:ascii="Tahoma" w:hAnsi="Tahoma" w:cs="Tahoma"/>
                <w:color w:val="000000"/>
                <w:sz w:val="14"/>
                <w:szCs w:val="14"/>
                <w:shd w:val="clear" w:color="auto" w:fill="FFFFFF"/>
              </w:rPr>
              <w:t xml:space="preserve"> </w:t>
            </w:r>
            <w:proofErr w:type="spellStart"/>
            <w:r w:rsidRPr="00244ABC">
              <w:rPr>
                <w:rFonts w:ascii="Tahoma" w:hAnsi="Tahoma" w:cs="Tahoma"/>
                <w:sz w:val="14"/>
                <w:szCs w:val="14"/>
              </w:rPr>
              <w:t>Sauro</w:t>
            </w:r>
            <w:proofErr w:type="spellEnd"/>
            <w:r w:rsidRPr="00244ABC">
              <w:rPr>
                <w:rFonts w:ascii="Tahoma" w:hAnsi="Tahoma" w:cs="Tahoma"/>
                <w:sz w:val="14"/>
                <w:szCs w:val="14"/>
              </w:rPr>
              <w:t xml:space="preserve"> </w:t>
            </w:r>
            <w:proofErr w:type="spellStart"/>
            <w:r w:rsidRPr="00244ABC">
              <w:rPr>
                <w:rFonts w:ascii="Tahoma" w:hAnsi="Tahoma" w:cs="Tahoma"/>
                <w:sz w:val="14"/>
                <w:szCs w:val="14"/>
              </w:rPr>
              <w:t>Pierucci</w:t>
            </w:r>
            <w:proofErr w:type="spellEnd"/>
          </w:p>
          <w:p w14:paraId="1B0F1814" w14:textId="650290B9" w:rsidR="000A03B2" w:rsidRPr="00244ABC" w:rsidRDefault="00AA7D26" w:rsidP="00AA7D26">
            <w:pPr>
              <w:tabs>
                <w:tab w:val="left" w:pos="-108"/>
              </w:tabs>
              <w:spacing w:line="140" w:lineRule="atLeast"/>
              <w:ind w:left="-107"/>
              <w:jc w:val="left"/>
            </w:pPr>
            <w:r w:rsidRPr="00244ABC">
              <w:rPr>
                <w:rFonts w:ascii="Tahoma" w:hAnsi="Tahoma" w:cs="Tahoma"/>
                <w:iCs/>
                <w:color w:val="333333"/>
                <w:sz w:val="14"/>
                <w:szCs w:val="14"/>
                <w:lang w:eastAsia="it-IT"/>
              </w:rPr>
              <w:t xml:space="preserve">Copyright © 2023, AIDIC </w:t>
            </w:r>
            <w:proofErr w:type="spellStart"/>
            <w:r w:rsidRPr="00244ABC">
              <w:rPr>
                <w:rFonts w:ascii="Tahoma" w:hAnsi="Tahoma" w:cs="Tahoma"/>
                <w:iCs/>
                <w:color w:val="333333"/>
                <w:sz w:val="14"/>
                <w:szCs w:val="14"/>
                <w:lang w:eastAsia="it-IT"/>
              </w:rPr>
              <w:t>Servizi</w:t>
            </w:r>
            <w:proofErr w:type="spellEnd"/>
            <w:r w:rsidRPr="00244ABC">
              <w:rPr>
                <w:rFonts w:ascii="Tahoma" w:hAnsi="Tahoma" w:cs="Tahoma"/>
                <w:iCs/>
                <w:color w:val="333333"/>
                <w:sz w:val="14"/>
                <w:szCs w:val="14"/>
                <w:lang w:eastAsia="it-IT"/>
              </w:rPr>
              <w:t xml:space="preserve"> </w:t>
            </w:r>
            <w:proofErr w:type="spellStart"/>
            <w:r w:rsidRPr="00244ABC">
              <w:rPr>
                <w:rFonts w:ascii="Tahoma" w:hAnsi="Tahoma" w:cs="Tahoma"/>
                <w:iCs/>
                <w:color w:val="333333"/>
                <w:sz w:val="14"/>
                <w:szCs w:val="14"/>
                <w:lang w:eastAsia="it-IT"/>
              </w:rPr>
              <w:t>S.r.l</w:t>
            </w:r>
            <w:proofErr w:type="spellEnd"/>
            <w:r w:rsidRPr="00244ABC">
              <w:rPr>
                <w:rFonts w:ascii="Tahoma" w:hAnsi="Tahoma" w:cs="Tahoma"/>
                <w:iCs/>
                <w:color w:val="333333"/>
                <w:sz w:val="14"/>
                <w:szCs w:val="14"/>
                <w:lang w:eastAsia="it-IT"/>
              </w:rPr>
              <w:t>.</w:t>
            </w:r>
            <w:r w:rsidRPr="00244ABC">
              <w:rPr>
                <w:rFonts w:ascii="Tahoma" w:hAnsi="Tahoma" w:cs="Tahoma"/>
                <w:iCs/>
                <w:color w:val="333333"/>
                <w:sz w:val="14"/>
                <w:szCs w:val="14"/>
                <w:lang w:eastAsia="it-IT"/>
              </w:rPr>
              <w:br/>
            </w:r>
            <w:r w:rsidRPr="00244ABC">
              <w:rPr>
                <w:rFonts w:ascii="Tahoma" w:hAnsi="Tahoma" w:cs="Tahoma"/>
                <w:b/>
                <w:iCs/>
                <w:color w:val="000000"/>
                <w:sz w:val="14"/>
                <w:szCs w:val="14"/>
                <w:lang w:eastAsia="it-IT"/>
              </w:rPr>
              <w:t>ISBN</w:t>
            </w:r>
            <w:r w:rsidRPr="00244ABC">
              <w:rPr>
                <w:rFonts w:ascii="Tahoma" w:hAnsi="Tahoma" w:cs="Tahoma"/>
                <w:iCs/>
                <w:color w:val="000000"/>
                <w:sz w:val="14"/>
                <w:szCs w:val="14"/>
                <w:lang w:eastAsia="it-IT"/>
              </w:rPr>
              <w:t xml:space="preserve"> </w:t>
            </w:r>
            <w:r w:rsidRPr="00244ABC">
              <w:rPr>
                <w:rFonts w:ascii="Tahoma" w:hAnsi="Tahoma" w:cs="Tahoma"/>
                <w:sz w:val="14"/>
                <w:szCs w:val="14"/>
              </w:rPr>
              <w:t>978-88-95608-98-3</w:t>
            </w:r>
            <w:r w:rsidRPr="00244ABC">
              <w:rPr>
                <w:rFonts w:ascii="Tahoma" w:hAnsi="Tahoma" w:cs="Tahoma"/>
                <w:iCs/>
                <w:color w:val="333333"/>
                <w:sz w:val="14"/>
                <w:szCs w:val="14"/>
                <w:lang w:eastAsia="it-IT"/>
              </w:rPr>
              <w:t xml:space="preserve">; </w:t>
            </w:r>
            <w:r w:rsidRPr="00244ABC">
              <w:rPr>
                <w:rFonts w:ascii="Tahoma" w:hAnsi="Tahoma" w:cs="Tahoma"/>
                <w:b/>
                <w:iCs/>
                <w:color w:val="333333"/>
                <w:sz w:val="14"/>
                <w:szCs w:val="14"/>
                <w:lang w:eastAsia="it-IT"/>
              </w:rPr>
              <w:t>ISSN</w:t>
            </w:r>
            <w:r w:rsidRPr="00244ABC">
              <w:rPr>
                <w:rFonts w:ascii="Tahoma" w:hAnsi="Tahoma" w:cs="Tahoma"/>
                <w:iCs/>
                <w:color w:val="333333"/>
                <w:sz w:val="14"/>
                <w:szCs w:val="14"/>
                <w:lang w:eastAsia="it-IT"/>
              </w:rPr>
              <w:t xml:space="preserve"> 2283-9216</w:t>
            </w:r>
          </w:p>
        </w:tc>
      </w:tr>
    </w:tbl>
    <w:p w14:paraId="2E667253" w14:textId="2BE04B18" w:rsidR="00E978D0" w:rsidRPr="00244ABC" w:rsidRDefault="008C0A47" w:rsidP="00E978D0">
      <w:pPr>
        <w:pStyle w:val="CETTitle"/>
      </w:pPr>
      <w:r w:rsidRPr="008C0A47">
        <w:t xml:space="preserve">Hydrothermal carbonization as a process to facilitate the disposal of </w:t>
      </w:r>
      <w:proofErr w:type="gramStart"/>
      <w:r w:rsidRPr="008C0A47">
        <w:t>bioplastics</w:t>
      </w:r>
      <w:proofErr w:type="gramEnd"/>
    </w:p>
    <w:p w14:paraId="0488FED2" w14:textId="7A94E714" w:rsidR="00B57E6F" w:rsidRPr="00A943AF" w:rsidRDefault="00B5166F" w:rsidP="00B57E6F">
      <w:pPr>
        <w:pStyle w:val="CETAuthors"/>
        <w:rPr>
          <w:lang w:val="it-IT"/>
        </w:rPr>
      </w:pPr>
      <w:r w:rsidRPr="00A943AF">
        <w:rPr>
          <w:lang w:val="it-IT"/>
        </w:rPr>
        <w:t>Filippo Marchelli</w:t>
      </w:r>
      <w:r w:rsidR="00B57E6F" w:rsidRPr="00A943AF">
        <w:rPr>
          <w:vertAlign w:val="superscript"/>
          <w:lang w:val="it-IT"/>
        </w:rPr>
        <w:t>a</w:t>
      </w:r>
      <w:r w:rsidRPr="00A943AF">
        <w:rPr>
          <w:vertAlign w:val="superscript"/>
          <w:lang w:val="it-IT"/>
        </w:rPr>
        <w:t>,</w:t>
      </w:r>
      <w:r w:rsidRPr="00A943AF">
        <w:rPr>
          <w:lang w:val="it-IT"/>
        </w:rPr>
        <w:t>*</w:t>
      </w:r>
      <w:r w:rsidR="00B57E6F" w:rsidRPr="00A943AF">
        <w:rPr>
          <w:lang w:val="it-IT"/>
        </w:rPr>
        <w:t xml:space="preserve">, </w:t>
      </w:r>
      <w:r w:rsidRPr="00A943AF">
        <w:rPr>
          <w:lang w:val="it-IT"/>
        </w:rPr>
        <w:t>Giulia Ischia</w:t>
      </w:r>
      <w:r w:rsidRPr="00A943AF">
        <w:rPr>
          <w:vertAlign w:val="superscript"/>
          <w:lang w:val="it-IT"/>
        </w:rPr>
        <w:t>a</w:t>
      </w:r>
      <w:r w:rsidRPr="00A943AF">
        <w:rPr>
          <w:lang w:val="it-IT"/>
        </w:rPr>
        <w:t>, Marco Calvi</w:t>
      </w:r>
      <w:r w:rsidRPr="00A943AF">
        <w:rPr>
          <w:vertAlign w:val="superscript"/>
          <w:lang w:val="it-IT"/>
        </w:rPr>
        <w:t>b</w:t>
      </w:r>
      <w:r w:rsidRPr="00A943AF">
        <w:rPr>
          <w:lang w:val="it-IT"/>
        </w:rPr>
        <w:t>, Luca Fiori</w:t>
      </w:r>
      <w:r w:rsidRPr="00A943AF">
        <w:rPr>
          <w:vertAlign w:val="superscript"/>
          <w:lang w:val="it-IT"/>
        </w:rPr>
        <w:t>a</w:t>
      </w:r>
    </w:p>
    <w:p w14:paraId="6B2D21B3" w14:textId="2C7805EC" w:rsidR="00B57E6F" w:rsidRPr="00244ABC" w:rsidRDefault="00B57E6F" w:rsidP="00B57E6F">
      <w:pPr>
        <w:pStyle w:val="CETAddress"/>
      </w:pPr>
      <w:r w:rsidRPr="00244ABC">
        <w:rPr>
          <w:vertAlign w:val="superscript"/>
        </w:rPr>
        <w:t>a</w:t>
      </w:r>
      <w:r w:rsidR="00FF1100" w:rsidRPr="00244ABC">
        <w:t>Department of Civil, Environmental and Mechanical Engineering</w:t>
      </w:r>
      <w:r w:rsidR="003D4EC6">
        <w:t xml:space="preserve"> (DICAM)</w:t>
      </w:r>
      <w:r w:rsidR="00FF1100" w:rsidRPr="00244ABC">
        <w:t>, University of Trento, Via Mesiano 77, 38123 Trento, Italy</w:t>
      </w:r>
    </w:p>
    <w:p w14:paraId="3D72B0B0" w14:textId="38AB6EC0" w:rsidR="00B57E6F" w:rsidRPr="00244ABC" w:rsidRDefault="00B57E6F" w:rsidP="00B57E6F">
      <w:pPr>
        <w:pStyle w:val="CETAddress"/>
      </w:pPr>
      <w:r w:rsidRPr="00244ABC">
        <w:rPr>
          <w:vertAlign w:val="superscript"/>
        </w:rPr>
        <w:t>b</w:t>
      </w:r>
      <w:r w:rsidR="00FF1100" w:rsidRPr="00244ABC">
        <w:t>Certottica S.c.r.l. – Italian Institute of Certification of Optical Products, Villanova Industrial Area, 32013 Longarone, Italy</w:t>
      </w:r>
    </w:p>
    <w:p w14:paraId="73F1267A" w14:textId="56C3DCC9" w:rsidR="00B57E6F" w:rsidRPr="00244ABC" w:rsidRDefault="00B57E6F" w:rsidP="00B57E6F">
      <w:pPr>
        <w:pStyle w:val="CETemail"/>
      </w:pPr>
      <w:r w:rsidRPr="00244ABC">
        <w:t xml:space="preserve"> </w:t>
      </w:r>
      <w:r w:rsidR="00FF1100" w:rsidRPr="00244ABC">
        <w:t>filippo.marchelli@unitn.it</w:t>
      </w:r>
    </w:p>
    <w:p w14:paraId="31053DE5" w14:textId="3CA9CE9F" w:rsidR="000408D3" w:rsidRDefault="000408D3" w:rsidP="00600535">
      <w:pPr>
        <w:pStyle w:val="CETBodytext"/>
        <w:rPr>
          <w:lang w:val="en-GB"/>
        </w:rPr>
      </w:pPr>
      <w:r>
        <w:rPr>
          <w:lang w:val="en-GB"/>
        </w:rPr>
        <w:t>Bioplastics are steadily replacing fossil-based plastics due to their renewable origin and biodegradability. However, their end-of-life can be problematic: they are</w:t>
      </w:r>
      <w:r w:rsidR="00FB1105">
        <w:rPr>
          <w:lang w:val="en-GB"/>
        </w:rPr>
        <w:t xml:space="preserve"> often</w:t>
      </w:r>
      <w:r>
        <w:rPr>
          <w:lang w:val="en-GB"/>
        </w:rPr>
        <w:t xml:space="preserve"> collected with the organic fraction of municipal solid waste (OFMSW) but </w:t>
      </w:r>
      <w:r w:rsidR="00FB1105">
        <w:rPr>
          <w:lang w:val="en-GB"/>
        </w:rPr>
        <w:t>can be</w:t>
      </w:r>
      <w:r>
        <w:rPr>
          <w:lang w:val="en-GB"/>
        </w:rPr>
        <w:t xml:space="preserve"> not satisfactorily biodegradable in plants that treat it, leading to their reject</w:t>
      </w:r>
      <w:r w:rsidR="00FB1105">
        <w:rPr>
          <w:lang w:val="en-GB"/>
        </w:rPr>
        <w:t>ion</w:t>
      </w:r>
      <w:r>
        <w:rPr>
          <w:lang w:val="en-GB"/>
        </w:rPr>
        <w:t xml:space="preserve"> at the entrance. This work focuses on five different commercial bioplastics employed in the eyewear industry: two based on cellulose acetate, one on </w:t>
      </w:r>
      <w:proofErr w:type="spellStart"/>
      <w:r>
        <w:rPr>
          <w:lang w:val="en-GB"/>
        </w:rPr>
        <w:t>galalithe</w:t>
      </w:r>
      <w:proofErr w:type="spellEnd"/>
      <w:r>
        <w:rPr>
          <w:lang w:val="en-GB"/>
        </w:rPr>
        <w:t xml:space="preserve">, one on corn starch and one on polyamide. The aim was to assess their treatability via hydrothermal </w:t>
      </w:r>
      <w:r w:rsidR="00FB1105">
        <w:rPr>
          <w:lang w:val="en-GB"/>
        </w:rPr>
        <w:t>carbonization</w:t>
      </w:r>
      <w:r>
        <w:rPr>
          <w:lang w:val="en-GB"/>
        </w:rPr>
        <w:t xml:space="preserve"> (HTC), which was never reported in the literature for these materials. Under HTC at 180 and 220 °C for 1 h, four of the tested bioplastics show significant degrees of degradation, leading to the formation of different solid and liquid products, which were respectively characterised according to their elemental composition and pH. The interesting different behaviours may be ascribed to the different composition</w:t>
      </w:r>
      <w:r w:rsidR="00FB1105">
        <w:rPr>
          <w:lang w:val="en-GB"/>
        </w:rPr>
        <w:t>s</w:t>
      </w:r>
      <w:r>
        <w:rPr>
          <w:lang w:val="en-GB"/>
        </w:rPr>
        <w:t xml:space="preserve"> and structure</w:t>
      </w:r>
      <w:r w:rsidR="00FB1105">
        <w:rPr>
          <w:lang w:val="en-GB"/>
        </w:rPr>
        <w:t>s</w:t>
      </w:r>
      <w:r>
        <w:rPr>
          <w:lang w:val="en-GB"/>
        </w:rPr>
        <w:t xml:space="preserve"> of the materials. HTC appears as a viable route to facilitate the degradation of these recalcitrant materials and may be followed by a material recovery or an energetic valorisation through anaerobic digestion or thermochemical pathways, depending on the purity of the waste stream. </w:t>
      </w:r>
    </w:p>
    <w:p w14:paraId="476B2F2E" w14:textId="77777777" w:rsidR="00600535" w:rsidRPr="00244ABC" w:rsidRDefault="00600535" w:rsidP="00600535">
      <w:pPr>
        <w:pStyle w:val="CETHeading1"/>
        <w:rPr>
          <w:lang w:val="en-GB"/>
        </w:rPr>
      </w:pPr>
      <w:r w:rsidRPr="00244ABC">
        <w:rPr>
          <w:lang w:val="en-GB"/>
        </w:rPr>
        <w:t>Introduction</w:t>
      </w:r>
    </w:p>
    <w:p w14:paraId="21B9A280" w14:textId="6B7B86F1" w:rsidR="007D0951" w:rsidRDefault="00365718" w:rsidP="005255AF">
      <w:pPr>
        <w:pStyle w:val="CETBodytext"/>
        <w:rPr>
          <w:lang w:val="en-GB"/>
        </w:rPr>
      </w:pPr>
      <w:r>
        <w:rPr>
          <w:lang w:val="en-GB"/>
        </w:rPr>
        <w:t>Bioplastic is an umbrella term employed for plastic materials that are either of biological origin or biodegradable, or both. Due to the increasing awareness regarding the environmental concerns posed by traditional fossil</w:t>
      </w:r>
      <w:r>
        <w:rPr>
          <w:lang w:val="en-GB"/>
        </w:rPr>
        <w:noBreakHyphen/>
        <w:t xml:space="preserve">based plastics, bioplastics are steadily becoming more abundant in different fields </w:t>
      </w:r>
      <w:r>
        <w:rPr>
          <w:lang w:val="en-GB"/>
        </w:rPr>
        <w:fldChar w:fldCharType="begin" w:fldLock="1"/>
      </w:r>
      <w:r w:rsidR="00E94B4E">
        <w:rPr>
          <w:lang w:val="en-GB"/>
        </w:rPr>
        <w:instrText>ADDIN CSL_CITATION {"citationItems":[{"id":"ITEM-1","itemData":{"DOI":"10.1038/s41578-021-00407-8","ISBN":"0123456789","ISSN":"20588437","abstract":"Bioplastics — typically plastics manufactured from bio-based polymers — stand to contribute to more sustainable commercial plastic life cycles as part of a circular economy, in which virgin polymers are made from renewable or recycled raw materials. Carbon-neutral energy is used for production and products are reused or recycled at their end of life (EOL). In this Review, we assess the advantages and challenges of bioplastics in transitioning towards a circular economy. Compared with fossil-based plastics, bio-based plastics can have a lower carbon footprint and exhibit advantageous materials properties; moreover, they can be compatible with existing recycling streams and some offer biodegradation as an EOL scenario if performed in controlled or predictable environments. However, these benefits can have trade-offs, including negative agricultural impacts, competition with food production, unclear EOL management and higher costs. Emerging chemical and biological methods can enable the ‘upcycling’ of increasing volumes of heterogeneous plastic and bioplastic waste into higher-quality materials. To guide converters and consumers in their purchasing choices, existing (bio)plastic identification standards and life cycle assessment guidelines need revision and homogenization. Furthermore, clear regulation and financial incentives remain essential to scale from niche polymers to large-scale bioplastic market applications with truly sustainable impact.","author":[{"dropping-particle":"","family":"Rosenboom","given":"Jan Georg","non-dropping-particle":"","parse-names":false,"suffix":""},{"dropping-particle":"","family":"Langer","given":"Robert","non-dropping-particle":"","parse-names":false,"suffix":""},{"dropping-particle":"","family":"Traverso","given":"Giovanni","non-dropping-particle":"","parse-names":false,"suffix":""}],"container-title":"Nature Reviews Materials","id":"ITEM-1","issue":"2","issued":{"date-parts":[["2022"]]},"page":"117-137","publisher":"Springer US","title":"Bioplastics for a circular economy","type":"article-journal","volume":"7"},"uris":["http://www.mendeley.com/documents/?uuid=78cfabb4-53a5-40ed-baa9-6b107b699aff"]}],"mendeley":{"formattedCitation":"(Rosenboom et al., 2022)","plainTextFormattedCitation":"(Rosenboom et al., 2022)","previouslyFormattedCitation":"(Rosenboom et al., 2022)"},"properties":{"noteIndex":0},"schema":"https://github.com/citation-style-language/schema/raw/master/csl-citation.json"}</w:instrText>
      </w:r>
      <w:r>
        <w:rPr>
          <w:lang w:val="en-GB"/>
        </w:rPr>
        <w:fldChar w:fldCharType="separate"/>
      </w:r>
      <w:r w:rsidRPr="00365718">
        <w:rPr>
          <w:noProof/>
          <w:lang w:val="en-GB"/>
        </w:rPr>
        <w:t>(Rosenboom et al., 2022)</w:t>
      </w:r>
      <w:r>
        <w:rPr>
          <w:lang w:val="en-GB"/>
        </w:rPr>
        <w:fldChar w:fldCharType="end"/>
      </w:r>
      <w:r>
        <w:rPr>
          <w:lang w:val="en-GB"/>
        </w:rPr>
        <w:t xml:space="preserve">. </w:t>
      </w:r>
      <w:r w:rsidR="00E94B4E">
        <w:rPr>
          <w:lang w:val="en-GB"/>
        </w:rPr>
        <w:t xml:space="preserve">Most of these bioplastics are certified </w:t>
      </w:r>
      <w:r w:rsidR="00D70D29">
        <w:rPr>
          <w:lang w:val="en-GB"/>
        </w:rPr>
        <w:t>as</w:t>
      </w:r>
      <w:r w:rsidR="00E94B4E">
        <w:rPr>
          <w:lang w:val="en-GB"/>
        </w:rPr>
        <w:t xml:space="preserve"> biodegradable according to international standards. Thus, in principle bioplastic waste should be collected together with the </w:t>
      </w:r>
      <w:r w:rsidR="00E94B4E" w:rsidRPr="000B5465">
        <w:rPr>
          <w:highlight w:val="yellow"/>
          <w:lang w:val="en-GB"/>
        </w:rPr>
        <w:t>OFMSW</w:t>
      </w:r>
      <w:r w:rsidR="00E94B4E">
        <w:rPr>
          <w:lang w:val="en-GB"/>
        </w:rPr>
        <w:t xml:space="preserve"> and treated via biological methods, such as anaerobic digestion or composting</w:t>
      </w:r>
      <w:r w:rsidR="00996796">
        <w:rPr>
          <w:lang w:val="en-GB"/>
        </w:rPr>
        <w:t xml:space="preserve">, which is their most studied disposal route </w:t>
      </w:r>
      <w:r w:rsidR="00996796">
        <w:rPr>
          <w:lang w:val="en-GB"/>
        </w:rPr>
        <w:fldChar w:fldCharType="begin" w:fldLock="1"/>
      </w:r>
      <w:r w:rsidR="000B5465">
        <w:rPr>
          <w:lang w:val="en-GB"/>
        </w:rPr>
        <w:instrText>ADDIN CSL_CITATION {"citationItems":[{"id":"ITEM-1","itemData":{"DOI":"10.1002/cssc.202101226","ISSN":"1864-5631","author":[{"dropping-particle":"","family":"Gioia","given":"Claudio","non-dropping-particle":"","parse-names":false,"suffix":""},{"dropping-particle":"","family":"Giacobazzi","given":"Greta","non-dropping-particle":"","parse-names":false,"suffix":""},{"dropping-particle":"","family":"Vannini","given":"Micaela","non-dropping-particle":"","parse-names":false,"suffix":""},{"dropping-particle":"","family":"Totaro","given":"Grazia","non-dropping-particle":"","parse-names":false,"suffix":""},{"dropping-particle":"","family":"Sisti","given":"Laura","non-dropping-particle":"","parse-names":false,"suffix":""},{"dropping-particle":"","family":"Colonna","given":"Martino","non-dropping-particle":"","parse-names":false,"suffix":""},{"dropping-particle":"","family":"Marchese","given":"Paola","non-dropping-particle":"","parse-names":false,"suffix":""},{"dropping-particle":"","family":"Celli","given":"Annamaria","non-dropping-particle":"","parse-names":false,"suffix":""}],"container-title":"ChemSusChem","id":"ITEM-1","issue":"19","issued":{"date-parts":[["2021","10","5"]]},"page":"4167-4175","title":"End of Life of Biodegradable Plastics: Composting versus Re/Upcycling","type":"article-journal","volume":"14"},"uris":["http://www.mendeley.com/documents/?uuid=5a89f5d8-bb5e-422e-b63b-edaf62596411"]}],"mendeley":{"formattedCitation":"(Gioia et al., 2021)","plainTextFormattedCitation":"(Gioia et al., 2021)","previouslyFormattedCitation":"(Gioia et al., 2021)"},"properties":{"noteIndex":0},"schema":"https://github.com/citation-style-language/schema/raw/master/csl-citation.json"}</w:instrText>
      </w:r>
      <w:r w:rsidR="00996796">
        <w:rPr>
          <w:lang w:val="en-GB"/>
        </w:rPr>
        <w:fldChar w:fldCharType="separate"/>
      </w:r>
      <w:r w:rsidR="00996796" w:rsidRPr="00996796">
        <w:rPr>
          <w:noProof/>
          <w:lang w:val="en-GB"/>
        </w:rPr>
        <w:t>(Gioia et al., 2021)</w:t>
      </w:r>
      <w:r w:rsidR="00996796">
        <w:rPr>
          <w:lang w:val="en-GB"/>
        </w:rPr>
        <w:fldChar w:fldCharType="end"/>
      </w:r>
      <w:r w:rsidR="00E94B4E">
        <w:rPr>
          <w:lang w:val="en-GB"/>
        </w:rPr>
        <w:t>. In practice, this</w:t>
      </w:r>
      <w:r w:rsidR="00D70D29">
        <w:rPr>
          <w:lang w:val="en-GB"/>
        </w:rPr>
        <w:t xml:space="preserve"> approach</w:t>
      </w:r>
      <w:r w:rsidR="00E94B4E">
        <w:rPr>
          <w:lang w:val="en-GB"/>
        </w:rPr>
        <w:t xml:space="preserve"> is often problematic: the standards employed to assess the biodegradability of these materials employ markedly harsher conditions and longer residence times than most of the plants that treat the OFMSW. </w:t>
      </w:r>
      <w:r w:rsidR="00996796">
        <w:rPr>
          <w:lang w:val="en-GB"/>
        </w:rPr>
        <w:t>B</w:t>
      </w:r>
      <w:r w:rsidR="00E94B4E">
        <w:rPr>
          <w:lang w:val="en-GB"/>
        </w:rPr>
        <w:t xml:space="preserve">ioplastics often do not degrade satisfactorily in these plants </w:t>
      </w:r>
      <w:r w:rsidR="00E94B4E">
        <w:rPr>
          <w:lang w:val="en-GB"/>
        </w:rPr>
        <w:fldChar w:fldCharType="begin" w:fldLock="1"/>
      </w:r>
      <w:r w:rsidR="00FB260E">
        <w:rPr>
          <w:lang w:val="en-GB"/>
        </w:rPr>
        <w:instrText>ADDIN CSL_CITATION {"citationItems":[{"id":"ITEM-1","itemData":{"DOI":"10.1016/J.ETI.2021.101393","ISSN":"2352-1864","abstract":"The “European Strategy for plastics” approved by the European Union aims at drastically reducing the use of plastic materials derived from fossil resources, especially single use plastic (SUP). As a consequence, the adoption of biodegradable plastics is forced by different national regulations, especially in France and Italy which banned the usage of single use plastics. Being classified as biodegradable and compostable, the major part of these materials is often collected with the Organic Fraction of Municipal Solid Wastes (OFMSW), basically due by food waste, and sent to biological treatment plants, namely composting and anaerobic digestion for bioenergy recovery or their combination. This study tested the specific methane production and the relative kinetics of the most common single use biodegradable items (carrier bag, cutlery and plates), available on the market. It was demonstrated that sugar cane cellulosic pulp materials have good methane production of 390 LCH4/kgTVS and a kinetic which is consistent with the anaerobic digestion's residence time typically applied for OFMSW. On the contrary, starch-based bioplastic and PLA materials remained almost undegraded after 250 days and showed low specific methane production yields in the range 100–200​ LCH4/kgTVS. The adoption of acidic and basic pretreatments improved the anaerobic digestion performances of starch-based bioplastic and PLA samples. Materials made of poly-hydroxy-alkanoates (PHA) showed higher methane production rates, up to 402 LCH4/kgTVS in short residence times (around 10 days), which make them adequate to be treated together with food waste in anaerobic digestion plants.","author":[{"dropping-particle":"","family":"Battista","given":"Federico","non-dropping-particle":"","parse-names":false,"suffix":""},{"dropping-particle":"","family":"Frison","given":"Nicola","non-dropping-particle":"","parse-names":false,"suffix":""},{"dropping-particle":"","family":"Bolzonella","given":"David","non-dropping-particle":"","parse-names":false,"suffix":""}],"container-title":"Environmental Technology &amp; Innovation","id":"ITEM-1","issued":{"date-parts":[["2021","5","1"]]},"page":"101393","publisher":"Elsevier","title":"Can bioplastics be treated in conventional anaerobic digesters for food waste treatment?","type":"article-journal","volume":"22"},"uris":["http://www.mendeley.com/documents/?uuid=29ccbaaf-2329-3cfc-a3c7-b76ff9c4144b"]}],"mendeley":{"formattedCitation":"(Battista et al., 2021)","plainTextFormattedCitation":"(Battista et al., 2021)","previouslyFormattedCitation":"(Battista et al., 2021)"},"properties":{"noteIndex":0},"schema":"https://github.com/citation-style-language/schema/raw/master/csl-citation.json"}</w:instrText>
      </w:r>
      <w:r w:rsidR="00E94B4E">
        <w:rPr>
          <w:lang w:val="en-GB"/>
        </w:rPr>
        <w:fldChar w:fldCharType="separate"/>
      </w:r>
      <w:r w:rsidR="00E94B4E" w:rsidRPr="00E94B4E">
        <w:rPr>
          <w:noProof/>
          <w:lang w:val="en-GB"/>
        </w:rPr>
        <w:t>(Battista et al., 2021)</w:t>
      </w:r>
      <w:r w:rsidR="00E94B4E">
        <w:rPr>
          <w:lang w:val="en-GB"/>
        </w:rPr>
        <w:fldChar w:fldCharType="end"/>
      </w:r>
      <w:r w:rsidR="00E94B4E">
        <w:rPr>
          <w:lang w:val="en-GB"/>
        </w:rPr>
        <w:t xml:space="preserve">, and </w:t>
      </w:r>
      <w:r w:rsidR="00FB1105">
        <w:rPr>
          <w:lang w:val="en-GB"/>
        </w:rPr>
        <w:t>sometimes</w:t>
      </w:r>
      <w:r w:rsidR="00E94B4E">
        <w:rPr>
          <w:lang w:val="en-GB"/>
        </w:rPr>
        <w:t xml:space="preserve"> are discarded at the entrance of the plants and destined </w:t>
      </w:r>
      <w:r w:rsidR="00FB1105">
        <w:rPr>
          <w:lang w:val="en-GB"/>
        </w:rPr>
        <w:t>for</w:t>
      </w:r>
      <w:r w:rsidR="00E94B4E">
        <w:rPr>
          <w:lang w:val="en-GB"/>
        </w:rPr>
        <w:t xml:space="preserve"> other disposal methods, such as incineration or landfilling. </w:t>
      </w:r>
      <w:r w:rsidR="000408D3">
        <w:rPr>
          <w:lang w:val="en-GB"/>
        </w:rPr>
        <w:t xml:space="preserve">Other reported </w:t>
      </w:r>
      <w:r w:rsidR="003E670E">
        <w:rPr>
          <w:lang w:val="en-GB"/>
        </w:rPr>
        <w:t>disposal</w:t>
      </w:r>
      <w:r w:rsidR="000408D3">
        <w:rPr>
          <w:lang w:val="en-GB"/>
        </w:rPr>
        <w:t xml:space="preserve"> methodologies for bioplastics include their mechanical or chemical recycling </w:t>
      </w:r>
      <w:r w:rsidR="000408D3">
        <w:rPr>
          <w:lang w:val="en-GB"/>
        </w:rPr>
        <w:fldChar w:fldCharType="begin" w:fldLock="1"/>
      </w:r>
      <w:r w:rsidR="002D74A2">
        <w:rPr>
          <w:lang w:val="en-GB"/>
        </w:rPr>
        <w:instrText>ADDIN CSL_CITATION {"citationItems":[{"id":"ITEM-1","itemData":{"DOI":"10.1007/s10924-020-01795-8","ISBN":"0123456789","ISSN":"1566-2543","abstract":"Continual reduction of landfill space along with rising CO 2 levels and environmental pollution, are global issues that will only grow with time if not correctly addressed. The lack of proper waste management infrastructure means gloablly commodity plastics are disposed of incorrectly, leading to both an economical loss and environmental destruction. The bioaccumulation of plastics and microplastics can already be seen in marine ecosystems causing a negative impact on all organisms that live there, ultimately microplastics will bioaccumulate in humans. The opportunity exists to replace the majority of petroleum derived plastics with bioplastics (bio-based, biodegradable or both). This, in conjunction with mechanical and chemical recycling is a renewable and sustainable solution that would help mitigate climate change. This review covers the most promising biopolymers PLA, PGA, PHA and bio-versions of conventional petro-plastics bio-PET, bio-PE. The most optimal recycling routes after reuse and mechanical recycling are: alcoholysis, biodegradation, biological recycling, glycolysis and pyrolysis respectively.","author":[{"dropping-particle":"","family":"Lamberti","given":"Fabio M.","non-dropping-particle":"","parse-names":false,"suffix":""},{"dropping-particle":"","family":"Román-Ramírez","given":"Luis A.","non-dropping-particle":"","parse-names":false,"suffix":""},{"dropping-particle":"","family":"Wood","given":"Joseph","non-dropping-particle":"","parse-names":false,"suffix":""}],"container-title":"Journal of Polymers and the Environment","id":"ITEM-1","issue":"10","issued":{"date-parts":[["2020","10","22"]]},"page":"2551-2571","publisher":"Springer","title":"Recycling of Bioplastics: Routes and Benefits","type":"article-journal","volume":"28"},"uris":["http://www.mendeley.com/documents/?uuid=5a43ee49-e17d-3aa9-a6b5-8f3726bd4e71"]}],"mendeley":{"formattedCitation":"(Lamberti et al., 2020)","plainTextFormattedCitation":"(Lamberti et al., 2020)","previouslyFormattedCitation":"(Lamberti et al., 2020)"},"properties":{"noteIndex":0},"schema":"https://github.com/citation-style-language/schema/raw/master/csl-citation.json"}</w:instrText>
      </w:r>
      <w:r w:rsidR="000408D3">
        <w:rPr>
          <w:lang w:val="en-GB"/>
        </w:rPr>
        <w:fldChar w:fldCharType="separate"/>
      </w:r>
      <w:r w:rsidR="000408D3" w:rsidRPr="000408D3">
        <w:rPr>
          <w:noProof/>
          <w:lang w:val="en-GB"/>
        </w:rPr>
        <w:t>(Lamberti et al., 2020)</w:t>
      </w:r>
      <w:r w:rsidR="000408D3">
        <w:rPr>
          <w:lang w:val="en-GB"/>
        </w:rPr>
        <w:fldChar w:fldCharType="end"/>
      </w:r>
      <w:r w:rsidR="000408D3">
        <w:rPr>
          <w:lang w:val="en-GB"/>
        </w:rPr>
        <w:t>. This however requires advanced separation efficiency for valuable material recovery</w:t>
      </w:r>
      <w:r w:rsidR="002D74A2">
        <w:rPr>
          <w:lang w:val="en-GB"/>
        </w:rPr>
        <w:t xml:space="preserve"> and may produce materials with less desirable properties </w:t>
      </w:r>
      <w:r w:rsidR="002D74A2">
        <w:rPr>
          <w:lang w:val="en-GB"/>
        </w:rPr>
        <w:fldChar w:fldCharType="begin" w:fldLock="1"/>
      </w:r>
      <w:r w:rsidR="00996796">
        <w:rPr>
          <w:lang w:val="en-GB"/>
        </w:rPr>
        <w:instrText>ADDIN CSL_CITATION {"citationItems":[{"id":"ITEM-1","itemData":{"DOI":"10.3390/polym11091477","ISSN":"2073-4360","abstract":"The recyclability of polylactide acid (PLA) and poly (3-hydroxybutyrate-co-3-hydroxyvalerate (PHBV)-based biocomposites (10%, 20% and 30% by weight of sisal natural fibre) was evaluated in this work. The mechanical and thermal properties were initially determined and were shown to be similar to commodity plastics, such as polyethylene or polypropylene. Three recycle steps were carried out and the mechanical and thermal properties of recycled samples were evaluated and compared to the reference samples. The tensile modulus increased for recycled PLA biocomposites, whereas it was hardly influenced by recycling the PHBV biocomposites. The tensile strength and deformation at the break decreased notably after the first cycle in all cases. Although all the biocomposites became more brittle with recycling, the properties were conserved along until the third cycle, proving their promising recyclability. From the data obtained from the dynamic mechanical analysis, a slight decrease of the storage modulus of PHBV was observed, whereas PLA showed a significant decay of its properties at the 3rd recyclate. The PLA specimens were filled with sisal fibres until they reached 20%wt, which seemed also less subject to the embrittlement occurring along the recycling phase. The characteristic temperatures (glass transition-Tg, crystallization-Tc, melting-Tm) of all the biocomposites were not highly affected by recycling. Only a slight decrease on the melting point of the recycled PHBV was observed suggesting an overall good reprocessability. Moreover, the processing conditions lied in the same range as the conventional plastics which would facilitate potential joint valorization techniques.","author":[{"dropping-particle":"","family":"Lagazzo","given":"Alberto","non-dropping-particle":"","parse-names":false,"suffix":""},{"dropping-particle":"","family":"Moliner","given":"Cristina","non-dropping-particle":"","parse-names":false,"suffix":""},{"dropping-particle":"","family":"Bosio","given":"Barbara","non-dropping-particle":"","parse-names":false,"suffix":""},{"dropping-particle":"","family":"Botter","given":"Rodolfo","non-dropping-particle":"","parse-names":false,"suffix":""},{"dropping-particle":"","family":"Arato","given":"Elisabetta","non-dropping-particle":"","parse-names":false,"suffix":""}],"container-title":"Polymers","id":"ITEM-1","issue":"9","issued":{"date-parts":[["2019","9","10"]]},"page":"1477","title":"Evaluation of the Mechanical and Thermal Properties Decay of PHBV/Sisal and PLA/Sisal Biocomposites at Different Recycle Steps","type":"article-journal","volume":"11"},"uris":["http://www.mendeley.com/documents/?uuid=67a512e1-a75d-4a7f-8a62-2376eb948933"]}],"mendeley":{"formattedCitation":"(Lagazzo et al., 2019)","plainTextFormattedCitation":"(Lagazzo et al., 2019)","previouslyFormattedCitation":"(Lagazzo et al., 2019)"},"properties":{"noteIndex":0},"schema":"https://github.com/citation-style-language/schema/raw/master/csl-citation.json"}</w:instrText>
      </w:r>
      <w:r w:rsidR="002D74A2">
        <w:rPr>
          <w:lang w:val="en-GB"/>
        </w:rPr>
        <w:fldChar w:fldCharType="separate"/>
      </w:r>
      <w:r w:rsidR="002D74A2" w:rsidRPr="002D74A2">
        <w:rPr>
          <w:noProof/>
          <w:lang w:val="en-GB"/>
        </w:rPr>
        <w:t>(Lagazzo et al., 2019)</w:t>
      </w:r>
      <w:r w:rsidR="002D74A2">
        <w:rPr>
          <w:lang w:val="en-GB"/>
        </w:rPr>
        <w:fldChar w:fldCharType="end"/>
      </w:r>
      <w:r w:rsidR="002D74A2">
        <w:rPr>
          <w:lang w:val="en-GB"/>
        </w:rPr>
        <w:t>.</w:t>
      </w:r>
    </w:p>
    <w:p w14:paraId="09A4640A" w14:textId="507D8208" w:rsidR="00E94B4E" w:rsidRDefault="00E94B4E" w:rsidP="005255AF">
      <w:pPr>
        <w:pStyle w:val="CETBodytext"/>
        <w:rPr>
          <w:lang w:val="en-GB"/>
        </w:rPr>
      </w:pPr>
      <w:r>
        <w:rPr>
          <w:lang w:val="en-GB"/>
        </w:rPr>
        <w:t xml:space="preserve">Hydrothermal </w:t>
      </w:r>
      <w:r w:rsidR="00FB1105">
        <w:rPr>
          <w:lang w:val="en-GB"/>
        </w:rPr>
        <w:t>carbonization</w:t>
      </w:r>
      <w:r>
        <w:rPr>
          <w:lang w:val="en-GB"/>
        </w:rPr>
        <w:t xml:space="preserve"> (HTC) has been proved to be a possible path to facilitate the degradation of biogenic </w:t>
      </w:r>
      <w:r w:rsidR="00FB260E">
        <w:rPr>
          <w:lang w:val="en-GB"/>
        </w:rPr>
        <w:t xml:space="preserve">materials. HTC is an induced coalification process, which </w:t>
      </w:r>
      <w:r w:rsidR="00D70D29">
        <w:rPr>
          <w:lang w:val="en-GB"/>
        </w:rPr>
        <w:t>operate</w:t>
      </w:r>
      <w:r w:rsidR="00FB260E">
        <w:rPr>
          <w:lang w:val="en-GB"/>
        </w:rPr>
        <w:t xml:space="preserve">s with a feedstock submerged in liquid water that is heated up to 180-250 °C, with a residence time of minutes to hours. In these conditions, water acts as a catalyst and facilitates the breakage of the biomass molecules, producing a carbon-rich solid (hydrochar), a liquid phase containing various organic components (liquor) and a gas that mainly consists of carbon dioxide </w:t>
      </w:r>
      <w:r w:rsidR="00FB260E">
        <w:rPr>
          <w:lang w:val="en-GB"/>
        </w:rPr>
        <w:fldChar w:fldCharType="begin" w:fldLock="1"/>
      </w:r>
      <w:r w:rsidR="00FB260E">
        <w:rPr>
          <w:lang w:val="en-GB"/>
        </w:rPr>
        <w:instrText>ADDIN CSL_CITATION {"citationItems":[{"id":"ITEM-1","itemData":{"DOI":"10.1016/J.BIORTECH.2021.126084","ISSN":"0960-8524","PMID":"34610425","abstract":"Thermochemical processes including hydrothermal technology are gaining research interest as a potentially green method for deconstructing biomass into platform chemicals or energy carriers. Hydrothermal liquefaction (HTL) and Hydrothermal Carbonization (HTC) are advantageous because of their enhanced process performance while being environmentally friendly and technologically innovative. However, after a deep review, several works have shown a misunderstanding between HTL and HTC concepts. Therefore, this review advances understanding on the main differences and gaps found between HTL and HTC in terms of operation parameters, technical issues, and main products. Furthermore, environmental and techno-economic assessments (TEA) were presented to appraise the environmental sustainability and economic implications of these techniques. Perspectives and challenges are presented and the integration approaches of hydrothermal valorization pathways and biorefining are explored.","author":[{"dropping-particle":"","family":"Lachos-Perez","given":"Daniel","non-dropping-particle":"","parse-names":false,"suffix":""},{"dropping-particle":"","family":"César Torres-Mayanga","given":"Paulo","non-dropping-particle":"","parse-names":false,"suffix":""},{"dropping-particle":"","family":"Abaide","given":"Ederson R.","non-dropping-particle":"","parse-names":false,"suffix":""},{"dropping-particle":"","family":"Zabot","given":"Giovani L.","non-dropping-particle":"","parse-names":false,"suffix":""},{"dropping-particle":"","family":"Castilhos","given":"Fernanda","non-dropping-particle":"De","parse-names":false,"suffix":""}],"container-title":"Bioresource Technology","id":"ITEM-1","issued":{"date-parts":[["2022","1","1"]]},"page":"126084","publisher":"Elsevier","title":"Hydrothermal carbonization and Liquefaction: differences, progress, challenges, and opportunities","type":"article-journal","volume":"343"},"uris":["http://www.mendeley.com/documents/?uuid=26085411-b356-3d1f-9f9f-5d5080377095"]}],"mendeley":{"formattedCitation":"(Lachos-Perez et al., 2022)","plainTextFormattedCitation":"(Lachos-Perez et al., 2022)","previouslyFormattedCitation":"(Lachos-Perez et al., 2022)"},"properties":{"noteIndex":0},"schema":"https://github.com/citation-style-language/schema/raw/master/csl-citation.json"}</w:instrText>
      </w:r>
      <w:r w:rsidR="00FB260E">
        <w:rPr>
          <w:lang w:val="en-GB"/>
        </w:rPr>
        <w:fldChar w:fldCharType="separate"/>
      </w:r>
      <w:r w:rsidR="00FB260E" w:rsidRPr="00FB260E">
        <w:rPr>
          <w:noProof/>
          <w:lang w:val="en-GB"/>
        </w:rPr>
        <w:t>(Lachos-Perez et al., 2022)</w:t>
      </w:r>
      <w:r w:rsidR="00FB260E">
        <w:rPr>
          <w:lang w:val="en-GB"/>
        </w:rPr>
        <w:fldChar w:fldCharType="end"/>
      </w:r>
      <w:r w:rsidR="00FB260E">
        <w:rPr>
          <w:lang w:val="en-GB"/>
        </w:rPr>
        <w:t xml:space="preserve">. The solid and liquid products of HTC may then be fed to anaerobic digestion, increasing the biogas yield </w:t>
      </w:r>
      <w:r w:rsidR="00FB260E">
        <w:rPr>
          <w:lang w:val="en-GB"/>
        </w:rPr>
        <w:fldChar w:fldCharType="begin" w:fldLock="1"/>
      </w:r>
      <w:r w:rsidR="008B24F8">
        <w:rPr>
          <w:lang w:val="en-GB"/>
        </w:rPr>
        <w:instrText>ADDIN CSL_CITATION {"citationItems":[{"id":"ITEM-1","itemData":{"DOI":"10.3390/en13236262","ISSN":"1996-1073","abstract":"The present study addresses the coupling of hydrothermal carbonization (HTC) with anaerobic digestion (AD) in wastewater treatment plants. The improvement in biomethane production due to the recycling back to the anaerobic digester of HTC liquor and hydrochar generated from digested sludge is investigated and proved. Mixtures of different compositions of HTC liquor and hydrochar, as well as individual substrates, were tested. The biomethane yield reached 102 ± 3 mL CH4 g−1 COD when the HTC liquor was cycled back to the AD and treated together with primary and secondary sludge. Thus, the biomethane production was almost doubled compared to that of the AD of primary and secondary sludge (55 ± 20 mL CH4 g−1 COD). The benefit is even more significant when both the HTC liquor and the hydrochar were fed to the AD of primary and secondary sludge. The biomethane yield increased up to 187 ± 18 mL CH4 g−1 COD when 45% of hydrochar, with respect to the total feedstock, was added. These results highlight the improvement that the HTC process can bring to AD, enhancing biomethane production and promoting a sustainable solution for the treatment of the HTC liquor and possibly the hydrochar itself.","author":[{"dropping-particle":"","family":"Ferrentino","given":"Roberta","non-dropping-particle":"","parse-names":false,"suffix":""},{"dropping-particle":"","family":"Merzari","given":"Fabio","non-dropping-particle":"","parse-names":false,"suffix":""},{"dropping-particle":"","family":"Fiori","given":"Luca","non-dropping-particle":"","parse-names":false,"suffix":""},{"dropping-particle":"","family":"Andreottola","given":"Gianni","non-dropping-particle":"","parse-names":false,"suffix":""}],"container-title":"Energies","id":"ITEM-1","issue":"23","issued":{"date-parts":[["2020","11","27"]]},"page":"6262","title":"Coupling Hydrothermal Carbonization with Anaerobic Digestion for Sewage Sludge Treatment: Influence of HTC Liquor and Hydrochar on Biomethane Production","type":"article-journal","volume":"13"},"uris":["http://www.mendeley.com/documents/?uuid=ba48f3d6-df30-4330-892f-d73c9e3dc225"]}],"mendeley":{"formattedCitation":"(Ferrentino et al., 2020)","plainTextFormattedCitation":"(Ferrentino et al., 2020)","previouslyFormattedCitation":"(Ferrentino et al., 2020)"},"properties":{"noteIndex":0},"schema":"https://github.com/citation-style-language/schema/raw/master/csl-citation.json"}</w:instrText>
      </w:r>
      <w:r w:rsidR="00FB260E">
        <w:rPr>
          <w:lang w:val="en-GB"/>
        </w:rPr>
        <w:fldChar w:fldCharType="separate"/>
      </w:r>
      <w:r w:rsidR="00FB260E" w:rsidRPr="00FB260E">
        <w:rPr>
          <w:noProof/>
          <w:lang w:val="en-GB"/>
        </w:rPr>
        <w:t>(Ferrentino et al., 2020)</w:t>
      </w:r>
      <w:r w:rsidR="00FB260E">
        <w:rPr>
          <w:lang w:val="en-GB"/>
        </w:rPr>
        <w:fldChar w:fldCharType="end"/>
      </w:r>
      <w:r w:rsidR="00FB260E">
        <w:rPr>
          <w:lang w:val="en-GB"/>
        </w:rPr>
        <w:t xml:space="preserve">, or destined to other valorisation pathways, such as thermochemical </w:t>
      </w:r>
      <w:r w:rsidR="008B24F8">
        <w:rPr>
          <w:lang w:val="en-GB"/>
        </w:rPr>
        <w:t xml:space="preserve">conversion </w:t>
      </w:r>
      <w:r w:rsidR="008B24F8">
        <w:rPr>
          <w:lang w:val="en-GB"/>
        </w:rPr>
        <w:fldChar w:fldCharType="begin" w:fldLock="1"/>
      </w:r>
      <w:r w:rsidR="002D74A2">
        <w:rPr>
          <w:lang w:val="en-GB"/>
        </w:rPr>
        <w:instrText>ADDIN CSL_CITATION {"citationItems":[{"id":"ITEM-1","itemData":{"DOI":"10.3303/CET2186155","ISBN":"9788895608846","ISSN":"22839216","abstract":"Hydrochar is produced by means of hydrothermal carbonization at relatively low temperatures (180-260°C) in sub-critical water. While, in many respects similar to biochar, its physical and chemical properties differ significantly (Basu, 2018). Of particular interest for this work are the higher energy density and lower ash content, that make hydrochar a possible feedstock for gasification plants with energy generation purposes. A gasification step is used instead of direct combustion to convert solid fuels in energy to achieve cleaner combustion and higher efficiency (Wang and Stiegel, 2016). In this work a 400 kg/h hydrochar gasification plant was modelled to identify optimal conditions and energetic yield of hydrochar obtained from municipal sewage. The fixed bed, updraft, gasification reactor was modeled in detail using a multi-scale, multiphase methodology already widely tested on biomass (Corbetta et al., 2015; Ranzi et al., 2014). The gas solid kinetic model was coupled with a detailed gas-phase kinetic scheme with over 200 species, including reaction intermediates, and 2000 reactions for reliable product yield prediction. Using Visual Basic Application as an interface, the predictions from the detailed simulation package were delivered to a commercial simulation package to model the energy generation section of the plant. Aspen HYSYS V10 was used for this purpose for the simplicity of integration and its widespread use in similar industrial plants. The gasification was carried out with air, air enriched in oxygen to 28%, air enriched in oxygen to 35% and pure oxygen with different amounts of steam to control the temperature in the chamber and at different values of equivalence ratio. The gasification performance was evaluated in terms of lower heating value of the generated fuel gas while the H2S formation was accounted for only in a superficial manner using rules of thumb derived from previous experimental experience.","author":[{"dropping-particle":"","family":"Prifti","given":"Kristiano","non-dropping-particle":"","parse-names":false,"suffix":""},{"dropping-particle":"","family":"Basso","given":"Daniele","non-dropping-particle":"","parse-names":false,"suffix":""},{"dropping-particle":"","family":"Pavanetto","given":"Renato","non-dropping-particle":"","parse-names":false,"suffix":""},{"dropping-particle":"","family":"Manenti","given":"Flavio","non-dropping-particle":"","parse-names":false,"suffix":""}],"container-title":"Chemical Engineering Transactions","id":"ITEM-1","issue":"October 2020","issued":{"date-parts":[["2021"]]},"page":"925-930","title":"Improving hydrothermal carbonization (HTC) processes by hydrochar gasification","type":"article-journal","volume":"86"},"uris":["http://www.mendeley.com/documents/?uuid=e671c18d-f96e-49de-b6f3-1b060b7d876f","http://www.mendeley.com/documents/?uuid=6ef43724-1a2b-4f31-853e-1f5ec3370043"]}],"mendeley":{"formattedCitation":"(Prifti et al., 2021)","plainTextFormattedCitation":"(Prifti et al., 2021)","previouslyFormattedCitation":"(Prifti et al., 2021)"},"properties":{"noteIndex":0},"schema":"https://github.com/citation-style-language/schema/raw/master/csl-citation.json"}</w:instrText>
      </w:r>
      <w:r w:rsidR="008B24F8">
        <w:rPr>
          <w:lang w:val="en-GB"/>
        </w:rPr>
        <w:fldChar w:fldCharType="separate"/>
      </w:r>
      <w:r w:rsidR="008B24F8" w:rsidRPr="008B24F8">
        <w:rPr>
          <w:noProof/>
          <w:lang w:val="en-GB"/>
        </w:rPr>
        <w:t>(Prifti et al., 2021)</w:t>
      </w:r>
      <w:r w:rsidR="008B24F8">
        <w:rPr>
          <w:lang w:val="en-GB"/>
        </w:rPr>
        <w:fldChar w:fldCharType="end"/>
      </w:r>
      <w:r w:rsidR="008B24F8">
        <w:rPr>
          <w:lang w:val="en-GB"/>
        </w:rPr>
        <w:t xml:space="preserve">, platform chemicals extraction </w:t>
      </w:r>
      <w:r w:rsidR="008B24F8">
        <w:rPr>
          <w:lang w:val="en-GB"/>
        </w:rPr>
        <w:fldChar w:fldCharType="begin" w:fldLock="1"/>
      </w:r>
      <w:r w:rsidR="002D74A2">
        <w:rPr>
          <w:lang w:val="en-GB"/>
        </w:rPr>
        <w:instrText>ADDIN CSL_CITATION {"citationItems":[{"id":"ITEM-1","itemData":{"DOI":"10.3303/CET2292012","ISBN":"9788895608907","ISSN":"22839216","abstract":"This study explores the potential of biomass hydrothermal carbonization (HTC) for developing innovative, integrated waste-to-value conversion chains. Experiments with two lignocellulosic residuals, silver fir sawdust (FIR) and wheat straw (STRAW), give valuable hints for foreshadowing novel process schemes. The batch carbonization reactions lasted from 0 to 120 min, at constant water/biomass ratios (FIR, 7/1; STRAW, 5/1), at 180, 200, and 230 °C, and autogenous pressure. Within the first 60 min of reaction, both biomasses release green platform chemicals in the liquid phase at increasing concentrations without resorting to catalysts or additives. Longer reaction times cause the depletion of liquid-phase chemicals due to secondary hydrochar production. The highest concentrations of 5-hydroxymethylfurfural (80 mM) and furfural (400 mM) detected with FIR suggest exploiting this biomass in a short-time HTC, renouncing the improvement of the solid fuel. Waste-to-energy is unanimously considered the route of choice for STRAW. In this case, the conventional use of HTC would be pre-treating the biomass for feeding a gasification stage properly. Evidence of this study suggests that a two-step HTC would combine the requirements of fuel production with those of recovery of value-added chemicals from the liquid phase. During the reactor warm-up to 230 °C, furfural concentration builds up to 300 mM, then halves within the first 15 min of the HTC process and drops to zero at 120 min, a reaction time required for a satisfactory STRAW energy densification (raw biomass, 15 MJ/kg; 120 min hydrochar, 21 MJ/kg). The results of this study pave the way for further investigation aiming to set the optimal operational conditions.","author":[{"dropping-particle":"","family":"Gallifuoco","given":"Alberto","non-dropping-particle":"","parse-names":false,"suffix":""},{"dropping-particle":"","family":"Taglieri","given":"Luca","non-dropping-particle":"","parse-names":false,"suffix":""},{"dropping-particle":"","family":"Papa","given":"Alessandro A.","non-dropping-particle":"","parse-names":false,"suffix":""},{"dropping-particle":"","family":"Carlo","given":"Andrea","non-dropping-particle":"Di","parse-names":false,"suffix":""}],"container-title":"Chemical Engineering Transactions","id":"ITEM-1","issue":"March","issued":{"date-parts":[["2022"]]},"page":"67-72","title":"Advanced Biomass-to-Value Chains By Integrating Hydrothermal Carbonization into Complex Conversion Process Schemes","type":"article-journal","volume":"92"},"uris":["http://www.mendeley.com/documents/?uuid=934282ba-883c-42b6-8f1e-df3eb203d5b9","http://www.mendeley.com/documents/?uuid=d3edb52c-8746-4db4-9415-647d3aaf84d9"]}],"mendeley":{"formattedCitation":"(Gallifuoco et al., 2022)","plainTextFormattedCitation":"(Gallifuoco et al., 2022)","previouslyFormattedCitation":"(Gallifuoco et al., 2022)"},"properties":{"noteIndex":0},"schema":"https://github.com/citation-style-language/schema/raw/master/csl-citation.json"}</w:instrText>
      </w:r>
      <w:r w:rsidR="008B24F8">
        <w:rPr>
          <w:lang w:val="en-GB"/>
        </w:rPr>
        <w:fldChar w:fldCharType="separate"/>
      </w:r>
      <w:r w:rsidR="008B24F8" w:rsidRPr="008B24F8">
        <w:rPr>
          <w:noProof/>
          <w:lang w:val="en-GB"/>
        </w:rPr>
        <w:t>(Gallifuoco et al., 2022)</w:t>
      </w:r>
      <w:r w:rsidR="008B24F8">
        <w:rPr>
          <w:lang w:val="en-GB"/>
        </w:rPr>
        <w:fldChar w:fldCharType="end"/>
      </w:r>
      <w:r w:rsidR="008B24F8">
        <w:rPr>
          <w:lang w:val="en-GB"/>
        </w:rPr>
        <w:t xml:space="preserve"> or production of adsorbent materials </w:t>
      </w:r>
      <w:r w:rsidR="008B24F8">
        <w:rPr>
          <w:lang w:val="en-GB"/>
        </w:rPr>
        <w:fldChar w:fldCharType="begin" w:fldLock="1"/>
      </w:r>
      <w:r w:rsidR="002D74A2">
        <w:rPr>
          <w:lang w:val="en-GB"/>
        </w:rPr>
        <w:instrText>ADDIN CSL_CITATION {"citationItems":[{"id":"ITEM-1","itemData":{"DOI":"10.3303/CET1867107","ISBN":"9788895608648","ISSN":"22839216","abstract":"In this study, hydrochar (HC) produced at industrial scale by hydrothermal carbonization of municipal woody and herbaceous prunings was used for producing activated carbon by KOH chemical activation. Different KOH/HC ratios were studied to produce highly porous materials with high surface area. Activated carbon with a BET surface area up to 1739 m2/g was obtained for a 3:1 KOH/HC ratio. Adsorption properties of obtained samples were studied for removing pollutants both from gas and liquid phases. Thermogravimetric analyzer (TGA) was used for evaluating the removal capacities of CO2 from a gaseous phase, while UV-Vis spectroscopy was used for evaluating the removal capacities of an emerging contaminant from an aqueous phase. All samples showed a good CO2 adsorption capacity at 27 °C, reaching 84.5 mg CO2/g sorbent for hydrochar activated with an impregnation ratio of 2:1. Moreover, activated chars exhibited a high removal efficiency (up to 97.9 % for a 3:1 KOH/HC ratio) for atrazine, which is one of the most common pesticides detected in superficial and groundwater aquifers.","author":[{"dropping-particle":"","family":"Puccini","given":"Monica","non-dropping-particle":"","parse-names":false,"suffix":""},{"dropping-particle":"","family":"Stefanelli","given":"Eleonora","non-dropping-particle":"","parse-names":false,"suffix":""},{"dropping-particle":"","family":"Tasca","given":"Andrea Luca","non-dropping-particle":"","parse-names":false,"suffix":""},{"dropping-particle":"","family":"Vitolo","given":"Sandra","non-dropping-particle":"","parse-names":false,"suffix":""}],"container-title":"Chemical Engineering Transactions","id":"ITEM-1","issued":{"date-parts":[["2018"]]},"page":"637-642","title":"Pollutant removal from gaseous and aqueous phases using hydrochar-based activated carbon","type":"article-journal","volume":"67"},"uris":["http://www.mendeley.com/documents/?uuid=1e8c93b5-62d1-404f-8131-39e19d97e006","http://www.mendeley.com/documents/?uuid=442c23c5-5b5c-4902-acc4-8f6f0ffc4869"]}],"mendeley":{"formattedCitation":"(Puccini et al., 2018)","plainTextFormattedCitation":"(Puccini et al., 2018)","previouslyFormattedCitation":"(Puccini et al., 2018)"},"properties":{"noteIndex":0},"schema":"https://github.com/citation-style-language/schema/raw/master/csl-citation.json"}</w:instrText>
      </w:r>
      <w:r w:rsidR="008B24F8">
        <w:rPr>
          <w:lang w:val="en-GB"/>
        </w:rPr>
        <w:fldChar w:fldCharType="separate"/>
      </w:r>
      <w:r w:rsidR="008B24F8" w:rsidRPr="008B24F8">
        <w:rPr>
          <w:noProof/>
          <w:lang w:val="en-GB"/>
        </w:rPr>
        <w:t>(Puccini et al., 2018)</w:t>
      </w:r>
      <w:r w:rsidR="008B24F8">
        <w:rPr>
          <w:lang w:val="en-GB"/>
        </w:rPr>
        <w:fldChar w:fldCharType="end"/>
      </w:r>
      <w:r w:rsidR="008B24F8">
        <w:rPr>
          <w:lang w:val="en-GB"/>
        </w:rPr>
        <w:t xml:space="preserve">. </w:t>
      </w:r>
      <w:r w:rsidR="000B5465" w:rsidRPr="000B5465">
        <w:rPr>
          <w:highlight w:val="yellow"/>
          <w:lang w:val="en-GB"/>
        </w:rPr>
        <w:t>T</w:t>
      </w:r>
      <w:r w:rsidR="000408D3" w:rsidRPr="000B5465">
        <w:rPr>
          <w:highlight w:val="yellow"/>
          <w:lang w:val="en-GB"/>
        </w:rPr>
        <w:t>he HTC treatment of traditional plastics</w:t>
      </w:r>
      <w:r w:rsidR="000B5465" w:rsidRPr="000B5465">
        <w:rPr>
          <w:highlight w:val="yellow"/>
          <w:lang w:val="en-GB"/>
        </w:rPr>
        <w:t xml:space="preserve"> was first reported in 2015</w:t>
      </w:r>
      <w:r w:rsidR="000408D3" w:rsidRPr="000B5465">
        <w:rPr>
          <w:highlight w:val="yellow"/>
          <w:lang w:val="en-GB"/>
        </w:rPr>
        <w:t xml:space="preserve"> </w:t>
      </w:r>
      <w:r w:rsidR="000408D3" w:rsidRPr="000B5465">
        <w:rPr>
          <w:highlight w:val="yellow"/>
          <w:lang w:val="en-GB"/>
        </w:rPr>
        <w:fldChar w:fldCharType="begin" w:fldLock="1"/>
      </w:r>
      <w:r w:rsidR="002D74A2" w:rsidRPr="000B5465">
        <w:rPr>
          <w:highlight w:val="yellow"/>
          <w:lang w:val="en-GB"/>
        </w:rPr>
        <w:instrText>ADDIN CSL_CITATION {"citationItems":[{"id":"ITEM-1","itemData":{"DOI":"10.1016/j.chemosphere.2014.07.058","ISSN":"00456535","author":[{"dropping-particle":"","family":"Poerschmann","given":"J.","non-dropping-particle":"","parse-names":false,"suffix":""},{"dropping-particle":"","family":"Weiner","given":"B.","non-dropping-particle":"","parse-names":false,"suffix":""},{"dropping-particle":"","family":"Woszidlo","given":"S.","non-dropping-particle":"","parse-names":false,"suffix":""},{"dropping-particle":"","family":"Koehler","given":"R.","non-dropping-particle":"","parse-names":false,"suffix":""},{"dropping-particle":"","family":"Kopinke","given":"F.-D.","non-dropping-particle":"","parse-names":false,"suffix":""}],"container-title":"Chemosphere","id":"ITEM-1","issued":{"date-parts":[["2015","1"]]},"page":"682-689","title":"Hydrothermal carbonization of poly(vinyl chloride)","type":"article-journal","volume":"119"},"uris":["http://www.mendeley.com/documents/?uuid=387cd586-2269-4198-af02-be3aeca63aef","http://www.mendeley.com/documents/?uuid=f7c10ab3-9dd3-4233-8087-ccd847657786"]}],"mendeley":{"formattedCitation":"(Poerschmann et al., 2015)","plainTextFormattedCitation":"(Poerschmann et al., 2015)","previouslyFormattedCitation":"(Poerschmann et al., 2015)"},"properties":{"noteIndex":0},"schema":"https://github.com/citation-style-language/schema/raw/master/csl-citation.json"}</w:instrText>
      </w:r>
      <w:r w:rsidR="000408D3" w:rsidRPr="000B5465">
        <w:rPr>
          <w:highlight w:val="yellow"/>
          <w:lang w:val="en-GB"/>
        </w:rPr>
        <w:fldChar w:fldCharType="separate"/>
      </w:r>
      <w:r w:rsidR="000408D3" w:rsidRPr="000B5465">
        <w:rPr>
          <w:noProof/>
          <w:highlight w:val="yellow"/>
          <w:lang w:val="en-GB"/>
        </w:rPr>
        <w:t>(Poerschmann et al., 2015)</w:t>
      </w:r>
      <w:r w:rsidR="000408D3" w:rsidRPr="000B5465">
        <w:rPr>
          <w:highlight w:val="yellow"/>
          <w:lang w:val="en-GB"/>
        </w:rPr>
        <w:fldChar w:fldCharType="end"/>
      </w:r>
      <w:r w:rsidR="000B5465" w:rsidRPr="000B5465">
        <w:rPr>
          <w:highlight w:val="yellow"/>
          <w:lang w:val="en-GB"/>
        </w:rPr>
        <w:t xml:space="preserve"> and the literature features a few works on it, as recently reviewed </w:t>
      </w:r>
      <w:r w:rsidR="000B5465" w:rsidRPr="000B5465">
        <w:rPr>
          <w:highlight w:val="yellow"/>
          <w:lang w:val="en-GB"/>
        </w:rPr>
        <w:lastRenderedPageBreak/>
        <w:t xml:space="preserve">by Mumtaz et al. </w:t>
      </w:r>
      <w:r w:rsidR="000B5465" w:rsidRPr="000B5465">
        <w:rPr>
          <w:highlight w:val="yellow"/>
          <w:lang w:val="en-GB"/>
        </w:rPr>
        <w:fldChar w:fldCharType="begin" w:fldLock="1"/>
      </w:r>
      <w:r w:rsidR="000B5465" w:rsidRPr="000B5465">
        <w:rPr>
          <w:highlight w:val="yellow"/>
          <w:lang w:val="en-GB"/>
        </w:rPr>
        <w:instrText>ADDIN CSL_CITATION {"citationItems":[{"id":"ITEM-1","itemData":{"DOI":"10.1016/J.SCP.2023.100991","ISSN":"2352-5541","abstract":"Concentration of plastic waste is increasing rapidly in the environment posing serious threats to the lives of all species and emerging ecological instability. Increased consumption of plastic goods, the ability to generate high revenue, and less availability of recycling methods shift the focus on the plastic economy. Various strategies have been employed to mitigate this problem but the conversion of plastic waste to energy-rich fuels is more promising and can be more supportive in the future. Mechanical recycling, incineration, pyrolysis, and hydrothermal treatment are the conversion technologies that have been adopted over the passage of time for energy production applications. For the success of all these waste to energy technologies, they need to reduce their capital costs and generate some additional revenues may be in form of fuels or other by-products. Thus the circular economy approach can be used to solve the increasing waste problem and to moderate the increasing energy demand by the conversation of waste into energy. In this article details, discussion has been carried out on all the waste to energy conversion technologies in the context of circular economy perspective by highlighting the important research gaps to solidify the new directions for future studies.","author":[{"dropping-particle":"","family":"Mumtaz","given":"Hamza","non-dropping-particle":"","parse-names":false,"suffix":""},{"dropping-particle":"","family":"Sobek","given":"Szymon","non-dropping-particle":"","parse-names":false,"suffix":""},{"dropping-particle":"","family":"Werle","given":"Sebastian","non-dropping-particle":"","parse-names":false,"suffix":""},{"dropping-particle":"","family":"Sajdak","given":"Marcin","non-dropping-particle":"","parse-names":false,"suffix":""},{"dropping-particle":"","family":"Muzyka","given":"Roksana","non-dropping-particle":"","parse-names":false,"suffix":""}],"container-title":"Sustainable Chemistry and Pharmacy","id":"ITEM-1","issued":{"date-parts":[["2023","5","1"]]},"page":"100991","publisher":"Elsevier","title":"Hydrothermal treatment of plastic waste within a circular economy perspective","type":"article-journal","volume":"32"},"uris":["http://www.mendeley.com/documents/?uuid=0804fe7f-df4c-387a-86e6-0b15e499841f"]}],"mendeley":{"formattedCitation":"(Mumtaz et al., 2023)","manualFormatting":"(2023)","plainTextFormattedCitation":"(Mumtaz et al., 2023)"},"properties":{"noteIndex":0},"schema":"https://github.com/citation-style-language/schema/raw/master/csl-citation.json"}</w:instrText>
      </w:r>
      <w:r w:rsidR="000B5465" w:rsidRPr="000B5465">
        <w:rPr>
          <w:highlight w:val="yellow"/>
          <w:lang w:val="en-GB"/>
        </w:rPr>
        <w:fldChar w:fldCharType="separate"/>
      </w:r>
      <w:r w:rsidR="000B5465" w:rsidRPr="000B5465">
        <w:rPr>
          <w:noProof/>
          <w:highlight w:val="yellow"/>
          <w:lang w:val="en-GB"/>
        </w:rPr>
        <w:t>(2023)</w:t>
      </w:r>
      <w:r w:rsidR="000B5465" w:rsidRPr="000B5465">
        <w:rPr>
          <w:highlight w:val="yellow"/>
          <w:lang w:val="en-GB"/>
        </w:rPr>
        <w:fldChar w:fldCharType="end"/>
      </w:r>
      <w:r w:rsidR="000408D3">
        <w:rPr>
          <w:lang w:val="en-GB"/>
        </w:rPr>
        <w:t>, but to the best of the authors’ knowledge</w:t>
      </w:r>
      <w:r w:rsidR="00B1192C">
        <w:rPr>
          <w:lang w:val="en-GB"/>
        </w:rPr>
        <w:t>,</w:t>
      </w:r>
      <w:r w:rsidR="000408D3">
        <w:rPr>
          <w:lang w:val="en-GB"/>
        </w:rPr>
        <w:t xml:space="preserve"> no work has ever reported on the HTC of bioplastics.</w:t>
      </w:r>
    </w:p>
    <w:p w14:paraId="30E5B1A8" w14:textId="0F9884EC" w:rsidR="000408D3" w:rsidRPr="00244ABC" w:rsidRDefault="000408D3" w:rsidP="005255AF">
      <w:pPr>
        <w:pStyle w:val="CETBodytext"/>
        <w:rPr>
          <w:lang w:val="en-GB"/>
        </w:rPr>
      </w:pPr>
      <w:r>
        <w:rPr>
          <w:lang w:val="en-GB"/>
        </w:rPr>
        <w:t xml:space="preserve">This work focuses on five different types of commercial bioplastics, </w:t>
      </w:r>
      <w:r w:rsidR="00E70A8A">
        <w:rPr>
          <w:lang w:val="en-GB"/>
        </w:rPr>
        <w:t xml:space="preserve">all </w:t>
      </w:r>
      <w:r>
        <w:rPr>
          <w:lang w:val="en-GB"/>
        </w:rPr>
        <w:t xml:space="preserve">employed in the eyewear industry. The aim of the work is to assess whether HTC may be a suitable way to facilitate their degradation, producing materials that are more easily treatable with subsequent disposal technologies. </w:t>
      </w:r>
    </w:p>
    <w:p w14:paraId="5741900F" w14:textId="778A2CD4" w:rsidR="00453E24" w:rsidRPr="00244ABC" w:rsidRDefault="005255AF" w:rsidP="00453E24">
      <w:pPr>
        <w:pStyle w:val="CETHeading1"/>
        <w:rPr>
          <w:lang w:val="en-GB"/>
        </w:rPr>
      </w:pPr>
      <w:r w:rsidRPr="00244ABC">
        <w:rPr>
          <w:lang w:val="en-GB"/>
        </w:rPr>
        <w:t>Materials and methods</w:t>
      </w:r>
    </w:p>
    <w:p w14:paraId="09406386" w14:textId="586CB9F6" w:rsidR="00453E24" w:rsidRPr="00244ABC" w:rsidRDefault="003A3CBE" w:rsidP="00453E24">
      <w:pPr>
        <w:pStyle w:val="CETBodytext"/>
        <w:rPr>
          <w:lang w:val="en-GB"/>
        </w:rPr>
      </w:pPr>
      <w:r w:rsidRPr="00244ABC">
        <w:rPr>
          <w:lang w:val="en-GB"/>
        </w:rPr>
        <w:t>This section summarises the employed materials and procedures. All the tests were performed in the laboratories of the Department of Civil, Environmental and Mechanical Engineering of the University of Trento.</w:t>
      </w:r>
    </w:p>
    <w:p w14:paraId="0636B784" w14:textId="5B97D80B" w:rsidR="00453E24" w:rsidRPr="00244ABC" w:rsidRDefault="003A3CBE" w:rsidP="0007343D">
      <w:pPr>
        <w:pStyle w:val="CETheadingx"/>
      </w:pPr>
      <w:r w:rsidRPr="00244ABC">
        <w:t xml:space="preserve">Tested </w:t>
      </w:r>
      <w:proofErr w:type="gramStart"/>
      <w:r w:rsidRPr="00244ABC">
        <w:t>materials</w:t>
      </w:r>
      <w:proofErr w:type="gramEnd"/>
    </w:p>
    <w:p w14:paraId="7C2B0064" w14:textId="05450A60" w:rsidR="00453E24" w:rsidRPr="00244ABC" w:rsidRDefault="003A3CBE" w:rsidP="00453E24">
      <w:pPr>
        <w:pStyle w:val="CETBodytext"/>
        <w:rPr>
          <w:lang w:val="en-GB"/>
        </w:rPr>
      </w:pPr>
      <w:r w:rsidRPr="00244ABC">
        <w:rPr>
          <w:lang w:val="en-GB"/>
        </w:rPr>
        <w:t xml:space="preserve">This work focused on bioplastic materials that are employed in the eyewear industry, but which differ in their origin, polymeric </w:t>
      </w:r>
      <w:proofErr w:type="gramStart"/>
      <w:r w:rsidRPr="00244ABC">
        <w:rPr>
          <w:lang w:val="en-GB"/>
        </w:rPr>
        <w:t>structure</w:t>
      </w:r>
      <w:proofErr w:type="gramEnd"/>
      <w:r w:rsidRPr="00244ABC">
        <w:rPr>
          <w:lang w:val="en-GB"/>
        </w:rPr>
        <w:t xml:space="preserve"> and appearance. The tested materials are:</w:t>
      </w:r>
    </w:p>
    <w:p w14:paraId="43EF0CA3" w14:textId="30C3CD95" w:rsidR="009B12AC" w:rsidRPr="00244ABC" w:rsidRDefault="009B12AC" w:rsidP="003A3CBE">
      <w:pPr>
        <w:pStyle w:val="CETBodytext"/>
        <w:numPr>
          <w:ilvl w:val="0"/>
          <w:numId w:val="23"/>
        </w:numPr>
        <w:rPr>
          <w:lang w:val="en-GB"/>
        </w:rPr>
      </w:pPr>
      <w:r w:rsidRPr="00244ABC">
        <w:rPr>
          <w:lang w:val="en-GB"/>
        </w:rPr>
        <w:t>M49 (CDA</w:t>
      </w:r>
      <w:proofErr w:type="gramStart"/>
      <w:r w:rsidRPr="00244ABC">
        <w:rPr>
          <w:lang w:val="en-GB"/>
        </w:rPr>
        <w:t>)</w:t>
      </w:r>
      <w:r w:rsidR="00E70A8A">
        <w:rPr>
          <w:lang w:val="en-GB"/>
        </w:rPr>
        <w:t>;</w:t>
      </w:r>
      <w:proofErr w:type="gramEnd"/>
    </w:p>
    <w:p w14:paraId="0B685D4B" w14:textId="105EDCFC" w:rsidR="003A3CBE" w:rsidRPr="00244ABC" w:rsidRDefault="003A3CBE" w:rsidP="003A3CBE">
      <w:pPr>
        <w:pStyle w:val="CETBodytext"/>
        <w:numPr>
          <w:ilvl w:val="0"/>
          <w:numId w:val="23"/>
        </w:numPr>
        <w:rPr>
          <w:lang w:val="en-GB"/>
        </w:rPr>
      </w:pPr>
      <w:proofErr w:type="spellStart"/>
      <w:r w:rsidRPr="00244ABC">
        <w:rPr>
          <w:lang w:val="en-GB"/>
        </w:rPr>
        <w:t>Hempatica</w:t>
      </w:r>
      <w:proofErr w:type="spellEnd"/>
      <w:r w:rsidRPr="00244ABC">
        <w:rPr>
          <w:lang w:val="en-GB"/>
        </w:rPr>
        <w:t xml:space="preserve"> (CA</w:t>
      </w:r>
      <w:proofErr w:type="gramStart"/>
      <w:r w:rsidRPr="00244ABC">
        <w:rPr>
          <w:lang w:val="en-GB"/>
        </w:rPr>
        <w:t>)</w:t>
      </w:r>
      <w:r w:rsidR="002D74A2">
        <w:rPr>
          <w:lang w:val="en-GB"/>
        </w:rPr>
        <w:t>;</w:t>
      </w:r>
      <w:proofErr w:type="gramEnd"/>
    </w:p>
    <w:p w14:paraId="4BF69D35" w14:textId="22507109" w:rsidR="001D1DE5" w:rsidRPr="00244ABC" w:rsidRDefault="001D1DE5" w:rsidP="003A3CBE">
      <w:pPr>
        <w:pStyle w:val="CETBodytext"/>
        <w:numPr>
          <w:ilvl w:val="0"/>
          <w:numId w:val="23"/>
        </w:numPr>
        <w:rPr>
          <w:lang w:val="en-GB"/>
        </w:rPr>
      </w:pPr>
      <w:proofErr w:type="spellStart"/>
      <w:r w:rsidRPr="00244ABC">
        <w:rPr>
          <w:lang w:val="en-GB"/>
        </w:rPr>
        <w:t>Lactite</w:t>
      </w:r>
      <w:proofErr w:type="spellEnd"/>
      <w:r w:rsidRPr="00244ABC">
        <w:rPr>
          <w:lang w:val="en-GB"/>
        </w:rPr>
        <w:t xml:space="preserve"> (LA</w:t>
      </w:r>
      <w:proofErr w:type="gramStart"/>
      <w:r w:rsidRPr="00244ABC">
        <w:rPr>
          <w:lang w:val="en-GB"/>
        </w:rPr>
        <w:t>)</w:t>
      </w:r>
      <w:r w:rsidR="002D74A2">
        <w:rPr>
          <w:lang w:val="en-GB"/>
        </w:rPr>
        <w:t>;</w:t>
      </w:r>
      <w:proofErr w:type="gramEnd"/>
    </w:p>
    <w:p w14:paraId="5BC4B96F" w14:textId="48B4FBB4" w:rsidR="009B12AC" w:rsidRPr="00244ABC" w:rsidRDefault="009B12AC" w:rsidP="003A3CBE">
      <w:pPr>
        <w:pStyle w:val="CETBodytext"/>
        <w:numPr>
          <w:ilvl w:val="0"/>
          <w:numId w:val="23"/>
        </w:numPr>
        <w:rPr>
          <w:lang w:val="en-GB"/>
        </w:rPr>
      </w:pPr>
      <w:proofErr w:type="spellStart"/>
      <w:r w:rsidRPr="00244ABC">
        <w:rPr>
          <w:lang w:val="en-GB"/>
        </w:rPr>
        <w:t>Organolite</w:t>
      </w:r>
      <w:proofErr w:type="spellEnd"/>
      <w:r w:rsidRPr="00244ABC">
        <w:rPr>
          <w:lang w:val="en-GB"/>
        </w:rPr>
        <w:t xml:space="preserve"> MBE102A (OL</w:t>
      </w:r>
      <w:proofErr w:type="gramStart"/>
      <w:r w:rsidRPr="00244ABC">
        <w:rPr>
          <w:lang w:val="en-GB"/>
        </w:rPr>
        <w:t>)</w:t>
      </w:r>
      <w:r w:rsidR="00E70A8A">
        <w:rPr>
          <w:lang w:val="en-GB"/>
        </w:rPr>
        <w:t>;</w:t>
      </w:r>
      <w:proofErr w:type="gramEnd"/>
    </w:p>
    <w:p w14:paraId="00CFD9F9" w14:textId="62290A52" w:rsidR="009B12AC" w:rsidRPr="00244ABC" w:rsidRDefault="009B12AC" w:rsidP="009B12AC">
      <w:pPr>
        <w:pStyle w:val="CETBodytext"/>
        <w:numPr>
          <w:ilvl w:val="0"/>
          <w:numId w:val="23"/>
        </w:numPr>
        <w:rPr>
          <w:lang w:val="en-GB"/>
        </w:rPr>
      </w:pPr>
      <w:proofErr w:type="spellStart"/>
      <w:r w:rsidRPr="00244ABC">
        <w:rPr>
          <w:lang w:val="en-GB"/>
        </w:rPr>
        <w:t>Rilsan</w:t>
      </w:r>
      <w:proofErr w:type="spellEnd"/>
      <w:r w:rsidRPr="00244ABC">
        <w:rPr>
          <w:rFonts w:eastAsiaTheme="minorHAnsi"/>
          <w:lang w:val="en-GB"/>
        </w:rPr>
        <w:t>® Clear G (PA).</w:t>
      </w:r>
    </w:p>
    <w:p w14:paraId="75267A42" w14:textId="1F0AFC94" w:rsidR="001D1DE5" w:rsidRPr="00244ABC" w:rsidRDefault="001D1DE5" w:rsidP="001D1DE5">
      <w:pPr>
        <w:pStyle w:val="CETBodytext"/>
        <w:rPr>
          <w:lang w:val="en-GB"/>
        </w:rPr>
      </w:pPr>
      <w:r w:rsidRPr="00244ABC">
        <w:rPr>
          <w:lang w:val="en-GB"/>
        </w:rPr>
        <w:t xml:space="preserve">Table 1 summarises </w:t>
      </w:r>
      <w:r w:rsidR="002D74A2">
        <w:rPr>
          <w:lang w:val="en-GB"/>
        </w:rPr>
        <w:t>some properties</w:t>
      </w:r>
      <w:r w:rsidRPr="00244ABC">
        <w:rPr>
          <w:lang w:val="en-GB"/>
        </w:rPr>
        <w:t xml:space="preserve"> of the materials</w:t>
      </w:r>
      <w:r w:rsidR="00B00478" w:rsidRPr="00244ABC">
        <w:rPr>
          <w:lang w:val="en-GB"/>
        </w:rPr>
        <w:t xml:space="preserve"> (as</w:t>
      </w:r>
      <w:r w:rsidRPr="00244ABC">
        <w:rPr>
          <w:lang w:val="en-GB"/>
        </w:rPr>
        <w:t xml:space="preserve"> provided by the producers</w:t>
      </w:r>
      <w:r w:rsidR="00B00478" w:rsidRPr="00244ABC">
        <w:rPr>
          <w:lang w:val="en-GB"/>
        </w:rPr>
        <w:t xml:space="preserve">), while Figure 1 shows their appearance. </w:t>
      </w:r>
    </w:p>
    <w:p w14:paraId="0DB62B3C" w14:textId="20FCF6C8" w:rsidR="001D1DE5" w:rsidRPr="00244ABC" w:rsidRDefault="001D1DE5" w:rsidP="001D1DE5">
      <w:pPr>
        <w:pStyle w:val="CETTabletitle"/>
      </w:pPr>
      <w:r w:rsidRPr="00244ABC">
        <w:t>Table 1: Properties of the tested bioplastics.</w:t>
      </w:r>
    </w:p>
    <w:tbl>
      <w:tblPr>
        <w:tblW w:w="8772" w:type="dxa"/>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851"/>
        <w:gridCol w:w="1701"/>
        <w:gridCol w:w="1417"/>
        <w:gridCol w:w="1941"/>
        <w:gridCol w:w="1887"/>
        <w:gridCol w:w="975"/>
      </w:tblGrid>
      <w:tr w:rsidR="001D1DE5" w:rsidRPr="00244ABC" w14:paraId="488186BA" w14:textId="7FCE19EF" w:rsidTr="002D74A2">
        <w:trPr>
          <w:trHeight w:val="255"/>
        </w:trPr>
        <w:tc>
          <w:tcPr>
            <w:tcW w:w="851" w:type="dxa"/>
            <w:tcBorders>
              <w:top w:val="single" w:sz="12" w:space="0" w:color="008000"/>
              <w:bottom w:val="single" w:sz="6" w:space="0" w:color="008000"/>
            </w:tcBorders>
            <w:shd w:val="clear" w:color="auto" w:fill="FFFFFF"/>
            <w:vAlign w:val="center"/>
          </w:tcPr>
          <w:p w14:paraId="20A542A3" w14:textId="3AC59501" w:rsidR="001D1DE5" w:rsidRPr="00244ABC" w:rsidRDefault="001D1DE5" w:rsidP="00056503">
            <w:pPr>
              <w:pStyle w:val="CETBodytext"/>
              <w:jc w:val="left"/>
              <w:rPr>
                <w:lang w:val="en-GB"/>
              </w:rPr>
            </w:pPr>
            <w:r w:rsidRPr="00244ABC">
              <w:rPr>
                <w:lang w:val="en-GB"/>
              </w:rPr>
              <w:t xml:space="preserve">Material </w:t>
            </w:r>
          </w:p>
        </w:tc>
        <w:tc>
          <w:tcPr>
            <w:tcW w:w="1701" w:type="dxa"/>
            <w:tcBorders>
              <w:top w:val="single" w:sz="12" w:space="0" w:color="008000"/>
              <w:bottom w:val="single" w:sz="6" w:space="0" w:color="008000"/>
            </w:tcBorders>
            <w:shd w:val="clear" w:color="auto" w:fill="FFFFFF"/>
            <w:vAlign w:val="center"/>
          </w:tcPr>
          <w:p w14:paraId="7EFA36A3" w14:textId="60AE3ABB" w:rsidR="001D1DE5" w:rsidRPr="00244ABC" w:rsidRDefault="001D1DE5" w:rsidP="00056503">
            <w:pPr>
              <w:pStyle w:val="CETBodytext"/>
              <w:jc w:val="left"/>
              <w:rPr>
                <w:lang w:val="en-GB"/>
              </w:rPr>
            </w:pPr>
            <w:r w:rsidRPr="00244ABC">
              <w:rPr>
                <w:lang w:val="en-GB"/>
              </w:rPr>
              <w:t>Main polymer</w:t>
            </w:r>
          </w:p>
        </w:tc>
        <w:tc>
          <w:tcPr>
            <w:tcW w:w="1417" w:type="dxa"/>
            <w:tcBorders>
              <w:top w:val="single" w:sz="12" w:space="0" w:color="008000"/>
              <w:bottom w:val="single" w:sz="6" w:space="0" w:color="008000"/>
            </w:tcBorders>
            <w:shd w:val="clear" w:color="auto" w:fill="FFFFFF"/>
            <w:vAlign w:val="center"/>
          </w:tcPr>
          <w:p w14:paraId="600EF9BC" w14:textId="5F5DA222" w:rsidR="001D1DE5" w:rsidRPr="00244ABC" w:rsidRDefault="001D1DE5" w:rsidP="00056503">
            <w:pPr>
              <w:pStyle w:val="CETBodytext"/>
              <w:jc w:val="left"/>
              <w:rPr>
                <w:lang w:val="en-GB"/>
              </w:rPr>
            </w:pPr>
            <w:r w:rsidRPr="00244ABC">
              <w:rPr>
                <w:lang w:val="en-GB"/>
              </w:rPr>
              <w:t>Feedstock</w:t>
            </w:r>
          </w:p>
        </w:tc>
        <w:tc>
          <w:tcPr>
            <w:tcW w:w="1941" w:type="dxa"/>
            <w:tcBorders>
              <w:top w:val="single" w:sz="12" w:space="0" w:color="008000"/>
              <w:bottom w:val="single" w:sz="6" w:space="0" w:color="008000"/>
            </w:tcBorders>
            <w:shd w:val="clear" w:color="auto" w:fill="FFFFFF"/>
            <w:vAlign w:val="center"/>
          </w:tcPr>
          <w:p w14:paraId="398F7824" w14:textId="7B5F0A22" w:rsidR="001D1DE5" w:rsidRPr="00244ABC" w:rsidRDefault="001D1DE5" w:rsidP="00056503">
            <w:pPr>
              <w:pStyle w:val="CETBodytext"/>
              <w:ind w:right="-1"/>
              <w:jc w:val="left"/>
              <w:rPr>
                <w:rFonts w:cs="Arial"/>
                <w:szCs w:val="18"/>
                <w:lang w:val="en-GB"/>
              </w:rPr>
            </w:pPr>
            <w:r w:rsidRPr="00244ABC">
              <w:rPr>
                <w:rFonts w:cs="Arial"/>
                <w:szCs w:val="18"/>
                <w:lang w:val="en-GB"/>
              </w:rPr>
              <w:t>Biodegradability</w:t>
            </w:r>
          </w:p>
        </w:tc>
        <w:tc>
          <w:tcPr>
            <w:tcW w:w="1887" w:type="dxa"/>
            <w:tcBorders>
              <w:top w:val="single" w:sz="12" w:space="0" w:color="008000"/>
              <w:bottom w:val="single" w:sz="6" w:space="0" w:color="008000"/>
            </w:tcBorders>
            <w:shd w:val="clear" w:color="auto" w:fill="FFFFFF"/>
            <w:vAlign w:val="center"/>
          </w:tcPr>
          <w:p w14:paraId="5000C48F" w14:textId="298B0E4C" w:rsidR="001D1DE5" w:rsidRPr="00244ABC" w:rsidRDefault="001D1DE5" w:rsidP="00056503">
            <w:pPr>
              <w:pStyle w:val="CETBodytext"/>
              <w:ind w:right="-1"/>
              <w:jc w:val="left"/>
              <w:rPr>
                <w:rFonts w:cs="Arial"/>
                <w:szCs w:val="18"/>
                <w:lang w:val="en-GB"/>
              </w:rPr>
            </w:pPr>
            <w:r w:rsidRPr="00244ABC">
              <w:rPr>
                <w:rFonts w:cs="Arial"/>
                <w:szCs w:val="18"/>
                <w:lang w:val="en-GB"/>
              </w:rPr>
              <w:t>Melting temperature (°C)</w:t>
            </w:r>
          </w:p>
        </w:tc>
        <w:tc>
          <w:tcPr>
            <w:tcW w:w="975" w:type="dxa"/>
            <w:tcBorders>
              <w:top w:val="single" w:sz="12" w:space="0" w:color="008000"/>
              <w:bottom w:val="single" w:sz="6" w:space="0" w:color="008000"/>
            </w:tcBorders>
            <w:shd w:val="clear" w:color="auto" w:fill="FFFFFF"/>
            <w:vAlign w:val="center"/>
          </w:tcPr>
          <w:p w14:paraId="26A2605E" w14:textId="77777777" w:rsidR="002D74A2" w:rsidRDefault="001D1DE5" w:rsidP="00056503">
            <w:pPr>
              <w:pStyle w:val="CETBodytext"/>
              <w:ind w:right="-1"/>
              <w:jc w:val="left"/>
              <w:rPr>
                <w:rFonts w:cs="Arial"/>
                <w:szCs w:val="18"/>
                <w:lang w:val="en-GB"/>
              </w:rPr>
            </w:pPr>
            <w:r w:rsidRPr="00244ABC">
              <w:rPr>
                <w:rFonts w:cs="Arial"/>
                <w:szCs w:val="18"/>
                <w:lang w:val="en-GB"/>
              </w:rPr>
              <w:t xml:space="preserve">Density </w:t>
            </w:r>
          </w:p>
          <w:p w14:paraId="20C5DF49" w14:textId="03887FFB" w:rsidR="001D1DE5" w:rsidRPr="00244ABC" w:rsidRDefault="001D1DE5" w:rsidP="00056503">
            <w:pPr>
              <w:pStyle w:val="CETBodytext"/>
              <w:ind w:right="-1"/>
              <w:jc w:val="left"/>
              <w:rPr>
                <w:rFonts w:cs="Arial"/>
                <w:szCs w:val="18"/>
                <w:lang w:val="en-GB"/>
              </w:rPr>
            </w:pPr>
            <w:r w:rsidRPr="00244ABC">
              <w:rPr>
                <w:rFonts w:cs="Arial"/>
                <w:szCs w:val="18"/>
                <w:lang w:val="en-GB"/>
              </w:rPr>
              <w:t>(kg/m</w:t>
            </w:r>
            <w:r w:rsidRPr="00244ABC">
              <w:rPr>
                <w:rFonts w:cs="Arial"/>
                <w:szCs w:val="18"/>
                <w:vertAlign w:val="superscript"/>
                <w:lang w:val="en-GB"/>
              </w:rPr>
              <w:t>3</w:t>
            </w:r>
            <w:r w:rsidRPr="00244ABC">
              <w:rPr>
                <w:rFonts w:cs="Arial"/>
                <w:szCs w:val="18"/>
                <w:lang w:val="en-GB"/>
              </w:rPr>
              <w:t>)</w:t>
            </w:r>
          </w:p>
        </w:tc>
      </w:tr>
      <w:tr w:rsidR="001D1DE5" w:rsidRPr="00244ABC" w14:paraId="6ED3D586" w14:textId="6213B7ED" w:rsidTr="002D74A2">
        <w:trPr>
          <w:trHeight w:val="280"/>
        </w:trPr>
        <w:tc>
          <w:tcPr>
            <w:tcW w:w="851" w:type="dxa"/>
            <w:shd w:val="clear" w:color="auto" w:fill="FFFFFF"/>
            <w:vAlign w:val="center"/>
          </w:tcPr>
          <w:p w14:paraId="2C1A732D" w14:textId="3EE4EAE0" w:rsidR="001D1DE5" w:rsidRPr="00244ABC" w:rsidRDefault="009B12AC" w:rsidP="00056503">
            <w:pPr>
              <w:pStyle w:val="CETBodytext"/>
              <w:jc w:val="left"/>
              <w:rPr>
                <w:lang w:val="en-GB"/>
              </w:rPr>
            </w:pPr>
            <w:r w:rsidRPr="00244ABC">
              <w:rPr>
                <w:lang w:val="en-GB"/>
              </w:rPr>
              <w:t>CDA</w:t>
            </w:r>
          </w:p>
        </w:tc>
        <w:tc>
          <w:tcPr>
            <w:tcW w:w="1701" w:type="dxa"/>
            <w:shd w:val="clear" w:color="auto" w:fill="FFFFFF"/>
            <w:vAlign w:val="center"/>
          </w:tcPr>
          <w:p w14:paraId="0DC14484" w14:textId="153A01D9" w:rsidR="001D1DE5" w:rsidRPr="00244ABC" w:rsidRDefault="009B12AC" w:rsidP="00056503">
            <w:pPr>
              <w:pStyle w:val="CETBodytext"/>
              <w:jc w:val="left"/>
              <w:rPr>
                <w:lang w:val="en-GB"/>
              </w:rPr>
            </w:pPr>
            <w:r w:rsidRPr="00244ABC">
              <w:rPr>
                <w:lang w:val="en-GB"/>
              </w:rPr>
              <w:t>Cellulose diacetate</w:t>
            </w:r>
          </w:p>
        </w:tc>
        <w:tc>
          <w:tcPr>
            <w:tcW w:w="1417" w:type="dxa"/>
            <w:shd w:val="clear" w:color="auto" w:fill="FFFFFF"/>
            <w:vAlign w:val="center"/>
          </w:tcPr>
          <w:p w14:paraId="39EBAAC0" w14:textId="77777777" w:rsidR="009B12AC" w:rsidRPr="00244ABC" w:rsidRDefault="009B12AC" w:rsidP="00056503">
            <w:pPr>
              <w:pStyle w:val="CETBodytext"/>
              <w:jc w:val="left"/>
              <w:rPr>
                <w:lang w:val="en-GB"/>
              </w:rPr>
            </w:pPr>
            <w:r w:rsidRPr="00244ABC">
              <w:rPr>
                <w:lang w:val="en-GB"/>
              </w:rPr>
              <w:t xml:space="preserve">Wood pulp </w:t>
            </w:r>
          </w:p>
          <w:p w14:paraId="4A6E3426" w14:textId="486731BB" w:rsidR="001D1DE5" w:rsidRPr="00244ABC" w:rsidRDefault="009B12AC" w:rsidP="00056503">
            <w:pPr>
              <w:pStyle w:val="CETBodytext"/>
              <w:jc w:val="left"/>
              <w:rPr>
                <w:lang w:val="en-GB"/>
              </w:rPr>
            </w:pPr>
            <w:r w:rsidRPr="00244ABC">
              <w:rPr>
                <w:lang w:val="en-GB"/>
              </w:rPr>
              <w:t>and cotton fibre</w:t>
            </w:r>
          </w:p>
        </w:tc>
        <w:tc>
          <w:tcPr>
            <w:tcW w:w="1941" w:type="dxa"/>
            <w:shd w:val="clear" w:color="auto" w:fill="FFFFFF"/>
            <w:vAlign w:val="center"/>
          </w:tcPr>
          <w:p w14:paraId="00D3787D" w14:textId="54291DC0" w:rsidR="001D1DE5" w:rsidRPr="00244ABC" w:rsidRDefault="009B12AC" w:rsidP="00056503">
            <w:pPr>
              <w:pStyle w:val="CETBodytext"/>
              <w:ind w:right="-1"/>
              <w:jc w:val="left"/>
              <w:rPr>
                <w:rFonts w:cs="Arial"/>
                <w:szCs w:val="18"/>
                <w:lang w:val="en-GB"/>
              </w:rPr>
            </w:pPr>
            <w:r w:rsidRPr="00244ABC">
              <w:rPr>
                <w:rFonts w:cs="Arial"/>
                <w:szCs w:val="18"/>
                <w:lang w:val="en-GB"/>
              </w:rPr>
              <w:t>Biodegradable according to ISO 14855</w:t>
            </w:r>
          </w:p>
        </w:tc>
        <w:tc>
          <w:tcPr>
            <w:tcW w:w="1887" w:type="dxa"/>
            <w:shd w:val="clear" w:color="auto" w:fill="FFFFFF"/>
            <w:vAlign w:val="center"/>
          </w:tcPr>
          <w:p w14:paraId="4BC20F5A" w14:textId="044BDF4D" w:rsidR="001D1DE5" w:rsidRPr="00244ABC" w:rsidRDefault="00056503" w:rsidP="00056503">
            <w:pPr>
              <w:pStyle w:val="CETBodytext"/>
              <w:ind w:right="-1"/>
              <w:jc w:val="left"/>
              <w:rPr>
                <w:rFonts w:cs="Arial"/>
                <w:szCs w:val="18"/>
                <w:lang w:val="en-GB"/>
              </w:rPr>
            </w:pPr>
            <w:r w:rsidRPr="00244ABC">
              <w:rPr>
                <w:rFonts w:cs="Arial"/>
                <w:szCs w:val="18"/>
                <w:lang w:val="en-GB"/>
              </w:rPr>
              <w:t>Not stated</w:t>
            </w:r>
          </w:p>
        </w:tc>
        <w:tc>
          <w:tcPr>
            <w:tcW w:w="975" w:type="dxa"/>
            <w:shd w:val="clear" w:color="auto" w:fill="FFFFFF"/>
            <w:vAlign w:val="center"/>
          </w:tcPr>
          <w:p w14:paraId="2983F915" w14:textId="31DA79E9" w:rsidR="001D1DE5" w:rsidRPr="00244ABC" w:rsidRDefault="00056503" w:rsidP="00056503">
            <w:pPr>
              <w:pStyle w:val="CETBodytext"/>
              <w:ind w:right="-1"/>
              <w:jc w:val="left"/>
              <w:rPr>
                <w:rFonts w:cs="Arial"/>
                <w:szCs w:val="18"/>
                <w:lang w:val="en-GB"/>
              </w:rPr>
            </w:pPr>
            <w:r w:rsidRPr="00244ABC">
              <w:rPr>
                <w:rFonts w:cs="Arial"/>
                <w:szCs w:val="18"/>
                <w:lang w:val="en-GB"/>
              </w:rPr>
              <w:t>1269</w:t>
            </w:r>
          </w:p>
        </w:tc>
      </w:tr>
      <w:tr w:rsidR="009B12AC" w:rsidRPr="00244ABC" w14:paraId="253520AF" w14:textId="77777777" w:rsidTr="002D74A2">
        <w:trPr>
          <w:trHeight w:val="280"/>
        </w:trPr>
        <w:tc>
          <w:tcPr>
            <w:tcW w:w="851" w:type="dxa"/>
            <w:shd w:val="clear" w:color="auto" w:fill="FFFFFF"/>
            <w:vAlign w:val="center"/>
          </w:tcPr>
          <w:p w14:paraId="33747856" w14:textId="1B01350D" w:rsidR="009B12AC" w:rsidRPr="00244ABC" w:rsidRDefault="009B12AC" w:rsidP="00056503">
            <w:pPr>
              <w:pStyle w:val="CETBodytext"/>
              <w:jc w:val="left"/>
              <w:rPr>
                <w:lang w:val="en-GB"/>
              </w:rPr>
            </w:pPr>
            <w:r w:rsidRPr="00244ABC">
              <w:rPr>
                <w:lang w:val="en-GB"/>
              </w:rPr>
              <w:t>CA</w:t>
            </w:r>
          </w:p>
        </w:tc>
        <w:tc>
          <w:tcPr>
            <w:tcW w:w="1701" w:type="dxa"/>
            <w:shd w:val="clear" w:color="auto" w:fill="FFFFFF"/>
            <w:vAlign w:val="center"/>
          </w:tcPr>
          <w:p w14:paraId="16393743" w14:textId="185CE64D" w:rsidR="009B12AC" w:rsidRPr="00244ABC" w:rsidRDefault="009B12AC" w:rsidP="00056503">
            <w:pPr>
              <w:pStyle w:val="CETBodytext"/>
              <w:jc w:val="left"/>
              <w:rPr>
                <w:lang w:val="en-GB"/>
              </w:rPr>
            </w:pPr>
            <w:r w:rsidRPr="00244ABC">
              <w:rPr>
                <w:lang w:val="en-GB"/>
              </w:rPr>
              <w:t>Cellulose acetate</w:t>
            </w:r>
          </w:p>
        </w:tc>
        <w:tc>
          <w:tcPr>
            <w:tcW w:w="1417" w:type="dxa"/>
            <w:shd w:val="clear" w:color="auto" w:fill="FFFFFF"/>
            <w:vAlign w:val="center"/>
          </w:tcPr>
          <w:p w14:paraId="2C09CBC6" w14:textId="3EFBE2C0" w:rsidR="009B12AC" w:rsidRPr="00244ABC" w:rsidRDefault="009B12AC" w:rsidP="00056503">
            <w:pPr>
              <w:pStyle w:val="CETBodytext"/>
              <w:jc w:val="left"/>
              <w:rPr>
                <w:lang w:val="en-GB"/>
              </w:rPr>
            </w:pPr>
            <w:r w:rsidRPr="00244ABC">
              <w:rPr>
                <w:lang w:val="en-GB"/>
              </w:rPr>
              <w:t>Hemp</w:t>
            </w:r>
          </w:p>
        </w:tc>
        <w:tc>
          <w:tcPr>
            <w:tcW w:w="1941" w:type="dxa"/>
            <w:shd w:val="clear" w:color="auto" w:fill="FFFFFF"/>
            <w:vAlign w:val="center"/>
          </w:tcPr>
          <w:p w14:paraId="0EDB3AE2" w14:textId="5330580A" w:rsidR="009B12AC" w:rsidRPr="00244ABC" w:rsidRDefault="00056503" w:rsidP="00056503">
            <w:pPr>
              <w:pStyle w:val="CETBodytext"/>
              <w:ind w:right="-1"/>
              <w:jc w:val="left"/>
              <w:rPr>
                <w:rFonts w:cs="Arial"/>
                <w:szCs w:val="18"/>
                <w:lang w:val="en-GB"/>
              </w:rPr>
            </w:pPr>
            <w:r w:rsidRPr="00244ABC">
              <w:rPr>
                <w:rFonts w:cs="Arial"/>
                <w:szCs w:val="18"/>
                <w:lang w:val="en-GB"/>
              </w:rPr>
              <w:t>Not stated</w:t>
            </w:r>
          </w:p>
        </w:tc>
        <w:tc>
          <w:tcPr>
            <w:tcW w:w="1887" w:type="dxa"/>
            <w:shd w:val="clear" w:color="auto" w:fill="FFFFFF"/>
            <w:vAlign w:val="center"/>
          </w:tcPr>
          <w:p w14:paraId="0B6E9C50" w14:textId="6036C43A" w:rsidR="009B12AC" w:rsidRPr="00244ABC" w:rsidRDefault="009B12AC" w:rsidP="00056503">
            <w:pPr>
              <w:pStyle w:val="CETBodytext"/>
              <w:ind w:right="-1"/>
              <w:jc w:val="left"/>
              <w:rPr>
                <w:rFonts w:cs="Arial"/>
                <w:szCs w:val="18"/>
                <w:lang w:val="en-GB"/>
              </w:rPr>
            </w:pPr>
            <w:r w:rsidRPr="00244ABC">
              <w:rPr>
                <w:rFonts w:cs="Arial"/>
                <w:szCs w:val="18"/>
                <w:lang w:val="en-GB"/>
              </w:rPr>
              <w:t>&gt; 180</w:t>
            </w:r>
          </w:p>
        </w:tc>
        <w:tc>
          <w:tcPr>
            <w:tcW w:w="975" w:type="dxa"/>
            <w:shd w:val="clear" w:color="auto" w:fill="FFFFFF"/>
            <w:vAlign w:val="center"/>
          </w:tcPr>
          <w:p w14:paraId="2D6F62FC" w14:textId="3012D52A" w:rsidR="009B12AC" w:rsidRPr="00244ABC" w:rsidRDefault="009B12AC" w:rsidP="00056503">
            <w:pPr>
              <w:pStyle w:val="CETBodytext"/>
              <w:ind w:right="-1"/>
              <w:jc w:val="left"/>
              <w:rPr>
                <w:rFonts w:cs="Arial"/>
                <w:szCs w:val="18"/>
                <w:lang w:val="en-GB"/>
              </w:rPr>
            </w:pPr>
            <w:r w:rsidRPr="00244ABC">
              <w:rPr>
                <w:rFonts w:cs="Arial"/>
                <w:szCs w:val="18"/>
                <w:lang w:val="en-GB"/>
              </w:rPr>
              <w:t>1270</w:t>
            </w:r>
          </w:p>
        </w:tc>
      </w:tr>
      <w:tr w:rsidR="009B12AC" w:rsidRPr="00244ABC" w14:paraId="2B27D344" w14:textId="46F76961" w:rsidTr="002D74A2">
        <w:trPr>
          <w:trHeight w:val="255"/>
        </w:trPr>
        <w:tc>
          <w:tcPr>
            <w:tcW w:w="851" w:type="dxa"/>
            <w:shd w:val="clear" w:color="auto" w:fill="FFFFFF"/>
            <w:vAlign w:val="center"/>
          </w:tcPr>
          <w:p w14:paraId="4FB35536" w14:textId="3ED66595" w:rsidR="009B12AC" w:rsidRPr="00244ABC" w:rsidRDefault="009B12AC" w:rsidP="00056503">
            <w:pPr>
              <w:pStyle w:val="CETBodytext"/>
              <w:ind w:right="-1"/>
              <w:jc w:val="left"/>
              <w:rPr>
                <w:rFonts w:cs="Arial"/>
                <w:szCs w:val="18"/>
                <w:lang w:val="en-GB"/>
              </w:rPr>
            </w:pPr>
            <w:r w:rsidRPr="00244ABC">
              <w:rPr>
                <w:rFonts w:cs="Arial"/>
                <w:szCs w:val="18"/>
                <w:lang w:val="en-GB"/>
              </w:rPr>
              <w:t>LA</w:t>
            </w:r>
          </w:p>
        </w:tc>
        <w:tc>
          <w:tcPr>
            <w:tcW w:w="1701" w:type="dxa"/>
            <w:shd w:val="clear" w:color="auto" w:fill="FFFFFF"/>
            <w:vAlign w:val="center"/>
          </w:tcPr>
          <w:p w14:paraId="2DD8E93C" w14:textId="01F7CE66" w:rsidR="009B12AC" w:rsidRPr="00244ABC" w:rsidRDefault="009B12AC" w:rsidP="00056503">
            <w:pPr>
              <w:pStyle w:val="CETBodytext"/>
              <w:ind w:right="-1"/>
              <w:jc w:val="left"/>
              <w:rPr>
                <w:rFonts w:cs="Arial"/>
                <w:szCs w:val="18"/>
                <w:lang w:val="en-GB"/>
              </w:rPr>
            </w:pPr>
            <w:proofErr w:type="spellStart"/>
            <w:r w:rsidRPr="00244ABC">
              <w:rPr>
                <w:rFonts w:cs="Arial"/>
                <w:szCs w:val="18"/>
                <w:lang w:val="en-GB"/>
              </w:rPr>
              <w:t>Galalithe</w:t>
            </w:r>
            <w:proofErr w:type="spellEnd"/>
          </w:p>
        </w:tc>
        <w:tc>
          <w:tcPr>
            <w:tcW w:w="1417" w:type="dxa"/>
            <w:shd w:val="clear" w:color="auto" w:fill="FFFFFF"/>
            <w:vAlign w:val="center"/>
          </w:tcPr>
          <w:p w14:paraId="75787CDC" w14:textId="14C57713" w:rsidR="009B12AC" w:rsidRPr="00244ABC" w:rsidRDefault="009B12AC" w:rsidP="00056503">
            <w:pPr>
              <w:pStyle w:val="CETBodytext"/>
              <w:ind w:right="-1"/>
              <w:jc w:val="left"/>
              <w:rPr>
                <w:rFonts w:cs="Arial"/>
                <w:szCs w:val="18"/>
                <w:lang w:val="en-GB"/>
              </w:rPr>
            </w:pPr>
            <w:r w:rsidRPr="00244ABC">
              <w:rPr>
                <w:rFonts w:cs="Arial"/>
                <w:szCs w:val="18"/>
                <w:lang w:val="en-GB"/>
              </w:rPr>
              <w:t>Milk casein</w:t>
            </w:r>
          </w:p>
        </w:tc>
        <w:tc>
          <w:tcPr>
            <w:tcW w:w="1941" w:type="dxa"/>
            <w:shd w:val="clear" w:color="auto" w:fill="FFFFFF"/>
            <w:vAlign w:val="center"/>
          </w:tcPr>
          <w:p w14:paraId="2A5AEA80" w14:textId="27ECED14" w:rsidR="009B12AC" w:rsidRPr="00244ABC" w:rsidRDefault="00056503" w:rsidP="00056503">
            <w:pPr>
              <w:pStyle w:val="CETBodytext"/>
              <w:ind w:right="-1"/>
              <w:jc w:val="left"/>
              <w:rPr>
                <w:rFonts w:cs="Arial"/>
                <w:szCs w:val="18"/>
                <w:lang w:val="en-GB"/>
              </w:rPr>
            </w:pPr>
            <w:r w:rsidRPr="00244ABC">
              <w:rPr>
                <w:rFonts w:cs="Arial"/>
                <w:szCs w:val="18"/>
                <w:lang w:val="en-GB"/>
              </w:rPr>
              <w:t>Biodegradable</w:t>
            </w:r>
          </w:p>
        </w:tc>
        <w:tc>
          <w:tcPr>
            <w:tcW w:w="1887" w:type="dxa"/>
            <w:shd w:val="clear" w:color="auto" w:fill="FFFFFF"/>
            <w:vAlign w:val="center"/>
          </w:tcPr>
          <w:p w14:paraId="7CE2FD99" w14:textId="74F1AC31" w:rsidR="009B12AC" w:rsidRPr="00244ABC" w:rsidRDefault="009B12AC" w:rsidP="00056503">
            <w:pPr>
              <w:pStyle w:val="CETBodytext"/>
              <w:ind w:right="-1"/>
              <w:jc w:val="left"/>
              <w:rPr>
                <w:rFonts w:cs="Arial"/>
                <w:szCs w:val="18"/>
                <w:lang w:val="en-GB"/>
              </w:rPr>
            </w:pPr>
            <w:r w:rsidRPr="00244ABC">
              <w:rPr>
                <w:rFonts w:cs="Arial"/>
                <w:szCs w:val="18"/>
                <w:lang w:val="en-GB"/>
              </w:rPr>
              <w:t>&gt; 225</w:t>
            </w:r>
          </w:p>
        </w:tc>
        <w:tc>
          <w:tcPr>
            <w:tcW w:w="975" w:type="dxa"/>
            <w:shd w:val="clear" w:color="auto" w:fill="FFFFFF"/>
            <w:vAlign w:val="center"/>
          </w:tcPr>
          <w:p w14:paraId="1C928469" w14:textId="75EFB21D" w:rsidR="009B12AC" w:rsidRPr="00244ABC" w:rsidRDefault="009B12AC" w:rsidP="00056503">
            <w:pPr>
              <w:pStyle w:val="CETBodytext"/>
              <w:ind w:right="-1"/>
              <w:jc w:val="left"/>
              <w:rPr>
                <w:rFonts w:cs="Arial"/>
                <w:szCs w:val="18"/>
                <w:lang w:val="en-GB"/>
              </w:rPr>
            </w:pPr>
            <w:r w:rsidRPr="00244ABC">
              <w:rPr>
                <w:rFonts w:cs="Arial"/>
                <w:szCs w:val="18"/>
                <w:lang w:val="en-GB"/>
              </w:rPr>
              <w:t>1340</w:t>
            </w:r>
          </w:p>
        </w:tc>
      </w:tr>
      <w:tr w:rsidR="009B12AC" w:rsidRPr="00244ABC" w14:paraId="60898FCC" w14:textId="77777777" w:rsidTr="002D74A2">
        <w:trPr>
          <w:trHeight w:val="255"/>
        </w:trPr>
        <w:tc>
          <w:tcPr>
            <w:tcW w:w="851" w:type="dxa"/>
            <w:shd w:val="clear" w:color="auto" w:fill="FFFFFF"/>
            <w:vAlign w:val="center"/>
          </w:tcPr>
          <w:p w14:paraId="511E6D53" w14:textId="24BBC105" w:rsidR="009B12AC" w:rsidRPr="00244ABC" w:rsidRDefault="009B12AC" w:rsidP="00056503">
            <w:pPr>
              <w:pStyle w:val="CETBodytext"/>
              <w:ind w:right="-1"/>
              <w:jc w:val="left"/>
              <w:rPr>
                <w:rFonts w:cs="Arial"/>
                <w:szCs w:val="18"/>
                <w:lang w:val="en-GB"/>
              </w:rPr>
            </w:pPr>
            <w:r w:rsidRPr="00244ABC">
              <w:rPr>
                <w:rFonts w:cs="Arial"/>
                <w:szCs w:val="18"/>
                <w:lang w:val="en-GB"/>
              </w:rPr>
              <w:t>OL</w:t>
            </w:r>
          </w:p>
        </w:tc>
        <w:tc>
          <w:tcPr>
            <w:tcW w:w="1701" w:type="dxa"/>
            <w:shd w:val="clear" w:color="auto" w:fill="FFFFFF"/>
            <w:vAlign w:val="center"/>
          </w:tcPr>
          <w:p w14:paraId="1754F8CC" w14:textId="38907DD1" w:rsidR="009B12AC" w:rsidRPr="00244ABC" w:rsidRDefault="009B12AC" w:rsidP="00056503">
            <w:pPr>
              <w:pStyle w:val="CETBodytext"/>
              <w:ind w:right="-1"/>
              <w:jc w:val="left"/>
              <w:rPr>
                <w:rFonts w:cs="Arial"/>
                <w:szCs w:val="18"/>
                <w:lang w:val="en-GB"/>
              </w:rPr>
            </w:pPr>
            <w:r w:rsidRPr="00244ABC">
              <w:rPr>
                <w:rFonts w:cs="Arial"/>
                <w:szCs w:val="18"/>
                <w:lang w:val="en-GB"/>
              </w:rPr>
              <w:t>Not specified</w:t>
            </w:r>
          </w:p>
        </w:tc>
        <w:tc>
          <w:tcPr>
            <w:tcW w:w="1417" w:type="dxa"/>
            <w:shd w:val="clear" w:color="auto" w:fill="FFFFFF"/>
            <w:vAlign w:val="center"/>
          </w:tcPr>
          <w:p w14:paraId="31D97650" w14:textId="44A27BD4" w:rsidR="009B12AC" w:rsidRPr="00244ABC" w:rsidRDefault="009B12AC" w:rsidP="00056503">
            <w:pPr>
              <w:pStyle w:val="CETBodytext"/>
              <w:ind w:right="-1"/>
              <w:jc w:val="left"/>
              <w:rPr>
                <w:rFonts w:cs="Arial"/>
                <w:szCs w:val="18"/>
                <w:lang w:val="en-GB"/>
              </w:rPr>
            </w:pPr>
            <w:r w:rsidRPr="00244ABC">
              <w:rPr>
                <w:rFonts w:cs="Arial"/>
                <w:szCs w:val="18"/>
                <w:lang w:val="en-GB"/>
              </w:rPr>
              <w:t>Corn starch</w:t>
            </w:r>
          </w:p>
        </w:tc>
        <w:tc>
          <w:tcPr>
            <w:tcW w:w="1941" w:type="dxa"/>
            <w:shd w:val="clear" w:color="auto" w:fill="FFFFFF"/>
            <w:vAlign w:val="center"/>
          </w:tcPr>
          <w:p w14:paraId="7E9CAA7C" w14:textId="10EBEF4F" w:rsidR="009B12AC" w:rsidRPr="00244ABC" w:rsidRDefault="009B12AC" w:rsidP="00056503">
            <w:pPr>
              <w:pStyle w:val="CETBodytext"/>
              <w:ind w:right="-1"/>
              <w:jc w:val="left"/>
              <w:rPr>
                <w:rFonts w:cs="Arial"/>
                <w:szCs w:val="18"/>
                <w:lang w:val="en-GB"/>
              </w:rPr>
            </w:pPr>
            <w:r w:rsidRPr="00244ABC">
              <w:rPr>
                <w:rFonts w:cs="Arial"/>
                <w:szCs w:val="18"/>
                <w:lang w:val="en-GB"/>
              </w:rPr>
              <w:t xml:space="preserve">Compostable </w:t>
            </w:r>
            <w:r w:rsidR="00056503" w:rsidRPr="00244ABC">
              <w:rPr>
                <w:rFonts w:cs="Arial"/>
                <w:szCs w:val="18"/>
                <w:lang w:val="en-GB"/>
              </w:rPr>
              <w:t>according to TUV</w:t>
            </w:r>
          </w:p>
        </w:tc>
        <w:tc>
          <w:tcPr>
            <w:tcW w:w="1887" w:type="dxa"/>
            <w:shd w:val="clear" w:color="auto" w:fill="FFFFFF"/>
            <w:vAlign w:val="center"/>
          </w:tcPr>
          <w:p w14:paraId="5B454591" w14:textId="21A10EDF" w:rsidR="009B12AC" w:rsidRPr="00244ABC" w:rsidRDefault="009B12AC" w:rsidP="00056503">
            <w:pPr>
              <w:pStyle w:val="CETBodytext"/>
              <w:ind w:right="-1"/>
              <w:jc w:val="left"/>
              <w:rPr>
                <w:rFonts w:cs="Arial"/>
                <w:szCs w:val="18"/>
                <w:lang w:val="en-GB"/>
              </w:rPr>
            </w:pPr>
            <w:r w:rsidRPr="00244ABC">
              <w:rPr>
                <w:rFonts w:cs="Arial"/>
                <w:szCs w:val="18"/>
                <w:lang w:val="en-GB"/>
              </w:rPr>
              <w:t>175</w:t>
            </w:r>
          </w:p>
        </w:tc>
        <w:tc>
          <w:tcPr>
            <w:tcW w:w="975" w:type="dxa"/>
            <w:shd w:val="clear" w:color="auto" w:fill="FFFFFF"/>
            <w:vAlign w:val="center"/>
          </w:tcPr>
          <w:p w14:paraId="0B8AA285" w14:textId="1B50CCEC" w:rsidR="009B12AC" w:rsidRPr="00244ABC" w:rsidRDefault="009B12AC" w:rsidP="00056503">
            <w:pPr>
              <w:pStyle w:val="CETBodytext"/>
              <w:ind w:right="-1"/>
              <w:jc w:val="left"/>
              <w:rPr>
                <w:rFonts w:cs="Arial"/>
                <w:szCs w:val="18"/>
                <w:lang w:val="en-GB"/>
              </w:rPr>
            </w:pPr>
            <w:r w:rsidRPr="00244ABC">
              <w:rPr>
                <w:rFonts w:cs="Arial"/>
                <w:szCs w:val="18"/>
                <w:lang w:val="en-GB"/>
              </w:rPr>
              <w:t>1270</w:t>
            </w:r>
          </w:p>
        </w:tc>
      </w:tr>
      <w:tr w:rsidR="009B12AC" w:rsidRPr="00244ABC" w14:paraId="26806305" w14:textId="77777777" w:rsidTr="002D74A2">
        <w:trPr>
          <w:trHeight w:val="255"/>
        </w:trPr>
        <w:tc>
          <w:tcPr>
            <w:tcW w:w="851" w:type="dxa"/>
            <w:shd w:val="clear" w:color="auto" w:fill="FFFFFF"/>
            <w:vAlign w:val="center"/>
          </w:tcPr>
          <w:p w14:paraId="0F96E4E9" w14:textId="530DA195" w:rsidR="009B12AC" w:rsidRPr="00244ABC" w:rsidRDefault="009B12AC" w:rsidP="00056503">
            <w:pPr>
              <w:pStyle w:val="CETBodytext"/>
              <w:ind w:right="-1"/>
              <w:jc w:val="left"/>
              <w:rPr>
                <w:rFonts w:cs="Arial"/>
                <w:szCs w:val="18"/>
                <w:lang w:val="en-GB"/>
              </w:rPr>
            </w:pPr>
            <w:r w:rsidRPr="00244ABC">
              <w:rPr>
                <w:rFonts w:cs="Arial"/>
                <w:szCs w:val="18"/>
                <w:lang w:val="en-GB"/>
              </w:rPr>
              <w:t>PA</w:t>
            </w:r>
          </w:p>
        </w:tc>
        <w:tc>
          <w:tcPr>
            <w:tcW w:w="1701" w:type="dxa"/>
            <w:shd w:val="clear" w:color="auto" w:fill="FFFFFF"/>
            <w:vAlign w:val="center"/>
          </w:tcPr>
          <w:p w14:paraId="2AD866A8" w14:textId="6948E585" w:rsidR="009B12AC" w:rsidRPr="00244ABC" w:rsidRDefault="009B12AC" w:rsidP="00056503">
            <w:pPr>
              <w:pStyle w:val="CETBodytext"/>
              <w:ind w:right="-1"/>
              <w:jc w:val="left"/>
              <w:rPr>
                <w:rFonts w:cs="Arial"/>
                <w:szCs w:val="18"/>
                <w:lang w:val="en-GB"/>
              </w:rPr>
            </w:pPr>
            <w:r w:rsidRPr="00244ABC">
              <w:rPr>
                <w:rFonts w:cs="Arial"/>
                <w:szCs w:val="18"/>
                <w:lang w:val="en-GB"/>
              </w:rPr>
              <w:t xml:space="preserve">Amorphous </w:t>
            </w:r>
            <w:proofErr w:type="spellStart"/>
            <w:r w:rsidRPr="00244ABC">
              <w:rPr>
                <w:rFonts w:cs="Arial"/>
                <w:szCs w:val="18"/>
                <w:lang w:val="en-GB"/>
              </w:rPr>
              <w:t>copolyamide</w:t>
            </w:r>
            <w:proofErr w:type="spellEnd"/>
          </w:p>
        </w:tc>
        <w:tc>
          <w:tcPr>
            <w:tcW w:w="1417" w:type="dxa"/>
            <w:shd w:val="clear" w:color="auto" w:fill="FFFFFF"/>
            <w:vAlign w:val="center"/>
          </w:tcPr>
          <w:p w14:paraId="4AE714B8" w14:textId="7DF8B3C0" w:rsidR="009B12AC" w:rsidRPr="00244ABC" w:rsidRDefault="00056503" w:rsidP="00056503">
            <w:pPr>
              <w:pStyle w:val="CETBodytext"/>
              <w:ind w:right="-1"/>
              <w:jc w:val="left"/>
              <w:rPr>
                <w:rFonts w:cs="Arial"/>
                <w:szCs w:val="18"/>
                <w:lang w:val="en-GB"/>
              </w:rPr>
            </w:pPr>
            <w:r w:rsidRPr="00244ABC">
              <w:rPr>
                <w:rFonts w:cs="Arial"/>
                <w:szCs w:val="18"/>
                <w:lang w:val="en-GB"/>
              </w:rPr>
              <w:t>Bio-based</w:t>
            </w:r>
          </w:p>
        </w:tc>
        <w:tc>
          <w:tcPr>
            <w:tcW w:w="1941" w:type="dxa"/>
            <w:shd w:val="clear" w:color="auto" w:fill="FFFFFF"/>
            <w:vAlign w:val="center"/>
          </w:tcPr>
          <w:p w14:paraId="1E12C0F2" w14:textId="0F543EF3" w:rsidR="009B12AC" w:rsidRPr="00244ABC" w:rsidRDefault="009B12AC" w:rsidP="00056503">
            <w:pPr>
              <w:pStyle w:val="CETBodytext"/>
              <w:ind w:right="-1"/>
              <w:jc w:val="left"/>
              <w:rPr>
                <w:rFonts w:cs="Arial"/>
                <w:szCs w:val="18"/>
                <w:lang w:val="en-GB"/>
              </w:rPr>
            </w:pPr>
            <w:r w:rsidRPr="00244ABC">
              <w:rPr>
                <w:rFonts w:cs="Arial"/>
                <w:szCs w:val="18"/>
                <w:lang w:val="en-GB"/>
              </w:rPr>
              <w:t>Not biodegradable</w:t>
            </w:r>
          </w:p>
        </w:tc>
        <w:tc>
          <w:tcPr>
            <w:tcW w:w="1887" w:type="dxa"/>
            <w:shd w:val="clear" w:color="auto" w:fill="FFFFFF"/>
            <w:vAlign w:val="center"/>
          </w:tcPr>
          <w:p w14:paraId="5080BF2F" w14:textId="5BBE2F6A" w:rsidR="009B12AC" w:rsidRPr="00244ABC" w:rsidRDefault="009B12AC" w:rsidP="00056503">
            <w:pPr>
              <w:pStyle w:val="CETBodytext"/>
              <w:ind w:right="-1"/>
              <w:jc w:val="left"/>
              <w:rPr>
                <w:rFonts w:cs="Arial"/>
                <w:szCs w:val="18"/>
                <w:lang w:val="en-GB"/>
              </w:rPr>
            </w:pPr>
            <w:r w:rsidRPr="00244ABC">
              <w:rPr>
                <w:rFonts w:cs="Arial"/>
                <w:szCs w:val="18"/>
                <w:lang w:val="en-GB"/>
              </w:rPr>
              <w:t>80-200</w:t>
            </w:r>
          </w:p>
        </w:tc>
        <w:tc>
          <w:tcPr>
            <w:tcW w:w="975" w:type="dxa"/>
            <w:shd w:val="clear" w:color="auto" w:fill="FFFFFF"/>
            <w:vAlign w:val="center"/>
          </w:tcPr>
          <w:p w14:paraId="76333B8C" w14:textId="55554ECB" w:rsidR="009B12AC" w:rsidRPr="00244ABC" w:rsidRDefault="009B12AC" w:rsidP="00056503">
            <w:pPr>
              <w:pStyle w:val="CETBodytext"/>
              <w:ind w:right="-1"/>
              <w:jc w:val="left"/>
              <w:rPr>
                <w:rFonts w:cs="Arial"/>
                <w:szCs w:val="18"/>
                <w:lang w:val="en-GB"/>
              </w:rPr>
            </w:pPr>
            <w:r w:rsidRPr="00244ABC">
              <w:rPr>
                <w:rFonts w:cs="Arial"/>
                <w:szCs w:val="18"/>
                <w:lang w:val="en-GB"/>
              </w:rPr>
              <w:t>600</w:t>
            </w:r>
          </w:p>
        </w:tc>
      </w:tr>
    </w:tbl>
    <w:p w14:paraId="6C1FF027" w14:textId="03ABD2E6" w:rsidR="0007343D" w:rsidRDefault="0007343D" w:rsidP="0007343D">
      <w:pPr>
        <w:pStyle w:val="CETheadingx"/>
        <w:numPr>
          <w:ilvl w:val="0"/>
          <w:numId w:val="0"/>
        </w:numPr>
      </w:pPr>
      <w:r>
        <w:rPr>
          <w:noProof/>
        </w:rPr>
        <w:drawing>
          <wp:inline distT="0" distB="0" distL="0" distR="0" wp14:anchorId="0EFF5D40" wp14:editId="633F3444">
            <wp:extent cx="4457700" cy="3249794"/>
            <wp:effectExtent l="0" t="0" r="0" b="8255"/>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03086" cy="3282882"/>
                    </a:xfrm>
                    <a:prstGeom prst="rect">
                      <a:avLst/>
                    </a:prstGeom>
                    <a:noFill/>
                  </pic:spPr>
                </pic:pic>
              </a:graphicData>
            </a:graphic>
          </wp:inline>
        </w:drawing>
      </w:r>
    </w:p>
    <w:p w14:paraId="3235417A" w14:textId="6D848EC7" w:rsidR="0007343D" w:rsidRPr="00244ABC" w:rsidRDefault="0007343D" w:rsidP="0007343D">
      <w:pPr>
        <w:pStyle w:val="CETCaption"/>
      </w:pPr>
      <w:r w:rsidRPr="00244ABC">
        <w:rPr>
          <w:rStyle w:val="CETCaptionCarattere"/>
          <w:i/>
        </w:rPr>
        <w:t xml:space="preserve">Figure 1: </w:t>
      </w:r>
      <w:r>
        <w:rPr>
          <w:rStyle w:val="CETCaptionCarattere"/>
          <w:i/>
        </w:rPr>
        <w:t>Appearance of the five employed bioplastics</w:t>
      </w:r>
      <w:r w:rsidRPr="00244ABC">
        <w:rPr>
          <w:rStyle w:val="CETCaptionCarattere"/>
          <w:i/>
        </w:rPr>
        <w:t>.</w:t>
      </w:r>
      <w:r w:rsidRPr="00244ABC">
        <w:t xml:space="preserve"> </w:t>
      </w:r>
    </w:p>
    <w:p w14:paraId="343E6DAB" w14:textId="3C1E2937" w:rsidR="00056503" w:rsidRPr="00244ABC" w:rsidRDefault="00056503" w:rsidP="0007343D">
      <w:pPr>
        <w:pStyle w:val="CETheadingx"/>
      </w:pPr>
      <w:r w:rsidRPr="00244ABC">
        <w:lastRenderedPageBreak/>
        <w:t>Experimental procedure</w:t>
      </w:r>
    </w:p>
    <w:p w14:paraId="495CF723" w14:textId="77777777" w:rsidR="00D70D29" w:rsidRDefault="00B00478" w:rsidP="00056503">
      <w:pPr>
        <w:pStyle w:val="CETBodytext"/>
        <w:rPr>
          <w:lang w:val="en-GB"/>
        </w:rPr>
      </w:pPr>
      <w:r w:rsidRPr="00244ABC">
        <w:rPr>
          <w:lang w:val="en-GB"/>
        </w:rPr>
        <w:t xml:space="preserve">The bioplastics were subjected to HTC without any further pre-treatment. The HTC tests were performed in a 50 mL stainless steel reactor, already described in detail in previous publications </w:t>
      </w:r>
      <w:r w:rsidRPr="00244ABC">
        <w:rPr>
          <w:lang w:val="en-GB"/>
        </w:rPr>
        <w:fldChar w:fldCharType="begin" w:fldLock="1"/>
      </w:r>
      <w:r w:rsidR="00E45605" w:rsidRPr="00244ABC">
        <w:rPr>
          <w:lang w:val="en-GB"/>
        </w:rPr>
        <w:instrText>ADDIN CSL_CITATION {"citationItems":[{"id":"ITEM-1","itemData":{"DOI":"10.3303/CET1437010","ISBN":"9788895608280","ISSN":"22839216","abstract":"Hydrothermal carbonization (HTC) is a thermochemical conversion process through which it is possible to directly treat a wet organic substrate with reduced process efforts. The main interesting product obtainable by HTC is the so-called \"hydrochar\", that is a solid enriched in carbon and with chemical characteristics comparable to those of fossil coals. The interest aroused by HTC stems from the fact that it represents an effective alternative to the common treatments for wet biomass, i.e. composting and anaerobic digestion. In fact, if compared to these conventional processes, HTC has several advantages: it is faster, it is not affected by inhibiting or toxic substances and, finally, the process produces a solid fraction exploitable in different fields: energy production, soil improvement, raw material for high added value applications. Thus, a batch reactor (Vreactor: 50 mL; Pdesign: 140 bar; Tdesign: 300 °C) was designed and constructed to investigate the HTC process. At first, the scheme of the equipment (P&amp;I) and its main characteristics are detailed. Then, preliminary experimental tests and relevant analyses are addressed. HTC experimental runs were performed with two different substrates: a model mixture of water and sugar and a mixture of water and grape seeds, which represent a by-product of the wine-making industry. For the first time in the literature, HTC data on these two kinds of substrates are reported. The substrates and the hydrochar were analyzed (chemical and thermal characterization). Preliminary data on the effect of process conditions (temperature and residence time) on process yields (kghydrochar/kgdry feed) and on hydrochar carbon content (kgcarbon/kghydrochar) were obtained. Moreover, based on the analytical data, a van Krevelen diagram was constructed for the HTC of both sugar and grape seeds. Copyright © 2014,AIDIC Servizi S.r.l.","author":[{"dropping-particle":"","family":"Fiori","given":"Luca","non-dropping-particle":"","parse-names":false,"suffix":""},{"dropping-particle":"","family":"Basso","given":"Daniele","non-dropping-particle":"","parse-names":false,"suffix":""},{"dropping-particle":"","family":"Castello","given":"Daniele","non-dropping-particle":"","parse-names":false,"suffix":""},{"dropping-particle":"","family":"Baratieri","given":"Marco","non-dropping-particle":"","parse-names":false,"suffix":""}],"container-title":"Chemical Engineering Transactions","id":"ITEM-1","issued":{"date-parts":[["2014"]]},"page":"55-60","title":"Hydrothermal carbonization of biomass: Design of a batch reactor and preliminary experimental results","type":"article-journal","volume":"37"},"uris":["http://www.mendeley.com/documents/?uuid=4c2394de-de97-432a-a6af-8269d908ca48"]}],"mendeley":{"formattedCitation":"(Fiori et al., 2014)","plainTextFormattedCitation":"(Fiori et al., 2014)","previouslyFormattedCitation":"(Fiori et al., 2014)"},"properties":{"noteIndex":0},"schema":"https://github.com/citation-style-language/schema/raw/master/csl-citation.json"}</w:instrText>
      </w:r>
      <w:r w:rsidRPr="00244ABC">
        <w:rPr>
          <w:lang w:val="en-GB"/>
        </w:rPr>
        <w:fldChar w:fldCharType="separate"/>
      </w:r>
      <w:r w:rsidRPr="00244ABC">
        <w:rPr>
          <w:noProof/>
          <w:lang w:val="en-GB"/>
        </w:rPr>
        <w:t>(Fiori et al., 2014)</w:t>
      </w:r>
      <w:r w:rsidRPr="00244ABC">
        <w:rPr>
          <w:lang w:val="en-GB"/>
        </w:rPr>
        <w:fldChar w:fldCharType="end"/>
      </w:r>
      <w:r w:rsidRPr="00244ABC">
        <w:rPr>
          <w:lang w:val="en-GB"/>
        </w:rPr>
        <w:t>.</w:t>
      </w:r>
      <w:r w:rsidR="00E45605" w:rsidRPr="00244ABC">
        <w:rPr>
          <w:lang w:val="en-GB"/>
        </w:rPr>
        <w:t xml:space="preserve"> Each experimental condition was tested at least twice.</w:t>
      </w:r>
      <w:r w:rsidRPr="00244ABC">
        <w:rPr>
          <w:lang w:val="en-GB"/>
        </w:rPr>
        <w:t xml:space="preserve"> </w:t>
      </w:r>
    </w:p>
    <w:p w14:paraId="65D73502" w14:textId="0AC50FF7" w:rsidR="00056503" w:rsidRPr="00244ABC" w:rsidRDefault="00B00478" w:rsidP="00056503">
      <w:pPr>
        <w:pStyle w:val="CETBodytext"/>
        <w:rPr>
          <w:lang w:val="en-GB"/>
        </w:rPr>
      </w:pPr>
      <w:r w:rsidRPr="00244ABC">
        <w:rPr>
          <w:lang w:val="en-GB"/>
        </w:rPr>
        <w:t>In each test</w:t>
      </w:r>
      <w:r w:rsidR="00D70D29">
        <w:rPr>
          <w:lang w:val="en-GB"/>
        </w:rPr>
        <w:t>,</w:t>
      </w:r>
      <w:r w:rsidRPr="00244ABC">
        <w:rPr>
          <w:lang w:val="en-GB"/>
        </w:rPr>
        <w:t xml:space="preserve"> the reactor was filled with about 3.50 g of the selected bioplastic and the amount of distilled water necessary to achieve a </w:t>
      </w:r>
      <w:r w:rsidR="00F10B75" w:rsidRPr="00244ABC">
        <w:rPr>
          <w:lang w:val="en-GB"/>
        </w:rPr>
        <w:t>bioplastic to water mass ratio of</w:t>
      </w:r>
      <w:r w:rsidRPr="00244ABC">
        <w:rPr>
          <w:lang w:val="en-GB"/>
        </w:rPr>
        <w:t xml:space="preserve"> 0.125.</w:t>
      </w:r>
      <w:r w:rsidR="00F10B75" w:rsidRPr="00244ABC">
        <w:rPr>
          <w:lang w:val="en-GB"/>
        </w:rPr>
        <w:t xml:space="preserve"> At the beginning, the reactor was sealed and purged with pure </w:t>
      </w:r>
      <w:r w:rsidR="00D70D29">
        <w:rPr>
          <w:lang w:val="en-GB"/>
        </w:rPr>
        <w:t xml:space="preserve">gaseous </w:t>
      </w:r>
      <w:r w:rsidR="00F10B75" w:rsidRPr="00244ABC">
        <w:rPr>
          <w:lang w:val="en-GB"/>
        </w:rPr>
        <w:t xml:space="preserve">nitrogen to remove oxygen from the gas phase. Then, it was heated via an external electrical resistance and kept at the </w:t>
      </w:r>
      <w:r w:rsidR="00D70D29">
        <w:rPr>
          <w:lang w:val="en-GB"/>
        </w:rPr>
        <w:t>chosen</w:t>
      </w:r>
      <w:r w:rsidR="00F10B75" w:rsidRPr="00244ABC">
        <w:rPr>
          <w:lang w:val="en-GB"/>
        </w:rPr>
        <w:t xml:space="preserve"> temperature (180 or 220 °C) for a time of 1 h. After this time had passed, the reactor was swiftly cooled to ambient temperature by soaking it in liquid water. The volume of the producer gas was measured by letting it flow in a transparent cylindrical column filled with water and closed at the top. This value was employed to calculate </w:t>
      </w:r>
      <w:r w:rsidR="00E70A8A">
        <w:rPr>
          <w:lang w:val="en-GB"/>
        </w:rPr>
        <w:t>the producer gas</w:t>
      </w:r>
      <w:r w:rsidR="00E70A8A" w:rsidRPr="00244ABC">
        <w:rPr>
          <w:lang w:val="en-GB"/>
        </w:rPr>
        <w:t xml:space="preserve"> </w:t>
      </w:r>
      <w:r w:rsidR="00F10B75" w:rsidRPr="00244ABC">
        <w:rPr>
          <w:lang w:val="en-GB"/>
        </w:rPr>
        <w:t>mass through the ideal gas equation, assuming it was entirely composed of CO</w:t>
      </w:r>
      <w:r w:rsidR="00F10B75" w:rsidRPr="00244ABC">
        <w:rPr>
          <w:vertAlign w:val="subscript"/>
          <w:lang w:val="en-GB"/>
        </w:rPr>
        <w:t>2</w:t>
      </w:r>
      <w:r w:rsidR="00F10B75" w:rsidRPr="00244ABC">
        <w:rPr>
          <w:lang w:val="en-GB"/>
        </w:rPr>
        <w:t xml:space="preserve">. The slurry contained in the reactor was filtered through a 0.45 </w:t>
      </w:r>
      <w:r w:rsidR="00F10B75" w:rsidRPr="00244ABC">
        <w:rPr>
          <w:rFonts w:cs="Arial"/>
          <w:lang w:val="en-GB"/>
        </w:rPr>
        <w:t>µ</w:t>
      </w:r>
      <w:r w:rsidR="00F10B75" w:rsidRPr="00244ABC">
        <w:rPr>
          <w:lang w:val="en-GB"/>
        </w:rPr>
        <w:t xml:space="preserve">m filter membrane </w:t>
      </w:r>
      <w:r w:rsidR="00D70D29">
        <w:rPr>
          <w:lang w:val="en-GB"/>
        </w:rPr>
        <w:t>with the aid of a vacuum pump</w:t>
      </w:r>
      <w:r w:rsidR="00F10B75" w:rsidRPr="00244ABC">
        <w:rPr>
          <w:lang w:val="en-GB"/>
        </w:rPr>
        <w:t xml:space="preserve">. The reactor and the filter were dried in an oven at 105 °C overnight and then weighted to measure the mass of solid material produced in the HTC process. The </w:t>
      </w:r>
      <w:r w:rsidR="00BE677D" w:rsidRPr="00244ABC">
        <w:rPr>
          <w:lang w:val="en-GB"/>
        </w:rPr>
        <w:t xml:space="preserve">mass </w:t>
      </w:r>
      <w:r w:rsidR="00F10B75" w:rsidRPr="00244ABC">
        <w:rPr>
          <w:lang w:val="en-GB"/>
        </w:rPr>
        <w:t xml:space="preserve">yields of the gaseous and solid products (GY and SY) were calculated </w:t>
      </w:r>
      <w:r w:rsidR="00BE677D" w:rsidRPr="00244ABC">
        <w:rPr>
          <w:lang w:val="en-GB"/>
        </w:rPr>
        <w:t>as the ratios between their</w:t>
      </w:r>
      <w:r w:rsidR="00F10B75" w:rsidRPr="00244ABC">
        <w:rPr>
          <w:lang w:val="en-GB"/>
        </w:rPr>
        <w:t xml:space="preserve"> masses </w:t>
      </w:r>
      <w:r w:rsidR="00BE677D" w:rsidRPr="00244ABC">
        <w:rPr>
          <w:lang w:val="en-GB"/>
        </w:rPr>
        <w:t>and t</w:t>
      </w:r>
      <w:r w:rsidR="00F10B75" w:rsidRPr="00244ABC">
        <w:rPr>
          <w:lang w:val="en-GB"/>
        </w:rPr>
        <w:t xml:space="preserve">he initial mass of the </w:t>
      </w:r>
      <w:r w:rsidR="00E70A8A">
        <w:rPr>
          <w:lang w:val="en-GB"/>
        </w:rPr>
        <w:t xml:space="preserve">bioplastic </w:t>
      </w:r>
      <w:r w:rsidR="00F10B75" w:rsidRPr="00244ABC">
        <w:rPr>
          <w:lang w:val="en-GB"/>
        </w:rPr>
        <w:t>material, while the yield of the liquid product (LY) was calculated by difference.</w:t>
      </w:r>
    </w:p>
    <w:p w14:paraId="0A320B1A" w14:textId="561C87EB" w:rsidR="00F10B75" w:rsidRPr="00244ABC" w:rsidRDefault="00BE677D" w:rsidP="00056503">
      <w:pPr>
        <w:pStyle w:val="CETBodytext"/>
        <w:rPr>
          <w:lang w:val="en-GB"/>
        </w:rPr>
      </w:pPr>
      <w:r w:rsidRPr="00244ABC">
        <w:rPr>
          <w:lang w:val="en-GB"/>
        </w:rPr>
        <w:t xml:space="preserve">Both the untreated bioplastics and the obtained solid products were analysed in terms of their ash content and elemental composition: the </w:t>
      </w:r>
      <w:r w:rsidR="008D761F" w:rsidRPr="00244ABC">
        <w:rPr>
          <w:lang w:val="en-GB"/>
        </w:rPr>
        <w:t>forme</w:t>
      </w:r>
      <w:r w:rsidR="008D761F">
        <w:rPr>
          <w:lang w:val="en-GB"/>
        </w:rPr>
        <w:t>r</w:t>
      </w:r>
      <w:r w:rsidR="008D761F" w:rsidRPr="00244ABC">
        <w:rPr>
          <w:lang w:val="en-GB"/>
        </w:rPr>
        <w:t xml:space="preserve"> </w:t>
      </w:r>
      <w:r w:rsidRPr="00244ABC">
        <w:rPr>
          <w:lang w:val="en-GB"/>
        </w:rPr>
        <w:t xml:space="preserve">was measured by </w:t>
      </w:r>
      <w:r w:rsidR="002D74A2">
        <w:rPr>
          <w:lang w:val="en-GB"/>
        </w:rPr>
        <w:t>keepin</w:t>
      </w:r>
      <w:r w:rsidRPr="00244ABC">
        <w:rPr>
          <w:lang w:val="en-GB"/>
        </w:rPr>
        <w:t xml:space="preserve">g samples of them in a muffle at 550 °C overnight, while the latter was determined via a LECO 628 Elemental Analyser in accordance with ASTM D-5375 for carbon, </w:t>
      </w:r>
      <w:proofErr w:type="gramStart"/>
      <w:r w:rsidRPr="00244ABC">
        <w:rPr>
          <w:lang w:val="en-GB"/>
        </w:rPr>
        <w:t>hydrogen</w:t>
      </w:r>
      <w:proofErr w:type="gramEnd"/>
      <w:r w:rsidRPr="00244ABC">
        <w:rPr>
          <w:lang w:val="en-GB"/>
        </w:rPr>
        <w:t xml:space="preserve"> and nitrogen. The oxygen content was determined by difference with the amounts of C, H, </w:t>
      </w:r>
      <w:proofErr w:type="gramStart"/>
      <w:r w:rsidRPr="00244ABC">
        <w:rPr>
          <w:lang w:val="en-GB"/>
        </w:rPr>
        <w:t>N</w:t>
      </w:r>
      <w:proofErr w:type="gramEnd"/>
      <w:r w:rsidRPr="00244ABC">
        <w:rPr>
          <w:lang w:val="en-GB"/>
        </w:rPr>
        <w:t xml:space="preserve"> and ash, assuming that the presence of other elements in the volatile matter was negligible. The pH of the liquid phase was determined</w:t>
      </w:r>
      <w:r w:rsidR="00D70D29">
        <w:rPr>
          <w:lang w:val="en-GB"/>
        </w:rPr>
        <w:t xml:space="preserve"> after filtration</w:t>
      </w:r>
      <w:r w:rsidRPr="00244ABC">
        <w:rPr>
          <w:lang w:val="en-GB"/>
        </w:rPr>
        <w:t xml:space="preserve"> with a </w:t>
      </w:r>
      <w:r w:rsidR="005923C0" w:rsidRPr="00244ABC">
        <w:rPr>
          <w:lang w:val="en-GB"/>
        </w:rPr>
        <w:t xml:space="preserve">WTW pH 3310 pocket meter.  </w:t>
      </w:r>
    </w:p>
    <w:p w14:paraId="677EBFF0" w14:textId="4175D6A8" w:rsidR="00600535" w:rsidRPr="00244ABC" w:rsidRDefault="005255AF" w:rsidP="00600535">
      <w:pPr>
        <w:pStyle w:val="CETHeading1"/>
        <w:tabs>
          <w:tab w:val="clear" w:pos="360"/>
          <w:tab w:val="right" w:pos="7100"/>
        </w:tabs>
        <w:jc w:val="both"/>
        <w:rPr>
          <w:lang w:val="en-GB"/>
        </w:rPr>
      </w:pPr>
      <w:r w:rsidRPr="00244ABC">
        <w:rPr>
          <w:lang w:val="en-GB"/>
        </w:rPr>
        <w:t>Results and discussion</w:t>
      </w:r>
    </w:p>
    <w:p w14:paraId="04963A06" w14:textId="649B90C7" w:rsidR="00600535" w:rsidRPr="00244ABC" w:rsidRDefault="005923C0" w:rsidP="0007343D">
      <w:pPr>
        <w:pStyle w:val="CETheadingx"/>
      </w:pPr>
      <w:r w:rsidRPr="00244ABC">
        <w:t>Bioplastics composition</w:t>
      </w:r>
    </w:p>
    <w:p w14:paraId="2E562C00" w14:textId="7D87562F" w:rsidR="004577FE" w:rsidRPr="00244ABC" w:rsidRDefault="005923C0" w:rsidP="005923C0">
      <w:pPr>
        <w:pStyle w:val="CETBodytext"/>
        <w:rPr>
          <w:lang w:val="en-GB"/>
        </w:rPr>
      </w:pPr>
      <w:r w:rsidRPr="00244ABC">
        <w:rPr>
          <w:lang w:val="en-GB"/>
        </w:rPr>
        <w:t xml:space="preserve">Table 2 summarises the elemental composition and ash content of the five bioplastic materials. </w:t>
      </w:r>
      <w:r w:rsidR="0021622A" w:rsidRPr="00244ABC">
        <w:rPr>
          <w:lang w:val="en-GB"/>
        </w:rPr>
        <w:t xml:space="preserve">The </w:t>
      </w:r>
      <w:r w:rsidR="00D70D29">
        <w:rPr>
          <w:lang w:val="en-GB"/>
        </w:rPr>
        <w:t>value</w:t>
      </w:r>
      <w:r w:rsidR="0021622A" w:rsidRPr="00244ABC">
        <w:rPr>
          <w:lang w:val="en-GB"/>
        </w:rPr>
        <w:t xml:space="preserve">s highlight that CDA and CA have a very similar composition, which was expectable since both are based on cellulose acetate, although they are produced by different companies and possibly contain different plasticisers. Their composition is not largely dissimilar to that of OL, whose base polymer was not stated by the producers. However, </w:t>
      </w:r>
      <w:r w:rsidR="00EE050F">
        <w:rPr>
          <w:lang w:val="en-GB"/>
        </w:rPr>
        <w:t>OL</w:t>
      </w:r>
      <w:r w:rsidR="0021622A" w:rsidRPr="00244ABC">
        <w:rPr>
          <w:lang w:val="en-GB"/>
        </w:rPr>
        <w:t xml:space="preserve"> features a significantly high ash content</w:t>
      </w:r>
      <w:r w:rsidR="00175BDD" w:rsidRPr="00244ABC">
        <w:rPr>
          <w:lang w:val="en-GB"/>
        </w:rPr>
        <w:t xml:space="preserve">, which may signal the presence of </w:t>
      </w:r>
      <w:r w:rsidR="002D74A2">
        <w:rPr>
          <w:lang w:val="en-GB"/>
        </w:rPr>
        <w:t xml:space="preserve">inorganic </w:t>
      </w:r>
      <w:r w:rsidR="00E45605" w:rsidRPr="00244ABC">
        <w:rPr>
          <w:lang w:val="en-GB"/>
        </w:rPr>
        <w:t xml:space="preserve">additives in </w:t>
      </w:r>
      <w:r w:rsidR="00EE050F">
        <w:rPr>
          <w:lang w:val="en-GB"/>
        </w:rPr>
        <w:t>its</w:t>
      </w:r>
      <w:r w:rsidR="00EE050F" w:rsidRPr="00244ABC">
        <w:rPr>
          <w:lang w:val="en-GB"/>
        </w:rPr>
        <w:t xml:space="preserve"> </w:t>
      </w:r>
      <w:r w:rsidR="00E45605" w:rsidRPr="00244ABC">
        <w:rPr>
          <w:lang w:val="en-GB"/>
        </w:rPr>
        <w:t xml:space="preserve">formulation </w:t>
      </w:r>
      <w:r w:rsidR="00E45605" w:rsidRPr="00244ABC">
        <w:rPr>
          <w:lang w:val="en-GB"/>
        </w:rPr>
        <w:fldChar w:fldCharType="begin" w:fldLock="1"/>
      </w:r>
      <w:r w:rsidR="00244ABC">
        <w:rPr>
          <w:lang w:val="en-GB"/>
        </w:rPr>
        <w:instrText>ADDIN CSL_CITATION {"citationItems":[{"id":"ITEM-1","itemData":{"DOI":"10.1007/s10924-021-02152-z","ISSN":"1566-2543","author":[{"dropping-particle":"","family":"Anugrahwidya","given":"Rahma","non-dropping-particle":"","parse-names":false,"suffix":""},{"dropping-particle":"","family":"Armynah","given":"Bidayatul","non-dropping-particle":"","parse-names":false,"suffix":""},{"dropping-particle":"","family":"Tahir","given":"Dahlang","non-dropping-particle":"","parse-names":false,"suffix":""}],"container-title":"Journal of Polymers and the Environment","id":"ITEM-1","issue":"11","issued":{"date-parts":[["2021","11","24"]]},"page":"3459-3476","title":"Bioplastics Starch-Based with Additional Fiber and Nanoparticle: Characteristics and Biodegradation Performance: A Review","type":"article-journal","volume":"29"},"uris":["http://www.mendeley.com/documents/?uuid=9d48e109-2521-4cff-9221-da86bf13a115"]}],"mendeley":{"formattedCitation":"(Anugrahwidya et al., 2021)","plainTextFormattedCitation":"(Anugrahwidya et al., 2021)","previouslyFormattedCitation":"(Anugrahwidya et al., 2021)"},"properties":{"noteIndex":0},"schema":"https://github.com/citation-style-language/schema/raw/master/csl-citation.json"}</w:instrText>
      </w:r>
      <w:r w:rsidR="00E45605" w:rsidRPr="00244ABC">
        <w:rPr>
          <w:lang w:val="en-GB"/>
        </w:rPr>
        <w:fldChar w:fldCharType="separate"/>
      </w:r>
      <w:r w:rsidR="00E45605" w:rsidRPr="00244ABC">
        <w:rPr>
          <w:noProof/>
          <w:lang w:val="en-GB"/>
        </w:rPr>
        <w:t>(Anugrahwidya et al., 2021)</w:t>
      </w:r>
      <w:r w:rsidR="00E45605" w:rsidRPr="00244ABC">
        <w:rPr>
          <w:lang w:val="en-GB"/>
        </w:rPr>
        <w:fldChar w:fldCharType="end"/>
      </w:r>
      <w:r w:rsidR="00E45605" w:rsidRPr="00244ABC">
        <w:rPr>
          <w:lang w:val="en-GB"/>
        </w:rPr>
        <w:t xml:space="preserve">. The only other polymer with a non-null ash content is LA, which also </w:t>
      </w:r>
      <w:r w:rsidR="00EE050F">
        <w:rPr>
          <w:lang w:val="en-GB"/>
        </w:rPr>
        <w:t>features</w:t>
      </w:r>
      <w:r w:rsidR="00EE050F" w:rsidRPr="00244ABC">
        <w:rPr>
          <w:lang w:val="en-GB"/>
        </w:rPr>
        <w:t xml:space="preserve"> </w:t>
      </w:r>
      <w:r w:rsidR="00E45605" w:rsidRPr="00244ABC">
        <w:rPr>
          <w:lang w:val="en-GB"/>
        </w:rPr>
        <w:t xml:space="preserve">a high nitrogen content, coherently with the fact that it is the only </w:t>
      </w:r>
      <w:r w:rsidR="00EE050F">
        <w:rPr>
          <w:lang w:val="en-GB"/>
        </w:rPr>
        <w:t xml:space="preserve">one </w:t>
      </w:r>
      <w:r w:rsidR="00E45605" w:rsidRPr="00244ABC">
        <w:rPr>
          <w:lang w:val="en-GB"/>
        </w:rPr>
        <w:t>obtained by protein</w:t>
      </w:r>
      <w:r w:rsidR="00EE050F">
        <w:rPr>
          <w:lang w:val="en-GB"/>
        </w:rPr>
        <w:t>s</w:t>
      </w:r>
      <w:r w:rsidR="00E45605" w:rsidRPr="00244ABC">
        <w:rPr>
          <w:lang w:val="en-GB"/>
        </w:rPr>
        <w:t xml:space="preserve">. Finally, PA also has a non-null nitrogen content and a significantly higher carbon content, as expectable due to its </w:t>
      </w:r>
      <w:proofErr w:type="spellStart"/>
      <w:r w:rsidR="00E45605" w:rsidRPr="00244ABC">
        <w:rPr>
          <w:lang w:val="en-GB"/>
        </w:rPr>
        <w:t>polyamidic</w:t>
      </w:r>
      <w:proofErr w:type="spellEnd"/>
      <w:r w:rsidR="00E45605" w:rsidRPr="00244ABC">
        <w:rPr>
          <w:lang w:val="en-GB"/>
        </w:rPr>
        <w:t xml:space="preserve"> structure.</w:t>
      </w:r>
    </w:p>
    <w:p w14:paraId="07F82EFE" w14:textId="0BC17C75" w:rsidR="005923C0" w:rsidRPr="00244ABC" w:rsidRDefault="005923C0" w:rsidP="005923C0">
      <w:pPr>
        <w:pStyle w:val="CETTabletitle"/>
      </w:pPr>
      <w:r w:rsidRPr="00244ABC">
        <w:t>Table 2: Elemental composition of the five bioplastic materials (</w:t>
      </w:r>
      <w:r w:rsidR="00D70D29">
        <w:t>mass fractions,</w:t>
      </w:r>
      <w:r w:rsidR="0021622A" w:rsidRPr="00244ABC">
        <w:t xml:space="preserve"> with </w:t>
      </w:r>
      <w:r w:rsidR="00B1192C">
        <w:t>O</w:t>
      </w:r>
      <w:r w:rsidR="00B1192C" w:rsidRPr="00244ABC">
        <w:t xml:space="preserve"> </w:t>
      </w:r>
      <w:r w:rsidR="0021622A" w:rsidRPr="00244ABC">
        <w:t>calculated by difference</w:t>
      </w:r>
      <w:r w:rsidRPr="00244ABC">
        <w:t>).</w:t>
      </w:r>
    </w:p>
    <w:tbl>
      <w:tblPr>
        <w:tblW w:w="4962" w:type="dxa"/>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1086"/>
        <w:gridCol w:w="779"/>
        <w:gridCol w:w="779"/>
        <w:gridCol w:w="779"/>
        <w:gridCol w:w="796"/>
        <w:gridCol w:w="743"/>
      </w:tblGrid>
      <w:tr w:rsidR="005923C0" w:rsidRPr="00244ABC" w14:paraId="660C7CFC" w14:textId="77777777" w:rsidTr="00D70D29">
        <w:trPr>
          <w:trHeight w:val="266"/>
        </w:trPr>
        <w:tc>
          <w:tcPr>
            <w:tcW w:w="0" w:type="auto"/>
            <w:tcBorders>
              <w:top w:val="single" w:sz="12" w:space="0" w:color="008000"/>
              <w:bottom w:val="single" w:sz="6" w:space="0" w:color="008000"/>
            </w:tcBorders>
            <w:shd w:val="clear" w:color="auto" w:fill="FFFFFF"/>
            <w:vAlign w:val="center"/>
          </w:tcPr>
          <w:p w14:paraId="572F81FD" w14:textId="77777777" w:rsidR="005923C0" w:rsidRPr="00244ABC" w:rsidRDefault="005923C0">
            <w:pPr>
              <w:pStyle w:val="CETBodytext"/>
              <w:jc w:val="left"/>
              <w:rPr>
                <w:lang w:val="en-GB"/>
              </w:rPr>
            </w:pPr>
            <w:r w:rsidRPr="00244ABC">
              <w:rPr>
                <w:lang w:val="en-GB"/>
              </w:rPr>
              <w:t xml:space="preserve">Material </w:t>
            </w:r>
          </w:p>
        </w:tc>
        <w:tc>
          <w:tcPr>
            <w:tcW w:w="0" w:type="auto"/>
            <w:tcBorders>
              <w:top w:val="single" w:sz="12" w:space="0" w:color="008000"/>
              <w:bottom w:val="single" w:sz="6" w:space="0" w:color="008000"/>
            </w:tcBorders>
            <w:shd w:val="clear" w:color="auto" w:fill="FFFFFF"/>
            <w:vAlign w:val="center"/>
          </w:tcPr>
          <w:p w14:paraId="549ABE32" w14:textId="54EE8339" w:rsidR="005923C0" w:rsidRPr="00244ABC" w:rsidRDefault="005923C0">
            <w:pPr>
              <w:pStyle w:val="CETBodytext"/>
              <w:jc w:val="left"/>
              <w:rPr>
                <w:lang w:val="en-GB"/>
              </w:rPr>
            </w:pPr>
            <w:r w:rsidRPr="00244ABC">
              <w:rPr>
                <w:lang w:val="en-GB"/>
              </w:rPr>
              <w:t>C (%)</w:t>
            </w:r>
          </w:p>
        </w:tc>
        <w:tc>
          <w:tcPr>
            <w:tcW w:w="0" w:type="auto"/>
            <w:tcBorders>
              <w:top w:val="single" w:sz="12" w:space="0" w:color="008000"/>
              <w:bottom w:val="single" w:sz="6" w:space="0" w:color="008000"/>
            </w:tcBorders>
            <w:shd w:val="clear" w:color="auto" w:fill="FFFFFF"/>
            <w:vAlign w:val="center"/>
          </w:tcPr>
          <w:p w14:paraId="4F7F6499" w14:textId="7EDE9A62" w:rsidR="005923C0" w:rsidRPr="00244ABC" w:rsidRDefault="005923C0">
            <w:pPr>
              <w:pStyle w:val="CETBodytext"/>
              <w:jc w:val="left"/>
              <w:rPr>
                <w:lang w:val="en-GB"/>
              </w:rPr>
            </w:pPr>
            <w:r w:rsidRPr="00244ABC">
              <w:rPr>
                <w:lang w:val="en-GB"/>
              </w:rPr>
              <w:t>H (%)</w:t>
            </w:r>
          </w:p>
        </w:tc>
        <w:tc>
          <w:tcPr>
            <w:tcW w:w="0" w:type="auto"/>
            <w:tcBorders>
              <w:top w:val="single" w:sz="12" w:space="0" w:color="008000"/>
              <w:bottom w:val="single" w:sz="6" w:space="0" w:color="008000"/>
            </w:tcBorders>
            <w:shd w:val="clear" w:color="auto" w:fill="FFFFFF"/>
            <w:vAlign w:val="center"/>
          </w:tcPr>
          <w:p w14:paraId="654312A7" w14:textId="7CB7FDBB" w:rsidR="005923C0" w:rsidRPr="00244ABC" w:rsidRDefault="005923C0">
            <w:pPr>
              <w:pStyle w:val="CETBodytext"/>
              <w:ind w:right="-1"/>
              <w:jc w:val="left"/>
              <w:rPr>
                <w:rFonts w:cs="Arial"/>
                <w:szCs w:val="18"/>
                <w:lang w:val="en-GB"/>
              </w:rPr>
            </w:pPr>
            <w:r w:rsidRPr="00244ABC">
              <w:rPr>
                <w:rFonts w:cs="Arial"/>
                <w:szCs w:val="18"/>
                <w:lang w:val="en-GB"/>
              </w:rPr>
              <w:t>N (%)</w:t>
            </w:r>
          </w:p>
        </w:tc>
        <w:tc>
          <w:tcPr>
            <w:tcW w:w="0" w:type="auto"/>
            <w:tcBorders>
              <w:top w:val="single" w:sz="12" w:space="0" w:color="008000"/>
              <w:bottom w:val="single" w:sz="6" w:space="0" w:color="008000"/>
            </w:tcBorders>
            <w:shd w:val="clear" w:color="auto" w:fill="FFFFFF"/>
            <w:vAlign w:val="center"/>
          </w:tcPr>
          <w:p w14:paraId="592F7F09" w14:textId="1F54A6C4" w:rsidR="005923C0" w:rsidRPr="00244ABC" w:rsidRDefault="005923C0">
            <w:pPr>
              <w:pStyle w:val="CETBodytext"/>
              <w:ind w:right="-1"/>
              <w:jc w:val="left"/>
              <w:rPr>
                <w:rFonts w:cs="Arial"/>
                <w:szCs w:val="18"/>
                <w:lang w:val="en-GB"/>
              </w:rPr>
            </w:pPr>
            <w:r w:rsidRPr="00244ABC">
              <w:rPr>
                <w:rFonts w:cs="Arial"/>
                <w:szCs w:val="18"/>
                <w:lang w:val="en-GB"/>
              </w:rPr>
              <w:t>O (%)</w:t>
            </w:r>
          </w:p>
        </w:tc>
        <w:tc>
          <w:tcPr>
            <w:tcW w:w="743" w:type="dxa"/>
            <w:tcBorders>
              <w:top w:val="single" w:sz="12" w:space="0" w:color="008000"/>
              <w:bottom w:val="single" w:sz="6" w:space="0" w:color="008000"/>
            </w:tcBorders>
            <w:shd w:val="clear" w:color="auto" w:fill="FFFFFF"/>
            <w:vAlign w:val="center"/>
          </w:tcPr>
          <w:p w14:paraId="0E296B77" w14:textId="30045DAE" w:rsidR="005923C0" w:rsidRPr="00244ABC" w:rsidRDefault="005923C0">
            <w:pPr>
              <w:pStyle w:val="CETBodytext"/>
              <w:ind w:right="-1"/>
              <w:jc w:val="left"/>
              <w:rPr>
                <w:rFonts w:cs="Arial"/>
                <w:szCs w:val="18"/>
                <w:lang w:val="en-GB"/>
              </w:rPr>
            </w:pPr>
            <w:r w:rsidRPr="00244ABC">
              <w:rPr>
                <w:rFonts w:cs="Arial"/>
                <w:szCs w:val="18"/>
                <w:lang w:val="en-GB"/>
              </w:rPr>
              <w:t>Ash (%)</w:t>
            </w:r>
          </w:p>
        </w:tc>
      </w:tr>
      <w:tr w:rsidR="0021622A" w:rsidRPr="00244ABC" w14:paraId="1354A3D8" w14:textId="77777777" w:rsidTr="00D70D29">
        <w:trPr>
          <w:trHeight w:val="292"/>
        </w:trPr>
        <w:tc>
          <w:tcPr>
            <w:tcW w:w="0" w:type="auto"/>
            <w:shd w:val="clear" w:color="auto" w:fill="FFFFFF"/>
            <w:vAlign w:val="center"/>
          </w:tcPr>
          <w:p w14:paraId="0823B7B3" w14:textId="77777777" w:rsidR="0021622A" w:rsidRPr="00244ABC" w:rsidRDefault="0021622A" w:rsidP="0021622A">
            <w:pPr>
              <w:pStyle w:val="CETBodytext"/>
              <w:jc w:val="left"/>
              <w:rPr>
                <w:lang w:val="en-GB"/>
              </w:rPr>
            </w:pPr>
            <w:r w:rsidRPr="00244ABC">
              <w:rPr>
                <w:lang w:val="en-GB"/>
              </w:rPr>
              <w:t>CDA</w:t>
            </w:r>
          </w:p>
        </w:tc>
        <w:tc>
          <w:tcPr>
            <w:tcW w:w="0" w:type="auto"/>
            <w:shd w:val="clear" w:color="auto" w:fill="FFFFFF"/>
          </w:tcPr>
          <w:p w14:paraId="5D4B13EF" w14:textId="5E22F6CE" w:rsidR="0021622A" w:rsidRPr="00244ABC" w:rsidRDefault="0021622A" w:rsidP="0021622A">
            <w:pPr>
              <w:pStyle w:val="CETBodytext"/>
              <w:jc w:val="left"/>
              <w:rPr>
                <w:lang w:val="en-GB"/>
              </w:rPr>
            </w:pPr>
            <w:r w:rsidRPr="00244ABC">
              <w:rPr>
                <w:lang w:val="en-GB"/>
              </w:rPr>
              <w:t>48.9</w:t>
            </w:r>
          </w:p>
        </w:tc>
        <w:tc>
          <w:tcPr>
            <w:tcW w:w="0" w:type="auto"/>
            <w:shd w:val="clear" w:color="auto" w:fill="FFFFFF"/>
          </w:tcPr>
          <w:p w14:paraId="11BDB944" w14:textId="7E63291B" w:rsidR="0021622A" w:rsidRPr="00244ABC" w:rsidRDefault="0021622A" w:rsidP="0021622A">
            <w:pPr>
              <w:pStyle w:val="CETBodytext"/>
              <w:jc w:val="left"/>
              <w:rPr>
                <w:lang w:val="en-GB"/>
              </w:rPr>
            </w:pPr>
            <w:r w:rsidRPr="00244ABC">
              <w:rPr>
                <w:lang w:val="en-GB"/>
              </w:rPr>
              <w:t>6.2</w:t>
            </w:r>
          </w:p>
        </w:tc>
        <w:tc>
          <w:tcPr>
            <w:tcW w:w="0" w:type="auto"/>
            <w:shd w:val="clear" w:color="auto" w:fill="FFFFFF"/>
          </w:tcPr>
          <w:p w14:paraId="36791D00" w14:textId="3D2CDCB5" w:rsidR="0021622A" w:rsidRPr="00244ABC" w:rsidRDefault="0021622A" w:rsidP="0021622A">
            <w:pPr>
              <w:pStyle w:val="CETBodytext"/>
              <w:ind w:right="-1"/>
              <w:jc w:val="left"/>
              <w:rPr>
                <w:rFonts w:cs="Arial"/>
                <w:szCs w:val="18"/>
                <w:lang w:val="en-GB"/>
              </w:rPr>
            </w:pPr>
            <w:r w:rsidRPr="00244ABC">
              <w:rPr>
                <w:lang w:val="en-GB"/>
              </w:rPr>
              <w:t>0.0</w:t>
            </w:r>
          </w:p>
        </w:tc>
        <w:tc>
          <w:tcPr>
            <w:tcW w:w="0" w:type="auto"/>
            <w:shd w:val="clear" w:color="auto" w:fill="FFFFFF"/>
          </w:tcPr>
          <w:p w14:paraId="5F5A64C9" w14:textId="7D1BD4CE" w:rsidR="0021622A" w:rsidRPr="00244ABC" w:rsidRDefault="0021622A" w:rsidP="0021622A">
            <w:pPr>
              <w:pStyle w:val="CETBodytext"/>
              <w:ind w:right="-1"/>
              <w:jc w:val="left"/>
              <w:rPr>
                <w:rFonts w:cs="Arial"/>
                <w:szCs w:val="18"/>
                <w:lang w:val="en-GB"/>
              </w:rPr>
            </w:pPr>
            <w:r w:rsidRPr="00244ABC">
              <w:rPr>
                <w:lang w:val="en-GB"/>
              </w:rPr>
              <w:t>44.9</w:t>
            </w:r>
          </w:p>
        </w:tc>
        <w:tc>
          <w:tcPr>
            <w:tcW w:w="743" w:type="dxa"/>
            <w:shd w:val="clear" w:color="auto" w:fill="FFFFFF"/>
          </w:tcPr>
          <w:p w14:paraId="29D9606B" w14:textId="7F3EF7D3" w:rsidR="0021622A" w:rsidRPr="00244ABC" w:rsidRDefault="0021622A" w:rsidP="0021622A">
            <w:pPr>
              <w:pStyle w:val="CETBodytext"/>
              <w:ind w:right="-1"/>
              <w:jc w:val="left"/>
              <w:rPr>
                <w:rFonts w:cs="Arial"/>
                <w:szCs w:val="18"/>
                <w:lang w:val="en-GB"/>
              </w:rPr>
            </w:pPr>
            <w:r w:rsidRPr="00244ABC">
              <w:rPr>
                <w:lang w:val="en-GB"/>
              </w:rPr>
              <w:t>0.0</w:t>
            </w:r>
          </w:p>
        </w:tc>
      </w:tr>
      <w:tr w:rsidR="0021622A" w:rsidRPr="00244ABC" w14:paraId="4BC00404" w14:textId="77777777" w:rsidTr="00D70D29">
        <w:trPr>
          <w:trHeight w:val="292"/>
        </w:trPr>
        <w:tc>
          <w:tcPr>
            <w:tcW w:w="0" w:type="auto"/>
            <w:shd w:val="clear" w:color="auto" w:fill="FFFFFF"/>
            <w:vAlign w:val="center"/>
          </w:tcPr>
          <w:p w14:paraId="311E4713" w14:textId="77777777" w:rsidR="0021622A" w:rsidRPr="00244ABC" w:rsidRDefault="0021622A" w:rsidP="0021622A">
            <w:pPr>
              <w:pStyle w:val="CETBodytext"/>
              <w:jc w:val="left"/>
              <w:rPr>
                <w:lang w:val="en-GB"/>
              </w:rPr>
            </w:pPr>
            <w:r w:rsidRPr="00244ABC">
              <w:rPr>
                <w:lang w:val="en-GB"/>
              </w:rPr>
              <w:t>CA</w:t>
            </w:r>
          </w:p>
        </w:tc>
        <w:tc>
          <w:tcPr>
            <w:tcW w:w="0" w:type="auto"/>
            <w:shd w:val="clear" w:color="auto" w:fill="FFFFFF"/>
          </w:tcPr>
          <w:p w14:paraId="719960D1" w14:textId="67D25B81" w:rsidR="0021622A" w:rsidRPr="00244ABC" w:rsidRDefault="0021622A" w:rsidP="0021622A">
            <w:pPr>
              <w:pStyle w:val="CETBodytext"/>
              <w:jc w:val="left"/>
              <w:rPr>
                <w:lang w:val="en-GB"/>
              </w:rPr>
            </w:pPr>
            <w:r w:rsidRPr="00244ABC">
              <w:rPr>
                <w:lang w:val="en-GB"/>
              </w:rPr>
              <w:t>48.8</w:t>
            </w:r>
          </w:p>
        </w:tc>
        <w:tc>
          <w:tcPr>
            <w:tcW w:w="0" w:type="auto"/>
            <w:shd w:val="clear" w:color="auto" w:fill="FFFFFF"/>
          </w:tcPr>
          <w:p w14:paraId="2424259E" w14:textId="0C0D4952" w:rsidR="0021622A" w:rsidRPr="00244ABC" w:rsidRDefault="0021622A" w:rsidP="0021622A">
            <w:pPr>
              <w:pStyle w:val="CETBodytext"/>
              <w:jc w:val="left"/>
              <w:rPr>
                <w:lang w:val="en-GB"/>
              </w:rPr>
            </w:pPr>
            <w:r w:rsidRPr="00244ABC">
              <w:rPr>
                <w:lang w:val="en-GB"/>
              </w:rPr>
              <w:t>6.5</w:t>
            </w:r>
          </w:p>
        </w:tc>
        <w:tc>
          <w:tcPr>
            <w:tcW w:w="0" w:type="auto"/>
            <w:shd w:val="clear" w:color="auto" w:fill="FFFFFF"/>
          </w:tcPr>
          <w:p w14:paraId="19C3E343" w14:textId="74C28004" w:rsidR="0021622A" w:rsidRPr="00244ABC" w:rsidRDefault="0021622A" w:rsidP="0021622A">
            <w:pPr>
              <w:pStyle w:val="CETBodytext"/>
              <w:ind w:right="-1"/>
              <w:jc w:val="left"/>
              <w:rPr>
                <w:rFonts w:cs="Arial"/>
                <w:szCs w:val="18"/>
                <w:lang w:val="en-GB"/>
              </w:rPr>
            </w:pPr>
            <w:r w:rsidRPr="00244ABC">
              <w:rPr>
                <w:lang w:val="en-GB"/>
              </w:rPr>
              <w:t>0.0</w:t>
            </w:r>
          </w:p>
        </w:tc>
        <w:tc>
          <w:tcPr>
            <w:tcW w:w="0" w:type="auto"/>
            <w:shd w:val="clear" w:color="auto" w:fill="FFFFFF"/>
          </w:tcPr>
          <w:p w14:paraId="0AF2320C" w14:textId="64B60041" w:rsidR="0021622A" w:rsidRPr="00244ABC" w:rsidRDefault="0021622A" w:rsidP="0021622A">
            <w:pPr>
              <w:pStyle w:val="CETBodytext"/>
              <w:ind w:right="-1"/>
              <w:jc w:val="left"/>
              <w:rPr>
                <w:rFonts w:cs="Arial"/>
                <w:szCs w:val="18"/>
                <w:lang w:val="en-GB"/>
              </w:rPr>
            </w:pPr>
            <w:r w:rsidRPr="00244ABC">
              <w:rPr>
                <w:lang w:val="en-GB"/>
              </w:rPr>
              <w:t>44.7</w:t>
            </w:r>
          </w:p>
        </w:tc>
        <w:tc>
          <w:tcPr>
            <w:tcW w:w="743" w:type="dxa"/>
            <w:shd w:val="clear" w:color="auto" w:fill="FFFFFF"/>
            <w:vAlign w:val="center"/>
          </w:tcPr>
          <w:p w14:paraId="0876AC63" w14:textId="3930C725" w:rsidR="0021622A" w:rsidRPr="00244ABC" w:rsidRDefault="0021622A" w:rsidP="0021622A">
            <w:pPr>
              <w:pStyle w:val="CETBodytext"/>
              <w:ind w:right="-1"/>
              <w:jc w:val="left"/>
              <w:rPr>
                <w:rFonts w:cs="Arial"/>
                <w:szCs w:val="18"/>
                <w:lang w:val="en-GB"/>
              </w:rPr>
            </w:pPr>
            <w:r w:rsidRPr="00244ABC">
              <w:rPr>
                <w:rFonts w:cs="Arial"/>
                <w:szCs w:val="18"/>
                <w:lang w:val="en-GB"/>
              </w:rPr>
              <w:t>0.0</w:t>
            </w:r>
          </w:p>
        </w:tc>
      </w:tr>
      <w:tr w:rsidR="0021622A" w:rsidRPr="00244ABC" w14:paraId="11B4A924" w14:textId="77777777" w:rsidTr="00D70D29">
        <w:trPr>
          <w:trHeight w:val="266"/>
        </w:trPr>
        <w:tc>
          <w:tcPr>
            <w:tcW w:w="0" w:type="auto"/>
            <w:shd w:val="clear" w:color="auto" w:fill="FFFFFF"/>
            <w:vAlign w:val="center"/>
          </w:tcPr>
          <w:p w14:paraId="2066F42F" w14:textId="77777777" w:rsidR="0021622A" w:rsidRPr="00244ABC" w:rsidRDefault="0021622A" w:rsidP="0021622A">
            <w:pPr>
              <w:pStyle w:val="CETBodytext"/>
              <w:ind w:right="-1"/>
              <w:jc w:val="left"/>
              <w:rPr>
                <w:rFonts w:cs="Arial"/>
                <w:szCs w:val="18"/>
                <w:lang w:val="en-GB"/>
              </w:rPr>
            </w:pPr>
            <w:r w:rsidRPr="00244ABC">
              <w:rPr>
                <w:rFonts w:cs="Arial"/>
                <w:szCs w:val="18"/>
                <w:lang w:val="en-GB"/>
              </w:rPr>
              <w:t>LA</w:t>
            </w:r>
          </w:p>
        </w:tc>
        <w:tc>
          <w:tcPr>
            <w:tcW w:w="0" w:type="auto"/>
            <w:shd w:val="clear" w:color="auto" w:fill="FFFFFF"/>
          </w:tcPr>
          <w:p w14:paraId="28B263AD" w14:textId="1CEA9BD5" w:rsidR="0021622A" w:rsidRPr="00244ABC" w:rsidRDefault="0021622A" w:rsidP="0021622A">
            <w:pPr>
              <w:pStyle w:val="CETBodytext"/>
              <w:ind w:right="-1"/>
              <w:jc w:val="left"/>
              <w:rPr>
                <w:rFonts w:cs="Arial"/>
                <w:szCs w:val="18"/>
                <w:lang w:val="en-GB"/>
              </w:rPr>
            </w:pPr>
            <w:r w:rsidRPr="00244ABC">
              <w:rPr>
                <w:lang w:val="en-GB"/>
              </w:rPr>
              <w:t>43.1</w:t>
            </w:r>
          </w:p>
        </w:tc>
        <w:tc>
          <w:tcPr>
            <w:tcW w:w="0" w:type="auto"/>
            <w:shd w:val="clear" w:color="auto" w:fill="FFFFFF"/>
          </w:tcPr>
          <w:p w14:paraId="5EA6AAF4" w14:textId="6F68F39F" w:rsidR="0021622A" w:rsidRPr="00244ABC" w:rsidRDefault="0021622A" w:rsidP="0021622A">
            <w:pPr>
              <w:pStyle w:val="CETBodytext"/>
              <w:ind w:right="-1"/>
              <w:jc w:val="left"/>
              <w:rPr>
                <w:rFonts w:cs="Arial"/>
                <w:szCs w:val="18"/>
                <w:lang w:val="en-GB"/>
              </w:rPr>
            </w:pPr>
            <w:r w:rsidRPr="00244ABC">
              <w:rPr>
                <w:lang w:val="en-GB"/>
              </w:rPr>
              <w:t>7.2</w:t>
            </w:r>
          </w:p>
        </w:tc>
        <w:tc>
          <w:tcPr>
            <w:tcW w:w="0" w:type="auto"/>
            <w:shd w:val="clear" w:color="auto" w:fill="FFFFFF"/>
          </w:tcPr>
          <w:p w14:paraId="3AF93AF1" w14:textId="28571246" w:rsidR="0021622A" w:rsidRPr="00244ABC" w:rsidRDefault="0021622A" w:rsidP="0021622A">
            <w:pPr>
              <w:pStyle w:val="CETBodytext"/>
              <w:ind w:right="-1"/>
              <w:jc w:val="left"/>
              <w:rPr>
                <w:rFonts w:cs="Arial"/>
                <w:szCs w:val="18"/>
                <w:lang w:val="en-GB"/>
              </w:rPr>
            </w:pPr>
            <w:r w:rsidRPr="00244ABC">
              <w:rPr>
                <w:lang w:val="en-GB"/>
              </w:rPr>
              <w:t>12.2</w:t>
            </w:r>
          </w:p>
        </w:tc>
        <w:tc>
          <w:tcPr>
            <w:tcW w:w="0" w:type="auto"/>
            <w:shd w:val="clear" w:color="auto" w:fill="FFFFFF"/>
          </w:tcPr>
          <w:p w14:paraId="06570366" w14:textId="2F64D67B" w:rsidR="0021622A" w:rsidRPr="00244ABC" w:rsidRDefault="0021622A" w:rsidP="0021622A">
            <w:pPr>
              <w:pStyle w:val="CETBodytext"/>
              <w:ind w:right="-1"/>
              <w:jc w:val="left"/>
              <w:rPr>
                <w:rFonts w:cs="Arial"/>
                <w:szCs w:val="18"/>
                <w:lang w:val="en-GB"/>
              </w:rPr>
            </w:pPr>
            <w:r w:rsidRPr="00244ABC">
              <w:rPr>
                <w:lang w:val="en-GB"/>
              </w:rPr>
              <w:t>30.0</w:t>
            </w:r>
          </w:p>
        </w:tc>
        <w:tc>
          <w:tcPr>
            <w:tcW w:w="743" w:type="dxa"/>
            <w:shd w:val="clear" w:color="auto" w:fill="FFFFFF"/>
          </w:tcPr>
          <w:p w14:paraId="532A1D58" w14:textId="4A84F85C" w:rsidR="0021622A" w:rsidRPr="00244ABC" w:rsidRDefault="0021622A" w:rsidP="0021622A">
            <w:pPr>
              <w:pStyle w:val="CETBodytext"/>
              <w:ind w:right="-1"/>
              <w:jc w:val="left"/>
              <w:rPr>
                <w:rFonts w:cs="Arial"/>
                <w:szCs w:val="18"/>
                <w:lang w:val="en-GB"/>
              </w:rPr>
            </w:pPr>
            <w:r w:rsidRPr="00244ABC">
              <w:rPr>
                <w:lang w:val="en-GB"/>
              </w:rPr>
              <w:t>7.4</w:t>
            </w:r>
          </w:p>
        </w:tc>
      </w:tr>
      <w:tr w:rsidR="0021622A" w:rsidRPr="00244ABC" w14:paraId="7C6604F3" w14:textId="77777777" w:rsidTr="00D70D29">
        <w:trPr>
          <w:trHeight w:val="266"/>
        </w:trPr>
        <w:tc>
          <w:tcPr>
            <w:tcW w:w="0" w:type="auto"/>
            <w:shd w:val="clear" w:color="auto" w:fill="FFFFFF"/>
            <w:vAlign w:val="center"/>
          </w:tcPr>
          <w:p w14:paraId="5AC97A55" w14:textId="77777777" w:rsidR="0021622A" w:rsidRPr="00244ABC" w:rsidRDefault="0021622A" w:rsidP="0021622A">
            <w:pPr>
              <w:pStyle w:val="CETBodytext"/>
              <w:ind w:right="-1"/>
              <w:jc w:val="left"/>
              <w:rPr>
                <w:rFonts w:cs="Arial"/>
                <w:szCs w:val="18"/>
                <w:lang w:val="en-GB"/>
              </w:rPr>
            </w:pPr>
            <w:r w:rsidRPr="00244ABC">
              <w:rPr>
                <w:rFonts w:cs="Arial"/>
                <w:szCs w:val="18"/>
                <w:lang w:val="en-GB"/>
              </w:rPr>
              <w:t>OL</w:t>
            </w:r>
          </w:p>
        </w:tc>
        <w:tc>
          <w:tcPr>
            <w:tcW w:w="0" w:type="auto"/>
            <w:shd w:val="clear" w:color="auto" w:fill="FFFFFF"/>
          </w:tcPr>
          <w:p w14:paraId="7E66E7D1" w14:textId="213B8A02" w:rsidR="0021622A" w:rsidRPr="00244ABC" w:rsidRDefault="0021622A" w:rsidP="0021622A">
            <w:pPr>
              <w:pStyle w:val="CETBodytext"/>
              <w:ind w:right="-1"/>
              <w:jc w:val="left"/>
              <w:rPr>
                <w:rFonts w:cs="Arial"/>
                <w:szCs w:val="18"/>
                <w:lang w:val="en-GB"/>
              </w:rPr>
            </w:pPr>
            <w:r w:rsidRPr="00244ABC">
              <w:rPr>
                <w:lang w:val="en-GB"/>
              </w:rPr>
              <w:t>44.4</w:t>
            </w:r>
          </w:p>
        </w:tc>
        <w:tc>
          <w:tcPr>
            <w:tcW w:w="0" w:type="auto"/>
            <w:shd w:val="clear" w:color="auto" w:fill="FFFFFF"/>
          </w:tcPr>
          <w:p w14:paraId="4CD82E11" w14:textId="042A2607" w:rsidR="0021622A" w:rsidRPr="00244ABC" w:rsidRDefault="0021622A" w:rsidP="0021622A">
            <w:pPr>
              <w:pStyle w:val="CETBodytext"/>
              <w:ind w:right="-1"/>
              <w:jc w:val="left"/>
              <w:rPr>
                <w:rFonts w:cs="Arial"/>
                <w:szCs w:val="18"/>
                <w:lang w:val="en-GB"/>
              </w:rPr>
            </w:pPr>
            <w:r w:rsidRPr="00244ABC">
              <w:rPr>
                <w:lang w:val="en-GB"/>
              </w:rPr>
              <w:t>6.0</w:t>
            </w:r>
          </w:p>
        </w:tc>
        <w:tc>
          <w:tcPr>
            <w:tcW w:w="0" w:type="auto"/>
            <w:shd w:val="clear" w:color="auto" w:fill="FFFFFF"/>
          </w:tcPr>
          <w:p w14:paraId="1C6C26CF" w14:textId="60018FF7" w:rsidR="0021622A" w:rsidRPr="00244ABC" w:rsidRDefault="0021622A" w:rsidP="0021622A">
            <w:pPr>
              <w:pStyle w:val="CETBodytext"/>
              <w:ind w:right="-1"/>
              <w:jc w:val="left"/>
              <w:rPr>
                <w:rFonts w:cs="Arial"/>
                <w:szCs w:val="18"/>
                <w:lang w:val="en-GB"/>
              </w:rPr>
            </w:pPr>
            <w:r w:rsidRPr="00244ABC">
              <w:rPr>
                <w:lang w:val="en-GB"/>
              </w:rPr>
              <w:t>0.0</w:t>
            </w:r>
          </w:p>
        </w:tc>
        <w:tc>
          <w:tcPr>
            <w:tcW w:w="0" w:type="auto"/>
            <w:shd w:val="clear" w:color="auto" w:fill="FFFFFF"/>
          </w:tcPr>
          <w:p w14:paraId="7C198480" w14:textId="36FCE420" w:rsidR="0021622A" w:rsidRPr="00244ABC" w:rsidRDefault="0021622A" w:rsidP="0021622A">
            <w:pPr>
              <w:pStyle w:val="CETBodytext"/>
              <w:ind w:right="-1"/>
              <w:jc w:val="left"/>
              <w:rPr>
                <w:rFonts w:cs="Arial"/>
                <w:szCs w:val="18"/>
                <w:lang w:val="en-GB"/>
              </w:rPr>
            </w:pPr>
            <w:r w:rsidRPr="00244ABC">
              <w:rPr>
                <w:lang w:val="en-GB"/>
              </w:rPr>
              <w:t>33.0</w:t>
            </w:r>
          </w:p>
        </w:tc>
        <w:tc>
          <w:tcPr>
            <w:tcW w:w="743" w:type="dxa"/>
            <w:shd w:val="clear" w:color="auto" w:fill="FFFFFF"/>
          </w:tcPr>
          <w:p w14:paraId="79FD1044" w14:textId="1EC880F6" w:rsidR="0021622A" w:rsidRPr="00244ABC" w:rsidRDefault="0021622A" w:rsidP="0021622A">
            <w:pPr>
              <w:pStyle w:val="CETBodytext"/>
              <w:ind w:right="-1"/>
              <w:jc w:val="left"/>
              <w:rPr>
                <w:rFonts w:cs="Arial"/>
                <w:szCs w:val="18"/>
                <w:lang w:val="en-GB"/>
              </w:rPr>
            </w:pPr>
            <w:r w:rsidRPr="00244ABC">
              <w:rPr>
                <w:lang w:val="en-GB"/>
              </w:rPr>
              <w:t>16.6</w:t>
            </w:r>
          </w:p>
        </w:tc>
      </w:tr>
      <w:tr w:rsidR="0021622A" w:rsidRPr="00244ABC" w14:paraId="44002CB7" w14:textId="77777777" w:rsidTr="00D70D29">
        <w:trPr>
          <w:trHeight w:val="266"/>
        </w:trPr>
        <w:tc>
          <w:tcPr>
            <w:tcW w:w="0" w:type="auto"/>
            <w:shd w:val="clear" w:color="auto" w:fill="FFFFFF"/>
            <w:vAlign w:val="center"/>
          </w:tcPr>
          <w:p w14:paraId="70D8CF0B" w14:textId="77777777" w:rsidR="0021622A" w:rsidRPr="00244ABC" w:rsidRDefault="0021622A" w:rsidP="0021622A">
            <w:pPr>
              <w:pStyle w:val="CETBodytext"/>
              <w:ind w:right="-1"/>
              <w:jc w:val="left"/>
              <w:rPr>
                <w:rFonts w:cs="Arial"/>
                <w:szCs w:val="18"/>
                <w:lang w:val="en-GB"/>
              </w:rPr>
            </w:pPr>
            <w:r w:rsidRPr="00244ABC">
              <w:rPr>
                <w:rFonts w:cs="Arial"/>
                <w:szCs w:val="18"/>
                <w:lang w:val="en-GB"/>
              </w:rPr>
              <w:t>PA</w:t>
            </w:r>
          </w:p>
        </w:tc>
        <w:tc>
          <w:tcPr>
            <w:tcW w:w="0" w:type="auto"/>
            <w:shd w:val="clear" w:color="auto" w:fill="FFFFFF"/>
          </w:tcPr>
          <w:p w14:paraId="488BC112" w14:textId="50DAD022" w:rsidR="0021622A" w:rsidRPr="00244ABC" w:rsidRDefault="0021622A" w:rsidP="0021622A">
            <w:pPr>
              <w:pStyle w:val="CETBodytext"/>
              <w:ind w:right="-1"/>
              <w:jc w:val="left"/>
              <w:rPr>
                <w:rFonts w:cs="Arial"/>
                <w:szCs w:val="18"/>
                <w:lang w:val="en-GB"/>
              </w:rPr>
            </w:pPr>
            <w:r w:rsidRPr="00244ABC">
              <w:rPr>
                <w:lang w:val="en-GB"/>
              </w:rPr>
              <w:t>72.0</w:t>
            </w:r>
          </w:p>
        </w:tc>
        <w:tc>
          <w:tcPr>
            <w:tcW w:w="0" w:type="auto"/>
            <w:shd w:val="clear" w:color="auto" w:fill="FFFFFF"/>
          </w:tcPr>
          <w:p w14:paraId="347AB4EB" w14:textId="756F83B0" w:rsidR="0021622A" w:rsidRPr="00244ABC" w:rsidRDefault="0021622A" w:rsidP="0021622A">
            <w:pPr>
              <w:pStyle w:val="CETBodytext"/>
              <w:ind w:right="-1"/>
              <w:jc w:val="left"/>
              <w:rPr>
                <w:rFonts w:cs="Arial"/>
                <w:szCs w:val="18"/>
                <w:lang w:val="en-GB"/>
              </w:rPr>
            </w:pPr>
            <w:r w:rsidRPr="00244ABC">
              <w:rPr>
                <w:lang w:val="en-GB"/>
              </w:rPr>
              <w:t>11.5</w:t>
            </w:r>
          </w:p>
        </w:tc>
        <w:tc>
          <w:tcPr>
            <w:tcW w:w="0" w:type="auto"/>
            <w:shd w:val="clear" w:color="auto" w:fill="FFFFFF"/>
          </w:tcPr>
          <w:p w14:paraId="627B6BFE" w14:textId="521BE0E3" w:rsidR="0021622A" w:rsidRPr="00244ABC" w:rsidRDefault="0021622A" w:rsidP="0021622A">
            <w:pPr>
              <w:pStyle w:val="CETBodytext"/>
              <w:ind w:right="-1"/>
              <w:jc w:val="left"/>
              <w:rPr>
                <w:rFonts w:cs="Arial"/>
                <w:szCs w:val="18"/>
                <w:lang w:val="en-GB"/>
              </w:rPr>
            </w:pPr>
            <w:r w:rsidRPr="00244ABC">
              <w:rPr>
                <w:lang w:val="en-GB"/>
              </w:rPr>
              <w:t>6.4</w:t>
            </w:r>
          </w:p>
        </w:tc>
        <w:tc>
          <w:tcPr>
            <w:tcW w:w="0" w:type="auto"/>
            <w:shd w:val="clear" w:color="auto" w:fill="FFFFFF"/>
          </w:tcPr>
          <w:p w14:paraId="33EADA32" w14:textId="128F3850" w:rsidR="0021622A" w:rsidRPr="00244ABC" w:rsidRDefault="0021622A" w:rsidP="0021622A">
            <w:pPr>
              <w:pStyle w:val="CETBodytext"/>
              <w:ind w:right="-1"/>
              <w:jc w:val="left"/>
              <w:rPr>
                <w:rFonts w:cs="Arial"/>
                <w:szCs w:val="18"/>
                <w:lang w:val="en-GB"/>
              </w:rPr>
            </w:pPr>
            <w:r w:rsidRPr="00244ABC">
              <w:rPr>
                <w:lang w:val="en-GB"/>
              </w:rPr>
              <w:t>10.0</w:t>
            </w:r>
          </w:p>
        </w:tc>
        <w:tc>
          <w:tcPr>
            <w:tcW w:w="743" w:type="dxa"/>
            <w:shd w:val="clear" w:color="auto" w:fill="FFFFFF"/>
            <w:vAlign w:val="center"/>
          </w:tcPr>
          <w:p w14:paraId="53C191B8" w14:textId="440451F5" w:rsidR="0021622A" w:rsidRPr="00244ABC" w:rsidRDefault="0021622A" w:rsidP="0021622A">
            <w:pPr>
              <w:pStyle w:val="CETBodytext"/>
              <w:ind w:right="-1"/>
              <w:jc w:val="left"/>
              <w:rPr>
                <w:rFonts w:cs="Arial"/>
                <w:szCs w:val="18"/>
                <w:lang w:val="en-GB"/>
              </w:rPr>
            </w:pPr>
            <w:r w:rsidRPr="00244ABC">
              <w:rPr>
                <w:rFonts w:cs="Arial"/>
                <w:szCs w:val="18"/>
                <w:lang w:val="en-GB"/>
              </w:rPr>
              <w:t>0.0</w:t>
            </w:r>
          </w:p>
        </w:tc>
      </w:tr>
    </w:tbl>
    <w:p w14:paraId="0B6A2D22" w14:textId="03521E76" w:rsidR="005923C0" w:rsidRPr="00244ABC" w:rsidRDefault="005923C0" w:rsidP="005923C0">
      <w:pPr>
        <w:pStyle w:val="CETBodytext"/>
        <w:rPr>
          <w:lang w:val="en-GB"/>
        </w:rPr>
      </w:pPr>
    </w:p>
    <w:p w14:paraId="1F96CA21" w14:textId="41CBBF1A" w:rsidR="00600535" w:rsidRPr="00244ABC" w:rsidRDefault="00E45605" w:rsidP="0007343D">
      <w:pPr>
        <w:pStyle w:val="CETheadingx"/>
      </w:pPr>
      <w:r w:rsidRPr="00244ABC">
        <w:t>HTC tests</w:t>
      </w:r>
    </w:p>
    <w:p w14:paraId="7FD42486" w14:textId="3D50C7C9" w:rsidR="00600535" w:rsidRDefault="00D70D29" w:rsidP="00D476D5">
      <w:pPr>
        <w:pStyle w:val="CETBodytext"/>
        <w:rPr>
          <w:lang w:val="en-GB"/>
        </w:rPr>
      </w:pPr>
      <w:r>
        <w:rPr>
          <w:lang w:val="en-GB"/>
        </w:rPr>
        <w:t xml:space="preserve">The assessment of the product yield allowed assessing the </w:t>
      </w:r>
      <w:r w:rsidR="00B1192C">
        <w:rPr>
          <w:lang w:val="en-GB"/>
        </w:rPr>
        <w:t xml:space="preserve">effectiveness of HTC on the </w:t>
      </w:r>
      <w:r>
        <w:rPr>
          <w:lang w:val="en-GB"/>
        </w:rPr>
        <w:t xml:space="preserve">five bioplastics in the chosen operative conditions. </w:t>
      </w:r>
      <w:r w:rsidR="000F3242" w:rsidRPr="00244ABC">
        <w:rPr>
          <w:lang w:val="en-GB"/>
        </w:rPr>
        <w:t xml:space="preserve">Figure </w:t>
      </w:r>
      <w:r w:rsidR="0007343D">
        <w:rPr>
          <w:lang w:val="en-GB"/>
        </w:rPr>
        <w:t>2</w:t>
      </w:r>
      <w:r w:rsidR="00E45605" w:rsidRPr="00244ABC">
        <w:rPr>
          <w:lang w:val="en-GB"/>
        </w:rPr>
        <w:t xml:space="preserve"> shows the obtained solid, liquid and gas yields.</w:t>
      </w:r>
      <w:r w:rsidR="00FE654E" w:rsidRPr="00244ABC">
        <w:rPr>
          <w:lang w:val="en-GB"/>
        </w:rPr>
        <w:t xml:space="preserve"> </w:t>
      </w:r>
      <w:r w:rsidR="00002D17">
        <w:rPr>
          <w:lang w:val="en-GB"/>
        </w:rPr>
        <w:t xml:space="preserve">The data </w:t>
      </w:r>
      <w:r w:rsidR="00FE654E" w:rsidRPr="00244ABC">
        <w:rPr>
          <w:lang w:val="en-GB"/>
        </w:rPr>
        <w:t xml:space="preserve">show </w:t>
      </w:r>
      <w:r w:rsidR="00B1192C">
        <w:rPr>
          <w:lang w:val="en-GB"/>
        </w:rPr>
        <w:t xml:space="preserve">that </w:t>
      </w:r>
      <w:r w:rsidR="00FE654E" w:rsidRPr="00244ABC">
        <w:rPr>
          <w:lang w:val="en-GB"/>
        </w:rPr>
        <w:t xml:space="preserve">HTC </w:t>
      </w:r>
      <w:r w:rsidR="00E34613">
        <w:rPr>
          <w:lang w:val="en-GB"/>
        </w:rPr>
        <w:t>can</w:t>
      </w:r>
      <w:r w:rsidR="00FE654E" w:rsidRPr="00244ABC">
        <w:rPr>
          <w:lang w:val="en-GB"/>
        </w:rPr>
        <w:t xml:space="preserve"> degrade all the tested bioplastics to some extent, </w:t>
      </w:r>
      <w:r w:rsidR="00EE050F">
        <w:rPr>
          <w:lang w:val="en-GB"/>
        </w:rPr>
        <w:t>except</w:t>
      </w:r>
      <w:r w:rsidR="00EE050F" w:rsidRPr="00244ABC">
        <w:rPr>
          <w:lang w:val="en-GB"/>
        </w:rPr>
        <w:t xml:space="preserve"> </w:t>
      </w:r>
      <w:r w:rsidR="00FE654E" w:rsidRPr="00244ABC">
        <w:rPr>
          <w:lang w:val="en-GB"/>
        </w:rPr>
        <w:t>for</w:t>
      </w:r>
      <w:r w:rsidR="00EE050F">
        <w:rPr>
          <w:lang w:val="en-GB"/>
        </w:rPr>
        <w:t xml:space="preserve"> the</w:t>
      </w:r>
      <w:r w:rsidR="00FE654E" w:rsidRPr="00244ABC">
        <w:rPr>
          <w:lang w:val="en-GB"/>
        </w:rPr>
        <w:t xml:space="preserve"> </w:t>
      </w:r>
      <w:r>
        <w:rPr>
          <w:lang w:val="en-GB"/>
        </w:rPr>
        <w:t>PA</w:t>
      </w:r>
      <w:r w:rsidR="00FE654E" w:rsidRPr="00244ABC">
        <w:rPr>
          <w:lang w:val="en-GB"/>
        </w:rPr>
        <w:t>. A</w:t>
      </w:r>
      <w:r>
        <w:rPr>
          <w:lang w:val="en-GB"/>
        </w:rPr>
        <w:t> </w:t>
      </w:r>
      <w:r w:rsidR="00FE654E" w:rsidRPr="00244ABC">
        <w:rPr>
          <w:lang w:val="en-GB"/>
        </w:rPr>
        <w:t xml:space="preserve">visual inspection of </w:t>
      </w:r>
      <w:r w:rsidR="002D74A2">
        <w:rPr>
          <w:lang w:val="en-GB"/>
        </w:rPr>
        <w:t>PA</w:t>
      </w:r>
      <w:r w:rsidR="00FE654E" w:rsidRPr="00244ABC">
        <w:rPr>
          <w:lang w:val="en-GB"/>
        </w:rPr>
        <w:t xml:space="preserve"> after the HTC tests prove</w:t>
      </w:r>
      <w:r>
        <w:rPr>
          <w:lang w:val="en-GB"/>
        </w:rPr>
        <w:t>d</w:t>
      </w:r>
      <w:r w:rsidR="00FE654E" w:rsidRPr="00244ABC">
        <w:rPr>
          <w:lang w:val="en-GB"/>
        </w:rPr>
        <w:t xml:space="preserve"> that it indeed melts in the tested conditions, coherently with its melting temperature reported in Table 1, but then solidifies again in a single block without any significant mass loss to</w:t>
      </w:r>
      <w:r w:rsidR="006C46D2">
        <w:rPr>
          <w:lang w:val="en-GB"/>
        </w:rPr>
        <w:t>ward</w:t>
      </w:r>
      <w:r w:rsidR="00002D17">
        <w:rPr>
          <w:lang w:val="en-GB"/>
        </w:rPr>
        <w:t>s</w:t>
      </w:r>
      <w:r w:rsidR="00FE654E" w:rsidRPr="00244ABC">
        <w:rPr>
          <w:lang w:val="en-GB"/>
        </w:rPr>
        <w:t xml:space="preserve"> the liquid or gas phases. For all the other bioplastics, the behaviour is </w:t>
      </w:r>
      <w:r>
        <w:rPr>
          <w:lang w:val="en-GB"/>
        </w:rPr>
        <w:t xml:space="preserve">instead </w:t>
      </w:r>
      <w:r w:rsidR="00FE654E" w:rsidRPr="00244ABC">
        <w:rPr>
          <w:lang w:val="en-GB"/>
        </w:rPr>
        <w:t xml:space="preserve">quite similar: </w:t>
      </w:r>
      <w:r w:rsidR="00B1192C">
        <w:rPr>
          <w:lang w:val="en-GB"/>
        </w:rPr>
        <w:t xml:space="preserve">the solid yield is </w:t>
      </w:r>
      <w:r w:rsidR="002D74A2">
        <w:rPr>
          <w:lang w:val="en-GB"/>
        </w:rPr>
        <w:t>higher</w:t>
      </w:r>
      <w:r w:rsidR="00B1192C">
        <w:rPr>
          <w:lang w:val="en-GB"/>
        </w:rPr>
        <w:t xml:space="preserve"> </w:t>
      </w:r>
      <w:r w:rsidR="00FE654E" w:rsidRPr="00244ABC">
        <w:rPr>
          <w:lang w:val="en-GB"/>
        </w:rPr>
        <w:t xml:space="preserve">at 180 °C </w:t>
      </w:r>
      <w:r w:rsidR="00D476D5" w:rsidRPr="00244ABC">
        <w:rPr>
          <w:lang w:val="en-GB"/>
        </w:rPr>
        <w:t xml:space="preserve">and the solid product </w:t>
      </w:r>
      <w:r>
        <w:rPr>
          <w:lang w:val="en-GB"/>
        </w:rPr>
        <w:t>has a similar appearance</w:t>
      </w:r>
      <w:r w:rsidR="00D476D5" w:rsidRPr="00244ABC">
        <w:rPr>
          <w:lang w:val="en-GB"/>
        </w:rPr>
        <w:t xml:space="preserve"> to the starting material, </w:t>
      </w:r>
      <w:r w:rsidR="006C46D2">
        <w:rPr>
          <w:lang w:val="en-GB"/>
        </w:rPr>
        <w:t xml:space="preserve">appearing </w:t>
      </w:r>
      <w:r>
        <w:rPr>
          <w:lang w:val="en-GB"/>
        </w:rPr>
        <w:t xml:space="preserve">solidified as a single block, </w:t>
      </w:r>
      <w:r w:rsidR="00D476D5" w:rsidRPr="00244ABC">
        <w:rPr>
          <w:lang w:val="en-GB"/>
        </w:rPr>
        <w:t>whereas at 220 °C the liquid product is preponderant and the solid product</w:t>
      </w:r>
      <w:r>
        <w:rPr>
          <w:lang w:val="en-GB"/>
        </w:rPr>
        <w:t xml:space="preserve"> </w:t>
      </w:r>
      <w:r w:rsidR="006C46D2">
        <w:rPr>
          <w:lang w:val="en-GB"/>
        </w:rPr>
        <w:t>results</w:t>
      </w:r>
      <w:r>
        <w:rPr>
          <w:lang w:val="en-GB"/>
        </w:rPr>
        <w:t xml:space="preserve"> more granular and altered from its original appearance</w:t>
      </w:r>
      <w:r w:rsidR="00D476D5" w:rsidRPr="00244ABC">
        <w:rPr>
          <w:lang w:val="en-GB"/>
        </w:rPr>
        <w:t xml:space="preserve">. </w:t>
      </w:r>
    </w:p>
    <w:p w14:paraId="40909E38" w14:textId="3290ED92" w:rsidR="0007343D" w:rsidRPr="00244ABC" w:rsidRDefault="00307A46" w:rsidP="00307A46">
      <w:pPr>
        <w:pStyle w:val="CETListbullets"/>
        <w:ind w:left="0" w:firstLine="0"/>
        <w:jc w:val="left"/>
      </w:pPr>
      <w:r>
        <w:rPr>
          <w:noProof/>
        </w:rPr>
        <w:lastRenderedPageBreak/>
        <w:drawing>
          <wp:inline distT="0" distB="0" distL="0" distR="0" wp14:anchorId="2BF0B8C7" wp14:editId="62F38061">
            <wp:extent cx="5316220" cy="3627120"/>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16220" cy="3627120"/>
                    </a:xfrm>
                    <a:prstGeom prst="rect">
                      <a:avLst/>
                    </a:prstGeom>
                    <a:noFill/>
                  </pic:spPr>
                </pic:pic>
              </a:graphicData>
            </a:graphic>
          </wp:inline>
        </w:drawing>
      </w:r>
    </w:p>
    <w:p w14:paraId="071298CC" w14:textId="61FC7207" w:rsidR="0007343D" w:rsidRDefault="0007343D" w:rsidP="0007343D">
      <w:pPr>
        <w:pStyle w:val="CETCaption"/>
      </w:pPr>
      <w:r w:rsidRPr="00244ABC">
        <w:rPr>
          <w:rStyle w:val="CETCaptionCarattere"/>
          <w:i/>
        </w:rPr>
        <w:t xml:space="preserve">Figure </w:t>
      </w:r>
      <w:r>
        <w:rPr>
          <w:rStyle w:val="CETCaptionCarattere"/>
          <w:i/>
        </w:rPr>
        <w:t>2</w:t>
      </w:r>
      <w:r w:rsidRPr="00244ABC">
        <w:rPr>
          <w:rStyle w:val="CETCaptionCarattere"/>
          <w:i/>
        </w:rPr>
        <w:t>: Yields of the solid, liquid and gas products after the HTC tests.</w:t>
      </w:r>
      <w:r w:rsidRPr="00244ABC">
        <w:t xml:space="preserve"> </w:t>
      </w:r>
    </w:p>
    <w:p w14:paraId="615A3B58" w14:textId="77777777" w:rsidR="002D74A2" w:rsidRDefault="002D74A2" w:rsidP="002D74A2">
      <w:pPr>
        <w:pStyle w:val="CETBodytext"/>
        <w:rPr>
          <w:lang w:val="en-GB"/>
        </w:rPr>
      </w:pPr>
      <w:r w:rsidRPr="00244ABC">
        <w:rPr>
          <w:lang w:val="en-GB"/>
        </w:rPr>
        <w:t>The results of the CHN analys</w:t>
      </w:r>
      <w:r>
        <w:rPr>
          <w:lang w:val="en-GB"/>
        </w:rPr>
        <w:t>e</w:t>
      </w:r>
      <w:r w:rsidRPr="00244ABC">
        <w:rPr>
          <w:lang w:val="en-GB"/>
        </w:rPr>
        <w:t xml:space="preserve">s </w:t>
      </w:r>
      <w:r>
        <w:rPr>
          <w:lang w:val="en-GB"/>
        </w:rPr>
        <w:t>offer</w:t>
      </w:r>
      <w:r w:rsidRPr="00244ABC">
        <w:rPr>
          <w:lang w:val="en-GB"/>
        </w:rPr>
        <w:t xml:space="preserve"> more insights </w:t>
      </w:r>
      <w:r>
        <w:rPr>
          <w:lang w:val="en-GB"/>
        </w:rPr>
        <w:t>into</w:t>
      </w:r>
      <w:r w:rsidRPr="00244ABC">
        <w:rPr>
          <w:lang w:val="en-GB"/>
        </w:rPr>
        <w:t xml:space="preserve"> the fate of the elemental constituents of the bioplastics in the HTC process; Figure </w:t>
      </w:r>
      <w:r>
        <w:rPr>
          <w:lang w:val="en-GB"/>
        </w:rPr>
        <w:t>3</w:t>
      </w:r>
      <w:r w:rsidRPr="00244ABC">
        <w:rPr>
          <w:lang w:val="en-GB"/>
        </w:rPr>
        <w:t xml:space="preserve"> shows </w:t>
      </w:r>
      <w:r>
        <w:rPr>
          <w:lang w:val="en-GB"/>
        </w:rPr>
        <w:t>elemental data</w:t>
      </w:r>
      <w:r w:rsidRPr="00244ABC">
        <w:rPr>
          <w:lang w:val="en-GB"/>
        </w:rPr>
        <w:t xml:space="preserve"> for the raw bioplastics and the solid products of the tests</w:t>
      </w:r>
      <w:r>
        <w:rPr>
          <w:lang w:val="en-GB"/>
        </w:rPr>
        <w:t>, besides for PA which did not degrade during HTC</w:t>
      </w:r>
      <w:r w:rsidRPr="00244ABC">
        <w:rPr>
          <w:lang w:val="en-GB"/>
        </w:rPr>
        <w:t xml:space="preserve">. </w:t>
      </w:r>
    </w:p>
    <w:p w14:paraId="3A424228" w14:textId="77777777" w:rsidR="0007343D" w:rsidRPr="00244ABC" w:rsidRDefault="0007343D" w:rsidP="0007343D">
      <w:pPr>
        <w:pStyle w:val="CETBodytext"/>
        <w:jc w:val="left"/>
        <w:rPr>
          <w:lang w:val="en-GB"/>
        </w:rPr>
      </w:pPr>
      <w:r>
        <w:rPr>
          <w:noProof/>
          <w:lang w:val="en-GB"/>
        </w:rPr>
        <w:drawing>
          <wp:inline distT="0" distB="0" distL="0" distR="0" wp14:anchorId="23E2F6C3" wp14:editId="17BBAE9A">
            <wp:extent cx="5760000" cy="3626267"/>
            <wp:effectExtent l="0" t="0" r="0" b="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000" cy="3626267"/>
                    </a:xfrm>
                    <a:prstGeom prst="rect">
                      <a:avLst/>
                    </a:prstGeom>
                    <a:noFill/>
                  </pic:spPr>
                </pic:pic>
              </a:graphicData>
            </a:graphic>
          </wp:inline>
        </w:drawing>
      </w:r>
    </w:p>
    <w:p w14:paraId="1AF0D332" w14:textId="77777777" w:rsidR="0007343D" w:rsidRPr="00244ABC" w:rsidRDefault="0007343D" w:rsidP="0007343D">
      <w:pPr>
        <w:pStyle w:val="CETCaption"/>
      </w:pPr>
      <w:r w:rsidRPr="00244ABC">
        <w:rPr>
          <w:rStyle w:val="CETCaptionCarattere"/>
          <w:i/>
        </w:rPr>
        <w:t xml:space="preserve">Figure </w:t>
      </w:r>
      <w:r>
        <w:rPr>
          <w:rStyle w:val="CETCaptionCarattere"/>
          <w:i/>
        </w:rPr>
        <w:t>3</w:t>
      </w:r>
      <w:r w:rsidRPr="00244ABC">
        <w:rPr>
          <w:rStyle w:val="CETCaptionCarattere"/>
          <w:i/>
        </w:rPr>
        <w:t>: Elemental analysis of the raw bioplastics and HTC solid products.</w:t>
      </w:r>
      <w:r w:rsidRPr="00244ABC">
        <w:t xml:space="preserve"> </w:t>
      </w:r>
    </w:p>
    <w:p w14:paraId="647B0211" w14:textId="77777777" w:rsidR="002D74A2" w:rsidRDefault="000408D3" w:rsidP="000408D3">
      <w:pPr>
        <w:pStyle w:val="CETBodytext"/>
        <w:rPr>
          <w:lang w:val="en-GB"/>
        </w:rPr>
      </w:pPr>
      <w:r w:rsidRPr="00244ABC">
        <w:rPr>
          <w:lang w:val="en-GB"/>
        </w:rPr>
        <w:lastRenderedPageBreak/>
        <w:t>For CDA and CA</w:t>
      </w:r>
      <w:r w:rsidR="00E34613">
        <w:rPr>
          <w:lang w:val="en-GB"/>
        </w:rPr>
        <w:t>,</w:t>
      </w:r>
      <w:r w:rsidRPr="00244ABC">
        <w:rPr>
          <w:lang w:val="en-GB"/>
        </w:rPr>
        <w:t xml:space="preserve"> the behaviour is quite</w:t>
      </w:r>
      <w:r>
        <w:rPr>
          <w:lang w:val="en-GB"/>
        </w:rPr>
        <w:t xml:space="preserve"> similar, which may be </w:t>
      </w:r>
      <w:proofErr w:type="gramStart"/>
      <w:r>
        <w:rPr>
          <w:lang w:val="en-GB"/>
        </w:rPr>
        <w:t>due to the fact that</w:t>
      </w:r>
      <w:proofErr w:type="gramEnd"/>
      <w:r>
        <w:rPr>
          <w:lang w:val="en-GB"/>
        </w:rPr>
        <w:t xml:space="preserve"> both are based on cellulose acetate. The solid product</w:t>
      </w:r>
      <w:r w:rsidR="00D70D29">
        <w:rPr>
          <w:lang w:val="en-GB"/>
        </w:rPr>
        <w:t>s</w:t>
      </w:r>
      <w:r>
        <w:rPr>
          <w:lang w:val="en-GB"/>
        </w:rPr>
        <w:t xml:space="preserve"> obtained at 180 °C present a very similar composition to the starting material, whereas at 220 °C the solid becomes richer in carbon and poorer in hydrogen and oxygen. This was already observed for pure cellulose in previous works </w:t>
      </w:r>
      <w:r>
        <w:rPr>
          <w:lang w:val="en-GB"/>
        </w:rPr>
        <w:fldChar w:fldCharType="begin" w:fldLock="1"/>
      </w:r>
      <w:r>
        <w:rPr>
          <w:lang w:val="en-GB"/>
        </w:rPr>
        <w:instrText>ADDIN CSL_CITATION {"citationItems":[{"id":"ITEM-1","itemData":{"DOI":"10.1016/j.fuproc.2020.106456","ISSN":"03783820","author":[{"dropping-particle":"","family":"Volpe","given":"Maurizio","non-dropping-particle":"","parse-names":false,"suffix":""},{"dropping-particle":"","family":"Messineo","given":"Antonio","non-dropping-particle":"","parse-names":false,"suffix":""},{"dropping-particle":"","family":"Mäkelä","given":"Mikko","non-dropping-particle":"","parse-names":false,"suffix":""},{"dropping-particle":"","family":"Barr","given":"Meredith R.","non-dropping-particle":"","parse-names":false,"suffix":""},{"dropping-particle":"","family":"Volpe","given":"Roberto","non-dropping-particle":"","parse-names":false,"suffix":""},{"dropping-particle":"","family":"Corrado","given":"Chiara","non-dropping-particle":"","parse-names":false,"suffix":""},{"dropping-particle":"","family":"Fiori","given":"Luca","non-dropping-particle":"","parse-names":false,"suffix":""}],"container-title":"Fuel Processing Technology","id":"ITEM-1","issued":{"date-parts":[["2020","9"]]},"page":"106456","title":"Reactivity of cellulose during hydrothermal carbonization of lignocellulosic biomass","type":"article-journal","volume":"206"},"uris":["http://www.mendeley.com/documents/?uuid=42d42376-cf4d-410d-94cd-a5f4158e8f56"]}],"mendeley":{"formattedCitation":"(Volpe et al., 2020)","plainTextFormattedCitation":"(Volpe et al., 2020)","previouslyFormattedCitation":"(Volpe et al., 2020)"},"properties":{"noteIndex":0},"schema":"https://github.com/citation-style-language/schema/raw/master/csl-citation.json"}</w:instrText>
      </w:r>
      <w:r>
        <w:rPr>
          <w:lang w:val="en-GB"/>
        </w:rPr>
        <w:fldChar w:fldCharType="separate"/>
      </w:r>
      <w:r w:rsidRPr="00244ABC">
        <w:rPr>
          <w:noProof/>
          <w:lang w:val="en-GB"/>
        </w:rPr>
        <w:t>(Volpe et al., 2020)</w:t>
      </w:r>
      <w:r>
        <w:rPr>
          <w:lang w:val="en-GB"/>
        </w:rPr>
        <w:fldChar w:fldCharType="end"/>
      </w:r>
      <w:r>
        <w:rPr>
          <w:lang w:val="en-GB"/>
        </w:rPr>
        <w:t xml:space="preserve">, although cellulose acetate-based bioplastics seem to require </w:t>
      </w:r>
      <w:r w:rsidR="00E34613">
        <w:rPr>
          <w:lang w:val="en-GB"/>
        </w:rPr>
        <w:t xml:space="preserve">a </w:t>
      </w:r>
      <w:r w:rsidR="00162D9B">
        <w:rPr>
          <w:lang w:val="en-GB"/>
        </w:rPr>
        <w:t>much</w:t>
      </w:r>
      <w:r>
        <w:rPr>
          <w:lang w:val="en-GB"/>
        </w:rPr>
        <w:t xml:space="preserve"> lower temperature to </w:t>
      </w:r>
      <w:r w:rsidR="002D74A2">
        <w:rPr>
          <w:lang w:val="en-GB"/>
        </w:rPr>
        <w:t>reach comparable degradation degrees</w:t>
      </w:r>
      <w:r>
        <w:rPr>
          <w:lang w:val="en-GB"/>
        </w:rPr>
        <w:t xml:space="preserve">. Additives and plasticisers may play a role in determining this degradation pattern, but further research is necessary to confirm </w:t>
      </w:r>
      <w:r w:rsidR="00162D9B">
        <w:rPr>
          <w:lang w:val="en-GB"/>
        </w:rPr>
        <w:t>this</w:t>
      </w:r>
      <w:r>
        <w:rPr>
          <w:lang w:val="en-GB"/>
        </w:rPr>
        <w:t xml:space="preserve">. </w:t>
      </w:r>
    </w:p>
    <w:p w14:paraId="3EDD0689" w14:textId="0FD9AFF9" w:rsidR="000408D3" w:rsidRPr="00244ABC" w:rsidRDefault="000408D3" w:rsidP="000408D3">
      <w:pPr>
        <w:pStyle w:val="CETBodytext"/>
        <w:rPr>
          <w:lang w:val="en-GB"/>
        </w:rPr>
      </w:pPr>
      <w:r>
        <w:rPr>
          <w:lang w:val="en-GB"/>
        </w:rPr>
        <w:t xml:space="preserve">The HTC of LA and OL is also comparable: the ash concentration increases due to its </w:t>
      </w:r>
      <w:r w:rsidR="00002D17">
        <w:rPr>
          <w:lang w:val="en-GB"/>
        </w:rPr>
        <w:t>low-to-null solubility</w:t>
      </w:r>
      <w:r w:rsidR="008A073A">
        <w:rPr>
          <w:lang w:val="en-GB"/>
        </w:rPr>
        <w:t xml:space="preserve"> </w:t>
      </w:r>
      <w:r>
        <w:rPr>
          <w:lang w:val="en-GB"/>
        </w:rPr>
        <w:t>in the liquid phase, while the concentration of the other elements diminishes. For LA it is difficult to draw</w:t>
      </w:r>
      <w:r w:rsidR="00E34613">
        <w:rPr>
          <w:lang w:val="en-GB"/>
        </w:rPr>
        <w:t xml:space="preserve"> a</w:t>
      </w:r>
      <w:r>
        <w:rPr>
          <w:lang w:val="en-GB"/>
        </w:rPr>
        <w:t xml:space="preserve"> comparison with the literature: there are only a few published works on the HTC of milk or milk products </w:t>
      </w:r>
      <w:r>
        <w:rPr>
          <w:lang w:val="en-GB"/>
        </w:rPr>
        <w:fldChar w:fldCharType="begin" w:fldLock="1"/>
      </w:r>
      <w:r w:rsidR="000B5465">
        <w:rPr>
          <w:lang w:val="en-GB"/>
        </w:rPr>
        <w:instrText>ADDIN CSL_CITATION {"citationItems":[{"id":"ITEM-1","itemData":{"DOI":"10.1038/s41598-019-53361-5","ISSN":"2045-2322","abstract":"Hydrothermal carbonization converts organics in aqueous suspension to a mixture of liquid components and carbon-rich solids (hydrochars), which in turn can be processed into activated carbons. We investigated whether milk could be used as a medium for hydrothermal carbonization, and found that hydrochars prepared from milk, with or without an added fibrous biomass, contained more carbon (particularly aliphatic carbon), less oxygen, and more mineral components than those prepared from fibrous biomass in water. Activated carbons produced from hydrochars generated in milk had lower specific surface areas and CO 2 capacities than those from hydrochars formed in water; however, these differences disappeared upon normalizing to the combustible mass of the solid. Thus, in the context of N 2 and CO 2 uptake on activated carbons, the primary effect of using milk rather than water to form the hydrochar precursor was to contribute inorganic mass that adsorbed little CO 2 . Nevertheless, some of the activated carbons generated from hydrochars formed in milk had specific CO 2 uptake capacities in the normal range for activated carbons prepared by activation in CO 2 (here, up to 1.6 mmol g −1 CO 2 at 15 kPa and 0 °C). Thus, hydrothermal carbonization could be used to convert waste milk to hydrochars and activated carbons.","author":[{"dropping-particle":"","family":"Haj Yahia","given":"Salwa","non-dropping-particle":"","parse-names":false,"suffix":""},{"dropping-particle":"","family":"Lee","given":"Kian Keat","non-dropping-particle":"","parse-names":false,"suffix":""},{"dropping-particle":"","family":"Ayed","given":"Brahim","non-dropping-particle":"","parse-names":false,"suffix":""},{"dropping-particle":"","family":"Hedin","given":"Niklas","non-dropping-particle":"","parse-names":false,"suffix":""},{"dropping-particle":"","family":"Church","given":"Tamara L.","non-dropping-particle":"","parse-names":false,"suffix":""}],"container-title":"Scientific Reports","id":"ITEM-1","issue":"1","issued":{"date-parts":[["2019","11","18"]]},"page":"16956","title":"Activated Carbons from Hydrochars Prepared in Milk","type":"article-journal","volume":"9"},"uris":["http://www.mendeley.com/documents/?uuid=fe0107dc-f176-4943-8bce-0d86f0c170dc","http://www.mendeley.com/documents/?uuid=f21b84ee-d6af-4747-ab99-271090a768e6"]}],"mendeley":{"formattedCitation":"(Haj Yahia et al., 2019)","plainTextFormattedCitation":"(Haj Yahia et al., 2019)","previouslyFormattedCitation":"(Haj Yahia et al., 2019)"},"properties":{"noteIndex":0},"schema":"https://github.com/citation-style-language/schema/raw/master/csl-citation.json"}</w:instrText>
      </w:r>
      <w:r>
        <w:rPr>
          <w:lang w:val="en-GB"/>
        </w:rPr>
        <w:fldChar w:fldCharType="separate"/>
      </w:r>
      <w:r w:rsidRPr="004D50C9">
        <w:rPr>
          <w:noProof/>
          <w:lang w:val="en-GB"/>
        </w:rPr>
        <w:t>(Haj Yahia et al., 2019)</w:t>
      </w:r>
      <w:r>
        <w:rPr>
          <w:lang w:val="en-GB"/>
        </w:rPr>
        <w:fldChar w:fldCharType="end"/>
      </w:r>
      <w:r>
        <w:rPr>
          <w:lang w:val="en-GB"/>
        </w:rPr>
        <w:t xml:space="preserve"> and they report a higher carbon abundance in the solid, but the operating conditions and purpose are different. For OL a comparison with the literature is even more difficult due to </w:t>
      </w:r>
      <w:r w:rsidR="00E34613">
        <w:rPr>
          <w:lang w:val="en-GB"/>
        </w:rPr>
        <w:t xml:space="preserve">the </w:t>
      </w:r>
      <w:r>
        <w:rPr>
          <w:lang w:val="en-GB"/>
        </w:rPr>
        <w:t xml:space="preserve">unknown nature of its constitutive polymer(s). However, published articles on the HTC of corn starch </w:t>
      </w:r>
      <w:r>
        <w:rPr>
          <w:lang w:val="en-GB"/>
        </w:rPr>
        <w:fldChar w:fldCharType="begin" w:fldLock="1"/>
      </w:r>
      <w:r w:rsidR="002D74A2">
        <w:rPr>
          <w:lang w:val="en-GB"/>
        </w:rPr>
        <w:instrText>ADDIN CSL_CITATION {"citationItems":[{"id":"ITEM-1","itemData":{"DOI":"10.1016/j.fuproc.2016.08.002","ISSN":"03783820","author":[{"dropping-particle":"","family":"Zhao","given":"Min","non-dropping-particle":"","parse-names":false,"suffix":""},{"dropping-particle":"","family":"Li","given":"Bin","non-dropping-particle":"","parse-names":false,"suffix":""},{"dropping-particle":"","family":"Cai","given":"Jia-Xiao","non-dropping-particle":"","parse-names":false,"suffix":""},{"dropping-particle":"","family":"Liu","given":"Chuan","non-dropping-particle":"","parse-names":false,"suffix":""},{"dropping-particle":"","family":"McAdam","given":"K.G.","non-dropping-particle":"","parse-names":false,"suffix":""},{"dropping-particle":"","family":"Zhang","given":"Ke","non-dropping-particle":"","parse-names":false,"suffix":""}],"container-title":"Fuel Processing Technology","id":"ITEM-1","issued":{"date-parts":[["2016","12"]]},"page":"43-49","title":"Thermal &amp;amp; chemical analyses of hydrothermally derived carbon materials from corn starch","type":"article-journal","volume":"153"},"uris":["http://www.mendeley.com/documents/?uuid=d175751f-4c29-4ec3-aaa9-6f598293fbed","http://www.mendeley.com/documents/?uuid=fcaf22d6-ac03-4235-ad62-68a64edb91cf"]}],"mendeley":{"formattedCitation":"(Zhao et al., 2016)","plainTextFormattedCitation":"(Zhao et al., 2016)","previouslyFormattedCitation":"(Zhao et al., 2016)"},"properties":{"noteIndex":0},"schema":"https://github.com/citation-style-language/schema/raw/master/csl-citation.json"}</w:instrText>
      </w:r>
      <w:r>
        <w:rPr>
          <w:lang w:val="en-GB"/>
        </w:rPr>
        <w:fldChar w:fldCharType="separate"/>
      </w:r>
      <w:r w:rsidRPr="00D52918">
        <w:rPr>
          <w:noProof/>
          <w:lang w:val="en-GB"/>
        </w:rPr>
        <w:t>(Zhao et al., 2016)</w:t>
      </w:r>
      <w:r>
        <w:rPr>
          <w:lang w:val="en-GB"/>
        </w:rPr>
        <w:fldChar w:fldCharType="end"/>
      </w:r>
      <w:r>
        <w:rPr>
          <w:lang w:val="en-GB"/>
        </w:rPr>
        <w:t xml:space="preserve"> report an increase </w:t>
      </w:r>
      <w:r w:rsidR="00E34613">
        <w:rPr>
          <w:lang w:val="en-GB"/>
        </w:rPr>
        <w:t xml:space="preserve">in </w:t>
      </w:r>
      <w:r>
        <w:rPr>
          <w:lang w:val="en-GB"/>
        </w:rPr>
        <w:t>the carbon content in the hydrochar, similar to other natural polymers and vegetal feedstocks. Quite interestingly,</w:t>
      </w:r>
      <w:r w:rsidR="00307A46">
        <w:rPr>
          <w:lang w:val="en-GB"/>
        </w:rPr>
        <w:t xml:space="preserve"> </w:t>
      </w:r>
      <w:r w:rsidR="00307A46" w:rsidRPr="00307A46">
        <w:rPr>
          <w:highlight w:val="yellow"/>
          <w:lang w:val="en-GB"/>
        </w:rPr>
        <w:t>for OL</w:t>
      </w:r>
      <w:r w:rsidRPr="00307A46">
        <w:rPr>
          <w:highlight w:val="yellow"/>
          <w:lang w:val="en-GB"/>
        </w:rPr>
        <w:t xml:space="preserve"> </w:t>
      </w:r>
      <w:r w:rsidR="00307A46" w:rsidRPr="00307A46">
        <w:rPr>
          <w:highlight w:val="yellow"/>
          <w:lang w:val="en-GB"/>
        </w:rPr>
        <w:t>increasing the HTC temperature from</w:t>
      </w:r>
      <w:r w:rsidR="009E503B" w:rsidRPr="00307A46">
        <w:rPr>
          <w:highlight w:val="yellow"/>
          <w:lang w:val="en-GB"/>
        </w:rPr>
        <w:t xml:space="preserve"> 180 </w:t>
      </w:r>
      <w:r w:rsidR="00307A46" w:rsidRPr="00307A46">
        <w:rPr>
          <w:highlight w:val="yellow"/>
          <w:lang w:val="en-GB"/>
        </w:rPr>
        <w:t>to</w:t>
      </w:r>
      <w:r w:rsidR="009E503B" w:rsidRPr="00307A46">
        <w:rPr>
          <w:highlight w:val="yellow"/>
          <w:lang w:val="en-GB"/>
        </w:rPr>
        <w:t xml:space="preserve"> 220 °C</w:t>
      </w:r>
      <w:r w:rsidRPr="00307A46">
        <w:rPr>
          <w:highlight w:val="yellow"/>
          <w:lang w:val="en-GB"/>
        </w:rPr>
        <w:t xml:space="preserve"> </w:t>
      </w:r>
      <w:r w:rsidR="009E503B" w:rsidRPr="00307A46">
        <w:rPr>
          <w:highlight w:val="yellow"/>
          <w:lang w:val="en-GB"/>
        </w:rPr>
        <w:t xml:space="preserve">causes a very minor </w:t>
      </w:r>
      <w:r w:rsidR="00C55761" w:rsidRPr="00307A46">
        <w:rPr>
          <w:highlight w:val="yellow"/>
          <w:lang w:val="en-GB"/>
        </w:rPr>
        <w:t xml:space="preserve">increase of the O/C and H/C </w:t>
      </w:r>
      <w:r w:rsidRPr="00307A46">
        <w:rPr>
          <w:highlight w:val="yellow"/>
          <w:lang w:val="en-GB"/>
        </w:rPr>
        <w:t xml:space="preserve">ratios, which </w:t>
      </w:r>
      <w:r w:rsidR="009E503B">
        <w:rPr>
          <w:highlight w:val="yellow"/>
          <w:lang w:val="en-GB"/>
        </w:rPr>
        <w:t xml:space="preserve">instead </w:t>
      </w:r>
      <w:r w:rsidR="00307A46">
        <w:rPr>
          <w:highlight w:val="yellow"/>
          <w:lang w:val="en-GB"/>
        </w:rPr>
        <w:t>noticeably</w:t>
      </w:r>
      <w:r w:rsidR="009E503B">
        <w:rPr>
          <w:highlight w:val="yellow"/>
          <w:lang w:val="en-GB"/>
        </w:rPr>
        <w:t xml:space="preserve"> </w:t>
      </w:r>
      <w:r w:rsidR="00C55761">
        <w:rPr>
          <w:highlight w:val="yellow"/>
          <w:lang w:val="en-GB"/>
        </w:rPr>
        <w:t>de</w:t>
      </w:r>
      <w:r w:rsidR="009E503B">
        <w:rPr>
          <w:highlight w:val="yellow"/>
          <w:lang w:val="en-GB"/>
        </w:rPr>
        <w:t>crease for</w:t>
      </w:r>
      <w:r w:rsidRPr="009E503B">
        <w:rPr>
          <w:highlight w:val="yellow"/>
          <w:lang w:val="en-GB"/>
        </w:rPr>
        <w:t xml:space="preserve"> the other bioplastics and for biomass in general</w:t>
      </w:r>
      <w:r w:rsidR="00E4770B" w:rsidRPr="009E503B">
        <w:rPr>
          <w:highlight w:val="yellow"/>
          <w:lang w:val="en-GB"/>
        </w:rPr>
        <w:t>, as well-known in the HTC literature</w:t>
      </w:r>
      <w:r w:rsidRPr="009E503B">
        <w:rPr>
          <w:highlight w:val="yellow"/>
          <w:lang w:val="en-GB"/>
        </w:rPr>
        <w:t>.</w:t>
      </w:r>
      <w:r w:rsidR="009E503B" w:rsidRPr="009E503B">
        <w:rPr>
          <w:highlight w:val="yellow"/>
          <w:lang w:val="en-GB"/>
        </w:rPr>
        <w:t xml:space="preserve"> </w:t>
      </w:r>
      <w:r w:rsidR="00C55761">
        <w:rPr>
          <w:highlight w:val="yellow"/>
          <w:lang w:val="en-GB"/>
        </w:rPr>
        <w:t>Such a behaviour</w:t>
      </w:r>
      <w:r w:rsidR="008A7002">
        <w:rPr>
          <w:highlight w:val="yellow"/>
          <w:lang w:val="en-GB"/>
        </w:rPr>
        <w:t xml:space="preserve"> </w:t>
      </w:r>
      <w:r w:rsidR="009E503B" w:rsidRPr="009E503B">
        <w:rPr>
          <w:highlight w:val="yellow"/>
          <w:lang w:val="en-GB"/>
        </w:rPr>
        <w:t xml:space="preserve">may be </w:t>
      </w:r>
      <w:proofErr w:type="gramStart"/>
      <w:r w:rsidR="00C55761">
        <w:rPr>
          <w:highlight w:val="yellow"/>
          <w:lang w:val="en-GB"/>
        </w:rPr>
        <w:t>due to the fact that</w:t>
      </w:r>
      <w:proofErr w:type="gramEnd"/>
      <w:r w:rsidR="00C55761">
        <w:rPr>
          <w:highlight w:val="yellow"/>
          <w:lang w:val="en-GB"/>
        </w:rPr>
        <w:t xml:space="preserve"> for OL</w:t>
      </w:r>
      <w:r w:rsidR="009E503B" w:rsidRPr="009E503B">
        <w:rPr>
          <w:highlight w:val="yellow"/>
          <w:lang w:val="en-GB"/>
        </w:rPr>
        <w:t xml:space="preserve"> the major chemical reactions take place at 180</w:t>
      </w:r>
      <w:r w:rsidR="00C55761">
        <w:rPr>
          <w:highlight w:val="yellow"/>
          <w:lang w:val="en-GB"/>
        </w:rPr>
        <w:t> </w:t>
      </w:r>
      <w:r w:rsidR="009E503B" w:rsidRPr="009E503B">
        <w:rPr>
          <w:highlight w:val="yellow"/>
          <w:lang w:val="en-GB"/>
        </w:rPr>
        <w:t xml:space="preserve">°C or below, and </w:t>
      </w:r>
      <w:r w:rsidR="009E503B" w:rsidRPr="00C55761">
        <w:rPr>
          <w:highlight w:val="yellow"/>
          <w:lang w:val="en-GB"/>
        </w:rPr>
        <w:t>thus between 180 and 220 °C the solid only undergoes further mass transfers to the liquid</w:t>
      </w:r>
      <w:r w:rsidR="00C55761" w:rsidRPr="00C55761">
        <w:rPr>
          <w:highlight w:val="yellow"/>
          <w:lang w:val="en-GB"/>
        </w:rPr>
        <w:t xml:space="preserve"> and gas</w:t>
      </w:r>
      <w:r w:rsidR="009E503B" w:rsidRPr="00C55761">
        <w:rPr>
          <w:highlight w:val="yellow"/>
          <w:lang w:val="en-GB"/>
        </w:rPr>
        <w:t xml:space="preserve"> phase</w:t>
      </w:r>
      <w:r w:rsidR="00C55761" w:rsidRPr="00C55761">
        <w:rPr>
          <w:highlight w:val="yellow"/>
          <w:lang w:val="en-GB"/>
        </w:rPr>
        <w:t>s</w:t>
      </w:r>
      <w:r w:rsidR="009E503B" w:rsidRPr="00C55761">
        <w:rPr>
          <w:highlight w:val="yellow"/>
          <w:lang w:val="en-GB"/>
        </w:rPr>
        <w:t xml:space="preserve">, increasing </w:t>
      </w:r>
      <w:r w:rsidR="009E503B" w:rsidRPr="009E503B">
        <w:rPr>
          <w:highlight w:val="yellow"/>
          <w:lang w:val="en-GB"/>
        </w:rPr>
        <w:t xml:space="preserve">the ash concentration but not affecting </w:t>
      </w:r>
      <w:r w:rsidR="008A7002">
        <w:rPr>
          <w:highlight w:val="yellow"/>
          <w:lang w:val="en-GB"/>
        </w:rPr>
        <w:t xml:space="preserve">substantially </w:t>
      </w:r>
      <w:r w:rsidR="009E503B" w:rsidRPr="009E503B">
        <w:rPr>
          <w:highlight w:val="yellow"/>
          <w:lang w:val="en-GB"/>
        </w:rPr>
        <w:t>the element ratios</w:t>
      </w:r>
      <w:r w:rsidR="009E503B">
        <w:rPr>
          <w:lang w:val="en-GB"/>
        </w:rPr>
        <w:t>.</w:t>
      </w:r>
    </w:p>
    <w:p w14:paraId="1C1430F0" w14:textId="428FF5D9" w:rsidR="00346E41" w:rsidRDefault="00D52918" w:rsidP="00346E41">
      <w:pPr>
        <w:pStyle w:val="CETBodytext"/>
        <w:rPr>
          <w:lang w:val="en-GB"/>
        </w:rPr>
      </w:pPr>
      <w:r>
        <w:rPr>
          <w:lang w:val="en-GB"/>
        </w:rPr>
        <w:t xml:space="preserve">Finally, Table 3 reports the pH of the liquid phase obtained after the HTC tests. </w:t>
      </w:r>
      <w:r w:rsidR="003A7628">
        <w:rPr>
          <w:lang w:val="en-GB"/>
        </w:rPr>
        <w:t xml:space="preserve">The liquors obtained from CDA and CA are all markedly acid, which is probably caused by the release of the acetyl groups from the cellulose backbone, reported to be the first step in the degradation of cellulose acetate, regardless of the </w:t>
      </w:r>
      <w:r w:rsidR="00D70D29">
        <w:rPr>
          <w:lang w:val="en-GB"/>
        </w:rPr>
        <w:t>mechanism</w:t>
      </w:r>
      <w:r w:rsidR="003A7628">
        <w:rPr>
          <w:lang w:val="en-GB"/>
        </w:rPr>
        <w:t xml:space="preserve"> </w:t>
      </w:r>
      <w:r w:rsidR="003A7628">
        <w:rPr>
          <w:lang w:val="en-GB"/>
        </w:rPr>
        <w:fldChar w:fldCharType="begin" w:fldLock="1"/>
      </w:r>
      <w:r w:rsidR="00365718">
        <w:rPr>
          <w:lang w:val="en-GB"/>
        </w:rPr>
        <w:instrText>ADDIN CSL_CITATION {"citationItems":[{"id":"ITEM-1","itemData":{"DOI":"10.1007/S10924-010-0258-0/FIGURES/11","ISSN":"15662543","abstract":"Cellulose acetate polymer is used to make a variety of consumer products including textiles, plastic films, and cigarette filters. A review of degradation mechanisms, and the possible approaches to diminish the environmental persistence of these materials, will clarify the current and potential degradation rates of these products after disposal. Various studies have been conducted on the biodegradability of cellulose acetate, but no review has been compiled which includes biological, chemical, and photo chemical degradation mechanisms. Cellulose acetate is prepared by acetylating cellulose, the most abundant natural polymer. Cellulose is readily biodegraded by organisms that utilize cellulase enzymes, but due to the additional acetyl groups cellulose acetate requires the presence of esterases for the first step in biodegradation. Once partial deacetylation has been accomplished either by enzymes, or by partial chemical hydrolysis, the polymer's cellulose backbone is readily biodegraded. Cellulose acetate is photo chemically degraded by UV wavelengths shorter than 280 nm, but has limited photo degradability in sunlight due to the lack of chromophores for absorbing ultraviolet light. Photo degradability can be significantly enhanced by the addition of titanium dioxide, which is used as a whitening agent in many consumer products. Photo degradation with TiO 2 causes surface pitting, thus increasing a material's surface area which enhances biodegradation. The combination of both photo and biodegradation allows a synergy that enhances the overall degradation rate. The physical design of a consumer product can also facilitate enhanced degradation rate, since rates are highly influenced by the exposure to environmental conditions. The patent literature contains an abundance of ideas for designing consumer products that are less persistent in the outdoors environment, and this review will include insights into enhanced degradability designs. © 2010 The Author(s).","author":[{"dropping-particle":"","family":"Puls","given":"Juergen","non-dropping-particle":"","parse-names":false,"suffix":""},{"dropping-particle":"","family":"Wilson","given":"Steven A.","non-dropping-particle":"","parse-names":false,"suffix":""},{"dropping-particle":"","family":"Hölter","given":"Dirk","non-dropping-particle":"","parse-names":false,"suffix":""}],"container-title":"Journal of Polymers and the Environment","id":"ITEM-1","issue":"1","issued":{"date-parts":[["2011","3","20"]]},"page":"152-165","publisher":"Springer","title":"Degradation of Cellulose Acetate-Based Materials: A Review","type":"article-journal","volume":"19"},"uris":["http://www.mendeley.com/documents/?uuid=b99f8d74-5dc1-35f0-8d46-2cbe730b5f2f"]}],"mendeley":{"formattedCitation":"(Puls et al., 2011)","plainTextFormattedCitation":"(Puls et al., 2011)","previouslyFormattedCitation":"(Puls et al., 2011)"},"properties":{"noteIndex":0},"schema":"https://github.com/citation-style-language/schema/raw/master/csl-citation.json"}</w:instrText>
      </w:r>
      <w:r w:rsidR="003A7628">
        <w:rPr>
          <w:lang w:val="en-GB"/>
        </w:rPr>
        <w:fldChar w:fldCharType="separate"/>
      </w:r>
      <w:r w:rsidR="003A7628" w:rsidRPr="003A7628">
        <w:rPr>
          <w:noProof/>
          <w:lang w:val="en-GB"/>
        </w:rPr>
        <w:t>(Puls et al., 2011)</w:t>
      </w:r>
      <w:r w:rsidR="003A7628">
        <w:rPr>
          <w:lang w:val="en-GB"/>
        </w:rPr>
        <w:fldChar w:fldCharType="end"/>
      </w:r>
      <w:r w:rsidR="003A7628">
        <w:rPr>
          <w:lang w:val="en-GB"/>
        </w:rPr>
        <w:t>.</w:t>
      </w:r>
      <w:r w:rsidR="00002D17">
        <w:rPr>
          <w:lang w:val="en-GB"/>
        </w:rPr>
        <w:t xml:space="preserve"> The OL liquor is acid as well, although it is more difficult to hypothesise the reason since data on the polymer’s chemical structure are lacking.</w:t>
      </w:r>
      <w:r w:rsidR="003A7628">
        <w:rPr>
          <w:lang w:val="en-GB"/>
        </w:rPr>
        <w:t xml:space="preserve"> </w:t>
      </w:r>
      <w:r w:rsidR="00B73C31">
        <w:rPr>
          <w:lang w:val="en-GB"/>
        </w:rPr>
        <w:t xml:space="preserve">For </w:t>
      </w:r>
      <w:r w:rsidR="00002D17">
        <w:rPr>
          <w:lang w:val="en-GB"/>
        </w:rPr>
        <w:t>LA</w:t>
      </w:r>
      <w:r w:rsidR="00B73C31">
        <w:rPr>
          <w:lang w:val="en-GB"/>
        </w:rPr>
        <w:t xml:space="preserve">, the liquor is acid at 180 °C but basic at 220 °C: this may be due to the thermal behaviour of </w:t>
      </w:r>
      <w:proofErr w:type="spellStart"/>
      <w:r w:rsidR="00002D17">
        <w:rPr>
          <w:lang w:val="en-GB"/>
        </w:rPr>
        <w:t>galalithe</w:t>
      </w:r>
      <w:proofErr w:type="spellEnd"/>
      <w:r w:rsidR="00002D17">
        <w:rPr>
          <w:lang w:val="en-GB"/>
        </w:rPr>
        <w:t xml:space="preserve"> or additives, which apparently release basic compounds when their degradation advances</w:t>
      </w:r>
      <w:r w:rsidR="00B73C31">
        <w:rPr>
          <w:lang w:val="en-GB"/>
        </w:rPr>
        <w:t>.</w:t>
      </w:r>
      <w:r w:rsidR="00365718">
        <w:rPr>
          <w:lang w:val="en-GB"/>
        </w:rPr>
        <w:t xml:space="preserve"> </w:t>
      </w:r>
    </w:p>
    <w:p w14:paraId="55AF1E40" w14:textId="3B873374" w:rsidR="00D52918" w:rsidRDefault="00D52918" w:rsidP="00D52918">
      <w:pPr>
        <w:pStyle w:val="CETTabletitle"/>
      </w:pPr>
      <w:r w:rsidRPr="00244ABC">
        <w:t xml:space="preserve">Table </w:t>
      </w:r>
      <w:r>
        <w:t>3</w:t>
      </w:r>
      <w:r w:rsidRPr="00244ABC">
        <w:t xml:space="preserve">: </w:t>
      </w:r>
      <w:r>
        <w:t>pH of the liquid products of HTC.</w:t>
      </w:r>
    </w:p>
    <w:tbl>
      <w:tblPr>
        <w:tblW w:w="4789" w:type="dxa"/>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2640"/>
        <w:gridCol w:w="571"/>
        <w:gridCol w:w="526"/>
        <w:gridCol w:w="526"/>
        <w:gridCol w:w="526"/>
      </w:tblGrid>
      <w:tr w:rsidR="00002D17" w:rsidRPr="00244ABC" w14:paraId="4699075F" w14:textId="16BE1F2E" w:rsidTr="00002D17">
        <w:trPr>
          <w:trHeight w:val="267"/>
        </w:trPr>
        <w:tc>
          <w:tcPr>
            <w:tcW w:w="0" w:type="auto"/>
            <w:tcBorders>
              <w:top w:val="single" w:sz="12" w:space="0" w:color="008000"/>
              <w:bottom w:val="single" w:sz="6" w:space="0" w:color="008000"/>
            </w:tcBorders>
            <w:shd w:val="clear" w:color="auto" w:fill="FFFFFF"/>
            <w:vAlign w:val="center"/>
          </w:tcPr>
          <w:p w14:paraId="2432ECB9" w14:textId="443F300E" w:rsidR="00002D17" w:rsidRPr="00244ABC" w:rsidRDefault="00002D17">
            <w:pPr>
              <w:pStyle w:val="CETBodytext"/>
              <w:jc w:val="left"/>
              <w:rPr>
                <w:lang w:val="en-GB"/>
              </w:rPr>
            </w:pPr>
            <w:r>
              <w:rPr>
                <w:lang w:val="en-GB"/>
              </w:rPr>
              <w:t>HTC temperature (°C)</w:t>
            </w:r>
          </w:p>
        </w:tc>
        <w:tc>
          <w:tcPr>
            <w:tcW w:w="0" w:type="auto"/>
            <w:tcBorders>
              <w:top w:val="single" w:sz="12" w:space="0" w:color="008000"/>
              <w:bottom w:val="single" w:sz="6" w:space="0" w:color="008000"/>
            </w:tcBorders>
            <w:shd w:val="clear" w:color="auto" w:fill="FFFFFF"/>
            <w:vAlign w:val="center"/>
          </w:tcPr>
          <w:p w14:paraId="50B02CBA" w14:textId="29040EC0" w:rsidR="00002D17" w:rsidRPr="00244ABC" w:rsidRDefault="00002D17">
            <w:pPr>
              <w:pStyle w:val="CETBodytext"/>
              <w:jc w:val="left"/>
              <w:rPr>
                <w:lang w:val="en-GB"/>
              </w:rPr>
            </w:pPr>
            <w:r>
              <w:rPr>
                <w:lang w:val="en-GB"/>
              </w:rPr>
              <w:t>CDA</w:t>
            </w:r>
          </w:p>
        </w:tc>
        <w:tc>
          <w:tcPr>
            <w:tcW w:w="0" w:type="auto"/>
            <w:tcBorders>
              <w:top w:val="single" w:sz="12" w:space="0" w:color="008000"/>
              <w:bottom w:val="single" w:sz="6" w:space="0" w:color="008000"/>
            </w:tcBorders>
            <w:shd w:val="clear" w:color="auto" w:fill="FFFFFF"/>
            <w:vAlign w:val="center"/>
          </w:tcPr>
          <w:p w14:paraId="11B0CC44" w14:textId="1EE84ADB" w:rsidR="00002D17" w:rsidRPr="00244ABC" w:rsidRDefault="00002D17">
            <w:pPr>
              <w:pStyle w:val="CETBodytext"/>
              <w:jc w:val="left"/>
              <w:rPr>
                <w:lang w:val="en-GB"/>
              </w:rPr>
            </w:pPr>
            <w:r>
              <w:rPr>
                <w:lang w:val="en-GB"/>
              </w:rPr>
              <w:t>CA</w:t>
            </w:r>
          </w:p>
        </w:tc>
        <w:tc>
          <w:tcPr>
            <w:tcW w:w="0" w:type="auto"/>
            <w:tcBorders>
              <w:top w:val="single" w:sz="12" w:space="0" w:color="008000"/>
              <w:bottom w:val="single" w:sz="6" w:space="0" w:color="008000"/>
            </w:tcBorders>
            <w:shd w:val="clear" w:color="auto" w:fill="FFFFFF"/>
          </w:tcPr>
          <w:p w14:paraId="50E461C9" w14:textId="3E09D4BC" w:rsidR="00002D17" w:rsidRDefault="00002D17">
            <w:pPr>
              <w:pStyle w:val="CETBodytext"/>
              <w:jc w:val="left"/>
              <w:rPr>
                <w:lang w:val="en-GB"/>
              </w:rPr>
            </w:pPr>
            <w:r>
              <w:rPr>
                <w:lang w:val="en-GB"/>
              </w:rPr>
              <w:t>LA</w:t>
            </w:r>
          </w:p>
        </w:tc>
        <w:tc>
          <w:tcPr>
            <w:tcW w:w="0" w:type="auto"/>
            <w:tcBorders>
              <w:top w:val="single" w:sz="12" w:space="0" w:color="008000"/>
              <w:bottom w:val="single" w:sz="6" w:space="0" w:color="008000"/>
            </w:tcBorders>
            <w:shd w:val="clear" w:color="auto" w:fill="FFFFFF"/>
          </w:tcPr>
          <w:p w14:paraId="16BEF291" w14:textId="30A8EE74" w:rsidR="00002D17" w:rsidRDefault="00002D17">
            <w:pPr>
              <w:pStyle w:val="CETBodytext"/>
              <w:jc w:val="left"/>
              <w:rPr>
                <w:lang w:val="en-GB"/>
              </w:rPr>
            </w:pPr>
            <w:r>
              <w:rPr>
                <w:lang w:val="en-GB"/>
              </w:rPr>
              <w:t>OL</w:t>
            </w:r>
          </w:p>
        </w:tc>
      </w:tr>
      <w:tr w:rsidR="00002D17" w:rsidRPr="00244ABC" w14:paraId="3B63998C" w14:textId="366C69C3" w:rsidTr="00002D17">
        <w:trPr>
          <w:trHeight w:val="293"/>
        </w:trPr>
        <w:tc>
          <w:tcPr>
            <w:tcW w:w="0" w:type="auto"/>
            <w:shd w:val="clear" w:color="auto" w:fill="FFFFFF"/>
            <w:vAlign w:val="center"/>
          </w:tcPr>
          <w:p w14:paraId="77BCA9F7" w14:textId="0A67282E" w:rsidR="00002D17" w:rsidRPr="00244ABC" w:rsidRDefault="00002D17" w:rsidP="00002D17">
            <w:pPr>
              <w:pStyle w:val="CETBodytext"/>
              <w:jc w:val="left"/>
              <w:rPr>
                <w:lang w:val="en-GB"/>
              </w:rPr>
            </w:pPr>
            <w:r>
              <w:rPr>
                <w:lang w:val="en-GB"/>
              </w:rPr>
              <w:t>180</w:t>
            </w:r>
          </w:p>
        </w:tc>
        <w:tc>
          <w:tcPr>
            <w:tcW w:w="0" w:type="auto"/>
            <w:shd w:val="clear" w:color="auto" w:fill="FFFFFF"/>
          </w:tcPr>
          <w:p w14:paraId="1BD15C7F" w14:textId="6EA3CC00" w:rsidR="00002D17" w:rsidRPr="00244ABC" w:rsidRDefault="00002D17" w:rsidP="00002D17">
            <w:pPr>
              <w:pStyle w:val="CETBodytext"/>
              <w:jc w:val="left"/>
              <w:rPr>
                <w:lang w:val="en-GB"/>
              </w:rPr>
            </w:pPr>
            <w:r>
              <w:rPr>
                <w:lang w:val="en-GB"/>
              </w:rPr>
              <w:t>2.63</w:t>
            </w:r>
          </w:p>
        </w:tc>
        <w:tc>
          <w:tcPr>
            <w:tcW w:w="0" w:type="auto"/>
            <w:shd w:val="clear" w:color="auto" w:fill="FFFFFF"/>
          </w:tcPr>
          <w:p w14:paraId="49D6400A" w14:textId="1E732B0F" w:rsidR="00002D17" w:rsidRPr="00244ABC" w:rsidRDefault="00002D17" w:rsidP="00002D17">
            <w:pPr>
              <w:pStyle w:val="CETBodytext"/>
              <w:jc w:val="left"/>
              <w:rPr>
                <w:lang w:val="en-GB"/>
              </w:rPr>
            </w:pPr>
            <w:r>
              <w:rPr>
                <w:lang w:val="en-GB"/>
              </w:rPr>
              <w:t>2.40</w:t>
            </w:r>
          </w:p>
        </w:tc>
        <w:tc>
          <w:tcPr>
            <w:tcW w:w="0" w:type="auto"/>
            <w:shd w:val="clear" w:color="auto" w:fill="FFFFFF"/>
          </w:tcPr>
          <w:p w14:paraId="5B1C2CD9" w14:textId="1F783AED" w:rsidR="00002D17" w:rsidRDefault="00002D17" w:rsidP="00002D17">
            <w:pPr>
              <w:pStyle w:val="CETBodytext"/>
              <w:jc w:val="left"/>
              <w:rPr>
                <w:lang w:val="en-GB"/>
              </w:rPr>
            </w:pPr>
            <w:r w:rsidRPr="000F0DFC">
              <w:t>5.7</w:t>
            </w:r>
            <w:r>
              <w:t>0</w:t>
            </w:r>
          </w:p>
        </w:tc>
        <w:tc>
          <w:tcPr>
            <w:tcW w:w="0" w:type="auto"/>
            <w:shd w:val="clear" w:color="auto" w:fill="FFFFFF"/>
          </w:tcPr>
          <w:p w14:paraId="78222372" w14:textId="42E842EF" w:rsidR="00002D17" w:rsidRDefault="00002D17" w:rsidP="00002D17">
            <w:pPr>
              <w:pStyle w:val="CETBodytext"/>
              <w:jc w:val="left"/>
              <w:rPr>
                <w:lang w:val="en-GB"/>
              </w:rPr>
            </w:pPr>
            <w:r w:rsidRPr="00D14DCD">
              <w:t>2.62</w:t>
            </w:r>
          </w:p>
        </w:tc>
      </w:tr>
      <w:tr w:rsidR="00002D17" w:rsidRPr="00244ABC" w14:paraId="79AAE097" w14:textId="50B6C2CD" w:rsidTr="00002D17">
        <w:trPr>
          <w:trHeight w:val="293"/>
        </w:trPr>
        <w:tc>
          <w:tcPr>
            <w:tcW w:w="0" w:type="auto"/>
            <w:shd w:val="clear" w:color="auto" w:fill="FFFFFF"/>
            <w:vAlign w:val="center"/>
          </w:tcPr>
          <w:p w14:paraId="7706687F" w14:textId="7257A8FE" w:rsidR="00002D17" w:rsidRPr="00244ABC" w:rsidRDefault="00002D17" w:rsidP="00002D17">
            <w:pPr>
              <w:pStyle w:val="CETBodytext"/>
              <w:jc w:val="left"/>
              <w:rPr>
                <w:lang w:val="en-GB"/>
              </w:rPr>
            </w:pPr>
            <w:r>
              <w:rPr>
                <w:lang w:val="en-GB"/>
              </w:rPr>
              <w:t>220</w:t>
            </w:r>
          </w:p>
        </w:tc>
        <w:tc>
          <w:tcPr>
            <w:tcW w:w="0" w:type="auto"/>
            <w:shd w:val="clear" w:color="auto" w:fill="FFFFFF"/>
          </w:tcPr>
          <w:p w14:paraId="4BE3CBC5" w14:textId="58CBF943" w:rsidR="00002D17" w:rsidRPr="00244ABC" w:rsidRDefault="00002D17" w:rsidP="00002D17">
            <w:pPr>
              <w:pStyle w:val="CETBodytext"/>
              <w:jc w:val="left"/>
              <w:rPr>
                <w:lang w:val="en-GB"/>
              </w:rPr>
            </w:pPr>
            <w:r>
              <w:rPr>
                <w:lang w:val="en-GB"/>
              </w:rPr>
              <w:t>2.10</w:t>
            </w:r>
          </w:p>
        </w:tc>
        <w:tc>
          <w:tcPr>
            <w:tcW w:w="0" w:type="auto"/>
            <w:shd w:val="clear" w:color="auto" w:fill="FFFFFF"/>
          </w:tcPr>
          <w:p w14:paraId="7D0D1350" w14:textId="2C5F9B24" w:rsidR="00002D17" w:rsidRPr="00244ABC" w:rsidRDefault="00002D17" w:rsidP="00002D17">
            <w:pPr>
              <w:pStyle w:val="CETBodytext"/>
              <w:jc w:val="left"/>
              <w:rPr>
                <w:lang w:val="en-GB"/>
              </w:rPr>
            </w:pPr>
            <w:r>
              <w:rPr>
                <w:lang w:val="en-GB"/>
              </w:rPr>
              <w:t>2.63</w:t>
            </w:r>
          </w:p>
        </w:tc>
        <w:tc>
          <w:tcPr>
            <w:tcW w:w="0" w:type="auto"/>
            <w:shd w:val="clear" w:color="auto" w:fill="FFFFFF"/>
          </w:tcPr>
          <w:p w14:paraId="61CE3788" w14:textId="62794800" w:rsidR="00002D17" w:rsidRDefault="00002D17" w:rsidP="00002D17">
            <w:pPr>
              <w:pStyle w:val="CETBodytext"/>
              <w:jc w:val="left"/>
              <w:rPr>
                <w:lang w:val="en-GB"/>
              </w:rPr>
            </w:pPr>
            <w:r w:rsidRPr="000F0DFC">
              <w:t>8.</w:t>
            </w:r>
            <w:r>
              <w:t>15</w:t>
            </w:r>
          </w:p>
        </w:tc>
        <w:tc>
          <w:tcPr>
            <w:tcW w:w="0" w:type="auto"/>
            <w:shd w:val="clear" w:color="auto" w:fill="FFFFFF"/>
          </w:tcPr>
          <w:p w14:paraId="0E5C0C04" w14:textId="635CAA0E" w:rsidR="00002D17" w:rsidRDefault="00002D17" w:rsidP="00002D17">
            <w:pPr>
              <w:pStyle w:val="CETBodytext"/>
              <w:jc w:val="left"/>
              <w:rPr>
                <w:lang w:val="en-GB"/>
              </w:rPr>
            </w:pPr>
            <w:r>
              <w:t>2.56</w:t>
            </w:r>
          </w:p>
        </w:tc>
      </w:tr>
    </w:tbl>
    <w:p w14:paraId="184CCF08" w14:textId="24EBAEE2" w:rsidR="00D52918" w:rsidRPr="00244ABC" w:rsidRDefault="00002D17" w:rsidP="00346E41">
      <w:pPr>
        <w:pStyle w:val="CETBodytext"/>
        <w:rPr>
          <w:lang w:val="en-GB"/>
        </w:rPr>
      </w:pPr>
      <w:r>
        <w:rPr>
          <w:lang w:val="en-GB"/>
        </w:rPr>
        <w:t xml:space="preserve">Previous works have shown that the addition of acids may catalyse the HTC process </w:t>
      </w:r>
      <w:r>
        <w:rPr>
          <w:lang w:val="en-GB"/>
        </w:rPr>
        <w:fldChar w:fldCharType="begin" w:fldLock="1"/>
      </w:r>
      <w:r w:rsidR="00996796">
        <w:rPr>
          <w:lang w:val="en-GB"/>
        </w:rPr>
        <w:instrText>ADDIN CSL_CITATION {"citationItems":[{"id":"ITEM-1","itemData":{"DOI":"10.1016/j.biortech.2011.02.035","ISSN":"09608524","abstract":"As a renewable non-food resource, lignocellulosic biomass has great potential as an energy source or feedstock for further conversion. However, challenges exist with supply logistics of this geographically scattered and perishable resource. Hydrothermal carbonization treats any kind of biomass in 200 to 260 °C compressed water under an inert atmosphere to produce a hydrophobic solid of reduced mass and increased fuel value. A maximum in higher heating value (HHV) was found when 0.4. g of acetic acid was added per g of biomass. If 1. g of LiCl and 0.4. g of acetic acid were added per g of biomass to the initial reaction solution, a 30% increase in HHV was found compared to the pretreatment with no additives, along with greater mass reduction. LiCl addition also reduces reaction pressure. Addition of acetic acid and/or LiCl to hydrothermal carbonization each contribute to increased HHV and reduced mass yield of the solid product. © 2011 Elsevier Ltd.","author":[{"dropping-particle":"","family":"Lynam","given":"Joan G.","non-dropping-particle":"","parse-names":false,"suffix":""},{"dropping-particle":"","family":"Coronella","given":"Charles J.","non-dropping-particle":"","parse-names":false,"suffix":""},{"dropping-particle":"","family":"Yan","given":"Wei","non-dropping-particle":"","parse-names":false,"suffix":""},{"dropping-particle":"","family":"Reza","given":"Mohammad T.","non-dropping-particle":"","parse-names":false,"suffix":""},{"dropping-particle":"","family":"Vasquez","given":"Victor R.","non-dropping-particle":"","parse-names":false,"suffix":""}],"container-title":"Bioresource Technology","id":"ITEM-1","issue":"10","issued":{"date-parts":[["2011"]]},"page":"6192-6199","publisher":"Elsevier Ltd","title":"Acetic acid and lithium chloride effects on hydrothermal carbonization of lignocellulosic biomass","type":"article-journal","volume":"102"},"uris":["http://www.mendeley.com/documents/?uuid=278b7f17-ce40-4f76-8e74-f71d6f4af573"]}],"mendeley":{"formattedCitation":"(Lynam et al., 2011)","plainTextFormattedCitation":"(Lynam et al., 2011)","previouslyFormattedCitation":"(Lynam et al., 2011)"},"properties":{"noteIndex":0},"schema":"https://github.com/citation-style-language/schema/raw/master/csl-citation.json"}</w:instrText>
      </w:r>
      <w:r>
        <w:rPr>
          <w:lang w:val="en-GB"/>
        </w:rPr>
        <w:fldChar w:fldCharType="separate"/>
      </w:r>
      <w:r w:rsidR="00996796" w:rsidRPr="00996796">
        <w:rPr>
          <w:noProof/>
          <w:lang w:val="en-GB"/>
        </w:rPr>
        <w:t>(Lynam et al., 2011)</w:t>
      </w:r>
      <w:r>
        <w:rPr>
          <w:lang w:val="en-GB"/>
        </w:rPr>
        <w:fldChar w:fldCharType="end"/>
      </w:r>
      <w:r>
        <w:rPr>
          <w:lang w:val="en-GB"/>
        </w:rPr>
        <w:t>, thus some of the studied bioplastics may undergo autocatalytic behaviour. Moreover, the evolution of acid compounds may prove to be a valuable phenomenon when processing these bioplastics in a mixture, as the creation of an acid environment may facilitate the degradation of the most recalcitrant ones, such as PA</w:t>
      </w:r>
      <w:r w:rsidR="00996796">
        <w:rPr>
          <w:lang w:val="en-GB"/>
        </w:rPr>
        <w:t xml:space="preserve"> </w:t>
      </w:r>
      <w:r w:rsidR="00996796">
        <w:rPr>
          <w:lang w:val="en-GB"/>
        </w:rPr>
        <w:fldChar w:fldCharType="begin" w:fldLock="1"/>
      </w:r>
      <w:r w:rsidR="00996796">
        <w:rPr>
          <w:lang w:val="en-GB"/>
        </w:rPr>
        <w:instrText>ADDIN CSL_CITATION {"citationItems":[{"id":"ITEM-1","itemData":{"DOI":"10.1016/j.polymer.2014.08.010","ISSN":"00323861","author":[{"dropping-particle":"","family":"Hocker","given":"Samuel","non-dropping-particle":"","parse-names":false,"suffix":""},{"dropping-particle":"","family":"Rhudy","given":"Anne K.","non-dropping-particle":"","parse-names":false,"suffix":""},{"dropping-particle":"","family":"Ginsburg","given":"Gregory","non-dropping-particle":"","parse-names":false,"suffix":""},{"dropping-particle":"","family":"Kranbuehl","given":"David E.","non-dropping-particle":"","parse-names":false,"suffix":""}],"container-title":"Polymer","id":"ITEM-1","issue":"20","issued":{"date-parts":[["2014","9"]]},"page":"5057-5064","title":"Polyamide hydrolysis accelerated by small weak organic acids","type":"article-journal","volume":"55"},"uris":["http://www.mendeley.com/documents/?uuid=2f96ae7b-2113-43e9-ae43-04f5293c2e93"]}],"mendeley":{"formattedCitation":"(Hocker et al., 2014)","plainTextFormattedCitation":"(Hocker et al., 2014)","previouslyFormattedCitation":"(Hocker et al., 2014)"},"properties":{"noteIndex":0},"schema":"https://github.com/citation-style-language/schema/raw/master/csl-citation.json"}</w:instrText>
      </w:r>
      <w:r w:rsidR="00996796">
        <w:rPr>
          <w:lang w:val="en-GB"/>
        </w:rPr>
        <w:fldChar w:fldCharType="separate"/>
      </w:r>
      <w:r w:rsidR="00996796" w:rsidRPr="00996796">
        <w:rPr>
          <w:noProof/>
          <w:lang w:val="en-GB"/>
        </w:rPr>
        <w:t>(Hocker et al., 2014)</w:t>
      </w:r>
      <w:r w:rsidR="00996796">
        <w:rPr>
          <w:lang w:val="en-GB"/>
        </w:rPr>
        <w:fldChar w:fldCharType="end"/>
      </w:r>
      <w:r>
        <w:rPr>
          <w:lang w:val="en-GB"/>
        </w:rPr>
        <w:t>. Such an effect would be particularly favourable in practical applications and will be assessed in future works.</w:t>
      </w:r>
    </w:p>
    <w:p w14:paraId="68D26B83" w14:textId="77777777" w:rsidR="00600535" w:rsidRPr="00244ABC" w:rsidRDefault="00600535" w:rsidP="00600535">
      <w:pPr>
        <w:pStyle w:val="CETHeading1"/>
        <w:rPr>
          <w:lang w:val="en-GB"/>
        </w:rPr>
      </w:pPr>
      <w:r w:rsidRPr="00244ABC">
        <w:rPr>
          <w:lang w:val="en-GB"/>
        </w:rPr>
        <w:t>Conclusions</w:t>
      </w:r>
    </w:p>
    <w:p w14:paraId="52DAFDE0" w14:textId="081BE3D9" w:rsidR="001D0CFB" w:rsidRPr="00244ABC" w:rsidRDefault="00B73C31" w:rsidP="005255AF">
      <w:pPr>
        <w:pStyle w:val="CETBodytext"/>
        <w:rPr>
          <w:lang w:val="en-GB"/>
        </w:rPr>
      </w:pPr>
      <w:r>
        <w:rPr>
          <w:lang w:val="en-GB"/>
        </w:rPr>
        <w:t>Five bio-based plastics from the eyewear industry were subjected to HTC at 180 and 220 °C</w:t>
      </w:r>
      <w:r w:rsidR="000A58C7">
        <w:rPr>
          <w:lang w:val="en-GB"/>
        </w:rPr>
        <w:t xml:space="preserve"> for 1 h</w:t>
      </w:r>
      <w:r>
        <w:rPr>
          <w:lang w:val="en-GB"/>
        </w:rPr>
        <w:t>. Four of them</w:t>
      </w:r>
      <w:r w:rsidR="000A58C7">
        <w:rPr>
          <w:lang w:val="en-GB"/>
        </w:rPr>
        <w:t xml:space="preserve">, based on cellulose acetate, milk casein </w:t>
      </w:r>
      <w:r w:rsidR="00A253E5">
        <w:rPr>
          <w:lang w:val="en-GB"/>
        </w:rPr>
        <w:t xml:space="preserve">and </w:t>
      </w:r>
      <w:r w:rsidR="000A58C7">
        <w:rPr>
          <w:lang w:val="en-GB"/>
        </w:rPr>
        <w:t>corn starch,</w:t>
      </w:r>
      <w:r>
        <w:rPr>
          <w:lang w:val="en-GB"/>
        </w:rPr>
        <w:t xml:space="preserve"> proved to markedly degrade </w:t>
      </w:r>
      <w:r w:rsidR="00C309FE">
        <w:rPr>
          <w:lang w:val="en-GB"/>
        </w:rPr>
        <w:t>at both temperatures</w:t>
      </w:r>
      <w:r>
        <w:rPr>
          <w:lang w:val="en-GB"/>
        </w:rPr>
        <w:t xml:space="preserve">, with a </w:t>
      </w:r>
      <w:r w:rsidR="00C309FE">
        <w:rPr>
          <w:lang w:val="en-GB"/>
        </w:rPr>
        <w:t xml:space="preserve">substantially </w:t>
      </w:r>
      <w:r>
        <w:rPr>
          <w:lang w:val="en-GB"/>
        </w:rPr>
        <w:t xml:space="preserve">higher degree of solubilisation at </w:t>
      </w:r>
      <w:r w:rsidR="00C309FE">
        <w:rPr>
          <w:lang w:val="en-GB"/>
        </w:rPr>
        <w:t>220 °C</w:t>
      </w:r>
      <w:r>
        <w:rPr>
          <w:lang w:val="en-GB"/>
        </w:rPr>
        <w:t>. The fifth bioplastic, based on polyamide, showed no sign</w:t>
      </w:r>
      <w:r w:rsidR="000B7222">
        <w:rPr>
          <w:lang w:val="en-GB"/>
        </w:rPr>
        <w:t>s</w:t>
      </w:r>
      <w:r>
        <w:rPr>
          <w:lang w:val="en-GB"/>
        </w:rPr>
        <w:t xml:space="preserve"> of degradation </w:t>
      </w:r>
      <w:r w:rsidR="000B7222" w:rsidRPr="000B7222">
        <w:rPr>
          <w:lang w:val="en-GB"/>
        </w:rPr>
        <w:t>either at 180 °C or at 220 °C</w:t>
      </w:r>
      <w:r>
        <w:rPr>
          <w:lang w:val="en-GB"/>
        </w:rPr>
        <w:t>. An assessment of the properties of the solid and liquid products shows that the behaviour of the cellulose acetate-based bioplastics is rather similar, while the casein</w:t>
      </w:r>
      <w:r w:rsidR="000A58C7">
        <w:rPr>
          <w:lang w:val="en-GB"/>
        </w:rPr>
        <w:noBreakHyphen/>
      </w:r>
      <w:r>
        <w:rPr>
          <w:lang w:val="en-GB"/>
        </w:rPr>
        <w:t>based and starch-based bioplastics seem to behave</w:t>
      </w:r>
      <w:r w:rsidR="00E34613" w:rsidRPr="00E34613">
        <w:t xml:space="preserve"> </w:t>
      </w:r>
      <w:r w:rsidR="00E34613" w:rsidRPr="00E34613">
        <w:rPr>
          <w:lang w:val="en-GB"/>
        </w:rPr>
        <w:t>more peculiarly</w:t>
      </w:r>
      <w:r w:rsidR="00365718">
        <w:rPr>
          <w:lang w:val="en-GB"/>
        </w:rPr>
        <w:t>, with phenomena that are usually not observed in the HTC of biomass materials. Overall, HTC seems a viable and interesting way to facilitate</w:t>
      </w:r>
      <w:r w:rsidR="008C0A47">
        <w:rPr>
          <w:lang w:val="en-GB"/>
        </w:rPr>
        <w:t xml:space="preserve"> and accelerate</w:t>
      </w:r>
      <w:r w:rsidR="00365718">
        <w:rPr>
          <w:lang w:val="en-GB"/>
        </w:rPr>
        <w:t xml:space="preserve"> the degradation of these materials and may be followed by a recovery of possible chemicals of interest or a valorisation through biological processes, aided by the increased solubilisation of the feedstock.</w:t>
      </w:r>
    </w:p>
    <w:p w14:paraId="459D05E6" w14:textId="77777777" w:rsidR="00600535" w:rsidRPr="00244ABC" w:rsidRDefault="00600535" w:rsidP="00600535">
      <w:pPr>
        <w:pStyle w:val="CETAcknowledgementstitle"/>
      </w:pPr>
      <w:r w:rsidRPr="00244ABC">
        <w:t>Acknowledgments</w:t>
      </w:r>
    </w:p>
    <w:p w14:paraId="02082552" w14:textId="5F08FD90" w:rsidR="005255AF" w:rsidRPr="00244ABC" w:rsidRDefault="005255AF" w:rsidP="005255AF">
      <w:r w:rsidRPr="00244ABC">
        <w:t xml:space="preserve">The authors are grateful to Fondazione </w:t>
      </w:r>
      <w:proofErr w:type="spellStart"/>
      <w:r w:rsidRPr="00244ABC">
        <w:t>Cariverona</w:t>
      </w:r>
      <w:proofErr w:type="spellEnd"/>
      <w:r w:rsidRPr="00244ABC">
        <w:t xml:space="preserve"> for the economic support to the </w:t>
      </w:r>
      <w:proofErr w:type="spellStart"/>
      <w:r w:rsidRPr="00244ABC">
        <w:rPr>
          <w:i/>
          <w:iCs/>
        </w:rPr>
        <w:t>Occhio</w:t>
      </w:r>
      <w:proofErr w:type="spellEnd"/>
      <w:r w:rsidRPr="00244ABC">
        <w:rPr>
          <w:i/>
          <w:iCs/>
        </w:rPr>
        <w:t xml:space="preserve"> al Bio!</w:t>
      </w:r>
      <w:r w:rsidRPr="00244ABC">
        <w:t xml:space="preserve"> project, funded within the </w:t>
      </w:r>
      <w:proofErr w:type="spellStart"/>
      <w:r w:rsidRPr="00244ABC">
        <w:rPr>
          <w:i/>
          <w:iCs/>
        </w:rPr>
        <w:t>Ricerca&amp;Sviluppo</w:t>
      </w:r>
      <w:proofErr w:type="spellEnd"/>
      <w:r w:rsidRPr="00244ABC">
        <w:t xml:space="preserve"> 2020 call.</w:t>
      </w:r>
      <w:r w:rsidR="008F1F16">
        <w:t xml:space="preserve"> </w:t>
      </w:r>
      <w:r w:rsidRPr="00244ABC">
        <w:t>The publication was created with the co-financing of the European Union – FSE-REACT-EU, PON Research and Innovation 2014-2020 DM1062/2021.</w:t>
      </w:r>
    </w:p>
    <w:p w14:paraId="0D8C711E" w14:textId="2C071240" w:rsidR="005255AF" w:rsidRDefault="005255AF" w:rsidP="005255AF">
      <w:r w:rsidRPr="00244ABC">
        <w:t xml:space="preserve">The authors thank eyewear companies for providing bioplastic samples. </w:t>
      </w:r>
    </w:p>
    <w:p w14:paraId="2653E4EA" w14:textId="77777777" w:rsidR="009E503B" w:rsidRPr="00244ABC" w:rsidRDefault="009E503B" w:rsidP="005255AF"/>
    <w:p w14:paraId="4F1327F8" w14:textId="77777777" w:rsidR="00600535" w:rsidRPr="00244ABC" w:rsidRDefault="00600535" w:rsidP="00600535">
      <w:pPr>
        <w:pStyle w:val="CETReference"/>
      </w:pPr>
      <w:r w:rsidRPr="00244ABC">
        <w:lastRenderedPageBreak/>
        <w:t>References</w:t>
      </w:r>
    </w:p>
    <w:p w14:paraId="7D45865B" w14:textId="68DEB64A" w:rsidR="000B5465" w:rsidRPr="000B5465" w:rsidRDefault="005255AF" w:rsidP="000B5465">
      <w:pPr>
        <w:widowControl w:val="0"/>
        <w:autoSpaceDE w:val="0"/>
        <w:autoSpaceDN w:val="0"/>
        <w:adjustRightInd w:val="0"/>
        <w:spacing w:line="240" w:lineRule="auto"/>
        <w:ind w:left="480" w:hanging="480"/>
        <w:rPr>
          <w:rFonts w:cs="Arial"/>
          <w:noProof/>
          <w:szCs w:val="24"/>
        </w:rPr>
      </w:pPr>
      <w:r w:rsidRPr="00244ABC">
        <w:fldChar w:fldCharType="begin" w:fldLock="1"/>
      </w:r>
      <w:r w:rsidRPr="00244ABC">
        <w:instrText xml:space="preserve">ADDIN Mendeley Bibliography CSL_BIBLIOGRAPHY </w:instrText>
      </w:r>
      <w:r w:rsidRPr="00244ABC">
        <w:fldChar w:fldCharType="separate"/>
      </w:r>
      <w:r w:rsidR="000B5465" w:rsidRPr="000B5465">
        <w:rPr>
          <w:rFonts w:cs="Arial"/>
          <w:noProof/>
          <w:szCs w:val="24"/>
        </w:rPr>
        <w:t>Anugrahwidya, R., Armynah, B., Tahir, D., 2021. Bioplastics Starch-Based with Additional Fiber and Nanoparticle: Characteristics and Biodegradation Performance: A Review. J. Polym. Environ. 29, 3459–3476. https://doi.org/10.1007/s10924-021-02152-z</w:t>
      </w:r>
    </w:p>
    <w:p w14:paraId="6F404891" w14:textId="77777777" w:rsidR="000B5465" w:rsidRPr="008A7002" w:rsidRDefault="000B5465" w:rsidP="000B5465">
      <w:pPr>
        <w:widowControl w:val="0"/>
        <w:autoSpaceDE w:val="0"/>
        <w:autoSpaceDN w:val="0"/>
        <w:adjustRightInd w:val="0"/>
        <w:spacing w:line="240" w:lineRule="auto"/>
        <w:ind w:left="480" w:hanging="480"/>
        <w:rPr>
          <w:rFonts w:cs="Arial"/>
          <w:noProof/>
          <w:szCs w:val="24"/>
          <w:lang w:val="it-IT"/>
        </w:rPr>
      </w:pPr>
      <w:r w:rsidRPr="000B5465">
        <w:rPr>
          <w:rFonts w:cs="Arial"/>
          <w:noProof/>
          <w:szCs w:val="24"/>
        </w:rPr>
        <w:t xml:space="preserve">Battista, F., Frison, N., Bolzonella, D., 2021. Can bioplastics be treated in conventional anaerobic digesters for food waste treatment? </w:t>
      </w:r>
      <w:r w:rsidRPr="008A7002">
        <w:rPr>
          <w:rFonts w:cs="Arial"/>
          <w:noProof/>
          <w:szCs w:val="24"/>
          <w:lang w:val="it-IT"/>
        </w:rPr>
        <w:t>Environ. Technol. Innov. 22, 101393. https://doi.org/10.1016/J.ETI.2021.101393</w:t>
      </w:r>
    </w:p>
    <w:p w14:paraId="102CD817" w14:textId="77777777" w:rsidR="000B5465" w:rsidRPr="008A7002" w:rsidRDefault="000B5465" w:rsidP="000B5465">
      <w:pPr>
        <w:widowControl w:val="0"/>
        <w:autoSpaceDE w:val="0"/>
        <w:autoSpaceDN w:val="0"/>
        <w:adjustRightInd w:val="0"/>
        <w:spacing w:line="240" w:lineRule="auto"/>
        <w:ind w:left="480" w:hanging="480"/>
        <w:rPr>
          <w:rFonts w:cs="Arial"/>
          <w:noProof/>
          <w:szCs w:val="24"/>
          <w:lang w:val="it-IT"/>
        </w:rPr>
      </w:pPr>
      <w:r w:rsidRPr="008A7002">
        <w:rPr>
          <w:rFonts w:cs="Arial"/>
          <w:noProof/>
          <w:szCs w:val="24"/>
          <w:lang w:val="it-IT"/>
        </w:rPr>
        <w:t xml:space="preserve">Ferrentino, R., Merzari, F., Fiori, L., Andreottola, G., 2020. </w:t>
      </w:r>
      <w:r w:rsidRPr="000B5465">
        <w:rPr>
          <w:rFonts w:cs="Arial"/>
          <w:noProof/>
          <w:szCs w:val="24"/>
        </w:rPr>
        <w:t xml:space="preserve">Coupling Hydrothermal Carbonization with Anaerobic Digestion for Sewage Sludge Treatment: Influence of HTC Liquor and Hydrochar on Biomethane Production. </w:t>
      </w:r>
      <w:r w:rsidRPr="008A7002">
        <w:rPr>
          <w:rFonts w:cs="Arial"/>
          <w:noProof/>
          <w:szCs w:val="24"/>
          <w:lang w:val="it-IT"/>
        </w:rPr>
        <w:t>Energies 13, 6262. https://doi.org/10.3390/en13236262</w:t>
      </w:r>
    </w:p>
    <w:p w14:paraId="236AB61C" w14:textId="77777777" w:rsidR="000B5465" w:rsidRPr="008A7002" w:rsidRDefault="000B5465" w:rsidP="000B5465">
      <w:pPr>
        <w:widowControl w:val="0"/>
        <w:autoSpaceDE w:val="0"/>
        <w:autoSpaceDN w:val="0"/>
        <w:adjustRightInd w:val="0"/>
        <w:spacing w:line="240" w:lineRule="auto"/>
        <w:ind w:left="480" w:hanging="480"/>
        <w:rPr>
          <w:rFonts w:cs="Arial"/>
          <w:noProof/>
          <w:szCs w:val="24"/>
          <w:lang w:val="it-IT"/>
        </w:rPr>
      </w:pPr>
      <w:r w:rsidRPr="008A7002">
        <w:rPr>
          <w:rFonts w:cs="Arial"/>
          <w:noProof/>
          <w:szCs w:val="24"/>
          <w:lang w:val="it-IT"/>
        </w:rPr>
        <w:t xml:space="preserve">Fiori, L., Basso, D., Castello, D., Baratieri, M., 2014. </w:t>
      </w:r>
      <w:r w:rsidRPr="000B5465">
        <w:rPr>
          <w:rFonts w:cs="Arial"/>
          <w:noProof/>
          <w:szCs w:val="24"/>
        </w:rPr>
        <w:t xml:space="preserve">Hydrothermal carbonization of biomass: Design of a batch reactor and preliminary experimental results. </w:t>
      </w:r>
      <w:r w:rsidRPr="008A7002">
        <w:rPr>
          <w:rFonts w:cs="Arial"/>
          <w:noProof/>
          <w:szCs w:val="24"/>
          <w:lang w:val="it-IT"/>
        </w:rPr>
        <w:t>Chem. Eng. Trans. 37, 55–60. https://doi.org/10.3303/CET1437010</w:t>
      </w:r>
    </w:p>
    <w:p w14:paraId="4FD91C26" w14:textId="77777777" w:rsidR="000B5465" w:rsidRPr="008A7002" w:rsidRDefault="000B5465" w:rsidP="000B5465">
      <w:pPr>
        <w:widowControl w:val="0"/>
        <w:autoSpaceDE w:val="0"/>
        <w:autoSpaceDN w:val="0"/>
        <w:adjustRightInd w:val="0"/>
        <w:spacing w:line="240" w:lineRule="auto"/>
        <w:ind w:left="480" w:hanging="480"/>
        <w:rPr>
          <w:rFonts w:cs="Arial"/>
          <w:noProof/>
          <w:szCs w:val="24"/>
          <w:lang w:val="it-IT"/>
        </w:rPr>
      </w:pPr>
      <w:r w:rsidRPr="008A7002">
        <w:rPr>
          <w:rFonts w:cs="Arial"/>
          <w:noProof/>
          <w:szCs w:val="24"/>
          <w:lang w:val="it-IT"/>
        </w:rPr>
        <w:t xml:space="preserve">Gallifuoco, A., Taglieri, L., Papa, A.A., Di Carlo, A., 2022. </w:t>
      </w:r>
      <w:r w:rsidRPr="000B5465">
        <w:rPr>
          <w:rFonts w:cs="Arial"/>
          <w:noProof/>
          <w:szCs w:val="24"/>
        </w:rPr>
        <w:t xml:space="preserve">Advanced Biomass-to-Value Chains By Integrating Hydrothermal Carbonization into Complex Conversion Process Schemes. </w:t>
      </w:r>
      <w:r w:rsidRPr="008A7002">
        <w:rPr>
          <w:rFonts w:cs="Arial"/>
          <w:noProof/>
          <w:szCs w:val="24"/>
          <w:lang w:val="it-IT"/>
        </w:rPr>
        <w:t>Chem. Eng. Trans. 92, 67–72. https://doi.org/10.3303/CET2292012</w:t>
      </w:r>
    </w:p>
    <w:p w14:paraId="5719BEB0" w14:textId="77777777" w:rsidR="000B5465" w:rsidRPr="000B5465" w:rsidRDefault="000B5465" w:rsidP="000B5465">
      <w:pPr>
        <w:widowControl w:val="0"/>
        <w:autoSpaceDE w:val="0"/>
        <w:autoSpaceDN w:val="0"/>
        <w:adjustRightInd w:val="0"/>
        <w:spacing w:line="240" w:lineRule="auto"/>
        <w:ind w:left="480" w:hanging="480"/>
        <w:rPr>
          <w:rFonts w:cs="Arial"/>
          <w:noProof/>
          <w:szCs w:val="24"/>
        </w:rPr>
      </w:pPr>
      <w:r w:rsidRPr="008A7002">
        <w:rPr>
          <w:rFonts w:cs="Arial"/>
          <w:noProof/>
          <w:szCs w:val="24"/>
          <w:lang w:val="it-IT"/>
        </w:rPr>
        <w:t xml:space="preserve">Gioia, C., Giacobazzi, G., Vannini, M., Totaro, G., Sisti, L., Colonna, M., Marchese, P., Celli, A., 2021. </w:t>
      </w:r>
      <w:r w:rsidRPr="000B5465">
        <w:rPr>
          <w:rFonts w:cs="Arial"/>
          <w:noProof/>
          <w:szCs w:val="24"/>
        </w:rPr>
        <w:t>End of Life of Biodegradable Plastics: Composting versus Re/Upcycling. ChemSusChem 14, 4167–4175. https://doi.org/10.1002/cssc.202101226</w:t>
      </w:r>
    </w:p>
    <w:p w14:paraId="11B53A76" w14:textId="77777777" w:rsidR="000B5465" w:rsidRPr="000B5465" w:rsidRDefault="000B5465" w:rsidP="000B5465">
      <w:pPr>
        <w:widowControl w:val="0"/>
        <w:autoSpaceDE w:val="0"/>
        <w:autoSpaceDN w:val="0"/>
        <w:adjustRightInd w:val="0"/>
        <w:spacing w:line="240" w:lineRule="auto"/>
        <w:ind w:left="480" w:hanging="480"/>
        <w:rPr>
          <w:rFonts w:cs="Arial"/>
          <w:noProof/>
          <w:szCs w:val="24"/>
        </w:rPr>
      </w:pPr>
      <w:r w:rsidRPr="000B5465">
        <w:rPr>
          <w:rFonts w:cs="Arial"/>
          <w:noProof/>
          <w:szCs w:val="24"/>
        </w:rPr>
        <w:t>Haj Yahia, S., Lee, K.K., Ayed, B., Hedin, N., Church, T.L., 2019. Activated Carbons from Hydrochars Prepared in Milk. Sci. Rep. 9, 16956. https://doi.org/10.1038/s41598-019-53361-5</w:t>
      </w:r>
    </w:p>
    <w:p w14:paraId="70907025" w14:textId="77777777" w:rsidR="000B5465" w:rsidRPr="000B5465" w:rsidRDefault="000B5465" w:rsidP="000B5465">
      <w:pPr>
        <w:widowControl w:val="0"/>
        <w:autoSpaceDE w:val="0"/>
        <w:autoSpaceDN w:val="0"/>
        <w:adjustRightInd w:val="0"/>
        <w:spacing w:line="240" w:lineRule="auto"/>
        <w:ind w:left="480" w:hanging="480"/>
        <w:rPr>
          <w:rFonts w:cs="Arial"/>
          <w:noProof/>
          <w:szCs w:val="24"/>
        </w:rPr>
      </w:pPr>
      <w:r w:rsidRPr="000B5465">
        <w:rPr>
          <w:rFonts w:cs="Arial"/>
          <w:noProof/>
          <w:szCs w:val="24"/>
        </w:rPr>
        <w:t>Hocker, S., Rhudy, A.K., Ginsburg, G., Kranbuehl, D.E., 2014. Polyamide hydrolysis accelerated by small weak organic acids. Polymer (Guildf). 55, 5057–5064. https://doi.org/10.1016/j.polymer.2014.08.010</w:t>
      </w:r>
    </w:p>
    <w:p w14:paraId="702B2CE1" w14:textId="77777777" w:rsidR="000B5465" w:rsidRPr="000B5465" w:rsidRDefault="000B5465" w:rsidP="000B5465">
      <w:pPr>
        <w:widowControl w:val="0"/>
        <w:autoSpaceDE w:val="0"/>
        <w:autoSpaceDN w:val="0"/>
        <w:adjustRightInd w:val="0"/>
        <w:spacing w:line="240" w:lineRule="auto"/>
        <w:ind w:left="480" w:hanging="480"/>
        <w:rPr>
          <w:rFonts w:cs="Arial"/>
          <w:noProof/>
          <w:szCs w:val="24"/>
        </w:rPr>
      </w:pPr>
      <w:r w:rsidRPr="000B5465">
        <w:rPr>
          <w:rFonts w:cs="Arial"/>
          <w:noProof/>
          <w:szCs w:val="24"/>
        </w:rPr>
        <w:t>Lachos-Perez, D., César Torres-Mayanga, P., Abaide, E.R., Zabot, G.L., De Castilhos, F., 2022. Hydrothermal carbonization and Liquefaction: differences, progress, challenges, and opportunities. Bioresour. Technol. 343, 126084. https://doi.org/10.1016/J.BIORTECH.2021.126084</w:t>
      </w:r>
    </w:p>
    <w:p w14:paraId="4365B43E" w14:textId="77777777" w:rsidR="000B5465" w:rsidRPr="000B5465" w:rsidRDefault="000B5465" w:rsidP="000B5465">
      <w:pPr>
        <w:widowControl w:val="0"/>
        <w:autoSpaceDE w:val="0"/>
        <w:autoSpaceDN w:val="0"/>
        <w:adjustRightInd w:val="0"/>
        <w:spacing w:line="240" w:lineRule="auto"/>
        <w:ind w:left="480" w:hanging="480"/>
        <w:rPr>
          <w:rFonts w:cs="Arial"/>
          <w:noProof/>
          <w:szCs w:val="24"/>
        </w:rPr>
      </w:pPr>
      <w:r w:rsidRPr="000B5465">
        <w:rPr>
          <w:rFonts w:cs="Arial"/>
          <w:noProof/>
          <w:szCs w:val="24"/>
        </w:rPr>
        <w:t>Lagazzo, A., Moliner, C., Bosio, B., Botter, R., Arato, E., 2019. Evaluation of the Mechanical and Thermal Properties Decay of PHBV/Sisal and PLA/Sisal Biocomposites at Different Recycle Steps. Polymers (Basel). 11, 1477. https://doi.org/10.3390/polym11091477</w:t>
      </w:r>
    </w:p>
    <w:p w14:paraId="2FC075C8" w14:textId="77777777" w:rsidR="000B5465" w:rsidRPr="000B5465" w:rsidRDefault="000B5465" w:rsidP="000B5465">
      <w:pPr>
        <w:widowControl w:val="0"/>
        <w:autoSpaceDE w:val="0"/>
        <w:autoSpaceDN w:val="0"/>
        <w:adjustRightInd w:val="0"/>
        <w:spacing w:line="240" w:lineRule="auto"/>
        <w:ind w:left="480" w:hanging="480"/>
        <w:rPr>
          <w:rFonts w:cs="Arial"/>
          <w:noProof/>
          <w:szCs w:val="24"/>
        </w:rPr>
      </w:pPr>
      <w:r w:rsidRPr="000B5465">
        <w:rPr>
          <w:rFonts w:cs="Arial"/>
          <w:noProof/>
          <w:szCs w:val="24"/>
        </w:rPr>
        <w:t>Lamberti, F.M., Román-Ramírez, L.A., Wood, J., 2020. Recycling of Bioplastics: Routes and Benefits. J. Polym. Environ. 28, 2551–2571. https://doi.org/10.1007/s10924-020-01795-8</w:t>
      </w:r>
    </w:p>
    <w:p w14:paraId="05734989" w14:textId="77777777" w:rsidR="000B5465" w:rsidRPr="000B5465" w:rsidRDefault="000B5465" w:rsidP="000B5465">
      <w:pPr>
        <w:widowControl w:val="0"/>
        <w:autoSpaceDE w:val="0"/>
        <w:autoSpaceDN w:val="0"/>
        <w:adjustRightInd w:val="0"/>
        <w:spacing w:line="240" w:lineRule="auto"/>
        <w:ind w:left="480" w:hanging="480"/>
        <w:rPr>
          <w:rFonts w:cs="Arial"/>
          <w:noProof/>
          <w:szCs w:val="24"/>
        </w:rPr>
      </w:pPr>
      <w:r w:rsidRPr="000B5465">
        <w:rPr>
          <w:rFonts w:cs="Arial"/>
          <w:noProof/>
          <w:szCs w:val="24"/>
        </w:rPr>
        <w:t>Lynam, J.G., Coronella, C.J., Yan, W., Reza, M.T., Vasquez, V.R., 2011. Acetic acid and lithium chloride effects on hydrothermal carbonization of lignocellulosic biomass. Bioresour. Technol. 102, 6192–6199. https://doi.org/10.1016/j.biortech.2011.02.035</w:t>
      </w:r>
    </w:p>
    <w:p w14:paraId="32D8B203" w14:textId="77777777" w:rsidR="000B5465" w:rsidRPr="000B5465" w:rsidRDefault="000B5465" w:rsidP="000B5465">
      <w:pPr>
        <w:widowControl w:val="0"/>
        <w:autoSpaceDE w:val="0"/>
        <w:autoSpaceDN w:val="0"/>
        <w:adjustRightInd w:val="0"/>
        <w:spacing w:line="240" w:lineRule="auto"/>
        <w:ind w:left="480" w:hanging="480"/>
        <w:rPr>
          <w:rFonts w:cs="Arial"/>
          <w:noProof/>
          <w:szCs w:val="24"/>
        </w:rPr>
      </w:pPr>
      <w:r w:rsidRPr="000B5465">
        <w:rPr>
          <w:rFonts w:cs="Arial"/>
          <w:noProof/>
          <w:szCs w:val="24"/>
        </w:rPr>
        <w:t>Mumtaz, H., Sobek, S., Werle, S., Sajdak, M., Muzyka, R., 2023. Hydrothermal treatment of plastic waste within a circular economy perspective. Sustain. Chem. Pharm. 32, 100991. https://doi.org/10.1016/J.SCP.2023.100991</w:t>
      </w:r>
    </w:p>
    <w:p w14:paraId="3E31DB22" w14:textId="77777777" w:rsidR="000B5465" w:rsidRPr="000B5465" w:rsidRDefault="000B5465" w:rsidP="000B5465">
      <w:pPr>
        <w:widowControl w:val="0"/>
        <w:autoSpaceDE w:val="0"/>
        <w:autoSpaceDN w:val="0"/>
        <w:adjustRightInd w:val="0"/>
        <w:spacing w:line="240" w:lineRule="auto"/>
        <w:ind w:left="480" w:hanging="480"/>
        <w:rPr>
          <w:rFonts w:cs="Arial"/>
          <w:noProof/>
          <w:szCs w:val="24"/>
        </w:rPr>
      </w:pPr>
      <w:r w:rsidRPr="000B5465">
        <w:rPr>
          <w:rFonts w:cs="Arial"/>
          <w:noProof/>
          <w:szCs w:val="24"/>
        </w:rPr>
        <w:t>Poerschmann, J., Weiner, B., Woszidlo, S., Koehler, R., Kopinke, F.-D., 2015. Hydrothermal carbonization of poly(vinyl chloride). Chemosphere 119, 682–689. https://doi.org/10.1016/j.chemosphere.2014.07.058</w:t>
      </w:r>
    </w:p>
    <w:p w14:paraId="19B06A1E" w14:textId="77777777" w:rsidR="000B5465" w:rsidRPr="008A7002" w:rsidRDefault="000B5465" w:rsidP="000B5465">
      <w:pPr>
        <w:widowControl w:val="0"/>
        <w:autoSpaceDE w:val="0"/>
        <w:autoSpaceDN w:val="0"/>
        <w:adjustRightInd w:val="0"/>
        <w:spacing w:line="240" w:lineRule="auto"/>
        <w:ind w:left="480" w:hanging="480"/>
        <w:rPr>
          <w:rFonts w:cs="Arial"/>
          <w:noProof/>
          <w:szCs w:val="24"/>
          <w:lang w:val="it-IT"/>
        </w:rPr>
      </w:pPr>
      <w:r w:rsidRPr="008A7002">
        <w:rPr>
          <w:rFonts w:cs="Arial"/>
          <w:noProof/>
          <w:szCs w:val="24"/>
          <w:lang w:val="it-IT"/>
        </w:rPr>
        <w:t xml:space="preserve">Prifti, K., Basso, D., Pavanetto, R., Manenti, F., 2021. </w:t>
      </w:r>
      <w:r w:rsidRPr="000B5465">
        <w:rPr>
          <w:rFonts w:cs="Arial"/>
          <w:noProof/>
          <w:szCs w:val="24"/>
        </w:rPr>
        <w:t xml:space="preserve">Improving hydrothermal carbonization (HTC) processes by hydrochar gasification. </w:t>
      </w:r>
      <w:r w:rsidRPr="008A7002">
        <w:rPr>
          <w:rFonts w:cs="Arial"/>
          <w:noProof/>
          <w:szCs w:val="24"/>
          <w:lang w:val="it-IT"/>
        </w:rPr>
        <w:t>Chem. Eng. Trans. 86, 925–930. https://doi.org/10.3303/CET2186155</w:t>
      </w:r>
    </w:p>
    <w:p w14:paraId="1FE3AE4F" w14:textId="77777777" w:rsidR="000B5465" w:rsidRPr="000B5465" w:rsidRDefault="000B5465" w:rsidP="000B5465">
      <w:pPr>
        <w:widowControl w:val="0"/>
        <w:autoSpaceDE w:val="0"/>
        <w:autoSpaceDN w:val="0"/>
        <w:adjustRightInd w:val="0"/>
        <w:spacing w:line="240" w:lineRule="auto"/>
        <w:ind w:left="480" w:hanging="480"/>
        <w:rPr>
          <w:rFonts w:cs="Arial"/>
          <w:noProof/>
          <w:szCs w:val="24"/>
        </w:rPr>
      </w:pPr>
      <w:r w:rsidRPr="008A7002">
        <w:rPr>
          <w:rFonts w:cs="Arial"/>
          <w:noProof/>
          <w:szCs w:val="24"/>
          <w:lang w:val="it-IT"/>
        </w:rPr>
        <w:t xml:space="preserve">Puccini, M., Stefanelli, E., Tasca, A.L., Vitolo, S., 2018. </w:t>
      </w:r>
      <w:r w:rsidRPr="000B5465">
        <w:rPr>
          <w:rFonts w:cs="Arial"/>
          <w:noProof/>
          <w:szCs w:val="24"/>
        </w:rPr>
        <w:t>Pollutant removal from gaseous and aqueous phases using hydrochar-based activated carbon. Chem. Eng. Trans. 67, 637–642. https://doi.org/10.3303/CET1867107</w:t>
      </w:r>
    </w:p>
    <w:p w14:paraId="7CA2C305" w14:textId="77777777" w:rsidR="000B5465" w:rsidRPr="000B5465" w:rsidRDefault="000B5465" w:rsidP="000B5465">
      <w:pPr>
        <w:widowControl w:val="0"/>
        <w:autoSpaceDE w:val="0"/>
        <w:autoSpaceDN w:val="0"/>
        <w:adjustRightInd w:val="0"/>
        <w:spacing w:line="240" w:lineRule="auto"/>
        <w:ind w:left="480" w:hanging="480"/>
        <w:rPr>
          <w:rFonts w:cs="Arial"/>
          <w:noProof/>
          <w:szCs w:val="24"/>
        </w:rPr>
      </w:pPr>
      <w:r w:rsidRPr="000B5465">
        <w:rPr>
          <w:rFonts w:cs="Arial"/>
          <w:noProof/>
          <w:szCs w:val="24"/>
        </w:rPr>
        <w:t>Puls, J., Wilson, S.A., Hölter, D., 2011. Degradation of Cellulose Acetate-Based Materials: A Review. J. Polym. Environ. 19, 152–165. https://doi.org/10.1007/S10924-010-0258-0/FIGURES/11</w:t>
      </w:r>
    </w:p>
    <w:p w14:paraId="0B208B1C" w14:textId="77777777" w:rsidR="000B5465" w:rsidRPr="008A7002" w:rsidRDefault="000B5465" w:rsidP="000B5465">
      <w:pPr>
        <w:widowControl w:val="0"/>
        <w:autoSpaceDE w:val="0"/>
        <w:autoSpaceDN w:val="0"/>
        <w:adjustRightInd w:val="0"/>
        <w:spacing w:line="240" w:lineRule="auto"/>
        <w:ind w:left="480" w:hanging="480"/>
        <w:rPr>
          <w:rFonts w:cs="Arial"/>
          <w:noProof/>
          <w:szCs w:val="24"/>
          <w:lang w:val="it-IT"/>
        </w:rPr>
      </w:pPr>
      <w:r w:rsidRPr="000B5465">
        <w:rPr>
          <w:rFonts w:cs="Arial"/>
          <w:noProof/>
          <w:szCs w:val="24"/>
        </w:rPr>
        <w:t xml:space="preserve">Rosenboom, J.G., Langer, R., Traverso, G., 2022. Bioplastics for a circular economy. </w:t>
      </w:r>
      <w:r w:rsidRPr="008A7002">
        <w:rPr>
          <w:rFonts w:cs="Arial"/>
          <w:noProof/>
          <w:szCs w:val="24"/>
          <w:lang w:val="it-IT"/>
        </w:rPr>
        <w:t>Nat. Rev. Mater. 7, 117–137. https://doi.org/10.1038/s41578-021-00407-8</w:t>
      </w:r>
    </w:p>
    <w:p w14:paraId="7A85610C" w14:textId="77777777" w:rsidR="000B5465" w:rsidRPr="000B5465" w:rsidRDefault="000B5465" w:rsidP="000B5465">
      <w:pPr>
        <w:widowControl w:val="0"/>
        <w:autoSpaceDE w:val="0"/>
        <w:autoSpaceDN w:val="0"/>
        <w:adjustRightInd w:val="0"/>
        <w:spacing w:line="240" w:lineRule="auto"/>
        <w:ind w:left="480" w:hanging="480"/>
        <w:rPr>
          <w:rFonts w:cs="Arial"/>
          <w:noProof/>
          <w:szCs w:val="24"/>
        </w:rPr>
      </w:pPr>
      <w:r w:rsidRPr="008A7002">
        <w:rPr>
          <w:rFonts w:cs="Arial"/>
          <w:noProof/>
          <w:szCs w:val="24"/>
          <w:lang w:val="it-IT"/>
        </w:rPr>
        <w:t xml:space="preserve">Volpe, M., Messineo, A., Mäkelä, M., Barr, M.R., Volpe, R., Corrado, C., Fiori, L., 2020. </w:t>
      </w:r>
      <w:r w:rsidRPr="000B5465">
        <w:rPr>
          <w:rFonts w:cs="Arial"/>
          <w:noProof/>
          <w:szCs w:val="24"/>
        </w:rPr>
        <w:t>Reactivity of cellulose during hydrothermal carbonization of lignocellulosic biomass. Fuel Process. Technol. 206, 106456. https://doi.org/10.1016/j.fuproc.2020.106456</w:t>
      </w:r>
    </w:p>
    <w:p w14:paraId="69E90C2F" w14:textId="77777777" w:rsidR="000B5465" w:rsidRPr="000B5465" w:rsidRDefault="000B5465" w:rsidP="000B5465">
      <w:pPr>
        <w:widowControl w:val="0"/>
        <w:autoSpaceDE w:val="0"/>
        <w:autoSpaceDN w:val="0"/>
        <w:adjustRightInd w:val="0"/>
        <w:spacing w:line="240" w:lineRule="auto"/>
        <w:ind w:left="480" w:hanging="480"/>
        <w:rPr>
          <w:rFonts w:cs="Arial"/>
          <w:noProof/>
        </w:rPr>
      </w:pPr>
      <w:r w:rsidRPr="000B5465">
        <w:rPr>
          <w:rFonts w:cs="Arial"/>
          <w:noProof/>
          <w:szCs w:val="24"/>
        </w:rPr>
        <w:t>Zhao, M., Li, B., Cai, J.-X., Liu, C., McAdam, K.G., Zhang, K., 2016. Thermal &amp;amp; chemical analyses of hydrothermally derived carbon materials from corn starch. Fuel Process. Technol. 153, 43–49. https://doi.org/10.1016/j.fuproc.2016.08.002</w:t>
      </w:r>
    </w:p>
    <w:p w14:paraId="2CF138D3" w14:textId="7BB7DC70" w:rsidR="003A7628" w:rsidRPr="003A7628" w:rsidRDefault="005255AF" w:rsidP="003A7628">
      <w:pPr>
        <w:pStyle w:val="CETBodytext"/>
        <w:rPr>
          <w:lang w:val="en-GB"/>
        </w:rPr>
      </w:pPr>
      <w:r w:rsidRPr="00244ABC">
        <w:rPr>
          <w:lang w:val="en-GB"/>
        </w:rPr>
        <w:fldChar w:fldCharType="end"/>
      </w:r>
    </w:p>
    <w:p w14:paraId="19C4FC68" w14:textId="149CB071" w:rsidR="004628D2" w:rsidRPr="00244ABC" w:rsidRDefault="004628D2" w:rsidP="005255AF">
      <w:pPr>
        <w:pStyle w:val="CETReferencetext"/>
      </w:pPr>
    </w:p>
    <w:sectPr w:rsidR="004628D2" w:rsidRPr="00244ABC" w:rsidSect="00EF06D9">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C76A86" w14:textId="77777777" w:rsidR="00FB72F8" w:rsidRDefault="00FB72F8" w:rsidP="004F5E36">
      <w:r>
        <w:separator/>
      </w:r>
    </w:p>
  </w:endnote>
  <w:endnote w:type="continuationSeparator" w:id="0">
    <w:p w14:paraId="74BE4151" w14:textId="77777777" w:rsidR="00FB72F8" w:rsidRDefault="00FB72F8"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Cambria"/>
    <w:panose1 w:val="00000000000000000000"/>
    <w:charset w:val="00"/>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3E7861" w14:textId="77777777" w:rsidR="00FB72F8" w:rsidRDefault="00FB72F8" w:rsidP="004F5E36">
      <w:r>
        <w:separator/>
      </w:r>
    </w:p>
  </w:footnote>
  <w:footnote w:type="continuationSeparator" w:id="0">
    <w:p w14:paraId="06C2D8B3" w14:textId="77777777" w:rsidR="00FB72F8" w:rsidRDefault="00FB72F8" w:rsidP="004F5E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58AF15E"/>
    <w:lvl w:ilvl="0">
      <w:start w:val="1"/>
      <w:numFmt w:val="decimal"/>
      <w:pStyle w:val="Numeroelenco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Numeroelenco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Numeroelenco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Numeroelenco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Puntoelenco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Puntoelenco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Puntoelenco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Puntoelenco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Numeroelenco"/>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Puntoelenco"/>
      <w:lvlText w:val=""/>
      <w:lvlJc w:val="left"/>
      <w:pPr>
        <w:tabs>
          <w:tab w:val="num" w:pos="360"/>
        </w:tabs>
        <w:ind w:left="360" w:hanging="360"/>
      </w:pPr>
      <w:rPr>
        <w:rFonts w:ascii="Symbol" w:hAnsi="Symbol" w:hint="default"/>
      </w:rPr>
    </w:lvl>
  </w:abstractNum>
  <w:abstractNum w:abstractNumId="10" w15:restartNumberingAfterBreak="0">
    <w:nsid w:val="2438217E"/>
    <w:multiLevelType w:val="multilevel"/>
    <w:tmpl w:val="98101540"/>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ellasemplice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1" w15:restartNumberingAfterBreak="0">
    <w:nsid w:val="2BC432C1"/>
    <w:multiLevelType w:val="hybridMultilevel"/>
    <w:tmpl w:val="38163142"/>
    <w:lvl w:ilvl="0" w:tplc="784A0CBE">
      <w:start w:val="1"/>
      <w:numFmt w:val="bullet"/>
      <w:lvlText w:val=""/>
      <w:lvlJc w:val="left"/>
      <w:pPr>
        <w:ind w:left="720" w:hanging="360"/>
      </w:pPr>
      <w:rPr>
        <w:rFonts w:ascii="Wingdings" w:eastAsia="Times New Roman" w:hAnsi="Wingdings"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6" w15:restartNumberingAfterBreak="0">
    <w:nsid w:val="44E967F1"/>
    <w:multiLevelType w:val="hybridMultilevel"/>
    <w:tmpl w:val="E5E8AE5E"/>
    <w:lvl w:ilvl="0" w:tplc="12D6F440">
      <w:start w:val="1"/>
      <w:numFmt w:val="bullet"/>
      <w:lvlText w:val=""/>
      <w:lvlJc w:val="left"/>
      <w:pPr>
        <w:ind w:left="720" w:hanging="360"/>
      </w:pPr>
      <w:rPr>
        <w:rFonts w:ascii="Wingdings" w:eastAsia="Times New Roman" w:hAnsi="Wingdings"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20"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15:restartNumberingAfterBreak="0">
    <w:nsid w:val="62187E10"/>
    <w:multiLevelType w:val="hybridMultilevel"/>
    <w:tmpl w:val="994C7F5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6BE45EC5"/>
    <w:multiLevelType w:val="hybridMultilevel"/>
    <w:tmpl w:val="2B12D9CC"/>
    <w:lvl w:ilvl="0" w:tplc="E496ED10">
      <w:start w:val="1"/>
      <w:numFmt w:val="bullet"/>
      <w:lvlText w:val=""/>
      <w:lvlJc w:val="left"/>
      <w:pPr>
        <w:ind w:left="720" w:hanging="360"/>
      </w:pPr>
      <w:rPr>
        <w:rFonts w:ascii="Wingdings" w:eastAsia="Times New Roman" w:hAnsi="Wingdings"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261185884">
    <w:abstractNumId w:val="10"/>
  </w:num>
  <w:num w:numId="2" w16cid:durableId="583413146">
    <w:abstractNumId w:val="8"/>
  </w:num>
  <w:num w:numId="3" w16cid:durableId="555943679">
    <w:abstractNumId w:val="3"/>
  </w:num>
  <w:num w:numId="4" w16cid:durableId="800920573">
    <w:abstractNumId w:val="2"/>
  </w:num>
  <w:num w:numId="5" w16cid:durableId="929235816">
    <w:abstractNumId w:val="1"/>
  </w:num>
  <w:num w:numId="6" w16cid:durableId="345400900">
    <w:abstractNumId w:val="0"/>
  </w:num>
  <w:num w:numId="7" w16cid:durableId="633368390">
    <w:abstractNumId w:val="9"/>
  </w:num>
  <w:num w:numId="8" w16cid:durableId="862937985">
    <w:abstractNumId w:val="7"/>
  </w:num>
  <w:num w:numId="9" w16cid:durableId="256528220">
    <w:abstractNumId w:val="6"/>
  </w:num>
  <w:num w:numId="10" w16cid:durableId="552470547">
    <w:abstractNumId w:val="5"/>
  </w:num>
  <w:num w:numId="11" w16cid:durableId="729041833">
    <w:abstractNumId w:val="4"/>
  </w:num>
  <w:num w:numId="12" w16cid:durableId="848985936">
    <w:abstractNumId w:val="19"/>
  </w:num>
  <w:num w:numId="13" w16cid:durableId="1204757525">
    <w:abstractNumId w:val="13"/>
  </w:num>
  <w:num w:numId="14" w16cid:durableId="1713266377">
    <w:abstractNumId w:val="20"/>
  </w:num>
  <w:num w:numId="15" w16cid:durableId="503279556">
    <w:abstractNumId w:val="23"/>
  </w:num>
  <w:num w:numId="16" w16cid:durableId="1653874737">
    <w:abstractNumId w:val="22"/>
  </w:num>
  <w:num w:numId="17" w16cid:durableId="1841775537">
    <w:abstractNumId w:val="12"/>
  </w:num>
  <w:num w:numId="18" w16cid:durableId="1149250783">
    <w:abstractNumId w:val="13"/>
    <w:lvlOverride w:ilvl="0">
      <w:startOverride w:val="1"/>
    </w:lvlOverride>
  </w:num>
  <w:num w:numId="19" w16cid:durableId="1025404498">
    <w:abstractNumId w:val="18"/>
  </w:num>
  <w:num w:numId="20" w16cid:durableId="1831948654">
    <w:abstractNumId w:val="17"/>
  </w:num>
  <w:num w:numId="21" w16cid:durableId="336349005">
    <w:abstractNumId w:val="15"/>
  </w:num>
  <w:num w:numId="22" w16cid:durableId="1355031600">
    <w:abstractNumId w:val="14"/>
  </w:num>
  <w:num w:numId="23" w16cid:durableId="1092628916">
    <w:abstractNumId w:val="21"/>
  </w:num>
  <w:num w:numId="24" w16cid:durableId="1013267129">
    <w:abstractNumId w:val="11"/>
  </w:num>
  <w:num w:numId="25" w16cid:durableId="469785152">
    <w:abstractNumId w:val="16"/>
  </w:num>
  <w:num w:numId="26" w16cid:durableId="94177875">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27C0"/>
    <w:rsid w:val="00002D17"/>
    <w:rsid w:val="000052FB"/>
    <w:rsid w:val="000117CB"/>
    <w:rsid w:val="0003148D"/>
    <w:rsid w:val="00031EEC"/>
    <w:rsid w:val="000408D3"/>
    <w:rsid w:val="00051566"/>
    <w:rsid w:val="000562A9"/>
    <w:rsid w:val="00056503"/>
    <w:rsid w:val="00062A9A"/>
    <w:rsid w:val="00065058"/>
    <w:rsid w:val="0007343D"/>
    <w:rsid w:val="00086C39"/>
    <w:rsid w:val="000A03B2"/>
    <w:rsid w:val="000A1596"/>
    <w:rsid w:val="000A1761"/>
    <w:rsid w:val="000A58C7"/>
    <w:rsid w:val="000B5465"/>
    <w:rsid w:val="000B7222"/>
    <w:rsid w:val="000D0268"/>
    <w:rsid w:val="000D34BE"/>
    <w:rsid w:val="000D6CF2"/>
    <w:rsid w:val="000E102F"/>
    <w:rsid w:val="000E36F1"/>
    <w:rsid w:val="000E3A73"/>
    <w:rsid w:val="000E414A"/>
    <w:rsid w:val="000E4F23"/>
    <w:rsid w:val="000F093C"/>
    <w:rsid w:val="000F3242"/>
    <w:rsid w:val="000F787B"/>
    <w:rsid w:val="00113734"/>
    <w:rsid w:val="0012091F"/>
    <w:rsid w:val="00126BC2"/>
    <w:rsid w:val="001308B6"/>
    <w:rsid w:val="0013121F"/>
    <w:rsid w:val="00131FE6"/>
    <w:rsid w:val="0013263F"/>
    <w:rsid w:val="001331DF"/>
    <w:rsid w:val="00134DE4"/>
    <w:rsid w:val="0014034D"/>
    <w:rsid w:val="00144D16"/>
    <w:rsid w:val="00150E59"/>
    <w:rsid w:val="00152DE3"/>
    <w:rsid w:val="00162D9B"/>
    <w:rsid w:val="00164CF9"/>
    <w:rsid w:val="001667A6"/>
    <w:rsid w:val="00175BDD"/>
    <w:rsid w:val="00184AD6"/>
    <w:rsid w:val="001A4AF7"/>
    <w:rsid w:val="001B0349"/>
    <w:rsid w:val="001B1E93"/>
    <w:rsid w:val="001B65C1"/>
    <w:rsid w:val="001C684B"/>
    <w:rsid w:val="001D0CFB"/>
    <w:rsid w:val="001D1DE5"/>
    <w:rsid w:val="001D21AF"/>
    <w:rsid w:val="001D53FC"/>
    <w:rsid w:val="001F42A5"/>
    <w:rsid w:val="001F7B9D"/>
    <w:rsid w:val="00201C93"/>
    <w:rsid w:val="0021622A"/>
    <w:rsid w:val="002224B4"/>
    <w:rsid w:val="00235ED4"/>
    <w:rsid w:val="00237BA8"/>
    <w:rsid w:val="002447EF"/>
    <w:rsid w:val="00244ABC"/>
    <w:rsid w:val="0024567C"/>
    <w:rsid w:val="00251550"/>
    <w:rsid w:val="002533C8"/>
    <w:rsid w:val="00263B05"/>
    <w:rsid w:val="0027221A"/>
    <w:rsid w:val="00275B61"/>
    <w:rsid w:val="00280FAF"/>
    <w:rsid w:val="00282656"/>
    <w:rsid w:val="00296B83"/>
    <w:rsid w:val="002B4015"/>
    <w:rsid w:val="002B78CE"/>
    <w:rsid w:val="002C2FB6"/>
    <w:rsid w:val="002D74A2"/>
    <w:rsid w:val="002E5FA7"/>
    <w:rsid w:val="002F3309"/>
    <w:rsid w:val="003008CE"/>
    <w:rsid w:val="003009B7"/>
    <w:rsid w:val="00300E56"/>
    <w:rsid w:val="0030152C"/>
    <w:rsid w:val="0030469C"/>
    <w:rsid w:val="00307A46"/>
    <w:rsid w:val="003135FA"/>
    <w:rsid w:val="00321CA6"/>
    <w:rsid w:val="00323763"/>
    <w:rsid w:val="00323C5F"/>
    <w:rsid w:val="00334C09"/>
    <w:rsid w:val="00346E41"/>
    <w:rsid w:val="00365718"/>
    <w:rsid w:val="003723D4"/>
    <w:rsid w:val="00381905"/>
    <w:rsid w:val="00384CC8"/>
    <w:rsid w:val="003871FD"/>
    <w:rsid w:val="003A1E30"/>
    <w:rsid w:val="003A2829"/>
    <w:rsid w:val="003A3CBE"/>
    <w:rsid w:val="003A7628"/>
    <w:rsid w:val="003A7D1C"/>
    <w:rsid w:val="003B304B"/>
    <w:rsid w:val="003B3146"/>
    <w:rsid w:val="003D4EC6"/>
    <w:rsid w:val="003E670E"/>
    <w:rsid w:val="003F015E"/>
    <w:rsid w:val="00400414"/>
    <w:rsid w:val="0041446B"/>
    <w:rsid w:val="0044071E"/>
    <w:rsid w:val="0044329C"/>
    <w:rsid w:val="00453E24"/>
    <w:rsid w:val="00457456"/>
    <w:rsid w:val="004577FE"/>
    <w:rsid w:val="00457B9C"/>
    <w:rsid w:val="0046164A"/>
    <w:rsid w:val="004628D2"/>
    <w:rsid w:val="00462DCD"/>
    <w:rsid w:val="004648AD"/>
    <w:rsid w:val="004703A9"/>
    <w:rsid w:val="004760DE"/>
    <w:rsid w:val="004763D7"/>
    <w:rsid w:val="00487092"/>
    <w:rsid w:val="004A004E"/>
    <w:rsid w:val="004A24CF"/>
    <w:rsid w:val="004A4B85"/>
    <w:rsid w:val="004C3D1D"/>
    <w:rsid w:val="004C3D84"/>
    <w:rsid w:val="004C7913"/>
    <w:rsid w:val="004D50C9"/>
    <w:rsid w:val="004E4DD6"/>
    <w:rsid w:val="004F5E36"/>
    <w:rsid w:val="00507B47"/>
    <w:rsid w:val="00507BEF"/>
    <w:rsid w:val="00507CC9"/>
    <w:rsid w:val="005119A5"/>
    <w:rsid w:val="00512D3F"/>
    <w:rsid w:val="005255AF"/>
    <w:rsid w:val="005278B7"/>
    <w:rsid w:val="00532016"/>
    <w:rsid w:val="005346C8"/>
    <w:rsid w:val="00543E7D"/>
    <w:rsid w:val="00547A68"/>
    <w:rsid w:val="005531C9"/>
    <w:rsid w:val="00570C43"/>
    <w:rsid w:val="005923C0"/>
    <w:rsid w:val="005B2110"/>
    <w:rsid w:val="005B61E6"/>
    <w:rsid w:val="005C77E1"/>
    <w:rsid w:val="005D668A"/>
    <w:rsid w:val="005D6A2F"/>
    <w:rsid w:val="005E1A82"/>
    <w:rsid w:val="005E794C"/>
    <w:rsid w:val="005F0777"/>
    <w:rsid w:val="005F0A28"/>
    <w:rsid w:val="005F0E5E"/>
    <w:rsid w:val="00600535"/>
    <w:rsid w:val="00610CD6"/>
    <w:rsid w:val="00620DEE"/>
    <w:rsid w:val="00621F92"/>
    <w:rsid w:val="0062280A"/>
    <w:rsid w:val="00625639"/>
    <w:rsid w:val="00631B33"/>
    <w:rsid w:val="0064184D"/>
    <w:rsid w:val="006422CC"/>
    <w:rsid w:val="00660E3E"/>
    <w:rsid w:val="00662E74"/>
    <w:rsid w:val="00680C23"/>
    <w:rsid w:val="00693766"/>
    <w:rsid w:val="006A3281"/>
    <w:rsid w:val="006B2EFB"/>
    <w:rsid w:val="006B4888"/>
    <w:rsid w:val="006C2E45"/>
    <w:rsid w:val="006C359C"/>
    <w:rsid w:val="006C46D2"/>
    <w:rsid w:val="006C5579"/>
    <w:rsid w:val="006D6E8B"/>
    <w:rsid w:val="006E737D"/>
    <w:rsid w:val="00713973"/>
    <w:rsid w:val="00720A24"/>
    <w:rsid w:val="00732386"/>
    <w:rsid w:val="0073514D"/>
    <w:rsid w:val="007447F3"/>
    <w:rsid w:val="0075499F"/>
    <w:rsid w:val="007661C8"/>
    <w:rsid w:val="0077098D"/>
    <w:rsid w:val="00781AB4"/>
    <w:rsid w:val="007931FA"/>
    <w:rsid w:val="007A4861"/>
    <w:rsid w:val="007A7BBA"/>
    <w:rsid w:val="007B0C50"/>
    <w:rsid w:val="007B48F9"/>
    <w:rsid w:val="007C1A43"/>
    <w:rsid w:val="007D0951"/>
    <w:rsid w:val="007E02AF"/>
    <w:rsid w:val="0080013E"/>
    <w:rsid w:val="00813288"/>
    <w:rsid w:val="008168FC"/>
    <w:rsid w:val="00830996"/>
    <w:rsid w:val="008345F1"/>
    <w:rsid w:val="008414E7"/>
    <w:rsid w:val="00853007"/>
    <w:rsid w:val="00865B07"/>
    <w:rsid w:val="008667EA"/>
    <w:rsid w:val="0087637F"/>
    <w:rsid w:val="00892AD5"/>
    <w:rsid w:val="008A073A"/>
    <w:rsid w:val="008A1512"/>
    <w:rsid w:val="008A7002"/>
    <w:rsid w:val="008B24F8"/>
    <w:rsid w:val="008C0A47"/>
    <w:rsid w:val="008D32B9"/>
    <w:rsid w:val="008D433B"/>
    <w:rsid w:val="008D4A16"/>
    <w:rsid w:val="008D761F"/>
    <w:rsid w:val="008E566E"/>
    <w:rsid w:val="008F1F16"/>
    <w:rsid w:val="0090161A"/>
    <w:rsid w:val="00901EB6"/>
    <w:rsid w:val="00904C62"/>
    <w:rsid w:val="00922BA8"/>
    <w:rsid w:val="00924DAC"/>
    <w:rsid w:val="00927058"/>
    <w:rsid w:val="00942750"/>
    <w:rsid w:val="009450CE"/>
    <w:rsid w:val="009459BB"/>
    <w:rsid w:val="00947179"/>
    <w:rsid w:val="0095164B"/>
    <w:rsid w:val="00954090"/>
    <w:rsid w:val="009573E7"/>
    <w:rsid w:val="00963E05"/>
    <w:rsid w:val="00964A45"/>
    <w:rsid w:val="00967843"/>
    <w:rsid w:val="00967D54"/>
    <w:rsid w:val="00971028"/>
    <w:rsid w:val="00993B84"/>
    <w:rsid w:val="00996483"/>
    <w:rsid w:val="00996796"/>
    <w:rsid w:val="00996F5A"/>
    <w:rsid w:val="009B041A"/>
    <w:rsid w:val="009B12AC"/>
    <w:rsid w:val="009C37C3"/>
    <w:rsid w:val="009C7C86"/>
    <w:rsid w:val="009D2FF7"/>
    <w:rsid w:val="009E503B"/>
    <w:rsid w:val="009E7884"/>
    <w:rsid w:val="009E788A"/>
    <w:rsid w:val="009F0E08"/>
    <w:rsid w:val="009F1339"/>
    <w:rsid w:val="00A1763D"/>
    <w:rsid w:val="00A17CEC"/>
    <w:rsid w:val="00A253E5"/>
    <w:rsid w:val="00A27EF0"/>
    <w:rsid w:val="00A42361"/>
    <w:rsid w:val="00A50B20"/>
    <w:rsid w:val="00A51390"/>
    <w:rsid w:val="00A60D13"/>
    <w:rsid w:val="00A7105B"/>
    <w:rsid w:val="00A7223D"/>
    <w:rsid w:val="00A72745"/>
    <w:rsid w:val="00A76EFC"/>
    <w:rsid w:val="00A81EBC"/>
    <w:rsid w:val="00A87D50"/>
    <w:rsid w:val="00A91010"/>
    <w:rsid w:val="00A943AF"/>
    <w:rsid w:val="00A975F6"/>
    <w:rsid w:val="00A97F29"/>
    <w:rsid w:val="00AA702E"/>
    <w:rsid w:val="00AA7D26"/>
    <w:rsid w:val="00AB0964"/>
    <w:rsid w:val="00AB5011"/>
    <w:rsid w:val="00AC7368"/>
    <w:rsid w:val="00AD16B9"/>
    <w:rsid w:val="00AE0825"/>
    <w:rsid w:val="00AE377D"/>
    <w:rsid w:val="00AF0EBA"/>
    <w:rsid w:val="00B00478"/>
    <w:rsid w:val="00B02C8A"/>
    <w:rsid w:val="00B1192C"/>
    <w:rsid w:val="00B17FBD"/>
    <w:rsid w:val="00B315A6"/>
    <w:rsid w:val="00B31813"/>
    <w:rsid w:val="00B33365"/>
    <w:rsid w:val="00B5166F"/>
    <w:rsid w:val="00B57B36"/>
    <w:rsid w:val="00B57E6F"/>
    <w:rsid w:val="00B73C31"/>
    <w:rsid w:val="00B8686D"/>
    <w:rsid w:val="00B93F69"/>
    <w:rsid w:val="00BA34CC"/>
    <w:rsid w:val="00BB1DDC"/>
    <w:rsid w:val="00BC30C9"/>
    <w:rsid w:val="00BD077D"/>
    <w:rsid w:val="00BE3E58"/>
    <w:rsid w:val="00BE3F8D"/>
    <w:rsid w:val="00BE677D"/>
    <w:rsid w:val="00C01616"/>
    <w:rsid w:val="00C0162B"/>
    <w:rsid w:val="00C028C7"/>
    <w:rsid w:val="00C068ED"/>
    <w:rsid w:val="00C22E0C"/>
    <w:rsid w:val="00C309FE"/>
    <w:rsid w:val="00C345B1"/>
    <w:rsid w:val="00C40142"/>
    <w:rsid w:val="00C42B73"/>
    <w:rsid w:val="00C52C3C"/>
    <w:rsid w:val="00C55761"/>
    <w:rsid w:val="00C57182"/>
    <w:rsid w:val="00C57863"/>
    <w:rsid w:val="00C640AF"/>
    <w:rsid w:val="00C655FD"/>
    <w:rsid w:val="00C75407"/>
    <w:rsid w:val="00C870A8"/>
    <w:rsid w:val="00C94434"/>
    <w:rsid w:val="00CA0D75"/>
    <w:rsid w:val="00CA1C95"/>
    <w:rsid w:val="00CA5A9C"/>
    <w:rsid w:val="00CC4C20"/>
    <w:rsid w:val="00CD3517"/>
    <w:rsid w:val="00CD5FE2"/>
    <w:rsid w:val="00CE7C68"/>
    <w:rsid w:val="00D02B4C"/>
    <w:rsid w:val="00D040C4"/>
    <w:rsid w:val="00D20AD1"/>
    <w:rsid w:val="00D4495C"/>
    <w:rsid w:val="00D46B7E"/>
    <w:rsid w:val="00D476D5"/>
    <w:rsid w:val="00D52918"/>
    <w:rsid w:val="00D57C84"/>
    <w:rsid w:val="00D6057D"/>
    <w:rsid w:val="00D70D29"/>
    <w:rsid w:val="00D71640"/>
    <w:rsid w:val="00D80842"/>
    <w:rsid w:val="00D836C5"/>
    <w:rsid w:val="00D84576"/>
    <w:rsid w:val="00DA1399"/>
    <w:rsid w:val="00DA24C6"/>
    <w:rsid w:val="00DA4D7B"/>
    <w:rsid w:val="00DD271C"/>
    <w:rsid w:val="00DE264A"/>
    <w:rsid w:val="00DE3EBD"/>
    <w:rsid w:val="00DF5072"/>
    <w:rsid w:val="00E02D18"/>
    <w:rsid w:val="00E041E7"/>
    <w:rsid w:val="00E23CA1"/>
    <w:rsid w:val="00E34613"/>
    <w:rsid w:val="00E409A8"/>
    <w:rsid w:val="00E45605"/>
    <w:rsid w:val="00E4770B"/>
    <w:rsid w:val="00E50C12"/>
    <w:rsid w:val="00E65B91"/>
    <w:rsid w:val="00E70A8A"/>
    <w:rsid w:val="00E7209D"/>
    <w:rsid w:val="00E72EAD"/>
    <w:rsid w:val="00E77223"/>
    <w:rsid w:val="00E8528B"/>
    <w:rsid w:val="00E85B94"/>
    <w:rsid w:val="00E94B4E"/>
    <w:rsid w:val="00E978D0"/>
    <w:rsid w:val="00EA4613"/>
    <w:rsid w:val="00EA7F91"/>
    <w:rsid w:val="00EB1523"/>
    <w:rsid w:val="00EC0E49"/>
    <w:rsid w:val="00EC101F"/>
    <w:rsid w:val="00EC1D9F"/>
    <w:rsid w:val="00EE0131"/>
    <w:rsid w:val="00EE050F"/>
    <w:rsid w:val="00EE17B0"/>
    <w:rsid w:val="00EF06D9"/>
    <w:rsid w:val="00F10B75"/>
    <w:rsid w:val="00F12F3E"/>
    <w:rsid w:val="00F3049E"/>
    <w:rsid w:val="00F30C64"/>
    <w:rsid w:val="00F32BA2"/>
    <w:rsid w:val="00F32CDB"/>
    <w:rsid w:val="00F565FE"/>
    <w:rsid w:val="00F63A70"/>
    <w:rsid w:val="00F63D8C"/>
    <w:rsid w:val="00F7534E"/>
    <w:rsid w:val="00F93EDF"/>
    <w:rsid w:val="00F97BA3"/>
    <w:rsid w:val="00FA1802"/>
    <w:rsid w:val="00FA21D0"/>
    <w:rsid w:val="00FA5F5F"/>
    <w:rsid w:val="00FB1105"/>
    <w:rsid w:val="00FB260E"/>
    <w:rsid w:val="00FB72F8"/>
    <w:rsid w:val="00FB730C"/>
    <w:rsid w:val="00FC2695"/>
    <w:rsid w:val="00FC3E03"/>
    <w:rsid w:val="00FC3FC1"/>
    <w:rsid w:val="00FE654E"/>
    <w:rsid w:val="00FF1100"/>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AE0CC22"/>
  <w15:docId w15:val="{33FBDD46-49DD-4D18-9F15-1A1993F819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Titolo1">
    <w:name w:val="heading 1"/>
    <w:basedOn w:val="CETHeading1"/>
    <w:next w:val="Normale"/>
    <w:link w:val="Titolo1Carattere"/>
    <w:uiPriority w:val="9"/>
    <w:rsid w:val="004F5E36"/>
    <w:pPr>
      <w:tabs>
        <w:tab w:val="clear" w:pos="360"/>
        <w:tab w:val="right" w:pos="7100"/>
      </w:tabs>
      <w:jc w:val="both"/>
      <w:outlineLvl w:val="0"/>
    </w:pPr>
    <w:rPr>
      <w:lang w:val="en-GB"/>
    </w:rPr>
  </w:style>
  <w:style w:type="paragraph" w:styleId="Titolo2">
    <w:name w:val="heading 2"/>
    <w:basedOn w:val="Normale"/>
    <w:next w:val="Normale"/>
    <w:link w:val="Titolo2Carattere"/>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olo3">
    <w:name w:val="heading 3"/>
    <w:basedOn w:val="Normale"/>
    <w:next w:val="Normale"/>
    <w:link w:val="Titolo3Carattere"/>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itolo4">
    <w:name w:val="heading 4"/>
    <w:basedOn w:val="Normale"/>
    <w:next w:val="Normale"/>
    <w:link w:val="Titolo4Carattere"/>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itolo6">
    <w:name w:val="heading 6"/>
    <w:basedOn w:val="Normale"/>
    <w:next w:val="Normale"/>
    <w:link w:val="Titolo6Carattere"/>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itolo7">
    <w:name w:val="heading 7"/>
    <w:basedOn w:val="Normale"/>
    <w:next w:val="Normale"/>
    <w:link w:val="Titolo7Carattere"/>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itolo8">
    <w:name w:val="heading 8"/>
    <w:basedOn w:val="Normale"/>
    <w:next w:val="Normale"/>
    <w:link w:val="Titolo8Carattere"/>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itolo9">
    <w:name w:val="heading 9"/>
    <w:basedOn w:val="Normale"/>
    <w:next w:val="Normale"/>
    <w:link w:val="Titolo9Carattere"/>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07343D"/>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ellasemplice1">
    <w:name w:val="Table Simple 1"/>
    <w:basedOn w:val="Tabellanormale"/>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07343D"/>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Rimandocommento">
    <w:name w:val="annotation reference"/>
    <w:basedOn w:val="Carpredefinitoparagrafo"/>
    <w:uiPriority w:val="99"/>
    <w:semiHidden/>
    <w:unhideWhenUsed/>
    <w:rsid w:val="004577FE"/>
    <w:rPr>
      <w:sz w:val="16"/>
      <w:szCs w:val="16"/>
    </w:rPr>
  </w:style>
  <w:style w:type="paragraph" w:styleId="Testofumetto">
    <w:name w:val="Balloon Text"/>
    <w:basedOn w:val="Normale"/>
    <w:link w:val="TestofumettoCarattere"/>
    <w:uiPriority w:val="99"/>
    <w:semiHidden/>
    <w:unhideWhenUsed/>
    <w:rsid w:val="000D34BE"/>
    <w:pPr>
      <w:spacing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D34BE"/>
    <w:rPr>
      <w:rFonts w:ascii="Tahoma" w:hAnsi="Tahoma" w:cs="Tahoma"/>
      <w:sz w:val="16"/>
      <w:szCs w:val="16"/>
    </w:rPr>
  </w:style>
  <w:style w:type="paragraph" w:styleId="Bibliografia">
    <w:name w:val="Bibliography"/>
    <w:basedOn w:val="CETReferencetext"/>
    <w:uiPriority w:val="37"/>
    <w:unhideWhenUsed/>
    <w:rsid w:val="00631B33"/>
    <w:pPr>
      <w:spacing w:line="240" w:lineRule="auto"/>
      <w:ind w:left="720" w:hanging="720"/>
    </w:pPr>
  </w:style>
  <w:style w:type="paragraph" w:styleId="Corpodeltesto2">
    <w:name w:val="Body Text 2"/>
    <w:basedOn w:val="Normale"/>
    <w:link w:val="Corpodeltesto2Carattere"/>
    <w:uiPriority w:val="99"/>
    <w:semiHidden/>
    <w:unhideWhenUsed/>
    <w:rsid w:val="0003148D"/>
    <w:pPr>
      <w:spacing w:after="120" w:line="480" w:lineRule="auto"/>
    </w:pPr>
  </w:style>
  <w:style w:type="character" w:customStyle="1" w:styleId="Corpodeltesto2Carattere">
    <w:name w:val="Corpo del testo 2 Carattere"/>
    <w:basedOn w:val="Carpredefinitoparagrafo"/>
    <w:link w:val="Corpodeltesto2"/>
    <w:uiPriority w:val="99"/>
    <w:semiHidden/>
    <w:rsid w:val="0003148D"/>
  </w:style>
  <w:style w:type="paragraph" w:styleId="Corpodeltesto3">
    <w:name w:val="Body Text 3"/>
    <w:basedOn w:val="Normale"/>
    <w:link w:val="Corpodeltesto3Carattere"/>
    <w:uiPriority w:val="99"/>
    <w:semiHidden/>
    <w:unhideWhenUsed/>
    <w:rsid w:val="0003148D"/>
    <w:pPr>
      <w:spacing w:after="120"/>
    </w:pPr>
    <w:rPr>
      <w:sz w:val="16"/>
      <w:szCs w:val="16"/>
    </w:rPr>
  </w:style>
  <w:style w:type="character" w:customStyle="1" w:styleId="Corpodeltesto3Carattere">
    <w:name w:val="Corpo del testo 3 Carattere"/>
    <w:basedOn w:val="Carpredefinitoparagrafo"/>
    <w:link w:val="Corpodeltesto3"/>
    <w:uiPriority w:val="99"/>
    <w:semiHidden/>
    <w:rsid w:val="0003148D"/>
    <w:rPr>
      <w:sz w:val="16"/>
      <w:szCs w:val="16"/>
    </w:rPr>
  </w:style>
  <w:style w:type="paragraph" w:styleId="Corpotesto">
    <w:name w:val="Body Text"/>
    <w:basedOn w:val="Normale"/>
    <w:link w:val="CorpotestoCarattere"/>
    <w:uiPriority w:val="99"/>
    <w:semiHidden/>
    <w:unhideWhenUsed/>
    <w:rsid w:val="0003148D"/>
    <w:pPr>
      <w:spacing w:after="120"/>
    </w:pPr>
  </w:style>
  <w:style w:type="character" w:customStyle="1" w:styleId="CorpotestoCarattere">
    <w:name w:val="Corpo testo Carattere"/>
    <w:basedOn w:val="Carpredefinitoparagrafo"/>
    <w:link w:val="Corpotesto"/>
    <w:uiPriority w:val="99"/>
    <w:semiHidden/>
    <w:rsid w:val="0003148D"/>
  </w:style>
  <w:style w:type="paragraph" w:styleId="Data">
    <w:name w:val="Date"/>
    <w:basedOn w:val="Normale"/>
    <w:next w:val="Normale"/>
    <w:link w:val="DataCarattere"/>
    <w:uiPriority w:val="99"/>
    <w:semiHidden/>
    <w:unhideWhenUsed/>
    <w:rsid w:val="0003148D"/>
  </w:style>
  <w:style w:type="character" w:customStyle="1" w:styleId="DataCarattere">
    <w:name w:val="Data Carattere"/>
    <w:basedOn w:val="Carpredefinitoparagrafo"/>
    <w:link w:val="Data"/>
    <w:uiPriority w:val="99"/>
    <w:semiHidden/>
    <w:rsid w:val="0003148D"/>
  </w:style>
  <w:style w:type="paragraph" w:styleId="Didascalia">
    <w:name w:val="caption"/>
    <w:basedOn w:val="Normale"/>
    <w:next w:val="Normale"/>
    <w:uiPriority w:val="35"/>
    <w:semiHidden/>
    <w:unhideWhenUsed/>
    <w:qFormat/>
    <w:rsid w:val="0003148D"/>
    <w:pPr>
      <w:spacing w:line="240" w:lineRule="auto"/>
    </w:pPr>
    <w:rPr>
      <w:b/>
      <w:bCs/>
      <w:color w:val="4F81BD" w:themeColor="accent1"/>
      <w:szCs w:val="18"/>
    </w:rPr>
  </w:style>
  <w:style w:type="paragraph" w:styleId="Elenco">
    <w:name w:val="List"/>
    <w:basedOn w:val="Normale"/>
    <w:uiPriority w:val="99"/>
    <w:semiHidden/>
    <w:unhideWhenUsed/>
    <w:rsid w:val="0003148D"/>
    <w:pPr>
      <w:ind w:left="283" w:hanging="283"/>
      <w:contextualSpacing/>
    </w:pPr>
  </w:style>
  <w:style w:type="paragraph" w:styleId="Elenco2">
    <w:name w:val="List 2"/>
    <w:basedOn w:val="Normale"/>
    <w:uiPriority w:val="99"/>
    <w:semiHidden/>
    <w:unhideWhenUsed/>
    <w:rsid w:val="0003148D"/>
    <w:pPr>
      <w:ind w:left="566" w:hanging="283"/>
      <w:contextualSpacing/>
    </w:pPr>
  </w:style>
  <w:style w:type="paragraph" w:styleId="Elenco3">
    <w:name w:val="List 3"/>
    <w:basedOn w:val="Normale"/>
    <w:uiPriority w:val="99"/>
    <w:semiHidden/>
    <w:unhideWhenUsed/>
    <w:rsid w:val="0003148D"/>
    <w:pPr>
      <w:ind w:left="849" w:hanging="283"/>
      <w:contextualSpacing/>
    </w:pPr>
  </w:style>
  <w:style w:type="paragraph" w:styleId="Elenco4">
    <w:name w:val="List 4"/>
    <w:basedOn w:val="Normale"/>
    <w:uiPriority w:val="99"/>
    <w:semiHidden/>
    <w:unhideWhenUsed/>
    <w:rsid w:val="0003148D"/>
    <w:pPr>
      <w:ind w:left="1132" w:hanging="283"/>
      <w:contextualSpacing/>
    </w:pPr>
  </w:style>
  <w:style w:type="paragraph" w:styleId="Elenco5">
    <w:name w:val="List 5"/>
    <w:basedOn w:val="Normale"/>
    <w:uiPriority w:val="99"/>
    <w:semiHidden/>
    <w:unhideWhenUsed/>
    <w:rsid w:val="0003148D"/>
    <w:pPr>
      <w:ind w:left="1415" w:hanging="283"/>
      <w:contextualSpacing/>
    </w:pPr>
  </w:style>
  <w:style w:type="paragraph" w:styleId="Elencocontinua">
    <w:name w:val="List Continue"/>
    <w:basedOn w:val="Normale"/>
    <w:uiPriority w:val="99"/>
    <w:semiHidden/>
    <w:unhideWhenUsed/>
    <w:rsid w:val="0003148D"/>
    <w:pPr>
      <w:spacing w:after="120"/>
      <w:ind w:left="283"/>
      <w:contextualSpacing/>
    </w:pPr>
  </w:style>
  <w:style w:type="paragraph" w:styleId="Elencocontinua2">
    <w:name w:val="List Continue 2"/>
    <w:basedOn w:val="Normale"/>
    <w:uiPriority w:val="99"/>
    <w:semiHidden/>
    <w:unhideWhenUsed/>
    <w:rsid w:val="0003148D"/>
    <w:pPr>
      <w:spacing w:after="120"/>
      <w:ind w:left="566"/>
      <w:contextualSpacing/>
    </w:pPr>
  </w:style>
  <w:style w:type="paragraph" w:styleId="Elencocontinua3">
    <w:name w:val="List Continue 3"/>
    <w:basedOn w:val="Normale"/>
    <w:uiPriority w:val="99"/>
    <w:semiHidden/>
    <w:unhideWhenUsed/>
    <w:rsid w:val="0003148D"/>
    <w:pPr>
      <w:spacing w:after="120"/>
      <w:ind w:left="849"/>
      <w:contextualSpacing/>
    </w:pPr>
  </w:style>
  <w:style w:type="paragraph" w:styleId="Elencocontinua4">
    <w:name w:val="List Continue 4"/>
    <w:basedOn w:val="Normale"/>
    <w:uiPriority w:val="99"/>
    <w:semiHidden/>
    <w:unhideWhenUsed/>
    <w:rsid w:val="0003148D"/>
    <w:pPr>
      <w:spacing w:after="120"/>
      <w:ind w:left="1132"/>
      <w:contextualSpacing/>
    </w:pPr>
  </w:style>
  <w:style w:type="paragraph" w:styleId="Elencocontinua5">
    <w:name w:val="List Continue 5"/>
    <w:basedOn w:val="Normale"/>
    <w:uiPriority w:val="99"/>
    <w:semiHidden/>
    <w:unhideWhenUsed/>
    <w:rsid w:val="0003148D"/>
    <w:pPr>
      <w:spacing w:after="120"/>
      <w:ind w:left="1415"/>
      <w:contextualSpacing/>
    </w:pPr>
  </w:style>
  <w:style w:type="paragraph" w:styleId="Firma">
    <w:name w:val="Signature"/>
    <w:basedOn w:val="Normale"/>
    <w:link w:val="FirmaCarattere"/>
    <w:uiPriority w:val="99"/>
    <w:semiHidden/>
    <w:unhideWhenUsed/>
    <w:rsid w:val="0003148D"/>
    <w:pPr>
      <w:spacing w:line="240" w:lineRule="auto"/>
      <w:ind w:left="4252"/>
    </w:pPr>
  </w:style>
  <w:style w:type="character" w:customStyle="1" w:styleId="FirmaCarattere">
    <w:name w:val="Firma Carattere"/>
    <w:basedOn w:val="Carpredefinitoparagrafo"/>
    <w:link w:val="Firma"/>
    <w:uiPriority w:val="99"/>
    <w:semiHidden/>
    <w:rsid w:val="0003148D"/>
  </w:style>
  <w:style w:type="paragraph" w:styleId="Firmadipostaelettronica">
    <w:name w:val="E-mail Signature"/>
    <w:basedOn w:val="Normale"/>
    <w:link w:val="FirmadipostaelettronicaCarattere"/>
    <w:uiPriority w:val="99"/>
    <w:semiHidden/>
    <w:unhideWhenUsed/>
    <w:rsid w:val="0003148D"/>
    <w:pPr>
      <w:spacing w:line="240" w:lineRule="auto"/>
    </w:pPr>
  </w:style>
  <w:style w:type="character" w:customStyle="1" w:styleId="FirmadipostaelettronicaCarattere">
    <w:name w:val="Firma di posta elettronica Carattere"/>
    <w:basedOn w:val="Carpredefinitoparagrafo"/>
    <w:link w:val="Firmadipostaelettronica"/>
    <w:uiPriority w:val="99"/>
    <w:semiHidden/>
    <w:rsid w:val="0003148D"/>
  </w:style>
  <w:style w:type="paragraph" w:styleId="Formuladiapertura">
    <w:name w:val="Salutation"/>
    <w:basedOn w:val="Normale"/>
    <w:next w:val="Normale"/>
    <w:link w:val="FormuladiaperturaCarattere"/>
    <w:uiPriority w:val="99"/>
    <w:semiHidden/>
    <w:unhideWhenUsed/>
    <w:rsid w:val="0003148D"/>
  </w:style>
  <w:style w:type="character" w:customStyle="1" w:styleId="FormuladiaperturaCarattere">
    <w:name w:val="Formula di apertura Carattere"/>
    <w:basedOn w:val="Carpredefinitoparagrafo"/>
    <w:link w:val="Formuladiapertura"/>
    <w:uiPriority w:val="99"/>
    <w:semiHidden/>
    <w:rsid w:val="0003148D"/>
  </w:style>
  <w:style w:type="paragraph" w:styleId="Formuladichiusura">
    <w:name w:val="Closing"/>
    <w:basedOn w:val="Normale"/>
    <w:link w:val="FormuladichiusuraCarattere"/>
    <w:uiPriority w:val="99"/>
    <w:semiHidden/>
    <w:unhideWhenUsed/>
    <w:rsid w:val="0003148D"/>
    <w:pPr>
      <w:spacing w:line="240" w:lineRule="auto"/>
      <w:ind w:left="4252"/>
    </w:pPr>
  </w:style>
  <w:style w:type="character" w:customStyle="1" w:styleId="FormuladichiusuraCarattere">
    <w:name w:val="Formula di chiusura Carattere"/>
    <w:basedOn w:val="Carpredefinitoparagrafo"/>
    <w:link w:val="Formuladichiusura"/>
    <w:uiPriority w:val="99"/>
    <w:semiHidden/>
    <w:rsid w:val="0003148D"/>
  </w:style>
  <w:style w:type="paragraph" w:styleId="Indice1">
    <w:name w:val="index 1"/>
    <w:basedOn w:val="Normale"/>
    <w:next w:val="Normale"/>
    <w:autoRedefine/>
    <w:uiPriority w:val="99"/>
    <w:semiHidden/>
    <w:unhideWhenUsed/>
    <w:rsid w:val="0003148D"/>
    <w:pPr>
      <w:spacing w:line="240" w:lineRule="auto"/>
      <w:ind w:left="220" w:hanging="220"/>
    </w:pPr>
  </w:style>
  <w:style w:type="paragraph" w:styleId="Indice2">
    <w:name w:val="index 2"/>
    <w:basedOn w:val="Normale"/>
    <w:next w:val="Normale"/>
    <w:autoRedefine/>
    <w:uiPriority w:val="99"/>
    <w:semiHidden/>
    <w:unhideWhenUsed/>
    <w:rsid w:val="0003148D"/>
    <w:pPr>
      <w:spacing w:line="240" w:lineRule="auto"/>
      <w:ind w:left="440" w:hanging="220"/>
    </w:pPr>
  </w:style>
  <w:style w:type="paragraph" w:styleId="Indice3">
    <w:name w:val="index 3"/>
    <w:basedOn w:val="Normale"/>
    <w:next w:val="Normale"/>
    <w:autoRedefine/>
    <w:uiPriority w:val="99"/>
    <w:semiHidden/>
    <w:unhideWhenUsed/>
    <w:rsid w:val="0003148D"/>
    <w:pPr>
      <w:spacing w:line="240" w:lineRule="auto"/>
      <w:ind w:left="660" w:hanging="220"/>
    </w:pPr>
  </w:style>
  <w:style w:type="paragraph" w:styleId="Indice4">
    <w:name w:val="index 4"/>
    <w:basedOn w:val="Normale"/>
    <w:next w:val="Normale"/>
    <w:autoRedefine/>
    <w:uiPriority w:val="99"/>
    <w:semiHidden/>
    <w:unhideWhenUsed/>
    <w:rsid w:val="0003148D"/>
    <w:pPr>
      <w:spacing w:line="240" w:lineRule="auto"/>
      <w:ind w:left="880" w:hanging="220"/>
    </w:pPr>
  </w:style>
  <w:style w:type="paragraph" w:styleId="Indice5">
    <w:name w:val="index 5"/>
    <w:basedOn w:val="Normale"/>
    <w:next w:val="Normale"/>
    <w:autoRedefine/>
    <w:uiPriority w:val="99"/>
    <w:semiHidden/>
    <w:unhideWhenUsed/>
    <w:rsid w:val="0003148D"/>
    <w:pPr>
      <w:spacing w:line="240" w:lineRule="auto"/>
      <w:ind w:left="1100" w:hanging="220"/>
    </w:pPr>
  </w:style>
  <w:style w:type="paragraph" w:styleId="Indice6">
    <w:name w:val="index 6"/>
    <w:basedOn w:val="Normale"/>
    <w:next w:val="Normale"/>
    <w:autoRedefine/>
    <w:uiPriority w:val="99"/>
    <w:semiHidden/>
    <w:unhideWhenUsed/>
    <w:rsid w:val="0003148D"/>
    <w:pPr>
      <w:spacing w:line="240" w:lineRule="auto"/>
      <w:ind w:left="1320" w:hanging="220"/>
    </w:pPr>
  </w:style>
  <w:style w:type="paragraph" w:styleId="Indice7">
    <w:name w:val="index 7"/>
    <w:basedOn w:val="Normale"/>
    <w:next w:val="Normale"/>
    <w:autoRedefine/>
    <w:uiPriority w:val="99"/>
    <w:semiHidden/>
    <w:unhideWhenUsed/>
    <w:rsid w:val="0003148D"/>
    <w:pPr>
      <w:spacing w:line="240" w:lineRule="auto"/>
      <w:ind w:left="1540" w:hanging="220"/>
    </w:pPr>
  </w:style>
  <w:style w:type="paragraph" w:styleId="Indice8">
    <w:name w:val="index 8"/>
    <w:basedOn w:val="Normale"/>
    <w:next w:val="Normale"/>
    <w:autoRedefine/>
    <w:uiPriority w:val="99"/>
    <w:semiHidden/>
    <w:unhideWhenUsed/>
    <w:rsid w:val="0003148D"/>
    <w:pPr>
      <w:spacing w:line="240" w:lineRule="auto"/>
      <w:ind w:left="1760" w:hanging="220"/>
    </w:pPr>
  </w:style>
  <w:style w:type="paragraph" w:styleId="Indice9">
    <w:name w:val="index 9"/>
    <w:basedOn w:val="Normale"/>
    <w:next w:val="Normale"/>
    <w:autoRedefine/>
    <w:uiPriority w:val="99"/>
    <w:semiHidden/>
    <w:unhideWhenUsed/>
    <w:rsid w:val="0003148D"/>
    <w:pPr>
      <w:spacing w:line="240" w:lineRule="auto"/>
      <w:ind w:left="1980" w:hanging="220"/>
    </w:pPr>
  </w:style>
  <w:style w:type="paragraph" w:styleId="Indicedellefigure">
    <w:name w:val="table of figures"/>
    <w:basedOn w:val="Normale"/>
    <w:next w:val="Normale"/>
    <w:uiPriority w:val="99"/>
    <w:semiHidden/>
    <w:unhideWhenUsed/>
    <w:rsid w:val="0003148D"/>
  </w:style>
  <w:style w:type="paragraph" w:styleId="Indicefonti">
    <w:name w:val="table of authorities"/>
    <w:basedOn w:val="Normale"/>
    <w:next w:val="Normale"/>
    <w:uiPriority w:val="99"/>
    <w:semiHidden/>
    <w:unhideWhenUsed/>
    <w:rsid w:val="0003148D"/>
    <w:pPr>
      <w:ind w:left="220" w:hanging="220"/>
    </w:pPr>
  </w:style>
  <w:style w:type="paragraph" w:styleId="Indirizzodestinatario">
    <w:name w:val="envelope address"/>
    <w:basedOn w:val="Normale"/>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IndirizzoHTML">
    <w:name w:val="HTML Address"/>
    <w:basedOn w:val="Normale"/>
    <w:link w:val="IndirizzoHTMLCarattere"/>
    <w:uiPriority w:val="99"/>
    <w:semiHidden/>
    <w:unhideWhenUsed/>
    <w:rsid w:val="0003148D"/>
    <w:pPr>
      <w:spacing w:line="240" w:lineRule="auto"/>
    </w:pPr>
    <w:rPr>
      <w:i/>
      <w:iCs/>
    </w:rPr>
  </w:style>
  <w:style w:type="character" w:customStyle="1" w:styleId="IndirizzoHTMLCarattere">
    <w:name w:val="Indirizzo HTML Carattere"/>
    <w:basedOn w:val="Carpredefinitoparagrafo"/>
    <w:link w:val="IndirizzoHTML"/>
    <w:uiPriority w:val="99"/>
    <w:semiHidden/>
    <w:rsid w:val="0003148D"/>
    <w:rPr>
      <w:i/>
      <w:iCs/>
    </w:rPr>
  </w:style>
  <w:style w:type="paragraph" w:styleId="Indirizzomittente">
    <w:name w:val="envelope return"/>
    <w:basedOn w:val="Normale"/>
    <w:uiPriority w:val="99"/>
    <w:semiHidden/>
    <w:unhideWhenUsed/>
    <w:rsid w:val="0003148D"/>
    <w:pPr>
      <w:spacing w:line="240" w:lineRule="auto"/>
    </w:pPr>
    <w:rPr>
      <w:rFonts w:asciiTheme="majorHAnsi" w:eastAsiaTheme="majorEastAsia" w:hAnsiTheme="majorHAnsi" w:cstheme="majorBidi"/>
    </w:rPr>
  </w:style>
  <w:style w:type="paragraph" w:styleId="Intestazionemessaggio">
    <w:name w:val="Message Header"/>
    <w:basedOn w:val="Normale"/>
    <w:link w:val="IntestazionemessaggioCarattere"/>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IntestazionemessaggioCarattere">
    <w:name w:val="Intestazione messaggio Carattere"/>
    <w:basedOn w:val="Carpredefinitoparagrafo"/>
    <w:link w:val="Intestazionemessaggio"/>
    <w:uiPriority w:val="99"/>
    <w:semiHidden/>
    <w:rsid w:val="0003148D"/>
    <w:rPr>
      <w:rFonts w:asciiTheme="majorHAnsi" w:eastAsiaTheme="majorEastAsia" w:hAnsiTheme="majorHAnsi" w:cstheme="majorBidi"/>
      <w:sz w:val="24"/>
      <w:szCs w:val="24"/>
      <w:shd w:val="pct20" w:color="auto" w:fill="auto"/>
    </w:rPr>
  </w:style>
  <w:style w:type="paragraph" w:styleId="Intestazionenota">
    <w:name w:val="Note Heading"/>
    <w:basedOn w:val="Normale"/>
    <w:next w:val="Normale"/>
    <w:link w:val="IntestazionenotaCarattere"/>
    <w:uiPriority w:val="99"/>
    <w:semiHidden/>
    <w:unhideWhenUsed/>
    <w:rsid w:val="0003148D"/>
    <w:pPr>
      <w:spacing w:line="240" w:lineRule="auto"/>
    </w:pPr>
  </w:style>
  <w:style w:type="character" w:customStyle="1" w:styleId="IntestazionenotaCarattere">
    <w:name w:val="Intestazione nota Carattere"/>
    <w:basedOn w:val="Carpredefinitoparagrafo"/>
    <w:link w:val="Intestazionenota"/>
    <w:uiPriority w:val="99"/>
    <w:semiHidden/>
    <w:rsid w:val="0003148D"/>
  </w:style>
  <w:style w:type="paragraph" w:styleId="Mappadocumento">
    <w:name w:val="Document Map"/>
    <w:basedOn w:val="Normale"/>
    <w:link w:val="MappadocumentoCarattere"/>
    <w:uiPriority w:val="99"/>
    <w:semiHidden/>
    <w:unhideWhenUsed/>
    <w:rsid w:val="0003148D"/>
    <w:pPr>
      <w:spacing w:line="240" w:lineRule="auto"/>
    </w:pPr>
    <w:rPr>
      <w:rFonts w:ascii="Tahoma" w:hAnsi="Tahoma" w:cs="Tahoma"/>
      <w:sz w:val="16"/>
      <w:szCs w:val="16"/>
    </w:rPr>
  </w:style>
  <w:style w:type="character" w:customStyle="1" w:styleId="MappadocumentoCarattere">
    <w:name w:val="Mappa documento Carattere"/>
    <w:basedOn w:val="Carpredefinitoparagrafo"/>
    <w:link w:val="Mappadocumento"/>
    <w:uiPriority w:val="99"/>
    <w:semiHidden/>
    <w:rsid w:val="0003148D"/>
    <w:rPr>
      <w:rFonts w:ascii="Tahoma" w:hAnsi="Tahoma" w:cs="Tahoma"/>
      <w:sz w:val="16"/>
      <w:szCs w:val="16"/>
    </w:rPr>
  </w:style>
  <w:style w:type="paragraph" w:styleId="NormaleWeb">
    <w:name w:val="Normal (Web)"/>
    <w:basedOn w:val="Normale"/>
    <w:uiPriority w:val="99"/>
    <w:semiHidden/>
    <w:unhideWhenUsed/>
    <w:rsid w:val="0003148D"/>
    <w:rPr>
      <w:sz w:val="24"/>
      <w:szCs w:val="24"/>
    </w:rPr>
  </w:style>
  <w:style w:type="paragraph" w:styleId="Numeroelenco">
    <w:name w:val="List Number"/>
    <w:basedOn w:val="Normale"/>
    <w:uiPriority w:val="99"/>
    <w:semiHidden/>
    <w:unhideWhenUsed/>
    <w:rsid w:val="0003148D"/>
    <w:pPr>
      <w:numPr>
        <w:numId w:val="2"/>
      </w:numPr>
      <w:contextualSpacing/>
    </w:pPr>
  </w:style>
  <w:style w:type="paragraph" w:styleId="Numeroelenco2">
    <w:name w:val="List Number 2"/>
    <w:basedOn w:val="Normale"/>
    <w:uiPriority w:val="99"/>
    <w:semiHidden/>
    <w:unhideWhenUsed/>
    <w:rsid w:val="0003148D"/>
    <w:pPr>
      <w:numPr>
        <w:numId w:val="3"/>
      </w:numPr>
      <w:contextualSpacing/>
    </w:pPr>
  </w:style>
  <w:style w:type="paragraph" w:styleId="Numeroelenco3">
    <w:name w:val="List Number 3"/>
    <w:basedOn w:val="Normale"/>
    <w:uiPriority w:val="99"/>
    <w:semiHidden/>
    <w:unhideWhenUsed/>
    <w:rsid w:val="0003148D"/>
    <w:pPr>
      <w:numPr>
        <w:numId w:val="4"/>
      </w:numPr>
      <w:contextualSpacing/>
    </w:pPr>
  </w:style>
  <w:style w:type="paragraph" w:styleId="Numeroelenco4">
    <w:name w:val="List Number 4"/>
    <w:basedOn w:val="Normale"/>
    <w:uiPriority w:val="99"/>
    <w:semiHidden/>
    <w:unhideWhenUsed/>
    <w:rsid w:val="0003148D"/>
    <w:pPr>
      <w:numPr>
        <w:numId w:val="5"/>
      </w:numPr>
      <w:contextualSpacing/>
    </w:pPr>
  </w:style>
  <w:style w:type="paragraph" w:styleId="Numeroelenco5">
    <w:name w:val="List Number 5"/>
    <w:basedOn w:val="Normale"/>
    <w:uiPriority w:val="99"/>
    <w:semiHidden/>
    <w:unhideWhenUsed/>
    <w:rsid w:val="0003148D"/>
    <w:pPr>
      <w:numPr>
        <w:numId w:val="6"/>
      </w:numPr>
      <w:contextualSpacing/>
    </w:pPr>
  </w:style>
  <w:style w:type="paragraph" w:styleId="PreformattatoHTML">
    <w:name w:val="HTML Preformatted"/>
    <w:basedOn w:val="Normale"/>
    <w:link w:val="PreformattatoHTMLCarattere"/>
    <w:uiPriority w:val="99"/>
    <w:semiHidden/>
    <w:unhideWhenUsed/>
    <w:rsid w:val="0003148D"/>
    <w:pPr>
      <w:spacing w:line="240" w:lineRule="auto"/>
    </w:pPr>
    <w:rPr>
      <w:rFonts w:ascii="Consolas" w:hAnsi="Consolas" w:cs="Consolas"/>
    </w:rPr>
  </w:style>
  <w:style w:type="character" w:customStyle="1" w:styleId="PreformattatoHTMLCarattere">
    <w:name w:val="Preformattato HTML Carattere"/>
    <w:basedOn w:val="Carpredefinitoparagrafo"/>
    <w:link w:val="PreformattatoHTML"/>
    <w:uiPriority w:val="99"/>
    <w:semiHidden/>
    <w:rsid w:val="0003148D"/>
    <w:rPr>
      <w:rFonts w:ascii="Consolas" w:hAnsi="Consolas" w:cs="Consolas"/>
      <w:sz w:val="20"/>
      <w:szCs w:val="20"/>
    </w:rPr>
  </w:style>
  <w:style w:type="paragraph" w:styleId="Primorientrocorpodeltesto">
    <w:name w:val="Body Text First Indent"/>
    <w:basedOn w:val="Corpotesto"/>
    <w:link w:val="PrimorientrocorpodeltestoCarattere"/>
    <w:uiPriority w:val="99"/>
    <w:semiHidden/>
    <w:unhideWhenUsed/>
    <w:rsid w:val="0003148D"/>
    <w:pPr>
      <w:spacing w:after="200"/>
      <w:ind w:firstLine="360"/>
    </w:pPr>
  </w:style>
  <w:style w:type="character" w:customStyle="1" w:styleId="PrimorientrocorpodeltestoCarattere">
    <w:name w:val="Primo rientro corpo del testo Carattere"/>
    <w:basedOn w:val="CorpotestoCarattere"/>
    <w:link w:val="Primorientrocorpodeltesto"/>
    <w:uiPriority w:val="99"/>
    <w:semiHidden/>
    <w:rsid w:val="0003148D"/>
  </w:style>
  <w:style w:type="paragraph" w:styleId="Rientrocorpodeltesto">
    <w:name w:val="Body Text Indent"/>
    <w:basedOn w:val="Normale"/>
    <w:link w:val="RientrocorpodeltestoCarattere"/>
    <w:uiPriority w:val="99"/>
    <w:semiHidden/>
    <w:unhideWhenUsed/>
    <w:rsid w:val="0003148D"/>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03148D"/>
  </w:style>
  <w:style w:type="paragraph" w:styleId="Primorientrocorpodeltesto2">
    <w:name w:val="Body Text First Indent 2"/>
    <w:basedOn w:val="Rientrocorpodeltesto"/>
    <w:link w:val="Primorientrocorpodeltesto2Carattere"/>
    <w:uiPriority w:val="99"/>
    <w:semiHidden/>
    <w:unhideWhenUsed/>
    <w:rsid w:val="0003148D"/>
    <w:pPr>
      <w:spacing w:after="200"/>
      <w:ind w:left="360" w:firstLine="360"/>
    </w:pPr>
  </w:style>
  <w:style w:type="character" w:customStyle="1" w:styleId="Primorientrocorpodeltesto2Carattere">
    <w:name w:val="Primo rientro corpo del testo 2 Carattere"/>
    <w:basedOn w:val="RientrocorpodeltestoCarattere"/>
    <w:link w:val="Primorientrocorpodeltesto2"/>
    <w:uiPriority w:val="99"/>
    <w:semiHidden/>
    <w:rsid w:val="0003148D"/>
  </w:style>
  <w:style w:type="paragraph" w:styleId="Puntoelenco">
    <w:name w:val="List Bullet"/>
    <w:basedOn w:val="Normale"/>
    <w:uiPriority w:val="99"/>
    <w:semiHidden/>
    <w:unhideWhenUsed/>
    <w:rsid w:val="0003148D"/>
    <w:pPr>
      <w:numPr>
        <w:numId w:val="7"/>
      </w:numPr>
      <w:contextualSpacing/>
    </w:pPr>
  </w:style>
  <w:style w:type="paragraph" w:styleId="Puntoelenco2">
    <w:name w:val="List Bullet 2"/>
    <w:basedOn w:val="Normale"/>
    <w:uiPriority w:val="99"/>
    <w:semiHidden/>
    <w:unhideWhenUsed/>
    <w:rsid w:val="0003148D"/>
    <w:pPr>
      <w:numPr>
        <w:numId w:val="8"/>
      </w:numPr>
      <w:contextualSpacing/>
    </w:pPr>
  </w:style>
  <w:style w:type="paragraph" w:styleId="Puntoelenco3">
    <w:name w:val="List Bullet 3"/>
    <w:basedOn w:val="Normale"/>
    <w:uiPriority w:val="99"/>
    <w:semiHidden/>
    <w:unhideWhenUsed/>
    <w:rsid w:val="0003148D"/>
    <w:pPr>
      <w:numPr>
        <w:numId w:val="9"/>
      </w:numPr>
      <w:contextualSpacing/>
    </w:pPr>
  </w:style>
  <w:style w:type="paragraph" w:styleId="Puntoelenco4">
    <w:name w:val="List Bullet 4"/>
    <w:basedOn w:val="Normale"/>
    <w:uiPriority w:val="99"/>
    <w:semiHidden/>
    <w:unhideWhenUsed/>
    <w:rsid w:val="0003148D"/>
    <w:pPr>
      <w:numPr>
        <w:numId w:val="10"/>
      </w:numPr>
      <w:contextualSpacing/>
    </w:pPr>
  </w:style>
  <w:style w:type="paragraph" w:styleId="Puntoelenco5">
    <w:name w:val="List Bullet 5"/>
    <w:basedOn w:val="Normale"/>
    <w:uiPriority w:val="99"/>
    <w:semiHidden/>
    <w:unhideWhenUsed/>
    <w:rsid w:val="0003148D"/>
    <w:pPr>
      <w:numPr>
        <w:numId w:val="11"/>
      </w:numPr>
      <w:contextualSpacing/>
    </w:pPr>
  </w:style>
  <w:style w:type="paragraph" w:styleId="Rientrocorpodeltesto2">
    <w:name w:val="Body Text Indent 2"/>
    <w:basedOn w:val="Normale"/>
    <w:link w:val="Rientrocorpodeltesto2Carattere"/>
    <w:uiPriority w:val="99"/>
    <w:semiHidden/>
    <w:unhideWhenUsed/>
    <w:rsid w:val="0003148D"/>
    <w:pPr>
      <w:spacing w:after="120" w:line="480" w:lineRule="auto"/>
      <w:ind w:left="283"/>
    </w:pPr>
  </w:style>
  <w:style w:type="character" w:customStyle="1" w:styleId="Rientrocorpodeltesto2Carattere">
    <w:name w:val="Rientro corpo del testo 2 Carattere"/>
    <w:basedOn w:val="Carpredefinitoparagrafo"/>
    <w:link w:val="Rientrocorpodeltesto2"/>
    <w:uiPriority w:val="99"/>
    <w:semiHidden/>
    <w:rsid w:val="0003148D"/>
  </w:style>
  <w:style w:type="paragraph" w:styleId="Rientrocorpodeltesto3">
    <w:name w:val="Body Text Indent 3"/>
    <w:basedOn w:val="Normale"/>
    <w:link w:val="Rientrocorpodeltesto3Carattere"/>
    <w:uiPriority w:val="99"/>
    <w:semiHidden/>
    <w:unhideWhenUsed/>
    <w:rsid w:val="0003148D"/>
    <w:pPr>
      <w:spacing w:after="120"/>
      <w:ind w:left="283"/>
    </w:pPr>
    <w:rPr>
      <w:sz w:val="16"/>
      <w:szCs w:val="16"/>
    </w:rPr>
  </w:style>
  <w:style w:type="character" w:customStyle="1" w:styleId="Rientrocorpodeltesto3Carattere">
    <w:name w:val="Rientro corpo del testo 3 Carattere"/>
    <w:basedOn w:val="Carpredefinitoparagrafo"/>
    <w:link w:val="Rientrocorpodeltesto3"/>
    <w:uiPriority w:val="99"/>
    <w:semiHidden/>
    <w:rsid w:val="0003148D"/>
    <w:rPr>
      <w:sz w:val="16"/>
      <w:szCs w:val="16"/>
    </w:rPr>
  </w:style>
  <w:style w:type="paragraph" w:styleId="Rientronormale">
    <w:name w:val="Normal Indent"/>
    <w:basedOn w:val="Normale"/>
    <w:uiPriority w:val="99"/>
    <w:semiHidden/>
    <w:unhideWhenUsed/>
    <w:rsid w:val="0003148D"/>
    <w:pPr>
      <w:ind w:left="720"/>
    </w:pPr>
  </w:style>
  <w:style w:type="paragraph" w:styleId="Testocommento">
    <w:name w:val="annotation text"/>
    <w:basedOn w:val="Normale"/>
    <w:link w:val="TestocommentoCarattere"/>
    <w:uiPriority w:val="99"/>
    <w:unhideWhenUsed/>
    <w:rsid w:val="0003148D"/>
    <w:pPr>
      <w:spacing w:line="240" w:lineRule="auto"/>
    </w:pPr>
  </w:style>
  <w:style w:type="character" w:customStyle="1" w:styleId="TestocommentoCarattere">
    <w:name w:val="Testo commento Carattere"/>
    <w:basedOn w:val="Carpredefinitoparagrafo"/>
    <w:link w:val="Testocommento"/>
    <w:uiPriority w:val="99"/>
    <w:rsid w:val="0003148D"/>
    <w:rPr>
      <w:sz w:val="20"/>
      <w:szCs w:val="20"/>
    </w:rPr>
  </w:style>
  <w:style w:type="paragraph" w:styleId="Soggettocommento">
    <w:name w:val="annotation subject"/>
    <w:basedOn w:val="Testocommento"/>
    <w:next w:val="Testocommento"/>
    <w:link w:val="SoggettocommentoCarattere"/>
    <w:uiPriority w:val="99"/>
    <w:semiHidden/>
    <w:unhideWhenUsed/>
    <w:rsid w:val="0003148D"/>
    <w:rPr>
      <w:b/>
      <w:bCs/>
    </w:rPr>
  </w:style>
  <w:style w:type="character" w:customStyle="1" w:styleId="SoggettocommentoCarattere">
    <w:name w:val="Soggetto commento Carattere"/>
    <w:basedOn w:val="TestocommentoCarattere"/>
    <w:link w:val="Soggettocommento"/>
    <w:uiPriority w:val="99"/>
    <w:semiHidden/>
    <w:rsid w:val="0003148D"/>
    <w:rPr>
      <w:b/>
      <w:bCs/>
      <w:sz w:val="20"/>
      <w:szCs w:val="20"/>
    </w:rPr>
  </w:style>
  <w:style w:type="paragraph" w:styleId="Sommario1">
    <w:name w:val="toc 1"/>
    <w:basedOn w:val="Normale"/>
    <w:next w:val="Normale"/>
    <w:autoRedefine/>
    <w:uiPriority w:val="39"/>
    <w:semiHidden/>
    <w:unhideWhenUsed/>
    <w:rsid w:val="0003148D"/>
    <w:pPr>
      <w:spacing w:after="100"/>
    </w:pPr>
  </w:style>
  <w:style w:type="paragraph" w:styleId="Sommario2">
    <w:name w:val="toc 2"/>
    <w:basedOn w:val="Normale"/>
    <w:next w:val="Normale"/>
    <w:autoRedefine/>
    <w:uiPriority w:val="39"/>
    <w:semiHidden/>
    <w:unhideWhenUsed/>
    <w:rsid w:val="0003148D"/>
    <w:pPr>
      <w:spacing w:after="100"/>
      <w:ind w:left="220"/>
    </w:pPr>
  </w:style>
  <w:style w:type="paragraph" w:styleId="Sommario3">
    <w:name w:val="toc 3"/>
    <w:basedOn w:val="Normale"/>
    <w:next w:val="Normale"/>
    <w:autoRedefine/>
    <w:uiPriority w:val="39"/>
    <w:semiHidden/>
    <w:unhideWhenUsed/>
    <w:rsid w:val="0003148D"/>
    <w:pPr>
      <w:spacing w:after="100"/>
      <w:ind w:left="440"/>
    </w:pPr>
  </w:style>
  <w:style w:type="paragraph" w:styleId="Sommario4">
    <w:name w:val="toc 4"/>
    <w:basedOn w:val="Normale"/>
    <w:next w:val="Normale"/>
    <w:autoRedefine/>
    <w:uiPriority w:val="39"/>
    <w:semiHidden/>
    <w:unhideWhenUsed/>
    <w:rsid w:val="0003148D"/>
    <w:pPr>
      <w:spacing w:after="100"/>
      <w:ind w:left="660"/>
    </w:pPr>
  </w:style>
  <w:style w:type="paragraph" w:styleId="Sommario5">
    <w:name w:val="toc 5"/>
    <w:basedOn w:val="Normale"/>
    <w:next w:val="Normale"/>
    <w:autoRedefine/>
    <w:uiPriority w:val="39"/>
    <w:semiHidden/>
    <w:unhideWhenUsed/>
    <w:rsid w:val="0003148D"/>
    <w:pPr>
      <w:spacing w:after="100"/>
      <w:ind w:left="880"/>
    </w:pPr>
  </w:style>
  <w:style w:type="paragraph" w:styleId="Sommario6">
    <w:name w:val="toc 6"/>
    <w:basedOn w:val="Normale"/>
    <w:next w:val="Normale"/>
    <w:autoRedefine/>
    <w:uiPriority w:val="39"/>
    <w:semiHidden/>
    <w:unhideWhenUsed/>
    <w:rsid w:val="0003148D"/>
    <w:pPr>
      <w:spacing w:after="100"/>
      <w:ind w:left="1100"/>
    </w:pPr>
  </w:style>
  <w:style w:type="paragraph" w:styleId="Sommario7">
    <w:name w:val="toc 7"/>
    <w:basedOn w:val="Normale"/>
    <w:next w:val="Normale"/>
    <w:autoRedefine/>
    <w:uiPriority w:val="39"/>
    <w:semiHidden/>
    <w:unhideWhenUsed/>
    <w:rsid w:val="0003148D"/>
    <w:pPr>
      <w:spacing w:after="100"/>
      <w:ind w:left="1320"/>
    </w:pPr>
  </w:style>
  <w:style w:type="paragraph" w:styleId="Sommario8">
    <w:name w:val="toc 8"/>
    <w:basedOn w:val="Normale"/>
    <w:next w:val="Normale"/>
    <w:autoRedefine/>
    <w:uiPriority w:val="39"/>
    <w:semiHidden/>
    <w:unhideWhenUsed/>
    <w:rsid w:val="0003148D"/>
    <w:pPr>
      <w:spacing w:after="100"/>
      <w:ind w:left="1540"/>
    </w:pPr>
  </w:style>
  <w:style w:type="paragraph" w:styleId="Sommario9">
    <w:name w:val="toc 9"/>
    <w:basedOn w:val="Normale"/>
    <w:next w:val="Normale"/>
    <w:autoRedefine/>
    <w:uiPriority w:val="39"/>
    <w:semiHidden/>
    <w:unhideWhenUsed/>
    <w:rsid w:val="0003148D"/>
    <w:pPr>
      <w:spacing w:after="100"/>
      <w:ind w:left="1760"/>
    </w:pPr>
  </w:style>
  <w:style w:type="paragraph" w:styleId="Testodelblocco">
    <w:name w:val="Block Text"/>
    <w:basedOn w:val="Normale"/>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stomacro">
    <w:name w:val="macro"/>
    <w:link w:val="TestomacroCarattere"/>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stomacroCarattere">
    <w:name w:val="Testo macro Carattere"/>
    <w:basedOn w:val="Carpredefinitoparagrafo"/>
    <w:link w:val="Testomacro"/>
    <w:uiPriority w:val="99"/>
    <w:semiHidden/>
    <w:rsid w:val="0003148D"/>
    <w:rPr>
      <w:rFonts w:ascii="Consolas" w:hAnsi="Consolas" w:cs="Consolas"/>
      <w:sz w:val="20"/>
      <w:szCs w:val="20"/>
    </w:rPr>
  </w:style>
  <w:style w:type="paragraph" w:styleId="Testonormale">
    <w:name w:val="Plain Text"/>
    <w:basedOn w:val="Normale"/>
    <w:link w:val="TestonormaleCarattere"/>
    <w:uiPriority w:val="99"/>
    <w:semiHidden/>
    <w:unhideWhenUsed/>
    <w:rsid w:val="0003148D"/>
    <w:pPr>
      <w:spacing w:line="240" w:lineRule="auto"/>
    </w:pPr>
    <w:rPr>
      <w:rFonts w:ascii="Consolas" w:hAnsi="Consolas" w:cs="Consolas"/>
      <w:sz w:val="21"/>
      <w:szCs w:val="21"/>
    </w:rPr>
  </w:style>
  <w:style w:type="character" w:customStyle="1" w:styleId="TestonormaleCarattere">
    <w:name w:val="Testo normale Carattere"/>
    <w:basedOn w:val="Carpredefinitoparagrafo"/>
    <w:link w:val="Testonormale"/>
    <w:uiPriority w:val="99"/>
    <w:semiHidden/>
    <w:rsid w:val="0003148D"/>
    <w:rPr>
      <w:rFonts w:ascii="Consolas" w:hAnsi="Consolas" w:cs="Consolas"/>
      <w:sz w:val="21"/>
      <w:szCs w:val="21"/>
    </w:rPr>
  </w:style>
  <w:style w:type="paragraph" w:styleId="Testonotaapidipagina">
    <w:name w:val="footnote text"/>
    <w:basedOn w:val="Normale"/>
    <w:link w:val="TestonotaapidipaginaCarattere"/>
    <w:uiPriority w:val="99"/>
    <w:semiHidden/>
    <w:unhideWhenUsed/>
    <w:rsid w:val="0003148D"/>
    <w:pPr>
      <w:spacing w:line="240" w:lineRule="auto"/>
    </w:pPr>
  </w:style>
  <w:style w:type="character" w:customStyle="1" w:styleId="TestonotaapidipaginaCarattere">
    <w:name w:val="Testo nota a piè di pagina Carattere"/>
    <w:basedOn w:val="Carpredefinitoparagrafo"/>
    <w:link w:val="Testonotaapidipagina"/>
    <w:uiPriority w:val="99"/>
    <w:semiHidden/>
    <w:rsid w:val="0003148D"/>
    <w:rPr>
      <w:sz w:val="20"/>
      <w:szCs w:val="20"/>
    </w:rPr>
  </w:style>
  <w:style w:type="paragraph" w:styleId="Testonotadichiusura">
    <w:name w:val="endnote text"/>
    <w:basedOn w:val="Normale"/>
    <w:link w:val="TestonotadichiusuraCarattere"/>
    <w:uiPriority w:val="99"/>
    <w:semiHidden/>
    <w:unhideWhenUsed/>
    <w:rsid w:val="0003148D"/>
    <w:pPr>
      <w:spacing w:line="240" w:lineRule="auto"/>
    </w:pPr>
  </w:style>
  <w:style w:type="character" w:customStyle="1" w:styleId="TestonotadichiusuraCarattere">
    <w:name w:val="Testo nota di chiusura Carattere"/>
    <w:basedOn w:val="Carpredefinitoparagrafo"/>
    <w:link w:val="Testonotadichiusura"/>
    <w:uiPriority w:val="99"/>
    <w:semiHidden/>
    <w:rsid w:val="0003148D"/>
    <w:rPr>
      <w:sz w:val="20"/>
      <w:szCs w:val="20"/>
    </w:rPr>
  </w:style>
  <w:style w:type="character" w:customStyle="1" w:styleId="Titolo1Carattere">
    <w:name w:val="Titolo 1 Carattere"/>
    <w:basedOn w:val="Carpredefinitoparagrafo"/>
    <w:link w:val="Titolo1"/>
    <w:uiPriority w:val="9"/>
    <w:rsid w:val="004F5E36"/>
    <w:rPr>
      <w:rFonts w:ascii="Arial" w:eastAsia="Times New Roman" w:hAnsi="Arial" w:cs="Times New Roman"/>
      <w:b/>
      <w:sz w:val="20"/>
      <w:szCs w:val="20"/>
      <w:lang w:val="en-GB"/>
    </w:rPr>
  </w:style>
  <w:style w:type="character" w:customStyle="1" w:styleId="Titolo2Carattere">
    <w:name w:val="Titolo 2 Carattere"/>
    <w:basedOn w:val="Carpredefinitoparagrafo"/>
    <w:link w:val="Titolo2"/>
    <w:uiPriority w:val="9"/>
    <w:semiHidden/>
    <w:rsid w:val="0003148D"/>
    <w:rPr>
      <w:rFonts w:asciiTheme="majorHAnsi" w:eastAsiaTheme="majorEastAsia" w:hAnsiTheme="majorHAnsi" w:cstheme="majorBidi"/>
      <w:b/>
      <w:bCs/>
      <w:color w:val="4F81BD" w:themeColor="accent1"/>
      <w:sz w:val="26"/>
      <w:szCs w:val="26"/>
    </w:rPr>
  </w:style>
  <w:style w:type="character" w:customStyle="1" w:styleId="Titolo3Carattere">
    <w:name w:val="Titolo 3 Carattere"/>
    <w:basedOn w:val="Carpredefinitoparagrafo"/>
    <w:link w:val="Titolo3"/>
    <w:uiPriority w:val="9"/>
    <w:semiHidden/>
    <w:rsid w:val="0003148D"/>
    <w:rPr>
      <w:rFonts w:asciiTheme="majorHAnsi" w:eastAsiaTheme="majorEastAsia" w:hAnsiTheme="majorHAnsi" w:cstheme="majorBidi"/>
      <w:b/>
      <w:bCs/>
      <w:color w:val="4F81BD" w:themeColor="accent1"/>
    </w:rPr>
  </w:style>
  <w:style w:type="character" w:customStyle="1" w:styleId="Titolo4Carattere">
    <w:name w:val="Titolo 4 Carattere"/>
    <w:basedOn w:val="Carpredefinitoparagrafo"/>
    <w:link w:val="Titolo4"/>
    <w:uiPriority w:val="9"/>
    <w:semiHidden/>
    <w:rsid w:val="0003148D"/>
    <w:rPr>
      <w:rFonts w:asciiTheme="majorHAnsi" w:eastAsiaTheme="majorEastAsia" w:hAnsiTheme="majorHAnsi" w:cstheme="majorBidi"/>
      <w:b/>
      <w:bCs/>
      <w:i/>
      <w:iCs/>
      <w:color w:val="4F81BD" w:themeColor="accent1"/>
    </w:rPr>
  </w:style>
  <w:style w:type="character" w:customStyle="1" w:styleId="Titolo5Carattere">
    <w:name w:val="Titolo 5 Carattere"/>
    <w:basedOn w:val="Carpredefinitoparagrafo"/>
    <w:link w:val="Titolo5"/>
    <w:uiPriority w:val="9"/>
    <w:semiHidden/>
    <w:rsid w:val="0003148D"/>
    <w:rPr>
      <w:rFonts w:asciiTheme="majorHAnsi" w:eastAsiaTheme="majorEastAsia" w:hAnsiTheme="majorHAnsi" w:cstheme="majorBidi"/>
      <w:color w:val="243F60" w:themeColor="accent1" w:themeShade="7F"/>
    </w:rPr>
  </w:style>
  <w:style w:type="character" w:customStyle="1" w:styleId="Titolo6Carattere">
    <w:name w:val="Titolo 6 Carattere"/>
    <w:basedOn w:val="Carpredefinitoparagrafo"/>
    <w:link w:val="Titolo6"/>
    <w:uiPriority w:val="9"/>
    <w:semiHidden/>
    <w:rsid w:val="0003148D"/>
    <w:rPr>
      <w:rFonts w:asciiTheme="majorHAnsi" w:eastAsiaTheme="majorEastAsia" w:hAnsiTheme="majorHAnsi" w:cstheme="majorBidi"/>
      <w:i/>
      <w:iCs/>
      <w:color w:val="243F60" w:themeColor="accent1" w:themeShade="7F"/>
    </w:rPr>
  </w:style>
  <w:style w:type="character" w:customStyle="1" w:styleId="Titolo7Carattere">
    <w:name w:val="Titolo 7 Carattere"/>
    <w:basedOn w:val="Carpredefinitoparagrafo"/>
    <w:link w:val="Titolo7"/>
    <w:uiPriority w:val="9"/>
    <w:semiHidden/>
    <w:rsid w:val="0003148D"/>
    <w:rPr>
      <w:rFonts w:asciiTheme="majorHAnsi" w:eastAsiaTheme="majorEastAsia" w:hAnsiTheme="majorHAnsi" w:cstheme="majorBidi"/>
      <w:i/>
      <w:iCs/>
      <w:color w:val="404040" w:themeColor="text1" w:themeTint="BF"/>
    </w:rPr>
  </w:style>
  <w:style w:type="character" w:customStyle="1" w:styleId="Titolo8Carattere">
    <w:name w:val="Titolo 8 Carattere"/>
    <w:basedOn w:val="Carpredefinitoparagrafo"/>
    <w:link w:val="Titolo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itolo9Carattere">
    <w:name w:val="Titolo 9 Carattere"/>
    <w:basedOn w:val="Carpredefinitoparagrafo"/>
    <w:link w:val="Titolo9"/>
    <w:uiPriority w:val="9"/>
    <w:semiHidden/>
    <w:rsid w:val="0003148D"/>
    <w:rPr>
      <w:rFonts w:asciiTheme="majorHAnsi" w:eastAsiaTheme="majorEastAsia" w:hAnsiTheme="majorHAnsi" w:cstheme="majorBidi"/>
      <w:i/>
      <w:iCs/>
      <w:color w:val="404040" w:themeColor="text1" w:themeTint="BF"/>
      <w:sz w:val="20"/>
      <w:szCs w:val="20"/>
    </w:rPr>
  </w:style>
  <w:style w:type="paragraph" w:styleId="Titoloindice">
    <w:name w:val="index heading"/>
    <w:basedOn w:val="Normale"/>
    <w:next w:val="Indice1"/>
    <w:uiPriority w:val="99"/>
    <w:semiHidden/>
    <w:unhideWhenUsed/>
    <w:rsid w:val="0003148D"/>
    <w:rPr>
      <w:rFonts w:asciiTheme="majorHAnsi" w:eastAsiaTheme="majorEastAsia" w:hAnsiTheme="majorHAnsi" w:cstheme="majorBidi"/>
      <w:b/>
      <w:bCs/>
    </w:rPr>
  </w:style>
  <w:style w:type="paragraph" w:styleId="Titoloindicefonti">
    <w:name w:val="toa heading"/>
    <w:basedOn w:val="Normale"/>
    <w:next w:val="Normale"/>
    <w:uiPriority w:val="99"/>
    <w:semiHidden/>
    <w:unhideWhenUsed/>
    <w:rsid w:val="0003148D"/>
    <w:pPr>
      <w:spacing w:before="120"/>
    </w:pPr>
    <w:rPr>
      <w:rFonts w:asciiTheme="majorHAnsi" w:eastAsiaTheme="majorEastAsia" w:hAnsiTheme="majorHAnsi" w:cstheme="majorBidi"/>
      <w:b/>
      <w:bCs/>
      <w:sz w:val="24"/>
      <w:szCs w:val="24"/>
    </w:rPr>
  </w:style>
  <w:style w:type="paragraph" w:styleId="Titolosommario">
    <w:name w:val="TOC Heading"/>
    <w:basedOn w:val="Titolo1"/>
    <w:next w:val="Normale"/>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Carpredefinitoparagrafo"/>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Intestazione">
    <w:name w:val="header"/>
    <w:basedOn w:val="Normale"/>
    <w:link w:val="IntestazioneCarattere"/>
    <w:uiPriority w:val="99"/>
    <w:unhideWhenUsed/>
    <w:rsid w:val="005278B7"/>
    <w:pPr>
      <w:tabs>
        <w:tab w:val="clear" w:pos="7100"/>
        <w:tab w:val="center" w:pos="4819"/>
        <w:tab w:val="right" w:pos="9638"/>
      </w:tabs>
      <w:spacing w:line="240" w:lineRule="auto"/>
    </w:pPr>
  </w:style>
  <w:style w:type="character" w:customStyle="1" w:styleId="IntestazioneCarattere">
    <w:name w:val="Intestazione Carattere"/>
    <w:basedOn w:val="Carpredefinitoparagrafo"/>
    <w:link w:val="Intestazione"/>
    <w:uiPriority w:val="99"/>
    <w:rsid w:val="005278B7"/>
    <w:rPr>
      <w:rFonts w:ascii="Arial" w:eastAsia="Times New Roman" w:hAnsi="Arial" w:cs="Times New Roman"/>
      <w:sz w:val="18"/>
      <w:szCs w:val="20"/>
      <w:lang w:val="en-GB"/>
    </w:rPr>
  </w:style>
  <w:style w:type="paragraph" w:styleId="Pidipagina">
    <w:name w:val="footer"/>
    <w:basedOn w:val="Normale"/>
    <w:link w:val="PidipaginaCarattere"/>
    <w:uiPriority w:val="99"/>
    <w:unhideWhenUsed/>
    <w:rsid w:val="005278B7"/>
    <w:pPr>
      <w:tabs>
        <w:tab w:val="clear" w:pos="7100"/>
        <w:tab w:val="center" w:pos="4819"/>
        <w:tab w:val="right" w:pos="9638"/>
      </w:tabs>
      <w:spacing w:line="240" w:lineRule="auto"/>
    </w:pPr>
  </w:style>
  <w:style w:type="character" w:customStyle="1" w:styleId="PidipaginaCarattere">
    <w:name w:val="Piè di pagina Carattere"/>
    <w:basedOn w:val="Carpredefinitoparagrafo"/>
    <w:link w:val="Pidipagina"/>
    <w:uiPriority w:val="99"/>
    <w:rsid w:val="005278B7"/>
    <w:rPr>
      <w:rFonts w:ascii="Arial" w:eastAsia="Times New Roman" w:hAnsi="Arial" w:cs="Times New Roman"/>
      <w:sz w:val="18"/>
      <w:szCs w:val="20"/>
      <w:lang w:val="en-GB"/>
    </w:rPr>
  </w:style>
  <w:style w:type="table" w:styleId="Grigliatabella">
    <w:name w:val="Table Grid"/>
    <w:basedOn w:val="Tabellanormale"/>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unhideWhenUsed/>
    <w:rsid w:val="00904C62"/>
    <w:rPr>
      <w:color w:val="0000FF" w:themeColor="hyperlink"/>
      <w:u w:val="single"/>
    </w:rPr>
  </w:style>
  <w:style w:type="character" w:customStyle="1" w:styleId="eudoraheader">
    <w:name w:val="eudoraheader"/>
    <w:basedOn w:val="Carpredefinitoparagrafo"/>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Paragrafoelenco">
    <w:name w:val="List Paragraph"/>
    <w:basedOn w:val="Normale"/>
    <w:uiPriority w:val="34"/>
    <w:rsid w:val="00280FAF"/>
    <w:pPr>
      <w:ind w:left="720"/>
      <w:contextualSpacing/>
    </w:pPr>
  </w:style>
  <w:style w:type="paragraph" w:styleId="Revisione">
    <w:name w:val="Revision"/>
    <w:hidden/>
    <w:uiPriority w:val="99"/>
    <w:semiHidden/>
    <w:rsid w:val="00E70A8A"/>
    <w:pPr>
      <w:spacing w:after="0" w:line="240" w:lineRule="auto"/>
    </w:pPr>
    <w:rPr>
      <w:rFonts w:ascii="Arial" w:eastAsia="Times New Roman" w:hAnsi="Arial" w:cs="Times New Roman"/>
      <w:sz w:val="18"/>
      <w:szCs w:val="20"/>
      <w:lang w:val="en-GB"/>
    </w:rPr>
  </w:style>
  <w:style w:type="character" w:customStyle="1" w:styleId="Menzionenonrisolta1">
    <w:name w:val="Menzione non risolta1"/>
    <w:basedOn w:val="Carpredefinitoparagrafo"/>
    <w:uiPriority w:val="99"/>
    <w:semiHidden/>
    <w:unhideWhenUsed/>
    <w:rsid w:val="00E70A8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DDA5AB-A99D-47C2-B152-68C97DEB09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136</TotalTime>
  <Pages>6</Pages>
  <Words>10118</Words>
  <Characters>57675</Characters>
  <Application>Microsoft Office Word</Application>
  <DocSecurity>0</DocSecurity>
  <Lines>480</Lines>
  <Paragraphs>135</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Dipartimento CMIC - Politecnico di Milano</Company>
  <LinksUpToDate>false</LinksUpToDate>
  <CharactersWithSpaces>67658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raffaella</dc:creator>
  <cp:keywords/>
  <dc:description/>
  <cp:lastModifiedBy>Marchelli, Filippo</cp:lastModifiedBy>
  <cp:revision>2</cp:revision>
  <cp:lastPrinted>2015-05-12T18:31:00Z</cp:lastPrinted>
  <dcterms:created xsi:type="dcterms:W3CDTF">2023-03-01T16:27:00Z</dcterms:created>
  <dcterms:modified xsi:type="dcterms:W3CDTF">2023-03-01T16:27:00Z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y fmtid="{D5CDD505-2E9C-101B-9397-08002B2CF9AE}" pid="4" name="Mendeley Recent Style Id 0_1">
    <vt:lpwstr>http://www.zotero.org/styles/american-medical-association</vt:lpwstr>
  </property>
  <property fmtid="{D5CDD505-2E9C-101B-9397-08002B2CF9AE}" pid="5" name="Mendeley Recent Style Name 0_1">
    <vt:lpwstr>American Medical Association 11th edition</vt:lpwstr>
  </property>
  <property fmtid="{D5CDD505-2E9C-101B-9397-08002B2CF9AE}" pid="6" name="Mendeley Recent Style Id 1_1">
    <vt:lpwstr>http://www.zotero.org/styles/american-political-science-association</vt:lpwstr>
  </property>
  <property fmtid="{D5CDD505-2E9C-101B-9397-08002B2CF9AE}" pid="7" name="Mendeley Recent Style Name 1_1">
    <vt:lpwstr>American Political Science Association</vt:lpwstr>
  </property>
  <property fmtid="{D5CDD505-2E9C-101B-9397-08002B2CF9AE}" pid="8" name="Mendeley Recent Style Id 2_1">
    <vt:lpwstr>http://www.zotero.org/styles/apa</vt:lpwstr>
  </property>
  <property fmtid="{D5CDD505-2E9C-101B-9397-08002B2CF9AE}" pid="9" name="Mendeley Recent Style Name 2_1">
    <vt:lpwstr>American Psychological Association 7th edition</vt:lpwstr>
  </property>
  <property fmtid="{D5CDD505-2E9C-101B-9397-08002B2CF9AE}" pid="10" name="Mendeley Recent Style Id 3_1">
    <vt:lpwstr>http://www.zotero.org/styles/american-sociological-association</vt:lpwstr>
  </property>
  <property fmtid="{D5CDD505-2E9C-101B-9397-08002B2CF9AE}" pid="11" name="Mendeley Recent Style Name 3_1">
    <vt:lpwstr>American Sociological Association 6th edition</vt:lpwstr>
  </property>
  <property fmtid="{D5CDD505-2E9C-101B-9397-08002B2CF9AE}" pid="12" name="Mendeley Recent Style Id 4_1">
    <vt:lpwstr>http://www.zotero.org/styles/bioresource-technology</vt:lpwstr>
  </property>
  <property fmtid="{D5CDD505-2E9C-101B-9397-08002B2CF9AE}" pid="13" name="Mendeley Recent Style Name 4_1">
    <vt:lpwstr>Bioresource Technology</vt:lpwstr>
  </property>
  <property fmtid="{D5CDD505-2E9C-101B-9397-08002B2CF9AE}" pid="14" name="Mendeley Recent Style Id 5_1">
    <vt:lpwstr>http://www.zotero.org/styles/chemical-engineering-science</vt:lpwstr>
  </property>
  <property fmtid="{D5CDD505-2E9C-101B-9397-08002B2CF9AE}" pid="15" name="Mendeley Recent Style Name 5_1">
    <vt:lpwstr>Chemical Engineering Science</vt:lpwstr>
  </property>
  <property fmtid="{D5CDD505-2E9C-101B-9397-08002B2CF9AE}" pid="16" name="Mendeley Recent Style Id 6_1">
    <vt:lpwstr>http://www.zotero.org/styles/chicago-author-date</vt:lpwstr>
  </property>
  <property fmtid="{D5CDD505-2E9C-101B-9397-08002B2CF9AE}" pid="17" name="Mendeley Recent Style Name 6_1">
    <vt:lpwstr>Chicago Manual of Style 17th edition (author-date)</vt:lpwstr>
  </property>
  <property fmtid="{D5CDD505-2E9C-101B-9397-08002B2CF9AE}" pid="18" name="Mendeley Recent Style Id 7_1">
    <vt:lpwstr>http://www.zotero.org/styles/harvard-cite-them-right</vt:lpwstr>
  </property>
  <property fmtid="{D5CDD505-2E9C-101B-9397-08002B2CF9AE}" pid="19" name="Mendeley Recent Style Name 7_1">
    <vt:lpwstr>Cite Them Right 12th edition - Harvard</vt:lpwstr>
  </property>
  <property fmtid="{D5CDD505-2E9C-101B-9397-08002B2CF9AE}" pid="20" name="Mendeley Recent Style Id 8_1">
    <vt:lpwstr>http://www.zotero.org/styles/ieee</vt:lpwstr>
  </property>
  <property fmtid="{D5CDD505-2E9C-101B-9397-08002B2CF9AE}" pid="21" name="Mendeley Recent Style Name 8_1">
    <vt:lpwstr>IEEE</vt:lpwstr>
  </property>
  <property fmtid="{D5CDD505-2E9C-101B-9397-08002B2CF9AE}" pid="22" name="Mendeley Recent Style Id 9_1">
    <vt:lpwstr>http://www.zotero.org/styles/modern-humanities-research-association</vt:lpwstr>
  </property>
  <property fmtid="{D5CDD505-2E9C-101B-9397-08002B2CF9AE}" pid="23" name="Mendeley Recent Style Name 9_1">
    <vt:lpwstr>Modern Humanities Research Association 3rd edition (note with bibliography)</vt:lpwstr>
  </property>
  <property fmtid="{D5CDD505-2E9C-101B-9397-08002B2CF9AE}" pid="24" name="Mendeley Document_1">
    <vt:lpwstr>True</vt:lpwstr>
  </property>
  <property fmtid="{D5CDD505-2E9C-101B-9397-08002B2CF9AE}" pid="25" name="Mendeley Unique User Id_1">
    <vt:lpwstr>09727cc3-47f4-3c5a-aa69-e7acdc6d39c6</vt:lpwstr>
  </property>
  <property fmtid="{D5CDD505-2E9C-101B-9397-08002B2CF9AE}" pid="26" name="Mendeley Citation Style_1">
    <vt:lpwstr>http://www.zotero.org/styles/chemical-engineering-science</vt:lpwstr>
  </property>
</Properties>
</file>