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2172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22172E" w:rsidRDefault="000A03B2" w:rsidP="00DE264A">
            <w:pPr>
              <w:tabs>
                <w:tab w:val="left" w:pos="-108"/>
              </w:tabs>
              <w:ind w:left="-108"/>
              <w:jc w:val="left"/>
              <w:rPr>
                <w:rFonts w:cs="Arial"/>
                <w:b/>
                <w:bCs/>
                <w:i/>
                <w:iCs/>
                <w:color w:val="000066"/>
                <w:sz w:val="12"/>
                <w:szCs w:val="12"/>
                <w:lang w:val="en-US" w:eastAsia="it-IT"/>
              </w:rPr>
            </w:pPr>
            <w:r w:rsidRPr="0022172E">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2172E">
              <w:rPr>
                <w:rFonts w:ascii="AdvP6960" w:hAnsi="AdvP6960" w:cs="AdvP6960"/>
                <w:color w:val="241F20"/>
                <w:szCs w:val="18"/>
                <w:lang w:val="en-US" w:eastAsia="it-IT"/>
              </w:rPr>
              <w:t xml:space="preserve"> </w:t>
            </w:r>
            <w:r w:rsidRPr="0022172E">
              <w:rPr>
                <w:rFonts w:cs="Arial"/>
                <w:b/>
                <w:bCs/>
                <w:i/>
                <w:iCs/>
                <w:color w:val="000066"/>
                <w:sz w:val="24"/>
                <w:szCs w:val="24"/>
                <w:lang w:val="en-US" w:eastAsia="it-IT"/>
              </w:rPr>
              <w:t>CHEMICAL ENGINEERING</w:t>
            </w:r>
            <w:r w:rsidRPr="0022172E">
              <w:rPr>
                <w:rFonts w:cs="Arial"/>
                <w:b/>
                <w:bCs/>
                <w:i/>
                <w:iCs/>
                <w:color w:val="0033FF"/>
                <w:sz w:val="24"/>
                <w:szCs w:val="24"/>
                <w:lang w:val="en-US" w:eastAsia="it-IT"/>
              </w:rPr>
              <w:t xml:space="preserve"> </w:t>
            </w:r>
            <w:r w:rsidRPr="0022172E">
              <w:rPr>
                <w:rFonts w:cs="Arial"/>
                <w:b/>
                <w:bCs/>
                <w:i/>
                <w:iCs/>
                <w:color w:val="666666"/>
                <w:sz w:val="24"/>
                <w:szCs w:val="24"/>
                <w:lang w:val="en-US" w:eastAsia="it-IT"/>
              </w:rPr>
              <w:t>TRANSACTIONS</w:t>
            </w:r>
            <w:r w:rsidRPr="0022172E">
              <w:rPr>
                <w:color w:val="333333"/>
                <w:sz w:val="24"/>
                <w:szCs w:val="24"/>
                <w:lang w:val="en-US" w:eastAsia="it-IT"/>
              </w:rPr>
              <w:t xml:space="preserve"> </w:t>
            </w:r>
            <w:r w:rsidRPr="0022172E">
              <w:rPr>
                <w:rFonts w:cs="Arial"/>
                <w:b/>
                <w:bCs/>
                <w:i/>
                <w:iCs/>
                <w:color w:val="000066"/>
                <w:sz w:val="27"/>
                <w:szCs w:val="27"/>
                <w:lang w:val="en-US" w:eastAsia="it-IT"/>
              </w:rPr>
              <w:br/>
            </w:r>
          </w:p>
          <w:p w14:paraId="4B780582" w14:textId="530285EB" w:rsidR="000A03B2" w:rsidRPr="0022172E" w:rsidRDefault="00A76EFC" w:rsidP="001D21AF">
            <w:pPr>
              <w:tabs>
                <w:tab w:val="left" w:pos="-108"/>
              </w:tabs>
              <w:ind w:left="-108"/>
              <w:rPr>
                <w:rFonts w:cs="Arial"/>
                <w:b/>
                <w:bCs/>
                <w:i/>
                <w:iCs/>
                <w:color w:val="000066"/>
                <w:sz w:val="22"/>
                <w:szCs w:val="22"/>
                <w:lang w:val="en-US" w:eastAsia="it-IT"/>
              </w:rPr>
            </w:pPr>
            <w:r w:rsidRPr="0022172E">
              <w:rPr>
                <w:rFonts w:cs="Arial"/>
                <w:b/>
                <w:bCs/>
                <w:i/>
                <w:iCs/>
                <w:color w:val="000066"/>
                <w:sz w:val="22"/>
                <w:szCs w:val="22"/>
                <w:lang w:val="en-US" w:eastAsia="it-IT"/>
              </w:rPr>
              <w:t xml:space="preserve">VOL. </w:t>
            </w:r>
            <w:r w:rsidR="0030152C" w:rsidRPr="0022172E">
              <w:rPr>
                <w:rFonts w:cs="Arial"/>
                <w:b/>
                <w:bCs/>
                <w:i/>
                <w:iCs/>
                <w:color w:val="000066"/>
                <w:sz w:val="22"/>
                <w:szCs w:val="22"/>
                <w:lang w:val="en-US" w:eastAsia="it-IT"/>
              </w:rPr>
              <w:t xml:space="preserve"> </w:t>
            </w:r>
            <w:proofErr w:type="gramStart"/>
            <w:r w:rsidR="0030152C" w:rsidRPr="0022172E">
              <w:rPr>
                <w:rFonts w:cs="Arial"/>
                <w:b/>
                <w:bCs/>
                <w:i/>
                <w:iCs/>
                <w:color w:val="000066"/>
                <w:sz w:val="22"/>
                <w:szCs w:val="22"/>
                <w:lang w:val="en-US" w:eastAsia="it-IT"/>
              </w:rPr>
              <w:t xml:space="preserve">  </w:t>
            </w:r>
            <w:r w:rsidR="007B48F9" w:rsidRPr="0022172E">
              <w:rPr>
                <w:rFonts w:cs="Arial"/>
                <w:b/>
                <w:bCs/>
                <w:i/>
                <w:iCs/>
                <w:color w:val="000066"/>
                <w:sz w:val="22"/>
                <w:szCs w:val="22"/>
                <w:lang w:val="en-US" w:eastAsia="it-IT"/>
              </w:rPr>
              <w:t>,</w:t>
            </w:r>
            <w:proofErr w:type="gramEnd"/>
            <w:r w:rsidR="00FA5F5F" w:rsidRPr="0022172E">
              <w:rPr>
                <w:rFonts w:cs="Arial"/>
                <w:b/>
                <w:bCs/>
                <w:i/>
                <w:iCs/>
                <w:color w:val="000066"/>
                <w:sz w:val="22"/>
                <w:szCs w:val="22"/>
                <w:lang w:val="en-US" w:eastAsia="it-IT"/>
              </w:rPr>
              <w:t xml:space="preserve"> </w:t>
            </w:r>
            <w:r w:rsidR="0030152C" w:rsidRPr="0022172E">
              <w:rPr>
                <w:rFonts w:cs="Arial"/>
                <w:b/>
                <w:bCs/>
                <w:i/>
                <w:iCs/>
                <w:color w:val="000066"/>
                <w:sz w:val="22"/>
                <w:szCs w:val="22"/>
                <w:lang w:val="en-US" w:eastAsia="it-IT"/>
              </w:rPr>
              <w:t>2023</w:t>
            </w:r>
          </w:p>
        </w:tc>
        <w:tc>
          <w:tcPr>
            <w:tcW w:w="1843" w:type="dxa"/>
            <w:tcBorders>
              <w:left w:val="single" w:sz="4" w:space="0" w:color="auto"/>
              <w:bottom w:val="nil"/>
              <w:right w:val="single" w:sz="4" w:space="0" w:color="auto"/>
            </w:tcBorders>
          </w:tcPr>
          <w:p w14:paraId="56782132" w14:textId="77777777" w:rsidR="000A03B2" w:rsidRPr="0022172E" w:rsidRDefault="000A03B2" w:rsidP="00CD5FE2">
            <w:pPr>
              <w:spacing w:line="140" w:lineRule="atLeast"/>
              <w:jc w:val="right"/>
              <w:rPr>
                <w:rFonts w:cs="Arial"/>
                <w:sz w:val="14"/>
                <w:szCs w:val="14"/>
                <w:lang w:val="en-US"/>
              </w:rPr>
            </w:pPr>
            <w:r w:rsidRPr="0022172E">
              <w:rPr>
                <w:rFonts w:cs="Arial"/>
                <w:sz w:val="14"/>
                <w:szCs w:val="14"/>
                <w:lang w:val="en-US"/>
              </w:rPr>
              <w:t>A publication of</w:t>
            </w:r>
          </w:p>
          <w:p w14:paraId="599E5441" w14:textId="77777777" w:rsidR="000A03B2" w:rsidRPr="0022172E" w:rsidRDefault="000A03B2" w:rsidP="00CD5FE2">
            <w:pPr>
              <w:jc w:val="right"/>
              <w:rPr>
                <w:lang w:val="en-US"/>
              </w:rPr>
            </w:pPr>
            <w:r w:rsidRPr="0022172E">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2172E" w14:paraId="380FA3CD" w14:textId="77777777" w:rsidTr="00DE264A">
        <w:trPr>
          <w:trHeight w:val="567"/>
          <w:jc w:val="center"/>
        </w:trPr>
        <w:tc>
          <w:tcPr>
            <w:tcW w:w="6946" w:type="dxa"/>
            <w:vMerge/>
            <w:tcBorders>
              <w:right w:val="single" w:sz="4" w:space="0" w:color="auto"/>
            </w:tcBorders>
          </w:tcPr>
          <w:p w14:paraId="39E5E4C1" w14:textId="77777777" w:rsidR="000A03B2" w:rsidRPr="0022172E"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22172E" w:rsidRDefault="000A03B2" w:rsidP="00CD5FE2">
            <w:pPr>
              <w:spacing w:line="140" w:lineRule="atLeast"/>
              <w:jc w:val="right"/>
              <w:rPr>
                <w:rFonts w:cs="Arial"/>
                <w:sz w:val="14"/>
                <w:szCs w:val="14"/>
                <w:lang w:val="en-US"/>
              </w:rPr>
            </w:pPr>
            <w:r w:rsidRPr="0022172E">
              <w:rPr>
                <w:rFonts w:cs="Arial"/>
                <w:sz w:val="14"/>
                <w:szCs w:val="14"/>
                <w:lang w:val="en-US"/>
              </w:rPr>
              <w:t>The Italian Association</w:t>
            </w:r>
          </w:p>
          <w:p w14:paraId="7522B1D2" w14:textId="77777777" w:rsidR="000A03B2" w:rsidRPr="0022172E" w:rsidRDefault="000A03B2" w:rsidP="00CD5FE2">
            <w:pPr>
              <w:spacing w:line="140" w:lineRule="atLeast"/>
              <w:jc w:val="right"/>
              <w:rPr>
                <w:rFonts w:cs="Arial"/>
                <w:sz w:val="14"/>
                <w:szCs w:val="14"/>
                <w:lang w:val="en-US"/>
              </w:rPr>
            </w:pPr>
            <w:r w:rsidRPr="0022172E">
              <w:rPr>
                <w:rFonts w:cs="Arial"/>
                <w:sz w:val="14"/>
                <w:szCs w:val="14"/>
                <w:lang w:val="en-US"/>
              </w:rPr>
              <w:t>of Chemical Engineering</w:t>
            </w:r>
          </w:p>
          <w:p w14:paraId="4F0CC5DE" w14:textId="47FDB2FC" w:rsidR="000A03B2" w:rsidRPr="0022172E" w:rsidRDefault="000D0268" w:rsidP="00CD5FE2">
            <w:pPr>
              <w:spacing w:line="140" w:lineRule="atLeast"/>
              <w:jc w:val="right"/>
              <w:rPr>
                <w:rFonts w:cs="Arial"/>
                <w:sz w:val="13"/>
                <w:szCs w:val="13"/>
                <w:lang w:val="en-US"/>
              </w:rPr>
            </w:pPr>
            <w:r w:rsidRPr="0022172E">
              <w:rPr>
                <w:rFonts w:cs="Arial"/>
                <w:sz w:val="13"/>
                <w:szCs w:val="13"/>
                <w:lang w:val="en-US"/>
              </w:rPr>
              <w:t>Online at www.cetjournal.it</w:t>
            </w:r>
          </w:p>
        </w:tc>
      </w:tr>
      <w:tr w:rsidR="000A03B2" w:rsidRPr="0022172E" w14:paraId="2D1B7169" w14:textId="77777777" w:rsidTr="00DE264A">
        <w:trPr>
          <w:trHeight w:val="68"/>
          <w:jc w:val="center"/>
        </w:trPr>
        <w:tc>
          <w:tcPr>
            <w:tcW w:w="8789" w:type="dxa"/>
            <w:gridSpan w:val="2"/>
          </w:tcPr>
          <w:p w14:paraId="1D8DD3C9" w14:textId="72C518CF" w:rsidR="00AA7D26" w:rsidRPr="0022172E" w:rsidRDefault="00AA7D26" w:rsidP="00AA7D26">
            <w:pPr>
              <w:ind w:left="-107"/>
              <w:outlineLvl w:val="2"/>
              <w:rPr>
                <w:rFonts w:ascii="Tahoma" w:hAnsi="Tahoma" w:cs="Tahoma"/>
                <w:bCs/>
                <w:color w:val="000000"/>
                <w:sz w:val="14"/>
                <w:szCs w:val="14"/>
                <w:lang w:val="en-US" w:eastAsia="it-IT"/>
              </w:rPr>
            </w:pPr>
            <w:r w:rsidRPr="0022172E">
              <w:rPr>
                <w:rFonts w:ascii="Tahoma" w:hAnsi="Tahoma" w:cs="Tahoma"/>
                <w:iCs/>
                <w:color w:val="333333"/>
                <w:sz w:val="14"/>
                <w:szCs w:val="14"/>
                <w:lang w:val="en-US" w:eastAsia="it-IT"/>
              </w:rPr>
              <w:t>Guest Editor:</w:t>
            </w:r>
            <w:r w:rsidRPr="0022172E">
              <w:rPr>
                <w:rFonts w:ascii="Tahoma" w:hAnsi="Tahoma" w:cs="Tahoma"/>
                <w:color w:val="000000"/>
                <w:sz w:val="14"/>
                <w:szCs w:val="14"/>
                <w:shd w:val="clear" w:color="auto" w:fill="FFFFFF"/>
                <w:lang w:val="en-US"/>
              </w:rPr>
              <w:t xml:space="preserve"> </w:t>
            </w:r>
            <w:proofErr w:type="spellStart"/>
            <w:r w:rsidRPr="0022172E">
              <w:rPr>
                <w:rFonts w:ascii="Tahoma" w:hAnsi="Tahoma" w:cs="Tahoma"/>
                <w:sz w:val="14"/>
                <w:szCs w:val="14"/>
                <w:lang w:val="en-US"/>
              </w:rPr>
              <w:t>Sauro</w:t>
            </w:r>
            <w:proofErr w:type="spellEnd"/>
            <w:r w:rsidRPr="0022172E">
              <w:rPr>
                <w:rFonts w:ascii="Tahoma" w:hAnsi="Tahoma" w:cs="Tahoma"/>
                <w:sz w:val="14"/>
                <w:szCs w:val="14"/>
                <w:lang w:val="en-US"/>
              </w:rPr>
              <w:t xml:space="preserve"> </w:t>
            </w:r>
            <w:proofErr w:type="spellStart"/>
            <w:r w:rsidRPr="0022172E">
              <w:rPr>
                <w:rFonts w:ascii="Tahoma" w:hAnsi="Tahoma" w:cs="Tahoma"/>
                <w:sz w:val="14"/>
                <w:szCs w:val="14"/>
                <w:lang w:val="en-US"/>
              </w:rPr>
              <w:t>Pierucci</w:t>
            </w:r>
            <w:proofErr w:type="spellEnd"/>
          </w:p>
          <w:p w14:paraId="1B0F1814" w14:textId="650290B9" w:rsidR="000A03B2" w:rsidRPr="0022172E" w:rsidRDefault="00AA7D26" w:rsidP="00AA7D26">
            <w:pPr>
              <w:tabs>
                <w:tab w:val="left" w:pos="-108"/>
              </w:tabs>
              <w:spacing w:line="140" w:lineRule="atLeast"/>
              <w:ind w:left="-107"/>
              <w:jc w:val="left"/>
              <w:rPr>
                <w:lang w:val="en-US"/>
              </w:rPr>
            </w:pPr>
            <w:r w:rsidRPr="0022172E">
              <w:rPr>
                <w:rFonts w:ascii="Tahoma" w:hAnsi="Tahoma" w:cs="Tahoma"/>
                <w:iCs/>
                <w:color w:val="333333"/>
                <w:sz w:val="14"/>
                <w:szCs w:val="14"/>
                <w:lang w:val="en-US" w:eastAsia="it-IT"/>
              </w:rPr>
              <w:t xml:space="preserve">Copyright © 2023, AIDIC </w:t>
            </w:r>
            <w:proofErr w:type="spellStart"/>
            <w:r w:rsidRPr="0022172E">
              <w:rPr>
                <w:rFonts w:ascii="Tahoma" w:hAnsi="Tahoma" w:cs="Tahoma"/>
                <w:iCs/>
                <w:color w:val="333333"/>
                <w:sz w:val="14"/>
                <w:szCs w:val="14"/>
                <w:lang w:val="en-US" w:eastAsia="it-IT"/>
              </w:rPr>
              <w:t>Servizi</w:t>
            </w:r>
            <w:proofErr w:type="spellEnd"/>
            <w:r w:rsidRPr="0022172E">
              <w:rPr>
                <w:rFonts w:ascii="Tahoma" w:hAnsi="Tahoma" w:cs="Tahoma"/>
                <w:iCs/>
                <w:color w:val="333333"/>
                <w:sz w:val="14"/>
                <w:szCs w:val="14"/>
                <w:lang w:val="en-US" w:eastAsia="it-IT"/>
              </w:rPr>
              <w:t xml:space="preserve"> </w:t>
            </w:r>
            <w:proofErr w:type="spellStart"/>
            <w:r w:rsidRPr="0022172E">
              <w:rPr>
                <w:rFonts w:ascii="Tahoma" w:hAnsi="Tahoma" w:cs="Tahoma"/>
                <w:iCs/>
                <w:color w:val="333333"/>
                <w:sz w:val="14"/>
                <w:szCs w:val="14"/>
                <w:lang w:val="en-US" w:eastAsia="it-IT"/>
              </w:rPr>
              <w:t>S.r.l</w:t>
            </w:r>
            <w:proofErr w:type="spellEnd"/>
            <w:r w:rsidRPr="0022172E">
              <w:rPr>
                <w:rFonts w:ascii="Tahoma" w:hAnsi="Tahoma" w:cs="Tahoma"/>
                <w:iCs/>
                <w:color w:val="333333"/>
                <w:sz w:val="14"/>
                <w:szCs w:val="14"/>
                <w:lang w:val="en-US" w:eastAsia="it-IT"/>
              </w:rPr>
              <w:t>.</w:t>
            </w:r>
            <w:r w:rsidRPr="0022172E">
              <w:rPr>
                <w:rFonts w:ascii="Tahoma" w:hAnsi="Tahoma" w:cs="Tahoma"/>
                <w:iCs/>
                <w:color w:val="333333"/>
                <w:sz w:val="14"/>
                <w:szCs w:val="14"/>
                <w:lang w:val="en-US" w:eastAsia="it-IT"/>
              </w:rPr>
              <w:br/>
            </w:r>
            <w:r w:rsidRPr="0022172E">
              <w:rPr>
                <w:rFonts w:ascii="Tahoma" w:hAnsi="Tahoma" w:cs="Tahoma"/>
                <w:b/>
                <w:iCs/>
                <w:color w:val="000000"/>
                <w:sz w:val="14"/>
                <w:szCs w:val="14"/>
                <w:lang w:val="en-US" w:eastAsia="it-IT"/>
              </w:rPr>
              <w:t>ISBN</w:t>
            </w:r>
            <w:r w:rsidRPr="0022172E">
              <w:rPr>
                <w:rFonts w:ascii="Tahoma" w:hAnsi="Tahoma" w:cs="Tahoma"/>
                <w:iCs/>
                <w:color w:val="000000"/>
                <w:sz w:val="14"/>
                <w:szCs w:val="14"/>
                <w:lang w:val="en-US" w:eastAsia="it-IT"/>
              </w:rPr>
              <w:t xml:space="preserve"> </w:t>
            </w:r>
            <w:r w:rsidRPr="0022172E">
              <w:rPr>
                <w:rFonts w:ascii="Tahoma" w:hAnsi="Tahoma" w:cs="Tahoma"/>
                <w:sz w:val="14"/>
                <w:szCs w:val="14"/>
                <w:lang w:val="en-US"/>
              </w:rPr>
              <w:t>978-88-95608-98-3</w:t>
            </w:r>
            <w:r w:rsidRPr="0022172E">
              <w:rPr>
                <w:rFonts w:ascii="Tahoma" w:hAnsi="Tahoma" w:cs="Tahoma"/>
                <w:iCs/>
                <w:color w:val="333333"/>
                <w:sz w:val="14"/>
                <w:szCs w:val="14"/>
                <w:lang w:val="en-US" w:eastAsia="it-IT"/>
              </w:rPr>
              <w:t xml:space="preserve">; </w:t>
            </w:r>
            <w:r w:rsidRPr="0022172E">
              <w:rPr>
                <w:rFonts w:ascii="Tahoma" w:hAnsi="Tahoma" w:cs="Tahoma"/>
                <w:b/>
                <w:iCs/>
                <w:color w:val="333333"/>
                <w:sz w:val="14"/>
                <w:szCs w:val="14"/>
                <w:lang w:val="en-US" w:eastAsia="it-IT"/>
              </w:rPr>
              <w:t>ISSN</w:t>
            </w:r>
            <w:r w:rsidRPr="0022172E">
              <w:rPr>
                <w:rFonts w:ascii="Tahoma" w:hAnsi="Tahoma" w:cs="Tahoma"/>
                <w:iCs/>
                <w:color w:val="333333"/>
                <w:sz w:val="14"/>
                <w:szCs w:val="14"/>
                <w:lang w:val="en-US" w:eastAsia="it-IT"/>
              </w:rPr>
              <w:t xml:space="preserve"> 2283-9216</w:t>
            </w:r>
          </w:p>
        </w:tc>
      </w:tr>
    </w:tbl>
    <w:p w14:paraId="2E667253" w14:textId="6DC90EFF" w:rsidR="00E978D0" w:rsidRPr="0022172E" w:rsidRDefault="00DB0D2B" w:rsidP="00E978D0">
      <w:pPr>
        <w:pStyle w:val="CETTitle"/>
        <w:rPr>
          <w:lang w:val="en-US"/>
        </w:rPr>
      </w:pPr>
      <w:r w:rsidRPr="0022172E">
        <w:rPr>
          <w:lang w:val="en-US"/>
        </w:rPr>
        <w:t>Regression mod</w:t>
      </w:r>
      <w:bookmarkStart w:id="0" w:name="_GoBack"/>
      <w:bookmarkEnd w:id="0"/>
      <w:r w:rsidRPr="0022172E">
        <w:rPr>
          <w:lang w:val="en-US"/>
        </w:rPr>
        <w:t>els</w:t>
      </w:r>
      <w:r w:rsidR="00740D89" w:rsidRPr="0022172E">
        <w:rPr>
          <w:lang w:val="en-US"/>
        </w:rPr>
        <w:t xml:space="preserve"> analysis for the degradation of polystyrene waste by thermogravimetric data</w:t>
      </w:r>
    </w:p>
    <w:p w14:paraId="0488FED2" w14:textId="2A02991A" w:rsidR="00B57E6F" w:rsidRPr="00597E02" w:rsidRDefault="006541A3" w:rsidP="00610DF5">
      <w:pPr>
        <w:pStyle w:val="CETAuthors"/>
        <w:jc w:val="center"/>
        <w:rPr>
          <w:lang w:val="es-MX"/>
        </w:rPr>
      </w:pPr>
      <w:r w:rsidRPr="00597E02">
        <w:rPr>
          <w:lang w:val="es-MX"/>
        </w:rPr>
        <w:t>Arantxa M. Gonzalez-Aguilar</w:t>
      </w:r>
      <w:r w:rsidR="00B57E6F" w:rsidRPr="00597E02">
        <w:rPr>
          <w:lang w:val="es-MX"/>
        </w:rPr>
        <w:t>,</w:t>
      </w:r>
      <w:r w:rsidR="0058293A" w:rsidRPr="00597E02">
        <w:rPr>
          <w:lang w:val="es-MX"/>
        </w:rPr>
        <w:t xml:space="preserve"> </w:t>
      </w:r>
      <w:r w:rsidR="00175CFC" w:rsidRPr="00597E02">
        <w:rPr>
          <w:lang w:val="es-MX"/>
        </w:rPr>
        <w:t>M. Celeste Santiago-Zavala</w:t>
      </w:r>
      <w:r w:rsidR="00B57E6F" w:rsidRPr="00597E02">
        <w:rPr>
          <w:lang w:val="es-MX"/>
        </w:rPr>
        <w:t>,</w:t>
      </w:r>
      <w:r w:rsidR="003312D4" w:rsidRPr="00597E02">
        <w:rPr>
          <w:lang w:val="es-MX"/>
        </w:rPr>
        <w:t xml:space="preserve"> Zivoni D. Mosqueda-Huerta, José M. Riesco-Ávila*</w:t>
      </w:r>
    </w:p>
    <w:p w14:paraId="6B2D21B3" w14:textId="2BB5216B" w:rsidR="00B57E6F" w:rsidRPr="0022172E" w:rsidRDefault="00610DF5" w:rsidP="00B57E6F">
      <w:pPr>
        <w:pStyle w:val="CETAddress"/>
        <w:rPr>
          <w:lang w:val="en-US"/>
        </w:rPr>
      </w:pPr>
      <w:r w:rsidRPr="0022172E">
        <w:rPr>
          <w:lang w:val="en-US"/>
        </w:rPr>
        <w:t>Mechanical Engineering Department, Engineering Division, Campus Irapuato-Salamanca, University of Guanajuato, Guanajuato 37</w:t>
      </w:r>
      <w:r w:rsidR="003A6CC5" w:rsidRPr="0022172E">
        <w:rPr>
          <w:lang w:val="en-US"/>
        </w:rPr>
        <w:t>320, Mexico.</w:t>
      </w:r>
      <w:r w:rsidR="00B57E6F" w:rsidRPr="0022172E">
        <w:rPr>
          <w:lang w:val="en-US"/>
        </w:rPr>
        <w:t xml:space="preserve"> </w:t>
      </w:r>
    </w:p>
    <w:p w14:paraId="73F1267A" w14:textId="40569769" w:rsidR="00B57E6F" w:rsidRPr="0021448A" w:rsidRDefault="000B7E3B" w:rsidP="00B57E6F">
      <w:pPr>
        <w:pStyle w:val="CETemail"/>
        <w:rPr>
          <w:lang w:val="en-US"/>
        </w:rPr>
      </w:pPr>
      <w:r w:rsidRPr="0021448A">
        <w:rPr>
          <w:lang w:val="en-US"/>
        </w:rPr>
        <w:t>riesco@ugto.mx</w:t>
      </w:r>
    </w:p>
    <w:p w14:paraId="19F96942" w14:textId="70A9B4CD" w:rsidR="007B5E37" w:rsidRPr="008A1E1C" w:rsidRDefault="008A1E1C" w:rsidP="008A1E1C">
      <w:pPr>
        <w:pStyle w:val="CETBodytext"/>
      </w:pPr>
      <w:r w:rsidRPr="008A1E1C">
        <w:t xml:space="preserve">Plastics are known for their beneficial properties, such as lightness, strength, and low cost, and they are used in different applications such as construction, electronics, and packaging. However, plastics do not degrade naturally, accumulating in soils and affecting the environment. Recycling techniques have been developed to minimize plastic waste; chemical recycling through pyrolysis has been cataloged as an effective method for transforming plastic waste into high-value products in the chemical and petrochemical industry. Previous studies of </w:t>
      </w:r>
      <w:r w:rsidR="002F7FB4">
        <w:t>feedstock</w:t>
      </w:r>
      <w:r w:rsidRPr="008A1E1C">
        <w:t xml:space="preserve"> degradation through thermogravimetry</w:t>
      </w:r>
      <w:r w:rsidR="00CE649B">
        <w:t xml:space="preserve"> analysis (TGA)</w:t>
      </w:r>
      <w:r w:rsidRPr="008A1E1C">
        <w:t xml:space="preserve"> have been essential to estimate the optimal temperature ranges to evaluate the pyrolysis process. The present work aims to study regression models to estimate the </w:t>
      </w:r>
      <w:r w:rsidR="0021596F">
        <w:t xml:space="preserve">temperature </w:t>
      </w:r>
      <w:r w:rsidRPr="008A1E1C">
        <w:t>degradation of polystyrene (PS) through thermogravimetry</w:t>
      </w:r>
      <w:r w:rsidR="000B6779">
        <w:t xml:space="preserve"> data</w:t>
      </w:r>
      <w:r w:rsidRPr="008A1E1C">
        <w:t xml:space="preserve">, which can be applied </w:t>
      </w:r>
      <w:r w:rsidR="0064192D">
        <w:t>before</w:t>
      </w:r>
      <w:r w:rsidRPr="008A1E1C">
        <w:t xml:space="preserve"> the pyrolysis process.</w:t>
      </w:r>
      <w:r w:rsidR="001C207D">
        <w:t xml:space="preserve"> In addition, t</w:t>
      </w:r>
      <w:r w:rsidR="001C207D" w:rsidRPr="00D226BF">
        <w:t xml:space="preserve">his </w:t>
      </w:r>
      <w:r w:rsidR="009E7B85">
        <w:t>work</w:t>
      </w:r>
      <w:r w:rsidR="001C207D" w:rsidRPr="00D226BF">
        <w:t xml:space="preserve"> compares linear and polynomial regression models to estimate the best-fitting model </w:t>
      </w:r>
      <w:r w:rsidR="009E7B85">
        <w:t xml:space="preserve">and </w:t>
      </w:r>
      <w:r w:rsidR="00864219">
        <w:t xml:space="preserve">to </w:t>
      </w:r>
      <w:r w:rsidR="001C207D" w:rsidRPr="00D226BF">
        <w:t>determine the maximum temperature of degradation of PS by different heating rates.</w:t>
      </w:r>
      <w:r w:rsidR="00B12A0A">
        <w:t xml:space="preserve"> </w:t>
      </w:r>
      <w:r w:rsidR="007A362E">
        <w:t>Relative</w:t>
      </w:r>
      <w:r w:rsidRPr="008A1E1C">
        <w:t xml:space="preserve"> error</w:t>
      </w:r>
      <w:r w:rsidR="00BE199D">
        <w:t>s</w:t>
      </w:r>
      <w:r w:rsidRPr="008A1E1C">
        <w:t xml:space="preserve"> w</w:t>
      </w:r>
      <w:r w:rsidR="00BE199D">
        <w:t>ere</w:t>
      </w:r>
      <w:r w:rsidRPr="008A1E1C">
        <w:t xml:space="preserve"> calculated by comparing them with experimental values from the literature </w:t>
      </w:r>
      <w:r w:rsidR="000B6779">
        <w:t>not included in</w:t>
      </w:r>
      <w:r w:rsidRPr="008A1E1C">
        <w:t xml:space="preserve"> the models. As a result, a polynomial model of a </w:t>
      </w:r>
      <w:r w:rsidR="00452CA8">
        <w:t>fourth-</w:t>
      </w:r>
      <w:r w:rsidRPr="008A1E1C">
        <w:t>order obtained a better fit with an r</w:t>
      </w:r>
      <w:r w:rsidRPr="008A1E1C">
        <w:rPr>
          <w:vertAlign w:val="superscript"/>
        </w:rPr>
        <w:t>2</w:t>
      </w:r>
      <w:r w:rsidRPr="008A1E1C">
        <w:t>=70.45</w:t>
      </w:r>
      <w:r w:rsidR="000B6779">
        <w:t xml:space="preserve"> %</w:t>
      </w:r>
      <w:r w:rsidRPr="008A1E1C">
        <w:t xml:space="preserve"> compared to the linear models, where the best fit was obtained with r</w:t>
      </w:r>
      <w:r w:rsidRPr="000B6779">
        <w:rPr>
          <w:vertAlign w:val="superscript"/>
        </w:rPr>
        <w:t>2</w:t>
      </w:r>
      <w:r w:rsidRPr="008A1E1C">
        <w:t>= 69.71 %. However, a higher relative error was obtained, with the polynomial models being the lowest, 7.35 and 0.50 % for 15 and 60 °C min</w:t>
      </w:r>
      <w:r w:rsidRPr="000B6779">
        <w:rPr>
          <w:vertAlign w:val="superscript"/>
        </w:rPr>
        <w:t>-1</w:t>
      </w:r>
      <w:r w:rsidRPr="008A1E1C">
        <w:t xml:space="preserve">; for the linear models, 7.05 and 0.39 % were obtained for </w:t>
      </w:r>
      <w:r w:rsidR="00631A69">
        <w:t xml:space="preserve">heating rates of </w:t>
      </w:r>
      <w:r w:rsidRPr="008A1E1C">
        <w:t>15 and 60 °C min</w:t>
      </w:r>
      <w:r w:rsidRPr="000B6779">
        <w:rPr>
          <w:vertAlign w:val="superscript"/>
        </w:rPr>
        <w:t>-1</w:t>
      </w:r>
      <w:r w:rsidRPr="008A1E1C">
        <w:t>, respectively.</w:t>
      </w:r>
      <w:r w:rsidR="00585907" w:rsidRPr="008A1E1C">
        <w:t xml:space="preserve"> </w:t>
      </w:r>
    </w:p>
    <w:p w14:paraId="631048DA" w14:textId="77777777" w:rsidR="007B5E37" w:rsidRPr="0022172E" w:rsidRDefault="007B5E37" w:rsidP="00922F68">
      <w:pPr>
        <w:pStyle w:val="CETBodytext"/>
      </w:pPr>
    </w:p>
    <w:p w14:paraId="476B2F2E" w14:textId="02EED407" w:rsidR="00600535" w:rsidRPr="0022172E" w:rsidRDefault="00600535" w:rsidP="00600535">
      <w:pPr>
        <w:pStyle w:val="CETHeading1"/>
      </w:pPr>
      <w:r w:rsidRPr="0022172E">
        <w:t>Introduction</w:t>
      </w:r>
    </w:p>
    <w:p w14:paraId="0E59AB76" w14:textId="70F5983B" w:rsidR="003D4E50" w:rsidRPr="00C62EBC" w:rsidRDefault="005579B2" w:rsidP="003D4E50">
      <w:pPr>
        <w:pStyle w:val="CETBodytext"/>
        <w:rPr>
          <w:color w:val="000000" w:themeColor="text1"/>
        </w:rPr>
      </w:pPr>
      <w:r w:rsidRPr="0022172E">
        <w:t>Polymers are versatile and have been successfully implement</w:t>
      </w:r>
      <w:r w:rsidR="00F02950">
        <w:t>ed</w:t>
      </w:r>
      <w:r w:rsidRPr="0022172E">
        <w:t xml:space="preserve"> for over three decades due to their physicochemical properties, such as lightweight, high durability, thermal insulation, </w:t>
      </w:r>
      <w:r w:rsidR="00DB205F">
        <w:t>flexibility, and</w:t>
      </w:r>
      <w:r w:rsidRPr="0022172E">
        <w:t xml:space="preserve"> low production cost</w:t>
      </w:r>
      <w:r w:rsidR="0033107C" w:rsidRPr="0022172E">
        <w:t xml:space="preserve"> </w:t>
      </w:r>
      <w:r w:rsidR="000C0D7D" w:rsidRPr="0022172E">
        <w:fldChar w:fldCharType="begin"/>
      </w:r>
      <w:r w:rsidR="000C0D7D" w:rsidRPr="0022172E">
        <w:instrText xml:space="preserve"> ADDIN ZOTERO_ITEM CSL_CITATION {"citationID":"Mg3jhZmp","properties":{"formattedCitation":"(Maafa, 2021)","plainCitation":"(Maafa, 2021)","noteIndex":0},"citationItems":[{"id":11,"uris":["http://zotero.org/users/10404519/items/ZTF4PCBV"],"itemData":{"id":11,"type":"article-journal","container-title":"Polymers","DOI":"10.3390/polym13020225","issue":"225","title":"Pyrolysis of Polystyrene Waste: A Review","volume":"13","author":[{"family":"Maafa","given":"Ibrahim M."}],"issued":{"date-parts":[["2021"]]}}}],"schema":"https://github.com/citation-style-language/schema/raw/master/csl-citation.json"} </w:instrText>
      </w:r>
      <w:r w:rsidR="000C0D7D" w:rsidRPr="0022172E">
        <w:fldChar w:fldCharType="separate"/>
      </w:r>
      <w:r w:rsidR="000C0D7D" w:rsidRPr="0022172E">
        <w:rPr>
          <w:rFonts w:cs="Arial"/>
        </w:rPr>
        <w:t>(Maafa, 2021)</w:t>
      </w:r>
      <w:r w:rsidR="000C0D7D" w:rsidRPr="0022172E">
        <w:fldChar w:fldCharType="end"/>
      </w:r>
      <w:r w:rsidR="00470410" w:rsidRPr="0022172E">
        <w:t>. Pyrolysis is considered an attractive method for recycling plastic waste since it transforms it directly into useful energy and valuable</w:t>
      </w:r>
      <w:r w:rsidR="008C79CC" w:rsidRPr="0022172E">
        <w:t xml:space="preserve"> products for the petrochemical industry because plastics mainly derive from petroleum</w:t>
      </w:r>
      <w:r w:rsidR="00682ECF" w:rsidRPr="0022172E">
        <w:t xml:space="preserve"> </w:t>
      </w:r>
      <w:r w:rsidR="00682ECF" w:rsidRPr="0022172E">
        <w:fldChar w:fldCharType="begin"/>
      </w:r>
      <w:r w:rsidR="00682ECF" w:rsidRPr="0022172E">
        <w:instrText xml:space="preserve"> ADDIN ZOTERO_ITEM CSL_CITATION {"citationID":"kZkEri9h","properties":{"formattedCitation":"(Jeswani et al., 2021)","plainCitation":"(Jeswani et al., 2021)","noteIndex":0},"citationItems":[{"id":1,"uris":["http://zotero.org/users/10404519/items/8RGZIKRK"],"itemData":{"id":1,"type":"article-journal","container-title":"Sci. Total Environ.","DOI":"10.1016/j.scitotenv.2020.144483","page":"144483","title":"Life cycle environmental impacts of chemical recycling via pyrolysis of mixed plastic waste in comparison with mechanical recycling and energy recovery","volume":"769","author":[{"family":"Jeswani","given":"Harish"},{"family":"Krüger","given":"Christian"},{"family":"Russ","given":"Manfred"},{"family":"Horlacher","given":"Maike"},{"family":"Antony","given":"Florian"},{"family":"Hann","given":"Simon"},{"family":"Azapagic","given":"Adisa"}],"issued":{"date-parts":[["2021"]]}}}],"schema":"https://github.com/citation-style-language/schema/raw/master/csl-citation.json"} </w:instrText>
      </w:r>
      <w:r w:rsidR="00682ECF" w:rsidRPr="0022172E">
        <w:fldChar w:fldCharType="separate"/>
      </w:r>
      <w:r w:rsidR="00682ECF" w:rsidRPr="0022172E">
        <w:rPr>
          <w:rFonts w:cs="Arial"/>
        </w:rPr>
        <w:t>(Jeswani et al., 2021)</w:t>
      </w:r>
      <w:r w:rsidR="00682ECF" w:rsidRPr="0022172E">
        <w:fldChar w:fldCharType="end"/>
      </w:r>
      <w:r w:rsidR="00682ECF" w:rsidRPr="0022172E">
        <w:t xml:space="preserve">. Temperature is the most critical parameter in matter </w:t>
      </w:r>
      <w:r w:rsidR="00530773" w:rsidRPr="0022172E">
        <w:t>degradation because it governs the chemical reaction.</w:t>
      </w:r>
      <w:r w:rsidR="00732380">
        <w:t xml:space="preserve"> </w:t>
      </w:r>
      <w:r w:rsidR="003D4E50" w:rsidRPr="00C62EBC">
        <w:rPr>
          <w:color w:val="000000" w:themeColor="text1"/>
        </w:rPr>
        <w:t>Some studies indicated that the pyrolysis process at low temperatures improved the production of liquid with long hydrocarbon chains</w:t>
      </w:r>
      <w:r w:rsidR="00CD3890">
        <w:rPr>
          <w:color w:val="000000" w:themeColor="text1"/>
        </w:rPr>
        <w:t xml:space="preserve"> </w:t>
      </w:r>
      <w:r w:rsidR="00CD3890">
        <w:rPr>
          <w:color w:val="000000" w:themeColor="text1"/>
        </w:rPr>
        <w:fldChar w:fldCharType="begin"/>
      </w:r>
      <w:r w:rsidR="00CD3890">
        <w:rPr>
          <w:color w:val="000000" w:themeColor="text1"/>
        </w:rPr>
        <w:instrText xml:space="preserve"> ADDIN ZOTERO_ITEM CSL_CITATION {"citationID":"9M1WdvEE","properties":{"formattedCitation":"(Klaimy et al., 2021)","plainCitation":"(Klaimy et al., 2021)","noteIndex":0},"citationItems":[{"id":10,"uris":["http://zotero.org/users/10404519/items/4LQ8THUV"],"itemData":{"id":10,"type":"article-journal","container-title":"Polym. Degrad. Stab.","DOI":"10.1016/j.polymdegradstab.2021.109540","page":"109540","title":"Recycling of plastic waste using flash pyrolysis – Effect of mixture composition","volume":"187","author":[{"family":"Klaimy","given":"S."},{"family":"Lamonier","given":"J.-F."},{"family":"Casseta","given":"M."},{"family":"Heymans","given":"S."},{"family":"Duquesne","given":"S."}],"issued":{"date-parts":[["2021"]]}}}],"schema":"https://github.com/citation-style-language/schema/raw/master/csl-citation.json"} </w:instrText>
      </w:r>
      <w:r w:rsidR="00CD3890">
        <w:rPr>
          <w:color w:val="000000" w:themeColor="text1"/>
        </w:rPr>
        <w:fldChar w:fldCharType="separate"/>
      </w:r>
      <w:r w:rsidR="00CD3890" w:rsidRPr="00CD3890">
        <w:rPr>
          <w:rFonts w:cs="Arial"/>
        </w:rPr>
        <w:t>(Klaimy et al., 2021)</w:t>
      </w:r>
      <w:r w:rsidR="00CD3890">
        <w:rPr>
          <w:color w:val="000000" w:themeColor="text1"/>
        </w:rPr>
        <w:fldChar w:fldCharType="end"/>
      </w:r>
      <w:r w:rsidR="006D15E5">
        <w:rPr>
          <w:color w:val="000000" w:themeColor="text1"/>
        </w:rPr>
        <w:t>.</w:t>
      </w:r>
      <w:r w:rsidR="003D4E50" w:rsidRPr="00C62EBC">
        <w:rPr>
          <w:color w:val="000000" w:themeColor="text1"/>
        </w:rPr>
        <w:t xml:space="preserve"> In contrast, others reported that high reaction temperatures favored gasification and allowed secondary reactions inside the reactor, reducing the obtaining of solid fractions </w:t>
      </w:r>
      <w:r w:rsidR="006D15E5">
        <w:rPr>
          <w:color w:val="000000" w:themeColor="text1"/>
        </w:rPr>
        <w:fldChar w:fldCharType="begin"/>
      </w:r>
      <w:r w:rsidR="006D15E5">
        <w:rPr>
          <w:color w:val="000000" w:themeColor="text1"/>
        </w:rPr>
        <w:instrText xml:space="preserve"> ADDIN ZOTERO_ITEM CSL_CITATION {"citationID":"l7jweMx0","properties":{"formattedCitation":"(L\\uc0\\u243{}pez et al., 2011)","plainCitation":"(López et al., 2011)","noteIndex":0},"citationItems":[{"id":47,"uris":["http://zotero.org/users/10404519/items/DC2T8NMX"],"itemData":{"id":47,"type":"article-journal","container-title":"Chem. Eng. J.","DOI":"10.1016/j.cej.2011.07.037","page":"62-71","title":"Influence of time and temperature on pyrolysis of plastic wastes in a semi-batch reactor","volume":"173","author":[{"family":"López","given":"A."},{"family":"De Marco","given":"I."},{"family":"Caballero","given":"B. M."},{"family":"Laresgoiti","given":"M. F."},{"family":"Adrados","given":"A."}],"issued":{"date-parts":[["2011"]]}}}],"schema":"https://github.com/citation-style-language/schema/raw/master/csl-citation.json"} </w:instrText>
      </w:r>
      <w:r w:rsidR="006D15E5">
        <w:rPr>
          <w:color w:val="000000" w:themeColor="text1"/>
        </w:rPr>
        <w:fldChar w:fldCharType="separate"/>
      </w:r>
      <w:r w:rsidR="006D15E5" w:rsidRPr="006D15E5">
        <w:rPr>
          <w:rFonts w:cs="Arial"/>
          <w:szCs w:val="24"/>
        </w:rPr>
        <w:t>(López et al., 2011)</w:t>
      </w:r>
      <w:r w:rsidR="006D15E5">
        <w:rPr>
          <w:color w:val="000000" w:themeColor="text1"/>
        </w:rPr>
        <w:fldChar w:fldCharType="end"/>
      </w:r>
      <w:r w:rsidR="009E2BA4">
        <w:rPr>
          <w:color w:val="000000" w:themeColor="text1"/>
        </w:rPr>
        <w:t>.</w:t>
      </w:r>
    </w:p>
    <w:p w14:paraId="4EA4504B" w14:textId="750D6057" w:rsidR="003D4E50" w:rsidRPr="00C62EBC" w:rsidRDefault="003D4E50" w:rsidP="003D4E50">
      <w:pPr>
        <w:pStyle w:val="CETBodytext"/>
        <w:rPr>
          <w:color w:val="000000" w:themeColor="text1"/>
        </w:rPr>
      </w:pPr>
      <w:r w:rsidRPr="00C62EBC">
        <w:rPr>
          <w:color w:val="000000" w:themeColor="text1"/>
        </w:rPr>
        <w:t>The influence of temperature in the pyrolysis process of PS has been studied by Verma et al.</w:t>
      </w:r>
      <w:r w:rsidR="009E2BA4">
        <w:rPr>
          <w:color w:val="000000" w:themeColor="text1"/>
        </w:rPr>
        <w:t xml:space="preserve"> (2021), </w:t>
      </w:r>
      <w:r w:rsidRPr="00C62EBC">
        <w:rPr>
          <w:color w:val="000000" w:themeColor="text1"/>
        </w:rPr>
        <w:t>who experimented with ranges between 400</w:t>
      </w:r>
      <w:r w:rsidR="009E2BA4">
        <w:rPr>
          <w:color w:val="000000" w:themeColor="text1"/>
        </w:rPr>
        <w:t xml:space="preserve"> to </w:t>
      </w:r>
      <w:r w:rsidRPr="00C62EBC">
        <w:rPr>
          <w:color w:val="000000" w:themeColor="text1"/>
        </w:rPr>
        <w:t>700</w:t>
      </w:r>
      <w:r w:rsidR="009E2BA4">
        <w:rPr>
          <w:color w:val="000000" w:themeColor="text1"/>
        </w:rPr>
        <w:t xml:space="preserve"> °C</w:t>
      </w:r>
      <w:r w:rsidRPr="00C62EBC">
        <w:rPr>
          <w:color w:val="000000" w:themeColor="text1"/>
        </w:rPr>
        <w:t xml:space="preserve"> and heating rates from 5 to 25 °C min</w:t>
      </w:r>
      <w:r w:rsidRPr="009E2BA4">
        <w:rPr>
          <w:color w:val="000000" w:themeColor="text1"/>
          <w:vertAlign w:val="superscript"/>
        </w:rPr>
        <w:t>-1</w:t>
      </w:r>
      <w:r w:rsidRPr="00C62EBC">
        <w:rPr>
          <w:color w:val="000000" w:themeColor="text1"/>
        </w:rPr>
        <w:t xml:space="preserve">; regarding heating rate, the results showed that the liquid yield increased as the heating rate increased; however, high rates decreased the yield. Another study where they analyzed the influence of the heating rate in the EPS pyrolysis process was that of </w:t>
      </w:r>
      <w:r w:rsidR="00444498">
        <w:rPr>
          <w:color w:val="000000" w:themeColor="text1"/>
        </w:rPr>
        <w:fldChar w:fldCharType="begin"/>
      </w:r>
      <w:r w:rsidR="00444498">
        <w:rPr>
          <w:color w:val="000000" w:themeColor="text1"/>
        </w:rPr>
        <w:instrText xml:space="preserve"> ADDIN ZOTERO_ITEM CSL_CITATION {"citationID":"uIivak4m","properties":{"formattedCitation":"(Gonzalez-Aguilar et al., 2022)","plainCitation":"(Gonzalez-Aguilar et al., 2022)","noteIndex":0},"citationItems":[{"id":118,"uris":["http://zotero.org/users/10404519/items/UAYWQQP3"],"itemData":{"id":118,"type":"article-journal","container-title":"Polymers","DOI":"10.3390/polym14224957","issue":"22","page":"4957","title":"Effects of Heating Rate and Temperature on the Thermal Pyrolysis of Expanded Polystyrene Post-Industrial Waste","volume":"14","author":[{"family":"Gonzalez-Aguilar","given":"Arantxa M."},{"family":"Cabrera-Madera","given":"Victoria P."},{"family":"Vera-Rozo","given":"James R."},{"family":"Riesco-Ávila","given":"José M."}],"issued":{"date-parts":[["2022"]]}}}],"schema":"https://github.com/citation-style-language/schema/raw/master/csl-citation.json"} </w:instrText>
      </w:r>
      <w:r w:rsidR="00444498">
        <w:rPr>
          <w:color w:val="000000" w:themeColor="text1"/>
        </w:rPr>
        <w:fldChar w:fldCharType="separate"/>
      </w:r>
      <w:r w:rsidR="000B6779" w:rsidRPr="000B6779">
        <w:rPr>
          <w:rFonts w:cs="Arial"/>
        </w:rPr>
        <w:t xml:space="preserve">Gonzalez-Aguilar et al. </w:t>
      </w:r>
      <w:r w:rsidR="00900A34">
        <w:rPr>
          <w:rFonts w:cs="Arial"/>
        </w:rPr>
        <w:t>(</w:t>
      </w:r>
      <w:r w:rsidR="000B6779" w:rsidRPr="000B6779">
        <w:rPr>
          <w:rFonts w:cs="Arial"/>
        </w:rPr>
        <w:t>2022)</w:t>
      </w:r>
      <w:r w:rsidR="00444498">
        <w:rPr>
          <w:color w:val="000000" w:themeColor="text1"/>
        </w:rPr>
        <w:fldChar w:fldCharType="end"/>
      </w:r>
      <w:r w:rsidR="00444498">
        <w:rPr>
          <w:color w:val="000000" w:themeColor="text1"/>
        </w:rPr>
        <w:t xml:space="preserve">, </w:t>
      </w:r>
      <w:r w:rsidRPr="00C62EBC">
        <w:rPr>
          <w:color w:val="000000" w:themeColor="text1"/>
        </w:rPr>
        <w:t>where they evaluated rates between 4 to 40 °C min</w:t>
      </w:r>
      <w:r w:rsidRPr="009E2BA4">
        <w:rPr>
          <w:color w:val="000000" w:themeColor="text1"/>
          <w:vertAlign w:val="superscript"/>
        </w:rPr>
        <w:t>-1</w:t>
      </w:r>
      <w:r w:rsidRPr="00C62EBC">
        <w:rPr>
          <w:color w:val="000000" w:themeColor="text1"/>
        </w:rPr>
        <w:t>, they demonstrated a curved effect in obtaining liquid as output response; rates higher than 4 °C min</w:t>
      </w:r>
      <w:r w:rsidRPr="0078512F">
        <w:rPr>
          <w:color w:val="000000" w:themeColor="text1"/>
          <w:vertAlign w:val="superscript"/>
        </w:rPr>
        <w:t>-1</w:t>
      </w:r>
      <w:r w:rsidRPr="00C62EBC">
        <w:rPr>
          <w:color w:val="000000" w:themeColor="text1"/>
        </w:rPr>
        <w:t xml:space="preserve"> but lower than 12 °C min</w:t>
      </w:r>
      <w:r w:rsidRPr="0078512F">
        <w:rPr>
          <w:color w:val="000000" w:themeColor="text1"/>
          <w:vertAlign w:val="superscript"/>
        </w:rPr>
        <w:t>-1</w:t>
      </w:r>
      <w:r w:rsidRPr="00C62EBC">
        <w:rPr>
          <w:color w:val="000000" w:themeColor="text1"/>
        </w:rPr>
        <w:t xml:space="preserve"> were the ones that yielded higher.</w:t>
      </w:r>
    </w:p>
    <w:p w14:paraId="3391BB41" w14:textId="58201CEE" w:rsidR="009657BE" w:rsidRDefault="003D4E50" w:rsidP="003D4E50">
      <w:pPr>
        <w:pStyle w:val="CETBodytext"/>
      </w:pPr>
      <w:r w:rsidRPr="00C62EBC">
        <w:rPr>
          <w:color w:val="000000" w:themeColor="text1"/>
        </w:rPr>
        <w:t>On the other hand,</w:t>
      </w:r>
      <w:r w:rsidR="00C62EBC" w:rsidRPr="00C62EBC">
        <w:rPr>
          <w:color w:val="000000" w:themeColor="text1"/>
        </w:rPr>
        <w:t xml:space="preserve"> </w:t>
      </w:r>
      <w:r w:rsidR="00CE649B">
        <w:rPr>
          <w:color w:val="000000" w:themeColor="text1"/>
        </w:rPr>
        <w:t>TGA is</w:t>
      </w:r>
      <w:r w:rsidR="00C04EB6" w:rsidRPr="0022172E">
        <w:t xml:space="preserve"> a commonly used technique to consider the degradation trend in terms of different pyrolysis process parameters, such as temperature</w:t>
      </w:r>
      <w:r w:rsidR="00CB00F8" w:rsidRPr="0022172E">
        <w:t xml:space="preserve"> and heating rate </w:t>
      </w:r>
      <w:r w:rsidR="00CB00F8" w:rsidRPr="0022172E">
        <w:fldChar w:fldCharType="begin"/>
      </w:r>
      <w:r w:rsidR="00CB00F8" w:rsidRPr="0022172E">
        <w:instrText xml:space="preserve"> ADDIN ZOTERO_ITEM CSL_CITATION {"citationID":"R8p9tDZp","properties":{"formattedCitation":"(Verma et al., 2021)","plainCitation":"(Verma et al., 2021)","noteIndex":0},"citationItems":[{"id":16,"uris":["http://zotero.org/users/10404519/items/5YK43CAE"],"itemData":{"id":16,"type":"article-journal","container-title":"Waste Manag.","DOI":"10.1016/j.wasman.2020.11.035","page":"330-339","title":"Pyrolysis of waste expanded polystyrene and reduction of styrene via in-situ multiphase pyrolysis of product oil for the production of fuel range hydrocarbons","URL":"https://doi.org/10.1016/j.wasman.2020.11.035","volume":"120","author":[{"family":"Verma","given":"Anjali"},{"family":"Sharma","given":"Sweta"},{"family":"Pramanik","given":"Hiralal"}],"issued":{"date-parts":[["2021"]]}}}],"schema":"https://github.com/citation-style-language/schema/raw/master/csl-citation.json"} </w:instrText>
      </w:r>
      <w:r w:rsidR="00CB00F8" w:rsidRPr="0022172E">
        <w:fldChar w:fldCharType="separate"/>
      </w:r>
      <w:r w:rsidR="00CB00F8" w:rsidRPr="0022172E">
        <w:rPr>
          <w:rFonts w:cs="Arial"/>
        </w:rPr>
        <w:t>(Verma et al., 2021)</w:t>
      </w:r>
      <w:r w:rsidR="00CB00F8" w:rsidRPr="0022172E">
        <w:fldChar w:fldCharType="end"/>
      </w:r>
      <w:r w:rsidR="00CB00F8" w:rsidRPr="0022172E">
        <w:t>.</w:t>
      </w:r>
      <w:r w:rsidR="00DB1027" w:rsidRPr="0022172E">
        <w:t xml:space="preserve"> It is </w:t>
      </w:r>
      <w:r w:rsidR="004548D2">
        <w:t xml:space="preserve">a </w:t>
      </w:r>
      <w:r w:rsidR="00DB1027" w:rsidRPr="0022172E">
        <w:t xml:space="preserve">necessary tool </w:t>
      </w:r>
      <w:r w:rsidR="00DB1027" w:rsidRPr="0022172E">
        <w:lastRenderedPageBreak/>
        <w:t>to determine optimal parameters before performing the pyrolysis process</w:t>
      </w:r>
      <w:r w:rsidR="00E657DE" w:rsidRPr="0022172E">
        <w:t xml:space="preserve">. </w:t>
      </w:r>
      <w:r w:rsidR="00CE649B">
        <w:t>TGA analysis</w:t>
      </w:r>
      <w:r w:rsidR="00CE649B" w:rsidRPr="00CE649B">
        <w:t xml:space="preserve"> must be carried out for different heating rates, which is costly since, in addition to the purchase of the experimental apparatus, it is necessary to use an inert gas with the highest quality.</w:t>
      </w:r>
    </w:p>
    <w:p w14:paraId="2F549E0C" w14:textId="436FF9A9" w:rsidR="00F76F16" w:rsidRPr="0022172E" w:rsidRDefault="00E657DE" w:rsidP="00332A22">
      <w:pPr>
        <w:pStyle w:val="CETBodytext"/>
      </w:pPr>
      <w:r w:rsidRPr="0022172E">
        <w:t>The present research aims to estimate a model that relates the heating rate and the maximum degradation temperature</w:t>
      </w:r>
      <w:r w:rsidR="0082764F">
        <w:t xml:space="preserve"> (</w:t>
      </w:r>
      <w:proofErr w:type="spellStart"/>
      <w:r w:rsidR="0082764F">
        <w:t>Tmax</w:t>
      </w:r>
      <w:proofErr w:type="spellEnd"/>
      <w:r w:rsidR="0082764F">
        <w:t>)</w:t>
      </w:r>
      <w:r w:rsidRPr="0022172E">
        <w:t xml:space="preserve"> of </w:t>
      </w:r>
      <w:r w:rsidR="00202B87">
        <w:t>PS</w:t>
      </w:r>
      <w:r w:rsidRPr="0022172E">
        <w:t xml:space="preserve"> waste to be applied in the </w:t>
      </w:r>
      <w:r w:rsidR="009657BE">
        <w:t xml:space="preserve">PS </w:t>
      </w:r>
      <w:r w:rsidRPr="0022172E">
        <w:t>pyrolysis process</w:t>
      </w:r>
      <w:r w:rsidR="00E21AA8">
        <w:t>. Linear and polynomial models</w:t>
      </w:r>
      <w:r w:rsidR="008539AE">
        <w:t xml:space="preserve"> were develop</w:t>
      </w:r>
      <w:r w:rsidR="00721C18">
        <w:t>ed,</w:t>
      </w:r>
      <w:r w:rsidR="008539AE">
        <w:t xml:space="preserve"> and an analysis of their fitting and error with experimental data excluded was addressed.</w:t>
      </w:r>
    </w:p>
    <w:p w14:paraId="2B0283DE" w14:textId="2336E3CB" w:rsidR="00AB08AF" w:rsidRPr="00AB08AF" w:rsidRDefault="0026455F" w:rsidP="00AB08AF">
      <w:pPr>
        <w:pStyle w:val="CETHeading1"/>
      </w:pPr>
      <w:r w:rsidRPr="0022172E">
        <w:t>Methodology</w:t>
      </w:r>
    </w:p>
    <w:p w14:paraId="7FA6C4E5" w14:textId="41B265E5" w:rsidR="00DB153E" w:rsidRPr="0022172E" w:rsidRDefault="0026455F" w:rsidP="00CF77C6">
      <w:pPr>
        <w:pStyle w:val="CETheadingx"/>
      </w:pPr>
      <w:r w:rsidRPr="0022172E">
        <w:t>Data</w:t>
      </w:r>
    </w:p>
    <w:p w14:paraId="2180AAC3" w14:textId="2B3DE4E5" w:rsidR="00AF429C" w:rsidRDefault="00AF429C" w:rsidP="008A4F6B">
      <w:pPr>
        <w:pStyle w:val="CETBodytext"/>
      </w:pPr>
      <w:r>
        <w:t>Polystyrene is one of the polymers found in 1930, made through a polymerization process with additives, and it can be found in solid or foam states</w:t>
      </w:r>
      <w:r w:rsidR="000B6779">
        <w:t xml:space="preserve"> </w:t>
      </w:r>
      <w:r w:rsidR="000B6779">
        <w:fldChar w:fldCharType="begin"/>
      </w:r>
      <w:r w:rsidR="000B6779">
        <w:instrText xml:space="preserve"> ADDIN ZOTERO_ITEM CSL_CITATION {"citationID":"dJhC8Z1k","properties":{"formattedCitation":"(Maafa, 2021)","plainCitation":"(Maafa, 2021)","noteIndex":0},"citationItems":[{"id":11,"uris":["http://zotero.org/users/10404519/items/ZTF4PCBV"],"itemData":{"id":11,"type":"article-journal","container-title":"Polymers","DOI":"10.3390/polym13020225","issue":"225","title":"Pyrolysis of Polystyrene Waste: A Review","volume":"13","author":[{"family":"Maafa","given":"Ibrahim M."}],"issued":{"date-parts":[["2021"]]}}}],"schema":"https://github.com/citation-style-language/schema/raw/master/csl-citation.json"} </w:instrText>
      </w:r>
      <w:r w:rsidR="000B6779">
        <w:fldChar w:fldCharType="separate"/>
      </w:r>
      <w:r w:rsidR="000B6779" w:rsidRPr="000B6779">
        <w:rPr>
          <w:rFonts w:cs="Arial"/>
        </w:rPr>
        <w:t>(Maafa, 2021)</w:t>
      </w:r>
      <w:r w:rsidR="000B6779">
        <w:fldChar w:fldCharType="end"/>
      </w:r>
      <w:r w:rsidR="000B6779">
        <w:t xml:space="preserve">. </w:t>
      </w:r>
      <w:r>
        <w:t xml:space="preserve">PS represents a high carbon content plastic; virgin PS can contain at least 91.23 wt.% and when it is discarded, the carbon content decreases </w:t>
      </w:r>
      <w:r w:rsidR="007F7A31">
        <w:t>up to</w:t>
      </w:r>
      <w:r>
        <w:t xml:space="preserve"> 87.40</w:t>
      </w:r>
      <w:r w:rsidR="000B6779">
        <w:t> </w:t>
      </w:r>
      <w:r>
        <w:t>wt.%</w:t>
      </w:r>
      <w:r w:rsidR="000B6779">
        <w:t xml:space="preserve"> </w:t>
      </w:r>
      <w:r w:rsidR="000B6779">
        <w:fldChar w:fldCharType="begin"/>
      </w:r>
      <w:r w:rsidR="000B6779">
        <w:instrText xml:space="preserve"> ADDIN ZOTERO_ITEM CSL_CITATION {"citationID":"QS4oxNu7","properties":{"formattedCitation":"(Park et al., 2020; Van der Westhuizen et al., 2022)","plainCitation":"(Park et al., 2020; Van der Westhuizen et al., 2022)","noteIndex":0},"citationItems":[{"id":91,"uris":["http://zotero.org/users/10404519/items/FXEGYBE2"],"itemData":{"id":91,"type":"article-journal","container-title":"Appl. Energy","DOI":"10.1016/j.apenergy.2019.114240","page":"114240","title":"Two-stage pyrolysis of polystyrene: Pyrolysis oil as a source of fuels or benzene, toluene, ethylbenzene, and xylenes","volume":"259","author":[{"family":"Park","given":"Ki-Bum"},{"family":"Jeong","given":"Yong-Seong"},{"family":"Guzelciftci","given":"Begum"},{"family":"Kim","given":"Joo-Silk"}],"issued":{"date-parts":[["2020"]]}}},{"id":43,"uris":["http://zotero.org/users/10404519/items/CDTW535Y"],"itemData":{"id":43,"type":"article-journal","container-title":"J. Anal. Appl. Pyrolysis","DOI":"10.1016/j.jaap.2021.105407","page":"105407","title":"Pyrolysis of waste polystyrene into transportation fuel: Effect of contamination on oil yield and production at pilot scale","volume":"161","author":[{"family":"Van der Westhuizen","given":"Salomie"},{"family":"Collard","given":"Francois-Xavier"},{"family":"Görgens","given":"Johann"}],"issued":{"date-parts":[["2022"]]}}}],"schema":"https://github.com/citation-style-language/schema/raw/master/csl-citation.json"} </w:instrText>
      </w:r>
      <w:r w:rsidR="000B6779">
        <w:fldChar w:fldCharType="separate"/>
      </w:r>
      <w:r w:rsidR="000B6779" w:rsidRPr="000B6779">
        <w:rPr>
          <w:rFonts w:cs="Arial"/>
        </w:rPr>
        <w:t>(Park et al., 2020; Van der Westhuizen et al., 2022)</w:t>
      </w:r>
      <w:r w:rsidR="000B6779">
        <w:fldChar w:fldCharType="end"/>
      </w:r>
      <w:r>
        <w:t>.</w:t>
      </w:r>
    </w:p>
    <w:p w14:paraId="043555E7" w14:textId="05F54C9C" w:rsidR="008A4F6B" w:rsidRDefault="0026455F" w:rsidP="008A4F6B">
      <w:pPr>
        <w:pStyle w:val="CETBodytext"/>
      </w:pPr>
      <w:r w:rsidRPr="0022172E">
        <w:t xml:space="preserve">The data to be studied were obtained from different works of thermal and catalytic pyrolysis of </w:t>
      </w:r>
      <w:r w:rsidR="00AF429C">
        <w:t xml:space="preserve">virgin </w:t>
      </w:r>
      <w:r w:rsidRPr="0022172E">
        <w:t xml:space="preserve">PS </w:t>
      </w:r>
      <w:r w:rsidR="00AF429C">
        <w:t xml:space="preserve">and its </w:t>
      </w:r>
      <w:r w:rsidRPr="0022172E">
        <w:t>waste in the literature</w:t>
      </w:r>
      <w:r w:rsidR="0035102C">
        <w:t xml:space="preserve"> and is show</w:t>
      </w:r>
      <w:r w:rsidR="00BA59D4">
        <w:t>n</w:t>
      </w:r>
      <w:r w:rsidR="0035102C">
        <w:t xml:space="preserve"> in Table 1</w:t>
      </w:r>
      <w:r w:rsidR="00FB4EFF">
        <w:t xml:space="preserve">, </w:t>
      </w:r>
      <w:r w:rsidR="006E2085">
        <w:t xml:space="preserve">where authors described that </w:t>
      </w:r>
      <w:r w:rsidR="005B4411">
        <w:t xml:space="preserve">PS </w:t>
      </w:r>
      <w:r w:rsidR="00B22249">
        <w:t>feedstock was</w:t>
      </w:r>
      <w:r w:rsidR="00572580">
        <w:t xml:space="preserve"> supplied from Sigma Aldrich</w:t>
      </w:r>
      <w:r w:rsidR="00B22249">
        <w:t xml:space="preserve"> </w:t>
      </w:r>
      <w:r w:rsidR="008B1898">
        <w:t>and</w:t>
      </w:r>
      <w:r w:rsidR="001F4121">
        <w:t xml:space="preserve"> Nanometer-Micro Technology Co. </w:t>
      </w:r>
      <w:r w:rsidR="00572580">
        <w:t xml:space="preserve">or </w:t>
      </w:r>
      <w:r w:rsidR="00B22249">
        <w:t>recollected from local markets</w:t>
      </w:r>
      <w:r w:rsidR="0050250A">
        <w:t>;</w:t>
      </w:r>
      <w:r w:rsidR="00B22249">
        <w:t xml:space="preserve"> </w:t>
      </w:r>
      <w:r w:rsidR="00384AEC">
        <w:t xml:space="preserve">XPS </w:t>
      </w:r>
      <w:r w:rsidR="0050250A">
        <w:t xml:space="preserve">distributor </w:t>
      </w:r>
      <w:r w:rsidR="00384AEC">
        <w:t>was not de</w:t>
      </w:r>
      <w:r w:rsidR="00FB4EFF">
        <w:t>fined</w:t>
      </w:r>
      <w:r w:rsidR="00384AEC">
        <w:t xml:space="preserve">. </w:t>
      </w:r>
      <w:r w:rsidR="006F5DE3">
        <w:t>In order not</w:t>
      </w:r>
      <w:r w:rsidR="002D1349">
        <w:t xml:space="preserve"> to consider the influence of other factors</w:t>
      </w:r>
      <w:r w:rsidR="005662E3">
        <w:t xml:space="preserve">, </w:t>
      </w:r>
      <w:r w:rsidR="002D1349">
        <w:t xml:space="preserve">such as inert gas and </w:t>
      </w:r>
      <w:r w:rsidR="00081D0B">
        <w:t>its flow rate in the determination of</w:t>
      </w:r>
      <w:r w:rsidR="005662E3">
        <w:t xml:space="preserve"> maximum temperature, the data collected are results of experiments under nitrogen as inert gas</w:t>
      </w:r>
      <w:r w:rsidR="008A4F6B">
        <w:t xml:space="preserve"> and at a flow rate of 100 mL min</w:t>
      </w:r>
      <w:r w:rsidR="008A4F6B" w:rsidRPr="008A4F6B">
        <w:rPr>
          <w:vertAlign w:val="superscript"/>
        </w:rPr>
        <w:t>-1</w:t>
      </w:r>
      <w:r w:rsidR="008817EF">
        <w:t xml:space="preserve"> and were complemented </w:t>
      </w:r>
      <w:r w:rsidR="003E4E5A">
        <w:t>by</w:t>
      </w:r>
      <w:r w:rsidR="008817EF">
        <w:t xml:space="preserve"> studies </w:t>
      </w:r>
      <w:r w:rsidR="003E4E5A">
        <w:t>with flows not reported.</w:t>
      </w:r>
    </w:p>
    <w:p w14:paraId="171BDF16" w14:textId="77777777" w:rsidR="008A4F6B" w:rsidRDefault="008A4F6B" w:rsidP="008A4F6B">
      <w:pPr>
        <w:pStyle w:val="CETBodytext"/>
      </w:pPr>
    </w:p>
    <w:p w14:paraId="78D1F31A" w14:textId="0D2D1F71" w:rsidR="00AD48D5" w:rsidRPr="0022172E" w:rsidRDefault="00AD48D5" w:rsidP="008A4F6B">
      <w:pPr>
        <w:pStyle w:val="CETBodytext"/>
      </w:pPr>
      <w:r>
        <w:t xml:space="preserve">Table 1. </w:t>
      </w:r>
      <w:r w:rsidR="00945CF8">
        <w:t>TGA d</w:t>
      </w:r>
      <w:r>
        <w:t>ata considerations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20"/>
      </w:tblGrid>
      <w:tr w:rsidR="00714D04" w:rsidRPr="0022172E" w14:paraId="3767E6F2" w14:textId="77777777" w:rsidTr="00770303">
        <w:tc>
          <w:tcPr>
            <w:tcW w:w="1134" w:type="dxa"/>
            <w:tcBorders>
              <w:top w:val="single" w:sz="12" w:space="0" w:color="008000"/>
              <w:bottom w:val="single" w:sz="6" w:space="0" w:color="008000"/>
            </w:tcBorders>
            <w:shd w:val="clear" w:color="auto" w:fill="FFFFFF"/>
          </w:tcPr>
          <w:p w14:paraId="29683258" w14:textId="250EB959" w:rsidR="00714D04" w:rsidRPr="0022172E" w:rsidRDefault="00714D04" w:rsidP="0091682C">
            <w:pPr>
              <w:pStyle w:val="CETBodytext"/>
            </w:pPr>
            <w:r>
              <w:t>Parameter</w:t>
            </w:r>
          </w:p>
        </w:tc>
        <w:tc>
          <w:tcPr>
            <w:tcW w:w="1134" w:type="dxa"/>
            <w:tcBorders>
              <w:top w:val="single" w:sz="12" w:space="0" w:color="008000"/>
              <w:bottom w:val="single" w:sz="6" w:space="0" w:color="008000"/>
            </w:tcBorders>
            <w:shd w:val="clear" w:color="auto" w:fill="FFFFFF"/>
          </w:tcPr>
          <w:p w14:paraId="1D60243A" w14:textId="47EA7EBF" w:rsidR="00714D04" w:rsidRPr="0022172E" w:rsidRDefault="00714D04" w:rsidP="0091682C">
            <w:pPr>
              <w:pStyle w:val="CETBodytext"/>
            </w:pPr>
            <w:r>
              <w:t>Unit</w:t>
            </w:r>
          </w:p>
        </w:tc>
        <w:tc>
          <w:tcPr>
            <w:tcW w:w="1134" w:type="dxa"/>
            <w:tcBorders>
              <w:top w:val="single" w:sz="12" w:space="0" w:color="008000"/>
              <w:bottom w:val="single" w:sz="6" w:space="0" w:color="008000"/>
            </w:tcBorders>
            <w:shd w:val="clear" w:color="auto" w:fill="FFFFFF"/>
          </w:tcPr>
          <w:p w14:paraId="6F1CD5DF" w14:textId="7C7B2450" w:rsidR="00714D04" w:rsidRDefault="00714D04" w:rsidP="0091682C">
            <w:pPr>
              <w:pStyle w:val="CETBodytext"/>
            </w:pPr>
            <w:r>
              <w:t>Value</w:t>
            </w:r>
          </w:p>
        </w:tc>
        <w:tc>
          <w:tcPr>
            <w:tcW w:w="20" w:type="dxa"/>
            <w:tcBorders>
              <w:top w:val="single" w:sz="12" w:space="0" w:color="008000"/>
              <w:bottom w:val="single" w:sz="6" w:space="0" w:color="008000"/>
            </w:tcBorders>
            <w:shd w:val="clear" w:color="auto" w:fill="FFFFFF"/>
          </w:tcPr>
          <w:p w14:paraId="05D80426" w14:textId="77777777" w:rsidR="00714D04" w:rsidRPr="0022172E" w:rsidRDefault="00714D04" w:rsidP="0091682C">
            <w:pPr>
              <w:pStyle w:val="CETBodytext"/>
              <w:ind w:right="-1"/>
              <w:rPr>
                <w:rFonts w:cs="Arial"/>
                <w:szCs w:val="18"/>
              </w:rPr>
            </w:pPr>
          </w:p>
        </w:tc>
      </w:tr>
      <w:tr w:rsidR="00714D04" w:rsidRPr="0056571F" w14:paraId="1C75B677" w14:textId="77777777" w:rsidTr="00770303">
        <w:tc>
          <w:tcPr>
            <w:tcW w:w="1134" w:type="dxa"/>
            <w:shd w:val="clear" w:color="auto" w:fill="FFFFFF"/>
          </w:tcPr>
          <w:p w14:paraId="2813931A" w14:textId="61604085" w:rsidR="00714D04" w:rsidRPr="0022172E" w:rsidRDefault="00714D04" w:rsidP="0091682C">
            <w:pPr>
              <w:pStyle w:val="CETBodytext"/>
            </w:pPr>
            <w:r>
              <w:t>Inert gas</w:t>
            </w:r>
          </w:p>
        </w:tc>
        <w:tc>
          <w:tcPr>
            <w:tcW w:w="1134" w:type="dxa"/>
            <w:shd w:val="clear" w:color="auto" w:fill="FFFFFF"/>
          </w:tcPr>
          <w:p w14:paraId="11FF2756" w14:textId="1A749610" w:rsidR="00714D04" w:rsidRPr="0022172E" w:rsidRDefault="00714D04" w:rsidP="0091682C">
            <w:pPr>
              <w:pStyle w:val="CETBodytext"/>
            </w:pPr>
            <w:r>
              <w:t>-</w:t>
            </w:r>
          </w:p>
        </w:tc>
        <w:tc>
          <w:tcPr>
            <w:tcW w:w="1134" w:type="dxa"/>
            <w:shd w:val="clear" w:color="auto" w:fill="FFFFFF"/>
          </w:tcPr>
          <w:p w14:paraId="30BA5683" w14:textId="5BEDF85B" w:rsidR="00714D04" w:rsidRPr="0022172E" w:rsidRDefault="00714D04" w:rsidP="0091682C">
            <w:pPr>
              <w:pStyle w:val="CETBodytext"/>
            </w:pPr>
            <w:r>
              <w:t>Nitrogen</w:t>
            </w:r>
          </w:p>
        </w:tc>
        <w:tc>
          <w:tcPr>
            <w:tcW w:w="20" w:type="dxa"/>
            <w:shd w:val="clear" w:color="auto" w:fill="FFFFFF"/>
          </w:tcPr>
          <w:p w14:paraId="5BBE4BA8" w14:textId="77777777" w:rsidR="00714D04" w:rsidRPr="0056571F" w:rsidRDefault="00714D04" w:rsidP="0091682C">
            <w:pPr>
              <w:pStyle w:val="CETBodytext"/>
              <w:ind w:right="-1"/>
              <w:rPr>
                <w:rFonts w:cs="Arial"/>
                <w:szCs w:val="18"/>
                <w:lang w:val="fr-FR"/>
              </w:rPr>
            </w:pPr>
          </w:p>
        </w:tc>
      </w:tr>
      <w:tr w:rsidR="00714D04" w:rsidRPr="0022172E" w14:paraId="02148392" w14:textId="77777777" w:rsidTr="00770303">
        <w:tc>
          <w:tcPr>
            <w:tcW w:w="1134" w:type="dxa"/>
            <w:shd w:val="clear" w:color="auto" w:fill="FFFFFF"/>
          </w:tcPr>
          <w:p w14:paraId="6AE5AB46" w14:textId="4AB56FBD" w:rsidR="00714D04" w:rsidRPr="0022172E" w:rsidRDefault="00714D04" w:rsidP="0091682C">
            <w:pPr>
              <w:pStyle w:val="CETBodytext"/>
              <w:ind w:right="-1"/>
              <w:rPr>
                <w:rFonts w:cs="Arial"/>
                <w:szCs w:val="18"/>
              </w:rPr>
            </w:pPr>
            <w:r>
              <w:rPr>
                <w:rFonts w:cs="Arial"/>
                <w:szCs w:val="18"/>
              </w:rPr>
              <w:t xml:space="preserve">Flow rate </w:t>
            </w:r>
          </w:p>
        </w:tc>
        <w:tc>
          <w:tcPr>
            <w:tcW w:w="1134" w:type="dxa"/>
            <w:shd w:val="clear" w:color="auto" w:fill="FFFFFF"/>
          </w:tcPr>
          <w:p w14:paraId="07E8978A" w14:textId="2B5CB560" w:rsidR="00714D04" w:rsidRPr="0022172E" w:rsidRDefault="00714D04" w:rsidP="0091682C">
            <w:pPr>
              <w:pStyle w:val="CETBodytext"/>
              <w:ind w:right="-1"/>
              <w:rPr>
                <w:rFonts w:cs="Arial"/>
                <w:szCs w:val="18"/>
              </w:rPr>
            </w:pPr>
            <w:r>
              <w:rPr>
                <w:rFonts w:cs="Arial"/>
                <w:szCs w:val="18"/>
              </w:rPr>
              <w:t>mL min</w:t>
            </w:r>
            <w:r w:rsidRPr="0078135D">
              <w:rPr>
                <w:rFonts w:cs="Arial"/>
                <w:szCs w:val="18"/>
                <w:vertAlign w:val="superscript"/>
              </w:rPr>
              <w:t>-1</w:t>
            </w:r>
          </w:p>
        </w:tc>
        <w:tc>
          <w:tcPr>
            <w:tcW w:w="1134" w:type="dxa"/>
            <w:shd w:val="clear" w:color="auto" w:fill="FFFFFF"/>
          </w:tcPr>
          <w:p w14:paraId="320D047B" w14:textId="013C65E7" w:rsidR="00714D04" w:rsidRPr="0022172E" w:rsidRDefault="00714D04" w:rsidP="0091682C">
            <w:pPr>
              <w:pStyle w:val="CETBodytext"/>
              <w:ind w:right="-1"/>
              <w:rPr>
                <w:rFonts w:cs="Arial"/>
                <w:szCs w:val="18"/>
              </w:rPr>
            </w:pPr>
            <w:r>
              <w:rPr>
                <w:rFonts w:cs="Arial"/>
                <w:szCs w:val="18"/>
              </w:rPr>
              <w:t>100</w:t>
            </w:r>
          </w:p>
        </w:tc>
        <w:tc>
          <w:tcPr>
            <w:tcW w:w="20" w:type="dxa"/>
            <w:shd w:val="clear" w:color="auto" w:fill="FFFFFF"/>
          </w:tcPr>
          <w:p w14:paraId="0347E161" w14:textId="77777777" w:rsidR="00714D04" w:rsidRPr="0022172E" w:rsidRDefault="00714D04" w:rsidP="0091682C">
            <w:pPr>
              <w:pStyle w:val="CETBodytext"/>
              <w:ind w:right="-1"/>
              <w:rPr>
                <w:rFonts w:cs="Arial"/>
                <w:szCs w:val="18"/>
              </w:rPr>
            </w:pPr>
          </w:p>
        </w:tc>
      </w:tr>
      <w:tr w:rsidR="00714D04" w:rsidRPr="0022172E" w14:paraId="273AC3BA" w14:textId="77777777" w:rsidTr="00770303">
        <w:tc>
          <w:tcPr>
            <w:tcW w:w="1134" w:type="dxa"/>
            <w:shd w:val="clear" w:color="auto" w:fill="FFFFFF"/>
          </w:tcPr>
          <w:p w14:paraId="76B95BC6" w14:textId="7B53C1FF" w:rsidR="00714D04" w:rsidRDefault="00714D04" w:rsidP="0091682C">
            <w:pPr>
              <w:pStyle w:val="CETBodytext"/>
              <w:ind w:right="-1"/>
              <w:rPr>
                <w:rFonts w:cs="Arial"/>
                <w:szCs w:val="18"/>
              </w:rPr>
            </w:pPr>
            <w:r>
              <w:rPr>
                <w:rFonts w:cs="Arial"/>
                <w:szCs w:val="18"/>
              </w:rPr>
              <w:t>Heating rate</w:t>
            </w:r>
          </w:p>
        </w:tc>
        <w:tc>
          <w:tcPr>
            <w:tcW w:w="1134" w:type="dxa"/>
            <w:shd w:val="clear" w:color="auto" w:fill="FFFFFF"/>
          </w:tcPr>
          <w:p w14:paraId="4002A268" w14:textId="6491FC1F" w:rsidR="00714D04" w:rsidRDefault="00714D04" w:rsidP="0091682C">
            <w:pPr>
              <w:pStyle w:val="CETBodytext"/>
              <w:ind w:right="-1"/>
              <w:rPr>
                <w:rFonts w:cs="Arial"/>
                <w:szCs w:val="18"/>
              </w:rPr>
            </w:pPr>
            <w:r>
              <w:rPr>
                <w:rFonts w:cs="Arial"/>
                <w:szCs w:val="18"/>
              </w:rPr>
              <w:t>°C min</w:t>
            </w:r>
            <w:r w:rsidRPr="00DF05A1">
              <w:rPr>
                <w:rFonts w:cs="Arial"/>
                <w:szCs w:val="18"/>
                <w:vertAlign w:val="superscript"/>
              </w:rPr>
              <w:t>-1</w:t>
            </w:r>
          </w:p>
        </w:tc>
        <w:tc>
          <w:tcPr>
            <w:tcW w:w="1134" w:type="dxa"/>
            <w:shd w:val="clear" w:color="auto" w:fill="FFFFFF"/>
          </w:tcPr>
          <w:p w14:paraId="401D43C7" w14:textId="20E4748E" w:rsidR="00714D04" w:rsidRDefault="00714D04" w:rsidP="0091682C">
            <w:pPr>
              <w:pStyle w:val="CETBodytext"/>
              <w:ind w:right="-1"/>
              <w:rPr>
                <w:rFonts w:cs="Arial"/>
                <w:szCs w:val="18"/>
              </w:rPr>
            </w:pPr>
            <w:r>
              <w:rPr>
                <w:rFonts w:cs="Arial"/>
                <w:szCs w:val="18"/>
              </w:rPr>
              <w:t>5 – 80</w:t>
            </w:r>
          </w:p>
        </w:tc>
        <w:tc>
          <w:tcPr>
            <w:tcW w:w="20" w:type="dxa"/>
            <w:shd w:val="clear" w:color="auto" w:fill="FFFFFF"/>
          </w:tcPr>
          <w:p w14:paraId="3B5A7A3E" w14:textId="77777777" w:rsidR="00714D04" w:rsidRPr="0022172E" w:rsidRDefault="00714D04" w:rsidP="0091682C">
            <w:pPr>
              <w:pStyle w:val="CETBodytext"/>
              <w:ind w:right="-1"/>
              <w:rPr>
                <w:rFonts w:cs="Arial"/>
                <w:szCs w:val="18"/>
              </w:rPr>
            </w:pPr>
          </w:p>
        </w:tc>
      </w:tr>
      <w:tr w:rsidR="00714D04" w:rsidRPr="0022172E" w14:paraId="2C6E7FF4" w14:textId="77777777" w:rsidTr="00770303">
        <w:tc>
          <w:tcPr>
            <w:tcW w:w="1134" w:type="dxa"/>
            <w:shd w:val="clear" w:color="auto" w:fill="FFFFFF"/>
          </w:tcPr>
          <w:p w14:paraId="2A3B25B4" w14:textId="3705379F" w:rsidR="00714D04" w:rsidRDefault="00714D04" w:rsidP="0091682C">
            <w:pPr>
              <w:pStyle w:val="CETBodytext"/>
              <w:ind w:right="-1"/>
              <w:rPr>
                <w:rFonts w:cs="Arial"/>
                <w:szCs w:val="18"/>
              </w:rPr>
            </w:pPr>
            <w:r>
              <w:rPr>
                <w:rFonts w:cs="Arial"/>
                <w:szCs w:val="18"/>
              </w:rPr>
              <w:t>Feedstock</w:t>
            </w:r>
          </w:p>
        </w:tc>
        <w:tc>
          <w:tcPr>
            <w:tcW w:w="1134" w:type="dxa"/>
            <w:shd w:val="clear" w:color="auto" w:fill="FFFFFF"/>
          </w:tcPr>
          <w:p w14:paraId="3A2230C0" w14:textId="5233B452" w:rsidR="00714D04" w:rsidRDefault="00714D04" w:rsidP="0091682C">
            <w:pPr>
              <w:pStyle w:val="CETBodytext"/>
              <w:ind w:right="-1"/>
              <w:rPr>
                <w:rFonts w:cs="Arial"/>
                <w:szCs w:val="18"/>
              </w:rPr>
            </w:pPr>
            <w:r>
              <w:rPr>
                <w:rFonts w:cs="Arial"/>
                <w:szCs w:val="18"/>
              </w:rPr>
              <w:t>-</w:t>
            </w:r>
          </w:p>
        </w:tc>
        <w:tc>
          <w:tcPr>
            <w:tcW w:w="1134" w:type="dxa"/>
            <w:shd w:val="clear" w:color="auto" w:fill="FFFFFF"/>
          </w:tcPr>
          <w:p w14:paraId="4CB4FEBB" w14:textId="40BF2F84" w:rsidR="00714D04" w:rsidRDefault="00714D04" w:rsidP="0091682C">
            <w:pPr>
              <w:pStyle w:val="CETBodytext"/>
              <w:ind w:right="-1"/>
              <w:rPr>
                <w:rFonts w:cs="Arial"/>
                <w:szCs w:val="18"/>
              </w:rPr>
            </w:pPr>
            <w:r>
              <w:rPr>
                <w:rFonts w:cs="Arial"/>
                <w:szCs w:val="18"/>
              </w:rPr>
              <w:t>PS/XPS</w:t>
            </w:r>
          </w:p>
        </w:tc>
        <w:tc>
          <w:tcPr>
            <w:tcW w:w="20" w:type="dxa"/>
            <w:shd w:val="clear" w:color="auto" w:fill="FFFFFF"/>
          </w:tcPr>
          <w:p w14:paraId="65463408" w14:textId="77777777" w:rsidR="00714D04" w:rsidRPr="0022172E" w:rsidRDefault="00714D04" w:rsidP="0091682C">
            <w:pPr>
              <w:pStyle w:val="CETBodytext"/>
              <w:ind w:right="-1"/>
              <w:rPr>
                <w:rFonts w:cs="Arial"/>
                <w:szCs w:val="18"/>
              </w:rPr>
            </w:pPr>
          </w:p>
        </w:tc>
      </w:tr>
    </w:tbl>
    <w:p w14:paraId="3C40D700" w14:textId="77777777" w:rsidR="00714D04" w:rsidRPr="0056571F" w:rsidRDefault="00714D04" w:rsidP="00714D04">
      <w:pPr>
        <w:pStyle w:val="CETBodytext"/>
        <w:rPr>
          <w:lang w:val="fr-FR"/>
        </w:rPr>
      </w:pPr>
      <w:r>
        <w:fldChar w:fldCharType="begin"/>
      </w:r>
      <w:r w:rsidRPr="00534D9A">
        <w:rPr>
          <w:lang w:val="fr-FR"/>
        </w:rPr>
        <w:instrText xml:space="preserve"> ADDIN ZOTERO_ITEM CSL_CITATION {"citationID":"bUehNDYe","properties":{"formattedCitation":"(Ding et al., 2019; Inayat et al., 2021; Li et al., 2020; Nisar et al., 2019)","plainCitation":"(Ding et al., 2019; Inayat et al., 2021; Li et al., 2020; Nisar et al., 2019)","noteIndex":0},"citationItems":[{"id":133,"uris":["http://zotero.org/users/10404519/items/BFMS2YHL"],"itemData":{"id":133,"type":"article-journal","container-title":"J. Thermal Sci.","DOI":"10.1007/s11630-019-1123-7","issue":"4","page":"763-771","title":"Insights into Pyrolysis of Nano-Polystyrene Particles: Thermochemical Behaviors and Kinetics Analysis","volume":"28","author":[{"family":"Ding","given":"Li"},{"family":"Zhao","given":"Jianping"},{"family":"Pan","given":"Yong"},{"family":"Guan","given":"Jin"},{"family":"Jiang","given":"Juncheng"},{"family":"Wang","given":"Qingsheng"}],"issued":{"date-parts":[["2019"]]}}},{"id":15,"uris":["http://zotero.org/users/10404519/items/UVV2D6B3"],"itemData":{"id":15,"type":"article-journal","container-title":"Waste Manag. Res.","DOI":"10.1177/0734242X20936746","issue":"2","page":"260-269","title":"Thermo-catalytic pyrolysis of polystyrene in batch and semi-batch reactors: A comparative study","volume":"39","author":[{"family":"Inayat","given":"Amer"},{"family":"Klemencova","given":"Katerina"},{"family":"Grycová","given":"Barbora"},{"family":"Sokolava","given":"Barbora"},{"family":"Lestinský","given":"Pavel"}],"issued":{"date-parts":[["2021"]]}}},{"id":229,"uris":["http://zotero.org/users/10404519/items/G7FNRLRI"],"itemData":{"id":229,"type":"article-journal","container-title":"Materials","DOI":"10.3390/ma13245595","page":"5595","title":"Pyrolysis Kinetic Properties of Thermal Insulation Waste Extruded Polystyrene by Multiple Thermal Analysis Methods","volume":"13","author":[{"family":"Li","given":"Ang"},{"family":"Zhang","given":"Wenlong"},{"family":"Zhang","given":"Juan"},{"family":"Ding","given":"Yanming"},{"family":"Zhou","given":"Ru"}],"issued":{"date-parts":[["2020"]]}}},{"id":80,"uris":["http://zotero.org/users/10404519/items/CJKXMBJW"],"itemData":{"id":80,"type":"article-journal","container-title":"Waste Manag.","DOI":"10.1016/j.wasman.2019.03.035","page":"236-247","title":"Fuel production from waste polystyrene via pyrolysis: Kinetics and products distribution","volume":"88","author":[{"family":"Nisar","given":"Jan"},{"family":"Ali","given":"Ghulam"},{"family":"Shah","given":"Afzal"},{"family":"Iqbal","given":"Munawar"},{"family":"Ali Khan","given":"Rafaqat"},{"family":"Sirajuddin","given":""},{"family":"Anwar","given":"Farooq"},{"family":"Ullah","given":"Raqeeb"},{"family":"Akhter","given":"Mohammad Salim"}],"issued":{"date-parts":[["2019"]]}}}],"schema":"https://github.com/citation-style-language/schema/raw/master/csl-citation.json"} </w:instrText>
      </w:r>
      <w:r>
        <w:fldChar w:fldCharType="separate"/>
      </w:r>
      <w:r w:rsidRPr="0056571F">
        <w:rPr>
          <w:rFonts w:cs="Arial"/>
          <w:lang w:val="fr-FR"/>
        </w:rPr>
        <w:t>(Ding et al., 2019; Inayat et al., 2021; Li et al., 2020; Nisar et al., 2019)</w:t>
      </w:r>
      <w:r>
        <w:fldChar w:fldCharType="end"/>
      </w:r>
    </w:p>
    <w:p w14:paraId="0E83FEC8" w14:textId="77777777" w:rsidR="00AD48D5" w:rsidRPr="00714D04" w:rsidRDefault="00AD48D5" w:rsidP="00DB153E">
      <w:pPr>
        <w:pStyle w:val="CETBodytext"/>
        <w:rPr>
          <w:lang w:val="fr-FR"/>
        </w:rPr>
      </w:pPr>
    </w:p>
    <w:p w14:paraId="71FDBB7C" w14:textId="77777777" w:rsidR="00176199" w:rsidRPr="00714D04" w:rsidRDefault="00176199" w:rsidP="00DB153E">
      <w:pPr>
        <w:pStyle w:val="CETBodytext"/>
        <w:rPr>
          <w:lang w:val="es-MX"/>
        </w:rPr>
      </w:pPr>
    </w:p>
    <w:p w14:paraId="0905B4EA" w14:textId="2A530753" w:rsidR="00CF77C6" w:rsidRPr="0022172E" w:rsidRDefault="00CF77C6" w:rsidP="00CF77C6">
      <w:pPr>
        <w:pStyle w:val="CETheadingx"/>
      </w:pPr>
      <w:r w:rsidRPr="0022172E">
        <w:t>Methods</w:t>
      </w:r>
    </w:p>
    <w:p w14:paraId="7391646A" w14:textId="100E78CE" w:rsidR="000951CC" w:rsidRPr="00D226BF" w:rsidRDefault="003E3053" w:rsidP="00D226BF">
      <w:pPr>
        <w:pStyle w:val="CETBodytext"/>
      </w:pPr>
      <w:proofErr w:type="spellStart"/>
      <w:r>
        <w:t>GetData</w:t>
      </w:r>
      <w:proofErr w:type="spellEnd"/>
      <w:r>
        <w:t xml:space="preserve"> 2.26 software (</w:t>
      </w:r>
      <w:proofErr w:type="spellStart"/>
      <w:r>
        <w:t>Sarov</w:t>
      </w:r>
      <w:proofErr w:type="spellEnd"/>
      <w:r>
        <w:t xml:space="preserve">, Russia) was used for recollecting the data from graphics in the literature with a risk of bias of </w:t>
      </w:r>
      <w:r>
        <w:rPr>
          <w:rFonts w:cs="Arial"/>
        </w:rPr>
        <w:t>±</w:t>
      </w:r>
      <w:r>
        <w:t xml:space="preserve">2%. </w:t>
      </w:r>
      <w:r w:rsidR="00EE7F35" w:rsidRPr="00D226BF">
        <w:t xml:space="preserve">As </w:t>
      </w:r>
      <w:r w:rsidR="00813B78" w:rsidRPr="00D226BF">
        <w:t xml:space="preserve">a </w:t>
      </w:r>
      <w:r w:rsidR="00EE7F35" w:rsidRPr="00D226BF">
        <w:t>first stage</w:t>
      </w:r>
      <w:r w:rsidR="00AB13A3" w:rsidRPr="00D226BF">
        <w:t xml:space="preserve">, </w:t>
      </w:r>
      <w:r w:rsidR="00EE7F35" w:rsidRPr="00D226BF">
        <w:t xml:space="preserve">a visual representation through box plots </w:t>
      </w:r>
      <w:r w:rsidR="000951CC" w:rsidRPr="00D226BF">
        <w:t>(25-75% quartiles) describing the mean (±95% confidence intervals), and outliers</w:t>
      </w:r>
      <w:r w:rsidR="00D617C1" w:rsidRPr="00D226BF">
        <w:t xml:space="preserve"> w</w:t>
      </w:r>
      <w:r w:rsidR="00D3285B" w:rsidRPr="00D226BF">
        <w:t>ere</w:t>
      </w:r>
      <w:r w:rsidR="00D617C1" w:rsidRPr="00D226BF">
        <w:t xml:space="preserve"> analyzed</w:t>
      </w:r>
      <w:r w:rsidR="000951CC" w:rsidRPr="00D226BF">
        <w:t xml:space="preserve"> to compare the distributions and observe </w:t>
      </w:r>
      <w:r w:rsidR="00D617C1" w:rsidRPr="00D226BF">
        <w:t xml:space="preserve">the influence of heating rate on maximum </w:t>
      </w:r>
      <w:r w:rsidR="00D3285B" w:rsidRPr="00D226BF">
        <w:t xml:space="preserve">degradation </w:t>
      </w:r>
      <w:r w:rsidR="00D617C1" w:rsidRPr="00D226BF">
        <w:t>temperature degradation in PS pyrolysis.</w:t>
      </w:r>
      <w:r w:rsidR="000951CC" w:rsidRPr="00D226BF">
        <w:t xml:space="preserve"> The statistical analysis was performed using </w:t>
      </w:r>
      <w:proofErr w:type="spellStart"/>
      <w:r w:rsidR="000951CC" w:rsidRPr="00D226BF">
        <w:t>OriginPro</w:t>
      </w:r>
      <w:proofErr w:type="spellEnd"/>
      <w:r w:rsidR="000951CC" w:rsidRPr="00D226BF">
        <w:t xml:space="preserve"> 2022 software.</w:t>
      </w:r>
    </w:p>
    <w:p w14:paraId="0FAA7799" w14:textId="72494AF5" w:rsidR="0026455F" w:rsidRPr="00D226BF" w:rsidRDefault="0026455F" w:rsidP="00D226BF">
      <w:pPr>
        <w:pStyle w:val="CETBodytext"/>
      </w:pPr>
      <w:r w:rsidRPr="00D226BF">
        <w:t xml:space="preserve">This paper compares linear and polynomial regression models to estimate the best-fitting model to determine the maximum temperature of degradation of PS by different heating rates. The regression analysis was obtained using </w:t>
      </w:r>
      <w:proofErr w:type="spellStart"/>
      <w:r w:rsidRPr="00D226BF">
        <w:t>Statgraphics</w:t>
      </w:r>
      <w:proofErr w:type="spellEnd"/>
      <w:r w:rsidRPr="00D226BF">
        <w:t xml:space="preserve"> Centurion XIV software</w:t>
      </w:r>
      <w:r w:rsidR="00553B75">
        <w:t xml:space="preserve"> with </w:t>
      </w:r>
      <w:r w:rsidR="00553B75">
        <w:rPr>
          <w:rFonts w:ascii="Calibri" w:hAnsi="Calibri" w:cs="Calibri"/>
        </w:rPr>
        <w:t>α</w:t>
      </w:r>
      <w:r w:rsidR="00553B75">
        <w:t>=</w:t>
      </w:r>
      <w:r w:rsidR="00332EA8">
        <w:t>0.05 %</w:t>
      </w:r>
      <w:r w:rsidRPr="00D226BF">
        <w:t>.</w:t>
      </w:r>
      <w:r w:rsidR="000C78C6" w:rsidRPr="00D226BF">
        <w:t xml:space="preserve"> </w:t>
      </w:r>
      <w:r w:rsidR="00690CE4" w:rsidRPr="00690CE4">
        <w:t>Finally, the maximum degradation temperature of two exclusion points was calculated to evaluate the resulting models</w:t>
      </w:r>
      <w:r w:rsidR="00D43CDB">
        <w:t>;</w:t>
      </w:r>
      <w:r w:rsidR="00690CE4" w:rsidRPr="00690CE4">
        <w:t xml:space="preserve"> their relative errors </w:t>
      </w:r>
      <w:r w:rsidR="00690CE4">
        <w:t xml:space="preserve">were </w:t>
      </w:r>
      <w:r w:rsidR="00690CE4" w:rsidRPr="00690CE4">
        <w:t xml:space="preserve">compared with those found in the literature using </w:t>
      </w:r>
      <w:proofErr w:type="gramStart"/>
      <w:r w:rsidR="00690CE4" w:rsidRPr="00690CE4">
        <w:t>eq</w:t>
      </w:r>
      <w:r w:rsidR="0073411A">
        <w:t>.</w:t>
      </w:r>
      <w:r w:rsidR="0080361C">
        <w:t>(</w:t>
      </w:r>
      <w:proofErr w:type="gramEnd"/>
      <w:r w:rsidR="00690CE4" w:rsidRPr="00690CE4">
        <w:t>1</w:t>
      </w:r>
      <w:r w:rsidR="0080361C">
        <w:t>)</w:t>
      </w:r>
      <w:r w:rsidR="00690CE4" w:rsidRPr="00690CE4">
        <w:t>.</w:t>
      </w:r>
    </w:p>
    <w:p w14:paraId="4FC0D9D4" w14:textId="08377D93" w:rsidR="00176199" w:rsidRDefault="00176199" w:rsidP="00DB153E">
      <w:pPr>
        <w:pStyle w:val="CETBodytext"/>
      </w:pPr>
    </w:p>
    <w:tbl>
      <w:tblPr>
        <w:tblW w:w="5000" w:type="pct"/>
        <w:tblLook w:val="04A0" w:firstRow="1" w:lastRow="0" w:firstColumn="1" w:lastColumn="0" w:noHBand="0" w:noVBand="1"/>
      </w:tblPr>
      <w:tblGrid>
        <w:gridCol w:w="7986"/>
        <w:gridCol w:w="801"/>
      </w:tblGrid>
      <w:tr w:rsidR="001C2806" w:rsidRPr="00F57119" w14:paraId="01C8832A" w14:textId="77777777" w:rsidTr="008363C3">
        <w:tc>
          <w:tcPr>
            <w:tcW w:w="8188" w:type="dxa"/>
            <w:shd w:val="clear" w:color="auto" w:fill="auto"/>
            <w:vAlign w:val="center"/>
          </w:tcPr>
          <w:p w14:paraId="4CEEB8A6" w14:textId="0B1E5AFF" w:rsidR="00945A8C" w:rsidRPr="00867388" w:rsidRDefault="00DD4D64" w:rsidP="00867388">
            <w:pPr>
              <w:pStyle w:val="CETEquation"/>
            </w:pPr>
            <m:oMathPara>
              <m:oMathParaPr>
                <m:jc m:val="left"/>
              </m:oMathParaPr>
              <m:oMath>
                <m:r>
                  <w:rPr>
                    <w:rFonts w:ascii="Cambria Math" w:hAnsi="Cambria Math"/>
                  </w:rPr>
                  <m:t>Relative</m:t>
                </m:r>
                <m:r>
                  <m:rPr>
                    <m:sty m:val="p"/>
                  </m:rPr>
                  <w:rPr>
                    <w:rFonts w:ascii="Cambria Math" w:hAnsi="Cambria Math"/>
                  </w:rPr>
                  <m:t xml:space="preserve"> </m:t>
                </m:r>
                <m:r>
                  <w:rPr>
                    <w:rFonts w:ascii="Cambria Math" w:hAnsi="Cambria Math"/>
                  </w:rPr>
                  <m:t>error</m:t>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calculated</m:t>
                        </m:r>
                        <m:r>
                          <m:rPr>
                            <m:sty m:val="p"/>
                          </m:rPr>
                          <w:rPr>
                            <w:rFonts w:ascii="Cambria Math" w:hAnsi="Cambria Math"/>
                          </w:rPr>
                          <m:t>-</m:t>
                        </m:r>
                        <m:r>
                          <w:rPr>
                            <w:rFonts w:ascii="Cambria Math" w:hAnsi="Cambria Math"/>
                          </w:rPr>
                          <m:t>experimented</m:t>
                        </m:r>
                      </m:e>
                    </m:d>
                  </m:num>
                  <m:den>
                    <m:r>
                      <w:rPr>
                        <w:rFonts w:ascii="Cambria Math" w:hAnsi="Cambria Math"/>
                      </w:rPr>
                      <m:t>experimented</m:t>
                    </m:r>
                  </m:den>
                </m:f>
                <m:r>
                  <m:rPr>
                    <m:sty m:val="p"/>
                  </m:rPr>
                  <w:rPr>
                    <w:rFonts w:ascii="Cambria Math" w:hAnsi="Cambria Math"/>
                  </w:rPr>
                  <m:t>*100</m:t>
                </m:r>
              </m:oMath>
            </m:oMathPara>
          </w:p>
        </w:tc>
        <w:tc>
          <w:tcPr>
            <w:tcW w:w="815" w:type="dxa"/>
            <w:shd w:val="clear" w:color="auto" w:fill="auto"/>
            <w:vAlign w:val="center"/>
          </w:tcPr>
          <w:p w14:paraId="7D2EA6F8" w14:textId="77777777" w:rsidR="00945A8C" w:rsidRPr="00F57119" w:rsidRDefault="00945A8C" w:rsidP="00F57119">
            <w:pPr>
              <w:pStyle w:val="CETEquation"/>
            </w:pPr>
            <w:r w:rsidRPr="00F57119">
              <w:t>(1)</w:t>
            </w:r>
          </w:p>
        </w:tc>
      </w:tr>
    </w:tbl>
    <w:p w14:paraId="53D9285F" w14:textId="77777777" w:rsidR="00945A8C" w:rsidRPr="0022172E" w:rsidRDefault="00945A8C" w:rsidP="00DB153E">
      <w:pPr>
        <w:pStyle w:val="CETBodytext"/>
      </w:pPr>
    </w:p>
    <w:p w14:paraId="39E3B70C" w14:textId="218B253E" w:rsidR="002F241B" w:rsidRDefault="00176199" w:rsidP="002F241B">
      <w:pPr>
        <w:pStyle w:val="CETHeading1"/>
      </w:pPr>
      <w:r w:rsidRPr="0022172E">
        <w:t>Results</w:t>
      </w:r>
    </w:p>
    <w:p w14:paraId="34314CC8" w14:textId="43B0257C" w:rsidR="008F4DCF" w:rsidRDefault="008F4DCF" w:rsidP="008F4DCF">
      <w:pPr>
        <w:pStyle w:val="CETheadingx"/>
      </w:pPr>
      <w:r w:rsidRPr="008F4DCF">
        <w:t>Influence of heating rate i</w:t>
      </w:r>
      <w:r>
        <w:t xml:space="preserve">n </w:t>
      </w:r>
      <w:proofErr w:type="spellStart"/>
      <w:r w:rsidR="0082764F">
        <w:t>Tmax</w:t>
      </w:r>
      <w:proofErr w:type="spellEnd"/>
      <w:r w:rsidR="0082764F">
        <w:t xml:space="preserve"> degradation</w:t>
      </w:r>
      <w:r w:rsidR="00F06137">
        <w:t xml:space="preserve"> on PS TGA</w:t>
      </w:r>
    </w:p>
    <w:p w14:paraId="044F134E" w14:textId="77777777" w:rsidR="008F4DCF" w:rsidRPr="008F4DCF" w:rsidRDefault="008F4DCF" w:rsidP="002F241B">
      <w:pPr>
        <w:pStyle w:val="CETBodytext"/>
      </w:pPr>
    </w:p>
    <w:p w14:paraId="7C706EA8" w14:textId="77777777" w:rsidR="00172F29" w:rsidRPr="00E0693C" w:rsidRDefault="00172F29" w:rsidP="00E0693C">
      <w:pPr>
        <w:pStyle w:val="CETBodytext"/>
      </w:pPr>
      <w:r w:rsidRPr="00E0693C">
        <w:t xml:space="preserve">Figure 1 visualizes the box plots of the data collected from the literature to visualize the distribution of the different heating rates and the maximum degradation temperature of PS by TGA. </w:t>
      </w:r>
    </w:p>
    <w:p w14:paraId="714CF37A" w14:textId="56390F53" w:rsidR="00AF429C" w:rsidRDefault="00172F29" w:rsidP="00AF429C">
      <w:pPr>
        <w:pStyle w:val="CETBodytext"/>
      </w:pPr>
      <w:r w:rsidRPr="00E0693C">
        <w:t>The mean temperatures range from 401 to 466 °C for 5 and 80 °C min</w:t>
      </w:r>
      <w:r w:rsidRPr="00E0693C">
        <w:rPr>
          <w:vertAlign w:val="superscript"/>
        </w:rPr>
        <w:t>-1</w:t>
      </w:r>
      <w:r w:rsidRPr="00E0693C">
        <w:t xml:space="preserve">, respectively. </w:t>
      </w:r>
      <w:r w:rsidR="00AF429C" w:rsidRPr="00E0693C">
        <w:t>Despite the wide scatter of the data collected, it can be observed that the mean maximum degradation temperature increases as the</w:t>
      </w:r>
      <w:r w:rsidR="00AF429C">
        <w:t xml:space="preserve"> </w:t>
      </w:r>
      <w:r w:rsidR="00AF429C" w:rsidRPr="00E0693C">
        <w:t>heating rate increases; this trend is fulfilled except for 50 °C min</w:t>
      </w:r>
      <w:r w:rsidR="00AF429C" w:rsidRPr="00E0693C">
        <w:rPr>
          <w:vertAlign w:val="superscript"/>
        </w:rPr>
        <w:t>-1</w:t>
      </w:r>
      <w:r w:rsidR="00AF429C" w:rsidRPr="00E0693C">
        <w:t>, where the temperature decreases to 447 °C.</w:t>
      </w:r>
    </w:p>
    <w:p w14:paraId="3DB26591" w14:textId="735F6988" w:rsidR="00AF429C" w:rsidRDefault="00867388" w:rsidP="00E0693C">
      <w:pPr>
        <w:pStyle w:val="CETBodytext"/>
      </w:pPr>
      <w:r w:rsidRPr="00867388">
        <w:lastRenderedPageBreak/>
        <w:t xml:space="preserve">Outlier points are presented for the heating </w:t>
      </w:r>
      <w:r>
        <w:t>rates</w:t>
      </w:r>
      <w:r w:rsidRPr="00867388">
        <w:t xml:space="preserve"> of 5, 10, and 20 °C min</w:t>
      </w:r>
      <w:r w:rsidRPr="00867388">
        <w:rPr>
          <w:vertAlign w:val="superscript"/>
        </w:rPr>
        <w:t>-1</w:t>
      </w:r>
      <w:r w:rsidRPr="00867388">
        <w:t xml:space="preserve">; these resulted from TGA data obtained from </w:t>
      </w:r>
      <w:r>
        <w:t>PS</w:t>
      </w:r>
      <w:r w:rsidRPr="00867388">
        <w:t xml:space="preserve"> waste and where the nitrogen flux is not specified. However, they were considered in the study to extend the experimental data collection.</w:t>
      </w:r>
    </w:p>
    <w:p w14:paraId="1D6096EA" w14:textId="2A70849A" w:rsidR="00AF429C" w:rsidRDefault="00AF429C" w:rsidP="00E0693C">
      <w:pPr>
        <w:pStyle w:val="CETBodytext"/>
      </w:pPr>
      <w:r>
        <w:rPr>
          <w:noProof/>
        </w:rPr>
        <w:drawing>
          <wp:inline distT="0" distB="0" distL="0" distR="0" wp14:anchorId="1B5DFFD2" wp14:editId="029AD12F">
            <wp:extent cx="2910840" cy="2228429"/>
            <wp:effectExtent l="0" t="0" r="3810" b="635"/>
            <wp:docPr id="1"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Esquemático&#10;&#10;Descripción generada automáticamente"/>
                    <pic:cNvPicPr/>
                  </pic:nvPicPr>
                  <pic:blipFill>
                    <a:blip r:embed="rId13"/>
                    <a:stretch>
                      <a:fillRect/>
                    </a:stretch>
                  </pic:blipFill>
                  <pic:spPr>
                    <a:xfrm>
                      <a:off x="0" y="0"/>
                      <a:ext cx="2954258" cy="2261668"/>
                    </a:xfrm>
                    <a:prstGeom prst="rect">
                      <a:avLst/>
                    </a:prstGeom>
                  </pic:spPr>
                </pic:pic>
              </a:graphicData>
            </a:graphic>
          </wp:inline>
        </w:drawing>
      </w:r>
    </w:p>
    <w:p w14:paraId="2C570C03" w14:textId="74419DC7" w:rsidR="00AF429C" w:rsidRPr="0022172E" w:rsidRDefault="00AF429C" w:rsidP="00AF429C">
      <w:pPr>
        <w:pStyle w:val="CETCaption"/>
        <w:rPr>
          <w:lang w:val="en-US"/>
        </w:rPr>
      </w:pPr>
      <w:r w:rsidRPr="0022172E">
        <w:rPr>
          <w:rStyle w:val="CETCaptionCarattere"/>
          <w:i/>
          <w:lang w:val="en-US"/>
        </w:rPr>
        <w:t xml:space="preserve">Figure 1: </w:t>
      </w:r>
      <w:r>
        <w:rPr>
          <w:rStyle w:val="CETCaptionCarattere"/>
          <w:i/>
          <w:lang w:val="en-US"/>
        </w:rPr>
        <w:t xml:space="preserve">Effect of heating rate on </w:t>
      </w:r>
      <w:r w:rsidR="00435A76">
        <w:rPr>
          <w:rStyle w:val="CETCaptionCarattere"/>
          <w:i/>
          <w:lang w:val="en-US"/>
        </w:rPr>
        <w:t xml:space="preserve">the </w:t>
      </w:r>
      <w:r>
        <w:rPr>
          <w:rStyle w:val="CETCaptionCarattere"/>
          <w:i/>
          <w:lang w:val="en-US"/>
        </w:rPr>
        <w:t>maximum temperature of degradation on PS TGA.</w:t>
      </w:r>
      <w:r w:rsidRPr="0022172E">
        <w:rPr>
          <w:lang w:val="en-US"/>
        </w:rPr>
        <w:t xml:space="preserve"> </w:t>
      </w:r>
      <w:r w:rsidR="00B64D39">
        <w:rPr>
          <w:lang w:val="en-US"/>
        </w:rPr>
        <w:t>Data’s risk of bias</w:t>
      </w:r>
      <w:r w:rsidR="00051208">
        <w:rPr>
          <w:lang w:val="en-US"/>
        </w:rPr>
        <w:t xml:space="preserve"> </w:t>
      </w:r>
      <w:r w:rsidR="00051208">
        <w:rPr>
          <w:rFonts w:cs="Arial"/>
          <w:lang w:val="en-US"/>
        </w:rPr>
        <w:t>±</w:t>
      </w:r>
      <w:r w:rsidR="00051208">
        <w:rPr>
          <w:lang w:val="en-US"/>
        </w:rPr>
        <w:t>2%</w:t>
      </w:r>
    </w:p>
    <w:p w14:paraId="73F6CD61" w14:textId="77777777" w:rsidR="00867388" w:rsidRDefault="00867388" w:rsidP="00867388">
      <w:pPr>
        <w:pStyle w:val="CETBodytext"/>
        <w:rPr>
          <w:i/>
        </w:rPr>
      </w:pPr>
      <w:r w:rsidRPr="00867388">
        <w:t>Table 2 details the results of the ten main linear fits that estimate the behavior of the analyzed data and the formulas that describe them. It is observed that a maximum fit of r</w:t>
      </w:r>
      <w:r w:rsidRPr="00867388">
        <w:rPr>
          <w:vertAlign w:val="superscript"/>
        </w:rPr>
        <w:t>2</w:t>
      </w:r>
      <w:r w:rsidRPr="00867388">
        <w:t>= 69.71 % was obtained with a square-Y log-X model and a correlation of 0.83 with a confidence interval of 95 %. The minimum fit reported is the linear type, with 63.40 %.</w:t>
      </w:r>
    </w:p>
    <w:p w14:paraId="15DAB9A2" w14:textId="1C885071" w:rsidR="00F237DB" w:rsidRPr="0022172E" w:rsidRDefault="00B700E8" w:rsidP="00B700E8">
      <w:pPr>
        <w:pStyle w:val="CETTabletitle"/>
        <w:rPr>
          <w:lang w:val="en-US"/>
        </w:rPr>
      </w:pPr>
      <w:r w:rsidRPr="00AB08AF">
        <w:rPr>
          <w:lang w:val="en-US"/>
        </w:rPr>
        <w:t xml:space="preserve">Table </w:t>
      </w:r>
      <w:r w:rsidR="004546F0" w:rsidRPr="00AB08AF">
        <w:rPr>
          <w:lang w:val="en-US"/>
        </w:rPr>
        <w:t>2</w:t>
      </w:r>
      <w:r w:rsidRPr="00AB08AF">
        <w:rPr>
          <w:lang w:val="en-US"/>
        </w:rPr>
        <w:t xml:space="preserve">. </w:t>
      </w:r>
      <w:r>
        <w:rPr>
          <w:lang w:val="en-US"/>
        </w:rPr>
        <w:t>Linea</w:t>
      </w:r>
      <w:r w:rsidR="00780FA6">
        <w:rPr>
          <w:lang w:val="en-US"/>
        </w:rPr>
        <w:t>r</w:t>
      </w:r>
      <w:r>
        <w:rPr>
          <w:lang w:val="en-US"/>
        </w:rPr>
        <w:t xml:space="preserve"> models to estimate </w:t>
      </w:r>
      <w:r w:rsidR="001905CA">
        <w:rPr>
          <w:lang w:val="en-US"/>
        </w:rPr>
        <w:t>maximum degradation temperature (</w:t>
      </w:r>
      <w:proofErr w:type="spellStart"/>
      <w:r w:rsidR="001905CA" w:rsidRPr="00DD3DA7">
        <w:rPr>
          <w:rFonts w:ascii="Times New Roman" w:hAnsi="Times New Roman"/>
          <w:lang w:val="en-US"/>
        </w:rPr>
        <w:t>T</w:t>
      </w:r>
      <w:r w:rsidR="001905CA" w:rsidRPr="00DD3DA7">
        <w:rPr>
          <w:rFonts w:ascii="Times New Roman" w:hAnsi="Times New Roman"/>
          <w:vertAlign w:val="subscript"/>
          <w:lang w:val="en-US"/>
        </w:rPr>
        <w:t>max</w:t>
      </w:r>
      <w:proofErr w:type="spellEnd"/>
      <w:r w:rsidR="001905CA">
        <w:rPr>
          <w:lang w:val="en-US"/>
        </w:rPr>
        <w:t>)</w:t>
      </w:r>
      <w:r>
        <w:rPr>
          <w:lang w:val="en-US"/>
        </w:rPr>
        <w:t xml:space="preserve"> </w:t>
      </w:r>
      <w:r w:rsidR="008D0FB1">
        <w:rPr>
          <w:lang w:val="en-US"/>
        </w:rPr>
        <w:t>on</w:t>
      </w:r>
      <w:r w:rsidR="00F06137">
        <w:rPr>
          <w:lang w:val="en-US"/>
        </w:rPr>
        <w:t xml:space="preserve"> PS TGA.</w:t>
      </w:r>
    </w:p>
    <w:tbl>
      <w:tblPr>
        <w:tblW w:w="4632"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156"/>
        <w:gridCol w:w="1096"/>
        <w:gridCol w:w="851"/>
        <w:gridCol w:w="3017"/>
        <w:gridCol w:w="20"/>
      </w:tblGrid>
      <w:tr w:rsidR="006C308F" w:rsidRPr="006F7ED5" w14:paraId="61E29461" w14:textId="77777777" w:rsidTr="001905CA">
        <w:tc>
          <w:tcPr>
            <w:tcW w:w="1939" w:type="pct"/>
            <w:tcBorders>
              <w:top w:val="single" w:sz="12" w:space="0" w:color="008000"/>
              <w:bottom w:val="single" w:sz="6" w:space="0" w:color="008000"/>
            </w:tcBorders>
            <w:shd w:val="clear" w:color="auto" w:fill="FFFFFF"/>
          </w:tcPr>
          <w:p w14:paraId="03104403" w14:textId="6E1602CE" w:rsidR="006C308F" w:rsidRPr="006F7ED5" w:rsidRDefault="006C308F" w:rsidP="0091682C">
            <w:pPr>
              <w:pStyle w:val="CETBodytext"/>
              <w:rPr>
                <w:rFonts w:cs="Arial"/>
                <w:szCs w:val="18"/>
              </w:rPr>
            </w:pPr>
            <w:r w:rsidRPr="006F7ED5">
              <w:rPr>
                <w:rFonts w:cs="Arial"/>
                <w:szCs w:val="18"/>
              </w:rPr>
              <w:t xml:space="preserve">Model </w:t>
            </w:r>
          </w:p>
        </w:tc>
        <w:tc>
          <w:tcPr>
            <w:tcW w:w="673" w:type="pct"/>
            <w:tcBorders>
              <w:top w:val="single" w:sz="12" w:space="0" w:color="008000"/>
              <w:bottom w:val="single" w:sz="6" w:space="0" w:color="008000"/>
            </w:tcBorders>
            <w:shd w:val="clear" w:color="auto" w:fill="FFFFFF"/>
          </w:tcPr>
          <w:p w14:paraId="220DD77F" w14:textId="6CEE821E" w:rsidR="006C308F" w:rsidRPr="006F7ED5" w:rsidRDefault="006C308F" w:rsidP="0091682C">
            <w:pPr>
              <w:pStyle w:val="CETBodytext"/>
              <w:rPr>
                <w:rFonts w:cs="Arial"/>
                <w:szCs w:val="18"/>
              </w:rPr>
            </w:pPr>
            <w:r w:rsidRPr="006F7ED5">
              <w:rPr>
                <w:rFonts w:cs="Arial"/>
                <w:szCs w:val="18"/>
              </w:rPr>
              <w:t>Correlation</w:t>
            </w:r>
          </w:p>
        </w:tc>
        <w:tc>
          <w:tcPr>
            <w:tcW w:w="523" w:type="pct"/>
            <w:tcBorders>
              <w:top w:val="single" w:sz="12" w:space="0" w:color="008000"/>
              <w:bottom w:val="single" w:sz="6" w:space="0" w:color="008000"/>
            </w:tcBorders>
            <w:shd w:val="clear" w:color="auto" w:fill="FFFFFF"/>
          </w:tcPr>
          <w:p w14:paraId="0810E3A8" w14:textId="1C3BD013" w:rsidR="006C308F" w:rsidRPr="006F7ED5" w:rsidRDefault="006C308F" w:rsidP="0091682C">
            <w:pPr>
              <w:pStyle w:val="CETBodytext"/>
              <w:rPr>
                <w:rFonts w:cs="Arial"/>
                <w:szCs w:val="18"/>
              </w:rPr>
            </w:pPr>
            <w:r w:rsidRPr="006F7ED5">
              <w:rPr>
                <w:rFonts w:cs="Arial"/>
                <w:szCs w:val="18"/>
              </w:rPr>
              <w:t>r</w:t>
            </w:r>
            <w:r w:rsidRPr="006F7ED5">
              <w:rPr>
                <w:rFonts w:cs="Arial"/>
                <w:szCs w:val="18"/>
                <w:vertAlign w:val="superscript"/>
              </w:rPr>
              <w:t>2</w:t>
            </w:r>
          </w:p>
        </w:tc>
        <w:tc>
          <w:tcPr>
            <w:tcW w:w="1853" w:type="pct"/>
            <w:tcBorders>
              <w:top w:val="single" w:sz="12" w:space="0" w:color="008000"/>
              <w:bottom w:val="single" w:sz="6" w:space="0" w:color="008000"/>
            </w:tcBorders>
            <w:shd w:val="clear" w:color="auto" w:fill="FFFFFF"/>
          </w:tcPr>
          <w:p w14:paraId="4D38CECF" w14:textId="00CEE4DE" w:rsidR="006C308F" w:rsidRPr="006F7ED5" w:rsidRDefault="006C308F" w:rsidP="006C308F">
            <w:pPr>
              <w:pStyle w:val="CETBodytext"/>
              <w:ind w:right="-1"/>
              <w:rPr>
                <w:rFonts w:cs="Arial"/>
                <w:szCs w:val="18"/>
              </w:rPr>
            </w:pPr>
            <w:r w:rsidRPr="006F7ED5">
              <w:rPr>
                <w:rFonts w:cs="Arial"/>
                <w:szCs w:val="18"/>
              </w:rPr>
              <w:t>Formula</w:t>
            </w:r>
          </w:p>
        </w:tc>
        <w:tc>
          <w:tcPr>
            <w:tcW w:w="12" w:type="pct"/>
            <w:tcBorders>
              <w:top w:val="single" w:sz="12" w:space="0" w:color="008000"/>
              <w:bottom w:val="single" w:sz="6" w:space="0" w:color="008000"/>
            </w:tcBorders>
            <w:shd w:val="clear" w:color="auto" w:fill="FFFFFF"/>
          </w:tcPr>
          <w:p w14:paraId="0AFA5736" w14:textId="17164A9B" w:rsidR="006C308F" w:rsidRPr="006F7ED5" w:rsidRDefault="006C308F" w:rsidP="006C308F">
            <w:pPr>
              <w:pStyle w:val="CETBodytext"/>
              <w:ind w:right="-1"/>
              <w:rPr>
                <w:rFonts w:cs="Arial"/>
                <w:szCs w:val="18"/>
              </w:rPr>
            </w:pPr>
          </w:p>
        </w:tc>
      </w:tr>
      <w:tr w:rsidR="006C308F" w:rsidRPr="006F7ED5" w14:paraId="580FE5FD" w14:textId="77777777" w:rsidTr="001905CA">
        <w:tc>
          <w:tcPr>
            <w:tcW w:w="1939" w:type="pct"/>
            <w:shd w:val="clear" w:color="auto" w:fill="FFFFFF"/>
            <w:vAlign w:val="bottom"/>
          </w:tcPr>
          <w:p w14:paraId="4C634054" w14:textId="1A2014D5" w:rsidR="006C308F" w:rsidRPr="006F7ED5" w:rsidRDefault="006C308F" w:rsidP="002F241B">
            <w:pPr>
              <w:pStyle w:val="CETBodytext"/>
              <w:rPr>
                <w:rFonts w:cs="Arial"/>
                <w:szCs w:val="18"/>
              </w:rPr>
            </w:pPr>
            <w:r w:rsidRPr="006F7ED5">
              <w:rPr>
                <w:rFonts w:cs="Arial"/>
                <w:color w:val="000000"/>
                <w:szCs w:val="18"/>
                <w:lang w:eastAsia="es-MX"/>
              </w:rPr>
              <w:t>Square-Y Log-X</w:t>
            </w:r>
          </w:p>
        </w:tc>
        <w:tc>
          <w:tcPr>
            <w:tcW w:w="673" w:type="pct"/>
            <w:shd w:val="clear" w:color="auto" w:fill="FFFFFF"/>
            <w:vAlign w:val="bottom"/>
          </w:tcPr>
          <w:p w14:paraId="16A7B05C" w14:textId="5BCBE4CD" w:rsidR="006C308F" w:rsidRPr="006F7ED5" w:rsidRDefault="006C308F" w:rsidP="002F241B">
            <w:pPr>
              <w:pStyle w:val="CETBodytext"/>
              <w:rPr>
                <w:rFonts w:cs="Arial"/>
                <w:szCs w:val="18"/>
              </w:rPr>
            </w:pPr>
            <w:r w:rsidRPr="006F7ED5">
              <w:rPr>
                <w:rFonts w:cs="Arial"/>
                <w:color w:val="000000"/>
                <w:szCs w:val="18"/>
                <w:lang w:eastAsia="es-MX"/>
              </w:rPr>
              <w:t>0.8349</w:t>
            </w:r>
          </w:p>
        </w:tc>
        <w:tc>
          <w:tcPr>
            <w:tcW w:w="523" w:type="pct"/>
            <w:shd w:val="clear" w:color="auto" w:fill="FFFFFF"/>
            <w:vAlign w:val="bottom"/>
          </w:tcPr>
          <w:p w14:paraId="3A2564BB" w14:textId="381579DE" w:rsidR="006C308F" w:rsidRPr="006F7ED5" w:rsidRDefault="006C308F" w:rsidP="002F241B">
            <w:pPr>
              <w:pStyle w:val="CETBodytext"/>
              <w:rPr>
                <w:rFonts w:cs="Arial"/>
                <w:szCs w:val="18"/>
              </w:rPr>
            </w:pPr>
            <w:r w:rsidRPr="006F7ED5">
              <w:rPr>
                <w:rFonts w:cs="Arial"/>
                <w:color w:val="000000"/>
                <w:szCs w:val="18"/>
                <w:lang w:eastAsia="es-MX"/>
              </w:rPr>
              <w:t>69.71%</w:t>
            </w:r>
          </w:p>
        </w:tc>
        <w:tc>
          <w:tcPr>
            <w:tcW w:w="1853" w:type="pct"/>
            <w:shd w:val="clear" w:color="auto" w:fill="FFFFFF"/>
          </w:tcPr>
          <w:p w14:paraId="66C4E0FF" w14:textId="3269EB3C" w:rsidR="006C308F" w:rsidRPr="006F7ED5" w:rsidRDefault="00DB205F" w:rsidP="007B167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m:t>
                </m:r>
                <m:rad>
                  <m:radPr>
                    <m:degHide m:val="1"/>
                    <m:ctrlPr>
                      <w:rPr>
                        <w:rFonts w:ascii="Cambria Math" w:hAnsi="Cambria Math"/>
                        <w:szCs w:val="18"/>
                      </w:rPr>
                    </m:ctrlPr>
                  </m:radPr>
                  <m:deg/>
                  <m:e>
                    <m:r>
                      <m:rPr>
                        <m:sty m:val="p"/>
                      </m:rPr>
                      <w:rPr>
                        <w:rFonts w:ascii="Cambria Math" w:hAnsi="Cambria Math"/>
                        <w:szCs w:val="18"/>
                      </w:rPr>
                      <m:t>136169+16479*ln⁡(</m:t>
                    </m:r>
                    <m:r>
                      <w:rPr>
                        <w:rFonts w:ascii="Cambria Math" w:hAnsi="Cambria Math"/>
                        <w:szCs w:val="18"/>
                      </w:rPr>
                      <m:t>h</m:t>
                    </m:r>
                    <m:r>
                      <m:rPr>
                        <m:sty m:val="p"/>
                      </m:rPr>
                      <w:rPr>
                        <w:rFonts w:ascii="Cambria Math" w:hAnsi="Cambria Math"/>
                        <w:szCs w:val="18"/>
                      </w:rPr>
                      <m:t>)</m:t>
                    </m:r>
                  </m:e>
                </m:rad>
              </m:oMath>
            </m:oMathPara>
          </w:p>
        </w:tc>
        <w:tc>
          <w:tcPr>
            <w:tcW w:w="12" w:type="pct"/>
            <w:shd w:val="clear" w:color="auto" w:fill="FFFFFF"/>
          </w:tcPr>
          <w:p w14:paraId="47963353" w14:textId="3E693FE4" w:rsidR="006C308F" w:rsidRPr="006F7ED5" w:rsidRDefault="006C308F" w:rsidP="006C308F">
            <w:pPr>
              <w:pStyle w:val="CETBodytext"/>
              <w:ind w:right="-1"/>
              <w:rPr>
                <w:rFonts w:cs="Arial"/>
                <w:szCs w:val="18"/>
              </w:rPr>
            </w:pPr>
          </w:p>
        </w:tc>
      </w:tr>
      <w:tr w:rsidR="006C308F" w:rsidRPr="006F7ED5" w14:paraId="1A255171" w14:textId="77777777" w:rsidTr="001905CA">
        <w:tc>
          <w:tcPr>
            <w:tcW w:w="1939" w:type="pct"/>
            <w:shd w:val="clear" w:color="auto" w:fill="FFFFFF"/>
            <w:vAlign w:val="bottom"/>
          </w:tcPr>
          <w:p w14:paraId="74F70D3F" w14:textId="6630DCD6" w:rsidR="006C308F" w:rsidRPr="006F7ED5" w:rsidRDefault="006C308F" w:rsidP="002F241B">
            <w:pPr>
              <w:pStyle w:val="CETBodytext"/>
              <w:ind w:right="-1"/>
              <w:rPr>
                <w:rFonts w:cs="Arial"/>
                <w:szCs w:val="18"/>
              </w:rPr>
            </w:pPr>
            <w:r w:rsidRPr="006F7ED5">
              <w:rPr>
                <w:rFonts w:cs="Arial"/>
                <w:color w:val="000000"/>
                <w:szCs w:val="18"/>
                <w:lang w:eastAsia="es-MX"/>
              </w:rPr>
              <w:t>Logarithmic-X</w:t>
            </w:r>
          </w:p>
        </w:tc>
        <w:tc>
          <w:tcPr>
            <w:tcW w:w="673" w:type="pct"/>
            <w:shd w:val="clear" w:color="auto" w:fill="FFFFFF"/>
            <w:vAlign w:val="bottom"/>
          </w:tcPr>
          <w:p w14:paraId="44C43122" w14:textId="7B94DE52" w:rsidR="006C308F" w:rsidRPr="006F7ED5" w:rsidRDefault="006C308F" w:rsidP="002F241B">
            <w:pPr>
              <w:pStyle w:val="CETBodytext"/>
              <w:ind w:right="-1"/>
              <w:rPr>
                <w:rFonts w:cs="Arial"/>
                <w:szCs w:val="18"/>
              </w:rPr>
            </w:pPr>
            <w:r w:rsidRPr="006F7ED5">
              <w:rPr>
                <w:rFonts w:cs="Arial"/>
                <w:color w:val="000000"/>
                <w:szCs w:val="18"/>
                <w:lang w:eastAsia="es-MX"/>
              </w:rPr>
              <w:t>0.8323</w:t>
            </w:r>
          </w:p>
        </w:tc>
        <w:tc>
          <w:tcPr>
            <w:tcW w:w="523" w:type="pct"/>
            <w:shd w:val="clear" w:color="auto" w:fill="FFFFFF"/>
            <w:vAlign w:val="bottom"/>
          </w:tcPr>
          <w:p w14:paraId="359DB9F2" w14:textId="1921F52A" w:rsidR="006C308F" w:rsidRPr="006F7ED5" w:rsidRDefault="006C308F" w:rsidP="002F241B">
            <w:pPr>
              <w:pStyle w:val="CETBodytext"/>
              <w:ind w:right="-1"/>
              <w:rPr>
                <w:rFonts w:cs="Arial"/>
                <w:szCs w:val="18"/>
              </w:rPr>
            </w:pPr>
            <w:r w:rsidRPr="006F7ED5">
              <w:rPr>
                <w:rFonts w:cs="Arial"/>
                <w:color w:val="000000"/>
                <w:szCs w:val="18"/>
                <w:lang w:eastAsia="es-MX"/>
              </w:rPr>
              <w:t>69.28%</w:t>
            </w:r>
          </w:p>
        </w:tc>
        <w:tc>
          <w:tcPr>
            <w:tcW w:w="1853" w:type="pct"/>
            <w:shd w:val="clear" w:color="auto" w:fill="FFFFFF"/>
          </w:tcPr>
          <w:p w14:paraId="45405E76" w14:textId="2D8ACE56" w:rsidR="006C308F" w:rsidRPr="006F7ED5" w:rsidRDefault="00DB205F" w:rsidP="007B167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=372.477+19.3109* ln⁡(</m:t>
                </m:r>
                <m:r>
                  <w:rPr>
                    <w:rFonts w:ascii="Cambria Math" w:hAnsi="Cambria Math"/>
                    <w:szCs w:val="18"/>
                  </w:rPr>
                  <m:t>h</m:t>
                </m:r>
                <m:r>
                  <m:rPr>
                    <m:sty m:val="p"/>
                  </m:rPr>
                  <w:rPr>
                    <w:rFonts w:ascii="Cambria Math" w:hAnsi="Cambria Math"/>
                    <w:szCs w:val="18"/>
                  </w:rPr>
                  <m:t>)</m:t>
                </m:r>
              </m:oMath>
            </m:oMathPara>
          </w:p>
        </w:tc>
        <w:tc>
          <w:tcPr>
            <w:tcW w:w="12" w:type="pct"/>
            <w:shd w:val="clear" w:color="auto" w:fill="FFFFFF"/>
          </w:tcPr>
          <w:p w14:paraId="7EF35586" w14:textId="7D6C77E4" w:rsidR="006C308F" w:rsidRPr="006F7ED5" w:rsidRDefault="006C308F" w:rsidP="006C308F">
            <w:pPr>
              <w:pStyle w:val="CETBodytext"/>
              <w:ind w:right="-1"/>
              <w:rPr>
                <w:rFonts w:cs="Arial"/>
                <w:szCs w:val="18"/>
              </w:rPr>
            </w:pPr>
          </w:p>
        </w:tc>
      </w:tr>
      <w:tr w:rsidR="006C308F" w:rsidRPr="006F7ED5" w14:paraId="422299EB" w14:textId="77777777" w:rsidTr="001905CA">
        <w:tc>
          <w:tcPr>
            <w:tcW w:w="1939" w:type="pct"/>
            <w:shd w:val="clear" w:color="auto" w:fill="FFFFFF"/>
            <w:vAlign w:val="bottom"/>
          </w:tcPr>
          <w:p w14:paraId="3963FAEE" w14:textId="77DBD38D"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Square Root-Y Log-X</w:t>
            </w:r>
          </w:p>
        </w:tc>
        <w:tc>
          <w:tcPr>
            <w:tcW w:w="673" w:type="pct"/>
            <w:shd w:val="clear" w:color="auto" w:fill="FFFFFF"/>
            <w:vAlign w:val="bottom"/>
          </w:tcPr>
          <w:p w14:paraId="4B9E54F3" w14:textId="474FB8D7"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0.8308</w:t>
            </w:r>
          </w:p>
        </w:tc>
        <w:tc>
          <w:tcPr>
            <w:tcW w:w="523" w:type="pct"/>
            <w:shd w:val="clear" w:color="auto" w:fill="FFFFFF"/>
            <w:vAlign w:val="bottom"/>
          </w:tcPr>
          <w:p w14:paraId="142DDBFA" w14:textId="5872EA3E"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69.03%</w:t>
            </w:r>
          </w:p>
        </w:tc>
        <w:tc>
          <w:tcPr>
            <w:tcW w:w="1853" w:type="pct"/>
            <w:shd w:val="clear" w:color="auto" w:fill="FFFFFF"/>
          </w:tcPr>
          <w:p w14:paraId="01187B5F" w14:textId="75613713" w:rsidR="006C308F" w:rsidRPr="006F7ED5" w:rsidRDefault="00DB205F" w:rsidP="007B167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m:t>
                </m:r>
                <m:sSup>
                  <m:sSupPr>
                    <m:ctrlPr>
                      <w:rPr>
                        <w:rFonts w:ascii="Cambria Math" w:hAnsi="Cambria Math"/>
                        <w:szCs w:val="18"/>
                      </w:rPr>
                    </m:ctrlPr>
                  </m:sSupPr>
                  <m:e>
                    <m:d>
                      <m:dPr>
                        <m:ctrlPr>
                          <w:rPr>
                            <w:rFonts w:ascii="Cambria Math" w:hAnsi="Cambria Math"/>
                            <w:szCs w:val="18"/>
                          </w:rPr>
                        </m:ctrlPr>
                      </m:dPr>
                      <m:e>
                        <m:r>
                          <m:rPr>
                            <m:sty m:val="p"/>
                          </m:rPr>
                          <w:rPr>
                            <w:rFonts w:ascii="Cambria Math" w:hAnsi="Cambria Math"/>
                            <w:szCs w:val="18"/>
                          </w:rPr>
                          <m:t>19.3382+0.467702*</m:t>
                        </m:r>
                        <m:func>
                          <m:funcPr>
                            <m:ctrlPr>
                              <w:rPr>
                                <w:rFonts w:ascii="Cambria Math" w:hAnsi="Cambria Math"/>
                                <w:szCs w:val="18"/>
                              </w:rPr>
                            </m:ctrlPr>
                          </m:funcPr>
                          <m:fName>
                            <m:r>
                              <m:rPr>
                                <m:sty m:val="p"/>
                              </m:rPr>
                              <w:rPr>
                                <w:rFonts w:ascii="Cambria Math" w:hAnsi="Cambria Math"/>
                                <w:szCs w:val="18"/>
                              </w:rPr>
                              <m:t>ln</m:t>
                            </m:r>
                          </m:fName>
                          <m:e>
                            <m:r>
                              <m:rPr>
                                <m:sty m:val="p"/>
                              </m:rPr>
                              <w:rPr>
                                <w:rFonts w:ascii="Cambria Math" w:hAnsi="Cambria Math"/>
                                <w:szCs w:val="18"/>
                              </w:rPr>
                              <m:t>(</m:t>
                            </m:r>
                            <m:r>
                              <w:rPr>
                                <w:rFonts w:ascii="Cambria Math" w:hAnsi="Cambria Math"/>
                                <w:szCs w:val="18"/>
                              </w:rPr>
                              <m:t>h</m:t>
                            </m:r>
                            <m:r>
                              <m:rPr>
                                <m:sty m:val="p"/>
                              </m:rPr>
                              <w:rPr>
                                <w:rFonts w:ascii="Cambria Math" w:hAnsi="Cambria Math"/>
                                <w:szCs w:val="18"/>
                              </w:rPr>
                              <m:t>)</m:t>
                            </m:r>
                          </m:e>
                        </m:func>
                      </m:e>
                    </m:d>
                  </m:e>
                  <m:sup>
                    <m:r>
                      <m:rPr>
                        <m:sty m:val="p"/>
                      </m:rPr>
                      <w:rPr>
                        <w:rFonts w:ascii="Cambria Math" w:hAnsi="Cambria Math"/>
                        <w:szCs w:val="18"/>
                      </w:rPr>
                      <m:t>2</m:t>
                    </m:r>
                  </m:sup>
                </m:sSup>
              </m:oMath>
            </m:oMathPara>
          </w:p>
        </w:tc>
        <w:tc>
          <w:tcPr>
            <w:tcW w:w="12" w:type="pct"/>
            <w:shd w:val="clear" w:color="auto" w:fill="FFFFFF"/>
          </w:tcPr>
          <w:p w14:paraId="3E5CB64D" w14:textId="082EA910" w:rsidR="006C308F" w:rsidRPr="006F7ED5" w:rsidRDefault="006C308F" w:rsidP="006C308F">
            <w:pPr>
              <w:pStyle w:val="CETBodytext"/>
              <w:ind w:right="-1"/>
              <w:rPr>
                <w:rFonts w:cs="Arial"/>
                <w:szCs w:val="18"/>
              </w:rPr>
            </w:pPr>
          </w:p>
        </w:tc>
      </w:tr>
      <w:tr w:rsidR="006C308F" w:rsidRPr="006F7ED5" w14:paraId="619E844F" w14:textId="77777777" w:rsidTr="001905CA">
        <w:tc>
          <w:tcPr>
            <w:tcW w:w="1939" w:type="pct"/>
            <w:shd w:val="clear" w:color="auto" w:fill="FFFFFF"/>
            <w:vAlign w:val="bottom"/>
          </w:tcPr>
          <w:p w14:paraId="61AF69C4" w14:textId="65D4E89D"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Square-Y Square Root-X</w:t>
            </w:r>
          </w:p>
        </w:tc>
        <w:tc>
          <w:tcPr>
            <w:tcW w:w="673" w:type="pct"/>
            <w:shd w:val="clear" w:color="auto" w:fill="FFFFFF"/>
            <w:vAlign w:val="bottom"/>
          </w:tcPr>
          <w:p w14:paraId="21797A5E" w14:textId="33ECC62C"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0.8303</w:t>
            </w:r>
          </w:p>
        </w:tc>
        <w:tc>
          <w:tcPr>
            <w:tcW w:w="523" w:type="pct"/>
            <w:shd w:val="clear" w:color="auto" w:fill="FFFFFF"/>
            <w:vAlign w:val="bottom"/>
          </w:tcPr>
          <w:p w14:paraId="4C582CC8" w14:textId="1D7B587C"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68.94%</w:t>
            </w:r>
          </w:p>
        </w:tc>
        <w:tc>
          <w:tcPr>
            <w:tcW w:w="1853" w:type="pct"/>
            <w:shd w:val="clear" w:color="auto" w:fill="FFFFFF"/>
          </w:tcPr>
          <w:p w14:paraId="3D9B9BDF" w14:textId="66160240" w:rsidR="006C308F" w:rsidRPr="006F7ED5" w:rsidRDefault="00DB205F" w:rsidP="00DD4D6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m:t>
                </m:r>
                <m:rad>
                  <m:radPr>
                    <m:degHide m:val="1"/>
                    <m:ctrlPr>
                      <w:rPr>
                        <w:rFonts w:ascii="Cambria Math" w:hAnsi="Cambria Math"/>
                        <w:szCs w:val="18"/>
                      </w:rPr>
                    </m:ctrlPr>
                  </m:radPr>
                  <m:deg/>
                  <m:e>
                    <m:r>
                      <m:rPr>
                        <m:sty m:val="p"/>
                      </m:rPr>
                      <w:rPr>
                        <w:rFonts w:ascii="Cambria Math" w:hAnsi="Cambria Math"/>
                        <w:szCs w:val="18"/>
                      </w:rPr>
                      <m:t>149650+7363.75*</m:t>
                    </m:r>
                    <m:rad>
                      <m:radPr>
                        <m:degHide m:val="1"/>
                        <m:ctrlPr>
                          <w:rPr>
                            <w:rFonts w:ascii="Cambria Math" w:hAnsi="Cambria Math"/>
                            <w:szCs w:val="18"/>
                          </w:rPr>
                        </m:ctrlPr>
                      </m:radPr>
                      <m:deg/>
                      <m:e>
                        <m:r>
                          <w:rPr>
                            <w:rFonts w:ascii="Cambria Math" w:hAnsi="Cambria Math"/>
                            <w:szCs w:val="18"/>
                          </w:rPr>
                          <m:t>h</m:t>
                        </m:r>
                      </m:e>
                    </m:rad>
                  </m:e>
                </m:rad>
              </m:oMath>
            </m:oMathPara>
          </w:p>
        </w:tc>
        <w:tc>
          <w:tcPr>
            <w:tcW w:w="12" w:type="pct"/>
            <w:shd w:val="clear" w:color="auto" w:fill="FFFFFF"/>
          </w:tcPr>
          <w:p w14:paraId="6DBADD2E" w14:textId="0CAF56A4" w:rsidR="006C308F" w:rsidRPr="006F7ED5" w:rsidRDefault="006C308F" w:rsidP="006C308F">
            <w:pPr>
              <w:pStyle w:val="CETBodytext"/>
              <w:ind w:right="-1"/>
              <w:rPr>
                <w:rFonts w:cs="Arial"/>
                <w:szCs w:val="18"/>
              </w:rPr>
            </w:pPr>
          </w:p>
        </w:tc>
      </w:tr>
      <w:tr w:rsidR="006C308F" w:rsidRPr="006F7ED5" w14:paraId="5446DD97" w14:textId="77777777" w:rsidTr="001905CA">
        <w:tc>
          <w:tcPr>
            <w:tcW w:w="1939" w:type="pct"/>
            <w:shd w:val="clear" w:color="auto" w:fill="FFFFFF"/>
            <w:vAlign w:val="bottom"/>
          </w:tcPr>
          <w:p w14:paraId="2E05F8A1" w14:textId="50527FF8"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Multiplicative</w:t>
            </w:r>
          </w:p>
        </w:tc>
        <w:tc>
          <w:tcPr>
            <w:tcW w:w="673" w:type="pct"/>
            <w:shd w:val="clear" w:color="auto" w:fill="FFFFFF"/>
            <w:vAlign w:val="bottom"/>
          </w:tcPr>
          <w:p w14:paraId="361FF34F" w14:textId="080438CF"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0.8292</w:t>
            </w:r>
          </w:p>
        </w:tc>
        <w:tc>
          <w:tcPr>
            <w:tcW w:w="523" w:type="pct"/>
            <w:shd w:val="clear" w:color="auto" w:fill="FFFFFF"/>
            <w:vAlign w:val="bottom"/>
          </w:tcPr>
          <w:p w14:paraId="02C5E7BC" w14:textId="2504019E"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68.76%</w:t>
            </w:r>
          </w:p>
        </w:tc>
        <w:tc>
          <w:tcPr>
            <w:tcW w:w="1853" w:type="pct"/>
            <w:shd w:val="clear" w:color="auto" w:fill="FFFFFF"/>
          </w:tcPr>
          <w:p w14:paraId="1107F1EF" w14:textId="75B500F0" w:rsidR="006C308F" w:rsidRPr="006F7ED5" w:rsidRDefault="00DB205F" w:rsidP="00DD4D6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=exp⁡(5.92779+0.453272*</m:t>
                </m:r>
                <m:func>
                  <m:funcPr>
                    <m:ctrlPr>
                      <w:rPr>
                        <w:rFonts w:ascii="Cambria Math" w:hAnsi="Cambria Math"/>
                        <w:szCs w:val="18"/>
                      </w:rPr>
                    </m:ctrlPr>
                  </m:funcPr>
                  <m:fName>
                    <m:r>
                      <m:rPr>
                        <m:sty m:val="p"/>
                      </m:rPr>
                      <w:rPr>
                        <w:rFonts w:ascii="Cambria Math" w:hAnsi="Cambria Math"/>
                        <w:szCs w:val="18"/>
                      </w:rPr>
                      <m:t>ln</m:t>
                    </m:r>
                  </m:fName>
                  <m:e>
                    <m:d>
                      <m:dPr>
                        <m:ctrlPr>
                          <w:rPr>
                            <w:rFonts w:ascii="Cambria Math" w:hAnsi="Cambria Math"/>
                            <w:szCs w:val="18"/>
                          </w:rPr>
                        </m:ctrlPr>
                      </m:dPr>
                      <m:e>
                        <m:r>
                          <w:rPr>
                            <w:rFonts w:ascii="Cambria Math" w:hAnsi="Cambria Math"/>
                            <w:szCs w:val="18"/>
                          </w:rPr>
                          <m:t>h</m:t>
                        </m:r>
                      </m:e>
                    </m:d>
                  </m:e>
                </m:func>
                <m:r>
                  <m:rPr>
                    <m:sty m:val="p"/>
                  </m:rPr>
                  <w:rPr>
                    <w:rFonts w:ascii="Cambria Math" w:hAnsi="Cambria Math"/>
                    <w:szCs w:val="18"/>
                  </w:rPr>
                  <m:t>)</m:t>
                </m:r>
              </m:oMath>
            </m:oMathPara>
          </w:p>
        </w:tc>
        <w:tc>
          <w:tcPr>
            <w:tcW w:w="12" w:type="pct"/>
            <w:shd w:val="clear" w:color="auto" w:fill="FFFFFF"/>
          </w:tcPr>
          <w:p w14:paraId="7D57B617" w14:textId="08FA9A8E" w:rsidR="006C308F" w:rsidRPr="006F7ED5" w:rsidRDefault="006C308F" w:rsidP="006C308F">
            <w:pPr>
              <w:pStyle w:val="CETBodytext"/>
              <w:ind w:right="-1"/>
              <w:rPr>
                <w:rFonts w:cs="Arial"/>
                <w:szCs w:val="18"/>
              </w:rPr>
            </w:pPr>
          </w:p>
        </w:tc>
      </w:tr>
      <w:tr w:rsidR="006C308F" w:rsidRPr="006F7ED5" w14:paraId="1EA3F3C2" w14:textId="77777777" w:rsidTr="001905CA">
        <w:tc>
          <w:tcPr>
            <w:tcW w:w="1939" w:type="pct"/>
            <w:shd w:val="clear" w:color="auto" w:fill="FFFFFF"/>
            <w:vAlign w:val="bottom"/>
          </w:tcPr>
          <w:p w14:paraId="4233D0ED" w14:textId="7F59EC5D"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Square Root-X</w:t>
            </w:r>
          </w:p>
        </w:tc>
        <w:tc>
          <w:tcPr>
            <w:tcW w:w="673" w:type="pct"/>
            <w:shd w:val="clear" w:color="auto" w:fill="FFFFFF"/>
            <w:vAlign w:val="bottom"/>
          </w:tcPr>
          <w:p w14:paraId="58E2FD98" w14:textId="37CDB607"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0.8239</w:t>
            </w:r>
          </w:p>
        </w:tc>
        <w:tc>
          <w:tcPr>
            <w:tcW w:w="523" w:type="pct"/>
            <w:shd w:val="clear" w:color="auto" w:fill="FFFFFF"/>
            <w:vAlign w:val="bottom"/>
          </w:tcPr>
          <w:p w14:paraId="1727A6D5" w14:textId="69CD0953"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67.88%</w:t>
            </w:r>
          </w:p>
        </w:tc>
        <w:tc>
          <w:tcPr>
            <w:tcW w:w="1853" w:type="pct"/>
            <w:shd w:val="clear" w:color="auto" w:fill="FFFFFF"/>
          </w:tcPr>
          <w:p w14:paraId="110AB77D" w14:textId="43ECFD0F" w:rsidR="006C308F" w:rsidRPr="006F7ED5" w:rsidRDefault="00DB205F" w:rsidP="00DD4D6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=388.439+8.58961*</m:t>
                </m:r>
                <m:rad>
                  <m:radPr>
                    <m:degHide m:val="1"/>
                    <m:ctrlPr>
                      <w:rPr>
                        <w:rFonts w:ascii="Cambria Math" w:hAnsi="Cambria Math"/>
                        <w:szCs w:val="18"/>
                      </w:rPr>
                    </m:ctrlPr>
                  </m:radPr>
                  <m:deg/>
                  <m:e>
                    <m:r>
                      <w:rPr>
                        <w:rFonts w:ascii="Cambria Math" w:hAnsi="Cambria Math"/>
                        <w:szCs w:val="18"/>
                      </w:rPr>
                      <m:t>h</m:t>
                    </m:r>
                  </m:e>
                </m:rad>
              </m:oMath>
            </m:oMathPara>
          </w:p>
        </w:tc>
        <w:tc>
          <w:tcPr>
            <w:tcW w:w="12" w:type="pct"/>
            <w:shd w:val="clear" w:color="auto" w:fill="FFFFFF"/>
          </w:tcPr>
          <w:p w14:paraId="67380175" w14:textId="5719BA3E" w:rsidR="006C308F" w:rsidRPr="006F7ED5" w:rsidRDefault="006C308F" w:rsidP="006C308F">
            <w:pPr>
              <w:pStyle w:val="CETBodytext"/>
              <w:ind w:right="-1"/>
              <w:rPr>
                <w:rFonts w:cs="Arial"/>
                <w:szCs w:val="18"/>
              </w:rPr>
            </w:pPr>
          </w:p>
        </w:tc>
      </w:tr>
      <w:tr w:rsidR="006C308F" w:rsidRPr="006F7ED5" w14:paraId="3FB21898" w14:textId="77777777" w:rsidTr="001905CA">
        <w:tc>
          <w:tcPr>
            <w:tcW w:w="1939" w:type="pct"/>
            <w:shd w:val="clear" w:color="auto" w:fill="FFFFFF"/>
            <w:vAlign w:val="bottom"/>
          </w:tcPr>
          <w:p w14:paraId="7F909A07" w14:textId="0C574837"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Double Square Root</w:t>
            </w:r>
          </w:p>
        </w:tc>
        <w:tc>
          <w:tcPr>
            <w:tcW w:w="673" w:type="pct"/>
            <w:shd w:val="clear" w:color="auto" w:fill="FFFFFF"/>
            <w:vAlign w:val="bottom"/>
          </w:tcPr>
          <w:p w14:paraId="697201BD" w14:textId="0B7A2F30"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0.8205</w:t>
            </w:r>
          </w:p>
        </w:tc>
        <w:tc>
          <w:tcPr>
            <w:tcW w:w="523" w:type="pct"/>
            <w:shd w:val="clear" w:color="auto" w:fill="FFFFFF"/>
            <w:vAlign w:val="bottom"/>
          </w:tcPr>
          <w:p w14:paraId="55B9B1F6" w14:textId="697109AB"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67.33%</w:t>
            </w:r>
          </w:p>
        </w:tc>
        <w:tc>
          <w:tcPr>
            <w:tcW w:w="1853" w:type="pct"/>
            <w:shd w:val="clear" w:color="auto" w:fill="FFFFFF"/>
          </w:tcPr>
          <w:p w14:paraId="6EFF3A3B" w14:textId="6E0A22E7" w:rsidR="006C308F" w:rsidRPr="006F7ED5" w:rsidRDefault="00DB205F" w:rsidP="00DD4D6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m:t>
                </m:r>
                <m:sSup>
                  <m:sSupPr>
                    <m:ctrlPr>
                      <w:rPr>
                        <w:rFonts w:ascii="Cambria Math" w:hAnsi="Cambria Math"/>
                        <w:szCs w:val="18"/>
                      </w:rPr>
                    </m:ctrlPr>
                  </m:sSupPr>
                  <m:e>
                    <m:r>
                      <m:rPr>
                        <m:sty m:val="p"/>
                      </m:rPr>
                      <w:rPr>
                        <w:rFonts w:ascii="Cambria Math" w:hAnsi="Cambria Math"/>
                        <w:szCs w:val="18"/>
                      </w:rPr>
                      <m:t>(19.7268+0.20756*</m:t>
                    </m:r>
                    <m:rad>
                      <m:radPr>
                        <m:degHide m:val="1"/>
                        <m:ctrlPr>
                          <w:rPr>
                            <w:rFonts w:ascii="Cambria Math" w:hAnsi="Cambria Math"/>
                            <w:szCs w:val="18"/>
                          </w:rPr>
                        </m:ctrlPr>
                      </m:radPr>
                      <m:deg/>
                      <m:e>
                        <m:r>
                          <w:rPr>
                            <w:rFonts w:ascii="Cambria Math" w:hAnsi="Cambria Math"/>
                            <w:szCs w:val="18"/>
                          </w:rPr>
                          <m:t>h</m:t>
                        </m:r>
                      </m:e>
                    </m:rad>
                    <m:r>
                      <m:rPr>
                        <m:sty m:val="p"/>
                      </m:rPr>
                      <w:rPr>
                        <w:rFonts w:ascii="Cambria Math" w:hAnsi="Cambria Math"/>
                        <w:szCs w:val="18"/>
                      </w:rPr>
                      <m:t>)</m:t>
                    </m:r>
                  </m:e>
                  <m:sup>
                    <m:r>
                      <m:rPr>
                        <m:sty m:val="p"/>
                      </m:rPr>
                      <w:rPr>
                        <w:rFonts w:ascii="Cambria Math" w:hAnsi="Cambria Math"/>
                        <w:szCs w:val="18"/>
                      </w:rPr>
                      <m:t>2</m:t>
                    </m:r>
                  </m:sup>
                </m:sSup>
              </m:oMath>
            </m:oMathPara>
          </w:p>
        </w:tc>
        <w:tc>
          <w:tcPr>
            <w:tcW w:w="12" w:type="pct"/>
            <w:shd w:val="clear" w:color="auto" w:fill="FFFFFF"/>
          </w:tcPr>
          <w:p w14:paraId="4FECFF56" w14:textId="65FB2675" w:rsidR="006C308F" w:rsidRPr="006F7ED5" w:rsidRDefault="006C308F" w:rsidP="006C308F">
            <w:pPr>
              <w:pStyle w:val="CETBodytext"/>
              <w:ind w:right="-1"/>
              <w:rPr>
                <w:rFonts w:cs="Arial"/>
                <w:szCs w:val="18"/>
              </w:rPr>
            </w:pPr>
          </w:p>
        </w:tc>
      </w:tr>
      <w:tr w:rsidR="006C308F" w:rsidRPr="006F7ED5" w14:paraId="0C6CF509" w14:textId="77777777" w:rsidTr="001905CA">
        <w:tc>
          <w:tcPr>
            <w:tcW w:w="1939" w:type="pct"/>
            <w:shd w:val="clear" w:color="auto" w:fill="FFFFFF"/>
            <w:vAlign w:val="bottom"/>
          </w:tcPr>
          <w:p w14:paraId="075B33BC" w14:textId="245CF38C"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Logarithmic-Y Square Root-X</w:t>
            </w:r>
          </w:p>
        </w:tc>
        <w:tc>
          <w:tcPr>
            <w:tcW w:w="673" w:type="pct"/>
            <w:shd w:val="clear" w:color="auto" w:fill="FFFFFF"/>
            <w:vAlign w:val="bottom"/>
          </w:tcPr>
          <w:p w14:paraId="50DC6DD1" w14:textId="1CF800A7"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0.8171</w:t>
            </w:r>
          </w:p>
        </w:tc>
        <w:tc>
          <w:tcPr>
            <w:tcW w:w="523" w:type="pct"/>
            <w:shd w:val="clear" w:color="auto" w:fill="FFFFFF"/>
            <w:vAlign w:val="bottom"/>
          </w:tcPr>
          <w:p w14:paraId="336DBF72" w14:textId="713DC262"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66.76%</w:t>
            </w:r>
          </w:p>
        </w:tc>
        <w:tc>
          <w:tcPr>
            <w:tcW w:w="1853" w:type="pct"/>
            <w:shd w:val="clear" w:color="auto" w:fill="FFFFFF"/>
          </w:tcPr>
          <w:p w14:paraId="299A0F08" w14:textId="203AFB42" w:rsidR="006C308F" w:rsidRPr="006F7ED5" w:rsidRDefault="00DB205F" w:rsidP="00DD4D6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m:t>
                </m:r>
                <m:func>
                  <m:funcPr>
                    <m:ctrlPr>
                      <w:rPr>
                        <w:rFonts w:ascii="Cambria Math" w:hAnsi="Cambria Math"/>
                        <w:szCs w:val="18"/>
                      </w:rPr>
                    </m:ctrlPr>
                  </m:funcPr>
                  <m:fName>
                    <m:r>
                      <m:rPr>
                        <m:sty m:val="p"/>
                      </m:rPr>
                      <w:rPr>
                        <w:rFonts w:ascii="Cambria Math" w:hAnsi="Cambria Math"/>
                        <w:szCs w:val="18"/>
                      </w:rPr>
                      <m:t>exp</m:t>
                    </m:r>
                  </m:fName>
                  <m:e>
                    <m:r>
                      <m:rPr>
                        <m:sty m:val="p"/>
                      </m:rPr>
                      <w:rPr>
                        <w:rFonts w:ascii="Cambria Math" w:hAnsi="Cambria Math"/>
                        <w:szCs w:val="18"/>
                      </w:rPr>
                      <m:t>(5.96564+0.0200695*</m:t>
                    </m:r>
                    <m:rad>
                      <m:radPr>
                        <m:degHide m:val="1"/>
                        <m:ctrlPr>
                          <w:rPr>
                            <w:rFonts w:ascii="Cambria Math" w:hAnsi="Cambria Math"/>
                            <w:szCs w:val="18"/>
                          </w:rPr>
                        </m:ctrlPr>
                      </m:radPr>
                      <m:deg/>
                      <m:e>
                        <m:r>
                          <w:rPr>
                            <w:rFonts w:ascii="Cambria Math" w:hAnsi="Cambria Math"/>
                            <w:szCs w:val="18"/>
                          </w:rPr>
                          <m:t>h</m:t>
                        </m:r>
                      </m:e>
                    </m:rad>
                  </m:e>
                </m:func>
                <m:r>
                  <m:rPr>
                    <m:sty m:val="p"/>
                  </m:rPr>
                  <w:rPr>
                    <w:rFonts w:ascii="Cambria Math" w:hAnsi="Cambria Math"/>
                    <w:szCs w:val="18"/>
                  </w:rPr>
                  <m:t>)</m:t>
                </m:r>
              </m:oMath>
            </m:oMathPara>
          </w:p>
        </w:tc>
        <w:tc>
          <w:tcPr>
            <w:tcW w:w="12" w:type="pct"/>
            <w:shd w:val="clear" w:color="auto" w:fill="FFFFFF"/>
          </w:tcPr>
          <w:p w14:paraId="14564E0F" w14:textId="0AD507D4" w:rsidR="006C308F" w:rsidRPr="006F7ED5" w:rsidRDefault="006C308F" w:rsidP="006C308F">
            <w:pPr>
              <w:pStyle w:val="CETBodytext"/>
              <w:ind w:right="-1"/>
              <w:rPr>
                <w:rFonts w:cs="Arial"/>
                <w:szCs w:val="18"/>
              </w:rPr>
            </w:pPr>
          </w:p>
        </w:tc>
      </w:tr>
      <w:tr w:rsidR="006C308F" w:rsidRPr="006F7ED5" w14:paraId="2E259904" w14:textId="77777777" w:rsidTr="001905CA">
        <w:tc>
          <w:tcPr>
            <w:tcW w:w="1939" w:type="pct"/>
            <w:shd w:val="clear" w:color="auto" w:fill="FFFFFF"/>
            <w:vAlign w:val="bottom"/>
          </w:tcPr>
          <w:p w14:paraId="746B502F" w14:textId="1BA126C1"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Square-Y</w:t>
            </w:r>
          </w:p>
        </w:tc>
        <w:tc>
          <w:tcPr>
            <w:tcW w:w="673" w:type="pct"/>
            <w:shd w:val="clear" w:color="auto" w:fill="FFFFFF"/>
            <w:vAlign w:val="bottom"/>
          </w:tcPr>
          <w:p w14:paraId="53F0132F" w14:textId="105868CC"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0.8059</w:t>
            </w:r>
          </w:p>
        </w:tc>
        <w:tc>
          <w:tcPr>
            <w:tcW w:w="523" w:type="pct"/>
            <w:shd w:val="clear" w:color="auto" w:fill="FFFFFF"/>
            <w:vAlign w:val="bottom"/>
          </w:tcPr>
          <w:p w14:paraId="3C1CD282" w14:textId="2AB913CE"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64.95%</w:t>
            </w:r>
          </w:p>
        </w:tc>
        <w:tc>
          <w:tcPr>
            <w:tcW w:w="1853" w:type="pct"/>
            <w:shd w:val="clear" w:color="auto" w:fill="FFFFFF"/>
          </w:tcPr>
          <w:p w14:paraId="09FA6965" w14:textId="7085F6BF" w:rsidR="006C308F" w:rsidRPr="006F7ED5" w:rsidRDefault="00DB205F" w:rsidP="00DD4D6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m:t>
                </m:r>
                <m:rad>
                  <m:radPr>
                    <m:degHide m:val="1"/>
                    <m:ctrlPr>
                      <w:rPr>
                        <w:rFonts w:ascii="Cambria Math" w:hAnsi="Cambria Math"/>
                        <w:szCs w:val="18"/>
                      </w:rPr>
                    </m:ctrlPr>
                  </m:radPr>
                  <m:deg/>
                  <m:e>
                    <m:r>
                      <m:rPr>
                        <m:sty m:val="p"/>
                      </m:rPr>
                      <w:rPr>
                        <w:rFonts w:ascii="Cambria Math" w:hAnsi="Cambria Math"/>
                        <w:szCs w:val="18"/>
                      </w:rPr>
                      <m:t xml:space="preserve">165929+696.189* </m:t>
                    </m:r>
                    <m:r>
                      <w:rPr>
                        <w:rFonts w:ascii="Cambria Math" w:hAnsi="Cambria Math"/>
                        <w:szCs w:val="18"/>
                      </w:rPr>
                      <m:t>h</m:t>
                    </m:r>
                  </m:e>
                </m:rad>
              </m:oMath>
            </m:oMathPara>
          </w:p>
        </w:tc>
        <w:tc>
          <w:tcPr>
            <w:tcW w:w="12" w:type="pct"/>
            <w:shd w:val="clear" w:color="auto" w:fill="FFFFFF"/>
          </w:tcPr>
          <w:p w14:paraId="38C4964D" w14:textId="3DABFC4A" w:rsidR="006C308F" w:rsidRPr="006F7ED5" w:rsidRDefault="006C308F" w:rsidP="006C308F">
            <w:pPr>
              <w:pStyle w:val="CETBodytext"/>
              <w:ind w:right="-1"/>
              <w:rPr>
                <w:rFonts w:cs="Arial"/>
                <w:szCs w:val="18"/>
              </w:rPr>
            </w:pPr>
          </w:p>
        </w:tc>
      </w:tr>
      <w:tr w:rsidR="006C308F" w:rsidRPr="006F7ED5" w14:paraId="7FAFCE5E" w14:textId="77777777" w:rsidTr="001905CA">
        <w:tc>
          <w:tcPr>
            <w:tcW w:w="1939" w:type="pct"/>
            <w:shd w:val="clear" w:color="auto" w:fill="FFFFFF"/>
            <w:vAlign w:val="bottom"/>
          </w:tcPr>
          <w:p w14:paraId="348426F8" w14:textId="58B2FD1A"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Linea</w:t>
            </w:r>
            <w:r w:rsidR="00201B41">
              <w:rPr>
                <w:rFonts w:cs="Arial"/>
                <w:color w:val="000000"/>
                <w:szCs w:val="18"/>
                <w:lang w:eastAsia="es-MX"/>
              </w:rPr>
              <w:t>r</w:t>
            </w:r>
          </w:p>
        </w:tc>
        <w:tc>
          <w:tcPr>
            <w:tcW w:w="673" w:type="pct"/>
            <w:shd w:val="clear" w:color="auto" w:fill="FFFFFF"/>
            <w:vAlign w:val="bottom"/>
          </w:tcPr>
          <w:p w14:paraId="4CD7B9E1" w14:textId="2B4C8063"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0.7962</w:t>
            </w:r>
          </w:p>
        </w:tc>
        <w:tc>
          <w:tcPr>
            <w:tcW w:w="523" w:type="pct"/>
            <w:shd w:val="clear" w:color="auto" w:fill="FFFFFF"/>
            <w:vAlign w:val="bottom"/>
          </w:tcPr>
          <w:p w14:paraId="0B02D903" w14:textId="30E6259D" w:rsidR="006C308F" w:rsidRPr="006F7ED5" w:rsidRDefault="006C308F" w:rsidP="002F241B">
            <w:pPr>
              <w:pStyle w:val="CETBodytext"/>
              <w:ind w:right="-1"/>
              <w:rPr>
                <w:rFonts w:cs="Arial"/>
                <w:color w:val="000000"/>
                <w:szCs w:val="18"/>
                <w:lang w:eastAsia="es-MX"/>
              </w:rPr>
            </w:pPr>
            <w:r w:rsidRPr="006F7ED5">
              <w:rPr>
                <w:rFonts w:cs="Arial"/>
                <w:color w:val="000000"/>
                <w:szCs w:val="18"/>
                <w:lang w:eastAsia="es-MX"/>
              </w:rPr>
              <w:t>63.40%</w:t>
            </w:r>
          </w:p>
        </w:tc>
        <w:tc>
          <w:tcPr>
            <w:tcW w:w="1853" w:type="pct"/>
            <w:shd w:val="clear" w:color="auto" w:fill="FFFFFF"/>
          </w:tcPr>
          <w:p w14:paraId="2B898389" w14:textId="735A76A1" w:rsidR="006C308F" w:rsidRPr="006F7ED5" w:rsidRDefault="00DB205F" w:rsidP="00DD4D64">
            <w:pPr>
              <w:pStyle w:val="CETEquation"/>
              <w:rPr>
                <w:szCs w:val="18"/>
              </w:rPr>
            </w:pPr>
            <m:oMathPara>
              <m:oMathParaPr>
                <m:jc m:val="left"/>
              </m:oMathParaPr>
              <m:oMath>
                <m:sSub>
                  <m:sSubPr>
                    <m:ctrlPr>
                      <w:rPr>
                        <w:rFonts w:ascii="Cambria Math" w:hAnsi="Cambria Math"/>
                        <w:szCs w:val="18"/>
                      </w:rPr>
                    </m:ctrlPr>
                  </m:sSubPr>
                  <m:e>
                    <m:r>
                      <w:rPr>
                        <w:rFonts w:ascii="Cambria Math" w:hAnsi="Cambria Math"/>
                        <w:szCs w:val="18"/>
                      </w:rPr>
                      <m:t>T</m:t>
                    </m:r>
                  </m:e>
                  <m:sub>
                    <m:r>
                      <w:rPr>
                        <w:rFonts w:ascii="Cambria Math" w:hAnsi="Cambria Math"/>
                        <w:szCs w:val="18"/>
                      </w:rPr>
                      <m:t>max</m:t>
                    </m:r>
                  </m:sub>
                </m:sSub>
                <m:r>
                  <m:rPr>
                    <m:sty m:val="p"/>
                  </m:rPr>
                  <w:rPr>
                    <w:rFonts w:ascii="Cambria Math" w:hAnsi="Cambria Math"/>
                    <w:szCs w:val="18"/>
                  </w:rPr>
                  <m:t>=407.501 + 0.808584*</m:t>
                </m:r>
                <m:r>
                  <w:rPr>
                    <w:rFonts w:ascii="Cambria Math" w:hAnsi="Cambria Math"/>
                    <w:szCs w:val="18"/>
                  </w:rPr>
                  <m:t>h</m:t>
                </m:r>
              </m:oMath>
            </m:oMathPara>
          </w:p>
        </w:tc>
        <w:tc>
          <w:tcPr>
            <w:tcW w:w="12" w:type="pct"/>
            <w:shd w:val="clear" w:color="auto" w:fill="FFFFFF"/>
          </w:tcPr>
          <w:p w14:paraId="074C0DA1" w14:textId="5F145EE6" w:rsidR="006C308F" w:rsidRPr="006F7ED5" w:rsidRDefault="006C308F" w:rsidP="006C308F">
            <w:pPr>
              <w:pStyle w:val="CETBodytext"/>
              <w:ind w:right="-1"/>
              <w:rPr>
                <w:rFonts w:cs="Arial"/>
                <w:szCs w:val="18"/>
              </w:rPr>
            </w:pPr>
          </w:p>
        </w:tc>
      </w:tr>
    </w:tbl>
    <w:p w14:paraId="4DB36E08" w14:textId="77777777" w:rsidR="000F7048" w:rsidRPr="000F7048" w:rsidRDefault="000F7048" w:rsidP="000F7048">
      <w:pPr>
        <w:pStyle w:val="CETBodytext"/>
        <w:rPr>
          <w:sz w:val="16"/>
          <w:szCs w:val="16"/>
        </w:rPr>
      </w:pPr>
      <w:r w:rsidRPr="00A67FEA">
        <w:rPr>
          <w:rFonts w:ascii="Times New Roman" w:hAnsi="Times New Roman"/>
          <w:i/>
          <w:iCs/>
          <w:sz w:val="16"/>
          <w:szCs w:val="16"/>
        </w:rPr>
        <w:t>h</w:t>
      </w:r>
      <w:r w:rsidRPr="000F7048">
        <w:rPr>
          <w:sz w:val="16"/>
          <w:szCs w:val="16"/>
        </w:rPr>
        <w:t>: heating rate °C min</w:t>
      </w:r>
      <w:r w:rsidRPr="000F7048">
        <w:rPr>
          <w:sz w:val="16"/>
          <w:szCs w:val="16"/>
          <w:vertAlign w:val="superscript"/>
        </w:rPr>
        <w:t>-1</w:t>
      </w:r>
      <w:r>
        <w:rPr>
          <w:sz w:val="16"/>
          <w:szCs w:val="16"/>
        </w:rPr>
        <w:t>.</w:t>
      </w:r>
    </w:p>
    <w:p w14:paraId="401478E7" w14:textId="2E607407" w:rsidR="00FD35AC" w:rsidRDefault="00FD35AC" w:rsidP="005731E3">
      <w:pPr>
        <w:pStyle w:val="CETBodytext"/>
        <w:rPr>
          <w:noProof/>
        </w:rPr>
      </w:pPr>
    </w:p>
    <w:p w14:paraId="6F8979FB" w14:textId="3635B293" w:rsidR="005731E3" w:rsidRDefault="00233200" w:rsidP="00233200">
      <w:pPr>
        <w:pStyle w:val="CETBodytext"/>
        <w:rPr>
          <w:noProof/>
        </w:rPr>
      </w:pPr>
      <w:r w:rsidRPr="00233200">
        <w:rPr>
          <w:noProof/>
        </w:rPr>
        <w:t xml:space="preserve">Figure 2 visualizes the fit of all the linear models studied with the data collected. Additionally, a lack of fit test was performed to determine if the selected model adequately describes the observed data or if a more complicated model is needed. The results showed a minimum lack of fit of 0.06 corresponding to the linear </w:t>
      </w:r>
      <w:r w:rsidRPr="00233200">
        <w:rPr>
          <w:noProof/>
        </w:rPr>
        <w:lastRenderedPageBreak/>
        <w:t>model and a maximum of 0.35 for the multiplicative model; a p-value=0 was obtained for all models being less than 0.05. Therefore, the models were adequate for the observed data with a confidence level of 95 %.</w:t>
      </w:r>
    </w:p>
    <w:p w14:paraId="45108AB8" w14:textId="314C3265" w:rsidR="006F7ED5" w:rsidRDefault="006F7ED5" w:rsidP="00233200">
      <w:pPr>
        <w:pStyle w:val="CETBodytext"/>
        <w:rPr>
          <w:noProof/>
        </w:rPr>
      </w:pPr>
    </w:p>
    <w:p w14:paraId="53360ABB" w14:textId="3D37C038" w:rsidR="006F7ED5" w:rsidRDefault="006F7ED5" w:rsidP="00233200">
      <w:pPr>
        <w:pStyle w:val="CETBodytext"/>
        <w:rPr>
          <w:noProof/>
        </w:rPr>
      </w:pPr>
      <w:r>
        <w:rPr>
          <w:noProof/>
        </w:rPr>
        <w:drawing>
          <wp:inline distT="0" distB="0" distL="0" distR="0" wp14:anchorId="1ED60108" wp14:editId="4887E57B">
            <wp:extent cx="2956560" cy="2263432"/>
            <wp:effectExtent l="0" t="0" r="0" b="3810"/>
            <wp:docPr id="8" name="Imagen 8"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dispersión&#10;&#10;Descripción generada automáticamente"/>
                    <pic:cNvPicPr/>
                  </pic:nvPicPr>
                  <pic:blipFill>
                    <a:blip r:embed="rId14"/>
                    <a:stretch>
                      <a:fillRect/>
                    </a:stretch>
                  </pic:blipFill>
                  <pic:spPr>
                    <a:xfrm>
                      <a:off x="0" y="0"/>
                      <a:ext cx="2975585" cy="2277997"/>
                    </a:xfrm>
                    <a:prstGeom prst="rect">
                      <a:avLst/>
                    </a:prstGeom>
                  </pic:spPr>
                </pic:pic>
              </a:graphicData>
            </a:graphic>
          </wp:inline>
        </w:drawing>
      </w:r>
    </w:p>
    <w:p w14:paraId="5363DCE3" w14:textId="29657F8B" w:rsidR="001E1CFB" w:rsidRPr="0022172E" w:rsidRDefault="001E1CFB" w:rsidP="00A67FEA">
      <w:pPr>
        <w:pStyle w:val="CETCaption"/>
        <w:spacing w:before="0"/>
        <w:rPr>
          <w:lang w:val="en-US"/>
        </w:rPr>
      </w:pPr>
      <w:r w:rsidRPr="0022172E">
        <w:rPr>
          <w:rStyle w:val="CETCaptionCarattere"/>
          <w:i/>
          <w:lang w:val="en-US"/>
        </w:rPr>
        <w:t xml:space="preserve">Figure </w:t>
      </w:r>
      <w:r w:rsidR="003E4E5A">
        <w:rPr>
          <w:rStyle w:val="CETCaptionCarattere"/>
          <w:i/>
          <w:lang w:val="en-US"/>
        </w:rPr>
        <w:t>2</w:t>
      </w:r>
      <w:r w:rsidRPr="0022172E">
        <w:rPr>
          <w:rStyle w:val="CETCaptionCarattere"/>
          <w:i/>
          <w:lang w:val="en-US"/>
        </w:rPr>
        <w:t xml:space="preserve">: </w:t>
      </w:r>
      <w:r w:rsidR="003E4E5A">
        <w:rPr>
          <w:rStyle w:val="CETCaptionCarattere"/>
          <w:i/>
          <w:lang w:val="en-US"/>
        </w:rPr>
        <w:t>Linea</w:t>
      </w:r>
      <w:r w:rsidR="00201B41">
        <w:rPr>
          <w:rStyle w:val="CETCaptionCarattere"/>
          <w:i/>
          <w:lang w:val="en-US"/>
        </w:rPr>
        <w:t>r</w:t>
      </w:r>
      <w:r w:rsidR="003E4E5A">
        <w:rPr>
          <w:rStyle w:val="CETCaptionCarattere"/>
          <w:i/>
          <w:lang w:val="en-US"/>
        </w:rPr>
        <w:t xml:space="preserve"> fitting to estimate </w:t>
      </w:r>
      <w:proofErr w:type="spellStart"/>
      <w:r w:rsidR="003E4E5A" w:rsidRPr="00A67FEA">
        <w:rPr>
          <w:rStyle w:val="CETCaptionCarattere"/>
          <w:rFonts w:ascii="Times New Roman" w:hAnsi="Times New Roman"/>
          <w:i/>
          <w:lang w:val="en-US"/>
        </w:rPr>
        <w:t>T</w:t>
      </w:r>
      <w:r w:rsidR="003E4E5A" w:rsidRPr="00A67FEA">
        <w:rPr>
          <w:rStyle w:val="CETCaptionCarattere"/>
          <w:rFonts w:ascii="Times New Roman" w:hAnsi="Times New Roman"/>
          <w:i/>
          <w:vertAlign w:val="subscript"/>
          <w:lang w:val="en-US"/>
        </w:rPr>
        <w:t>max</w:t>
      </w:r>
      <w:proofErr w:type="spellEnd"/>
      <w:r w:rsidR="003E4E5A">
        <w:rPr>
          <w:rStyle w:val="CETCaptionCarattere"/>
          <w:i/>
          <w:lang w:val="en-US"/>
        </w:rPr>
        <w:t xml:space="preserve"> degradation </w:t>
      </w:r>
      <w:r w:rsidR="008D0FB1">
        <w:rPr>
          <w:rStyle w:val="CETCaptionCarattere"/>
          <w:i/>
          <w:lang w:val="en-US"/>
        </w:rPr>
        <w:t>on</w:t>
      </w:r>
      <w:r w:rsidR="00F06137">
        <w:rPr>
          <w:rStyle w:val="CETCaptionCarattere"/>
          <w:i/>
          <w:lang w:val="en-US"/>
        </w:rPr>
        <w:t xml:space="preserve"> PS TGA.</w:t>
      </w:r>
      <w:r w:rsidRPr="0022172E">
        <w:rPr>
          <w:lang w:val="en-US"/>
        </w:rPr>
        <w:t xml:space="preserve"> </w:t>
      </w:r>
      <w:r w:rsidR="00051208">
        <w:rPr>
          <w:lang w:val="en-US"/>
        </w:rPr>
        <w:t xml:space="preserve">Data’s risk of bias </w:t>
      </w:r>
      <w:r w:rsidR="00051208">
        <w:rPr>
          <w:rFonts w:cs="Arial"/>
          <w:lang w:val="en-US"/>
        </w:rPr>
        <w:t>±</w:t>
      </w:r>
      <w:r w:rsidR="00051208">
        <w:rPr>
          <w:lang w:val="en-US"/>
        </w:rPr>
        <w:t>2%</w:t>
      </w:r>
    </w:p>
    <w:p w14:paraId="5566D280" w14:textId="25A7A6F5" w:rsidR="00081929" w:rsidRDefault="00081929" w:rsidP="005731E3">
      <w:pPr>
        <w:pStyle w:val="CETBodytext"/>
      </w:pPr>
      <w:r w:rsidRPr="00081929">
        <w:t>On the other hand, a study was carried out using normality tests to determine whether the residuals resulting from the linear model with the best fit (Square-Y Log-X) can be adequately modeled with a normal distribution. The tests performed were chi-square, Shapiro-Wilk W statistic, z-value for skewness, and z-value for kurtosis. The chi-square test divides the range of residuals into 15 equally probable classes and compares the number of observations in each class with the expected number of observations; the Shapiro-Wilk test is based on the comparison of the quartiles of the normal distribution fitted to the data. On the other hand, the standardized skewness test looks for a lack of symmetry in the data. Finally, the standardized kurtosis test looks for whether the shape of the distribution is flatter or sharper than the normal distribution</w:t>
      </w:r>
      <w:r w:rsidR="00DB73F2">
        <w:t xml:space="preserve"> </w:t>
      </w:r>
      <w:r w:rsidR="00DB73F2">
        <w:fldChar w:fldCharType="begin"/>
      </w:r>
      <w:r w:rsidR="00DB73F2">
        <w:instrText xml:space="preserve"> ADDIN ZOTERO_ITEM CSL_CITATION {"citationID":"GgCyU0nu","properties":{"formattedCitation":"(Statgraphics, 2007)","plainCitation":"(Statgraphics, 2007)","noteIndex":0},"citationItems":[{"id":231,"uris":["http://zotero.org/users/10404519/items/DUVK3QS8"],"itemData":{"id":231,"type":"document","publisher":"StatPoint, Inc","title":"Probability Distributions","author":[{"family":"Statgraphics","given":""}],"issued":{"date-parts":[["2007"]]}}}],"schema":"https://github.com/citation-style-language/schema/raw/master/csl-citation.json"} </w:instrText>
      </w:r>
      <w:r w:rsidR="00DB73F2">
        <w:fldChar w:fldCharType="separate"/>
      </w:r>
      <w:r w:rsidR="00DB73F2" w:rsidRPr="00DB73F2">
        <w:rPr>
          <w:rFonts w:cs="Arial"/>
        </w:rPr>
        <w:t>(Statgraphics, 2007)</w:t>
      </w:r>
      <w:r w:rsidR="00DB73F2">
        <w:fldChar w:fldCharType="end"/>
      </w:r>
      <w:r w:rsidRPr="00081929">
        <w:t>.</w:t>
      </w:r>
    </w:p>
    <w:p w14:paraId="7C2EF5A0" w14:textId="69ED8F21" w:rsidR="006D28F5" w:rsidRDefault="00081929" w:rsidP="005731E3">
      <w:pPr>
        <w:pStyle w:val="CETBodytext"/>
        <w:rPr>
          <w:noProof/>
        </w:rPr>
      </w:pPr>
      <w:r w:rsidRPr="00081929">
        <w:t xml:space="preserve">Figure 3 shows the histogram of the residuals resulting from the Square-Y Log-X model. </w:t>
      </w:r>
      <w:r w:rsidR="00DB205F">
        <w:t>The normality tests showed</w:t>
      </w:r>
      <w:r w:rsidRPr="00081929">
        <w:t xml:space="preserve"> that the smallest p-value was 0.249, corresponding to the chi-square test being major than 0.05; therefore, the residuals come from a normal distribution with 95 % confidence.</w:t>
      </w:r>
    </w:p>
    <w:p w14:paraId="590F29E2" w14:textId="192B31F5" w:rsidR="006F7ED5" w:rsidRDefault="006F7ED5" w:rsidP="005731E3">
      <w:pPr>
        <w:pStyle w:val="CETBodytext"/>
        <w:rPr>
          <w:noProof/>
        </w:rPr>
      </w:pPr>
    </w:p>
    <w:p w14:paraId="5762AE60" w14:textId="77777777" w:rsidR="00A22DEC" w:rsidRDefault="006F7ED5" w:rsidP="00A22DEC">
      <w:pPr>
        <w:pStyle w:val="CETBodytext"/>
        <w:rPr>
          <w:rStyle w:val="CETCaptionCarattere"/>
          <w:lang w:val="en-US"/>
        </w:rPr>
      </w:pPr>
      <w:r>
        <w:rPr>
          <w:noProof/>
        </w:rPr>
        <w:drawing>
          <wp:inline distT="0" distB="0" distL="0" distR="0" wp14:anchorId="6F605F44" wp14:editId="35EDC1D4">
            <wp:extent cx="3320357" cy="1415947"/>
            <wp:effectExtent l="0" t="0" r="0" b="0"/>
            <wp:docPr id="2" name="Imagen 2"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Histograma&#10;&#10;Descripción generada automáticamente"/>
                    <pic:cNvPicPr/>
                  </pic:nvPicPr>
                  <pic:blipFill rotWithShape="1">
                    <a:blip r:embed="rId15"/>
                    <a:srcRect t="4213" b="8117"/>
                    <a:stretch/>
                  </pic:blipFill>
                  <pic:spPr bwMode="auto">
                    <a:xfrm>
                      <a:off x="0" y="0"/>
                      <a:ext cx="3353252" cy="1429975"/>
                    </a:xfrm>
                    <a:prstGeom prst="rect">
                      <a:avLst/>
                    </a:prstGeom>
                    <a:ln>
                      <a:noFill/>
                    </a:ln>
                    <a:extLst>
                      <a:ext uri="{53640926-AAD7-44D8-BBD7-CCE9431645EC}">
                        <a14:shadowObscured xmlns:a14="http://schemas.microsoft.com/office/drawing/2010/main"/>
                      </a:ext>
                    </a:extLst>
                  </pic:spPr>
                </pic:pic>
              </a:graphicData>
            </a:graphic>
          </wp:inline>
        </w:drawing>
      </w:r>
    </w:p>
    <w:p w14:paraId="5FAEDEDA" w14:textId="080F8B61" w:rsidR="00844682" w:rsidRDefault="001E1CFB" w:rsidP="00A22DEC">
      <w:pPr>
        <w:pStyle w:val="CETBodytext"/>
      </w:pPr>
      <w:r w:rsidRPr="0022172E">
        <w:rPr>
          <w:rStyle w:val="CETCaptionCarattere"/>
          <w:lang w:val="en-US"/>
        </w:rPr>
        <w:t xml:space="preserve">Figure </w:t>
      </w:r>
      <w:r w:rsidR="005972D2">
        <w:rPr>
          <w:rStyle w:val="CETCaptionCarattere"/>
          <w:lang w:val="en-US"/>
        </w:rPr>
        <w:t>3</w:t>
      </w:r>
      <w:r w:rsidRPr="0022172E">
        <w:rPr>
          <w:rStyle w:val="CETCaptionCarattere"/>
          <w:lang w:val="en-US"/>
        </w:rPr>
        <w:t xml:space="preserve">: </w:t>
      </w:r>
      <w:r w:rsidR="005972D2">
        <w:rPr>
          <w:rStyle w:val="CETCaptionCarattere"/>
          <w:lang w:val="en-US"/>
        </w:rPr>
        <w:t xml:space="preserve">Residues histogram from </w:t>
      </w:r>
      <w:r w:rsidR="00435A76">
        <w:rPr>
          <w:rStyle w:val="CETCaptionCarattere"/>
          <w:lang w:val="en-US"/>
        </w:rPr>
        <w:t xml:space="preserve">the </w:t>
      </w:r>
      <w:r w:rsidR="005972D2">
        <w:rPr>
          <w:rStyle w:val="CETCaptionCarattere"/>
          <w:lang w:val="en-US"/>
        </w:rPr>
        <w:t>best-fitting linea</w:t>
      </w:r>
      <w:r w:rsidR="00201B41">
        <w:rPr>
          <w:rStyle w:val="CETCaptionCarattere"/>
          <w:lang w:val="en-US"/>
        </w:rPr>
        <w:t>r</w:t>
      </w:r>
      <w:r w:rsidR="005972D2">
        <w:rPr>
          <w:rStyle w:val="CETCaptionCarattere"/>
          <w:lang w:val="en-US"/>
        </w:rPr>
        <w:t xml:space="preserve"> model.</w:t>
      </w:r>
      <w:r w:rsidRPr="0022172E">
        <w:t xml:space="preserve"> </w:t>
      </w:r>
    </w:p>
    <w:p w14:paraId="65FD9C56" w14:textId="07136411" w:rsidR="0078266F" w:rsidRPr="00A22DEC" w:rsidRDefault="000F7048" w:rsidP="00A22DEC">
      <w:pPr>
        <w:pStyle w:val="CETTabletitle"/>
        <w:jc w:val="both"/>
        <w:rPr>
          <w:i w:val="0"/>
          <w:lang w:val="en-US"/>
        </w:rPr>
      </w:pPr>
      <w:r w:rsidRPr="000F7048">
        <w:rPr>
          <w:i w:val="0"/>
          <w:lang w:val="en-US"/>
        </w:rPr>
        <w:t>Table 3 shows the results of the polynomial models estimating the maximum degradation temperature of PS using TGA data. The best fit was obtained with the fourth-order model with an r</w:t>
      </w:r>
      <w:r w:rsidRPr="00D804E2">
        <w:rPr>
          <w:i w:val="0"/>
          <w:vertAlign w:val="superscript"/>
          <w:lang w:val="en-US"/>
        </w:rPr>
        <w:t>2</w:t>
      </w:r>
      <w:r w:rsidRPr="000F7048">
        <w:rPr>
          <w:i w:val="0"/>
          <w:lang w:val="en-US"/>
        </w:rPr>
        <w:t>=70.46. On the other hand, to determine if the polynomial order is appropriate, the p-value is shown for all cases; it is observed that all are greater than 0.05. Therefore, the models are not statistically significant with a confidence level of 95 %; thus, it is considered to reduce the order resulting in linear models</w:t>
      </w:r>
      <w:r w:rsidR="006F7ED5">
        <w:rPr>
          <w:i w:val="0"/>
          <w:lang w:val="en-US"/>
        </w:rPr>
        <w:t>.</w:t>
      </w:r>
      <w:r w:rsidR="0078266F">
        <w:rPr>
          <w:i w:val="0"/>
          <w:lang w:val="en-US"/>
        </w:rPr>
        <w:t xml:space="preserve"> </w:t>
      </w:r>
    </w:p>
    <w:p w14:paraId="13549D68" w14:textId="72FB6B1F" w:rsidR="00844682" w:rsidRPr="0078266F" w:rsidRDefault="005972D2" w:rsidP="0078266F">
      <w:pPr>
        <w:pStyle w:val="CETTabletitle"/>
      </w:pPr>
      <w:r w:rsidRPr="0078266F">
        <w:t>Table 3. Polynomial models to estimate maximum degradation temperature (</w:t>
      </w:r>
      <w:proofErr w:type="spellStart"/>
      <w:r w:rsidRPr="004F66F1">
        <w:rPr>
          <w:rFonts w:ascii="Times New Roman" w:hAnsi="Times New Roman"/>
        </w:rPr>
        <w:t>T</w:t>
      </w:r>
      <w:r w:rsidRPr="004F66F1">
        <w:rPr>
          <w:rFonts w:ascii="Times New Roman" w:hAnsi="Times New Roman"/>
          <w:vertAlign w:val="subscript"/>
        </w:rPr>
        <w:t>max</w:t>
      </w:r>
      <w:proofErr w:type="spellEnd"/>
      <w:r w:rsidRPr="0078266F">
        <w:t xml:space="preserve">) </w:t>
      </w:r>
      <w:r w:rsidR="008D0FB1" w:rsidRPr="0078266F">
        <w:t>on</w:t>
      </w:r>
      <w:r w:rsidR="00F06137" w:rsidRPr="0078266F">
        <w:t xml:space="preserve"> PS TGA.</w:t>
      </w:r>
    </w:p>
    <w:tbl>
      <w:tblPr>
        <w:tblW w:w="5002"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0"/>
        <w:gridCol w:w="5958"/>
        <w:gridCol w:w="991"/>
        <w:gridCol w:w="700"/>
        <w:gridCol w:w="6"/>
        <w:gridCol w:w="6"/>
      </w:tblGrid>
      <w:tr w:rsidR="00844682" w:rsidRPr="001905CA" w14:paraId="49E15A47" w14:textId="77777777" w:rsidTr="00844682">
        <w:tc>
          <w:tcPr>
            <w:tcW w:w="643" w:type="pct"/>
            <w:tcBorders>
              <w:top w:val="single" w:sz="12" w:space="0" w:color="008000"/>
              <w:bottom w:val="single" w:sz="6" w:space="0" w:color="008000"/>
            </w:tcBorders>
            <w:shd w:val="clear" w:color="auto" w:fill="FFFFFF"/>
          </w:tcPr>
          <w:p w14:paraId="36307765" w14:textId="77777777" w:rsidR="0084352F" w:rsidRPr="001905CA" w:rsidRDefault="0084352F" w:rsidP="0091682C">
            <w:pPr>
              <w:pStyle w:val="CETBodytext"/>
              <w:rPr>
                <w:rFonts w:cs="Arial"/>
                <w:szCs w:val="18"/>
              </w:rPr>
            </w:pPr>
            <w:r w:rsidRPr="001905CA">
              <w:rPr>
                <w:rFonts w:cs="Arial"/>
                <w:szCs w:val="18"/>
              </w:rPr>
              <w:t xml:space="preserve">Model </w:t>
            </w:r>
          </w:p>
        </w:tc>
        <w:tc>
          <w:tcPr>
            <w:tcW w:w="3388" w:type="pct"/>
            <w:tcBorders>
              <w:top w:val="single" w:sz="12" w:space="0" w:color="008000"/>
              <w:bottom w:val="single" w:sz="6" w:space="0" w:color="008000"/>
            </w:tcBorders>
            <w:shd w:val="clear" w:color="auto" w:fill="FFFFFF"/>
          </w:tcPr>
          <w:p w14:paraId="7C612F83" w14:textId="5C6AB19B" w:rsidR="0084352F" w:rsidRPr="001905CA" w:rsidRDefault="0084352F" w:rsidP="0091682C">
            <w:pPr>
              <w:pStyle w:val="CETBodytext"/>
              <w:rPr>
                <w:rFonts w:cs="Arial"/>
                <w:szCs w:val="18"/>
              </w:rPr>
            </w:pPr>
            <w:r w:rsidRPr="001905CA">
              <w:rPr>
                <w:rFonts w:cs="Arial"/>
                <w:szCs w:val="18"/>
              </w:rPr>
              <w:t>Formula</w:t>
            </w:r>
          </w:p>
        </w:tc>
        <w:tc>
          <w:tcPr>
            <w:tcW w:w="564" w:type="pct"/>
            <w:tcBorders>
              <w:top w:val="single" w:sz="12" w:space="0" w:color="008000"/>
              <w:bottom w:val="single" w:sz="6" w:space="0" w:color="008000"/>
            </w:tcBorders>
            <w:shd w:val="clear" w:color="auto" w:fill="FFFFFF"/>
          </w:tcPr>
          <w:p w14:paraId="3768B2EB" w14:textId="77777777" w:rsidR="0084352F" w:rsidRPr="001905CA" w:rsidRDefault="0084352F" w:rsidP="000A1D76">
            <w:pPr>
              <w:pStyle w:val="CETBodytext"/>
              <w:jc w:val="left"/>
              <w:rPr>
                <w:rFonts w:cs="Arial"/>
                <w:szCs w:val="18"/>
              </w:rPr>
            </w:pPr>
            <w:r w:rsidRPr="001905CA">
              <w:rPr>
                <w:rFonts w:cs="Arial"/>
                <w:szCs w:val="18"/>
              </w:rPr>
              <w:t>r</w:t>
            </w:r>
            <w:r w:rsidRPr="001905CA">
              <w:rPr>
                <w:rFonts w:cs="Arial"/>
                <w:szCs w:val="18"/>
                <w:vertAlign w:val="superscript"/>
              </w:rPr>
              <w:t>2</w:t>
            </w:r>
          </w:p>
        </w:tc>
        <w:tc>
          <w:tcPr>
            <w:tcW w:w="398" w:type="pct"/>
            <w:tcBorders>
              <w:top w:val="single" w:sz="12" w:space="0" w:color="008000"/>
              <w:bottom w:val="single" w:sz="6" w:space="0" w:color="008000"/>
            </w:tcBorders>
            <w:shd w:val="clear" w:color="auto" w:fill="FFFFFF"/>
          </w:tcPr>
          <w:p w14:paraId="4E152904" w14:textId="14352E5C" w:rsidR="0084352F" w:rsidRPr="001905CA" w:rsidRDefault="0084352F" w:rsidP="0091682C">
            <w:pPr>
              <w:pStyle w:val="CETBodytext"/>
              <w:ind w:right="-1"/>
              <w:rPr>
                <w:rFonts w:cs="Arial"/>
                <w:szCs w:val="18"/>
              </w:rPr>
            </w:pPr>
            <w:r w:rsidRPr="001905CA">
              <w:rPr>
                <w:rFonts w:cs="Arial"/>
                <w:szCs w:val="18"/>
              </w:rPr>
              <w:t>p-value</w:t>
            </w:r>
          </w:p>
        </w:tc>
        <w:tc>
          <w:tcPr>
            <w:tcW w:w="3" w:type="pct"/>
            <w:tcBorders>
              <w:top w:val="single" w:sz="12" w:space="0" w:color="008000"/>
              <w:bottom w:val="single" w:sz="6" w:space="0" w:color="008000"/>
            </w:tcBorders>
            <w:shd w:val="clear" w:color="auto" w:fill="FFFFFF"/>
          </w:tcPr>
          <w:p w14:paraId="46A4C4CD" w14:textId="7AF96E9B" w:rsidR="0084352F" w:rsidRPr="001905CA" w:rsidRDefault="0084352F" w:rsidP="0091682C">
            <w:pPr>
              <w:pStyle w:val="CETBodytext"/>
              <w:ind w:right="-1"/>
              <w:rPr>
                <w:rFonts w:cs="Arial"/>
                <w:szCs w:val="18"/>
              </w:rPr>
            </w:pPr>
          </w:p>
        </w:tc>
        <w:tc>
          <w:tcPr>
            <w:tcW w:w="3" w:type="pct"/>
            <w:tcBorders>
              <w:top w:val="single" w:sz="12" w:space="0" w:color="008000"/>
              <w:bottom w:val="single" w:sz="6" w:space="0" w:color="008000"/>
            </w:tcBorders>
            <w:shd w:val="clear" w:color="auto" w:fill="FFFFFF"/>
          </w:tcPr>
          <w:p w14:paraId="3A1EC7BC" w14:textId="77777777" w:rsidR="0084352F" w:rsidRPr="001905CA" w:rsidRDefault="0084352F" w:rsidP="0091682C">
            <w:pPr>
              <w:pStyle w:val="CETBodytext"/>
              <w:ind w:right="-1"/>
              <w:rPr>
                <w:rFonts w:cs="Arial"/>
                <w:szCs w:val="18"/>
              </w:rPr>
            </w:pPr>
          </w:p>
        </w:tc>
      </w:tr>
      <w:tr w:rsidR="00844682" w:rsidRPr="001905CA" w14:paraId="045FCB4B" w14:textId="77777777" w:rsidTr="00844682">
        <w:tc>
          <w:tcPr>
            <w:tcW w:w="643" w:type="pct"/>
            <w:shd w:val="clear" w:color="auto" w:fill="FFFFFF"/>
            <w:vAlign w:val="bottom"/>
          </w:tcPr>
          <w:p w14:paraId="65512D9B" w14:textId="036359FC" w:rsidR="0084352F" w:rsidRPr="001905CA" w:rsidRDefault="0084352F" w:rsidP="0091682C">
            <w:pPr>
              <w:pStyle w:val="CETBodytext"/>
              <w:rPr>
                <w:rFonts w:cs="Arial"/>
                <w:szCs w:val="18"/>
              </w:rPr>
            </w:pPr>
            <w:r w:rsidRPr="001905CA">
              <w:rPr>
                <w:rFonts w:cs="Arial"/>
                <w:color w:val="000000"/>
                <w:szCs w:val="18"/>
                <w:lang w:eastAsia="es-MX"/>
              </w:rPr>
              <w:t>2</w:t>
            </w:r>
            <w:r w:rsidRPr="001905CA">
              <w:rPr>
                <w:rFonts w:cs="Arial"/>
                <w:color w:val="000000"/>
                <w:szCs w:val="18"/>
                <w:vertAlign w:val="superscript"/>
                <w:lang w:eastAsia="es-MX"/>
              </w:rPr>
              <w:t>nd</w:t>
            </w:r>
            <w:r w:rsidRPr="001905CA">
              <w:rPr>
                <w:rFonts w:cs="Arial"/>
                <w:color w:val="000000"/>
                <w:szCs w:val="18"/>
                <w:lang w:eastAsia="es-MX"/>
              </w:rPr>
              <w:t xml:space="preserve"> Order </w:t>
            </w:r>
          </w:p>
        </w:tc>
        <w:tc>
          <w:tcPr>
            <w:tcW w:w="3388" w:type="pct"/>
            <w:shd w:val="clear" w:color="auto" w:fill="FFFFFF"/>
            <w:vAlign w:val="center"/>
          </w:tcPr>
          <w:p w14:paraId="764F8F03" w14:textId="30D189C8" w:rsidR="0084352F" w:rsidRPr="001905CA" w:rsidRDefault="00DB205F" w:rsidP="00844682">
            <w:pPr>
              <w:pStyle w:val="CETBodytext"/>
              <w:jc w:val="center"/>
              <w:rPr>
                <w:rFonts w:cs="Arial"/>
                <w:szCs w:val="18"/>
              </w:rPr>
            </w:pPr>
            <m:oMathPara>
              <m:oMathParaPr>
                <m:jc m:val="left"/>
              </m:oMathParaPr>
              <m:oMath>
                <m:sSub>
                  <m:sSubPr>
                    <m:ctrlPr>
                      <w:rPr>
                        <w:rFonts w:ascii="Cambria Math" w:hAnsi="Cambria Math" w:cs="Arial"/>
                        <w:i/>
                        <w:color w:val="000000"/>
                        <w:szCs w:val="18"/>
                        <w:lang w:eastAsia="es-MX"/>
                      </w:rPr>
                    </m:ctrlPr>
                  </m:sSubPr>
                  <m:e>
                    <m:r>
                      <w:rPr>
                        <w:rFonts w:ascii="Cambria Math" w:hAnsi="Cambria Math" w:cs="Arial"/>
                        <w:color w:val="000000"/>
                        <w:szCs w:val="18"/>
                        <w:lang w:eastAsia="es-MX"/>
                      </w:rPr>
                      <m:t>T</m:t>
                    </m:r>
                  </m:e>
                  <m:sub>
                    <m:r>
                      <w:rPr>
                        <w:rFonts w:ascii="Cambria Math" w:hAnsi="Cambria Math" w:cs="Arial"/>
                        <w:color w:val="000000"/>
                        <w:szCs w:val="18"/>
                        <w:lang w:eastAsia="es-MX"/>
                      </w:rPr>
                      <m:t>max</m:t>
                    </m:r>
                  </m:sub>
                </m:sSub>
                <m:r>
                  <w:rPr>
                    <w:rFonts w:ascii="Cambria Math" w:hAnsi="Cambria Math" w:cs="Arial"/>
                    <w:color w:val="000000"/>
                    <w:szCs w:val="18"/>
                    <w:lang w:eastAsia="es-MX"/>
                  </w:rPr>
                  <m:t>=394.337+2.5699*</m:t>
                </m:r>
                <m:r>
                  <w:rPr>
                    <w:rFonts w:ascii="Cambria Math" w:hAnsi="Cambria Math" w:cs="Arial"/>
                    <w:color w:val="000000"/>
                    <w:szCs w:val="18"/>
                    <w:lang w:eastAsia="es-MX"/>
                  </w:rPr>
                  <m:t>h-</m:t>
                </m:r>
                <m:r>
                  <w:rPr>
                    <w:rFonts w:ascii="Cambria Math" w:hAnsi="Cambria Math" w:cs="Arial"/>
                    <w:color w:val="000000"/>
                    <w:szCs w:val="18"/>
                    <w:lang w:eastAsia="es-MX"/>
                  </w:rPr>
                  <m:t>0.0468546*</m:t>
                </m:r>
                <m:sSup>
                  <m:sSupPr>
                    <m:ctrlPr>
                      <w:rPr>
                        <w:rFonts w:ascii="Cambria Math" w:hAnsi="Cambria Math" w:cs="Arial"/>
                        <w:i/>
                        <w:color w:val="000000"/>
                        <w:szCs w:val="18"/>
                        <w:lang w:eastAsia="es-MX"/>
                      </w:rPr>
                    </m:ctrlPr>
                  </m:sSupPr>
                  <m:e>
                    <m:r>
                      <w:rPr>
                        <w:rFonts w:ascii="Cambria Math" w:hAnsi="Cambria Math" w:cs="Arial"/>
                        <w:color w:val="000000"/>
                        <w:szCs w:val="18"/>
                        <w:lang w:eastAsia="es-MX"/>
                      </w:rPr>
                      <m:t>h</m:t>
                    </m:r>
                  </m:e>
                  <m:sup>
                    <m:r>
                      <w:rPr>
                        <w:rFonts w:ascii="Cambria Math" w:hAnsi="Cambria Math" w:cs="Arial"/>
                        <w:color w:val="000000"/>
                        <w:szCs w:val="18"/>
                        <w:lang w:eastAsia="es-MX"/>
                      </w:rPr>
                      <m:t>2</m:t>
                    </m:r>
                  </m:sup>
                </m:sSup>
                <m:r>
                  <w:rPr>
                    <w:rFonts w:ascii="Cambria Math" w:hAnsi="Cambria Math" w:cs="Arial"/>
                    <w:color w:val="000000"/>
                    <w:szCs w:val="18"/>
                    <w:lang w:eastAsia="es-MX"/>
                  </w:rPr>
                  <m:t>+0.000324754*</m:t>
                </m:r>
                <m:sSup>
                  <m:sSupPr>
                    <m:ctrlPr>
                      <w:rPr>
                        <w:rFonts w:ascii="Cambria Math" w:hAnsi="Cambria Math" w:cs="Arial"/>
                        <w:i/>
                        <w:color w:val="000000"/>
                        <w:szCs w:val="18"/>
                        <w:lang w:eastAsia="es-MX"/>
                      </w:rPr>
                    </m:ctrlPr>
                  </m:sSupPr>
                  <m:e>
                    <m:r>
                      <w:rPr>
                        <w:rFonts w:ascii="Cambria Math" w:hAnsi="Cambria Math" w:cs="Arial"/>
                        <w:color w:val="000000"/>
                        <w:szCs w:val="18"/>
                        <w:lang w:eastAsia="es-MX"/>
                      </w:rPr>
                      <m:t>h</m:t>
                    </m:r>
                  </m:e>
                  <m:sup>
                    <m:r>
                      <w:rPr>
                        <w:rFonts w:ascii="Cambria Math" w:hAnsi="Cambria Math" w:cs="Arial"/>
                        <w:color w:val="000000"/>
                        <w:szCs w:val="18"/>
                        <w:lang w:eastAsia="es-MX"/>
                      </w:rPr>
                      <m:t>3</m:t>
                    </m:r>
                  </m:sup>
                </m:sSup>
              </m:oMath>
            </m:oMathPara>
          </w:p>
        </w:tc>
        <w:tc>
          <w:tcPr>
            <w:tcW w:w="564" w:type="pct"/>
            <w:shd w:val="clear" w:color="auto" w:fill="FFFFFF"/>
            <w:vAlign w:val="center"/>
          </w:tcPr>
          <w:p w14:paraId="652E6205" w14:textId="7B39CC97" w:rsidR="0084352F" w:rsidRPr="001905CA" w:rsidRDefault="0084352F" w:rsidP="000A1D76">
            <w:pPr>
              <w:pStyle w:val="CETBodytext"/>
              <w:jc w:val="left"/>
              <w:rPr>
                <w:rFonts w:cs="Arial"/>
                <w:szCs w:val="18"/>
              </w:rPr>
            </w:pPr>
            <w:r w:rsidRPr="001905CA">
              <w:rPr>
                <w:rFonts w:cs="Arial"/>
                <w:color w:val="000000"/>
                <w:szCs w:val="18"/>
                <w:lang w:eastAsia="es-MX"/>
              </w:rPr>
              <w:t>65.85</w:t>
            </w:r>
          </w:p>
        </w:tc>
        <w:tc>
          <w:tcPr>
            <w:tcW w:w="398" w:type="pct"/>
            <w:shd w:val="clear" w:color="auto" w:fill="FFFFFF"/>
            <w:vAlign w:val="center"/>
          </w:tcPr>
          <w:p w14:paraId="6C7DCE06" w14:textId="55E06E7C" w:rsidR="0084352F" w:rsidRPr="001905CA" w:rsidRDefault="008460D8" w:rsidP="00844682">
            <w:pPr>
              <w:pStyle w:val="CETBodytext"/>
              <w:ind w:right="-1"/>
              <w:jc w:val="center"/>
              <w:rPr>
                <w:rFonts w:cs="Arial"/>
                <w:szCs w:val="18"/>
              </w:rPr>
            </w:pPr>
            <w:r w:rsidRPr="001905CA">
              <w:rPr>
                <w:rFonts w:cs="Arial"/>
                <w:szCs w:val="18"/>
              </w:rPr>
              <w:t>0.1322</w:t>
            </w:r>
          </w:p>
        </w:tc>
        <w:tc>
          <w:tcPr>
            <w:tcW w:w="3" w:type="pct"/>
            <w:shd w:val="clear" w:color="auto" w:fill="FFFFFF"/>
          </w:tcPr>
          <w:p w14:paraId="3F734471" w14:textId="2EED9BC6" w:rsidR="0084352F" w:rsidRPr="001905CA" w:rsidRDefault="0084352F" w:rsidP="0091682C">
            <w:pPr>
              <w:pStyle w:val="CETBodytext"/>
              <w:ind w:right="-1"/>
              <w:rPr>
                <w:rFonts w:cs="Arial"/>
                <w:szCs w:val="18"/>
              </w:rPr>
            </w:pPr>
          </w:p>
        </w:tc>
        <w:tc>
          <w:tcPr>
            <w:tcW w:w="3" w:type="pct"/>
            <w:shd w:val="clear" w:color="auto" w:fill="FFFFFF"/>
          </w:tcPr>
          <w:p w14:paraId="441568BC" w14:textId="77777777" w:rsidR="0084352F" w:rsidRPr="001905CA" w:rsidRDefault="0084352F" w:rsidP="0091682C">
            <w:pPr>
              <w:pStyle w:val="CETBodytext"/>
              <w:ind w:right="-1"/>
              <w:rPr>
                <w:rFonts w:cs="Arial"/>
                <w:szCs w:val="18"/>
              </w:rPr>
            </w:pPr>
          </w:p>
        </w:tc>
      </w:tr>
      <w:tr w:rsidR="00844682" w:rsidRPr="001905CA" w14:paraId="27C513CC" w14:textId="77777777" w:rsidTr="00844682">
        <w:tc>
          <w:tcPr>
            <w:tcW w:w="643" w:type="pct"/>
            <w:shd w:val="clear" w:color="auto" w:fill="FFFFFF"/>
            <w:vAlign w:val="bottom"/>
          </w:tcPr>
          <w:p w14:paraId="6A06AB4C" w14:textId="157FD372" w:rsidR="0084352F" w:rsidRPr="001905CA" w:rsidRDefault="0084352F" w:rsidP="0091682C">
            <w:pPr>
              <w:pStyle w:val="CETBodytext"/>
              <w:ind w:right="-1"/>
              <w:rPr>
                <w:rFonts w:cs="Arial"/>
                <w:szCs w:val="18"/>
              </w:rPr>
            </w:pPr>
            <w:r w:rsidRPr="001905CA">
              <w:rPr>
                <w:rFonts w:cs="Arial"/>
                <w:szCs w:val="18"/>
              </w:rPr>
              <w:t>3</w:t>
            </w:r>
            <w:r w:rsidRPr="001905CA">
              <w:rPr>
                <w:rFonts w:cs="Arial"/>
                <w:szCs w:val="18"/>
                <w:vertAlign w:val="superscript"/>
              </w:rPr>
              <w:t>rd</w:t>
            </w:r>
            <w:r w:rsidRPr="001905CA">
              <w:rPr>
                <w:rFonts w:cs="Arial"/>
                <w:szCs w:val="18"/>
              </w:rPr>
              <w:t xml:space="preserve"> Order</w:t>
            </w:r>
          </w:p>
        </w:tc>
        <w:tc>
          <w:tcPr>
            <w:tcW w:w="3388" w:type="pct"/>
            <w:shd w:val="clear" w:color="auto" w:fill="FFFFFF"/>
            <w:vAlign w:val="center"/>
          </w:tcPr>
          <w:p w14:paraId="1CE68583" w14:textId="2DEA019D" w:rsidR="0084352F" w:rsidRPr="001905CA" w:rsidRDefault="00DB205F" w:rsidP="00844682">
            <w:pPr>
              <w:pStyle w:val="CETBodytext"/>
              <w:ind w:right="-1"/>
              <w:jc w:val="center"/>
              <w:rPr>
                <w:rFonts w:cs="Arial"/>
                <w:szCs w:val="18"/>
              </w:rPr>
            </w:pPr>
            <m:oMathPara>
              <m:oMathParaPr>
                <m:jc m:val="left"/>
              </m:oMathParaPr>
              <m:oMath>
                <m:sSub>
                  <m:sSubPr>
                    <m:ctrlPr>
                      <w:rPr>
                        <w:rFonts w:ascii="Cambria Math" w:hAnsi="Cambria Math" w:cs="Arial"/>
                        <w:i/>
                        <w:color w:val="000000"/>
                        <w:szCs w:val="18"/>
                        <w:lang w:eastAsia="es-MX"/>
                      </w:rPr>
                    </m:ctrlPr>
                  </m:sSubPr>
                  <m:e>
                    <m:r>
                      <w:rPr>
                        <w:rFonts w:ascii="Cambria Math" w:hAnsi="Cambria Math" w:cs="Arial"/>
                        <w:color w:val="000000"/>
                        <w:szCs w:val="18"/>
                        <w:lang w:eastAsia="es-MX"/>
                      </w:rPr>
                      <m:t>T</m:t>
                    </m:r>
                  </m:e>
                  <m:sub>
                    <m:r>
                      <w:rPr>
                        <w:rFonts w:ascii="Cambria Math" w:hAnsi="Cambria Math" w:cs="Arial"/>
                        <w:color w:val="000000"/>
                        <w:szCs w:val="18"/>
                        <w:lang w:eastAsia="es-MX"/>
                      </w:rPr>
                      <m:t>max</m:t>
                    </m:r>
                  </m:sub>
                </m:sSub>
                <m:r>
                  <w:rPr>
                    <w:rFonts w:ascii="Cambria Math" w:hAnsi="Cambria Math" w:cs="Arial"/>
                    <w:color w:val="000000"/>
                    <w:szCs w:val="18"/>
                    <w:lang w:eastAsia="es-MX"/>
                  </w:rPr>
                  <m:t>=394.337+2.5699*</m:t>
                </m:r>
                <m:r>
                  <w:rPr>
                    <w:rFonts w:ascii="Cambria Math" w:hAnsi="Cambria Math" w:cs="Arial"/>
                    <w:color w:val="000000"/>
                    <w:szCs w:val="18"/>
                    <w:lang w:eastAsia="es-MX"/>
                  </w:rPr>
                  <m:t>h-</m:t>
                </m:r>
                <m:r>
                  <w:rPr>
                    <w:rFonts w:ascii="Cambria Math" w:hAnsi="Cambria Math" w:cs="Arial"/>
                    <w:color w:val="000000"/>
                    <w:szCs w:val="18"/>
                    <w:lang w:eastAsia="es-MX"/>
                  </w:rPr>
                  <m:t>0.0468546*</m:t>
                </m:r>
                <m:sSup>
                  <m:sSupPr>
                    <m:ctrlPr>
                      <w:rPr>
                        <w:rFonts w:ascii="Cambria Math" w:hAnsi="Cambria Math" w:cs="Arial"/>
                        <w:i/>
                        <w:color w:val="000000"/>
                        <w:szCs w:val="18"/>
                        <w:lang w:eastAsia="es-MX"/>
                      </w:rPr>
                    </m:ctrlPr>
                  </m:sSupPr>
                  <m:e>
                    <m:r>
                      <w:rPr>
                        <w:rFonts w:ascii="Cambria Math" w:hAnsi="Cambria Math" w:cs="Arial"/>
                        <w:color w:val="000000"/>
                        <w:szCs w:val="18"/>
                        <w:lang w:eastAsia="es-MX"/>
                      </w:rPr>
                      <m:t>h</m:t>
                    </m:r>
                  </m:e>
                  <m:sup>
                    <m:r>
                      <w:rPr>
                        <w:rFonts w:ascii="Cambria Math" w:hAnsi="Cambria Math" w:cs="Arial"/>
                        <w:color w:val="000000"/>
                        <w:szCs w:val="18"/>
                        <w:lang w:eastAsia="es-MX"/>
                      </w:rPr>
                      <m:t>2</m:t>
                    </m:r>
                  </m:sup>
                </m:sSup>
                <m:r>
                  <w:rPr>
                    <w:rFonts w:ascii="Cambria Math" w:hAnsi="Cambria Math" w:cs="Arial"/>
                    <w:color w:val="000000"/>
                    <w:szCs w:val="18"/>
                    <w:lang w:eastAsia="es-MX"/>
                  </w:rPr>
                  <m:t>+0.000324754*</m:t>
                </m:r>
                <m:sSup>
                  <m:sSupPr>
                    <m:ctrlPr>
                      <w:rPr>
                        <w:rFonts w:ascii="Cambria Math" w:hAnsi="Cambria Math" w:cs="Arial"/>
                        <w:i/>
                        <w:color w:val="000000"/>
                        <w:szCs w:val="18"/>
                        <w:lang w:eastAsia="es-MX"/>
                      </w:rPr>
                    </m:ctrlPr>
                  </m:sSupPr>
                  <m:e>
                    <m:r>
                      <w:rPr>
                        <w:rFonts w:ascii="Cambria Math" w:hAnsi="Cambria Math" w:cs="Arial"/>
                        <w:color w:val="000000"/>
                        <w:szCs w:val="18"/>
                        <w:lang w:eastAsia="es-MX"/>
                      </w:rPr>
                      <m:t>h</m:t>
                    </m:r>
                  </m:e>
                  <m:sup>
                    <m:r>
                      <w:rPr>
                        <w:rFonts w:ascii="Cambria Math" w:hAnsi="Cambria Math" w:cs="Arial"/>
                        <w:color w:val="000000"/>
                        <w:szCs w:val="18"/>
                        <w:lang w:eastAsia="es-MX"/>
                      </w:rPr>
                      <m:t>3</m:t>
                    </m:r>
                  </m:sup>
                </m:sSup>
              </m:oMath>
            </m:oMathPara>
          </w:p>
        </w:tc>
        <w:tc>
          <w:tcPr>
            <w:tcW w:w="564" w:type="pct"/>
            <w:shd w:val="clear" w:color="auto" w:fill="FFFFFF"/>
            <w:vAlign w:val="center"/>
          </w:tcPr>
          <w:p w14:paraId="529CB294" w14:textId="03719FF9" w:rsidR="0084352F" w:rsidRPr="001905CA" w:rsidRDefault="0084352F" w:rsidP="000A1D76">
            <w:pPr>
              <w:pStyle w:val="CETBodytext"/>
              <w:ind w:right="-1"/>
              <w:jc w:val="left"/>
              <w:rPr>
                <w:rFonts w:cs="Arial"/>
                <w:szCs w:val="18"/>
              </w:rPr>
            </w:pPr>
            <w:r w:rsidRPr="001905CA">
              <w:rPr>
                <w:rFonts w:cs="Arial"/>
                <w:color w:val="000000"/>
                <w:szCs w:val="18"/>
                <w:lang w:eastAsia="es-MX"/>
              </w:rPr>
              <w:t>68.13</w:t>
            </w:r>
          </w:p>
        </w:tc>
        <w:tc>
          <w:tcPr>
            <w:tcW w:w="398" w:type="pct"/>
            <w:shd w:val="clear" w:color="auto" w:fill="FFFFFF"/>
            <w:vAlign w:val="center"/>
          </w:tcPr>
          <w:p w14:paraId="723E8F51" w14:textId="519BFD1F" w:rsidR="0084352F" w:rsidRPr="001905CA" w:rsidRDefault="008460D8" w:rsidP="00844682">
            <w:pPr>
              <w:pStyle w:val="CETBodytext"/>
              <w:ind w:right="-1"/>
              <w:jc w:val="center"/>
              <w:rPr>
                <w:rFonts w:cs="Arial"/>
                <w:szCs w:val="18"/>
              </w:rPr>
            </w:pPr>
            <w:r w:rsidRPr="001905CA">
              <w:rPr>
                <w:rFonts w:cs="Arial"/>
                <w:szCs w:val="18"/>
              </w:rPr>
              <w:t>0.1691</w:t>
            </w:r>
          </w:p>
        </w:tc>
        <w:tc>
          <w:tcPr>
            <w:tcW w:w="3" w:type="pct"/>
            <w:shd w:val="clear" w:color="auto" w:fill="FFFFFF"/>
          </w:tcPr>
          <w:p w14:paraId="607BB640" w14:textId="34671933" w:rsidR="0084352F" w:rsidRPr="001905CA" w:rsidRDefault="0084352F" w:rsidP="0091682C">
            <w:pPr>
              <w:pStyle w:val="CETBodytext"/>
              <w:ind w:right="-1"/>
              <w:rPr>
                <w:rFonts w:cs="Arial"/>
                <w:szCs w:val="18"/>
              </w:rPr>
            </w:pPr>
          </w:p>
        </w:tc>
        <w:tc>
          <w:tcPr>
            <w:tcW w:w="3" w:type="pct"/>
            <w:shd w:val="clear" w:color="auto" w:fill="FFFFFF"/>
          </w:tcPr>
          <w:p w14:paraId="050B90F7" w14:textId="77777777" w:rsidR="0084352F" w:rsidRPr="001905CA" w:rsidRDefault="0084352F" w:rsidP="0091682C">
            <w:pPr>
              <w:pStyle w:val="CETBodytext"/>
              <w:ind w:right="-1"/>
              <w:rPr>
                <w:rFonts w:cs="Arial"/>
                <w:szCs w:val="18"/>
              </w:rPr>
            </w:pPr>
          </w:p>
        </w:tc>
      </w:tr>
      <w:tr w:rsidR="00844682" w:rsidRPr="001905CA" w14:paraId="6412E65E" w14:textId="77777777" w:rsidTr="00844682">
        <w:tc>
          <w:tcPr>
            <w:tcW w:w="643" w:type="pct"/>
            <w:shd w:val="clear" w:color="auto" w:fill="FFFFFF"/>
            <w:vAlign w:val="bottom"/>
          </w:tcPr>
          <w:p w14:paraId="4E953833" w14:textId="63DF670C" w:rsidR="0084352F" w:rsidRPr="001905CA" w:rsidRDefault="0084352F" w:rsidP="0091682C">
            <w:pPr>
              <w:pStyle w:val="CETBodytext"/>
              <w:ind w:right="-1"/>
              <w:rPr>
                <w:rFonts w:cs="Arial"/>
                <w:color w:val="000000"/>
                <w:szCs w:val="18"/>
                <w:lang w:eastAsia="es-MX"/>
              </w:rPr>
            </w:pPr>
            <w:r w:rsidRPr="001905CA">
              <w:rPr>
                <w:rFonts w:cs="Arial"/>
                <w:color w:val="000000"/>
                <w:szCs w:val="18"/>
                <w:lang w:eastAsia="es-MX"/>
              </w:rPr>
              <w:t>4</w:t>
            </w:r>
            <w:r w:rsidRPr="001905CA">
              <w:rPr>
                <w:rFonts w:cs="Arial"/>
                <w:color w:val="000000"/>
                <w:szCs w:val="18"/>
                <w:vertAlign w:val="superscript"/>
                <w:lang w:eastAsia="es-MX"/>
              </w:rPr>
              <w:t>th</w:t>
            </w:r>
            <w:r w:rsidRPr="001905CA">
              <w:rPr>
                <w:rFonts w:cs="Arial"/>
                <w:color w:val="000000"/>
                <w:szCs w:val="18"/>
                <w:lang w:eastAsia="es-MX"/>
              </w:rPr>
              <w:t xml:space="preserve"> Order</w:t>
            </w:r>
          </w:p>
        </w:tc>
        <w:tc>
          <w:tcPr>
            <w:tcW w:w="3388" w:type="pct"/>
            <w:shd w:val="clear" w:color="auto" w:fill="FFFFFF"/>
            <w:vAlign w:val="center"/>
          </w:tcPr>
          <w:p w14:paraId="4D99D41E" w14:textId="14DCC570" w:rsidR="0084352F" w:rsidRPr="001905CA" w:rsidRDefault="00DB205F" w:rsidP="00844682">
            <w:pPr>
              <w:pStyle w:val="CETBodytext"/>
              <w:ind w:right="-1"/>
              <w:jc w:val="center"/>
              <w:rPr>
                <w:rFonts w:cs="Arial"/>
                <w:color w:val="000000"/>
                <w:szCs w:val="18"/>
                <w:lang w:eastAsia="es-MX"/>
              </w:rPr>
            </w:pPr>
            <m:oMathPara>
              <m:oMathParaPr>
                <m:jc m:val="left"/>
              </m:oMathParaPr>
              <m:oMath>
                <m:sSub>
                  <m:sSubPr>
                    <m:ctrlPr>
                      <w:rPr>
                        <w:rFonts w:ascii="Cambria Math" w:hAnsi="Cambria Math" w:cs="Arial"/>
                        <w:i/>
                        <w:color w:val="000000"/>
                        <w:szCs w:val="18"/>
                        <w:lang w:eastAsia="es-MX"/>
                      </w:rPr>
                    </m:ctrlPr>
                  </m:sSubPr>
                  <m:e>
                    <m:r>
                      <w:rPr>
                        <w:rFonts w:ascii="Cambria Math" w:hAnsi="Cambria Math" w:cs="Arial"/>
                        <w:color w:val="000000"/>
                        <w:szCs w:val="18"/>
                        <w:lang w:eastAsia="es-MX"/>
                      </w:rPr>
                      <m:t>T</m:t>
                    </m:r>
                  </m:e>
                  <m:sub>
                    <m:r>
                      <w:rPr>
                        <w:rFonts w:ascii="Cambria Math" w:hAnsi="Cambria Math" w:cs="Arial"/>
                        <w:color w:val="000000"/>
                        <w:szCs w:val="18"/>
                        <w:lang w:eastAsia="es-MX"/>
                      </w:rPr>
                      <m:t>max</m:t>
                    </m:r>
                  </m:sub>
                </m:sSub>
                <m:r>
                  <w:rPr>
                    <w:rFonts w:ascii="Cambria Math" w:hAnsi="Cambria Math" w:cs="Arial"/>
                    <w:color w:val="000000"/>
                    <w:szCs w:val="18"/>
                    <w:lang w:eastAsia="es-MX"/>
                  </w:rPr>
                  <m:t>=376.466+6.8262*</m:t>
                </m:r>
                <m:r>
                  <w:rPr>
                    <w:rFonts w:ascii="Cambria Math" w:hAnsi="Cambria Math" w:cs="Arial"/>
                    <w:color w:val="000000"/>
                    <w:szCs w:val="18"/>
                    <w:lang w:eastAsia="es-MX"/>
                  </w:rPr>
                  <m:t>h-</m:t>
                </m:r>
                <m:r>
                  <w:rPr>
                    <w:rFonts w:ascii="Cambria Math" w:hAnsi="Cambria Math" w:cs="Arial"/>
                    <w:color w:val="000000"/>
                    <w:szCs w:val="18"/>
                    <w:lang w:eastAsia="es-MX"/>
                  </w:rPr>
                  <m:t>0.31882*</m:t>
                </m:r>
                <m:sSup>
                  <m:sSupPr>
                    <m:ctrlPr>
                      <w:rPr>
                        <w:rFonts w:ascii="Cambria Math" w:hAnsi="Cambria Math" w:cs="Arial"/>
                        <w:i/>
                        <w:color w:val="000000"/>
                        <w:szCs w:val="18"/>
                        <w:lang w:eastAsia="es-MX"/>
                      </w:rPr>
                    </m:ctrlPr>
                  </m:sSupPr>
                  <m:e>
                    <m:r>
                      <w:rPr>
                        <w:rFonts w:ascii="Cambria Math" w:hAnsi="Cambria Math" w:cs="Arial"/>
                        <w:color w:val="000000"/>
                        <w:szCs w:val="18"/>
                        <w:lang w:eastAsia="es-MX"/>
                      </w:rPr>
                      <m:t>h</m:t>
                    </m:r>
                  </m:e>
                  <m:sup>
                    <m:r>
                      <w:rPr>
                        <w:rFonts w:ascii="Cambria Math" w:hAnsi="Cambria Math" w:cs="Arial"/>
                        <w:color w:val="000000"/>
                        <w:szCs w:val="18"/>
                        <w:lang w:eastAsia="es-MX"/>
                      </w:rPr>
                      <m:t>2</m:t>
                    </m:r>
                  </m:sup>
                </m:sSup>
                <m:r>
                  <w:rPr>
                    <w:rFonts w:ascii="Cambria Math" w:hAnsi="Cambria Math" w:cs="Arial"/>
                    <w:color w:val="000000"/>
                    <w:szCs w:val="18"/>
                    <w:lang w:eastAsia="es-MX"/>
                  </w:rPr>
                  <m:t>+0.00610133*</m:t>
                </m:r>
                <m:sSup>
                  <m:sSupPr>
                    <m:ctrlPr>
                      <w:rPr>
                        <w:rFonts w:ascii="Cambria Math" w:hAnsi="Cambria Math" w:cs="Arial"/>
                        <w:i/>
                        <w:color w:val="000000"/>
                        <w:szCs w:val="18"/>
                        <w:lang w:eastAsia="es-MX"/>
                      </w:rPr>
                    </m:ctrlPr>
                  </m:sSupPr>
                  <m:e>
                    <m:r>
                      <w:rPr>
                        <w:rFonts w:ascii="Cambria Math" w:hAnsi="Cambria Math" w:cs="Arial"/>
                        <w:color w:val="000000"/>
                        <w:szCs w:val="18"/>
                        <w:lang w:eastAsia="es-MX"/>
                      </w:rPr>
                      <m:t>h</m:t>
                    </m:r>
                  </m:e>
                  <m:sup>
                    <m:r>
                      <w:rPr>
                        <w:rFonts w:ascii="Cambria Math" w:hAnsi="Cambria Math" w:cs="Arial"/>
                        <w:color w:val="000000"/>
                        <w:szCs w:val="18"/>
                        <w:lang w:eastAsia="es-MX"/>
                      </w:rPr>
                      <m:t>3</m:t>
                    </m:r>
                  </m:sup>
                </m:sSup>
                <m:r>
                  <w:rPr>
                    <w:rFonts w:ascii="Cambria Math" w:hAnsi="Cambria Math" w:cs="Arial"/>
                    <w:color w:val="000000"/>
                    <w:szCs w:val="18"/>
                    <w:lang w:eastAsia="es-MX"/>
                  </w:rPr>
                  <m:t>-0.0000376172*</m:t>
                </m:r>
                <m:sSup>
                  <m:sSupPr>
                    <m:ctrlPr>
                      <w:rPr>
                        <w:rFonts w:ascii="Cambria Math" w:hAnsi="Cambria Math" w:cs="Arial"/>
                        <w:i/>
                        <w:color w:val="000000"/>
                        <w:szCs w:val="18"/>
                        <w:lang w:eastAsia="es-MX"/>
                      </w:rPr>
                    </m:ctrlPr>
                  </m:sSupPr>
                  <m:e>
                    <m:r>
                      <w:rPr>
                        <w:rFonts w:ascii="Cambria Math" w:hAnsi="Cambria Math" w:cs="Arial"/>
                        <w:color w:val="000000"/>
                        <w:szCs w:val="18"/>
                        <w:lang w:eastAsia="es-MX"/>
                      </w:rPr>
                      <m:t>h</m:t>
                    </m:r>
                  </m:e>
                  <m:sup>
                    <m:r>
                      <w:rPr>
                        <w:rFonts w:ascii="Cambria Math" w:hAnsi="Cambria Math" w:cs="Arial"/>
                        <w:color w:val="000000"/>
                        <w:szCs w:val="18"/>
                        <w:lang w:eastAsia="es-MX"/>
                      </w:rPr>
                      <m:t>4</m:t>
                    </m:r>
                  </m:sup>
                </m:sSup>
              </m:oMath>
            </m:oMathPara>
          </w:p>
        </w:tc>
        <w:tc>
          <w:tcPr>
            <w:tcW w:w="564" w:type="pct"/>
            <w:shd w:val="clear" w:color="auto" w:fill="FFFFFF"/>
            <w:vAlign w:val="center"/>
          </w:tcPr>
          <w:p w14:paraId="216B69B4" w14:textId="0BEE93F1" w:rsidR="0084352F" w:rsidRPr="001905CA" w:rsidRDefault="0084352F" w:rsidP="000A1D76">
            <w:pPr>
              <w:pStyle w:val="CETBodytext"/>
              <w:ind w:right="-1"/>
              <w:jc w:val="left"/>
              <w:rPr>
                <w:rFonts w:cs="Arial"/>
                <w:color w:val="000000"/>
                <w:szCs w:val="18"/>
                <w:lang w:eastAsia="es-MX"/>
              </w:rPr>
            </w:pPr>
            <w:r w:rsidRPr="001905CA">
              <w:rPr>
                <w:rFonts w:cs="Arial"/>
                <w:color w:val="000000"/>
                <w:szCs w:val="18"/>
                <w:lang w:eastAsia="es-MX"/>
              </w:rPr>
              <w:t>70.46</w:t>
            </w:r>
          </w:p>
        </w:tc>
        <w:tc>
          <w:tcPr>
            <w:tcW w:w="398" w:type="pct"/>
            <w:shd w:val="clear" w:color="auto" w:fill="FFFFFF"/>
            <w:vAlign w:val="center"/>
          </w:tcPr>
          <w:p w14:paraId="17880284" w14:textId="11220B76" w:rsidR="0084352F" w:rsidRPr="001905CA" w:rsidRDefault="00844682" w:rsidP="00844682">
            <w:pPr>
              <w:pStyle w:val="CETBodytext"/>
              <w:ind w:right="-1"/>
              <w:jc w:val="center"/>
              <w:rPr>
                <w:rFonts w:cs="Arial"/>
                <w:szCs w:val="18"/>
              </w:rPr>
            </w:pPr>
            <w:r w:rsidRPr="001905CA">
              <w:rPr>
                <w:rFonts w:cs="Arial"/>
                <w:szCs w:val="18"/>
              </w:rPr>
              <w:t>0.1913</w:t>
            </w:r>
          </w:p>
        </w:tc>
        <w:tc>
          <w:tcPr>
            <w:tcW w:w="3" w:type="pct"/>
            <w:shd w:val="clear" w:color="auto" w:fill="FFFFFF"/>
          </w:tcPr>
          <w:p w14:paraId="30C2D9F6" w14:textId="20E8A17D" w:rsidR="0084352F" w:rsidRPr="001905CA" w:rsidRDefault="0084352F" w:rsidP="0091682C">
            <w:pPr>
              <w:pStyle w:val="CETBodytext"/>
              <w:ind w:right="-1"/>
              <w:rPr>
                <w:rFonts w:cs="Arial"/>
                <w:szCs w:val="18"/>
              </w:rPr>
            </w:pPr>
          </w:p>
        </w:tc>
        <w:tc>
          <w:tcPr>
            <w:tcW w:w="3" w:type="pct"/>
            <w:shd w:val="clear" w:color="auto" w:fill="FFFFFF"/>
          </w:tcPr>
          <w:p w14:paraId="3E30755B" w14:textId="77777777" w:rsidR="0084352F" w:rsidRPr="001905CA" w:rsidRDefault="0084352F" w:rsidP="0091682C">
            <w:pPr>
              <w:pStyle w:val="CETBodytext"/>
              <w:ind w:right="-1"/>
              <w:rPr>
                <w:rFonts w:cs="Arial"/>
                <w:szCs w:val="18"/>
              </w:rPr>
            </w:pPr>
          </w:p>
        </w:tc>
      </w:tr>
    </w:tbl>
    <w:p w14:paraId="3EDE27BB" w14:textId="0E524166" w:rsidR="00B75D85" w:rsidRPr="000F7048" w:rsidRDefault="000F7048" w:rsidP="005731E3">
      <w:pPr>
        <w:pStyle w:val="CETBodytext"/>
        <w:rPr>
          <w:sz w:val="16"/>
          <w:szCs w:val="16"/>
        </w:rPr>
      </w:pPr>
      <w:r w:rsidRPr="004F66F1">
        <w:rPr>
          <w:rFonts w:ascii="Times New Roman" w:hAnsi="Times New Roman"/>
          <w:i/>
          <w:iCs/>
          <w:szCs w:val="18"/>
        </w:rPr>
        <w:t>h</w:t>
      </w:r>
      <w:r w:rsidRPr="000F7048">
        <w:rPr>
          <w:sz w:val="16"/>
          <w:szCs w:val="16"/>
        </w:rPr>
        <w:t>: heating rate °C min</w:t>
      </w:r>
      <w:r w:rsidRPr="000F7048">
        <w:rPr>
          <w:sz w:val="16"/>
          <w:szCs w:val="16"/>
          <w:vertAlign w:val="superscript"/>
        </w:rPr>
        <w:t>-1</w:t>
      </w:r>
      <w:r>
        <w:rPr>
          <w:sz w:val="16"/>
          <w:szCs w:val="16"/>
        </w:rPr>
        <w:t>.</w:t>
      </w:r>
    </w:p>
    <w:p w14:paraId="3F3B760A" w14:textId="77777777" w:rsidR="003771DF" w:rsidRDefault="00CA5113" w:rsidP="005731E3">
      <w:pPr>
        <w:pStyle w:val="CETBodytext"/>
      </w:pPr>
      <w:r w:rsidRPr="00CA5113">
        <w:lastRenderedPageBreak/>
        <w:t>Figure 4 plots the polynomial models on the collected data. The calculated maximum degradation temperatures showed outlier residuals for the polynomial models. For all models, there was a difference of 24.2 °C for a heating rate of 10 °C min</w:t>
      </w:r>
      <w:r w:rsidRPr="00CA5113">
        <w:rPr>
          <w:vertAlign w:val="superscript"/>
        </w:rPr>
        <w:t>-1</w:t>
      </w:r>
      <w:r w:rsidRPr="00CA5113">
        <w:t xml:space="preserve"> between the predicted and experimental. Additionally, for the third order model, there was an outlier residual of 23.59 °C for 20 °C min</w:t>
      </w:r>
      <w:r w:rsidRPr="00CA5113">
        <w:rPr>
          <w:vertAlign w:val="superscript"/>
        </w:rPr>
        <w:t>-1</w:t>
      </w:r>
      <w:r w:rsidRPr="00CA5113">
        <w:t>, while for the second order, there was an additional outlier residual of 21.94 °C for a heating rate of 5 °C min</w:t>
      </w:r>
      <w:r w:rsidRPr="00CA5113">
        <w:rPr>
          <w:vertAlign w:val="superscript"/>
        </w:rPr>
        <w:t>-1</w:t>
      </w:r>
      <w:r w:rsidRPr="00CA5113">
        <w:t>.</w:t>
      </w:r>
    </w:p>
    <w:p w14:paraId="56CA0BFE" w14:textId="3E7590A9" w:rsidR="005731E3" w:rsidRDefault="00134271" w:rsidP="005731E3">
      <w:pPr>
        <w:pStyle w:val="CETBodytext"/>
      </w:pPr>
      <w:r>
        <w:rPr>
          <w:noProof/>
        </w:rPr>
        <w:drawing>
          <wp:inline distT="0" distB="0" distL="0" distR="0" wp14:anchorId="1B1F9AF6" wp14:editId="7EA76BEA">
            <wp:extent cx="3284910" cy="2453640"/>
            <wp:effectExtent l="0" t="0" r="0" b="3810"/>
            <wp:docPr id="9" name="Imagen 9" descr="Gráfico,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de dispersión&#10;&#10;Descripción generada automáticamente"/>
                    <pic:cNvPicPr/>
                  </pic:nvPicPr>
                  <pic:blipFill>
                    <a:blip r:embed="rId16"/>
                    <a:stretch>
                      <a:fillRect/>
                    </a:stretch>
                  </pic:blipFill>
                  <pic:spPr>
                    <a:xfrm>
                      <a:off x="0" y="0"/>
                      <a:ext cx="3349266" cy="2501710"/>
                    </a:xfrm>
                    <a:prstGeom prst="rect">
                      <a:avLst/>
                    </a:prstGeom>
                  </pic:spPr>
                </pic:pic>
              </a:graphicData>
            </a:graphic>
          </wp:inline>
        </w:drawing>
      </w:r>
    </w:p>
    <w:p w14:paraId="3CC418E3" w14:textId="2692226F" w:rsidR="001E1CFB" w:rsidRDefault="001E1CFB" w:rsidP="001E1CFB">
      <w:pPr>
        <w:pStyle w:val="CETCaption"/>
        <w:rPr>
          <w:rStyle w:val="CETCaptionCarattere"/>
          <w:i/>
          <w:lang w:val="en-US"/>
        </w:rPr>
      </w:pPr>
      <w:r w:rsidRPr="0022172E">
        <w:rPr>
          <w:rStyle w:val="CETCaptionCarattere"/>
          <w:i/>
          <w:lang w:val="en-US"/>
        </w:rPr>
        <w:t xml:space="preserve">Figure </w:t>
      </w:r>
      <w:r w:rsidR="005972D2">
        <w:rPr>
          <w:rStyle w:val="CETCaptionCarattere"/>
          <w:i/>
          <w:lang w:val="en-US"/>
        </w:rPr>
        <w:t>4</w:t>
      </w:r>
      <w:r w:rsidRPr="0022172E">
        <w:rPr>
          <w:rStyle w:val="CETCaptionCarattere"/>
          <w:i/>
          <w:lang w:val="en-US"/>
        </w:rPr>
        <w:t xml:space="preserve">: </w:t>
      </w:r>
      <w:r w:rsidR="005972D2">
        <w:rPr>
          <w:rStyle w:val="CETCaptionCarattere"/>
          <w:i/>
          <w:lang w:val="en-US"/>
        </w:rPr>
        <w:t xml:space="preserve">Polynomial fitting to estimate </w:t>
      </w:r>
      <w:proofErr w:type="spellStart"/>
      <w:r w:rsidR="005972D2" w:rsidRPr="00EA465D">
        <w:rPr>
          <w:rStyle w:val="CETCaptionCarattere"/>
          <w:rFonts w:ascii="Times New Roman" w:hAnsi="Times New Roman"/>
          <w:i/>
          <w:lang w:val="en-US"/>
        </w:rPr>
        <w:t>T</w:t>
      </w:r>
      <w:r w:rsidR="005972D2" w:rsidRPr="00EA465D">
        <w:rPr>
          <w:rStyle w:val="CETCaptionCarattere"/>
          <w:rFonts w:ascii="Times New Roman" w:hAnsi="Times New Roman"/>
          <w:i/>
          <w:vertAlign w:val="subscript"/>
          <w:lang w:val="en-US"/>
        </w:rPr>
        <w:t>max</w:t>
      </w:r>
      <w:proofErr w:type="spellEnd"/>
      <w:r w:rsidR="005972D2">
        <w:rPr>
          <w:rStyle w:val="CETCaptionCarattere"/>
          <w:i/>
          <w:lang w:val="en-US"/>
        </w:rPr>
        <w:t xml:space="preserve"> degradation </w:t>
      </w:r>
      <w:r w:rsidR="008D0FB1">
        <w:rPr>
          <w:rStyle w:val="CETCaptionCarattere"/>
          <w:i/>
          <w:lang w:val="en-US"/>
        </w:rPr>
        <w:t>on</w:t>
      </w:r>
      <w:r w:rsidR="00F06137">
        <w:rPr>
          <w:rStyle w:val="CETCaptionCarattere"/>
          <w:i/>
          <w:lang w:val="en-US"/>
        </w:rPr>
        <w:t xml:space="preserve"> PS TGA</w:t>
      </w:r>
      <w:r w:rsidR="005972D2">
        <w:rPr>
          <w:rStyle w:val="CETCaptionCarattere"/>
          <w:i/>
          <w:lang w:val="en-US"/>
        </w:rPr>
        <w:t>.</w:t>
      </w:r>
      <w:r w:rsidR="00051208">
        <w:rPr>
          <w:rStyle w:val="CETCaptionCarattere"/>
          <w:i/>
          <w:lang w:val="en-US"/>
        </w:rPr>
        <w:t xml:space="preserve"> </w:t>
      </w:r>
      <w:r w:rsidR="00051208">
        <w:rPr>
          <w:lang w:val="en-US"/>
        </w:rPr>
        <w:t xml:space="preserve">Data’s risk of bias </w:t>
      </w:r>
      <w:r w:rsidR="00051208">
        <w:rPr>
          <w:rFonts w:cs="Arial"/>
          <w:lang w:val="en-US"/>
        </w:rPr>
        <w:t>±</w:t>
      </w:r>
      <w:r w:rsidR="00051208">
        <w:rPr>
          <w:lang w:val="en-US"/>
        </w:rPr>
        <w:t>2%</w:t>
      </w:r>
    </w:p>
    <w:p w14:paraId="133666BA" w14:textId="591B0987" w:rsidR="0078266F" w:rsidRDefault="0078266F" w:rsidP="0078266F">
      <w:pPr>
        <w:pStyle w:val="CETBodytext"/>
      </w:pPr>
      <w:r w:rsidRPr="0078266F">
        <w:t>Finally, to evaluate the developed models, the maximum degradation temperature was calculated for 15 and 60</w:t>
      </w:r>
      <w:r>
        <w:t> </w:t>
      </w:r>
      <w:r w:rsidRPr="0078266F">
        <w:t>°C min</w:t>
      </w:r>
      <w:r w:rsidRPr="0078266F">
        <w:rPr>
          <w:vertAlign w:val="superscript"/>
        </w:rPr>
        <w:t>-1</w:t>
      </w:r>
      <w:r w:rsidRPr="0078266F">
        <w:t xml:space="preserve"> and compared with experimental values found in the literature; the results are shown in Table 4.</w:t>
      </w:r>
    </w:p>
    <w:p w14:paraId="0DDA1F9A" w14:textId="22117F74" w:rsidR="0078266F" w:rsidRPr="0078266F" w:rsidRDefault="0078266F" w:rsidP="0078266F">
      <w:pPr>
        <w:pStyle w:val="CETTabletitle"/>
        <w:rPr>
          <w:lang w:val="en-US"/>
        </w:rPr>
      </w:pPr>
      <w:r>
        <w:t>Table 4. Maximum degradation temperature predicted vs. experimental.</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552"/>
        <w:gridCol w:w="1134"/>
        <w:gridCol w:w="877"/>
        <w:gridCol w:w="20"/>
        <w:gridCol w:w="20"/>
        <w:gridCol w:w="20"/>
        <w:gridCol w:w="21"/>
      </w:tblGrid>
      <w:tr w:rsidR="00F82CB0" w:rsidRPr="00FF3159" w14:paraId="5AB82BBA" w14:textId="77777777" w:rsidTr="00DB0EF6">
        <w:trPr>
          <w:gridAfter w:val="2"/>
          <w:wAfter w:w="41" w:type="dxa"/>
        </w:trPr>
        <w:tc>
          <w:tcPr>
            <w:tcW w:w="2552" w:type="dxa"/>
            <w:tcBorders>
              <w:top w:val="single" w:sz="12" w:space="0" w:color="008000"/>
              <w:bottom w:val="nil"/>
            </w:tcBorders>
            <w:shd w:val="clear" w:color="auto" w:fill="FFFFFF"/>
          </w:tcPr>
          <w:p w14:paraId="559812C8" w14:textId="198BE2EF" w:rsidR="00F82CB0" w:rsidRPr="00DB0EF6" w:rsidRDefault="00F82CB0" w:rsidP="0091682C">
            <w:pPr>
              <w:pStyle w:val="CETBodytext"/>
              <w:rPr>
                <w:rFonts w:cs="Arial"/>
                <w:sz w:val="16"/>
                <w:szCs w:val="16"/>
              </w:rPr>
            </w:pPr>
            <w:r w:rsidRPr="00DB0EF6">
              <w:rPr>
                <w:rFonts w:cs="Arial"/>
                <w:sz w:val="16"/>
                <w:szCs w:val="16"/>
              </w:rPr>
              <w:t>Reference</w:t>
            </w:r>
          </w:p>
        </w:tc>
        <w:tc>
          <w:tcPr>
            <w:tcW w:w="1134" w:type="dxa"/>
            <w:tcBorders>
              <w:top w:val="single" w:sz="12" w:space="0" w:color="008000"/>
              <w:bottom w:val="nil"/>
            </w:tcBorders>
            <w:shd w:val="clear" w:color="auto" w:fill="FFFFFF"/>
          </w:tcPr>
          <w:p w14:paraId="46156530" w14:textId="6E951A11" w:rsidR="00F82CB0" w:rsidRPr="00DB0EF6" w:rsidRDefault="00DB0EF6" w:rsidP="0091682C">
            <w:pPr>
              <w:pStyle w:val="CETBodytext"/>
              <w:rPr>
                <w:rFonts w:cs="Arial"/>
                <w:sz w:val="16"/>
                <w:szCs w:val="16"/>
              </w:rPr>
            </w:pPr>
            <w:r w:rsidRPr="00DB0EF6">
              <w:rPr>
                <w:rFonts w:cs="Arial"/>
                <w:sz w:val="16"/>
                <w:szCs w:val="16"/>
              </w:rPr>
              <w:fldChar w:fldCharType="begin"/>
            </w:r>
            <w:r w:rsidRPr="00DB0EF6">
              <w:rPr>
                <w:rFonts w:cs="Arial"/>
                <w:sz w:val="16"/>
                <w:szCs w:val="16"/>
              </w:rPr>
              <w:instrText xml:space="preserve"> ADDIN ZOTERO_ITEM CSL_CITATION {"citationID":"OjiHxKLu","properties":{"formattedCitation":"(Nisar et al., 2019)","plainCitation":"(Nisar et al., 2019)","noteIndex":0},"citationItems":[{"id":80,"uris":["http://zotero.org/users/10404519/items/CJKXMBJW"],"itemData":{"id":80,"type":"article-journal","container-title":"Waste Manag.","DOI":"10.1016/j.wasman.2019.03.035","page":"236-247","title":"Fuel production from waste polystyrene via pyrolysis: Kinetics and products distribution","volume":"88","author":[{"family":"Nisar","given":"Jan"},{"family":"Ali","given":"Ghulam"},{"family":"Shah","given":"Afzal"},{"family":"Iqbal","given":"Munawar"},{"family":"Ali Khan","given":"Rafaqat"},{"family":"Sirajuddin","given":""},{"family":"Anwar","given":"Farooq"},{"family":"Ullah","given":"Raqeeb"},{"family":"Akhter","given":"Mohammad Salim"}],"issued":{"date-parts":[["2019"]]}}}],"schema":"https://github.com/citation-style-language/schema/raw/master/csl-citation.json"} </w:instrText>
            </w:r>
            <w:r w:rsidRPr="00DB0EF6">
              <w:rPr>
                <w:rFonts w:cs="Arial"/>
                <w:sz w:val="16"/>
                <w:szCs w:val="16"/>
              </w:rPr>
              <w:fldChar w:fldCharType="separate"/>
            </w:r>
            <w:r w:rsidRPr="00DB0EF6">
              <w:rPr>
                <w:rFonts w:cs="Arial"/>
                <w:sz w:val="16"/>
                <w:szCs w:val="16"/>
              </w:rPr>
              <w:t>(Nisar et al., 2019)</w:t>
            </w:r>
            <w:r w:rsidRPr="00DB0EF6">
              <w:rPr>
                <w:rFonts w:cs="Arial"/>
                <w:sz w:val="16"/>
                <w:szCs w:val="16"/>
              </w:rPr>
              <w:fldChar w:fldCharType="end"/>
            </w:r>
          </w:p>
        </w:tc>
        <w:tc>
          <w:tcPr>
            <w:tcW w:w="877" w:type="dxa"/>
            <w:tcBorders>
              <w:top w:val="single" w:sz="12" w:space="0" w:color="008000"/>
              <w:bottom w:val="nil"/>
            </w:tcBorders>
            <w:shd w:val="clear" w:color="auto" w:fill="FFFFFF"/>
          </w:tcPr>
          <w:p w14:paraId="3DD7B6CF" w14:textId="6A7A0667" w:rsidR="00F82CB0" w:rsidRPr="00DB0EF6" w:rsidRDefault="00DB0EF6" w:rsidP="0091682C">
            <w:pPr>
              <w:pStyle w:val="CETBodytext"/>
              <w:jc w:val="left"/>
              <w:rPr>
                <w:rFonts w:cs="Arial"/>
                <w:sz w:val="16"/>
                <w:szCs w:val="16"/>
              </w:rPr>
            </w:pPr>
            <w:r w:rsidRPr="00DB0EF6">
              <w:rPr>
                <w:rFonts w:cs="Arial"/>
                <w:sz w:val="16"/>
                <w:szCs w:val="16"/>
              </w:rPr>
              <w:fldChar w:fldCharType="begin"/>
            </w:r>
            <w:r w:rsidRPr="00DB0EF6">
              <w:rPr>
                <w:rFonts w:cs="Arial"/>
                <w:sz w:val="16"/>
                <w:szCs w:val="16"/>
              </w:rPr>
              <w:instrText xml:space="preserve"> ADDIN ZOTERO_ITEM CSL_CITATION {"citationID":"ah4Ygoa5","properties":{"formattedCitation":"(Li et al., 2020)","plainCitation":"(Li et al., 2020)","noteIndex":0},"citationItems":[{"id":229,"uris":["http://zotero.org/users/10404519/items/G7FNRLRI"],"itemData":{"id":229,"type":"article-journal","container-title":"Materials","DOI":"10.3390/ma13245595","page":"5595","title":"Pyrolysis Kinetic Properties of Thermal Insulation Waste Extruded Polystyrene by Multiple Thermal Analysis Methods","volume":"13","author":[{"family":"Li","given":"Ang"},{"family":"Zhang","given":"Wenlong"},{"family":"Zhang","given":"Juan"},{"family":"Ding","given":"Yanming"},{"family":"Zhou","given":"Ru"}],"issued":{"date-parts":[["2020"]]}}}],"schema":"https://github.com/citation-style-language/schema/raw/master/csl-citation.json"} </w:instrText>
            </w:r>
            <w:r w:rsidRPr="00DB0EF6">
              <w:rPr>
                <w:rFonts w:cs="Arial"/>
                <w:sz w:val="16"/>
                <w:szCs w:val="16"/>
              </w:rPr>
              <w:fldChar w:fldCharType="separate"/>
            </w:r>
            <w:r w:rsidRPr="00DB0EF6">
              <w:rPr>
                <w:rFonts w:cs="Arial"/>
                <w:sz w:val="16"/>
                <w:szCs w:val="16"/>
              </w:rPr>
              <w:t>(Li et al., 2020)</w:t>
            </w:r>
            <w:r w:rsidRPr="00DB0EF6">
              <w:rPr>
                <w:rFonts w:cs="Arial"/>
                <w:sz w:val="16"/>
                <w:szCs w:val="16"/>
              </w:rPr>
              <w:fldChar w:fldCharType="end"/>
            </w:r>
          </w:p>
        </w:tc>
        <w:tc>
          <w:tcPr>
            <w:tcW w:w="20" w:type="dxa"/>
            <w:tcBorders>
              <w:top w:val="single" w:sz="12" w:space="0" w:color="008000"/>
              <w:bottom w:val="single" w:sz="6" w:space="0" w:color="008000"/>
            </w:tcBorders>
            <w:shd w:val="clear" w:color="auto" w:fill="FFFFFF"/>
          </w:tcPr>
          <w:p w14:paraId="141C999B" w14:textId="77777777" w:rsidR="00F82CB0" w:rsidRPr="00FF3159" w:rsidRDefault="00F82CB0" w:rsidP="0091682C">
            <w:pPr>
              <w:pStyle w:val="CETBodytext"/>
              <w:ind w:right="-1"/>
              <w:rPr>
                <w:rFonts w:cs="Arial"/>
                <w:szCs w:val="18"/>
              </w:rPr>
            </w:pPr>
          </w:p>
        </w:tc>
        <w:tc>
          <w:tcPr>
            <w:tcW w:w="20" w:type="dxa"/>
            <w:tcBorders>
              <w:top w:val="single" w:sz="12" w:space="0" w:color="008000"/>
              <w:bottom w:val="single" w:sz="6" w:space="0" w:color="008000"/>
            </w:tcBorders>
            <w:shd w:val="clear" w:color="auto" w:fill="FFFFFF"/>
          </w:tcPr>
          <w:p w14:paraId="283D8230" w14:textId="77777777" w:rsidR="00F82CB0" w:rsidRPr="00FF3159" w:rsidRDefault="00F82CB0" w:rsidP="0091682C">
            <w:pPr>
              <w:pStyle w:val="CETBodytext"/>
              <w:ind w:right="-1"/>
              <w:rPr>
                <w:rFonts w:cs="Arial"/>
                <w:szCs w:val="18"/>
              </w:rPr>
            </w:pPr>
          </w:p>
        </w:tc>
      </w:tr>
      <w:tr w:rsidR="00F82CB0" w:rsidRPr="00FF3159" w14:paraId="01996522" w14:textId="77777777" w:rsidTr="00DB0EF6">
        <w:trPr>
          <w:gridAfter w:val="2"/>
          <w:wAfter w:w="41" w:type="dxa"/>
        </w:trPr>
        <w:tc>
          <w:tcPr>
            <w:tcW w:w="2552" w:type="dxa"/>
            <w:tcBorders>
              <w:top w:val="nil"/>
              <w:bottom w:val="nil"/>
            </w:tcBorders>
            <w:shd w:val="clear" w:color="auto" w:fill="FFFFFF"/>
          </w:tcPr>
          <w:p w14:paraId="638DDF07" w14:textId="33A70811" w:rsidR="00F82CB0" w:rsidRPr="00DB0EF6" w:rsidRDefault="00F82CB0" w:rsidP="0091682C">
            <w:pPr>
              <w:pStyle w:val="CETBodytext"/>
              <w:rPr>
                <w:rFonts w:cs="Arial"/>
                <w:sz w:val="16"/>
                <w:szCs w:val="16"/>
              </w:rPr>
            </w:pPr>
            <w:r w:rsidRPr="00DB0EF6">
              <w:rPr>
                <w:rFonts w:cs="Arial"/>
                <w:sz w:val="16"/>
                <w:szCs w:val="16"/>
              </w:rPr>
              <w:t>Heating rate, °C min</w:t>
            </w:r>
            <w:r w:rsidRPr="00DB0EF6">
              <w:rPr>
                <w:rFonts w:cs="Arial"/>
                <w:sz w:val="16"/>
                <w:szCs w:val="16"/>
                <w:vertAlign w:val="superscript"/>
              </w:rPr>
              <w:t>-1</w:t>
            </w:r>
          </w:p>
        </w:tc>
        <w:tc>
          <w:tcPr>
            <w:tcW w:w="1134" w:type="dxa"/>
            <w:tcBorders>
              <w:top w:val="nil"/>
              <w:bottom w:val="nil"/>
            </w:tcBorders>
            <w:shd w:val="clear" w:color="auto" w:fill="FFFFFF"/>
          </w:tcPr>
          <w:p w14:paraId="54B1F2AC" w14:textId="5841692D" w:rsidR="00F82CB0" w:rsidRPr="00DB0EF6" w:rsidRDefault="00656524" w:rsidP="0091682C">
            <w:pPr>
              <w:pStyle w:val="CETBodytext"/>
              <w:rPr>
                <w:rFonts w:cs="Arial"/>
                <w:sz w:val="16"/>
                <w:szCs w:val="16"/>
              </w:rPr>
            </w:pPr>
            <w:r w:rsidRPr="00DB0EF6">
              <w:rPr>
                <w:rFonts w:cs="Arial"/>
                <w:sz w:val="16"/>
                <w:szCs w:val="16"/>
              </w:rPr>
              <w:t>15</w:t>
            </w:r>
          </w:p>
        </w:tc>
        <w:tc>
          <w:tcPr>
            <w:tcW w:w="877" w:type="dxa"/>
            <w:tcBorders>
              <w:top w:val="nil"/>
              <w:bottom w:val="nil"/>
            </w:tcBorders>
            <w:shd w:val="clear" w:color="auto" w:fill="FFFFFF"/>
          </w:tcPr>
          <w:p w14:paraId="49B7963D" w14:textId="4AAD7D8D" w:rsidR="00F82CB0" w:rsidRPr="00DB0EF6" w:rsidRDefault="00656524" w:rsidP="0091682C">
            <w:pPr>
              <w:pStyle w:val="CETBodytext"/>
              <w:jc w:val="left"/>
              <w:rPr>
                <w:rFonts w:cs="Arial"/>
                <w:sz w:val="16"/>
                <w:szCs w:val="16"/>
              </w:rPr>
            </w:pPr>
            <w:r w:rsidRPr="00DB0EF6">
              <w:rPr>
                <w:rFonts w:cs="Arial"/>
                <w:sz w:val="16"/>
                <w:szCs w:val="16"/>
              </w:rPr>
              <w:t>60</w:t>
            </w:r>
          </w:p>
        </w:tc>
        <w:tc>
          <w:tcPr>
            <w:tcW w:w="20" w:type="dxa"/>
            <w:tcBorders>
              <w:top w:val="single" w:sz="12" w:space="0" w:color="008000"/>
              <w:bottom w:val="single" w:sz="6" w:space="0" w:color="008000"/>
            </w:tcBorders>
            <w:shd w:val="clear" w:color="auto" w:fill="FFFFFF"/>
          </w:tcPr>
          <w:p w14:paraId="08B833A9" w14:textId="77777777" w:rsidR="00F82CB0" w:rsidRPr="00FF3159" w:rsidRDefault="00F82CB0" w:rsidP="00597E02">
            <w:pPr>
              <w:pStyle w:val="CETBodytext"/>
              <w:ind w:right="-1" w:hanging="40"/>
              <w:rPr>
                <w:rFonts w:cs="Arial"/>
                <w:szCs w:val="18"/>
              </w:rPr>
            </w:pPr>
          </w:p>
        </w:tc>
        <w:tc>
          <w:tcPr>
            <w:tcW w:w="20" w:type="dxa"/>
            <w:tcBorders>
              <w:top w:val="single" w:sz="12" w:space="0" w:color="008000"/>
              <w:bottom w:val="single" w:sz="6" w:space="0" w:color="008000"/>
            </w:tcBorders>
            <w:shd w:val="clear" w:color="auto" w:fill="FFFFFF"/>
          </w:tcPr>
          <w:p w14:paraId="1DA29777" w14:textId="77777777" w:rsidR="00F82CB0" w:rsidRPr="00FF3159" w:rsidRDefault="00F82CB0" w:rsidP="0091682C">
            <w:pPr>
              <w:pStyle w:val="CETBodytext"/>
              <w:ind w:right="-1"/>
              <w:rPr>
                <w:rFonts w:cs="Arial"/>
                <w:szCs w:val="18"/>
              </w:rPr>
            </w:pPr>
          </w:p>
        </w:tc>
      </w:tr>
      <w:tr w:rsidR="00F82CB0" w:rsidRPr="00FF3159" w14:paraId="1F82AAE8" w14:textId="77777777" w:rsidTr="00DB0EF6">
        <w:trPr>
          <w:gridAfter w:val="2"/>
          <w:wAfter w:w="41" w:type="dxa"/>
        </w:trPr>
        <w:tc>
          <w:tcPr>
            <w:tcW w:w="2552" w:type="dxa"/>
            <w:tcBorders>
              <w:top w:val="nil"/>
              <w:bottom w:val="single" w:sz="6" w:space="0" w:color="008000"/>
            </w:tcBorders>
            <w:shd w:val="clear" w:color="auto" w:fill="FFFFFF"/>
          </w:tcPr>
          <w:p w14:paraId="3B01EAE5" w14:textId="422C190F" w:rsidR="00F82CB0" w:rsidRPr="00DB0EF6" w:rsidRDefault="00F82CB0" w:rsidP="0091682C">
            <w:pPr>
              <w:pStyle w:val="CETBodytext"/>
              <w:rPr>
                <w:rFonts w:cs="Arial"/>
                <w:sz w:val="16"/>
                <w:szCs w:val="16"/>
              </w:rPr>
            </w:pPr>
            <w:r w:rsidRPr="00DB0EF6">
              <w:rPr>
                <w:rFonts w:cs="Arial"/>
                <w:sz w:val="16"/>
                <w:szCs w:val="16"/>
              </w:rPr>
              <w:t>Experimental value, °C</w:t>
            </w:r>
          </w:p>
        </w:tc>
        <w:tc>
          <w:tcPr>
            <w:tcW w:w="1134" w:type="dxa"/>
            <w:tcBorders>
              <w:top w:val="nil"/>
              <w:bottom w:val="single" w:sz="6" w:space="0" w:color="008000"/>
            </w:tcBorders>
            <w:shd w:val="clear" w:color="auto" w:fill="FFFFFF"/>
          </w:tcPr>
          <w:p w14:paraId="539D363F" w14:textId="05EBC57B" w:rsidR="00F82CB0" w:rsidRPr="00DB0EF6" w:rsidRDefault="000A2193" w:rsidP="0091682C">
            <w:pPr>
              <w:pStyle w:val="CETBodytext"/>
              <w:rPr>
                <w:rFonts w:cs="Arial"/>
                <w:sz w:val="16"/>
                <w:szCs w:val="16"/>
              </w:rPr>
            </w:pPr>
            <w:r w:rsidRPr="00DB0EF6">
              <w:rPr>
                <w:rFonts w:cs="Arial"/>
                <w:sz w:val="16"/>
                <w:szCs w:val="16"/>
              </w:rPr>
              <w:t>392</w:t>
            </w:r>
            <w:r w:rsidR="00DB0EF6" w:rsidRPr="00DB0EF6">
              <w:rPr>
                <w:rFonts w:cs="Arial"/>
                <w:sz w:val="16"/>
                <w:szCs w:val="16"/>
              </w:rPr>
              <w:t>.20</w:t>
            </w:r>
          </w:p>
        </w:tc>
        <w:tc>
          <w:tcPr>
            <w:tcW w:w="877" w:type="dxa"/>
            <w:tcBorders>
              <w:top w:val="nil"/>
              <w:bottom w:val="single" w:sz="6" w:space="0" w:color="008000"/>
            </w:tcBorders>
            <w:shd w:val="clear" w:color="auto" w:fill="FFFFFF"/>
          </w:tcPr>
          <w:p w14:paraId="5136EDAC" w14:textId="6345C03B" w:rsidR="00F82CB0" w:rsidRPr="00DB0EF6" w:rsidRDefault="000A2193" w:rsidP="0091682C">
            <w:pPr>
              <w:pStyle w:val="CETBodytext"/>
              <w:jc w:val="left"/>
              <w:rPr>
                <w:rFonts w:cs="Arial"/>
                <w:sz w:val="16"/>
                <w:szCs w:val="16"/>
              </w:rPr>
            </w:pPr>
            <w:r w:rsidRPr="00DB0EF6">
              <w:rPr>
                <w:rFonts w:cs="Arial"/>
                <w:sz w:val="16"/>
                <w:szCs w:val="16"/>
              </w:rPr>
              <w:t>457.80</w:t>
            </w:r>
          </w:p>
        </w:tc>
        <w:tc>
          <w:tcPr>
            <w:tcW w:w="20" w:type="dxa"/>
            <w:tcBorders>
              <w:top w:val="single" w:sz="12" w:space="0" w:color="008000"/>
              <w:bottom w:val="single" w:sz="6" w:space="0" w:color="008000"/>
            </w:tcBorders>
            <w:shd w:val="clear" w:color="auto" w:fill="FFFFFF"/>
          </w:tcPr>
          <w:p w14:paraId="56AFE5B2" w14:textId="77777777" w:rsidR="00F82CB0" w:rsidRPr="00FF3159" w:rsidRDefault="00F82CB0" w:rsidP="0091682C">
            <w:pPr>
              <w:pStyle w:val="CETBodytext"/>
              <w:ind w:right="-1"/>
              <w:rPr>
                <w:rFonts w:cs="Arial"/>
                <w:szCs w:val="18"/>
              </w:rPr>
            </w:pPr>
          </w:p>
        </w:tc>
        <w:tc>
          <w:tcPr>
            <w:tcW w:w="20" w:type="dxa"/>
            <w:tcBorders>
              <w:top w:val="single" w:sz="12" w:space="0" w:color="008000"/>
              <w:bottom w:val="single" w:sz="6" w:space="0" w:color="008000"/>
            </w:tcBorders>
            <w:shd w:val="clear" w:color="auto" w:fill="FFFFFF"/>
          </w:tcPr>
          <w:p w14:paraId="350BC49E" w14:textId="77777777" w:rsidR="00F82CB0" w:rsidRPr="00FF3159" w:rsidRDefault="00F82CB0" w:rsidP="0091682C">
            <w:pPr>
              <w:pStyle w:val="CETBodytext"/>
              <w:ind w:right="-1"/>
              <w:rPr>
                <w:rFonts w:cs="Arial"/>
                <w:szCs w:val="18"/>
              </w:rPr>
            </w:pPr>
          </w:p>
        </w:tc>
      </w:tr>
      <w:tr w:rsidR="00371E71" w:rsidRPr="00FF3159" w14:paraId="2F104E53" w14:textId="77777777" w:rsidTr="00597E02">
        <w:tc>
          <w:tcPr>
            <w:tcW w:w="2552" w:type="dxa"/>
            <w:shd w:val="clear" w:color="auto" w:fill="FFFFFF"/>
            <w:vAlign w:val="bottom"/>
          </w:tcPr>
          <w:p w14:paraId="66725290" w14:textId="52E42EE5" w:rsidR="00371E71" w:rsidRPr="00DB0EF6" w:rsidRDefault="00371E71" w:rsidP="0091682C">
            <w:pPr>
              <w:pStyle w:val="CETBodytext"/>
              <w:rPr>
                <w:rFonts w:cs="Arial"/>
                <w:sz w:val="16"/>
                <w:szCs w:val="16"/>
              </w:rPr>
            </w:pPr>
            <w:r w:rsidRPr="00DB0EF6">
              <w:rPr>
                <w:rFonts w:cs="Arial"/>
                <w:color w:val="000000"/>
                <w:sz w:val="16"/>
                <w:szCs w:val="16"/>
                <w:lang w:eastAsia="es-MX"/>
              </w:rPr>
              <w:t xml:space="preserve">Model </w:t>
            </w:r>
          </w:p>
        </w:tc>
        <w:tc>
          <w:tcPr>
            <w:tcW w:w="2051" w:type="dxa"/>
            <w:gridSpan w:val="4"/>
            <w:shd w:val="clear" w:color="auto" w:fill="FFFFFF"/>
            <w:vAlign w:val="center"/>
          </w:tcPr>
          <w:p w14:paraId="1AC438D9" w14:textId="0D169990" w:rsidR="00371E71" w:rsidRPr="00DB0EF6" w:rsidRDefault="00371E71" w:rsidP="00371E71">
            <w:pPr>
              <w:pStyle w:val="CETBodytext"/>
              <w:jc w:val="center"/>
              <w:rPr>
                <w:rFonts w:cs="Arial"/>
                <w:sz w:val="16"/>
                <w:szCs w:val="16"/>
              </w:rPr>
            </w:pPr>
            <w:r w:rsidRPr="00DB0EF6">
              <w:rPr>
                <w:rFonts w:cs="Arial"/>
                <w:sz w:val="16"/>
                <w:szCs w:val="16"/>
              </w:rPr>
              <w:t>Relative error, %</w:t>
            </w:r>
          </w:p>
        </w:tc>
        <w:tc>
          <w:tcPr>
            <w:tcW w:w="20" w:type="dxa"/>
            <w:shd w:val="clear" w:color="auto" w:fill="FFFFFF"/>
          </w:tcPr>
          <w:p w14:paraId="59DF1CA3" w14:textId="77777777" w:rsidR="00371E71" w:rsidRPr="00FF3159" w:rsidRDefault="00371E71" w:rsidP="0091682C">
            <w:pPr>
              <w:pStyle w:val="CETBodytext"/>
              <w:ind w:right="-1"/>
              <w:rPr>
                <w:rFonts w:cs="Arial"/>
                <w:szCs w:val="18"/>
              </w:rPr>
            </w:pPr>
          </w:p>
        </w:tc>
        <w:tc>
          <w:tcPr>
            <w:tcW w:w="21" w:type="dxa"/>
            <w:shd w:val="clear" w:color="auto" w:fill="FFFFFF"/>
          </w:tcPr>
          <w:p w14:paraId="5F5A8795" w14:textId="77777777" w:rsidR="00371E71" w:rsidRPr="00FF3159" w:rsidRDefault="00371E71" w:rsidP="0091682C">
            <w:pPr>
              <w:pStyle w:val="CETBodytext"/>
              <w:ind w:right="-1"/>
              <w:rPr>
                <w:rFonts w:cs="Arial"/>
                <w:szCs w:val="18"/>
              </w:rPr>
            </w:pPr>
          </w:p>
        </w:tc>
      </w:tr>
      <w:tr w:rsidR="00F82CB0" w:rsidRPr="00FF3159" w14:paraId="7C4CE4D5" w14:textId="77777777" w:rsidTr="00DB0EF6">
        <w:tc>
          <w:tcPr>
            <w:tcW w:w="2552" w:type="dxa"/>
            <w:shd w:val="clear" w:color="auto" w:fill="FFFFFF"/>
            <w:vAlign w:val="bottom"/>
          </w:tcPr>
          <w:p w14:paraId="1F998EE9" w14:textId="113518C0" w:rsidR="00F82CB0" w:rsidRPr="00DB0EF6" w:rsidRDefault="003645C2" w:rsidP="0091682C">
            <w:pPr>
              <w:pStyle w:val="CETBodytext"/>
              <w:ind w:right="-1"/>
              <w:rPr>
                <w:rFonts w:cs="Arial"/>
                <w:sz w:val="16"/>
                <w:szCs w:val="16"/>
              </w:rPr>
            </w:pPr>
            <w:r w:rsidRPr="00DB0EF6">
              <w:rPr>
                <w:rFonts w:cs="Arial"/>
                <w:sz w:val="16"/>
                <w:szCs w:val="16"/>
              </w:rPr>
              <w:t>Linea</w:t>
            </w:r>
            <w:r w:rsidR="00201B41">
              <w:rPr>
                <w:rFonts w:cs="Arial"/>
                <w:sz w:val="16"/>
                <w:szCs w:val="16"/>
              </w:rPr>
              <w:t>r</w:t>
            </w:r>
            <w:r w:rsidRPr="00DB0EF6">
              <w:rPr>
                <w:rFonts w:cs="Arial"/>
                <w:sz w:val="16"/>
                <w:szCs w:val="16"/>
              </w:rPr>
              <w:t xml:space="preserve"> fitting</w:t>
            </w:r>
          </w:p>
        </w:tc>
        <w:tc>
          <w:tcPr>
            <w:tcW w:w="1134" w:type="dxa"/>
            <w:shd w:val="clear" w:color="auto" w:fill="FFFFFF"/>
            <w:vAlign w:val="center"/>
          </w:tcPr>
          <w:p w14:paraId="610C426E" w14:textId="6CDEBF2A" w:rsidR="00F82CB0" w:rsidRPr="00DB0EF6" w:rsidRDefault="00F82CB0" w:rsidP="00FD5FE8">
            <w:pPr>
              <w:pStyle w:val="CETBodytext"/>
              <w:ind w:right="-1"/>
              <w:jc w:val="left"/>
              <w:rPr>
                <w:rFonts w:cs="Arial"/>
                <w:sz w:val="16"/>
                <w:szCs w:val="16"/>
              </w:rPr>
            </w:pPr>
          </w:p>
        </w:tc>
        <w:tc>
          <w:tcPr>
            <w:tcW w:w="917" w:type="dxa"/>
            <w:gridSpan w:val="3"/>
            <w:shd w:val="clear" w:color="auto" w:fill="FFFFFF"/>
            <w:vAlign w:val="center"/>
          </w:tcPr>
          <w:p w14:paraId="2E5D623C" w14:textId="38589BCE" w:rsidR="00F82CB0" w:rsidRPr="00DB0EF6" w:rsidRDefault="00F82CB0" w:rsidP="00FD5FE8">
            <w:pPr>
              <w:pStyle w:val="CETBodytext"/>
              <w:ind w:right="-1"/>
              <w:jc w:val="left"/>
              <w:rPr>
                <w:rFonts w:cs="Arial"/>
                <w:sz w:val="16"/>
                <w:szCs w:val="16"/>
              </w:rPr>
            </w:pPr>
          </w:p>
        </w:tc>
        <w:tc>
          <w:tcPr>
            <w:tcW w:w="20" w:type="dxa"/>
            <w:shd w:val="clear" w:color="auto" w:fill="FFFFFF"/>
          </w:tcPr>
          <w:p w14:paraId="239F4EF0" w14:textId="77777777" w:rsidR="00F82CB0" w:rsidRPr="00FF3159" w:rsidRDefault="00F82CB0" w:rsidP="0091682C">
            <w:pPr>
              <w:pStyle w:val="CETBodytext"/>
              <w:ind w:right="-1"/>
              <w:rPr>
                <w:rFonts w:cs="Arial"/>
                <w:szCs w:val="18"/>
              </w:rPr>
            </w:pPr>
          </w:p>
        </w:tc>
        <w:tc>
          <w:tcPr>
            <w:tcW w:w="21" w:type="dxa"/>
            <w:shd w:val="clear" w:color="auto" w:fill="FFFFFF"/>
          </w:tcPr>
          <w:p w14:paraId="31A4047C" w14:textId="77777777" w:rsidR="00F82CB0" w:rsidRPr="00FF3159" w:rsidRDefault="00F82CB0" w:rsidP="0091682C">
            <w:pPr>
              <w:pStyle w:val="CETBodytext"/>
              <w:ind w:right="-1"/>
              <w:rPr>
                <w:rFonts w:cs="Arial"/>
                <w:szCs w:val="18"/>
              </w:rPr>
            </w:pPr>
          </w:p>
        </w:tc>
      </w:tr>
      <w:tr w:rsidR="00F82CB0" w:rsidRPr="00FF3159" w14:paraId="325A6707" w14:textId="77777777" w:rsidTr="00DB0EF6">
        <w:tc>
          <w:tcPr>
            <w:tcW w:w="2552" w:type="dxa"/>
            <w:shd w:val="clear" w:color="auto" w:fill="FFFFFF"/>
            <w:vAlign w:val="bottom"/>
          </w:tcPr>
          <w:p w14:paraId="2CF3ACC7" w14:textId="0963AAE6" w:rsidR="00F82CB0" w:rsidRPr="00DB0EF6" w:rsidRDefault="003645C2" w:rsidP="0091682C">
            <w:pPr>
              <w:pStyle w:val="CETBodytext"/>
              <w:ind w:right="-1"/>
              <w:rPr>
                <w:rFonts w:cs="Arial"/>
                <w:color w:val="000000"/>
                <w:sz w:val="16"/>
                <w:szCs w:val="16"/>
                <w:lang w:eastAsia="es-MX"/>
              </w:rPr>
            </w:pPr>
            <w:r w:rsidRPr="00DB0EF6">
              <w:rPr>
                <w:rFonts w:cs="Arial"/>
                <w:color w:val="000000"/>
                <w:sz w:val="16"/>
                <w:szCs w:val="16"/>
                <w:lang w:eastAsia="es-MX"/>
              </w:rPr>
              <w:t>Square-Y log-</w:t>
            </w:r>
            <w:r w:rsidR="00FE3944">
              <w:rPr>
                <w:rFonts w:cs="Arial"/>
                <w:color w:val="000000"/>
                <w:sz w:val="16"/>
                <w:szCs w:val="16"/>
                <w:lang w:eastAsia="es-MX"/>
              </w:rPr>
              <w:t>X</w:t>
            </w:r>
          </w:p>
        </w:tc>
        <w:tc>
          <w:tcPr>
            <w:tcW w:w="1134" w:type="dxa"/>
            <w:shd w:val="clear" w:color="auto" w:fill="FFFFFF"/>
            <w:vAlign w:val="center"/>
          </w:tcPr>
          <w:p w14:paraId="1B380944" w14:textId="2D912508" w:rsidR="00F82CB0"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8.47</w:t>
            </w:r>
          </w:p>
        </w:tc>
        <w:tc>
          <w:tcPr>
            <w:tcW w:w="917" w:type="dxa"/>
            <w:gridSpan w:val="3"/>
            <w:shd w:val="clear" w:color="auto" w:fill="FFFFFF"/>
            <w:vAlign w:val="center"/>
          </w:tcPr>
          <w:p w14:paraId="4FC8274E" w14:textId="196D6F8A" w:rsidR="00F82CB0"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1.43</w:t>
            </w:r>
          </w:p>
        </w:tc>
        <w:tc>
          <w:tcPr>
            <w:tcW w:w="20" w:type="dxa"/>
            <w:shd w:val="clear" w:color="auto" w:fill="FFFFFF"/>
          </w:tcPr>
          <w:p w14:paraId="1AD580BA" w14:textId="77777777" w:rsidR="00F82CB0" w:rsidRPr="00FF3159" w:rsidRDefault="00F82CB0" w:rsidP="0091682C">
            <w:pPr>
              <w:pStyle w:val="CETBodytext"/>
              <w:ind w:right="-1"/>
              <w:rPr>
                <w:rFonts w:cs="Arial"/>
                <w:szCs w:val="18"/>
              </w:rPr>
            </w:pPr>
          </w:p>
        </w:tc>
        <w:tc>
          <w:tcPr>
            <w:tcW w:w="21" w:type="dxa"/>
            <w:shd w:val="clear" w:color="auto" w:fill="FFFFFF"/>
          </w:tcPr>
          <w:p w14:paraId="0BB8246F" w14:textId="77777777" w:rsidR="00F82CB0" w:rsidRPr="00FF3159" w:rsidRDefault="00F82CB0" w:rsidP="0091682C">
            <w:pPr>
              <w:pStyle w:val="CETBodytext"/>
              <w:ind w:right="-1"/>
              <w:rPr>
                <w:rFonts w:cs="Arial"/>
                <w:szCs w:val="18"/>
              </w:rPr>
            </w:pPr>
          </w:p>
        </w:tc>
      </w:tr>
      <w:tr w:rsidR="00371E71" w:rsidRPr="00FF3159" w14:paraId="1A587369" w14:textId="77777777" w:rsidTr="00DB0EF6">
        <w:tc>
          <w:tcPr>
            <w:tcW w:w="2552" w:type="dxa"/>
            <w:shd w:val="clear" w:color="auto" w:fill="FFFFFF"/>
            <w:vAlign w:val="bottom"/>
          </w:tcPr>
          <w:p w14:paraId="715A1F42" w14:textId="0135FB22" w:rsidR="00371E71" w:rsidRPr="00DB0EF6" w:rsidRDefault="008A17B0" w:rsidP="0091682C">
            <w:pPr>
              <w:pStyle w:val="CETBodytext"/>
              <w:ind w:right="-1"/>
              <w:rPr>
                <w:rFonts w:cs="Arial"/>
                <w:color w:val="000000"/>
                <w:sz w:val="16"/>
                <w:szCs w:val="16"/>
                <w:lang w:eastAsia="es-MX"/>
              </w:rPr>
            </w:pPr>
            <w:r w:rsidRPr="00DB0EF6">
              <w:rPr>
                <w:rFonts w:cs="Arial"/>
                <w:color w:val="000000"/>
                <w:sz w:val="16"/>
                <w:szCs w:val="16"/>
                <w:lang w:eastAsia="es-MX"/>
              </w:rPr>
              <w:t>Log-X</w:t>
            </w:r>
          </w:p>
        </w:tc>
        <w:tc>
          <w:tcPr>
            <w:tcW w:w="1134" w:type="dxa"/>
            <w:shd w:val="clear" w:color="auto" w:fill="FFFFFF"/>
            <w:vAlign w:val="center"/>
          </w:tcPr>
          <w:p w14:paraId="296E0EAE" w14:textId="107E1EC7" w:rsidR="00371E71"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8.36</w:t>
            </w:r>
          </w:p>
        </w:tc>
        <w:tc>
          <w:tcPr>
            <w:tcW w:w="917" w:type="dxa"/>
            <w:gridSpan w:val="3"/>
            <w:shd w:val="clear" w:color="auto" w:fill="FFFFFF"/>
            <w:vAlign w:val="center"/>
          </w:tcPr>
          <w:p w14:paraId="7E35EBAB" w14:textId="77D60B38" w:rsidR="00371E71"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1.37</w:t>
            </w:r>
          </w:p>
        </w:tc>
        <w:tc>
          <w:tcPr>
            <w:tcW w:w="20" w:type="dxa"/>
            <w:shd w:val="clear" w:color="auto" w:fill="FFFFFF"/>
          </w:tcPr>
          <w:p w14:paraId="759F03BE" w14:textId="77777777" w:rsidR="00371E71" w:rsidRPr="00FF3159" w:rsidRDefault="00371E71" w:rsidP="0091682C">
            <w:pPr>
              <w:pStyle w:val="CETBodytext"/>
              <w:ind w:right="-1"/>
              <w:rPr>
                <w:rFonts w:cs="Arial"/>
                <w:szCs w:val="18"/>
              </w:rPr>
            </w:pPr>
          </w:p>
        </w:tc>
        <w:tc>
          <w:tcPr>
            <w:tcW w:w="21" w:type="dxa"/>
            <w:shd w:val="clear" w:color="auto" w:fill="FFFFFF"/>
          </w:tcPr>
          <w:p w14:paraId="705F7D57" w14:textId="77777777" w:rsidR="00371E71" w:rsidRPr="00FF3159" w:rsidRDefault="00371E71" w:rsidP="0091682C">
            <w:pPr>
              <w:pStyle w:val="CETBodytext"/>
              <w:ind w:right="-1"/>
              <w:rPr>
                <w:rFonts w:cs="Arial"/>
                <w:szCs w:val="18"/>
              </w:rPr>
            </w:pPr>
          </w:p>
        </w:tc>
      </w:tr>
      <w:tr w:rsidR="00AE7BE3" w:rsidRPr="00FF3159" w14:paraId="7EB968BC" w14:textId="77777777" w:rsidTr="00DB0EF6">
        <w:tc>
          <w:tcPr>
            <w:tcW w:w="2552" w:type="dxa"/>
            <w:shd w:val="clear" w:color="auto" w:fill="FFFFFF"/>
            <w:vAlign w:val="bottom"/>
          </w:tcPr>
          <w:p w14:paraId="449C1C7E" w14:textId="39A689A3"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Square Root-Y Log-X</w:t>
            </w:r>
          </w:p>
        </w:tc>
        <w:tc>
          <w:tcPr>
            <w:tcW w:w="1134" w:type="dxa"/>
            <w:shd w:val="clear" w:color="auto" w:fill="FFFFFF"/>
            <w:vAlign w:val="bottom"/>
          </w:tcPr>
          <w:p w14:paraId="33FDF121" w14:textId="7A231C7E"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8.31</w:t>
            </w:r>
          </w:p>
        </w:tc>
        <w:tc>
          <w:tcPr>
            <w:tcW w:w="917" w:type="dxa"/>
            <w:gridSpan w:val="3"/>
            <w:shd w:val="clear" w:color="auto" w:fill="FFFFFF"/>
            <w:vAlign w:val="bottom"/>
          </w:tcPr>
          <w:p w14:paraId="30185349" w14:textId="4A3EF0D0"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1.33</w:t>
            </w:r>
          </w:p>
        </w:tc>
        <w:tc>
          <w:tcPr>
            <w:tcW w:w="20" w:type="dxa"/>
            <w:shd w:val="clear" w:color="auto" w:fill="FFFFFF"/>
          </w:tcPr>
          <w:p w14:paraId="303FD842" w14:textId="77777777" w:rsidR="00AE7BE3" w:rsidRPr="00FF3159" w:rsidRDefault="00AE7BE3" w:rsidP="00AE7BE3">
            <w:pPr>
              <w:pStyle w:val="CETBodytext"/>
              <w:ind w:right="-1"/>
              <w:rPr>
                <w:rFonts w:cs="Arial"/>
                <w:szCs w:val="18"/>
              </w:rPr>
            </w:pPr>
          </w:p>
        </w:tc>
        <w:tc>
          <w:tcPr>
            <w:tcW w:w="21" w:type="dxa"/>
            <w:shd w:val="clear" w:color="auto" w:fill="FFFFFF"/>
          </w:tcPr>
          <w:p w14:paraId="1C58336C" w14:textId="77777777" w:rsidR="00AE7BE3" w:rsidRPr="00FF3159" w:rsidRDefault="00AE7BE3" w:rsidP="00AE7BE3">
            <w:pPr>
              <w:pStyle w:val="CETBodytext"/>
              <w:ind w:right="-1"/>
              <w:rPr>
                <w:rFonts w:cs="Arial"/>
                <w:szCs w:val="18"/>
              </w:rPr>
            </w:pPr>
          </w:p>
        </w:tc>
      </w:tr>
      <w:tr w:rsidR="00AE7BE3" w:rsidRPr="00FF3159" w14:paraId="5BF2120C" w14:textId="77777777" w:rsidTr="00DB0EF6">
        <w:tc>
          <w:tcPr>
            <w:tcW w:w="2552" w:type="dxa"/>
            <w:shd w:val="clear" w:color="auto" w:fill="FFFFFF"/>
            <w:vAlign w:val="bottom"/>
          </w:tcPr>
          <w:p w14:paraId="6BF35061" w14:textId="2548429D"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Square-Y Square Root-X</w:t>
            </w:r>
          </w:p>
        </w:tc>
        <w:tc>
          <w:tcPr>
            <w:tcW w:w="1134" w:type="dxa"/>
            <w:shd w:val="clear" w:color="auto" w:fill="FFFFFF"/>
            <w:vAlign w:val="bottom"/>
          </w:tcPr>
          <w:p w14:paraId="705F7E3D" w14:textId="00D8EBEE"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7.68</w:t>
            </w:r>
          </w:p>
        </w:tc>
        <w:tc>
          <w:tcPr>
            <w:tcW w:w="917" w:type="dxa"/>
            <w:gridSpan w:val="3"/>
            <w:shd w:val="clear" w:color="auto" w:fill="FFFFFF"/>
            <w:vAlign w:val="bottom"/>
          </w:tcPr>
          <w:p w14:paraId="1A7AE4AC" w14:textId="27A7C96A"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0.69</w:t>
            </w:r>
          </w:p>
        </w:tc>
        <w:tc>
          <w:tcPr>
            <w:tcW w:w="20" w:type="dxa"/>
            <w:shd w:val="clear" w:color="auto" w:fill="FFFFFF"/>
          </w:tcPr>
          <w:p w14:paraId="77A34D5C" w14:textId="77777777" w:rsidR="00AE7BE3" w:rsidRPr="00FF3159" w:rsidRDefault="00AE7BE3" w:rsidP="00AE7BE3">
            <w:pPr>
              <w:pStyle w:val="CETBodytext"/>
              <w:ind w:right="-1"/>
              <w:rPr>
                <w:rFonts w:cs="Arial"/>
                <w:szCs w:val="18"/>
              </w:rPr>
            </w:pPr>
          </w:p>
        </w:tc>
        <w:tc>
          <w:tcPr>
            <w:tcW w:w="21" w:type="dxa"/>
            <w:shd w:val="clear" w:color="auto" w:fill="FFFFFF"/>
          </w:tcPr>
          <w:p w14:paraId="4EDBA913" w14:textId="77777777" w:rsidR="00AE7BE3" w:rsidRPr="00FF3159" w:rsidRDefault="00AE7BE3" w:rsidP="00AE7BE3">
            <w:pPr>
              <w:pStyle w:val="CETBodytext"/>
              <w:ind w:right="-1"/>
              <w:rPr>
                <w:rFonts w:cs="Arial"/>
                <w:szCs w:val="18"/>
              </w:rPr>
            </w:pPr>
          </w:p>
        </w:tc>
      </w:tr>
      <w:tr w:rsidR="00AE7BE3" w:rsidRPr="00FF3159" w14:paraId="2E198AD4" w14:textId="77777777" w:rsidTr="00DB0EF6">
        <w:tc>
          <w:tcPr>
            <w:tcW w:w="2552" w:type="dxa"/>
            <w:shd w:val="clear" w:color="auto" w:fill="FFFFFF"/>
            <w:vAlign w:val="bottom"/>
          </w:tcPr>
          <w:p w14:paraId="7EE16827" w14:textId="2475E758"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Multiplicative</w:t>
            </w:r>
          </w:p>
        </w:tc>
        <w:tc>
          <w:tcPr>
            <w:tcW w:w="1134" w:type="dxa"/>
            <w:shd w:val="clear" w:color="auto" w:fill="FFFFFF"/>
            <w:vAlign w:val="bottom"/>
          </w:tcPr>
          <w:p w14:paraId="28659369" w14:textId="7D78652B"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8.25</w:t>
            </w:r>
          </w:p>
        </w:tc>
        <w:tc>
          <w:tcPr>
            <w:tcW w:w="917" w:type="dxa"/>
            <w:gridSpan w:val="3"/>
            <w:shd w:val="clear" w:color="auto" w:fill="FFFFFF"/>
            <w:vAlign w:val="bottom"/>
          </w:tcPr>
          <w:p w14:paraId="5BD4E4B5" w14:textId="0CB0776E"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1.30</w:t>
            </w:r>
          </w:p>
        </w:tc>
        <w:tc>
          <w:tcPr>
            <w:tcW w:w="20" w:type="dxa"/>
            <w:shd w:val="clear" w:color="auto" w:fill="FFFFFF"/>
          </w:tcPr>
          <w:p w14:paraId="1156CB20" w14:textId="77777777" w:rsidR="00AE7BE3" w:rsidRPr="00FF3159" w:rsidRDefault="00AE7BE3" w:rsidP="00AE7BE3">
            <w:pPr>
              <w:pStyle w:val="CETBodytext"/>
              <w:ind w:right="-1"/>
              <w:rPr>
                <w:rFonts w:cs="Arial"/>
                <w:szCs w:val="18"/>
              </w:rPr>
            </w:pPr>
          </w:p>
        </w:tc>
        <w:tc>
          <w:tcPr>
            <w:tcW w:w="21" w:type="dxa"/>
            <w:shd w:val="clear" w:color="auto" w:fill="FFFFFF"/>
          </w:tcPr>
          <w:p w14:paraId="49BB3628" w14:textId="77777777" w:rsidR="00AE7BE3" w:rsidRPr="00FF3159" w:rsidRDefault="00AE7BE3" w:rsidP="00AE7BE3">
            <w:pPr>
              <w:pStyle w:val="CETBodytext"/>
              <w:ind w:right="-1"/>
              <w:rPr>
                <w:rFonts w:cs="Arial"/>
                <w:szCs w:val="18"/>
              </w:rPr>
            </w:pPr>
          </w:p>
        </w:tc>
      </w:tr>
      <w:tr w:rsidR="00AE7BE3" w:rsidRPr="00FF3159" w14:paraId="3BB1F3DE" w14:textId="77777777" w:rsidTr="00DB0EF6">
        <w:tc>
          <w:tcPr>
            <w:tcW w:w="2552" w:type="dxa"/>
            <w:shd w:val="clear" w:color="auto" w:fill="FFFFFF"/>
            <w:vAlign w:val="bottom"/>
          </w:tcPr>
          <w:p w14:paraId="09DB6380" w14:textId="30559C4F"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Square Root-X</w:t>
            </w:r>
          </w:p>
        </w:tc>
        <w:tc>
          <w:tcPr>
            <w:tcW w:w="1134" w:type="dxa"/>
            <w:shd w:val="clear" w:color="auto" w:fill="FFFFFF"/>
            <w:vAlign w:val="bottom"/>
          </w:tcPr>
          <w:p w14:paraId="4084CD36" w14:textId="7F5407FF"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7.58</w:t>
            </w:r>
          </w:p>
        </w:tc>
        <w:tc>
          <w:tcPr>
            <w:tcW w:w="917" w:type="dxa"/>
            <w:gridSpan w:val="3"/>
            <w:shd w:val="clear" w:color="auto" w:fill="FFFFFF"/>
            <w:vAlign w:val="bottom"/>
          </w:tcPr>
          <w:p w14:paraId="41C174CC" w14:textId="5FCB81FF"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0.62</w:t>
            </w:r>
          </w:p>
        </w:tc>
        <w:tc>
          <w:tcPr>
            <w:tcW w:w="20" w:type="dxa"/>
            <w:shd w:val="clear" w:color="auto" w:fill="FFFFFF"/>
          </w:tcPr>
          <w:p w14:paraId="35AA8A54" w14:textId="77777777" w:rsidR="00AE7BE3" w:rsidRPr="00FF3159" w:rsidRDefault="00AE7BE3" w:rsidP="00AE7BE3">
            <w:pPr>
              <w:pStyle w:val="CETBodytext"/>
              <w:ind w:right="-1"/>
              <w:rPr>
                <w:rFonts w:cs="Arial"/>
                <w:szCs w:val="18"/>
              </w:rPr>
            </w:pPr>
          </w:p>
        </w:tc>
        <w:tc>
          <w:tcPr>
            <w:tcW w:w="21" w:type="dxa"/>
            <w:shd w:val="clear" w:color="auto" w:fill="FFFFFF"/>
          </w:tcPr>
          <w:p w14:paraId="6A8998A5" w14:textId="77777777" w:rsidR="00AE7BE3" w:rsidRPr="00FF3159" w:rsidRDefault="00AE7BE3" w:rsidP="00AE7BE3">
            <w:pPr>
              <w:pStyle w:val="CETBodytext"/>
              <w:ind w:right="-1"/>
              <w:rPr>
                <w:rFonts w:cs="Arial"/>
                <w:szCs w:val="18"/>
              </w:rPr>
            </w:pPr>
          </w:p>
        </w:tc>
      </w:tr>
      <w:tr w:rsidR="00AE7BE3" w:rsidRPr="00FF3159" w14:paraId="2CFD6004" w14:textId="77777777" w:rsidTr="00DB0EF6">
        <w:tc>
          <w:tcPr>
            <w:tcW w:w="2552" w:type="dxa"/>
            <w:shd w:val="clear" w:color="auto" w:fill="FFFFFF"/>
            <w:vAlign w:val="bottom"/>
          </w:tcPr>
          <w:p w14:paraId="6D080169" w14:textId="71C337CA"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Double Square Root</w:t>
            </w:r>
          </w:p>
        </w:tc>
        <w:tc>
          <w:tcPr>
            <w:tcW w:w="1134" w:type="dxa"/>
            <w:shd w:val="clear" w:color="auto" w:fill="FFFFFF"/>
            <w:vAlign w:val="bottom"/>
          </w:tcPr>
          <w:p w14:paraId="672AFEAC" w14:textId="69BF771A"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7.53</w:t>
            </w:r>
          </w:p>
        </w:tc>
        <w:tc>
          <w:tcPr>
            <w:tcW w:w="917" w:type="dxa"/>
            <w:gridSpan w:val="3"/>
            <w:shd w:val="clear" w:color="auto" w:fill="FFFFFF"/>
            <w:vAlign w:val="bottom"/>
          </w:tcPr>
          <w:p w14:paraId="7778EB1E" w14:textId="0B3189D3"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0.58</w:t>
            </w:r>
          </w:p>
        </w:tc>
        <w:tc>
          <w:tcPr>
            <w:tcW w:w="20" w:type="dxa"/>
            <w:shd w:val="clear" w:color="auto" w:fill="FFFFFF"/>
          </w:tcPr>
          <w:p w14:paraId="74E0C78B" w14:textId="77777777" w:rsidR="00AE7BE3" w:rsidRPr="00FF3159" w:rsidRDefault="00AE7BE3" w:rsidP="00AE7BE3">
            <w:pPr>
              <w:pStyle w:val="CETBodytext"/>
              <w:ind w:right="-1"/>
              <w:rPr>
                <w:rFonts w:cs="Arial"/>
                <w:szCs w:val="18"/>
              </w:rPr>
            </w:pPr>
          </w:p>
        </w:tc>
        <w:tc>
          <w:tcPr>
            <w:tcW w:w="21" w:type="dxa"/>
            <w:shd w:val="clear" w:color="auto" w:fill="FFFFFF"/>
          </w:tcPr>
          <w:p w14:paraId="6E542431" w14:textId="77777777" w:rsidR="00AE7BE3" w:rsidRPr="00FF3159" w:rsidRDefault="00AE7BE3" w:rsidP="00AE7BE3">
            <w:pPr>
              <w:pStyle w:val="CETBodytext"/>
              <w:ind w:right="-1"/>
              <w:rPr>
                <w:rFonts w:cs="Arial"/>
                <w:szCs w:val="18"/>
              </w:rPr>
            </w:pPr>
          </w:p>
        </w:tc>
      </w:tr>
      <w:tr w:rsidR="00AE7BE3" w:rsidRPr="00FF3159" w14:paraId="39E73F86" w14:textId="77777777" w:rsidTr="00DB0EF6">
        <w:tc>
          <w:tcPr>
            <w:tcW w:w="2552" w:type="dxa"/>
            <w:shd w:val="clear" w:color="auto" w:fill="FFFFFF"/>
            <w:vAlign w:val="bottom"/>
          </w:tcPr>
          <w:p w14:paraId="457C6DB2" w14:textId="2AEEBE67"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Logarithmic-Y Square Root-X</w:t>
            </w:r>
          </w:p>
        </w:tc>
        <w:tc>
          <w:tcPr>
            <w:tcW w:w="1134" w:type="dxa"/>
            <w:shd w:val="clear" w:color="auto" w:fill="FFFFFF"/>
            <w:vAlign w:val="bottom"/>
          </w:tcPr>
          <w:p w14:paraId="51892413" w14:textId="4A0F7679"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7.48</w:t>
            </w:r>
          </w:p>
        </w:tc>
        <w:tc>
          <w:tcPr>
            <w:tcW w:w="917" w:type="dxa"/>
            <w:gridSpan w:val="3"/>
            <w:shd w:val="clear" w:color="auto" w:fill="FFFFFF"/>
            <w:vAlign w:val="bottom"/>
          </w:tcPr>
          <w:p w14:paraId="1539C1A6" w14:textId="4678EBF7"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0.53</w:t>
            </w:r>
          </w:p>
        </w:tc>
        <w:tc>
          <w:tcPr>
            <w:tcW w:w="20" w:type="dxa"/>
            <w:shd w:val="clear" w:color="auto" w:fill="FFFFFF"/>
          </w:tcPr>
          <w:p w14:paraId="63C6C17D" w14:textId="77777777" w:rsidR="00AE7BE3" w:rsidRPr="00FF3159" w:rsidRDefault="00AE7BE3" w:rsidP="00AE7BE3">
            <w:pPr>
              <w:pStyle w:val="CETBodytext"/>
              <w:ind w:right="-1"/>
              <w:rPr>
                <w:rFonts w:cs="Arial"/>
                <w:szCs w:val="18"/>
              </w:rPr>
            </w:pPr>
          </w:p>
        </w:tc>
        <w:tc>
          <w:tcPr>
            <w:tcW w:w="21" w:type="dxa"/>
            <w:shd w:val="clear" w:color="auto" w:fill="FFFFFF"/>
          </w:tcPr>
          <w:p w14:paraId="5AF9BD7D" w14:textId="77777777" w:rsidR="00AE7BE3" w:rsidRPr="00FF3159" w:rsidRDefault="00AE7BE3" w:rsidP="00AE7BE3">
            <w:pPr>
              <w:pStyle w:val="CETBodytext"/>
              <w:ind w:right="-1"/>
              <w:rPr>
                <w:rFonts w:cs="Arial"/>
                <w:szCs w:val="18"/>
              </w:rPr>
            </w:pPr>
          </w:p>
        </w:tc>
      </w:tr>
      <w:tr w:rsidR="00AE7BE3" w:rsidRPr="00FF3159" w14:paraId="522CE330" w14:textId="77777777" w:rsidTr="00DB0EF6">
        <w:tc>
          <w:tcPr>
            <w:tcW w:w="2552" w:type="dxa"/>
            <w:shd w:val="clear" w:color="auto" w:fill="FFFFFF"/>
            <w:vAlign w:val="bottom"/>
          </w:tcPr>
          <w:p w14:paraId="3BCCC5ED" w14:textId="7E9A7176"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Square-Y</w:t>
            </w:r>
          </w:p>
        </w:tc>
        <w:tc>
          <w:tcPr>
            <w:tcW w:w="1134" w:type="dxa"/>
            <w:shd w:val="clear" w:color="auto" w:fill="FFFFFF"/>
            <w:vAlign w:val="bottom"/>
          </w:tcPr>
          <w:p w14:paraId="39D1D6E3" w14:textId="1BFD4C67"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7.13</w:t>
            </w:r>
          </w:p>
        </w:tc>
        <w:tc>
          <w:tcPr>
            <w:tcW w:w="917" w:type="dxa"/>
            <w:gridSpan w:val="3"/>
            <w:shd w:val="clear" w:color="auto" w:fill="FFFFFF"/>
            <w:vAlign w:val="bottom"/>
          </w:tcPr>
          <w:p w14:paraId="422D8860" w14:textId="4E15E21F"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0.45</w:t>
            </w:r>
          </w:p>
        </w:tc>
        <w:tc>
          <w:tcPr>
            <w:tcW w:w="20" w:type="dxa"/>
            <w:shd w:val="clear" w:color="auto" w:fill="FFFFFF"/>
          </w:tcPr>
          <w:p w14:paraId="67D59068" w14:textId="77777777" w:rsidR="00AE7BE3" w:rsidRPr="00FF3159" w:rsidRDefault="00AE7BE3" w:rsidP="00AE7BE3">
            <w:pPr>
              <w:pStyle w:val="CETBodytext"/>
              <w:ind w:right="-1"/>
              <w:rPr>
                <w:rFonts w:cs="Arial"/>
                <w:szCs w:val="18"/>
              </w:rPr>
            </w:pPr>
          </w:p>
        </w:tc>
        <w:tc>
          <w:tcPr>
            <w:tcW w:w="21" w:type="dxa"/>
            <w:shd w:val="clear" w:color="auto" w:fill="FFFFFF"/>
          </w:tcPr>
          <w:p w14:paraId="0711D534" w14:textId="77777777" w:rsidR="00AE7BE3" w:rsidRPr="00FF3159" w:rsidRDefault="00AE7BE3" w:rsidP="00AE7BE3">
            <w:pPr>
              <w:pStyle w:val="CETBodytext"/>
              <w:ind w:right="-1"/>
              <w:rPr>
                <w:rFonts w:cs="Arial"/>
                <w:szCs w:val="18"/>
              </w:rPr>
            </w:pPr>
          </w:p>
        </w:tc>
      </w:tr>
      <w:tr w:rsidR="00AE7BE3" w:rsidRPr="00FF3159" w14:paraId="37920497" w14:textId="77777777" w:rsidTr="00DB0EF6">
        <w:tc>
          <w:tcPr>
            <w:tcW w:w="2552" w:type="dxa"/>
            <w:shd w:val="clear" w:color="auto" w:fill="FFFFFF"/>
            <w:vAlign w:val="bottom"/>
          </w:tcPr>
          <w:p w14:paraId="40357F87" w14:textId="40617A46"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Linea</w:t>
            </w:r>
            <w:r w:rsidR="00201B41">
              <w:rPr>
                <w:rFonts w:cs="Arial"/>
                <w:color w:val="000000"/>
                <w:sz w:val="16"/>
                <w:szCs w:val="16"/>
                <w:lang w:eastAsia="es-MX"/>
              </w:rPr>
              <w:t>r</w:t>
            </w:r>
          </w:p>
        </w:tc>
        <w:tc>
          <w:tcPr>
            <w:tcW w:w="1134" w:type="dxa"/>
            <w:shd w:val="clear" w:color="auto" w:fill="FFFFFF"/>
            <w:vAlign w:val="bottom"/>
          </w:tcPr>
          <w:p w14:paraId="5F6A3316" w14:textId="393EAF25" w:rsidR="00AE7BE3" w:rsidRPr="00DB0EF6" w:rsidRDefault="001D6181" w:rsidP="00FD5FE8">
            <w:pPr>
              <w:pStyle w:val="CETBodytext"/>
              <w:ind w:right="-1"/>
              <w:jc w:val="left"/>
              <w:rPr>
                <w:rFonts w:cs="Arial"/>
                <w:color w:val="000000"/>
                <w:sz w:val="16"/>
                <w:szCs w:val="16"/>
                <w:lang w:eastAsia="es-MX"/>
              </w:rPr>
            </w:pPr>
            <w:r w:rsidRPr="00DB0EF6">
              <w:rPr>
                <w:rFonts w:cs="Arial"/>
                <w:color w:val="000000"/>
                <w:sz w:val="16"/>
                <w:szCs w:val="16"/>
                <w:lang w:eastAsia="es-MX"/>
              </w:rPr>
              <w:t>7.05</w:t>
            </w:r>
          </w:p>
        </w:tc>
        <w:tc>
          <w:tcPr>
            <w:tcW w:w="917" w:type="dxa"/>
            <w:gridSpan w:val="3"/>
            <w:shd w:val="clear" w:color="auto" w:fill="FFFFFF"/>
            <w:vAlign w:val="bottom"/>
          </w:tcPr>
          <w:p w14:paraId="0836B30E" w14:textId="3DD3210B"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0.39</w:t>
            </w:r>
          </w:p>
        </w:tc>
        <w:tc>
          <w:tcPr>
            <w:tcW w:w="20" w:type="dxa"/>
            <w:shd w:val="clear" w:color="auto" w:fill="FFFFFF"/>
          </w:tcPr>
          <w:p w14:paraId="357FCE51" w14:textId="77777777" w:rsidR="00AE7BE3" w:rsidRPr="00FF3159" w:rsidRDefault="00AE7BE3" w:rsidP="00AE7BE3">
            <w:pPr>
              <w:pStyle w:val="CETBodytext"/>
              <w:ind w:right="-1"/>
              <w:rPr>
                <w:rFonts w:cs="Arial"/>
                <w:szCs w:val="18"/>
              </w:rPr>
            </w:pPr>
          </w:p>
        </w:tc>
        <w:tc>
          <w:tcPr>
            <w:tcW w:w="21" w:type="dxa"/>
            <w:shd w:val="clear" w:color="auto" w:fill="FFFFFF"/>
          </w:tcPr>
          <w:p w14:paraId="031AD60B" w14:textId="77777777" w:rsidR="00AE7BE3" w:rsidRPr="00FF3159" w:rsidRDefault="00AE7BE3" w:rsidP="00AE7BE3">
            <w:pPr>
              <w:pStyle w:val="CETBodytext"/>
              <w:ind w:right="-1"/>
              <w:rPr>
                <w:rFonts w:cs="Arial"/>
                <w:szCs w:val="18"/>
              </w:rPr>
            </w:pPr>
          </w:p>
        </w:tc>
      </w:tr>
      <w:tr w:rsidR="00AE7BE3" w:rsidRPr="00FF3159" w14:paraId="4D200F8D" w14:textId="77777777" w:rsidTr="00DB0EF6">
        <w:tc>
          <w:tcPr>
            <w:tcW w:w="2552" w:type="dxa"/>
            <w:shd w:val="clear" w:color="auto" w:fill="FFFFFF"/>
            <w:vAlign w:val="bottom"/>
          </w:tcPr>
          <w:p w14:paraId="2A8CF86E" w14:textId="1F704A32"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Polynomial fitting</w:t>
            </w:r>
          </w:p>
        </w:tc>
        <w:tc>
          <w:tcPr>
            <w:tcW w:w="1134" w:type="dxa"/>
            <w:shd w:val="clear" w:color="auto" w:fill="FFFFFF"/>
            <w:vAlign w:val="center"/>
          </w:tcPr>
          <w:p w14:paraId="7D235525" w14:textId="77777777" w:rsidR="00AE7BE3" w:rsidRPr="00DB0EF6" w:rsidRDefault="00AE7BE3" w:rsidP="00FD5FE8">
            <w:pPr>
              <w:pStyle w:val="CETBodytext"/>
              <w:ind w:right="-1"/>
              <w:jc w:val="left"/>
              <w:rPr>
                <w:rFonts w:cs="Arial"/>
                <w:color w:val="000000"/>
                <w:sz w:val="16"/>
                <w:szCs w:val="16"/>
                <w:lang w:eastAsia="es-MX"/>
              </w:rPr>
            </w:pPr>
          </w:p>
        </w:tc>
        <w:tc>
          <w:tcPr>
            <w:tcW w:w="917" w:type="dxa"/>
            <w:gridSpan w:val="3"/>
            <w:shd w:val="clear" w:color="auto" w:fill="FFFFFF"/>
            <w:vAlign w:val="center"/>
          </w:tcPr>
          <w:p w14:paraId="4F866DB1" w14:textId="77777777" w:rsidR="00AE7BE3" w:rsidRPr="00DB0EF6" w:rsidRDefault="00AE7BE3" w:rsidP="00FD5FE8">
            <w:pPr>
              <w:pStyle w:val="CETBodytext"/>
              <w:ind w:right="-1"/>
              <w:jc w:val="left"/>
              <w:rPr>
                <w:rFonts w:cs="Arial"/>
                <w:color w:val="000000"/>
                <w:sz w:val="16"/>
                <w:szCs w:val="16"/>
                <w:lang w:eastAsia="es-MX"/>
              </w:rPr>
            </w:pPr>
          </w:p>
        </w:tc>
        <w:tc>
          <w:tcPr>
            <w:tcW w:w="20" w:type="dxa"/>
            <w:shd w:val="clear" w:color="auto" w:fill="FFFFFF"/>
          </w:tcPr>
          <w:p w14:paraId="732B05E0" w14:textId="77777777" w:rsidR="00AE7BE3" w:rsidRPr="00FF3159" w:rsidRDefault="00AE7BE3" w:rsidP="00AE7BE3">
            <w:pPr>
              <w:pStyle w:val="CETBodytext"/>
              <w:ind w:right="-1"/>
              <w:rPr>
                <w:rFonts w:cs="Arial"/>
                <w:szCs w:val="18"/>
              </w:rPr>
            </w:pPr>
          </w:p>
        </w:tc>
        <w:tc>
          <w:tcPr>
            <w:tcW w:w="21" w:type="dxa"/>
            <w:shd w:val="clear" w:color="auto" w:fill="FFFFFF"/>
          </w:tcPr>
          <w:p w14:paraId="548D55C3" w14:textId="77777777" w:rsidR="00AE7BE3" w:rsidRPr="00FF3159" w:rsidRDefault="00AE7BE3" w:rsidP="00AE7BE3">
            <w:pPr>
              <w:pStyle w:val="CETBodytext"/>
              <w:ind w:right="-1"/>
              <w:rPr>
                <w:rFonts w:cs="Arial"/>
                <w:szCs w:val="18"/>
              </w:rPr>
            </w:pPr>
          </w:p>
        </w:tc>
      </w:tr>
      <w:tr w:rsidR="00AE7BE3" w:rsidRPr="00FF3159" w14:paraId="5C91905D" w14:textId="77777777" w:rsidTr="00DB0EF6">
        <w:tc>
          <w:tcPr>
            <w:tcW w:w="2552" w:type="dxa"/>
            <w:shd w:val="clear" w:color="auto" w:fill="FFFFFF"/>
            <w:vAlign w:val="bottom"/>
          </w:tcPr>
          <w:p w14:paraId="50F8B1C4" w14:textId="0785C141"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2</w:t>
            </w:r>
            <w:r w:rsidRPr="00DB0EF6">
              <w:rPr>
                <w:rFonts w:cs="Arial"/>
                <w:color w:val="000000"/>
                <w:sz w:val="16"/>
                <w:szCs w:val="16"/>
                <w:vertAlign w:val="superscript"/>
                <w:lang w:eastAsia="es-MX"/>
              </w:rPr>
              <w:t>nd</w:t>
            </w:r>
            <w:r w:rsidRPr="00DB0EF6">
              <w:rPr>
                <w:rFonts w:cs="Arial"/>
                <w:color w:val="000000"/>
                <w:sz w:val="16"/>
                <w:szCs w:val="16"/>
                <w:lang w:eastAsia="es-MX"/>
              </w:rPr>
              <w:t xml:space="preserve"> Order</w:t>
            </w:r>
          </w:p>
        </w:tc>
        <w:tc>
          <w:tcPr>
            <w:tcW w:w="1134" w:type="dxa"/>
            <w:shd w:val="clear" w:color="auto" w:fill="FFFFFF"/>
            <w:vAlign w:val="bottom"/>
          </w:tcPr>
          <w:p w14:paraId="6FC87C13" w14:textId="3F316559"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7.35</w:t>
            </w:r>
          </w:p>
        </w:tc>
        <w:tc>
          <w:tcPr>
            <w:tcW w:w="917" w:type="dxa"/>
            <w:gridSpan w:val="3"/>
            <w:shd w:val="clear" w:color="auto" w:fill="FFFFFF"/>
            <w:vAlign w:val="bottom"/>
          </w:tcPr>
          <w:p w14:paraId="794CD6DD" w14:textId="5A0D8B11" w:rsidR="00AE7BE3" w:rsidRPr="00DB0EF6" w:rsidRDefault="00AE7BE3" w:rsidP="00FD5FE8">
            <w:pPr>
              <w:pStyle w:val="CETBodytext"/>
              <w:ind w:right="-1"/>
              <w:jc w:val="left"/>
              <w:rPr>
                <w:rFonts w:cs="Arial"/>
                <w:color w:val="000000"/>
                <w:sz w:val="16"/>
                <w:szCs w:val="16"/>
                <w:lang w:eastAsia="es-MX"/>
              </w:rPr>
            </w:pPr>
            <w:r w:rsidRPr="00DB0EF6">
              <w:rPr>
                <w:rFonts w:cs="Arial"/>
                <w:color w:val="000000"/>
                <w:sz w:val="16"/>
                <w:szCs w:val="16"/>
                <w:lang w:eastAsia="es-MX"/>
              </w:rPr>
              <w:t>0.50</w:t>
            </w:r>
          </w:p>
        </w:tc>
        <w:tc>
          <w:tcPr>
            <w:tcW w:w="20" w:type="dxa"/>
            <w:shd w:val="clear" w:color="auto" w:fill="FFFFFF"/>
          </w:tcPr>
          <w:p w14:paraId="13DBE721" w14:textId="77777777" w:rsidR="00AE7BE3" w:rsidRPr="00FF3159" w:rsidRDefault="00AE7BE3" w:rsidP="00AE7BE3">
            <w:pPr>
              <w:pStyle w:val="CETBodytext"/>
              <w:ind w:right="-1"/>
              <w:rPr>
                <w:rFonts w:cs="Arial"/>
                <w:szCs w:val="18"/>
              </w:rPr>
            </w:pPr>
          </w:p>
        </w:tc>
        <w:tc>
          <w:tcPr>
            <w:tcW w:w="21" w:type="dxa"/>
            <w:shd w:val="clear" w:color="auto" w:fill="FFFFFF"/>
          </w:tcPr>
          <w:p w14:paraId="763EA6CA" w14:textId="77777777" w:rsidR="00AE7BE3" w:rsidRPr="00FF3159" w:rsidRDefault="00AE7BE3" w:rsidP="00AE7BE3">
            <w:pPr>
              <w:pStyle w:val="CETBodytext"/>
              <w:ind w:right="-1"/>
              <w:rPr>
                <w:rFonts w:cs="Arial"/>
                <w:szCs w:val="18"/>
              </w:rPr>
            </w:pPr>
          </w:p>
        </w:tc>
      </w:tr>
      <w:tr w:rsidR="00AE7BE3" w:rsidRPr="00FF3159" w14:paraId="0E31BD0F" w14:textId="77777777" w:rsidTr="00DB0EF6">
        <w:tc>
          <w:tcPr>
            <w:tcW w:w="2552" w:type="dxa"/>
            <w:shd w:val="clear" w:color="auto" w:fill="FFFFFF"/>
            <w:vAlign w:val="bottom"/>
          </w:tcPr>
          <w:p w14:paraId="5630F374" w14:textId="31538EEA" w:rsidR="00AE7BE3" w:rsidRPr="00DB0EF6" w:rsidRDefault="00AE7BE3" w:rsidP="00AE7BE3">
            <w:pPr>
              <w:pStyle w:val="CETBodytext"/>
              <w:ind w:right="-1"/>
              <w:rPr>
                <w:rFonts w:cs="Arial"/>
                <w:color w:val="000000"/>
                <w:sz w:val="16"/>
                <w:szCs w:val="16"/>
                <w:lang w:eastAsia="es-MX"/>
              </w:rPr>
            </w:pPr>
            <w:r w:rsidRPr="00DB0EF6">
              <w:rPr>
                <w:rFonts w:cs="Arial"/>
                <w:color w:val="000000"/>
                <w:sz w:val="16"/>
                <w:szCs w:val="16"/>
                <w:lang w:eastAsia="es-MX"/>
              </w:rPr>
              <w:t>3</w:t>
            </w:r>
            <w:r w:rsidRPr="00DB0EF6">
              <w:rPr>
                <w:rFonts w:cs="Arial"/>
                <w:color w:val="000000"/>
                <w:sz w:val="16"/>
                <w:szCs w:val="16"/>
                <w:vertAlign w:val="superscript"/>
                <w:lang w:eastAsia="es-MX"/>
              </w:rPr>
              <w:t>rd</w:t>
            </w:r>
            <w:r w:rsidRPr="00DB0EF6">
              <w:rPr>
                <w:rFonts w:cs="Arial"/>
                <w:color w:val="000000"/>
                <w:sz w:val="16"/>
                <w:szCs w:val="16"/>
                <w:lang w:eastAsia="es-MX"/>
              </w:rPr>
              <w:t xml:space="preserve"> Order</w:t>
            </w:r>
          </w:p>
        </w:tc>
        <w:tc>
          <w:tcPr>
            <w:tcW w:w="1134" w:type="dxa"/>
            <w:shd w:val="clear" w:color="auto" w:fill="FFFFFF"/>
            <w:vAlign w:val="bottom"/>
          </w:tcPr>
          <w:p w14:paraId="2EF8895A" w14:textId="01BE6DB5"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8.02</w:t>
            </w:r>
          </w:p>
        </w:tc>
        <w:tc>
          <w:tcPr>
            <w:tcW w:w="917" w:type="dxa"/>
            <w:gridSpan w:val="3"/>
            <w:shd w:val="clear" w:color="auto" w:fill="FFFFFF"/>
            <w:vAlign w:val="bottom"/>
          </w:tcPr>
          <w:p w14:paraId="0FB9FDDE" w14:textId="7E50BD68" w:rsidR="00AE7BE3" w:rsidRPr="00DB0EF6" w:rsidRDefault="00AE7BE3" w:rsidP="00FD5FE8">
            <w:pPr>
              <w:pStyle w:val="CETBodytext"/>
              <w:ind w:right="-1"/>
              <w:jc w:val="left"/>
              <w:rPr>
                <w:rFonts w:cs="Arial"/>
                <w:color w:val="000000"/>
                <w:sz w:val="16"/>
                <w:szCs w:val="16"/>
                <w:lang w:eastAsia="es-MX"/>
              </w:rPr>
            </w:pPr>
            <w:r w:rsidRPr="00DB0EF6">
              <w:rPr>
                <w:rFonts w:cs="Arial"/>
                <w:color w:val="000000"/>
                <w:sz w:val="16"/>
                <w:szCs w:val="16"/>
                <w:lang w:eastAsia="es-MX"/>
              </w:rPr>
              <w:t>1.7</w:t>
            </w:r>
            <w:r w:rsidR="004553EA" w:rsidRPr="00DB0EF6">
              <w:rPr>
                <w:rFonts w:cs="Arial"/>
                <w:color w:val="000000"/>
                <w:sz w:val="16"/>
                <w:szCs w:val="16"/>
                <w:lang w:eastAsia="es-MX"/>
              </w:rPr>
              <w:t>0</w:t>
            </w:r>
          </w:p>
        </w:tc>
        <w:tc>
          <w:tcPr>
            <w:tcW w:w="20" w:type="dxa"/>
            <w:shd w:val="clear" w:color="auto" w:fill="FFFFFF"/>
          </w:tcPr>
          <w:p w14:paraId="6D4CDBA7" w14:textId="77777777" w:rsidR="00AE7BE3" w:rsidRPr="00FF3159" w:rsidRDefault="00AE7BE3" w:rsidP="00AE7BE3">
            <w:pPr>
              <w:pStyle w:val="CETBodytext"/>
              <w:ind w:right="-1"/>
              <w:rPr>
                <w:rFonts w:cs="Arial"/>
                <w:szCs w:val="18"/>
              </w:rPr>
            </w:pPr>
          </w:p>
        </w:tc>
        <w:tc>
          <w:tcPr>
            <w:tcW w:w="21" w:type="dxa"/>
            <w:shd w:val="clear" w:color="auto" w:fill="FFFFFF"/>
          </w:tcPr>
          <w:p w14:paraId="389383BD" w14:textId="77777777" w:rsidR="00AE7BE3" w:rsidRPr="00FF3159" w:rsidRDefault="00AE7BE3" w:rsidP="00AE7BE3">
            <w:pPr>
              <w:pStyle w:val="CETBodytext"/>
              <w:ind w:right="-1"/>
              <w:rPr>
                <w:rFonts w:cs="Arial"/>
                <w:szCs w:val="18"/>
              </w:rPr>
            </w:pPr>
          </w:p>
        </w:tc>
      </w:tr>
      <w:tr w:rsidR="00AE7BE3" w:rsidRPr="00FF3159" w14:paraId="5E87C390" w14:textId="77777777" w:rsidTr="00DB0EF6">
        <w:tc>
          <w:tcPr>
            <w:tcW w:w="2552" w:type="dxa"/>
            <w:shd w:val="clear" w:color="auto" w:fill="FFFFFF"/>
            <w:vAlign w:val="bottom"/>
          </w:tcPr>
          <w:p w14:paraId="360E9277" w14:textId="56FF67CA" w:rsidR="00AE7BE3" w:rsidRPr="00DB0EF6" w:rsidRDefault="006579BD" w:rsidP="00AE7BE3">
            <w:pPr>
              <w:pStyle w:val="CETBodytext"/>
              <w:ind w:right="-1"/>
              <w:rPr>
                <w:rFonts w:cs="Arial"/>
                <w:color w:val="000000"/>
                <w:sz w:val="16"/>
                <w:szCs w:val="16"/>
                <w:lang w:eastAsia="es-MX"/>
              </w:rPr>
            </w:pPr>
            <w:r w:rsidRPr="00DB0EF6">
              <w:rPr>
                <w:rFonts w:cs="Arial"/>
                <w:color w:val="000000"/>
                <w:sz w:val="16"/>
                <w:szCs w:val="16"/>
                <w:lang w:eastAsia="es-MX"/>
              </w:rPr>
              <w:t>4</w:t>
            </w:r>
            <w:r w:rsidRPr="00DB0EF6">
              <w:rPr>
                <w:rFonts w:cs="Arial"/>
                <w:color w:val="000000"/>
                <w:sz w:val="16"/>
                <w:szCs w:val="16"/>
                <w:vertAlign w:val="superscript"/>
                <w:lang w:eastAsia="es-MX"/>
              </w:rPr>
              <w:t>th</w:t>
            </w:r>
            <w:r w:rsidRPr="00DB0EF6">
              <w:rPr>
                <w:rFonts w:cs="Arial"/>
                <w:color w:val="000000"/>
                <w:sz w:val="16"/>
                <w:szCs w:val="16"/>
                <w:lang w:eastAsia="es-MX"/>
              </w:rPr>
              <w:t xml:space="preserve"> Order</w:t>
            </w:r>
          </w:p>
        </w:tc>
        <w:tc>
          <w:tcPr>
            <w:tcW w:w="1134" w:type="dxa"/>
            <w:shd w:val="clear" w:color="auto" w:fill="FFFFFF"/>
            <w:vAlign w:val="bottom"/>
          </w:tcPr>
          <w:p w14:paraId="68159F84" w14:textId="0F18DAEB"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8.64</w:t>
            </w:r>
          </w:p>
        </w:tc>
        <w:tc>
          <w:tcPr>
            <w:tcW w:w="917" w:type="dxa"/>
            <w:gridSpan w:val="3"/>
            <w:shd w:val="clear" w:color="auto" w:fill="FFFFFF"/>
            <w:vAlign w:val="bottom"/>
          </w:tcPr>
          <w:p w14:paraId="20958550" w14:textId="3E772D45" w:rsidR="00AE7BE3" w:rsidRPr="00DB0EF6" w:rsidRDefault="004553EA" w:rsidP="00FD5FE8">
            <w:pPr>
              <w:pStyle w:val="CETBodytext"/>
              <w:ind w:right="-1"/>
              <w:jc w:val="left"/>
              <w:rPr>
                <w:rFonts w:cs="Arial"/>
                <w:color w:val="000000"/>
                <w:sz w:val="16"/>
                <w:szCs w:val="16"/>
                <w:lang w:eastAsia="es-MX"/>
              </w:rPr>
            </w:pPr>
            <w:r w:rsidRPr="00DB0EF6">
              <w:rPr>
                <w:rFonts w:cs="Arial"/>
                <w:color w:val="000000"/>
                <w:sz w:val="16"/>
                <w:szCs w:val="16"/>
                <w:lang w:eastAsia="es-MX"/>
              </w:rPr>
              <w:t>2.42</w:t>
            </w:r>
          </w:p>
        </w:tc>
        <w:tc>
          <w:tcPr>
            <w:tcW w:w="20" w:type="dxa"/>
            <w:shd w:val="clear" w:color="auto" w:fill="FFFFFF"/>
          </w:tcPr>
          <w:p w14:paraId="2328194B" w14:textId="77777777" w:rsidR="00AE7BE3" w:rsidRPr="00FF3159" w:rsidRDefault="00AE7BE3" w:rsidP="00AE7BE3">
            <w:pPr>
              <w:pStyle w:val="CETBodytext"/>
              <w:ind w:right="-1"/>
              <w:rPr>
                <w:rFonts w:cs="Arial"/>
                <w:szCs w:val="18"/>
              </w:rPr>
            </w:pPr>
          </w:p>
        </w:tc>
        <w:tc>
          <w:tcPr>
            <w:tcW w:w="21" w:type="dxa"/>
            <w:shd w:val="clear" w:color="auto" w:fill="FFFFFF"/>
          </w:tcPr>
          <w:p w14:paraId="545F13CF" w14:textId="77777777" w:rsidR="00AE7BE3" w:rsidRPr="00FF3159" w:rsidRDefault="00AE7BE3" w:rsidP="00AE7BE3">
            <w:pPr>
              <w:pStyle w:val="CETBodytext"/>
              <w:ind w:right="-1"/>
              <w:rPr>
                <w:rFonts w:cs="Arial"/>
                <w:szCs w:val="18"/>
              </w:rPr>
            </w:pPr>
          </w:p>
        </w:tc>
      </w:tr>
    </w:tbl>
    <w:p w14:paraId="3F6F956E" w14:textId="77777777" w:rsidR="0078266F" w:rsidRDefault="0078266F" w:rsidP="0078266F">
      <w:pPr>
        <w:pStyle w:val="CETBodytext"/>
      </w:pPr>
    </w:p>
    <w:p w14:paraId="462D7C88" w14:textId="58429981" w:rsidR="0078266F" w:rsidRDefault="0078266F" w:rsidP="0078266F">
      <w:pPr>
        <w:pStyle w:val="CETBodytext"/>
      </w:pPr>
      <w:r w:rsidRPr="0078266F">
        <w:t>The results showed that for both heating rates, the linear model was the one that predicted closer values, resulting in a relative error of 7.05 and 0.39 % for 15 and 60 °C min</w:t>
      </w:r>
      <w:r w:rsidRPr="0078266F">
        <w:rPr>
          <w:vertAlign w:val="superscript"/>
        </w:rPr>
        <w:t>-1</w:t>
      </w:r>
      <w:r w:rsidRPr="0078266F">
        <w:t>, respectively. It is observed that although the polynomial model of order four was found to have a better overall fit, in this case, it resulted in higher relative errors than those predicted by the linear model.</w:t>
      </w:r>
    </w:p>
    <w:p w14:paraId="24C2E6BE" w14:textId="4481E5C3" w:rsidR="00C30A8B" w:rsidRDefault="000C3BE9" w:rsidP="0078266F">
      <w:pPr>
        <w:pStyle w:val="CETBodytext"/>
      </w:pPr>
      <w:r w:rsidRPr="000C3BE9">
        <w:t xml:space="preserve">Finally, if Square-Y Log-X </w:t>
      </w:r>
      <w:r w:rsidR="00EB2D67">
        <w:t xml:space="preserve">and Linear </w:t>
      </w:r>
      <w:r w:rsidRPr="000C3BE9">
        <w:t xml:space="preserve">models are considered to calculate the maximum degradation temperature, the results will indicate that the higher the heating rate, the degradation temperature will increase. However, it is </w:t>
      </w:r>
      <w:r w:rsidR="00D30A00">
        <w:t>essential</w:t>
      </w:r>
      <w:r w:rsidRPr="000C3BE9">
        <w:t xml:space="preserve"> to consider other factors that may influence the pyrolysis process, such as reactor type </w:t>
      </w:r>
      <w:r w:rsidRPr="000C3BE9">
        <w:lastRenderedPageBreak/>
        <w:t>or residence time. The results of the present investigation serve as a preliminary consideration to address the pyrolysis process of polystyrene.</w:t>
      </w:r>
    </w:p>
    <w:p w14:paraId="4E134DAF" w14:textId="0E07D012" w:rsidR="0077099A" w:rsidRDefault="004B3F9D" w:rsidP="004B3F9D">
      <w:pPr>
        <w:pStyle w:val="CETHeading1"/>
      </w:pPr>
      <w:r w:rsidRPr="0078266F">
        <w:t>Conclusions</w:t>
      </w:r>
    </w:p>
    <w:p w14:paraId="78EE6BFE" w14:textId="3BF001B0" w:rsidR="00DE313F" w:rsidRPr="00DE313F" w:rsidRDefault="00DE313F" w:rsidP="00DE313F">
      <w:pPr>
        <w:pStyle w:val="CETBodytext"/>
      </w:pPr>
      <w:r w:rsidRPr="00DE313F">
        <w:t>The poor disposal of plastic waste and the lack of recycling result in a large amount of waste affecting the environment. The pyrolysis process has proven to be an effective method that reduces plastic waste and converts it into high-value products in the chemical industry. This process is based on the thermal degradation of plastics under an inert atmosphere. Thermogravimetric analyses help estimate the maximum degradation temperature</w:t>
      </w:r>
      <w:r w:rsidR="00247382">
        <w:t>,</w:t>
      </w:r>
      <w:r w:rsidRPr="00DE313F">
        <w:t xml:space="preserve"> </w:t>
      </w:r>
      <w:r w:rsidR="00247382">
        <w:t>initial</w:t>
      </w:r>
      <w:r w:rsidRPr="00DE313F">
        <w:t xml:space="preserve"> and </w:t>
      </w:r>
      <w:r w:rsidR="00247382">
        <w:t>final</w:t>
      </w:r>
      <w:r w:rsidRPr="00DE313F">
        <w:t xml:space="preserve"> temperatures and, thus, obtain ideal operating ranges to be applied in the pyrolysis process.</w:t>
      </w:r>
    </w:p>
    <w:p w14:paraId="5F46DE1E" w14:textId="75C992A6" w:rsidR="001E1CFB" w:rsidRPr="00DE313F" w:rsidRDefault="00DE313F" w:rsidP="001568F2">
      <w:pPr>
        <w:pStyle w:val="CETBodytext"/>
      </w:pPr>
      <w:r w:rsidRPr="00DE313F">
        <w:t xml:space="preserve">In the present study, a statistical analysis was developed to determine by regression, linear and polynomial models describing the behavior of the maximum degradation temperature of polystyrene at different heating rates; the models were developed based on experimental data obtained from the literature. </w:t>
      </w:r>
      <w:r w:rsidR="0039027E" w:rsidRPr="0039027E">
        <w:t xml:space="preserve">Low </w:t>
      </w:r>
      <w:r w:rsidR="004E0AAA">
        <w:t>fittings</w:t>
      </w:r>
      <w:r w:rsidR="0039027E" w:rsidRPr="0039027E">
        <w:t xml:space="preserve"> were obtained, which can be attributed to different factors such as</w:t>
      </w:r>
      <w:r w:rsidR="00764889">
        <w:t xml:space="preserve"> the preparation method of </w:t>
      </w:r>
      <w:r w:rsidR="00DB205F">
        <w:t xml:space="preserve">the </w:t>
      </w:r>
      <w:r w:rsidR="00764889">
        <w:t>polymer, particle size, polymer molecular weight</w:t>
      </w:r>
      <w:r w:rsidR="00492063">
        <w:t>, operation conditions of the TGA apparatus</w:t>
      </w:r>
      <w:r w:rsidR="00DB205F">
        <w:t>,</w:t>
      </w:r>
      <w:r w:rsidR="00492063">
        <w:t xml:space="preserve"> and the mathematical treatment of thermogravimetric data.</w:t>
      </w:r>
      <w:r w:rsidR="0068196C">
        <w:t xml:space="preserve"> However,</w:t>
      </w:r>
      <w:r w:rsidR="006A2193">
        <w:t xml:space="preserve"> </w:t>
      </w:r>
      <w:r w:rsidR="0068196C">
        <w:t>t</w:t>
      </w:r>
      <w:r w:rsidRPr="00DE313F">
        <w:t xml:space="preserve">he results showed that a linear model is the best fit, obtaining a fit of </w:t>
      </w:r>
      <w:r w:rsidR="00651EBC">
        <w:t>r</w:t>
      </w:r>
      <w:r w:rsidR="00651EBC" w:rsidRPr="00651EBC">
        <w:rPr>
          <w:vertAlign w:val="superscript"/>
        </w:rPr>
        <w:t>2</w:t>
      </w:r>
      <w:r w:rsidR="00651EBC">
        <w:t>=</w:t>
      </w:r>
      <w:r w:rsidRPr="00DE313F">
        <w:t>69.71</w:t>
      </w:r>
      <w:r w:rsidR="00CC6B73">
        <w:t> </w:t>
      </w:r>
      <w:r w:rsidRPr="00DE313F">
        <w:t>%</w:t>
      </w:r>
      <w:r w:rsidR="00BA1DF1">
        <w:t xml:space="preserve"> with a Square-Y Log-X</w:t>
      </w:r>
      <w:r w:rsidR="00956055">
        <w:t xml:space="preserve"> model</w:t>
      </w:r>
      <w:r w:rsidR="00C03D08">
        <w:t xml:space="preserve">. </w:t>
      </w:r>
      <w:r w:rsidRPr="00DE313F">
        <w:t xml:space="preserve"> </w:t>
      </w:r>
      <w:r w:rsidR="0099279E" w:rsidRPr="0099279E">
        <w:t>Although the fourth-order polynomial model shows a slightly better fit of</w:t>
      </w:r>
      <w:r w:rsidR="00CC6B73">
        <w:t xml:space="preserve"> r</w:t>
      </w:r>
      <w:r w:rsidR="00CC6B73" w:rsidRPr="00CC6B73">
        <w:rPr>
          <w:vertAlign w:val="superscript"/>
        </w:rPr>
        <w:t>2</w:t>
      </w:r>
      <w:r w:rsidR="00CC6B73">
        <w:t>=</w:t>
      </w:r>
      <w:r w:rsidR="0099279E" w:rsidRPr="0099279E">
        <w:t xml:space="preserve"> 70</w:t>
      </w:r>
      <w:r w:rsidR="00CC6B73">
        <w:t>.46</w:t>
      </w:r>
      <w:r w:rsidR="0099279E" w:rsidRPr="0099279E">
        <w:t xml:space="preserve">%, this model yielded </w:t>
      </w:r>
      <w:r w:rsidR="00E473AD">
        <w:t>higher</w:t>
      </w:r>
      <w:r w:rsidR="0099279E" w:rsidRPr="0099279E">
        <w:t xml:space="preserve"> relative errors </w:t>
      </w:r>
      <w:r w:rsidR="00E473AD">
        <w:t xml:space="preserve">when </w:t>
      </w:r>
      <w:r w:rsidR="0099279E" w:rsidRPr="0099279E">
        <w:t>compared to experimental data excluded from the development of the models.</w:t>
      </w:r>
      <w:r w:rsidR="00E473AD">
        <w:t xml:space="preserve"> </w:t>
      </w:r>
      <w:r w:rsidR="008960AA">
        <w:t xml:space="preserve">In addition, </w:t>
      </w:r>
      <w:r w:rsidR="00F05ECB">
        <w:t xml:space="preserve">the </w:t>
      </w:r>
      <w:r w:rsidR="00160D0F">
        <w:t>Linear</w:t>
      </w:r>
      <w:r w:rsidR="008960AA">
        <w:t xml:space="preserve"> model showed </w:t>
      </w:r>
      <w:r w:rsidRPr="00DE313F">
        <w:t>relative errors lower than those predicted by the polynomial models</w:t>
      </w:r>
      <w:r w:rsidR="008960AA">
        <w:t>, obtaining</w:t>
      </w:r>
      <w:r w:rsidR="00E060F6">
        <w:t xml:space="preserve"> an </w:t>
      </w:r>
      <w:r w:rsidR="00EF5BF1">
        <w:t>error</w:t>
      </w:r>
      <w:r w:rsidR="00E060F6">
        <w:t xml:space="preserve"> of </w:t>
      </w:r>
      <w:r w:rsidR="00EF5BF1">
        <w:t>7.05</w:t>
      </w:r>
      <w:r w:rsidR="00E060F6">
        <w:t xml:space="preserve">% </w:t>
      </w:r>
      <w:r w:rsidR="00EF5BF1">
        <w:t xml:space="preserve">and 0.39% </w:t>
      </w:r>
      <w:r w:rsidR="00E060F6">
        <w:t xml:space="preserve">when a heating rate of </w:t>
      </w:r>
      <w:r w:rsidR="00EF5BF1">
        <w:t>15</w:t>
      </w:r>
      <w:r w:rsidR="00E060F6">
        <w:t xml:space="preserve"> </w:t>
      </w:r>
      <w:r w:rsidR="00EF5BF1">
        <w:t xml:space="preserve">and 60 </w:t>
      </w:r>
      <w:r w:rsidR="00E060F6">
        <w:t>°C min</w:t>
      </w:r>
      <w:r w:rsidR="00E060F6" w:rsidRPr="00E060F6">
        <w:rPr>
          <w:rFonts w:ascii="Calibri" w:hAnsi="Calibri" w:cs="Calibri"/>
          <w:vertAlign w:val="superscript"/>
        </w:rPr>
        <w:t>−</w:t>
      </w:r>
      <w:r w:rsidR="00E060F6" w:rsidRPr="00E060F6">
        <w:rPr>
          <w:vertAlign w:val="superscript"/>
        </w:rPr>
        <w:t>1</w:t>
      </w:r>
      <w:r w:rsidR="00E060F6">
        <w:t xml:space="preserve"> w</w:t>
      </w:r>
      <w:r w:rsidR="00EF5BF1">
        <w:t>ere</w:t>
      </w:r>
      <w:r w:rsidR="00E060F6">
        <w:t xml:space="preserve"> evaluated</w:t>
      </w:r>
      <w:r w:rsidR="00C30A8B">
        <w:t>, respectively</w:t>
      </w:r>
      <w:r w:rsidRPr="00DE313F">
        <w:t>. For both types of models, the lack of tests showed that the models are adequate for the observed data, and the residuals of the best linear fit present a normal distribution for a confidence interval of 95 %.</w:t>
      </w:r>
    </w:p>
    <w:p w14:paraId="4F1327F8" w14:textId="0AFE5072" w:rsidR="00600535" w:rsidRPr="0021448A" w:rsidRDefault="00600535" w:rsidP="00600535">
      <w:pPr>
        <w:pStyle w:val="CETReference"/>
        <w:rPr>
          <w:lang w:val="en-US"/>
        </w:rPr>
      </w:pPr>
      <w:r w:rsidRPr="0021448A">
        <w:rPr>
          <w:lang w:val="en-US"/>
        </w:rPr>
        <w:t>References</w:t>
      </w:r>
    </w:p>
    <w:p w14:paraId="5960D6DE" w14:textId="35A86BDD" w:rsidR="00DE313F" w:rsidRDefault="00DE313F" w:rsidP="00DB0EF6">
      <w:pPr>
        <w:pStyle w:val="CETReferencetext"/>
        <w:rPr>
          <w:lang w:val="en-US"/>
        </w:rPr>
      </w:pPr>
      <w:r w:rsidRPr="00DE313F">
        <w:rPr>
          <w:lang w:val="en-US"/>
        </w:rPr>
        <w:t>Ding L., Zhao J., Pan Y.,</w:t>
      </w:r>
      <w:r>
        <w:rPr>
          <w:lang w:val="en-US"/>
        </w:rPr>
        <w:t xml:space="preserve"> Guan J., Jiang J., Wang Q., 2019, Insights into Pyrolysis of Nano-Polystyrene Particles: Thermochemica</w:t>
      </w:r>
      <w:r w:rsidR="00DB0EF6">
        <w:rPr>
          <w:lang w:val="en-US"/>
        </w:rPr>
        <w:t>l</w:t>
      </w:r>
      <w:r>
        <w:rPr>
          <w:lang w:val="en-US"/>
        </w:rPr>
        <w:t xml:space="preserve"> Behaviors and Kinetics Analysis, Journal of Thermal Science</w:t>
      </w:r>
      <w:r w:rsidR="00DB0EF6">
        <w:rPr>
          <w:lang w:val="en-US"/>
        </w:rPr>
        <w:t>, 28, 763-771.</w:t>
      </w:r>
    </w:p>
    <w:p w14:paraId="011569EA" w14:textId="77777777" w:rsidR="00DB0EF6" w:rsidRDefault="00DB0EF6" w:rsidP="00DB0EF6">
      <w:pPr>
        <w:pStyle w:val="CETReferencetext"/>
      </w:pPr>
      <w:r w:rsidRPr="00DB0EF6">
        <w:rPr>
          <w:lang w:val="en-US"/>
        </w:rPr>
        <w:t>Gonzalez-Aguilar A. M., Cabrera-Madera V. P., Vera-</w:t>
      </w:r>
      <w:proofErr w:type="spellStart"/>
      <w:r w:rsidRPr="00DB0EF6">
        <w:rPr>
          <w:lang w:val="en-US"/>
        </w:rPr>
        <w:t>Rozo</w:t>
      </w:r>
      <w:proofErr w:type="spellEnd"/>
      <w:r w:rsidRPr="00DB0EF6">
        <w:rPr>
          <w:lang w:val="en-US"/>
        </w:rPr>
        <w:t xml:space="preserve"> J. R., Riesco-Ávila J. M., 2022</w:t>
      </w:r>
      <w:r>
        <w:rPr>
          <w:lang w:val="en-US"/>
        </w:rPr>
        <w:t xml:space="preserve">, </w:t>
      </w:r>
      <w:r w:rsidRPr="00DB0EF6">
        <w:rPr>
          <w:lang w:val="en-US"/>
        </w:rPr>
        <w:t>Effects of Heating Rate and Temperature on the Thermal Pyrolysis of Expanded Polystyrene Post-Industrial Waste</w:t>
      </w:r>
      <w:r>
        <w:rPr>
          <w:lang w:val="en-US"/>
        </w:rPr>
        <w:t>,</w:t>
      </w:r>
      <w:r w:rsidRPr="00DB0EF6">
        <w:rPr>
          <w:lang w:val="en-US"/>
        </w:rPr>
        <w:t xml:space="preserve"> Polymers, 14</w:t>
      </w:r>
      <w:r>
        <w:rPr>
          <w:lang w:val="en-US"/>
        </w:rPr>
        <w:t xml:space="preserve">, </w:t>
      </w:r>
      <w:r w:rsidRPr="00DB0EF6">
        <w:rPr>
          <w:lang w:val="en-US"/>
        </w:rPr>
        <w:t>4957.</w:t>
      </w:r>
      <w:r w:rsidRPr="00DB0EF6">
        <w:t xml:space="preserve"> </w:t>
      </w:r>
    </w:p>
    <w:p w14:paraId="300662D5" w14:textId="77777777" w:rsidR="00DB0EF6" w:rsidRDefault="00DB0EF6" w:rsidP="00DB0EF6">
      <w:pPr>
        <w:pStyle w:val="CETReferencetext"/>
        <w:rPr>
          <w:lang w:val="en-US"/>
        </w:rPr>
      </w:pPr>
      <w:r w:rsidRPr="00DB0EF6">
        <w:rPr>
          <w:lang w:val="en-US"/>
        </w:rPr>
        <w:t xml:space="preserve">Inayat A., </w:t>
      </w:r>
      <w:proofErr w:type="spellStart"/>
      <w:r w:rsidRPr="00DB0EF6">
        <w:rPr>
          <w:lang w:val="en-US"/>
        </w:rPr>
        <w:t>Klemencova</w:t>
      </w:r>
      <w:proofErr w:type="spellEnd"/>
      <w:r w:rsidRPr="00DB0EF6">
        <w:rPr>
          <w:lang w:val="en-US"/>
        </w:rPr>
        <w:t xml:space="preserve"> K., </w:t>
      </w:r>
      <w:proofErr w:type="spellStart"/>
      <w:r w:rsidRPr="00DB0EF6">
        <w:rPr>
          <w:lang w:val="en-US"/>
        </w:rPr>
        <w:t>Grycová</w:t>
      </w:r>
      <w:proofErr w:type="spellEnd"/>
      <w:r w:rsidRPr="00DB0EF6">
        <w:rPr>
          <w:lang w:val="en-US"/>
        </w:rPr>
        <w:t xml:space="preserve"> B., </w:t>
      </w:r>
      <w:proofErr w:type="spellStart"/>
      <w:r w:rsidRPr="00DB0EF6">
        <w:rPr>
          <w:lang w:val="en-US"/>
        </w:rPr>
        <w:t>Sokolava</w:t>
      </w:r>
      <w:proofErr w:type="spellEnd"/>
      <w:r w:rsidRPr="00DB0EF6">
        <w:rPr>
          <w:lang w:val="en-US"/>
        </w:rPr>
        <w:t xml:space="preserve"> B., </w:t>
      </w:r>
      <w:proofErr w:type="spellStart"/>
      <w:r w:rsidRPr="00DB0EF6">
        <w:rPr>
          <w:lang w:val="en-US"/>
        </w:rPr>
        <w:t>Lestinský</w:t>
      </w:r>
      <w:proofErr w:type="spellEnd"/>
      <w:r w:rsidRPr="00DB0EF6">
        <w:rPr>
          <w:lang w:val="en-US"/>
        </w:rPr>
        <w:t xml:space="preserve"> P., 2021, Thermo-catalytic pyrolysis of polystyrene in batch and semi-batch reactors: A comparative study</w:t>
      </w:r>
      <w:r>
        <w:rPr>
          <w:lang w:val="en-US"/>
        </w:rPr>
        <w:t>,</w:t>
      </w:r>
      <w:r w:rsidRPr="00DB0EF6">
        <w:rPr>
          <w:lang w:val="en-US"/>
        </w:rPr>
        <w:t xml:space="preserve"> Waste Manag</w:t>
      </w:r>
      <w:r>
        <w:rPr>
          <w:lang w:val="en-US"/>
        </w:rPr>
        <w:t xml:space="preserve">ement &amp; </w:t>
      </w:r>
      <w:r w:rsidRPr="00DB0EF6">
        <w:rPr>
          <w:lang w:val="en-US"/>
        </w:rPr>
        <w:t>Res</w:t>
      </w:r>
      <w:r>
        <w:rPr>
          <w:lang w:val="en-US"/>
        </w:rPr>
        <w:t>earch</w:t>
      </w:r>
      <w:r w:rsidRPr="00DB0EF6">
        <w:rPr>
          <w:lang w:val="en-US"/>
        </w:rPr>
        <w:t>, 39</w:t>
      </w:r>
      <w:r>
        <w:rPr>
          <w:lang w:val="en-US"/>
        </w:rPr>
        <w:t>,</w:t>
      </w:r>
      <w:r w:rsidRPr="00DB0EF6">
        <w:rPr>
          <w:lang w:val="en-US"/>
        </w:rPr>
        <w:t xml:space="preserve"> 260–269. </w:t>
      </w:r>
    </w:p>
    <w:p w14:paraId="61B35718" w14:textId="77777777" w:rsidR="00DB0EF6" w:rsidRDefault="00DB0EF6" w:rsidP="00DB0EF6">
      <w:pPr>
        <w:pStyle w:val="CETReferencetext"/>
        <w:rPr>
          <w:lang w:val="en-US"/>
        </w:rPr>
      </w:pPr>
      <w:proofErr w:type="spellStart"/>
      <w:r w:rsidRPr="00DB0EF6">
        <w:rPr>
          <w:lang w:val="en-US"/>
        </w:rPr>
        <w:t>Jeswani</w:t>
      </w:r>
      <w:proofErr w:type="spellEnd"/>
      <w:r w:rsidRPr="00DB0EF6">
        <w:rPr>
          <w:lang w:val="en-US"/>
        </w:rPr>
        <w:t xml:space="preserve"> H., </w:t>
      </w:r>
      <w:proofErr w:type="spellStart"/>
      <w:r w:rsidRPr="00DB0EF6">
        <w:rPr>
          <w:lang w:val="en-US"/>
        </w:rPr>
        <w:t>Krüger</w:t>
      </w:r>
      <w:proofErr w:type="spellEnd"/>
      <w:r w:rsidRPr="00DB0EF6">
        <w:rPr>
          <w:lang w:val="en-US"/>
        </w:rPr>
        <w:t xml:space="preserve"> C., Russ M., Horlacher M., Antony F., Hann S., </w:t>
      </w:r>
      <w:proofErr w:type="spellStart"/>
      <w:r w:rsidRPr="00DB0EF6">
        <w:rPr>
          <w:lang w:val="en-US"/>
        </w:rPr>
        <w:t>Azapagic</w:t>
      </w:r>
      <w:proofErr w:type="spellEnd"/>
      <w:r w:rsidRPr="00DB0EF6">
        <w:rPr>
          <w:lang w:val="en-US"/>
        </w:rPr>
        <w:t xml:space="preserve"> A.</w:t>
      </w:r>
      <w:r>
        <w:rPr>
          <w:lang w:val="en-US"/>
        </w:rPr>
        <w:t xml:space="preserve">, </w:t>
      </w:r>
      <w:r w:rsidRPr="00DB0EF6">
        <w:rPr>
          <w:lang w:val="en-US"/>
        </w:rPr>
        <w:t>2021</w:t>
      </w:r>
      <w:r>
        <w:rPr>
          <w:lang w:val="en-US"/>
        </w:rPr>
        <w:t>,</w:t>
      </w:r>
      <w:r w:rsidRPr="00DB0EF6">
        <w:rPr>
          <w:lang w:val="en-US"/>
        </w:rPr>
        <w:t xml:space="preserve"> Life cycle environmental impacts of chemical recycling via pyrolysis of mixed plastic waste in comparison with mechanical recycling and energy recovery</w:t>
      </w:r>
      <w:r>
        <w:rPr>
          <w:lang w:val="en-US"/>
        </w:rPr>
        <w:t>,</w:t>
      </w:r>
      <w:r w:rsidRPr="00DB0EF6">
        <w:rPr>
          <w:lang w:val="en-US"/>
        </w:rPr>
        <w:t xml:space="preserve"> Sci</w:t>
      </w:r>
      <w:r>
        <w:rPr>
          <w:lang w:val="en-US"/>
        </w:rPr>
        <w:t>ence of the</w:t>
      </w:r>
      <w:r w:rsidRPr="00DB0EF6">
        <w:rPr>
          <w:lang w:val="en-US"/>
        </w:rPr>
        <w:t xml:space="preserve"> Total Environ</w:t>
      </w:r>
      <w:r>
        <w:rPr>
          <w:lang w:val="en-US"/>
        </w:rPr>
        <w:t>ment,</w:t>
      </w:r>
      <w:r w:rsidRPr="00DB0EF6">
        <w:rPr>
          <w:lang w:val="en-US"/>
        </w:rPr>
        <w:t xml:space="preserve"> 769, 144483.</w:t>
      </w:r>
      <w:r>
        <w:rPr>
          <w:lang w:val="en-US"/>
        </w:rPr>
        <w:t xml:space="preserve"> </w:t>
      </w:r>
    </w:p>
    <w:p w14:paraId="2A243F11" w14:textId="77777777" w:rsidR="00DB0EF6" w:rsidRDefault="00DB0EF6" w:rsidP="00DB0EF6">
      <w:pPr>
        <w:pStyle w:val="CETReferencetext"/>
      </w:pPr>
      <w:proofErr w:type="spellStart"/>
      <w:r w:rsidRPr="00DB0EF6">
        <w:rPr>
          <w:lang w:val="en-US"/>
        </w:rPr>
        <w:t>Klaimy</w:t>
      </w:r>
      <w:proofErr w:type="spellEnd"/>
      <w:r w:rsidRPr="00DB0EF6">
        <w:rPr>
          <w:lang w:val="en-US"/>
        </w:rPr>
        <w:t xml:space="preserve"> S., </w:t>
      </w:r>
      <w:proofErr w:type="spellStart"/>
      <w:r w:rsidRPr="00DB0EF6">
        <w:rPr>
          <w:lang w:val="en-US"/>
        </w:rPr>
        <w:t>Lamonier</w:t>
      </w:r>
      <w:proofErr w:type="spellEnd"/>
      <w:r w:rsidRPr="00DB0EF6">
        <w:rPr>
          <w:lang w:val="en-US"/>
        </w:rPr>
        <w:t xml:space="preserve"> J.-F., </w:t>
      </w:r>
      <w:proofErr w:type="spellStart"/>
      <w:r w:rsidRPr="00DB0EF6">
        <w:rPr>
          <w:lang w:val="en-US"/>
        </w:rPr>
        <w:t>Casseta</w:t>
      </w:r>
      <w:proofErr w:type="spellEnd"/>
      <w:r w:rsidRPr="00DB0EF6">
        <w:rPr>
          <w:lang w:val="en-US"/>
        </w:rPr>
        <w:t xml:space="preserve"> M., Heymans S., Duquesne S.</w:t>
      </w:r>
      <w:r>
        <w:rPr>
          <w:lang w:val="en-US"/>
        </w:rPr>
        <w:t xml:space="preserve">, </w:t>
      </w:r>
      <w:r w:rsidRPr="00DB0EF6">
        <w:rPr>
          <w:lang w:val="en-US"/>
        </w:rPr>
        <w:t>2021</w:t>
      </w:r>
      <w:r>
        <w:rPr>
          <w:lang w:val="en-US"/>
        </w:rPr>
        <w:t xml:space="preserve">, </w:t>
      </w:r>
      <w:r w:rsidRPr="00DB0EF6">
        <w:rPr>
          <w:lang w:val="en-US"/>
        </w:rPr>
        <w:t>Recycling of plastic waste using flash pyrolysis – Effect of mixture composition</w:t>
      </w:r>
      <w:r>
        <w:rPr>
          <w:lang w:val="en-US"/>
        </w:rPr>
        <w:t>,</w:t>
      </w:r>
      <w:r w:rsidRPr="00DB0EF6">
        <w:rPr>
          <w:lang w:val="en-US"/>
        </w:rPr>
        <w:t xml:space="preserve"> Polym</w:t>
      </w:r>
      <w:r>
        <w:rPr>
          <w:lang w:val="en-US"/>
        </w:rPr>
        <w:t>er</w:t>
      </w:r>
      <w:r w:rsidRPr="00DB0EF6">
        <w:rPr>
          <w:lang w:val="en-US"/>
        </w:rPr>
        <w:t xml:space="preserve"> Degrad</w:t>
      </w:r>
      <w:r>
        <w:rPr>
          <w:lang w:val="en-US"/>
        </w:rPr>
        <w:t>ation &amp;</w:t>
      </w:r>
      <w:r w:rsidRPr="00DB0EF6">
        <w:rPr>
          <w:lang w:val="en-US"/>
        </w:rPr>
        <w:t xml:space="preserve"> Stab</w:t>
      </w:r>
      <w:r>
        <w:rPr>
          <w:lang w:val="en-US"/>
        </w:rPr>
        <w:t>ility</w:t>
      </w:r>
      <w:r w:rsidRPr="00DB0EF6">
        <w:rPr>
          <w:lang w:val="en-US"/>
        </w:rPr>
        <w:t>, 187, 109540.</w:t>
      </w:r>
      <w:r w:rsidRPr="00DB0EF6">
        <w:t xml:space="preserve"> </w:t>
      </w:r>
    </w:p>
    <w:p w14:paraId="0A85D7C2" w14:textId="77777777" w:rsidR="00DB0EF6" w:rsidRDefault="00DB0EF6" w:rsidP="00DB0EF6">
      <w:pPr>
        <w:pStyle w:val="CETReferencetext"/>
        <w:rPr>
          <w:lang w:val="en-US"/>
        </w:rPr>
      </w:pPr>
      <w:r w:rsidRPr="00DB0EF6">
        <w:rPr>
          <w:lang w:val="en-US"/>
        </w:rPr>
        <w:t>Li A., Zhang W., Zhang J., Ding Y., Zhou R.</w:t>
      </w:r>
      <w:r>
        <w:rPr>
          <w:lang w:val="en-US"/>
        </w:rPr>
        <w:t xml:space="preserve">, </w:t>
      </w:r>
      <w:r w:rsidRPr="00DB0EF6">
        <w:rPr>
          <w:lang w:val="en-US"/>
        </w:rPr>
        <w:t>2020</w:t>
      </w:r>
      <w:r>
        <w:rPr>
          <w:lang w:val="en-US"/>
        </w:rPr>
        <w:t>,</w:t>
      </w:r>
      <w:r w:rsidRPr="00DB0EF6">
        <w:rPr>
          <w:lang w:val="en-US"/>
        </w:rPr>
        <w:t xml:space="preserve"> Pyrolysis Kinetic Properties of Thermal Insulation Waste Extruded Polystyrene by Multiple Thermal Analysis Methods</w:t>
      </w:r>
      <w:r>
        <w:rPr>
          <w:lang w:val="en-US"/>
        </w:rPr>
        <w:t>,</w:t>
      </w:r>
      <w:r w:rsidRPr="00DB0EF6">
        <w:rPr>
          <w:lang w:val="en-US"/>
        </w:rPr>
        <w:t xml:space="preserve"> Materials, 13, 5595.</w:t>
      </w:r>
    </w:p>
    <w:p w14:paraId="0CAA59AC" w14:textId="77777777" w:rsidR="00DB0EF6" w:rsidRDefault="00DB0EF6" w:rsidP="00DB0EF6">
      <w:pPr>
        <w:pStyle w:val="CETReferencetext"/>
        <w:rPr>
          <w:lang w:val="en-US"/>
        </w:rPr>
      </w:pPr>
      <w:r w:rsidRPr="00DB0EF6">
        <w:rPr>
          <w:lang w:val="en-US"/>
        </w:rPr>
        <w:t xml:space="preserve">López A., De Marco I., Caballero B. M., </w:t>
      </w:r>
      <w:proofErr w:type="spellStart"/>
      <w:r w:rsidRPr="00DB0EF6">
        <w:rPr>
          <w:lang w:val="en-US"/>
        </w:rPr>
        <w:t>Laresgoiti</w:t>
      </w:r>
      <w:proofErr w:type="spellEnd"/>
      <w:r w:rsidRPr="00DB0EF6">
        <w:rPr>
          <w:lang w:val="en-US"/>
        </w:rPr>
        <w:t xml:space="preserve"> M. F., </w:t>
      </w:r>
      <w:proofErr w:type="spellStart"/>
      <w:r w:rsidRPr="00DB0EF6">
        <w:rPr>
          <w:lang w:val="en-US"/>
        </w:rPr>
        <w:t>Adrados</w:t>
      </w:r>
      <w:proofErr w:type="spellEnd"/>
      <w:r w:rsidRPr="00DB0EF6">
        <w:rPr>
          <w:lang w:val="en-US"/>
        </w:rPr>
        <w:t xml:space="preserve"> A., 2011, Influence of time and temperature on pyrolysis of plastic wastes in a semi-batch reactor</w:t>
      </w:r>
      <w:r>
        <w:rPr>
          <w:lang w:val="en-US"/>
        </w:rPr>
        <w:t>, Chemical Engineering Journal,</w:t>
      </w:r>
      <w:r w:rsidRPr="00DB0EF6">
        <w:rPr>
          <w:lang w:val="en-US"/>
        </w:rPr>
        <w:t xml:space="preserve"> 173, 62–71. </w:t>
      </w:r>
    </w:p>
    <w:p w14:paraId="178BEDCB" w14:textId="77777777" w:rsidR="00900A34" w:rsidRDefault="00DB0EF6" w:rsidP="00DB0EF6">
      <w:pPr>
        <w:pStyle w:val="CETReferencetext"/>
        <w:rPr>
          <w:lang w:val="en-US"/>
        </w:rPr>
      </w:pPr>
      <w:proofErr w:type="spellStart"/>
      <w:r w:rsidRPr="00DB0EF6">
        <w:rPr>
          <w:lang w:val="en-US"/>
        </w:rPr>
        <w:t>Maafa</w:t>
      </w:r>
      <w:proofErr w:type="spellEnd"/>
      <w:r w:rsidRPr="00DB0EF6">
        <w:rPr>
          <w:lang w:val="en-US"/>
        </w:rPr>
        <w:t xml:space="preserve"> I. M.</w:t>
      </w:r>
      <w:r>
        <w:rPr>
          <w:lang w:val="en-US"/>
        </w:rPr>
        <w:t xml:space="preserve">, </w:t>
      </w:r>
      <w:r w:rsidRPr="00DB0EF6">
        <w:rPr>
          <w:lang w:val="en-US"/>
        </w:rPr>
        <w:t>2021</w:t>
      </w:r>
      <w:r>
        <w:rPr>
          <w:lang w:val="en-US"/>
        </w:rPr>
        <w:t>,</w:t>
      </w:r>
      <w:r w:rsidRPr="00DB0EF6">
        <w:rPr>
          <w:lang w:val="en-US"/>
        </w:rPr>
        <w:t xml:space="preserve"> Pyrolysis of Polystyrene Waste: A Review</w:t>
      </w:r>
      <w:r>
        <w:rPr>
          <w:lang w:val="en-US"/>
        </w:rPr>
        <w:t>,</w:t>
      </w:r>
      <w:r w:rsidRPr="00DB0EF6">
        <w:rPr>
          <w:lang w:val="en-US"/>
        </w:rPr>
        <w:t xml:space="preserve"> Polymers, 13(225). </w:t>
      </w:r>
    </w:p>
    <w:p w14:paraId="546C0589" w14:textId="373B5929" w:rsidR="00DB0EF6" w:rsidRPr="00DB0EF6" w:rsidRDefault="00DB0EF6" w:rsidP="00DB0EF6">
      <w:pPr>
        <w:pStyle w:val="CETReferencetext"/>
        <w:rPr>
          <w:lang w:val="en-US"/>
        </w:rPr>
      </w:pPr>
      <w:r w:rsidRPr="00DB0EF6">
        <w:rPr>
          <w:lang w:val="en-US"/>
        </w:rPr>
        <w:t>Nisar J., Ali G., Shah A., Iqbal M., Ali Khan R., Sirajuddin Anwar F.</w:t>
      </w:r>
      <w:r w:rsidR="00900A34">
        <w:rPr>
          <w:lang w:val="en-US"/>
        </w:rPr>
        <w:t>,</w:t>
      </w:r>
      <w:r w:rsidRPr="00DB0EF6">
        <w:rPr>
          <w:lang w:val="en-US"/>
        </w:rPr>
        <w:t xml:space="preserve"> Ullah R.,</w:t>
      </w:r>
      <w:r w:rsidR="00900A34">
        <w:rPr>
          <w:lang w:val="en-US"/>
        </w:rPr>
        <w:t xml:space="preserve"> </w:t>
      </w:r>
      <w:r w:rsidRPr="00DB0EF6">
        <w:rPr>
          <w:lang w:val="en-US"/>
        </w:rPr>
        <w:t>Akhter M. S.</w:t>
      </w:r>
      <w:r w:rsidR="00900A34">
        <w:rPr>
          <w:lang w:val="en-US"/>
        </w:rPr>
        <w:t xml:space="preserve">, </w:t>
      </w:r>
      <w:r w:rsidRPr="00DB0EF6">
        <w:rPr>
          <w:lang w:val="en-US"/>
        </w:rPr>
        <w:t>2019</w:t>
      </w:r>
      <w:r w:rsidR="00900A34">
        <w:rPr>
          <w:lang w:val="en-US"/>
        </w:rPr>
        <w:t>,</w:t>
      </w:r>
      <w:r w:rsidRPr="00DB0EF6">
        <w:rPr>
          <w:lang w:val="en-US"/>
        </w:rPr>
        <w:t xml:space="preserve"> Fuel production from waste polystyrene via pyrolysis: Kinetics and products distribution</w:t>
      </w:r>
      <w:r w:rsidR="00900A34">
        <w:rPr>
          <w:lang w:val="en-US"/>
        </w:rPr>
        <w:t>,</w:t>
      </w:r>
      <w:r w:rsidRPr="00DB0EF6">
        <w:rPr>
          <w:lang w:val="en-US"/>
        </w:rPr>
        <w:t xml:space="preserve"> Waste Manag</w:t>
      </w:r>
      <w:r w:rsidR="00900A34">
        <w:rPr>
          <w:lang w:val="en-US"/>
        </w:rPr>
        <w:t>ement</w:t>
      </w:r>
      <w:r w:rsidRPr="00DB0EF6">
        <w:rPr>
          <w:lang w:val="en-US"/>
        </w:rPr>
        <w:t xml:space="preserve">, 88, 236–247. </w:t>
      </w:r>
    </w:p>
    <w:p w14:paraId="4F1D32D5" w14:textId="1D95FA7B" w:rsidR="00DB0EF6" w:rsidRPr="00DB0EF6" w:rsidRDefault="00DB0EF6" w:rsidP="00DB0EF6">
      <w:pPr>
        <w:pStyle w:val="CETReferencetext"/>
        <w:rPr>
          <w:lang w:val="en-US"/>
        </w:rPr>
      </w:pPr>
      <w:r w:rsidRPr="00DB0EF6">
        <w:rPr>
          <w:lang w:val="en-US"/>
        </w:rPr>
        <w:t xml:space="preserve">Park K.-B., </w:t>
      </w:r>
      <w:proofErr w:type="spellStart"/>
      <w:r w:rsidRPr="00DB0EF6">
        <w:rPr>
          <w:lang w:val="en-US"/>
        </w:rPr>
        <w:t>Jeong</w:t>
      </w:r>
      <w:proofErr w:type="spellEnd"/>
      <w:r w:rsidRPr="00DB0EF6">
        <w:rPr>
          <w:lang w:val="en-US"/>
        </w:rPr>
        <w:t xml:space="preserve"> Y.-S., </w:t>
      </w:r>
      <w:proofErr w:type="spellStart"/>
      <w:r w:rsidRPr="00DB0EF6">
        <w:rPr>
          <w:lang w:val="en-US"/>
        </w:rPr>
        <w:t>Guzelciftci</w:t>
      </w:r>
      <w:proofErr w:type="spellEnd"/>
      <w:r w:rsidRPr="00DB0EF6">
        <w:rPr>
          <w:lang w:val="en-US"/>
        </w:rPr>
        <w:t xml:space="preserve"> B., Kim J.-S.</w:t>
      </w:r>
      <w:r w:rsidR="00900A34">
        <w:rPr>
          <w:lang w:val="en-US"/>
        </w:rPr>
        <w:t xml:space="preserve">, </w:t>
      </w:r>
      <w:r w:rsidRPr="00DB0EF6">
        <w:rPr>
          <w:lang w:val="en-US"/>
        </w:rPr>
        <w:t>2020</w:t>
      </w:r>
      <w:r w:rsidR="00900A34">
        <w:rPr>
          <w:lang w:val="en-US"/>
        </w:rPr>
        <w:t>,</w:t>
      </w:r>
      <w:r w:rsidRPr="00DB0EF6">
        <w:rPr>
          <w:lang w:val="en-US"/>
        </w:rPr>
        <w:t xml:space="preserve"> Two-stage pyrolysis of polystyrene: Pyrolysis oil as a source of fuels or benzene, toluene, ethylbenzene, and xylenes</w:t>
      </w:r>
      <w:r w:rsidR="00900A34">
        <w:rPr>
          <w:lang w:val="en-US"/>
        </w:rPr>
        <w:t>,</w:t>
      </w:r>
      <w:r w:rsidRPr="00DB0EF6">
        <w:rPr>
          <w:lang w:val="en-US"/>
        </w:rPr>
        <w:t xml:space="preserve"> Appl</w:t>
      </w:r>
      <w:r w:rsidR="00900A34">
        <w:rPr>
          <w:lang w:val="en-US"/>
        </w:rPr>
        <w:t xml:space="preserve">ied </w:t>
      </w:r>
      <w:r w:rsidRPr="00DB0EF6">
        <w:rPr>
          <w:lang w:val="en-US"/>
        </w:rPr>
        <w:t xml:space="preserve">Energy, 259, 114240. </w:t>
      </w:r>
    </w:p>
    <w:p w14:paraId="2E33FBF5" w14:textId="51F39200" w:rsidR="00DB0EF6" w:rsidRPr="00DB0EF6" w:rsidRDefault="00DB0EF6" w:rsidP="00DB0EF6">
      <w:pPr>
        <w:pStyle w:val="CETReferencetext"/>
        <w:rPr>
          <w:lang w:val="en-US"/>
        </w:rPr>
      </w:pPr>
      <w:proofErr w:type="spellStart"/>
      <w:r w:rsidRPr="00DB0EF6">
        <w:rPr>
          <w:lang w:val="en-US"/>
        </w:rPr>
        <w:t>Statgraphics</w:t>
      </w:r>
      <w:proofErr w:type="spellEnd"/>
      <w:r w:rsidR="00900A34">
        <w:rPr>
          <w:lang w:val="en-US"/>
        </w:rPr>
        <w:t xml:space="preserve">, </w:t>
      </w:r>
      <w:r w:rsidRPr="00DB0EF6">
        <w:rPr>
          <w:lang w:val="en-US"/>
        </w:rPr>
        <w:t>2007</w:t>
      </w:r>
      <w:r w:rsidR="00900A34">
        <w:rPr>
          <w:lang w:val="en-US"/>
        </w:rPr>
        <w:t>,</w:t>
      </w:r>
      <w:r w:rsidRPr="00DB0EF6">
        <w:rPr>
          <w:lang w:val="en-US"/>
        </w:rPr>
        <w:t xml:space="preserve"> Probability Distributions</w:t>
      </w:r>
      <w:r w:rsidR="00900A34">
        <w:rPr>
          <w:lang w:val="en-US"/>
        </w:rPr>
        <w:t>,</w:t>
      </w:r>
      <w:r w:rsidRPr="00DB0EF6">
        <w:rPr>
          <w:lang w:val="en-US"/>
        </w:rPr>
        <w:t xml:space="preserve"> </w:t>
      </w:r>
      <w:proofErr w:type="spellStart"/>
      <w:r w:rsidRPr="00DB0EF6">
        <w:rPr>
          <w:lang w:val="en-US"/>
        </w:rPr>
        <w:t>StatPoint</w:t>
      </w:r>
      <w:proofErr w:type="spellEnd"/>
      <w:r w:rsidRPr="00DB0EF6">
        <w:rPr>
          <w:lang w:val="en-US"/>
        </w:rPr>
        <w:t>, Inc.</w:t>
      </w:r>
    </w:p>
    <w:p w14:paraId="1B55B308" w14:textId="19821140" w:rsidR="00DB0EF6" w:rsidRPr="00DB0EF6" w:rsidRDefault="00DB0EF6" w:rsidP="00DB0EF6">
      <w:pPr>
        <w:pStyle w:val="CETReferencetext"/>
        <w:rPr>
          <w:lang w:val="en-US"/>
        </w:rPr>
      </w:pPr>
      <w:r w:rsidRPr="00DB0EF6">
        <w:rPr>
          <w:lang w:val="en-US"/>
        </w:rPr>
        <w:t xml:space="preserve">Van der Westhuizen S., Collard F.-X., </w:t>
      </w:r>
      <w:proofErr w:type="spellStart"/>
      <w:r w:rsidRPr="00DB0EF6">
        <w:rPr>
          <w:lang w:val="en-US"/>
        </w:rPr>
        <w:t>Görgens</w:t>
      </w:r>
      <w:proofErr w:type="spellEnd"/>
      <w:r w:rsidRPr="00DB0EF6">
        <w:rPr>
          <w:lang w:val="en-US"/>
        </w:rPr>
        <w:t xml:space="preserve"> J.</w:t>
      </w:r>
      <w:r w:rsidR="00900A34">
        <w:rPr>
          <w:lang w:val="en-US"/>
        </w:rPr>
        <w:t xml:space="preserve">, </w:t>
      </w:r>
      <w:r w:rsidRPr="00DB0EF6">
        <w:rPr>
          <w:lang w:val="en-US"/>
        </w:rPr>
        <w:t>2022</w:t>
      </w:r>
      <w:r w:rsidR="00900A34">
        <w:rPr>
          <w:lang w:val="en-US"/>
        </w:rPr>
        <w:t xml:space="preserve">, </w:t>
      </w:r>
      <w:r w:rsidRPr="00DB0EF6">
        <w:rPr>
          <w:lang w:val="en-US"/>
        </w:rPr>
        <w:t>Pyrolysis of waste polystyrene into transportation fuel: Effect of contamination on oil yield and production at pilot scale</w:t>
      </w:r>
      <w:r w:rsidR="00900A34">
        <w:rPr>
          <w:lang w:val="en-US"/>
        </w:rPr>
        <w:t>,</w:t>
      </w:r>
      <w:r w:rsidRPr="00DB0EF6">
        <w:rPr>
          <w:lang w:val="en-US"/>
        </w:rPr>
        <w:t xml:space="preserve"> J</w:t>
      </w:r>
      <w:r w:rsidR="00900A34">
        <w:rPr>
          <w:lang w:val="en-US"/>
        </w:rPr>
        <w:t>ournal of</w:t>
      </w:r>
      <w:r w:rsidRPr="00DB0EF6">
        <w:rPr>
          <w:lang w:val="en-US"/>
        </w:rPr>
        <w:t xml:space="preserve"> Anal</w:t>
      </w:r>
      <w:r w:rsidR="00900A34">
        <w:rPr>
          <w:lang w:val="en-US"/>
        </w:rPr>
        <w:t>ytical and</w:t>
      </w:r>
      <w:r w:rsidRPr="00DB0EF6">
        <w:rPr>
          <w:lang w:val="en-US"/>
        </w:rPr>
        <w:t xml:space="preserve"> Appl</w:t>
      </w:r>
      <w:r w:rsidR="00900A34">
        <w:rPr>
          <w:lang w:val="en-US"/>
        </w:rPr>
        <w:t>ied</w:t>
      </w:r>
      <w:r w:rsidRPr="00DB0EF6">
        <w:rPr>
          <w:lang w:val="en-US"/>
        </w:rPr>
        <w:t xml:space="preserve"> Pyrolysis, 161</w:t>
      </w:r>
      <w:r w:rsidR="00900A34">
        <w:rPr>
          <w:lang w:val="en-US"/>
        </w:rPr>
        <w:t>.</w:t>
      </w:r>
    </w:p>
    <w:p w14:paraId="5715DBE1" w14:textId="77136F14" w:rsidR="009603CC" w:rsidRPr="002B1624" w:rsidRDefault="00DB0EF6" w:rsidP="002B1624">
      <w:pPr>
        <w:pStyle w:val="CETReferencetext"/>
        <w:rPr>
          <w:lang w:val="en-US"/>
        </w:rPr>
      </w:pPr>
      <w:r w:rsidRPr="00900A34">
        <w:rPr>
          <w:lang w:val="en-US"/>
        </w:rPr>
        <w:t xml:space="preserve">Verma A., Sharma S., </w:t>
      </w:r>
      <w:proofErr w:type="spellStart"/>
      <w:r w:rsidRPr="00900A34">
        <w:rPr>
          <w:lang w:val="en-US"/>
        </w:rPr>
        <w:t>Pramanik</w:t>
      </w:r>
      <w:proofErr w:type="spellEnd"/>
      <w:r w:rsidRPr="00900A34">
        <w:rPr>
          <w:lang w:val="en-US"/>
        </w:rPr>
        <w:t xml:space="preserve"> H.</w:t>
      </w:r>
      <w:r w:rsidR="00900A34" w:rsidRPr="00900A34">
        <w:rPr>
          <w:lang w:val="en-US"/>
        </w:rPr>
        <w:t xml:space="preserve">, </w:t>
      </w:r>
      <w:r w:rsidRPr="00900A34">
        <w:rPr>
          <w:lang w:val="en-US"/>
        </w:rPr>
        <w:t>2021</w:t>
      </w:r>
      <w:r w:rsidR="00900A34" w:rsidRPr="00900A34">
        <w:rPr>
          <w:lang w:val="en-US"/>
        </w:rPr>
        <w:t>,</w:t>
      </w:r>
      <w:r w:rsidRPr="00900A34">
        <w:rPr>
          <w:lang w:val="en-US"/>
        </w:rPr>
        <w:t xml:space="preserve"> </w:t>
      </w:r>
      <w:r w:rsidRPr="00DB0EF6">
        <w:rPr>
          <w:lang w:val="en-US"/>
        </w:rPr>
        <w:t>Pyrolysis of waste expanded polystyrene and reduction of styrene via in-situ multiphase pyrolysis of product oil for the production of fuel range hydrocarbons</w:t>
      </w:r>
      <w:r w:rsidR="00900A34">
        <w:rPr>
          <w:lang w:val="en-US"/>
        </w:rPr>
        <w:t>,</w:t>
      </w:r>
      <w:r w:rsidRPr="00DB0EF6">
        <w:rPr>
          <w:lang w:val="en-US"/>
        </w:rPr>
        <w:t xml:space="preserve"> Waste Manag</w:t>
      </w:r>
      <w:r w:rsidR="00900A34">
        <w:rPr>
          <w:lang w:val="en-US"/>
        </w:rPr>
        <w:t>ement,</w:t>
      </w:r>
      <w:r w:rsidRPr="00DB0EF6">
        <w:rPr>
          <w:lang w:val="en-US"/>
        </w:rPr>
        <w:t xml:space="preserve"> 120, 330–339. </w:t>
      </w:r>
    </w:p>
    <w:sectPr w:rsidR="009603CC" w:rsidRPr="002B162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1967" w14:textId="77777777" w:rsidR="00602441" w:rsidRDefault="00602441" w:rsidP="004F5E36">
      <w:r>
        <w:separator/>
      </w:r>
    </w:p>
  </w:endnote>
  <w:endnote w:type="continuationSeparator" w:id="0">
    <w:p w14:paraId="112A092D" w14:textId="77777777" w:rsidR="00602441" w:rsidRDefault="0060244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2828" w14:textId="77777777" w:rsidR="00602441" w:rsidRDefault="00602441" w:rsidP="004F5E36">
      <w:r>
        <w:separator/>
      </w:r>
    </w:p>
  </w:footnote>
  <w:footnote w:type="continuationSeparator" w:id="0">
    <w:p w14:paraId="5E36E8E5" w14:textId="77777777" w:rsidR="00602441" w:rsidRDefault="0060244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117CB"/>
    <w:rsid w:val="00031081"/>
    <w:rsid w:val="0003148D"/>
    <w:rsid w:val="00031EEC"/>
    <w:rsid w:val="00051208"/>
    <w:rsid w:val="00051566"/>
    <w:rsid w:val="000562A9"/>
    <w:rsid w:val="0006108C"/>
    <w:rsid w:val="00062A9A"/>
    <w:rsid w:val="00065058"/>
    <w:rsid w:val="0008054E"/>
    <w:rsid w:val="00081929"/>
    <w:rsid w:val="00081D0B"/>
    <w:rsid w:val="00086C39"/>
    <w:rsid w:val="000951CC"/>
    <w:rsid w:val="000A03B2"/>
    <w:rsid w:val="000A1D76"/>
    <w:rsid w:val="000A2193"/>
    <w:rsid w:val="000A238C"/>
    <w:rsid w:val="000B6779"/>
    <w:rsid w:val="000B7E3B"/>
    <w:rsid w:val="000C0D7D"/>
    <w:rsid w:val="000C35AC"/>
    <w:rsid w:val="000C3AE7"/>
    <w:rsid w:val="000C3BE9"/>
    <w:rsid w:val="000C78C6"/>
    <w:rsid w:val="000D0268"/>
    <w:rsid w:val="000D05AF"/>
    <w:rsid w:val="000D34BE"/>
    <w:rsid w:val="000E102F"/>
    <w:rsid w:val="000E263D"/>
    <w:rsid w:val="000E2794"/>
    <w:rsid w:val="000E36F1"/>
    <w:rsid w:val="000E3A73"/>
    <w:rsid w:val="000E414A"/>
    <w:rsid w:val="000F093C"/>
    <w:rsid w:val="000F7048"/>
    <w:rsid w:val="000F787B"/>
    <w:rsid w:val="00106917"/>
    <w:rsid w:val="00115B44"/>
    <w:rsid w:val="0012091F"/>
    <w:rsid w:val="00126BC2"/>
    <w:rsid w:val="001308B6"/>
    <w:rsid w:val="0013121F"/>
    <w:rsid w:val="00131FE6"/>
    <w:rsid w:val="0013263F"/>
    <w:rsid w:val="001331DF"/>
    <w:rsid w:val="00134271"/>
    <w:rsid w:val="00134DE4"/>
    <w:rsid w:val="0014034D"/>
    <w:rsid w:val="00144D16"/>
    <w:rsid w:val="00150E59"/>
    <w:rsid w:val="00152DE3"/>
    <w:rsid w:val="0015527F"/>
    <w:rsid w:val="001568F2"/>
    <w:rsid w:val="00160D0F"/>
    <w:rsid w:val="00164CF9"/>
    <w:rsid w:val="001667A6"/>
    <w:rsid w:val="00171142"/>
    <w:rsid w:val="00172F29"/>
    <w:rsid w:val="00175CFC"/>
    <w:rsid w:val="00176199"/>
    <w:rsid w:val="00184AD6"/>
    <w:rsid w:val="001905CA"/>
    <w:rsid w:val="001972A3"/>
    <w:rsid w:val="00197360"/>
    <w:rsid w:val="001A4AF7"/>
    <w:rsid w:val="001B0349"/>
    <w:rsid w:val="001B1E93"/>
    <w:rsid w:val="001B65C1"/>
    <w:rsid w:val="001C207D"/>
    <w:rsid w:val="001C2806"/>
    <w:rsid w:val="001C684B"/>
    <w:rsid w:val="001D0CFB"/>
    <w:rsid w:val="001D21AF"/>
    <w:rsid w:val="001D53FC"/>
    <w:rsid w:val="001D6181"/>
    <w:rsid w:val="001D7209"/>
    <w:rsid w:val="001E1CFB"/>
    <w:rsid w:val="001F4121"/>
    <w:rsid w:val="001F42A5"/>
    <w:rsid w:val="001F7845"/>
    <w:rsid w:val="001F7B9D"/>
    <w:rsid w:val="00201B41"/>
    <w:rsid w:val="00201C93"/>
    <w:rsid w:val="00202B87"/>
    <w:rsid w:val="0021302A"/>
    <w:rsid w:val="0021448A"/>
    <w:rsid w:val="0021596F"/>
    <w:rsid w:val="0022172E"/>
    <w:rsid w:val="002224B4"/>
    <w:rsid w:val="00231475"/>
    <w:rsid w:val="00232603"/>
    <w:rsid w:val="00233200"/>
    <w:rsid w:val="002447EF"/>
    <w:rsid w:val="002456C5"/>
    <w:rsid w:val="00247382"/>
    <w:rsid w:val="00251550"/>
    <w:rsid w:val="00263B05"/>
    <w:rsid w:val="0026455F"/>
    <w:rsid w:val="00265AD1"/>
    <w:rsid w:val="002719D7"/>
    <w:rsid w:val="0027221A"/>
    <w:rsid w:val="00275B61"/>
    <w:rsid w:val="00280FAF"/>
    <w:rsid w:val="00282656"/>
    <w:rsid w:val="00296B83"/>
    <w:rsid w:val="002B1624"/>
    <w:rsid w:val="002B4015"/>
    <w:rsid w:val="002B78CE"/>
    <w:rsid w:val="002C2FB6"/>
    <w:rsid w:val="002D00D3"/>
    <w:rsid w:val="002D1349"/>
    <w:rsid w:val="002D7691"/>
    <w:rsid w:val="002E2DFF"/>
    <w:rsid w:val="002E3781"/>
    <w:rsid w:val="002E53C4"/>
    <w:rsid w:val="002E5FA7"/>
    <w:rsid w:val="002E7965"/>
    <w:rsid w:val="002F241B"/>
    <w:rsid w:val="002F3309"/>
    <w:rsid w:val="002F7FB4"/>
    <w:rsid w:val="003008CE"/>
    <w:rsid w:val="003009B7"/>
    <w:rsid w:val="00300E56"/>
    <w:rsid w:val="0030152C"/>
    <w:rsid w:val="003037BA"/>
    <w:rsid w:val="0030469C"/>
    <w:rsid w:val="00317DAF"/>
    <w:rsid w:val="00321CA6"/>
    <w:rsid w:val="00323763"/>
    <w:rsid w:val="00323C5F"/>
    <w:rsid w:val="00326A86"/>
    <w:rsid w:val="0033107C"/>
    <w:rsid w:val="003312D4"/>
    <w:rsid w:val="00332A22"/>
    <w:rsid w:val="00332EA8"/>
    <w:rsid w:val="00334756"/>
    <w:rsid w:val="00334C09"/>
    <w:rsid w:val="0035102C"/>
    <w:rsid w:val="00352E20"/>
    <w:rsid w:val="003645C2"/>
    <w:rsid w:val="00371E71"/>
    <w:rsid w:val="003723D4"/>
    <w:rsid w:val="003771DF"/>
    <w:rsid w:val="00381905"/>
    <w:rsid w:val="00384AEC"/>
    <w:rsid w:val="00384CC8"/>
    <w:rsid w:val="003871FD"/>
    <w:rsid w:val="0039027E"/>
    <w:rsid w:val="00393EDD"/>
    <w:rsid w:val="003A1E30"/>
    <w:rsid w:val="003A2829"/>
    <w:rsid w:val="003A3C59"/>
    <w:rsid w:val="003A6B9E"/>
    <w:rsid w:val="003A6CC5"/>
    <w:rsid w:val="003A7D1C"/>
    <w:rsid w:val="003B304B"/>
    <w:rsid w:val="003B3146"/>
    <w:rsid w:val="003D2047"/>
    <w:rsid w:val="003D4E50"/>
    <w:rsid w:val="003D5F0D"/>
    <w:rsid w:val="003D7F59"/>
    <w:rsid w:val="003E3053"/>
    <w:rsid w:val="003E4E5A"/>
    <w:rsid w:val="003F015E"/>
    <w:rsid w:val="003F7483"/>
    <w:rsid w:val="00400414"/>
    <w:rsid w:val="0041446B"/>
    <w:rsid w:val="00420D0E"/>
    <w:rsid w:val="00435A76"/>
    <w:rsid w:val="0044071E"/>
    <w:rsid w:val="0044329C"/>
    <w:rsid w:val="00444498"/>
    <w:rsid w:val="00451A85"/>
    <w:rsid w:val="00452CA8"/>
    <w:rsid w:val="00453E24"/>
    <w:rsid w:val="004546F0"/>
    <w:rsid w:val="004548D2"/>
    <w:rsid w:val="004553EA"/>
    <w:rsid w:val="00457456"/>
    <w:rsid w:val="004577FE"/>
    <w:rsid w:val="00457B9C"/>
    <w:rsid w:val="0046164A"/>
    <w:rsid w:val="004628D2"/>
    <w:rsid w:val="00462DCD"/>
    <w:rsid w:val="004648AD"/>
    <w:rsid w:val="004703A9"/>
    <w:rsid w:val="00470410"/>
    <w:rsid w:val="00473DFB"/>
    <w:rsid w:val="004760DE"/>
    <w:rsid w:val="00476398"/>
    <w:rsid w:val="004763D7"/>
    <w:rsid w:val="00480C9C"/>
    <w:rsid w:val="00481086"/>
    <w:rsid w:val="00492063"/>
    <w:rsid w:val="004A004E"/>
    <w:rsid w:val="004A1EC7"/>
    <w:rsid w:val="004A24CF"/>
    <w:rsid w:val="004B3F9D"/>
    <w:rsid w:val="004C3D1D"/>
    <w:rsid w:val="004C3D84"/>
    <w:rsid w:val="004C7913"/>
    <w:rsid w:val="004E0AAA"/>
    <w:rsid w:val="004E3606"/>
    <w:rsid w:val="004E4DD6"/>
    <w:rsid w:val="004F5E36"/>
    <w:rsid w:val="004F66F1"/>
    <w:rsid w:val="0050250A"/>
    <w:rsid w:val="00507B47"/>
    <w:rsid w:val="00507BEF"/>
    <w:rsid w:val="00507CC9"/>
    <w:rsid w:val="005119A5"/>
    <w:rsid w:val="005278B7"/>
    <w:rsid w:val="00530773"/>
    <w:rsid w:val="00532016"/>
    <w:rsid w:val="00533AB2"/>
    <w:rsid w:val="005346C8"/>
    <w:rsid w:val="00534D9A"/>
    <w:rsid w:val="0053577E"/>
    <w:rsid w:val="00536581"/>
    <w:rsid w:val="0054021E"/>
    <w:rsid w:val="00543E7D"/>
    <w:rsid w:val="00547A68"/>
    <w:rsid w:val="00552ECB"/>
    <w:rsid w:val="005531C9"/>
    <w:rsid w:val="00553B75"/>
    <w:rsid w:val="005579B2"/>
    <w:rsid w:val="0056571F"/>
    <w:rsid w:val="005662E3"/>
    <w:rsid w:val="00570C43"/>
    <w:rsid w:val="00572580"/>
    <w:rsid w:val="005731E3"/>
    <w:rsid w:val="0058293A"/>
    <w:rsid w:val="00583055"/>
    <w:rsid w:val="00585907"/>
    <w:rsid w:val="005972D2"/>
    <w:rsid w:val="00597E02"/>
    <w:rsid w:val="005A1605"/>
    <w:rsid w:val="005A5876"/>
    <w:rsid w:val="005B088D"/>
    <w:rsid w:val="005B2110"/>
    <w:rsid w:val="005B4411"/>
    <w:rsid w:val="005B61E6"/>
    <w:rsid w:val="005C77E1"/>
    <w:rsid w:val="005D12CB"/>
    <w:rsid w:val="005D668A"/>
    <w:rsid w:val="005D6A2F"/>
    <w:rsid w:val="005E1A82"/>
    <w:rsid w:val="005E5B4C"/>
    <w:rsid w:val="005E6683"/>
    <w:rsid w:val="005E794C"/>
    <w:rsid w:val="005F0A28"/>
    <w:rsid w:val="005F0E5E"/>
    <w:rsid w:val="00600535"/>
    <w:rsid w:val="00602441"/>
    <w:rsid w:val="00610CD6"/>
    <w:rsid w:val="00610DF5"/>
    <w:rsid w:val="006156BC"/>
    <w:rsid w:val="00620DEE"/>
    <w:rsid w:val="00621F92"/>
    <w:rsid w:val="0062280A"/>
    <w:rsid w:val="00623EA0"/>
    <w:rsid w:val="00625639"/>
    <w:rsid w:val="00631A69"/>
    <w:rsid w:val="00631B33"/>
    <w:rsid w:val="00634DED"/>
    <w:rsid w:val="00636321"/>
    <w:rsid w:val="0064007E"/>
    <w:rsid w:val="00640FCE"/>
    <w:rsid w:val="0064184D"/>
    <w:rsid w:val="0064192D"/>
    <w:rsid w:val="006422CC"/>
    <w:rsid w:val="00651EBC"/>
    <w:rsid w:val="006541A3"/>
    <w:rsid w:val="006546A7"/>
    <w:rsid w:val="00656524"/>
    <w:rsid w:val="006579BD"/>
    <w:rsid w:val="00660E3E"/>
    <w:rsid w:val="00662E74"/>
    <w:rsid w:val="00665103"/>
    <w:rsid w:val="0067124A"/>
    <w:rsid w:val="00680083"/>
    <w:rsid w:val="00680C23"/>
    <w:rsid w:val="0068196C"/>
    <w:rsid w:val="00682ECF"/>
    <w:rsid w:val="0068596C"/>
    <w:rsid w:val="00687279"/>
    <w:rsid w:val="00690CE4"/>
    <w:rsid w:val="00693766"/>
    <w:rsid w:val="006A2193"/>
    <w:rsid w:val="006A3281"/>
    <w:rsid w:val="006B2610"/>
    <w:rsid w:val="006B4888"/>
    <w:rsid w:val="006B492E"/>
    <w:rsid w:val="006B791C"/>
    <w:rsid w:val="006C2E45"/>
    <w:rsid w:val="006C308F"/>
    <w:rsid w:val="006C359C"/>
    <w:rsid w:val="006C5579"/>
    <w:rsid w:val="006D15E5"/>
    <w:rsid w:val="006D28F5"/>
    <w:rsid w:val="006D3974"/>
    <w:rsid w:val="006D6E8B"/>
    <w:rsid w:val="006E2085"/>
    <w:rsid w:val="006E737D"/>
    <w:rsid w:val="006F5DE3"/>
    <w:rsid w:val="006F7DC4"/>
    <w:rsid w:val="006F7ED5"/>
    <w:rsid w:val="00713973"/>
    <w:rsid w:val="00714D04"/>
    <w:rsid w:val="00720A24"/>
    <w:rsid w:val="00721C18"/>
    <w:rsid w:val="00732380"/>
    <w:rsid w:val="00732386"/>
    <w:rsid w:val="0073411A"/>
    <w:rsid w:val="0073514D"/>
    <w:rsid w:val="00736369"/>
    <w:rsid w:val="00740D89"/>
    <w:rsid w:val="007447F3"/>
    <w:rsid w:val="0075499F"/>
    <w:rsid w:val="00764889"/>
    <w:rsid w:val="007661C8"/>
    <w:rsid w:val="00770303"/>
    <w:rsid w:val="0077098D"/>
    <w:rsid w:val="0077099A"/>
    <w:rsid w:val="00780FA6"/>
    <w:rsid w:val="0078135D"/>
    <w:rsid w:val="0078266F"/>
    <w:rsid w:val="0078512F"/>
    <w:rsid w:val="007931FA"/>
    <w:rsid w:val="007A362E"/>
    <w:rsid w:val="007A4861"/>
    <w:rsid w:val="007A7BBA"/>
    <w:rsid w:val="007B0C50"/>
    <w:rsid w:val="007B1674"/>
    <w:rsid w:val="007B48F9"/>
    <w:rsid w:val="007B5E37"/>
    <w:rsid w:val="007C121C"/>
    <w:rsid w:val="007C1A43"/>
    <w:rsid w:val="007C5220"/>
    <w:rsid w:val="007D0951"/>
    <w:rsid w:val="007F7A31"/>
    <w:rsid w:val="0080013E"/>
    <w:rsid w:val="0080361C"/>
    <w:rsid w:val="00813288"/>
    <w:rsid w:val="00813B78"/>
    <w:rsid w:val="008168FC"/>
    <w:rsid w:val="00822FF3"/>
    <w:rsid w:val="0082764F"/>
    <w:rsid w:val="00830996"/>
    <w:rsid w:val="008345F1"/>
    <w:rsid w:val="0084352F"/>
    <w:rsid w:val="00844682"/>
    <w:rsid w:val="008460D8"/>
    <w:rsid w:val="008539AE"/>
    <w:rsid w:val="008600EE"/>
    <w:rsid w:val="0086143E"/>
    <w:rsid w:val="00864219"/>
    <w:rsid w:val="00865B07"/>
    <w:rsid w:val="008667EA"/>
    <w:rsid w:val="00867388"/>
    <w:rsid w:val="0087637F"/>
    <w:rsid w:val="008817EF"/>
    <w:rsid w:val="00881F58"/>
    <w:rsid w:val="008838BE"/>
    <w:rsid w:val="008919EF"/>
    <w:rsid w:val="00892AD5"/>
    <w:rsid w:val="008944F9"/>
    <w:rsid w:val="008960AA"/>
    <w:rsid w:val="008A1512"/>
    <w:rsid w:val="008A17B0"/>
    <w:rsid w:val="008A1E1C"/>
    <w:rsid w:val="008A4F6B"/>
    <w:rsid w:val="008B1898"/>
    <w:rsid w:val="008C79CC"/>
    <w:rsid w:val="008D0FB1"/>
    <w:rsid w:val="008D32B9"/>
    <w:rsid w:val="008D433B"/>
    <w:rsid w:val="008D4A16"/>
    <w:rsid w:val="008D4DF1"/>
    <w:rsid w:val="008E33C4"/>
    <w:rsid w:val="008E566E"/>
    <w:rsid w:val="008F4DCF"/>
    <w:rsid w:val="00900A34"/>
    <w:rsid w:val="0090161A"/>
    <w:rsid w:val="00901EB6"/>
    <w:rsid w:val="00904BF2"/>
    <w:rsid w:val="00904C62"/>
    <w:rsid w:val="0091361D"/>
    <w:rsid w:val="00922BA8"/>
    <w:rsid w:val="00922F68"/>
    <w:rsid w:val="00924DAC"/>
    <w:rsid w:val="00927058"/>
    <w:rsid w:val="00942750"/>
    <w:rsid w:val="009450CE"/>
    <w:rsid w:val="009459BB"/>
    <w:rsid w:val="00945A8C"/>
    <w:rsid w:val="00945CF8"/>
    <w:rsid w:val="00947179"/>
    <w:rsid w:val="0094731C"/>
    <w:rsid w:val="0095164B"/>
    <w:rsid w:val="00952FEE"/>
    <w:rsid w:val="00954090"/>
    <w:rsid w:val="009541BB"/>
    <w:rsid w:val="00956055"/>
    <w:rsid w:val="009573E7"/>
    <w:rsid w:val="009603CC"/>
    <w:rsid w:val="00963E05"/>
    <w:rsid w:val="00964A45"/>
    <w:rsid w:val="009657BE"/>
    <w:rsid w:val="00967843"/>
    <w:rsid w:val="00967D54"/>
    <w:rsid w:val="00971028"/>
    <w:rsid w:val="009912F3"/>
    <w:rsid w:val="0099279E"/>
    <w:rsid w:val="00993B84"/>
    <w:rsid w:val="00996483"/>
    <w:rsid w:val="00996F5A"/>
    <w:rsid w:val="009B041A"/>
    <w:rsid w:val="009B33E6"/>
    <w:rsid w:val="009B36C9"/>
    <w:rsid w:val="009C37C3"/>
    <w:rsid w:val="009C7C86"/>
    <w:rsid w:val="009D2FF7"/>
    <w:rsid w:val="009D3DFB"/>
    <w:rsid w:val="009D637F"/>
    <w:rsid w:val="009D7E12"/>
    <w:rsid w:val="009E2BA4"/>
    <w:rsid w:val="009E7884"/>
    <w:rsid w:val="009E788A"/>
    <w:rsid w:val="009E7B85"/>
    <w:rsid w:val="009F0E08"/>
    <w:rsid w:val="009F1339"/>
    <w:rsid w:val="00A1125B"/>
    <w:rsid w:val="00A1763D"/>
    <w:rsid w:val="00A17CEC"/>
    <w:rsid w:val="00A22DEC"/>
    <w:rsid w:val="00A27EF0"/>
    <w:rsid w:val="00A30D75"/>
    <w:rsid w:val="00A42361"/>
    <w:rsid w:val="00A46B7B"/>
    <w:rsid w:val="00A50B20"/>
    <w:rsid w:val="00A51390"/>
    <w:rsid w:val="00A60D13"/>
    <w:rsid w:val="00A67FEA"/>
    <w:rsid w:val="00A7223D"/>
    <w:rsid w:val="00A72745"/>
    <w:rsid w:val="00A76EFC"/>
    <w:rsid w:val="00A839BE"/>
    <w:rsid w:val="00A87D50"/>
    <w:rsid w:val="00A91010"/>
    <w:rsid w:val="00A97F29"/>
    <w:rsid w:val="00AA34AA"/>
    <w:rsid w:val="00AA702E"/>
    <w:rsid w:val="00AA7D26"/>
    <w:rsid w:val="00AB08AF"/>
    <w:rsid w:val="00AB0964"/>
    <w:rsid w:val="00AB13A3"/>
    <w:rsid w:val="00AB5011"/>
    <w:rsid w:val="00AC7368"/>
    <w:rsid w:val="00AD16B9"/>
    <w:rsid w:val="00AD4637"/>
    <w:rsid w:val="00AD48D5"/>
    <w:rsid w:val="00AE377D"/>
    <w:rsid w:val="00AE6CDD"/>
    <w:rsid w:val="00AE7BE3"/>
    <w:rsid w:val="00AF0EBA"/>
    <w:rsid w:val="00AF37FC"/>
    <w:rsid w:val="00AF429C"/>
    <w:rsid w:val="00B02C8A"/>
    <w:rsid w:val="00B05849"/>
    <w:rsid w:val="00B12A0A"/>
    <w:rsid w:val="00B17FBD"/>
    <w:rsid w:val="00B22249"/>
    <w:rsid w:val="00B315A6"/>
    <w:rsid w:val="00B31813"/>
    <w:rsid w:val="00B33365"/>
    <w:rsid w:val="00B565AD"/>
    <w:rsid w:val="00B57B36"/>
    <w:rsid w:val="00B57E6F"/>
    <w:rsid w:val="00B64D39"/>
    <w:rsid w:val="00B700E8"/>
    <w:rsid w:val="00B75D85"/>
    <w:rsid w:val="00B8686D"/>
    <w:rsid w:val="00B93F69"/>
    <w:rsid w:val="00BA1DF1"/>
    <w:rsid w:val="00BA59D4"/>
    <w:rsid w:val="00BB1DDC"/>
    <w:rsid w:val="00BC0F1E"/>
    <w:rsid w:val="00BC30C9"/>
    <w:rsid w:val="00BD077D"/>
    <w:rsid w:val="00BD192E"/>
    <w:rsid w:val="00BD4C93"/>
    <w:rsid w:val="00BE199D"/>
    <w:rsid w:val="00BE3E58"/>
    <w:rsid w:val="00C01616"/>
    <w:rsid w:val="00C0162B"/>
    <w:rsid w:val="00C03D08"/>
    <w:rsid w:val="00C04EB6"/>
    <w:rsid w:val="00C068ED"/>
    <w:rsid w:val="00C14FFF"/>
    <w:rsid w:val="00C22E0C"/>
    <w:rsid w:val="00C24D77"/>
    <w:rsid w:val="00C27FA5"/>
    <w:rsid w:val="00C30A8B"/>
    <w:rsid w:val="00C30E5D"/>
    <w:rsid w:val="00C345B1"/>
    <w:rsid w:val="00C3651E"/>
    <w:rsid w:val="00C40142"/>
    <w:rsid w:val="00C40829"/>
    <w:rsid w:val="00C42B73"/>
    <w:rsid w:val="00C52C3C"/>
    <w:rsid w:val="00C57182"/>
    <w:rsid w:val="00C57863"/>
    <w:rsid w:val="00C62EBC"/>
    <w:rsid w:val="00C640AF"/>
    <w:rsid w:val="00C655FD"/>
    <w:rsid w:val="00C75287"/>
    <w:rsid w:val="00C75407"/>
    <w:rsid w:val="00C870A8"/>
    <w:rsid w:val="00C91974"/>
    <w:rsid w:val="00C93CB9"/>
    <w:rsid w:val="00C94434"/>
    <w:rsid w:val="00CA0D75"/>
    <w:rsid w:val="00CA1C95"/>
    <w:rsid w:val="00CA3207"/>
    <w:rsid w:val="00CA5113"/>
    <w:rsid w:val="00CA5A9C"/>
    <w:rsid w:val="00CB00F8"/>
    <w:rsid w:val="00CB50A6"/>
    <w:rsid w:val="00CB7661"/>
    <w:rsid w:val="00CC4C20"/>
    <w:rsid w:val="00CC6B73"/>
    <w:rsid w:val="00CD0FA6"/>
    <w:rsid w:val="00CD3517"/>
    <w:rsid w:val="00CD3890"/>
    <w:rsid w:val="00CD40E7"/>
    <w:rsid w:val="00CD5FE2"/>
    <w:rsid w:val="00CE16A0"/>
    <w:rsid w:val="00CE649B"/>
    <w:rsid w:val="00CE7C68"/>
    <w:rsid w:val="00CF77C6"/>
    <w:rsid w:val="00D02B4C"/>
    <w:rsid w:val="00D040C4"/>
    <w:rsid w:val="00D20AD1"/>
    <w:rsid w:val="00D20B4F"/>
    <w:rsid w:val="00D21CDC"/>
    <w:rsid w:val="00D226BF"/>
    <w:rsid w:val="00D23F21"/>
    <w:rsid w:val="00D30A00"/>
    <w:rsid w:val="00D30EDF"/>
    <w:rsid w:val="00D3285B"/>
    <w:rsid w:val="00D43CDB"/>
    <w:rsid w:val="00D46B7E"/>
    <w:rsid w:val="00D57C84"/>
    <w:rsid w:val="00D6057D"/>
    <w:rsid w:val="00D617C1"/>
    <w:rsid w:val="00D71640"/>
    <w:rsid w:val="00D804E2"/>
    <w:rsid w:val="00D81CF0"/>
    <w:rsid w:val="00D836C5"/>
    <w:rsid w:val="00D84576"/>
    <w:rsid w:val="00DA1399"/>
    <w:rsid w:val="00DA24C6"/>
    <w:rsid w:val="00DA29E0"/>
    <w:rsid w:val="00DA47DF"/>
    <w:rsid w:val="00DA4D7B"/>
    <w:rsid w:val="00DB0D2B"/>
    <w:rsid w:val="00DB0EF6"/>
    <w:rsid w:val="00DB1027"/>
    <w:rsid w:val="00DB153E"/>
    <w:rsid w:val="00DB205F"/>
    <w:rsid w:val="00DB5C46"/>
    <w:rsid w:val="00DB73F2"/>
    <w:rsid w:val="00DD271C"/>
    <w:rsid w:val="00DD3DA7"/>
    <w:rsid w:val="00DD3FF5"/>
    <w:rsid w:val="00DD4D64"/>
    <w:rsid w:val="00DE0448"/>
    <w:rsid w:val="00DE264A"/>
    <w:rsid w:val="00DE313F"/>
    <w:rsid w:val="00DF05A1"/>
    <w:rsid w:val="00DF5072"/>
    <w:rsid w:val="00E02D18"/>
    <w:rsid w:val="00E03C81"/>
    <w:rsid w:val="00E041E7"/>
    <w:rsid w:val="00E060F6"/>
    <w:rsid w:val="00E0693C"/>
    <w:rsid w:val="00E11E41"/>
    <w:rsid w:val="00E21AA8"/>
    <w:rsid w:val="00E228F2"/>
    <w:rsid w:val="00E23CA1"/>
    <w:rsid w:val="00E3355A"/>
    <w:rsid w:val="00E409A8"/>
    <w:rsid w:val="00E473AD"/>
    <w:rsid w:val="00E50C12"/>
    <w:rsid w:val="00E5324C"/>
    <w:rsid w:val="00E53DAB"/>
    <w:rsid w:val="00E657DE"/>
    <w:rsid w:val="00E65B91"/>
    <w:rsid w:val="00E7209D"/>
    <w:rsid w:val="00E7275C"/>
    <w:rsid w:val="00E72EAD"/>
    <w:rsid w:val="00E73648"/>
    <w:rsid w:val="00E77223"/>
    <w:rsid w:val="00E8528B"/>
    <w:rsid w:val="00E85B94"/>
    <w:rsid w:val="00E978D0"/>
    <w:rsid w:val="00EA4613"/>
    <w:rsid w:val="00EA465D"/>
    <w:rsid w:val="00EA7F91"/>
    <w:rsid w:val="00EB0C96"/>
    <w:rsid w:val="00EB1523"/>
    <w:rsid w:val="00EB2D67"/>
    <w:rsid w:val="00EC0E49"/>
    <w:rsid w:val="00EC101F"/>
    <w:rsid w:val="00EC1D9F"/>
    <w:rsid w:val="00EE0131"/>
    <w:rsid w:val="00EE17B0"/>
    <w:rsid w:val="00EE7F35"/>
    <w:rsid w:val="00EF06D9"/>
    <w:rsid w:val="00EF5BF1"/>
    <w:rsid w:val="00F02950"/>
    <w:rsid w:val="00F05ECB"/>
    <w:rsid w:val="00F06137"/>
    <w:rsid w:val="00F14317"/>
    <w:rsid w:val="00F237DB"/>
    <w:rsid w:val="00F27AFA"/>
    <w:rsid w:val="00F3049E"/>
    <w:rsid w:val="00F30C34"/>
    <w:rsid w:val="00F30C64"/>
    <w:rsid w:val="00F32BA2"/>
    <w:rsid w:val="00F32CDB"/>
    <w:rsid w:val="00F32E90"/>
    <w:rsid w:val="00F51065"/>
    <w:rsid w:val="00F53D17"/>
    <w:rsid w:val="00F565FE"/>
    <w:rsid w:val="00F57119"/>
    <w:rsid w:val="00F60621"/>
    <w:rsid w:val="00F63A70"/>
    <w:rsid w:val="00F63D8C"/>
    <w:rsid w:val="00F7534E"/>
    <w:rsid w:val="00F76033"/>
    <w:rsid w:val="00F76F16"/>
    <w:rsid w:val="00F82CB0"/>
    <w:rsid w:val="00F85263"/>
    <w:rsid w:val="00F93EDF"/>
    <w:rsid w:val="00F97428"/>
    <w:rsid w:val="00F975FE"/>
    <w:rsid w:val="00FA1802"/>
    <w:rsid w:val="00FA21D0"/>
    <w:rsid w:val="00FA5F5F"/>
    <w:rsid w:val="00FB4EFF"/>
    <w:rsid w:val="00FB5734"/>
    <w:rsid w:val="00FB730C"/>
    <w:rsid w:val="00FC2695"/>
    <w:rsid w:val="00FC3E03"/>
    <w:rsid w:val="00FC3FC1"/>
    <w:rsid w:val="00FD35AC"/>
    <w:rsid w:val="00FD59B3"/>
    <w:rsid w:val="00FD5FE8"/>
    <w:rsid w:val="00FE1802"/>
    <w:rsid w:val="00FE3944"/>
    <w:rsid w:val="00FF3159"/>
    <w:rsid w:val="00FF499A"/>
    <w:rsid w:val="00FF69D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48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0B7E3B"/>
    <w:rPr>
      <w:color w:val="605E5C"/>
      <w:shd w:val="clear" w:color="auto" w:fill="E1DFDD"/>
    </w:rPr>
  </w:style>
  <w:style w:type="character" w:styleId="FootnoteReference">
    <w:name w:val="footnote reference"/>
    <w:basedOn w:val="DefaultParagraphFont"/>
    <w:uiPriority w:val="99"/>
    <w:semiHidden/>
    <w:unhideWhenUsed/>
    <w:rsid w:val="003D5F0D"/>
    <w:rPr>
      <w:vertAlign w:val="superscript"/>
    </w:rPr>
  </w:style>
  <w:style w:type="character" w:styleId="PlaceholderText">
    <w:name w:val="Placeholder Text"/>
    <w:basedOn w:val="DefaultParagraphFont"/>
    <w:uiPriority w:val="99"/>
    <w:semiHidden/>
    <w:rsid w:val="008E33C4"/>
    <w:rPr>
      <w:color w:val="808080"/>
    </w:rPr>
  </w:style>
  <w:style w:type="paragraph" w:styleId="Revision">
    <w:name w:val="Revision"/>
    <w:hidden/>
    <w:uiPriority w:val="99"/>
    <w:semiHidden/>
    <w:rsid w:val="00452CA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5530">
      <w:bodyDiv w:val="1"/>
      <w:marLeft w:val="0"/>
      <w:marRight w:val="0"/>
      <w:marTop w:val="0"/>
      <w:marBottom w:val="0"/>
      <w:divBdr>
        <w:top w:val="none" w:sz="0" w:space="0" w:color="auto"/>
        <w:left w:val="none" w:sz="0" w:space="0" w:color="auto"/>
        <w:bottom w:val="none" w:sz="0" w:space="0" w:color="auto"/>
        <w:right w:val="none" w:sz="0" w:space="0" w:color="auto"/>
      </w:divBdr>
    </w:div>
    <w:div w:id="104739769">
      <w:bodyDiv w:val="1"/>
      <w:marLeft w:val="0"/>
      <w:marRight w:val="0"/>
      <w:marTop w:val="0"/>
      <w:marBottom w:val="0"/>
      <w:divBdr>
        <w:top w:val="none" w:sz="0" w:space="0" w:color="auto"/>
        <w:left w:val="none" w:sz="0" w:space="0" w:color="auto"/>
        <w:bottom w:val="none" w:sz="0" w:space="0" w:color="auto"/>
        <w:right w:val="none" w:sz="0" w:space="0" w:color="auto"/>
      </w:divBdr>
    </w:div>
    <w:div w:id="257717403">
      <w:bodyDiv w:val="1"/>
      <w:marLeft w:val="0"/>
      <w:marRight w:val="0"/>
      <w:marTop w:val="0"/>
      <w:marBottom w:val="0"/>
      <w:divBdr>
        <w:top w:val="none" w:sz="0" w:space="0" w:color="auto"/>
        <w:left w:val="none" w:sz="0" w:space="0" w:color="auto"/>
        <w:bottom w:val="none" w:sz="0" w:space="0" w:color="auto"/>
        <w:right w:val="none" w:sz="0" w:space="0" w:color="auto"/>
      </w:divBdr>
    </w:div>
    <w:div w:id="258417358">
      <w:bodyDiv w:val="1"/>
      <w:marLeft w:val="0"/>
      <w:marRight w:val="0"/>
      <w:marTop w:val="0"/>
      <w:marBottom w:val="0"/>
      <w:divBdr>
        <w:top w:val="none" w:sz="0" w:space="0" w:color="auto"/>
        <w:left w:val="none" w:sz="0" w:space="0" w:color="auto"/>
        <w:bottom w:val="none" w:sz="0" w:space="0" w:color="auto"/>
        <w:right w:val="none" w:sz="0" w:space="0" w:color="auto"/>
      </w:divBdr>
    </w:div>
    <w:div w:id="298654415">
      <w:bodyDiv w:val="1"/>
      <w:marLeft w:val="0"/>
      <w:marRight w:val="0"/>
      <w:marTop w:val="0"/>
      <w:marBottom w:val="0"/>
      <w:divBdr>
        <w:top w:val="none" w:sz="0" w:space="0" w:color="auto"/>
        <w:left w:val="none" w:sz="0" w:space="0" w:color="auto"/>
        <w:bottom w:val="none" w:sz="0" w:space="0" w:color="auto"/>
        <w:right w:val="none" w:sz="0" w:space="0" w:color="auto"/>
      </w:divBdr>
    </w:div>
    <w:div w:id="338314555">
      <w:bodyDiv w:val="1"/>
      <w:marLeft w:val="0"/>
      <w:marRight w:val="0"/>
      <w:marTop w:val="0"/>
      <w:marBottom w:val="0"/>
      <w:divBdr>
        <w:top w:val="none" w:sz="0" w:space="0" w:color="auto"/>
        <w:left w:val="none" w:sz="0" w:space="0" w:color="auto"/>
        <w:bottom w:val="none" w:sz="0" w:space="0" w:color="auto"/>
        <w:right w:val="none" w:sz="0" w:space="0" w:color="auto"/>
      </w:divBdr>
    </w:div>
    <w:div w:id="343172404">
      <w:bodyDiv w:val="1"/>
      <w:marLeft w:val="0"/>
      <w:marRight w:val="0"/>
      <w:marTop w:val="0"/>
      <w:marBottom w:val="0"/>
      <w:divBdr>
        <w:top w:val="none" w:sz="0" w:space="0" w:color="auto"/>
        <w:left w:val="none" w:sz="0" w:space="0" w:color="auto"/>
        <w:bottom w:val="none" w:sz="0" w:space="0" w:color="auto"/>
        <w:right w:val="none" w:sz="0" w:space="0" w:color="auto"/>
      </w:divBdr>
    </w:div>
    <w:div w:id="473333225">
      <w:bodyDiv w:val="1"/>
      <w:marLeft w:val="0"/>
      <w:marRight w:val="0"/>
      <w:marTop w:val="0"/>
      <w:marBottom w:val="0"/>
      <w:divBdr>
        <w:top w:val="none" w:sz="0" w:space="0" w:color="auto"/>
        <w:left w:val="none" w:sz="0" w:space="0" w:color="auto"/>
        <w:bottom w:val="none" w:sz="0" w:space="0" w:color="auto"/>
        <w:right w:val="none" w:sz="0" w:space="0" w:color="auto"/>
      </w:divBdr>
    </w:div>
    <w:div w:id="64717323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32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87539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8211">
      <w:bodyDiv w:val="1"/>
      <w:marLeft w:val="0"/>
      <w:marRight w:val="0"/>
      <w:marTop w:val="0"/>
      <w:marBottom w:val="0"/>
      <w:divBdr>
        <w:top w:val="none" w:sz="0" w:space="0" w:color="auto"/>
        <w:left w:val="none" w:sz="0" w:space="0" w:color="auto"/>
        <w:bottom w:val="none" w:sz="0" w:space="0" w:color="auto"/>
        <w:right w:val="none" w:sz="0" w:space="0" w:color="auto"/>
      </w:divBdr>
    </w:div>
    <w:div w:id="956444187">
      <w:bodyDiv w:val="1"/>
      <w:marLeft w:val="0"/>
      <w:marRight w:val="0"/>
      <w:marTop w:val="0"/>
      <w:marBottom w:val="0"/>
      <w:divBdr>
        <w:top w:val="none" w:sz="0" w:space="0" w:color="auto"/>
        <w:left w:val="none" w:sz="0" w:space="0" w:color="auto"/>
        <w:bottom w:val="none" w:sz="0" w:space="0" w:color="auto"/>
        <w:right w:val="none" w:sz="0" w:space="0" w:color="auto"/>
      </w:divBdr>
    </w:div>
    <w:div w:id="1033503030">
      <w:bodyDiv w:val="1"/>
      <w:marLeft w:val="0"/>
      <w:marRight w:val="0"/>
      <w:marTop w:val="0"/>
      <w:marBottom w:val="0"/>
      <w:divBdr>
        <w:top w:val="none" w:sz="0" w:space="0" w:color="auto"/>
        <w:left w:val="none" w:sz="0" w:space="0" w:color="auto"/>
        <w:bottom w:val="none" w:sz="0" w:space="0" w:color="auto"/>
        <w:right w:val="none" w:sz="0" w:space="0" w:color="auto"/>
      </w:divBdr>
    </w:div>
    <w:div w:id="1055468977">
      <w:bodyDiv w:val="1"/>
      <w:marLeft w:val="0"/>
      <w:marRight w:val="0"/>
      <w:marTop w:val="0"/>
      <w:marBottom w:val="0"/>
      <w:divBdr>
        <w:top w:val="none" w:sz="0" w:space="0" w:color="auto"/>
        <w:left w:val="none" w:sz="0" w:space="0" w:color="auto"/>
        <w:bottom w:val="none" w:sz="0" w:space="0" w:color="auto"/>
        <w:right w:val="none" w:sz="0" w:space="0" w:color="auto"/>
      </w:divBdr>
    </w:div>
    <w:div w:id="1128663932">
      <w:bodyDiv w:val="1"/>
      <w:marLeft w:val="0"/>
      <w:marRight w:val="0"/>
      <w:marTop w:val="0"/>
      <w:marBottom w:val="0"/>
      <w:divBdr>
        <w:top w:val="none" w:sz="0" w:space="0" w:color="auto"/>
        <w:left w:val="none" w:sz="0" w:space="0" w:color="auto"/>
        <w:bottom w:val="none" w:sz="0" w:space="0" w:color="auto"/>
        <w:right w:val="none" w:sz="0" w:space="0" w:color="auto"/>
      </w:divBdr>
    </w:div>
    <w:div w:id="1133448327">
      <w:bodyDiv w:val="1"/>
      <w:marLeft w:val="0"/>
      <w:marRight w:val="0"/>
      <w:marTop w:val="0"/>
      <w:marBottom w:val="0"/>
      <w:divBdr>
        <w:top w:val="none" w:sz="0" w:space="0" w:color="auto"/>
        <w:left w:val="none" w:sz="0" w:space="0" w:color="auto"/>
        <w:bottom w:val="none" w:sz="0" w:space="0" w:color="auto"/>
        <w:right w:val="none" w:sz="0" w:space="0" w:color="auto"/>
      </w:divBdr>
    </w:div>
    <w:div w:id="1175152398">
      <w:bodyDiv w:val="1"/>
      <w:marLeft w:val="0"/>
      <w:marRight w:val="0"/>
      <w:marTop w:val="0"/>
      <w:marBottom w:val="0"/>
      <w:divBdr>
        <w:top w:val="none" w:sz="0" w:space="0" w:color="auto"/>
        <w:left w:val="none" w:sz="0" w:space="0" w:color="auto"/>
        <w:bottom w:val="none" w:sz="0" w:space="0" w:color="auto"/>
        <w:right w:val="none" w:sz="0" w:space="0" w:color="auto"/>
      </w:divBdr>
    </w:div>
    <w:div w:id="1242056400">
      <w:bodyDiv w:val="1"/>
      <w:marLeft w:val="0"/>
      <w:marRight w:val="0"/>
      <w:marTop w:val="0"/>
      <w:marBottom w:val="0"/>
      <w:divBdr>
        <w:top w:val="none" w:sz="0" w:space="0" w:color="auto"/>
        <w:left w:val="none" w:sz="0" w:space="0" w:color="auto"/>
        <w:bottom w:val="none" w:sz="0" w:space="0" w:color="auto"/>
        <w:right w:val="none" w:sz="0" w:space="0" w:color="auto"/>
      </w:divBdr>
    </w:div>
    <w:div w:id="1326974984">
      <w:bodyDiv w:val="1"/>
      <w:marLeft w:val="0"/>
      <w:marRight w:val="0"/>
      <w:marTop w:val="0"/>
      <w:marBottom w:val="0"/>
      <w:divBdr>
        <w:top w:val="none" w:sz="0" w:space="0" w:color="auto"/>
        <w:left w:val="none" w:sz="0" w:space="0" w:color="auto"/>
        <w:bottom w:val="none" w:sz="0" w:space="0" w:color="auto"/>
        <w:right w:val="none" w:sz="0" w:space="0" w:color="auto"/>
      </w:divBdr>
    </w:div>
    <w:div w:id="1358659028">
      <w:bodyDiv w:val="1"/>
      <w:marLeft w:val="0"/>
      <w:marRight w:val="0"/>
      <w:marTop w:val="0"/>
      <w:marBottom w:val="0"/>
      <w:divBdr>
        <w:top w:val="none" w:sz="0" w:space="0" w:color="auto"/>
        <w:left w:val="none" w:sz="0" w:space="0" w:color="auto"/>
        <w:bottom w:val="none" w:sz="0" w:space="0" w:color="auto"/>
        <w:right w:val="none" w:sz="0" w:space="0" w:color="auto"/>
      </w:divBdr>
    </w:div>
    <w:div w:id="138918505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927977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2369647">
      <w:bodyDiv w:val="1"/>
      <w:marLeft w:val="0"/>
      <w:marRight w:val="0"/>
      <w:marTop w:val="0"/>
      <w:marBottom w:val="0"/>
      <w:divBdr>
        <w:top w:val="none" w:sz="0" w:space="0" w:color="auto"/>
        <w:left w:val="none" w:sz="0" w:space="0" w:color="auto"/>
        <w:bottom w:val="none" w:sz="0" w:space="0" w:color="auto"/>
        <w:right w:val="none" w:sz="0" w:space="0" w:color="auto"/>
      </w:divBdr>
    </w:div>
    <w:div w:id="1652636053">
      <w:bodyDiv w:val="1"/>
      <w:marLeft w:val="0"/>
      <w:marRight w:val="0"/>
      <w:marTop w:val="0"/>
      <w:marBottom w:val="0"/>
      <w:divBdr>
        <w:top w:val="none" w:sz="0" w:space="0" w:color="auto"/>
        <w:left w:val="none" w:sz="0" w:space="0" w:color="auto"/>
        <w:bottom w:val="none" w:sz="0" w:space="0" w:color="auto"/>
        <w:right w:val="none" w:sz="0" w:space="0" w:color="auto"/>
      </w:divBdr>
    </w:div>
    <w:div w:id="165644562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025">
      <w:bodyDiv w:val="1"/>
      <w:marLeft w:val="0"/>
      <w:marRight w:val="0"/>
      <w:marTop w:val="0"/>
      <w:marBottom w:val="0"/>
      <w:divBdr>
        <w:top w:val="none" w:sz="0" w:space="0" w:color="auto"/>
        <w:left w:val="none" w:sz="0" w:space="0" w:color="auto"/>
        <w:bottom w:val="none" w:sz="0" w:space="0" w:color="auto"/>
        <w:right w:val="none" w:sz="0" w:space="0" w:color="auto"/>
      </w:divBdr>
    </w:div>
    <w:div w:id="1736513772">
      <w:bodyDiv w:val="1"/>
      <w:marLeft w:val="0"/>
      <w:marRight w:val="0"/>
      <w:marTop w:val="0"/>
      <w:marBottom w:val="0"/>
      <w:divBdr>
        <w:top w:val="none" w:sz="0" w:space="0" w:color="auto"/>
        <w:left w:val="none" w:sz="0" w:space="0" w:color="auto"/>
        <w:bottom w:val="none" w:sz="0" w:space="0" w:color="auto"/>
        <w:right w:val="none" w:sz="0" w:space="0" w:color="auto"/>
      </w:divBdr>
    </w:div>
    <w:div w:id="1854685769">
      <w:bodyDiv w:val="1"/>
      <w:marLeft w:val="0"/>
      <w:marRight w:val="0"/>
      <w:marTop w:val="0"/>
      <w:marBottom w:val="0"/>
      <w:divBdr>
        <w:top w:val="none" w:sz="0" w:space="0" w:color="auto"/>
        <w:left w:val="none" w:sz="0" w:space="0" w:color="auto"/>
        <w:bottom w:val="none" w:sz="0" w:space="0" w:color="auto"/>
        <w:right w:val="none" w:sz="0" w:space="0" w:color="auto"/>
      </w:divBdr>
    </w:div>
    <w:div w:id="19184364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t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ti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064818-ea5d-4027-ad95-0f709eb316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1C66A73BF7048A141A74D90D647BC" ma:contentTypeVersion="15" ma:contentTypeDescription="Create a new document." ma:contentTypeScope="" ma:versionID="52efeba749546df166179dea1ef7a163">
  <xsd:schema xmlns:xsd="http://www.w3.org/2001/XMLSchema" xmlns:xs="http://www.w3.org/2001/XMLSchema" xmlns:p="http://schemas.microsoft.com/office/2006/metadata/properties" xmlns:ns3="e851c428-8693-4eac-9f91-ddd6599c7ad1" xmlns:ns4="21064818-ea5d-4027-ad95-0f709eb316a3" targetNamespace="http://schemas.microsoft.com/office/2006/metadata/properties" ma:root="true" ma:fieldsID="55c0dc6a2097f0b26b9653f97bf7aade" ns3:_="" ns4:_="">
    <xsd:import namespace="e851c428-8693-4eac-9f91-ddd6599c7ad1"/>
    <xsd:import namespace="21064818-ea5d-4027-ad95-0f709eb316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1c428-8693-4eac-9f91-ddd6599c7a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64818-ea5d-4027-ad95-0f709eb316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5">
  <b:Source>
    <b:Tag>Cha17</b:Tag>
    <b:SourceType>Book</b:SourceType>
    <b:Guid>{44A13A5B-6379-4809-8155-9ED27A5D8A40}</b:Guid>
    <b:Title>Química</b:Title>
    <b:Year>2017</b:Year>
    <b:Author>
      <b:Author>
        <b:NameList>
          <b:Person>
            <b:Last>Chang</b:Last>
            <b:First>Raymond</b:First>
          </b:Person>
          <b:Person>
            <b:Last>Goldsby</b:Last>
            <b:First>Kenneth</b:First>
            <b:Middle>A.</b:Middle>
          </b:Person>
          <b:Person>
            <b:Last>Hernández</b:Last>
            <b:First>Paola</b:First>
            <b:Middle>Malinalli Hernández</b:Middle>
          </b:Person>
        </b:NameList>
      </b:Author>
    </b:Author>
    <b:Publisher>McGraw-Hill Interamericana</b:Publisher>
    <b:Edition>12</b:Edition>
    <b:RefOrder>1</b:RefOrder>
  </b:Source>
  <b:Source>
    <b:Tag>SMA19</b:Tag>
    <b:SourceType>JournalArticle</b:SourceType>
    <b:Guid>{99DE906D-E7AC-4B22-8689-E6263C52B1F9}</b:Guid>
    <b:Author>
      <b:Author>
        <b:NameList>
          <b:Person>
            <b:Last>Al-Salem</b:Last>
            <b:First>S.</b:First>
            <b:Middle>M.</b:Middle>
          </b:Person>
        </b:NameList>
      </b:Author>
    </b:Author>
    <b:Title>Thermal pyrolysis of high density polyethylene (HDPE) in a novel fixed bed reactor system for the production of high value gasoline range hydrocarbons (HC)</b:Title>
    <b:JournalName>Process Safety and Enviromental Protection</b:JournalName>
    <b:Year>2019</b:Year>
    <b:Pages>171-179</b:Pages>
    <b:Volume>127</b:Volume>
    <b:RefOrder>2</b:RefOrder>
  </b:Source>
</b:Sources>
</file>

<file path=customXml/itemProps1.xml><?xml version="1.0" encoding="utf-8"?>
<ds:datastoreItem xmlns:ds="http://schemas.openxmlformats.org/officeDocument/2006/customXml" ds:itemID="{2168065C-313D-4284-844A-C79AD85447C4}">
  <ds:schemaRefs>
    <ds:schemaRef ds:uri="http://schemas.microsoft.com/sharepoint/v3/contenttype/forms"/>
  </ds:schemaRefs>
</ds:datastoreItem>
</file>

<file path=customXml/itemProps2.xml><?xml version="1.0" encoding="utf-8"?>
<ds:datastoreItem xmlns:ds="http://schemas.openxmlformats.org/officeDocument/2006/customXml" ds:itemID="{73B8D20D-2EB0-4F4D-AD78-E202355B96CC}">
  <ds:schemaRefs>
    <ds:schemaRef ds:uri="e851c428-8693-4eac-9f91-ddd6599c7ad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21064818-ea5d-4027-ad95-0f709eb316a3"/>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4B25C987-A4FC-4DDD-8104-A63191A57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1c428-8693-4eac-9f91-ddd6599c7ad1"/>
    <ds:schemaRef ds:uri="21064818-ea5d-4027-ad95-0f709eb31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3272D-B69D-4F1A-A5F1-E9DC7A54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4703</TotalTime>
  <Pages>6</Pages>
  <Words>4618</Words>
  <Characters>26329</Characters>
  <Application>Microsoft Office Word</Application>
  <DocSecurity>0</DocSecurity>
  <Lines>219</Lines>
  <Paragraphs>61</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riesco</cp:lastModifiedBy>
  <cp:revision>76</cp:revision>
  <cp:lastPrinted>2023-02-13T22:28:00Z</cp:lastPrinted>
  <dcterms:created xsi:type="dcterms:W3CDTF">2023-02-08T07:16:00Z</dcterms:created>
  <dcterms:modified xsi:type="dcterms:W3CDTF">2023-04-09T07:00:00Z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id="MXXtDVTm"/&gt;&lt;style id="http://www.zotero.org/styles/apa" locale="en-US" hasBibliography="1" bibliographyStyleHasBeenSet="1"/&gt;&lt;prefs&gt;&lt;pref name="fieldType" value="Field"/&gt;&lt;pref name="storeReference</vt:lpwstr>
  </property>
  <property fmtid="{D5CDD505-2E9C-101B-9397-08002B2CF9AE}" pid="3" name="ZOTERO_PREF_2">
    <vt:lpwstr>s" value="true"/&gt;&lt;/prefs&gt;&lt;/data&gt;</vt:lpwstr>
  </property>
  <property fmtid="{D5CDD505-2E9C-101B-9397-08002B2CF9AE}" pid="4" name="GrammarlyDocumentId">
    <vt:lpwstr>892f1586457d5977448a40763fe59e23f2808829c6531b5a9f822699f9828058</vt:lpwstr>
  </property>
  <property fmtid="{D5CDD505-2E9C-101B-9397-08002B2CF9AE}" pid="5" name="ContentTypeId">
    <vt:lpwstr>0x0101001821C66A73BF7048A141A74D90D647BC</vt:lpwstr>
  </property>
</Properties>
</file>