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C309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C309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C309D">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3996201E" w14:textId="77777777" w:rsidR="00DC309D" w:rsidRPr="00DC309D" w:rsidRDefault="00DC309D" w:rsidP="00DC309D">
      <w:pPr>
        <w:pStyle w:val="CETAuthors"/>
        <w:jc w:val="center"/>
        <w:rPr>
          <w:sz w:val="32"/>
          <w:lang w:val="en-US"/>
        </w:rPr>
      </w:pPr>
      <w:r w:rsidRPr="00DC309D">
        <w:rPr>
          <w:sz w:val="32"/>
          <w:lang w:val="en-US"/>
        </w:rPr>
        <w:t>COMPARISON OF SODIUM LAURYL SULFATE AND SODIUM LAURYL ETHER SULFATE DETERGENTS FOR DECELLULARIZATION OF PORCINE LIVER FOR TISSUE ENGINEERING APPLICATIONS</w:t>
      </w:r>
    </w:p>
    <w:p w14:paraId="500B7ED3" w14:textId="5A078EA0" w:rsidR="00DC309D" w:rsidRPr="00C654B4" w:rsidRDefault="00DC309D" w:rsidP="00DC309D">
      <w:pPr>
        <w:pStyle w:val="CETAuthors"/>
        <w:rPr>
          <w:vertAlign w:val="superscript"/>
        </w:rPr>
      </w:pPr>
      <w:r w:rsidRPr="00C654B4">
        <w:t>Teodora Prebeg</w:t>
      </w:r>
      <w:r>
        <w:t>*</w:t>
      </w:r>
      <w:r w:rsidRPr="00C654B4">
        <w:t>, Dinka Omerčić, Valentina Erceg, Gordana Matijašić</w:t>
      </w:r>
    </w:p>
    <w:p w14:paraId="3C44F668" w14:textId="72D2982E" w:rsidR="00DC309D" w:rsidRPr="00C654B4" w:rsidRDefault="00DC309D" w:rsidP="00DC309D">
      <w:pPr>
        <w:spacing w:line="276" w:lineRule="auto"/>
        <w:rPr>
          <w:rFonts w:ascii="Times New Roman" w:hAnsi="Times New Roman"/>
          <w:sz w:val="20"/>
        </w:rPr>
      </w:pPr>
      <w:r w:rsidRPr="00D55AC4">
        <w:rPr>
          <w:rStyle w:val="CETAddressCarattere"/>
        </w:rPr>
        <w:t xml:space="preserve">University of Zagreb, Faculty of </w:t>
      </w:r>
      <w:r w:rsidR="00CF28FF">
        <w:rPr>
          <w:rStyle w:val="CETAddressCarattere"/>
        </w:rPr>
        <w:t>C</w:t>
      </w:r>
      <w:r w:rsidR="00CF28FF" w:rsidRPr="00D55AC4">
        <w:rPr>
          <w:rStyle w:val="CETAddressCarattere"/>
        </w:rPr>
        <w:t xml:space="preserve">hemical </w:t>
      </w:r>
      <w:r w:rsidR="00CF28FF">
        <w:rPr>
          <w:rStyle w:val="CETAddressCarattere"/>
        </w:rPr>
        <w:t>E</w:t>
      </w:r>
      <w:r w:rsidR="00CF28FF" w:rsidRPr="00D55AC4">
        <w:rPr>
          <w:rStyle w:val="CETAddressCarattere"/>
        </w:rPr>
        <w:t xml:space="preserve">ngineering </w:t>
      </w:r>
      <w:r w:rsidRPr="00D55AC4">
        <w:rPr>
          <w:rStyle w:val="CETAddressCarattere"/>
        </w:rPr>
        <w:t xml:space="preserve">and </w:t>
      </w:r>
      <w:r w:rsidR="00CF28FF">
        <w:rPr>
          <w:rStyle w:val="CETAddressCarattere"/>
        </w:rPr>
        <w:t>T</w:t>
      </w:r>
      <w:r w:rsidR="00CF28FF" w:rsidRPr="00D55AC4">
        <w:rPr>
          <w:rStyle w:val="CETAddressCarattere"/>
        </w:rPr>
        <w:t>echnology</w:t>
      </w:r>
      <w:r w:rsidRPr="00C654B4">
        <w:rPr>
          <w:rFonts w:ascii="Times New Roman" w:hAnsi="Times New Roman"/>
          <w:sz w:val="20"/>
        </w:rPr>
        <w:t xml:space="preserve">, </w:t>
      </w:r>
      <w:r w:rsidR="00381AAE" w:rsidRPr="00381AAE">
        <w:rPr>
          <w:rStyle w:val="CETAddressCarattere"/>
        </w:rPr>
        <w:t>Marko Marulic Square 19</w:t>
      </w:r>
      <w:r w:rsidRPr="00DC309D">
        <w:rPr>
          <w:rStyle w:val="CETAddressCarattere"/>
        </w:rPr>
        <w:t>, Zagreb, Croatia</w:t>
      </w:r>
    </w:p>
    <w:p w14:paraId="73F1267A" w14:textId="27B9B719" w:rsidR="00B57E6F" w:rsidRPr="00B57B36" w:rsidRDefault="00B57E6F" w:rsidP="00B57E6F">
      <w:pPr>
        <w:pStyle w:val="CETemail"/>
      </w:pPr>
      <w:r>
        <w:t xml:space="preserve"> </w:t>
      </w:r>
      <w:r w:rsidR="00DC309D">
        <w:t>*tprebeg@fkit.hr</w:t>
      </w:r>
    </w:p>
    <w:p w14:paraId="476B2F2E" w14:textId="55846DCA" w:rsidR="00600535" w:rsidRDefault="00685F7B" w:rsidP="009507C0">
      <w:pPr>
        <w:pStyle w:val="CETBodytextItalic"/>
        <w:rPr>
          <w:b/>
        </w:rPr>
      </w:pPr>
      <w:r w:rsidRPr="00685F7B">
        <w:t>With the increasing incidence of liver disease and the shortage of donors, there is an ever-increasing need for an alternative to replace and repair damaged tissue. To address this problem, various biomaterials have been synthesized or isolated to provide a biocompatible and biomimetic scaffold. Decellularized native extracellular matrix (dECM) appeared to be a promising solution for regenerative purposes because it retains the naturally occurring components and structure important for cell survival and differentiation. Since any method of decellularization can damage extracellular matrix (ECM) components, it was important to choose a method that effectively removed the cells but also preserved the ECM components. To properly decellularize liver tissue, two different detergents were used, among other methods. Previous research has shown that sodium lauryl sulfate (SLS) can remove cells and DNA components, but can also destroy collagen and glycosaminoglycans. Therefore, a milder detergent, sodium lauryl ether sulfate (SLES), was used in addition to SLS. The aim of this study was to compare the decellularization performed with SLS and SLES detergents. Stereo and light microscopy showed that the natural architecture of the tissue was partially preserved depending on the detergent used and the exposure time. In addition, the number of protocol steps was compared so that the complexity of each protocol could be determined.</w:t>
      </w:r>
    </w:p>
    <w:p w14:paraId="006D1C6D" w14:textId="3CFFBD8B" w:rsidR="002660FE" w:rsidRDefault="002660FE" w:rsidP="002660FE">
      <w:pPr>
        <w:pStyle w:val="CETHeading1"/>
        <w:rPr>
          <w:b w:val="0"/>
          <w:sz w:val="18"/>
          <w:lang w:val="en-GB"/>
        </w:rPr>
      </w:pPr>
      <w:r w:rsidRPr="00DC309D">
        <w:rPr>
          <w:lang w:val="en-GB"/>
        </w:rPr>
        <w:t>Introduction</w:t>
      </w:r>
      <w:r w:rsidRPr="00DC309D">
        <w:rPr>
          <w:b w:val="0"/>
          <w:sz w:val="18"/>
          <w:lang w:val="en-GB"/>
        </w:rPr>
        <w:t xml:space="preserve"> </w:t>
      </w:r>
    </w:p>
    <w:p w14:paraId="4C6F2063" w14:textId="77777777" w:rsidR="00685F7B" w:rsidRDefault="00685F7B" w:rsidP="00A36B5F">
      <w:pPr>
        <w:pStyle w:val="CETBodytext"/>
      </w:pPr>
      <w:r>
        <w:t xml:space="preserve">Nowadays, the need for liver transplantation and reparation is increasing due to excessive drug use, cirrhosis, cancer and other diseases. Since there is a large gap between the number of donors and patients requiring liver transplantation, new approaches are needed to treat such health problems. </w:t>
      </w:r>
      <w:r>
        <w:fldChar w:fldCharType="begin" w:fldLock="1"/>
      </w:r>
      <w:r>
        <w:instrText>ADDIN CSL_CITATION {"citationItems":[{"id":"ITEM-1","itemData":{"DOI":"10.1177/20417314221101151","ISSN":"2041-7314","abstract":"Decellularization of natural tissues to produce extracellular matrix is a promising method for three-dimensional scaffolding and for understanding microenvironment of the tissue of interest. Due to the lack of a universal standard protocol for tissue decellularization, recent investigations seek to develop novel methods for whole or partial organ decellularization capable of supporting cell differentiation and implantation towards appropriate tissue regeneration. This review provides a comprehensive and updated perspective on the most recent advances in decellularization strategies for a variety of organs and tissues, highlighting techniques of chemical, physical, biological, enzymatic, or combinative-based methods to remove cellular contents from tissues. In addition, the review presents modernized approaches for improving standard decellularization protocols for numerous organ types.","author":[{"dropping-particle":"","family":"Moffat","given":"Deana","non-dropping-particle":"","parse-names":false,"suffix":""},{"dropping-particle":"","family":"Ye","given":"Kaiming","non-dropping-particle":"","parse-names":false,"suffix":""},{"dropping-particle":"","family":"Jin","given":"Sha","non-dropping-particle":"","parse-names":false,"suffix":""}],"container-title":"Journal of Tissue Engineering","id":"ITEM-1","issue":"204173142211011","issued":{"date-parts":[["2022","1"]]},"page":"1-29","publisher":"SAGE Publications","title":"Decellularization for the retention of tissue niches","type":"article-journal","volume":"13"},"uris":["http://www.mendeley.com/documents/?uuid=1ddddd76-0d69-39c7-bc23-00bea7e009a0"]}],"mendeley":{"formattedCitation":"(Moffat et al., 2022)","plainTextFormattedCitation":"(Moffat et al., 2022)","previouslyFormattedCitation":"(Moffat et al., 2022)"},"properties":{"noteIndex":0},"schema":"https://github.com/citation-style-language/schema/raw/master/csl-citation.json"}</w:instrText>
      </w:r>
      <w:r>
        <w:fldChar w:fldCharType="separate"/>
      </w:r>
      <w:r w:rsidRPr="00A36B5F">
        <w:rPr>
          <w:noProof/>
        </w:rPr>
        <w:t>(Moffat et al., 2022)</w:t>
      </w:r>
      <w:r>
        <w:fldChar w:fldCharType="end"/>
      </w:r>
      <w:r>
        <w:t xml:space="preserve"> Because the ECM occurs naturally and provides a suitable environment for cells, its structure, porosity, chemical, and biochemical components collectively provide a good potential scaffold for cell ceding and transplantation to a defective site in the patient. For the same reasons, the ECM is a model that should be mimicked by biomaterials </w:t>
      </w:r>
      <w:r>
        <w:fldChar w:fldCharType="begin" w:fldLock="1"/>
      </w:r>
      <w:r>
        <w:instrText>ADDIN CSL_CITATION {"citationItems":[{"id":"ITEM-1","itemData":{"DOI":"10.1016/j.biocel.2016.10.014","ISSN":"18785875","PMID":"27771439","abstract":"Normal epithelium exists within a dynamic extracellular matrix (ECM) that is tuned to regulate tissue specific epithelial cell function. As such, ECM contributes to tissue homeostasis, differentiation, and disease, including cancer. Though it is now recognized that the functional unit of normal and transformed epithelium is the epithelial cell and its adjacent ECM, we lack a basic understanding of tissue-specific ECM composition and abundance, as well as how physiologic changes in ECM impact cancer risk and outcomes. While traditional proteomic techniques have advanced to robustly identify ECM proteins within tissues, methods to determine absolute abundance have lagged. Here, with a focus on tissues relevant to breast cancer, we utilize mass spectrometry methods optimized for absolute quantitative ECM analysis. Employing an extensive protein extraction and digestion method, combined with stable isotope labeled Quantitative conCATamer (QconCAT) peptides that serve as internal standards for absolute quantification of protein, we quantify 98 ECM, ECM-associated, and cellular proteins in a single analytical run. In rodent models, we applied this approach to the primary site of breast cancer, the normal mammary gland, as well as a common and particularly deadly site of breast cancer metastasis, the liver. We find that mammary gland and liver have distinct ECM abundance and relative composition. Further, we show mammary gland ECM abundance and relative compositions differ across the reproductive cycle, with the most dramatic changes occurring during the pro-tumorigenic window of weaning-induced involution. Combined, this work suggests ECM candidates for investigation of breast cancer progression and metastasis, particularly in postpartum breast cancers that are characterized by high metastatic rates. Finally, we suggest that with use of absolute quantitative ECM proteomics to characterize tissues of interest, it will be possible to reconstruct more relevant in vitro models to investigate tumor-ECM dynamics at higher resolution.","author":[{"dropping-particle":"","family":"Goddard","given":"Erica T.","non-dropping-particle":"","parse-names":false,"suffix":""},{"dropping-particle":"","family":"Hill","given":"Ryan C.","non-dropping-particle":"","parse-names":false,"suffix":""},{"dropping-particle":"","family":"Barrett","given":"Alexander","non-dropping-particle":"","parse-names":false,"suffix":""},{"dropping-particle":"","family":"Betts","given":"Courtney","non-dropping-particle":"","parse-names":false,"suffix":""},{"dropping-particle":"","family":"Guo","given":"Qiuchen","non-dropping-particle":"","parse-names":false,"suffix":""},{"dropping-particle":"","family":"Maller","given":"Ori","non-dropping-particle":"","parse-names":false,"suffix":""},{"dropping-particle":"","family":"Borges","given":"Virginia F.","non-dropping-particle":"","parse-names":false,"suffix":""},{"dropping-particle":"","family":"Hansen","given":"Kirk C.","non-dropping-particle":"","parse-names":false,"suffix":""},{"dropping-particle":"","family":"Schedin","given":"Pepper","non-dropping-particle":"","parse-names":false,"suffix":""}],"container-title":"International Journal of Biochemistry and Cell Biology","id":"ITEM-1","issued":{"date-parts":[["2016"]]},"page":"223-232","publisher":"Elsevier Ltd","title":"Quantitative extracellular matrix proteomics to study mammary and liver tissue microenvironments","type":"article-journal","volume":"81"},"uris":["http://www.mendeley.com/documents/?uuid=41cb246c-0fb1-4f0f-b48f-2b9d1c3423bc"]}],"mendeley":{"formattedCitation":"(Goddard et al., 2016)","plainTextFormattedCitation":"(Goddard et al., 2016)","previouslyFormattedCitation":"(Goddard et al., 2016)"},"properties":{"noteIndex":0},"schema":"https://github.com/citation-style-language/schema/raw/master/csl-citation.json"}</w:instrText>
      </w:r>
      <w:r>
        <w:fldChar w:fldCharType="separate"/>
      </w:r>
      <w:r w:rsidRPr="00A36B5F">
        <w:rPr>
          <w:noProof/>
        </w:rPr>
        <w:t>(Goddard et al., 2016)</w:t>
      </w:r>
      <w:r>
        <w:fldChar w:fldCharType="end"/>
      </w:r>
      <w:r>
        <w:t>. One way to obtain dECM-based biomaterials is to decellularize natural tissues, as this can preserve the natural architecture and components of the ECM. Since decellularization aims to induce apoptosis of cells, it also simultaneously removes cells and DNA that could trigger an immunogenic response if left in the biomaterial once it is transplanted into the patient's body.</w:t>
      </w:r>
      <w:r w:rsidRPr="00685F7B">
        <w:t xml:space="preserve"> </w:t>
      </w:r>
      <w:r>
        <w:fldChar w:fldCharType="begin" w:fldLock="1"/>
      </w:r>
      <w:r>
        <w:instrText>ADDIN CSL_CITATION {"citationItems":[{"id":"ITEM-1","itemData":{"DOI":"10.1021/acs.biomac.0c00045","ISSN":"15264602","PMID":"32227919","abstract":"Synthetic 3D extracellular matrices (ECMs) find application in cell studies, regenerative medicine, and drug discovery. While cells cultured in a monolayer may exhibit unnatural behavior and develop very different phenotypes and genotypes than in vivo, great efforts in materials chemistry have been devoted to reproducing in vitro behavior in in vivo cell microenvironments. This requires fine-tuning the biochemical and structural actors in synthetic ECMs. This review will present the fundamentals of the ECM, cover the chemical and structural features of the scaffolds used to generate ECM mimics, discuss the nature of the signaling biomolecules required and exploited to generate bioresponsive cell microenvironments able to induce a specific cell fate, and highlight the synthetic strategies involved in creating functional 3D ECM mimics.","author":[{"dropping-particle":"","family":"Nicolas","given":"Julien","non-dropping-particle":"","parse-names":false,"suffix":""},{"dropping-particle":"","family":"Magli","given":"Sofia","non-dropping-particle":"","parse-names":false,"suffix":""},{"dropping-particle":"","family":"Rabbachin","given":"Linda","non-dropping-particle":"","parse-names":false,"suffix":""},{"dropping-particle":"","family":"Sampaolesi","given":"Susanna","non-dropping-particle":"","parse-names":false,"suffix":""},{"dropping-particle":"","family":"Nicotra","given":"Francesco","non-dropping-particle":"","parse-names":false,"suffix":""},{"dropping-particle":"","family":"Russo","given":"Laura","non-dropping-particle":"","parse-names":false,"suffix":""}],"container-title":"Biomacromolecules","id":"ITEM-1","issue":"6","issued":{"date-parts":[["2020"]]},"page":"1968-1994","title":"3D Extracellular Matrix Mimics: Fundamental Concepts and Role of Materials Chemistry to Influence Stem Cell Fate","type":"article-journal","volume":"21"},"uris":["http://www.mendeley.com/documents/?uuid=2098e03e-0213-4cd9-9168-9efbb2eae9ad"]}],"mendeley":{"formattedCitation":"(Nicolas et al., 2020)","plainTextFormattedCitation":"(Nicolas et al., 2020)","previouslyFormattedCitation":"(Nicolas et al., 2020)"},"properties":{"noteIndex":0},"schema":"https://github.com/citation-style-language/schema/raw/master/csl-citation.json"}</w:instrText>
      </w:r>
      <w:r>
        <w:fldChar w:fldCharType="separate"/>
      </w:r>
      <w:r w:rsidRPr="00A36B5F">
        <w:rPr>
          <w:noProof/>
        </w:rPr>
        <w:t>(Nicolas et al., 2020)</w:t>
      </w:r>
      <w:r>
        <w:fldChar w:fldCharType="end"/>
      </w:r>
    </w:p>
    <w:p w14:paraId="62D64F78" w14:textId="477C5E79" w:rsidR="00685F7B" w:rsidRDefault="00685F7B" w:rsidP="00A36B5F">
      <w:pPr>
        <w:pStyle w:val="CETBodytext"/>
      </w:pPr>
      <w:r>
        <w:br/>
        <w:t xml:space="preserve">There are a plethora of decellularization methods that have been developed in recent years, all of which have their advantages, but also their disadvantages. Essentially, decellularization methods can be divided into several groups: chemical, physical, biological, and combined. Chemical methods include the use of detergents (ionic, non-ionic, zwitterionic), solvents (alcohols, acetone, etc.), acids and bases, hypotonic and hypertonic solutions. The most commonly used physical methods are freeze-thaw cycles, high hydrostatic pressure, sonication, electroporation, immersion, and agitation. Biological methods include the use of enzymes: trypsin, nucleases such as ribonuclease and DNase, and proteases such as dispase, phospholipase, chondroitinase, etc. By combining some of these methods, they try to balance the destruction of ECM components destruction by limiting the exposure time of some decellularization methods </w:t>
      </w:r>
      <w:r>
        <w:fldChar w:fldCharType="begin" w:fldLock="1"/>
      </w:r>
      <w:r>
        <w:instrText>ADDIN CSL_CITATION {"citationItems":[{"id":"ITEM-1","itemData":{"DOI":"10.1155/2017/9831534","ISSN":"23146141","PMID":"28540307","abstract":"As the gap between donors and patients in need of an organ transplant continues to widen, research in regenerative medicine seeks to provide alternative strategies for treatment. One of the most promising techniques for tissue and organ regeneration is decellularization, in which the extracellular matrix (ECM) is isolated from its native cells and genetic material in order to produce a natural scaffold. The ECM, which ideally retains its inherent structural, biochemical, and biomechanical cues, can then be recellularized to produce a functional tissue or organ. While decellularization can be accomplished using chemical and enzymatic, physical, or combinative methods, each strategy has both benefits and drawbacks. The focus of this review is to compare the advantages and disadvantages of these methods in terms of their ability to retain desired ECM characteristics for particular tissues and organs. Additionally, a few applications of constructs engineered using decellularized cell sheets, tissues, and whole organs are discussed.","author":[{"dropping-particle":"","family":"Gilpin","given":"Anna","non-dropping-particle":"","parse-names":false,"suffix":""},{"dropping-particle":"","family":"Yang","given":"Yong","non-dropping-particle":"","parse-names":false,"suffix":""}],"container-title":"BioMed Research International","id":"ITEM-1","issue":"9831534","issued":{"date-parts":[["2017"]]},"page":"1-13","publisher":"Hindawi","title":"Decellularization Strategies for Regenerative Medicine: From Processing Techniques to Applications","type":"article-journal","volume":"2017"},"uris":["http://www.mendeley.com/documents/?uuid=e053e481-12fe-448e-9801-6fa2b2c654ff"]}],"mendeley":{"formattedCitation":"(Gilpin and Yang, 2017)","plainTextFormattedCitation":"(Gilpin and Yang, 2017)","previouslyFormattedCitation":"(Gilpin and Yang, 2017)"},"properties":{"noteIndex":0},"schema":"https://github.com/citation-style-language/schema/raw/master/csl-citation.json"}</w:instrText>
      </w:r>
      <w:r>
        <w:fldChar w:fldCharType="separate"/>
      </w:r>
      <w:r w:rsidRPr="005C0A1B">
        <w:rPr>
          <w:noProof/>
        </w:rPr>
        <w:t>(Gilpin and Yang, 2017)</w:t>
      </w:r>
      <w:r>
        <w:fldChar w:fldCharType="end"/>
      </w:r>
      <w:r>
        <w:t>.</w:t>
      </w:r>
    </w:p>
    <w:p w14:paraId="1FD7229A" w14:textId="77777777" w:rsidR="00685F7B" w:rsidRDefault="00685F7B" w:rsidP="00A36B5F">
      <w:pPr>
        <w:pStyle w:val="CETBodytext"/>
      </w:pPr>
    </w:p>
    <w:p w14:paraId="23158F1E" w14:textId="2F144D02" w:rsidR="00E44926" w:rsidRDefault="00E44926" w:rsidP="006228B8">
      <w:pPr>
        <w:pStyle w:val="CETBodytext"/>
        <w:rPr>
          <w:lang w:val="en-GB"/>
        </w:rPr>
      </w:pPr>
      <w:r w:rsidRPr="00E44926">
        <w:rPr>
          <w:lang w:val="en-GB"/>
        </w:rPr>
        <w:lastRenderedPageBreak/>
        <w:t xml:space="preserve">The most commonly used and researched decellularization methods to date are those using detergents. Detergents are amphipathic molecules described by hydrophilic groups on one side ("head"), which can form hydrogen bonds with water molecules, and a lipophilic aliphatic chain ("tail") on the other. Detergents are also called surfactants because of their ability to reduce the surface tension of water. </w:t>
      </w:r>
      <w:r>
        <w:rPr>
          <w:lang w:val="en-GB"/>
        </w:rPr>
        <w:fldChar w:fldCharType="begin" w:fldLock="1"/>
      </w:r>
      <w:r>
        <w:rPr>
          <w:lang w:val="en-GB"/>
        </w:rPr>
        <w:instrText>ADDIN CSL_CITATION {"citationItems":[{"id":"ITEM-1","itemData":{"DOI":"10.1016/S0076-6879(09)63034-2","ISSN":"00766879","PMID":"19892194","abstract":"Detergents are used in molecular biology laboratories every day. They are present in cell lysis buffers (e.g., in kits for plasmid isolation), in electrophoresis and blotting buffers, and, most importantly, they are used for cleaning laboratory glassware and the hands of the laboratory staff. For these routine applications, a detailed knowledge of detergent properties is not necessary-they just work. When it comes to the isolation and purification of membrane proteins, one cannot rely on routine protocols. Many membrane proteins are only stable in a small number of different detergent buffer systems, and worst of all, different membrane proteins prefer very different detergents. Unfortunately, detergent properties are considered the domain of colloid science or physical chemistry, and thus, while the available amount of physico-chemical data on detergents is astounding, this data is rarely compiled in a way that is useful to biochemists. The aim of this chapter is to provide an overview of the physical and chemical properties of detergents commonly used in membrane protein science and to explain how these properties can be exploited for protein purification. © 2009 Elsevier Inc. All rights reserved.","author":[{"dropping-particle":"","family":"Linke","given":"Dirk","non-dropping-particle":"","parse-names":false,"suffix":""}],"container-title":"Methods in Enzymology","edition":"1","id":"ITEM-1","issue":"C","issued":{"date-parts":[["2009"]]},"number-of-pages":"603-617","publisher":"Elsevier Inc.","title":"Chapter 34 Detergents. An Overview","type":"book","volume":"463"},"uris":["http://www.mendeley.com/documents/?uuid=1a810999-ebd7-429d-802a-57457855f254"]}],"mendeley":{"formattedCitation":"(Linke, 2009)","plainTextFormattedCitation":"(Linke, 2009)","previouslyFormattedCitation":"(Linke, 2009)"},"properties":{"noteIndex":0},"schema":"https://github.com/citation-style-language/schema/raw/master/csl-citation.json"}</w:instrText>
      </w:r>
      <w:r>
        <w:rPr>
          <w:lang w:val="en-GB"/>
        </w:rPr>
        <w:fldChar w:fldCharType="separate"/>
      </w:r>
      <w:r w:rsidRPr="005C0A1B">
        <w:rPr>
          <w:noProof/>
          <w:lang w:val="en-GB"/>
        </w:rPr>
        <w:t>(Linke, 2009)</w:t>
      </w:r>
      <w:r>
        <w:rPr>
          <w:lang w:val="en-GB"/>
        </w:rPr>
        <w:fldChar w:fldCharType="end"/>
      </w:r>
      <w:r w:rsidRPr="00E44926">
        <w:rPr>
          <w:lang w:val="en-GB"/>
        </w:rPr>
        <w:t xml:space="preserve"> Among other methods, detergents are most commonly used for decellularization because they can successfully disrupt the cell membrane and remove cellular components. This ability is based on the structural similarity between the molecule of a detergent and the phospholipids of biological membranes. The detergent molecules integrate into the phospholipid bilayer, thus breaking the bonds between the phospholipids, and then form micelles together with the detergent molecules. </w:t>
      </w:r>
      <w:r w:rsidR="00C7241A">
        <w:rPr>
          <w:lang w:val="en-GB"/>
        </w:rPr>
        <w:fldChar w:fldCharType="begin" w:fldLock="1"/>
      </w:r>
      <w:r w:rsidR="00C7241A">
        <w:rPr>
          <w:lang w:val="en-GB"/>
        </w:rPr>
        <w:instrText>ADDIN CSL_CITATION {"citationItems":[{"id":"ITEM-1","itemData":{"DOI":"10.1080/15216540500167237","ISBN":"1521654050016","ISSN":"15216543","PMID":"16081372","abstract":"Solubilization of integral membrane proteins is a process in which the proteins and lipids that are held together in native membranes are suitably dissociated in a buffered detergent solution. The controlled dissociation of the membrane results in formation of small protein and lipid clusters that remain dissolved in the aqueous solution. Effective solubilization and purification of membrane proteins, especially heterologously-expressed proteins in mammalian cells in culture, in functionally active forms represent important steps in understanding structure-function relationship of membrane proteins. In this review, critical factors determining functional solubilization of membrane proteins are highlighted with the solubilization of the serotonin1A receptor taken as a specific example. © 2005 IUBMB.","author":[{"dropping-particle":"","family":"Kalipatnapu","given":"Shanti","non-dropping-particle":"","parse-names":false,"suffix":""},{"dropping-particle":"","family":"Chattopadhyay","given":"Amitabha","non-dropping-particle":"","parse-names":false,"suffix":""}],"container-title":"IUBMB Life","id":"ITEM-1","issue":"7","issued":{"date-parts":[["2005"]]},"page":"505-512","title":"Membrane protein solubilization: Recent advances and challenges in solubilization of serotonin1A receptors","type":"article-journal","volume":"57"},"uris":["http://www.mendeley.com/documents/?uuid=0175e118-0c31-4f4c-8af4-664e18dc0030"]}],"mendeley":{"formattedCitation":"(Kalipatnapu and Chattopadhyay, 2005)","plainTextFormattedCitation":"(Kalipatnapu and Chattopadhyay, 2005)","previouslyFormattedCitation":"(Kalipatnapu and Chattopadhyay, 2005)"},"properties":{"noteIndex":0},"schema":"https://github.com/citation-style-language/schema/raw/master/csl-citation.json"}</w:instrText>
      </w:r>
      <w:r w:rsidR="00C7241A">
        <w:rPr>
          <w:lang w:val="en-GB"/>
        </w:rPr>
        <w:fldChar w:fldCharType="separate"/>
      </w:r>
      <w:r w:rsidR="00C7241A" w:rsidRPr="005C0A1B">
        <w:rPr>
          <w:noProof/>
          <w:lang w:val="en-GB"/>
        </w:rPr>
        <w:t>(Kalipatnapu and Chattopadhyay, 2005)</w:t>
      </w:r>
      <w:r w:rsidR="00C7241A">
        <w:rPr>
          <w:lang w:val="en-GB"/>
        </w:rPr>
        <w:fldChar w:fldCharType="end"/>
      </w:r>
      <w:r w:rsidR="00C7241A" w:rsidRPr="00E44926">
        <w:rPr>
          <w:lang w:val="en-GB"/>
        </w:rPr>
        <w:t xml:space="preserve"> </w:t>
      </w:r>
      <w:r w:rsidRPr="00E44926">
        <w:rPr>
          <w:lang w:val="en-GB"/>
        </w:rPr>
        <w:t xml:space="preserve">This process triggers apoptosis of cells and is therefore used as a decellularization method. Some of the ionic detergents that have been used for decellularization are sodium lauryl sulfate (SLS), sodium deoxycholate (SDC), potassium laureate (PL), etc. </w:t>
      </w:r>
      <w:r w:rsidR="00C7241A">
        <w:rPr>
          <w:lang w:val="en-GB"/>
        </w:rPr>
        <w:fldChar w:fldCharType="begin" w:fldLock="1"/>
      </w:r>
      <w:r w:rsidR="00C7241A">
        <w:rPr>
          <w:lang w:val="en-GB"/>
        </w:rPr>
        <w:instrText>ADDIN CSL_CITATION {"citationItems":[{"id":"ITEM-1","itemData":{"DOI":"10.1177/20417314221101151","ISSN":"2041-7314","abstract":"Decellularization of natural tissues to produce extracellular matrix is a promising method for three-dimensional scaffolding and for understanding microenvironment of the tissue of interest. Due to the lack of a universal standard protocol for tissue decellularization, recent investigations seek to develop novel methods for whole or partial organ decellularization capable of supporting cell differentiation and implantation towards appropriate tissue regeneration. This review provides a comprehensive and updated perspective on the most recent advances in decellularization strategies for a variety of organs and tissues, highlighting techniques of chemical, physical, biological, enzymatic, or combinative-based methods to remove cellular contents from tissues. In addition, the review presents modernized approaches for improving standard decellularization protocols for numerous organ types.","author":[{"dropping-particle":"","family":"Moffat","given":"Deana","non-dropping-particle":"","parse-names":false,"suffix":""},{"dropping-particle":"","family":"Ye","given":"Kaiming","non-dropping-particle":"","parse-names":false,"suffix":""},{"dropping-particle":"","family":"Jin","given":"Sha","non-dropping-particle":"","parse-names":false,"suffix":""}],"container-title":"Journal of Tissue Engineering","id":"ITEM-1","issue":"204173142211011","issued":{"date-parts":[["2022","1"]]},"page":"1-29","publisher":"SAGE Publications","title":"Decellularization for the retention of tissue niches","type":"article-journal","volume":"13"},"uris":["http://www.mendeley.com/documents/?uuid=1ddddd76-0d69-39c7-bc23-00bea7e009a0"]}],"mendeley":{"formattedCitation":"(Moffat et al., 2022)","plainTextFormattedCitation":"(Moffat et al., 2022)","previouslyFormattedCitation":"(Moffat et al., 2022)"},"properties":{"noteIndex":0},"schema":"https://github.com/citation-style-language/schema/raw/master/csl-citation.json"}</w:instrText>
      </w:r>
      <w:r w:rsidR="00C7241A">
        <w:rPr>
          <w:lang w:val="en-GB"/>
        </w:rPr>
        <w:fldChar w:fldCharType="separate"/>
      </w:r>
      <w:r w:rsidR="00C7241A" w:rsidRPr="005C0A1B">
        <w:rPr>
          <w:noProof/>
          <w:lang w:val="en-GB"/>
        </w:rPr>
        <w:t>(Moffat et al., 2022)</w:t>
      </w:r>
      <w:r w:rsidR="00C7241A">
        <w:rPr>
          <w:lang w:val="en-GB"/>
        </w:rPr>
        <w:fldChar w:fldCharType="end"/>
      </w:r>
    </w:p>
    <w:p w14:paraId="19BD7C15" w14:textId="77777777" w:rsidR="00E44926" w:rsidRDefault="00E44926" w:rsidP="006228B8">
      <w:pPr>
        <w:pStyle w:val="CETBodytext"/>
        <w:rPr>
          <w:lang w:val="en-GB"/>
        </w:rPr>
      </w:pPr>
    </w:p>
    <w:p w14:paraId="57168381" w14:textId="27BF1E1A" w:rsidR="00C7241A" w:rsidRDefault="00C7241A" w:rsidP="0096281B">
      <w:pPr>
        <w:pStyle w:val="CETBodytext"/>
      </w:pPr>
      <w:r w:rsidRPr="00C7241A">
        <w:t xml:space="preserve">Sodium lauryl sulfate, also known as sodium dodecyl sulfate, is a commonly used surfactant in cleaning and personal care products such as shampoos and detergents. Its concentration in products varies from 0.1 to 50%, depending on the intended use, and can be synthetically or naturally derived. Previous toxicity reviews indicate that it is suitable for human use. </w:t>
      </w:r>
      <w:r>
        <w:fldChar w:fldCharType="begin" w:fldLock="1"/>
      </w:r>
      <w:r>
        <w:instrText>ADDIN CSL_CITATION {"citationItems":[{"id":"ITEM-1","itemData":{"DOI":"10.4137/EHI.S31765","ISSN":"11786302","abstract":"Environmental chemical exposure is a major concern for consumers of packaged goods. The complexity of chemical nomenclature and wide availability of scientific research provide detailed information but lends itself to misinterpretation by the lay person. For the surfactant sodium lauryl sulfate (SLS), this has resulted in a misunderstanding of the environmental health impact of the chemical and statements in the media that are not scientifically supported. This review demonstrates how scientific works can be misinterpreted and used in a manner that was not intended by the authors, while simultaneously providing insight into the true environmental health impact of SLS. SLS is an anionic surfactant commonly used in consumer household cleaning products. For decades, this chemical has been developing a negative reputation with consumers because of inaccurate interpretations of the scientific literature and confusion between SLS and chemicals with similar names. Here, we review the human and environmental toxicity profiles of SLS and demonstrate that it is safe for use in consumer household cleaning products.","author":[{"dropping-particle":"","family":"Bondi","given":"Cara A.M.","non-dropping-particle":"","parse-names":false,"suffix":""},{"dropping-particle":"","family":"Marks","given":"Julia L.","non-dropping-particle":"","parse-names":false,"suffix":""},{"dropping-particle":"","family":"Wroblewski","given":"Lauren B.","non-dropping-particle":"","parse-names":false,"suffix":""},{"dropping-particle":"","family":"Raatikainen","given":"Heidi S.","non-dropping-particle":"","parse-names":false,"suffix":""},{"dropping-particle":"","family":"Lenox","given":"Shannon R.","non-dropping-particle":"","parse-names":false,"suffix":""},{"dropping-particle":"","family":"Gebhardt","given":"Kay E.","non-dropping-particle":"","parse-names":false,"suffix":""}],"container-title":"Environmental Health Insights","id":"ITEM-1","issued":{"date-parts":[["2015"]]},"page":"27-32","title":"Human and Environmental Toxicity of Sodium Lauryl Sulfate (SLS): Evidence for Safe Use in Household Cleaning Products","type":"article-journal","volume":"9"},"uris":["http://www.mendeley.com/documents/?uuid=a276ca9f-3938-4f2c-b203-62a3d0b1aa88"]}],"mendeley":{"formattedCitation":"(Bondi et al., 2015)","plainTextFormattedCitation":"(Bondi et al., 2015)","previouslyFormattedCitation":"(Bondi et al., 2015)"},"properties":{"noteIndex":0},"schema":"https://github.com/citation-style-language/schema/raw/master/csl-citation.json"}</w:instrText>
      </w:r>
      <w:r>
        <w:fldChar w:fldCharType="separate"/>
      </w:r>
      <w:r w:rsidRPr="00401A4F">
        <w:rPr>
          <w:noProof/>
        </w:rPr>
        <w:t>(Bondi et al., 2015)</w:t>
      </w:r>
      <w:r>
        <w:fldChar w:fldCharType="end"/>
      </w:r>
      <w:r w:rsidRPr="00C7241A">
        <w:t xml:space="preserve"> Sodium lauryl ether sulfate, which resembles SLS, is used in personal care products and is obtained by ethoxylation of sodium lauryl sulfate. Despite its structural similarity to SLS shown in Figure 1, SLES is considered milder and less irritating, although it has almost the same properties. Nevertheless, the time of exposure to detergents should be limited and they should be thoroughly washed off </w:t>
      </w:r>
      <w:r>
        <w:fldChar w:fldCharType="begin" w:fldLock="1"/>
      </w:r>
      <w:r>
        <w:instrText>ADDIN CSL_CITATION {"citationItems":[{"id":"ITEM-1","itemData":{"DOI":"10.1016/j.envpol.2017.04.008","ISSN":"18736424","PMID":"28411499","abstract":"The anionic surfactant sodium lauryl ether sulphate (SLES) is the main component of most commercial products used for soil conditioning in the excavation industry, in particular as lubricants for mechanized tunnelling. Its use during the excavation processes can result in either the subsequent possible re-use of the huge amount of soil debris as by-products (e.g. land covering) or its discharge as waste. Currently, there are neither SLES soil threshold limits in European legislation, nor comprehensive studies on the environmental risk for soil ecosystems in these exposure scenarios. In this context, the present paper reviews the available data on the intrinsic characteristics of persistence and the ecotoxicological effects of the anionic surfactant SLES. Although SLES is generally reported to be biodegradable in standard tests, with degradation rates between 7 h and 30 days, depending on the initial conditions, data on its biodegradation in environmental studies are quite scarce. Consequently, assessing SLES biodegradation rates in field conditions is crucial for evaluating if in residual concentrations (typically in the range 40–500 mg/kg in excavated soils) it can or not be a potential hazard for terrestrial and water organisms. Laboratory ecotoxicological tests pointed out detrimental effects of SLES for aquatic organisms, while data on the terrestrial species are rather poor so far and further studies at the expected environmental concentrations are necessary. Finally, the review reports the main analytical methods available for detecting anionic surfactants in solid matrices and the future research needed to improve knowledge on the possible environmental risks posed by the use of SLES in foaming agents for mechanized tunnelling.","author":[{"dropping-particle":"","family":"Barra Caracciolo","given":"Anna","non-dropping-particle":"","parse-names":false,"suffix":""},{"dropping-particle":"","family":"Cardoni","given":"Martina","non-dropping-particle":"","parse-names":false,"suffix":""},{"dropping-particle":"","family":"Pescatore","given":"Tanita","non-dropping-particle":"","parse-names":false,"suffix":""},{"dropping-particle":"","family":"Patrolecco","given":"Luisa","non-dropping-particle":"","parse-names":false,"suffix":""}],"container-title":"Environmental Pollution","id":"ITEM-1","issued":{"date-parts":[["2017"]]},"page":"94-103","publisher":"Elsevier Ltd","title":"Characteristics and environmental fate of the anionic surfactant sodium lauryl ether sulphate (SLES) used as the main component in foaming agents for mechanized tunnelling","type":"article-journal","volume":"226"},"uris":["http://www.mendeley.com/documents/?uuid=02686ba0-bb0d-4aae-8bd6-8958ff9e964b"]}],"mendeley":{"formattedCitation":"(Barra Caracciolo et al., 2017)","plainTextFormattedCitation":"(Barra Caracciolo et al., 2017)","previouslyFormattedCitation":"(Barra Caracciolo et al., 2017)"},"properties":{"noteIndex":0},"schema":"https://github.com/citation-style-language/schema/raw/master/csl-citation.json"}</w:instrText>
      </w:r>
      <w:r>
        <w:fldChar w:fldCharType="separate"/>
      </w:r>
      <w:r w:rsidRPr="00401A4F">
        <w:rPr>
          <w:noProof/>
        </w:rPr>
        <w:t>(Barra Caracciolo et al., 2017)</w:t>
      </w:r>
      <w:r>
        <w:fldChar w:fldCharType="end"/>
      </w:r>
      <w:r w:rsidRPr="00C7241A">
        <w:t>.</w:t>
      </w:r>
    </w:p>
    <w:p w14:paraId="533298A3" w14:textId="132BD737" w:rsidR="00A11D00" w:rsidRDefault="00A11D00" w:rsidP="0096281B">
      <w:pPr>
        <w:pStyle w:val="CETBodytext"/>
      </w:pPr>
    </w:p>
    <w:p w14:paraId="1841C73B" w14:textId="1CD89B1D" w:rsidR="008166A7" w:rsidRDefault="00A11D00" w:rsidP="0096281B">
      <w:pPr>
        <w:pStyle w:val="CETBodytext"/>
      </w:pPr>
      <w:r w:rsidRPr="00A11D00">
        <w:rPr>
          <w:noProof/>
        </w:rPr>
        <w:t xml:space="preserve"> </w:t>
      </w:r>
      <w:r>
        <w:rPr>
          <w:noProof/>
        </w:rPr>
        <w:drawing>
          <wp:inline distT="0" distB="0" distL="0" distR="0" wp14:anchorId="51FCE029" wp14:editId="6D3067F3">
            <wp:extent cx="3832223" cy="17937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S i SLES chemdraw.tif"/>
                    <pic:cNvPicPr/>
                  </pic:nvPicPr>
                  <pic:blipFill>
                    <a:blip r:embed="rId12">
                      <a:extLst>
                        <a:ext uri="{28A0092B-C50C-407E-A947-70E740481C1C}">
                          <a14:useLocalDpi xmlns:a14="http://schemas.microsoft.com/office/drawing/2010/main" val="0"/>
                        </a:ext>
                      </a:extLst>
                    </a:blip>
                    <a:stretch>
                      <a:fillRect/>
                    </a:stretch>
                  </pic:blipFill>
                  <pic:spPr>
                    <a:xfrm>
                      <a:off x="0" y="0"/>
                      <a:ext cx="3855491" cy="1804669"/>
                    </a:xfrm>
                    <a:prstGeom prst="rect">
                      <a:avLst/>
                    </a:prstGeom>
                  </pic:spPr>
                </pic:pic>
              </a:graphicData>
            </a:graphic>
          </wp:inline>
        </w:drawing>
      </w:r>
    </w:p>
    <w:p w14:paraId="2286F4BC" w14:textId="77777777" w:rsidR="00A11D00" w:rsidRDefault="00A11D00" w:rsidP="00A11D00">
      <w:pPr>
        <w:pStyle w:val="CETBodytext"/>
        <w:rPr>
          <w:rStyle w:val="CETCaptionCarattere"/>
        </w:rPr>
      </w:pPr>
      <w:r w:rsidRPr="00BD077D">
        <w:rPr>
          <w:rStyle w:val="CETCaptionCarattere"/>
        </w:rPr>
        <w:t xml:space="preserve">Figure 1: </w:t>
      </w:r>
      <w:r>
        <w:rPr>
          <w:rStyle w:val="CETCaptionCarattere"/>
        </w:rPr>
        <w:t>Structure of detergents sodium lauryl sulfate (a) and sodium lauryl ether sulfate (b)</w:t>
      </w:r>
    </w:p>
    <w:p w14:paraId="2DA339D1" w14:textId="0BB36BBA" w:rsidR="00681848" w:rsidRDefault="00681848" w:rsidP="00FE666A">
      <w:pPr>
        <w:pStyle w:val="CETBodytext"/>
        <w:rPr>
          <w:lang w:val="en-GB"/>
        </w:rPr>
      </w:pPr>
    </w:p>
    <w:p w14:paraId="196EF0D4" w14:textId="6680B0E8" w:rsidR="00036B9F" w:rsidRDefault="00036B9F" w:rsidP="00FE666A">
      <w:pPr>
        <w:pStyle w:val="CETBodytext"/>
        <w:rPr>
          <w:lang w:val="en-GB"/>
        </w:rPr>
      </w:pPr>
      <w:r>
        <w:rPr>
          <w:lang w:val="en-GB"/>
        </w:rPr>
        <w:fldChar w:fldCharType="begin" w:fldLock="1"/>
      </w:r>
      <w:r>
        <w:rPr>
          <w:lang w:val="en-GB"/>
        </w:rPr>
        <w:instrText>ADDIN CSL_CITATION {"citationItems":[{"id":"ITEM-1","itemData":{"DOI":"10.1007/s00441-021-03517-5","ISBN":"0123456789","ISSN":"14320878","PMID":"34424397","abstract":"An automatic decellularization device was developed to perfuse and decellularize male rats’ kidneys using both sodium lauryl ether sulfate (SLES) and sodium dodecyl sulfate (SDS) and to compare their efficacy in kidney decellularization and post-transplantation angiogenesis. Kidneys were perfused with either 1% SDS solution for 4 h or 1% SLES solution for 6 h. The decellularized scaffolds were stained with hematoxylin and eosin, periodic acid Schiff, Masson’s trichrome, and Alcian blue to determine cell removal and glycogen, collagen, and glycosaminoglycan contents, respectively. Moreover, scanning electron microscopy was performed to evaluate the cell removal and preservation of microarchitecture of both SDS and SLES scaffolds. Additionally, DNA quantification assay was applied for all groups in order to measure residual DNA in the scaffolds and normal kidney. In order to demonstrate biocompatibility of the decellularized scaffolds, human umbilical cord mesenchymal stromal/stem cells (hUC-MSCs) were seeded on the scaffolds. In addition, the allotransplantation was performed in back muscle and angiogenesis was evaluated. Complete cell removal in both SLES and SDS groups was observed in scanning electron microscopy and DNA quantification assays. Moreover, the extracellular matrix (ECM) architecture of rat kidney in the SLES group was significantly preserved better than the SDS group. The hUC-MSCs were successfully migrated from the cell culture plate surface into the SDS and SLES decellularized scaffolds. The formation of blood vessels was observed in the kidney in both SLES and SDS decellularized kidneys. The better preservation of ECM than SDS introduces SLES as the solvent of choice for kidney decellularization.","author":[{"dropping-particle":"","family":"Keshvari","given":"Mohammad Amin","non-dropping-particle":"","parse-names":false,"suffix":""},{"dropping-particle":"","family":"Afshar","given":"Alireza","non-dropping-particle":"","parse-names":false,"suffix":""},{"dropping-particle":"","family":"Daneshi","given":"Sajad","non-dropping-particle":"","parse-names":false,"suffix":""},{"dropping-particle":"","family":"Khoradmehr","given":"Arezoo","non-dropping-particle":"","parse-names":false,"suffix":""},{"dropping-particle":"","family":"Baghban","given":"Mandana","non-dropping-particle":"","parse-names":false,"suffix":""},{"dropping-particle":"","family":"Muhaddesi","given":"Mahdi","non-dropping-particle":"","parse-names":false,"suffix":""},{"dropping-particle":"","family":"Behrouzi","given":"Pouya","non-dropping-particle":"","parse-names":false,"suffix":""},{"dropping-particle":"","family":"Miri","given":"Mohammad Reza","non-dropping-particle":"","parse-names":false,"suffix":""},{"dropping-particle":"","family":"Azari","given":"Hossein","non-dropping-particle":"","parse-names":false,"suffix":""},{"dropping-particle":"","family":"Nabipour","given":"Iraj","non-dropping-particle":"","parse-names":false,"suffix":""},{"dropping-particle":"","family":"Shirazi","given":"Reza","non-dropping-particle":"","parse-names":false,"suffix":""},{"dropping-particle":"","family":"Mahmudpour","given":"Mehdi","non-dropping-particle":"","parse-names":false,"suffix":""},{"dropping-particle":"","family":"Tamadon","given":"Amin","non-dropping-particle":"","parse-names":false,"suffix":""}],"container-title":"Cell and Tissue Research","id":"ITEM-1","issue":"2","issued":{"date-parts":[["2021"]]},"page":"365-378","publisher":"Springer Berlin Heidelberg","title":"Decellularization of kidney tissue: comparison of sodium lauryl ether sulfate and sodium dodecyl sulfate for allotransplantation in rat","type":"article-journal","volume":"386"},"uris":["http://www.mendeley.com/documents/?uuid=ff019350-5adb-4668-a197-d2309a178fe3"]}],"mendeley":{"formattedCitation":"(Keshvari et al., 2021)","manualFormatting":"Keshvari et al., (2021)","plainTextFormattedCitation":"(Keshvari et al., 2021)","previouslyFormattedCitation":"(Keshvari et al., 2021)"},"properties":{"noteIndex":0},"schema":"https://github.com/citation-style-language/schema/raw/master/csl-citation.json"}</w:instrText>
      </w:r>
      <w:r>
        <w:rPr>
          <w:lang w:val="en-GB"/>
        </w:rPr>
        <w:fldChar w:fldCharType="separate"/>
      </w:r>
      <w:r w:rsidRPr="00036B9F">
        <w:rPr>
          <w:noProof/>
          <w:lang w:val="en-GB"/>
        </w:rPr>
        <w:t xml:space="preserve">Keshvari et al., </w:t>
      </w:r>
      <w:r>
        <w:rPr>
          <w:noProof/>
          <w:lang w:val="en-GB"/>
        </w:rPr>
        <w:t>(</w:t>
      </w:r>
      <w:r w:rsidRPr="00036B9F">
        <w:rPr>
          <w:noProof/>
          <w:lang w:val="en-GB"/>
        </w:rPr>
        <w:t>2021)</w:t>
      </w:r>
      <w:r>
        <w:rPr>
          <w:lang w:val="en-GB"/>
        </w:rPr>
        <w:fldChar w:fldCharType="end"/>
      </w:r>
      <w:r>
        <w:rPr>
          <w:lang w:val="en-GB"/>
        </w:rPr>
        <w:t xml:space="preserve"> </w:t>
      </w:r>
      <w:r w:rsidRPr="00036B9F">
        <w:rPr>
          <w:lang w:val="en-GB"/>
        </w:rPr>
        <w:t xml:space="preserve">performed decellularization with both detergents and showed that ECM components were better preserved with SLES, but both were well accepted and vascularized in </w:t>
      </w:r>
      <w:r w:rsidRPr="00FA01A9">
        <w:rPr>
          <w:i/>
          <w:lang w:val="en-GB"/>
        </w:rPr>
        <w:t>in vivo</w:t>
      </w:r>
      <w:r w:rsidRPr="00036B9F">
        <w:rPr>
          <w:lang w:val="en-GB"/>
        </w:rPr>
        <w:t xml:space="preserve"> studies in rats. Similar results were </w:t>
      </w:r>
      <w:r w:rsidR="00135035">
        <w:rPr>
          <w:lang w:val="en-GB"/>
        </w:rPr>
        <w:t>provided</w:t>
      </w:r>
      <w:r w:rsidRPr="00036B9F">
        <w:rPr>
          <w:lang w:val="en-GB"/>
        </w:rPr>
        <w:t xml:space="preserve"> by </w:t>
      </w:r>
      <w:r>
        <w:rPr>
          <w:lang w:val="en-GB"/>
        </w:rPr>
        <w:fldChar w:fldCharType="begin" w:fldLock="1"/>
      </w:r>
      <w:r>
        <w:rPr>
          <w:lang w:val="en-GB"/>
        </w:rPr>
        <w:instrText>ADDIN CSL_CITATION {"citationItems":[{"id":"ITEM-1","itemData":{"DOI":"10.1186/s13287-022-02711-8","ISSN":"17576512","PMID":"35090559","abstract":"Introduction: Regenerative medicine provides promising approaches for treating chronic liver diseases. Previous studies indicate that decellularized liver architecture is damaged by invading non-hepatic inflammatory cells. This study aimed to use anti-inflammatory and regenerative potency of bone marrow-derived mesenchymal stem cells (BM-MSC) and prednisolone for reducing fibrosis and balancing inflammatory cell migration into the decellularized liver scaffold. Material and method: The liver was decellularized by perfusing Sodium Lauryl Ether Sulfate (SLES), and nuclei depletion and extracellular matrix (ECM) retention were confirmed by DNA quantification, histochemical, and immunohistochemical assessments. Scaffolds were loaded with BM-MSCs, prednisolone, or a combination of both, implanted at the anatomical place in the rat partial hepatectomized and followed up for 2 and 4 weeks. Results: Labeled-MSCs were traced in the transplanted scaffolds; however, they did not migrate into the intact liver. Immunohistochemistry showed that the hepatoblasts, cholangiocytes, stellate, and oval cells invaded into all the scaffolds. Bile ducts were more abundant in the border of the scaffolds and intact liver. Stereological assessments showed a significant reduction in the number of lymphocytes and neutrophils in prednisolone-loaded scaffolds. The regeneration process and angiogenesis were significantly higher in the group treated with cell/prednisolone-loaded bioscaffolds. Collagen fibers were significantly reduced in the scaffolds pre-treated with cell/prednisolone, prednisolone, or BM-MSCs, compared to the control group. Conclusion: Loading prednisolone into the scaffolds can be a worthy approach to restrict inflammation after transplantation. Although pre-loading of the scaffolds with a combination of cells/prednisolone could not alleviate inflammation, it played an important role in regeneration and angiogenesis.","author":[{"dropping-particle":"","family":"Yaghoubi","given":"Atefeh","non-dropping-particle":"","parse-names":false,"suffix":""},{"dropping-particle":"","family":"Azarpira","given":"Negar","non-dropping-particle":"","parse-names":false,"suffix":""},{"dropping-particle":"","family":"Karbalay-Doust","given":"Saied","non-dropping-particle":"","parse-names":false,"suffix":""},{"dropping-particle":"","family":"Daneshi","given":"Sajad","non-dropping-particle":"","parse-names":false,"suffix":""},{"dropping-particle":"","family":"Vojdani","given":"Zahra","non-dropping-particle":"","parse-names":false,"suffix":""},{"dropping-particle":"","family":"Talaei-Khozani","given":"Tahereh","non-dropping-particle":"","parse-names":false,"suffix":""}],"container-title":"Stem Cell Research and Therapy","id":"ITEM-1","issue":"1","issued":{"date-parts":[["2022"]]},"page":"1-18","title":"Prednisolone and mesenchymal stem cell preloading protect liver cell migration and mitigate extracellular matrix modification in transplanted decellularized rat liver","type":"article-journal","volume":"13"},"uris":["http://www.mendeley.com/documents/?uuid=6c30db76-0288-43ce-af74-e6013a1ccb72"]}],"mendeley":{"formattedCitation":"(Yaghoubi et al., 2022)","manualFormatting":"Yaghoubi et al., (2022)","plainTextFormattedCitation":"(Yaghoubi et al., 2022)","previouslyFormattedCitation":"(Yaghoubi et al., 2022)"},"properties":{"noteIndex":0},"schema":"https://github.com/citation-style-language/schema/raw/master/csl-citation.json"}</w:instrText>
      </w:r>
      <w:r>
        <w:rPr>
          <w:lang w:val="en-GB"/>
        </w:rPr>
        <w:fldChar w:fldCharType="separate"/>
      </w:r>
      <w:r w:rsidRPr="00036B9F">
        <w:rPr>
          <w:noProof/>
          <w:lang w:val="en-GB"/>
        </w:rPr>
        <w:t xml:space="preserve">Yaghoubi et al., </w:t>
      </w:r>
      <w:r>
        <w:rPr>
          <w:noProof/>
          <w:lang w:val="en-GB"/>
        </w:rPr>
        <w:t>(</w:t>
      </w:r>
      <w:r w:rsidRPr="00036B9F">
        <w:rPr>
          <w:noProof/>
          <w:lang w:val="en-GB"/>
        </w:rPr>
        <w:t>2022)</w:t>
      </w:r>
      <w:r>
        <w:rPr>
          <w:lang w:val="en-GB"/>
        </w:rPr>
        <w:fldChar w:fldCharType="end"/>
      </w:r>
      <w:r>
        <w:rPr>
          <w:lang w:val="en-GB"/>
        </w:rPr>
        <w:t xml:space="preserve"> </w:t>
      </w:r>
      <w:r w:rsidRPr="00036B9F">
        <w:rPr>
          <w:lang w:val="en-GB"/>
        </w:rPr>
        <w:t xml:space="preserve">who demonstrated good preservation of tissue structure after decellularization with SLES, angiogenesis, and no graft rejection in </w:t>
      </w:r>
      <w:r w:rsidRPr="00FA01A9">
        <w:rPr>
          <w:i/>
          <w:lang w:val="en-GB"/>
        </w:rPr>
        <w:t>in vivo</w:t>
      </w:r>
      <w:r w:rsidRPr="00036B9F">
        <w:rPr>
          <w:lang w:val="en-GB"/>
        </w:rPr>
        <w:t xml:space="preserve"> studies in male Sprague-Dawley rats. </w:t>
      </w:r>
      <w:r>
        <w:rPr>
          <w:lang w:val="en-GB"/>
        </w:rPr>
        <w:fldChar w:fldCharType="begin" w:fldLock="1"/>
      </w:r>
      <w:r w:rsidR="00D33D00">
        <w:rPr>
          <w:lang w:val="en-GB"/>
        </w:rPr>
        <w:instrText>ADDIN CSL_CITATION {"citationItems":[{"id":"ITEM-1","itemData":{"DOI":"10.1186/s13287-018-0971-5","ISSN":"17576512","PMID":"30257706","abstract":"BACKGROUND: The increasing number of patients with ovarian insufficiency due to autoimmune disorders, genetic predisposition, or iatrogenic effects of treatment such as cancer therapies necessitates an urgent measure to find a safe and transplantable alternative ovary. A bioengineered ovary is one of the strategies on which the researchers have recently been working. An engineered ovary should be able to mimic the natural ovary aspects. Recent studies suggest that the decellularized organ-specific extracellular matrix-based scaffolds can serve as a native niche to bioengineering artificial organs. Therefore, we established a human decellularized ovarian scaffold based on a sodium lauryl ester sulfate (SLES)-treated process, as an optimized protocol. METHODS: The human ovary samples were decellularized with 1% SLES for 48 h followed by DNase I in PBS for 24 h, and then thoroughly rinsed in PBS to remove the cell remnants and chemical reagents. Efficient cell removal was confirmed by DNA content analysis, hematoxylin and eosin, and Hoechst staining. Preservation assessment of the extracellular matrix structures was performed by immunohistochemistry, histological staining, and scanning electron microscopy. An MTT test was done to assess the in vitro scaffold's cytocompatibility, and finally in vivo studies were performed to evaluate the biocompatibility, bioactivity, and secretion functions of the ovarian grafts made of primary ovarian cells (POCs) on the decellularized scaffolds. RESULTS: Evidence provided by SEM, histochemical, and immunohistochemical analyses showed that the ovarian extracellular matrix was preserved after decellularization. Moreover, MTT test indicated the suitable cytocompatibility of the scaffolds. The in vivo assessment showed that the POCs kept their viability and bioactivity, and reconstructed the primordial or primary follicle-like structures within the scaffolds after transplantation. Immunostaining characterized somatic cells that were capable of expressing steroid hormone receptors; also, as a marker of granulosa cell, inhibin-α immunostaining demonstrated these cells within the grafts. Additionally, hormone assessment showed that serum estradiol and progesterone levels were significantly higher in ovariectomized rats with ovarian cells-seeded grafts than those with or without decellularized scaffold grafts. CONCLUSIONS: A human ovary-specific scaffold based on a SLES-decellularized protocol as a biomimicry of the natural ovar…","author":[{"dropping-particle":"","family":"Hassanpour","given":"Ashraf","non-dropping-particle":"","parse-names":false,"suffix":""},{"dropping-particle":"","family":"Talaei-Khozani","given":"Tahereh","non-dropping-particle":"","parse-names":false,"suffix":""},{"dropping-particle":"","family":"Kargar-Abarghouei","given":"Elias","non-dropping-particle":"","parse-names":false,"suffix":""},{"dropping-particle":"","family":"Razban","given":"Vahid","non-dropping-particle":"","parse-names":false,"suffix":""},{"dropping-particle":"","family":"Vojdani","given":"Zahra","non-dropping-particle":"","parse-names":false,"suffix":""}],"container-title":"Stem cell research &amp; therapy","id":"ITEM-1","issue":"1","issued":{"date-parts":[["2018","9","26"]]},"page":"252-265","publisher":"NLM (Medline)","title":"Decellularized human ovarian scaffold based on a sodium lauryl ester sulfate (SLES)-treated protocol, as a natural three-dimensional scaffold for construction of bioengineered ovaries","type":"article-journal","volume":"9"},"uris":["http://www.mendeley.com/documents/?uuid=f8c5461c-28bb-3e1b-a2ab-8bfdd149b41d"]}],"mendeley":{"formattedCitation":"(Hassanpour et al., 2018)","manualFormatting":"Hassanpour et al., (2018)","plainTextFormattedCitation":"(Hassanpour et al., 2018)","previouslyFormattedCitation":"(Hassanpour et al., 2018)"},"properties":{"noteIndex":0},"schema":"https://github.com/citation-style-language/schema/raw/master/csl-citation.json"}</w:instrText>
      </w:r>
      <w:r>
        <w:rPr>
          <w:lang w:val="en-GB"/>
        </w:rPr>
        <w:fldChar w:fldCharType="separate"/>
      </w:r>
      <w:r w:rsidRPr="00036B9F">
        <w:rPr>
          <w:noProof/>
          <w:lang w:val="en-GB"/>
        </w:rPr>
        <w:t xml:space="preserve">Hassanpour et al., </w:t>
      </w:r>
      <w:r>
        <w:rPr>
          <w:noProof/>
          <w:lang w:val="en-GB"/>
        </w:rPr>
        <w:t>(</w:t>
      </w:r>
      <w:r w:rsidRPr="00036B9F">
        <w:rPr>
          <w:noProof/>
          <w:lang w:val="en-GB"/>
        </w:rPr>
        <w:t>2018)</w:t>
      </w:r>
      <w:r>
        <w:rPr>
          <w:lang w:val="en-GB"/>
        </w:rPr>
        <w:fldChar w:fldCharType="end"/>
      </w:r>
      <w:r>
        <w:rPr>
          <w:lang w:val="en-GB"/>
        </w:rPr>
        <w:t xml:space="preserve"> </w:t>
      </w:r>
      <w:r w:rsidRPr="00036B9F">
        <w:rPr>
          <w:lang w:val="en-GB"/>
        </w:rPr>
        <w:t>developed a decellularization protocol with SLES for human ovarian tissue. T</w:t>
      </w:r>
      <w:r w:rsidR="00135035">
        <w:rPr>
          <w:lang w:val="en-GB"/>
        </w:rPr>
        <w:t xml:space="preserve">issue </w:t>
      </w:r>
      <w:r w:rsidRPr="00036B9F">
        <w:rPr>
          <w:lang w:val="en-GB"/>
        </w:rPr>
        <w:t xml:space="preserve">structure was well preserved, </w:t>
      </w:r>
      <w:r w:rsidR="00135035">
        <w:rPr>
          <w:lang w:val="en-GB"/>
        </w:rPr>
        <w:t>3</w:t>
      </w:r>
      <w:r w:rsidRPr="00036B9F">
        <w:rPr>
          <w:lang w:val="en-GB"/>
        </w:rPr>
        <w:t>-(4, 5-dimethylthiazolyl-2)-2, 5-diphenyltetrazolium bromide (MTT) assay indicated cytocompatibility, and the seeded primary ovarian cells remained viable and bioactive</w:t>
      </w:r>
      <w:r w:rsidR="00135035">
        <w:rPr>
          <w:lang w:val="en-GB"/>
        </w:rPr>
        <w:t xml:space="preserve"> and</w:t>
      </w:r>
      <w:r w:rsidRPr="00036B9F">
        <w:rPr>
          <w:lang w:val="en-GB"/>
        </w:rPr>
        <w:t xml:space="preserve"> express</w:t>
      </w:r>
      <w:r w:rsidR="00135035">
        <w:rPr>
          <w:lang w:val="en-GB"/>
        </w:rPr>
        <w:t>ed</w:t>
      </w:r>
      <w:r w:rsidRPr="00036B9F">
        <w:rPr>
          <w:lang w:val="en-GB"/>
        </w:rPr>
        <w:t xml:space="preserve"> higher hormone levels in rats with ceded grafts than control ones.</w:t>
      </w:r>
    </w:p>
    <w:p w14:paraId="588884C7" w14:textId="085AA42F" w:rsidR="005A5807" w:rsidRDefault="005A5807" w:rsidP="00FE666A">
      <w:pPr>
        <w:pStyle w:val="CETBodytext"/>
        <w:rPr>
          <w:lang w:val="en-GB"/>
        </w:rPr>
      </w:pPr>
    </w:p>
    <w:p w14:paraId="195A0BA7" w14:textId="3406B5F8" w:rsidR="005A5807" w:rsidRDefault="005A5807" w:rsidP="00FE666A">
      <w:pPr>
        <w:pStyle w:val="CETBodytext"/>
      </w:pPr>
      <w:r>
        <w:t xml:space="preserve">Previous research has shown that SLS is the most promising method of decellularization because it is accessible and successfully removes cells, but the </w:t>
      </w:r>
      <w:r w:rsidR="00135035">
        <w:t>main</w:t>
      </w:r>
      <w:r>
        <w:t xml:space="preserve"> problem with its use is excessive damage to ECM components.</w:t>
      </w:r>
      <w:r w:rsidR="007B5C9C" w:rsidRPr="007B5C9C">
        <w:t xml:space="preserve"> </w:t>
      </w:r>
      <w:r w:rsidR="007B5C9C">
        <w:fldChar w:fldCharType="begin" w:fldLock="1"/>
      </w:r>
      <w:r w:rsidR="007B5C9C">
        <w:instrText>ADDIN CSL_CITATION {"citationItems":[{"id":"ITEM-1","itemData":{"DOI":"10.1002/jbm.a.35474","ISSN":"15524965","PMID":"25850947","abstract":"Whole organ tissue engineering for various organs, including the heart, lung, liver, and kidney, has demonstrated promising results for end-stage organ failure. However, the sodium dodecyl sulfate (SDS)-based protocol for standard decellularization has drawbacks such as clot formation in vascularized transplantation and poor cell engraftment in recellularization procedures. Preservation of the surface milieu of extracellular matrices (ECMs) might be crucial for organ generation based on decellularization/recellularization engineering. We examined a novel detergent, sodium lauryl ether sulfate (SLES), to determine whether it could overcome the drawbacks associated with SDS using rat heart and kidney. Both organs were perfused in an antegrade fashion with either SLES or SDS. Although immunohistochemistry for collagen I, IV, laminin, and fibronectin showed similar preservation in both detergents, morphological analysis using scanning electron microscopy and an assay of glycosaminoglycan content on ECMs showed that SLES-treated tissues had better-preserved ECMs than SDS-treated tissues. Mesenteric transplantation revealed SLES did not induce significant inflammation, as opposed to SDS. Platelet adhesion to decellularized tissues was significantly reduced with SLES. Overall, SLES could replace older detergents such as SDS in the decellularization process for generation of transplantable recellularized organs.","author":[{"dropping-particle":"","family":"Kawasaki","given":"Takanori","non-dropping-particle":"","parse-names":false,"suffix":""},{"dropping-particle":"","family":"Kirita","given":"Yuhei","non-dropping-particle":"","parse-names":false,"suffix":""},{"dropping-particle":"","family":"Kami","given":"Daisuke","non-dropping-particle":"","parse-names":false,"suffix":""},{"dropping-particle":"","family":"Kitani","given":"Tomoya","non-dropping-particle":"","parse-names":false,"suffix":""},{"dropping-particle":"","family":"Ozaki","given":"Chisa","non-dropping-particle":"","parse-names":false,"suffix":""},{"dropping-particle":"","family":"Itakura","given":"Yoko","non-dropping-particle":"","parse-names":false,"suffix":""},{"dropping-particle":"","family":"Toyoda","given":"Masashi","non-dropping-particle":"","parse-names":false,"suffix":""},{"dropping-particle":"","family":"Gojo","given":"Satoshi","non-dropping-particle":"","parse-names":false,"suffix":""}],"container-title":"Journal of Biomedical Materials Research - Part A","id":"ITEM-1","issue":"10","issued":{"date-parts":[["2015","10","1"]]},"page":"3364-3373","publisher":"John Wiley and Sons Inc.","title":"Novel detergent for whole organ tissue engineering","type":"article-journal","volume":"103"},"uris":["http://www.mendeley.com/documents/?uuid=952d643d-a186-30e0-b49f-d8cca52a7260"]}],"mendeley":{"formattedCitation":"(Kawasaki et al., 2015)","plainTextFormattedCitation":"(Kawasaki et al., 2015)","previouslyFormattedCitation":"(Kawasaki et al., 2015)"},"properties":{"noteIndex":0},"schema":"https://github.com/citation-style-language/schema/raw/master/csl-citation.json"}</w:instrText>
      </w:r>
      <w:r w:rsidR="007B5C9C">
        <w:fldChar w:fldCharType="separate"/>
      </w:r>
      <w:r w:rsidR="007B5C9C" w:rsidRPr="00401A4F">
        <w:rPr>
          <w:noProof/>
        </w:rPr>
        <w:t>(Kawasaki et al., 2015)</w:t>
      </w:r>
      <w:r w:rsidR="007B5C9C">
        <w:fldChar w:fldCharType="end"/>
      </w:r>
      <w:r>
        <w:t xml:space="preserve"> </w:t>
      </w:r>
      <w:r w:rsidR="00135035">
        <w:t>The a</w:t>
      </w:r>
      <w:r>
        <w:t xml:space="preserve">im of this work was to overcome </w:t>
      </w:r>
      <w:r w:rsidR="00135035">
        <w:t xml:space="preserve">the </w:t>
      </w:r>
      <w:r>
        <w:t xml:space="preserve">above problem of SLS detergent. Therefore, a milder but structurally similar detergent, sodium lauryl ether sulfate (SLES), was used and </w:t>
      </w:r>
      <w:r w:rsidR="009C3CB9">
        <w:t xml:space="preserve">the </w:t>
      </w:r>
      <w:r>
        <w:t xml:space="preserve">results were compared. </w:t>
      </w:r>
    </w:p>
    <w:p w14:paraId="6A867E04" w14:textId="77777777" w:rsidR="007B5C9C" w:rsidRPr="00DB41D3" w:rsidRDefault="007B5C9C" w:rsidP="00FE666A">
      <w:pPr>
        <w:pStyle w:val="CETBodytext"/>
      </w:pPr>
    </w:p>
    <w:p w14:paraId="5741900F" w14:textId="78BB30A8" w:rsidR="00453E24" w:rsidRPr="0006661A" w:rsidRDefault="00133714" w:rsidP="0006661A">
      <w:pPr>
        <w:pStyle w:val="CETHeading1"/>
      </w:pPr>
      <w:r w:rsidRPr="0006661A">
        <w:t>Materials and methods</w:t>
      </w:r>
    </w:p>
    <w:p w14:paraId="5F33BF85" w14:textId="1998DB22" w:rsidR="003B6291" w:rsidRDefault="00DB3791" w:rsidP="0006661A">
      <w:pPr>
        <w:pStyle w:val="CETBodytext"/>
      </w:pPr>
      <w:r>
        <w:t xml:space="preserve">Porcine liver was collected from the local butcher </w:t>
      </w:r>
      <w:r w:rsidR="009C3CB9">
        <w:t>store</w:t>
      </w:r>
      <w:r>
        <w:t xml:space="preserve"> and frozen at -20 </w:t>
      </w:r>
      <w:r w:rsidR="00E45D79">
        <w:rPr>
          <w:rFonts w:ascii="Calibri" w:hAnsi="Calibri" w:cs="Calibri"/>
        </w:rPr>
        <w:t>⁰</w:t>
      </w:r>
      <w:r w:rsidR="00E45D79">
        <w:t xml:space="preserve">C </w:t>
      </w:r>
      <w:r w:rsidR="00D926C7">
        <w:t>until later</w:t>
      </w:r>
      <w:r w:rsidRPr="00DB3791">
        <w:t xml:space="preserve"> use</w:t>
      </w:r>
      <w:r>
        <w:t xml:space="preserve">. Later, </w:t>
      </w:r>
      <w:r w:rsidR="009C3CB9">
        <w:t xml:space="preserve">the </w:t>
      </w:r>
      <w:r>
        <w:t xml:space="preserve">samples were </w:t>
      </w:r>
      <w:r w:rsidR="00382FFD">
        <w:t>cut into</w:t>
      </w:r>
      <w:r>
        <w:t xml:space="preserve"> 1 </w:t>
      </w:r>
      <w:r w:rsidR="00E45D79">
        <w:t>mm t</w:t>
      </w:r>
      <w:r>
        <w:t xml:space="preserve">hin </w:t>
      </w:r>
      <w:r w:rsidR="00382FFD">
        <w:t xml:space="preserve">pieces </w:t>
      </w:r>
      <w:r w:rsidR="009C3CB9">
        <w:t>of about</w:t>
      </w:r>
      <w:r>
        <w:t xml:space="preserve"> 1 </w:t>
      </w:r>
      <w:r w:rsidRPr="00337D95">
        <w:t>cm</w:t>
      </w:r>
      <w:r w:rsidRPr="00337D95">
        <w:rPr>
          <w:vertAlign w:val="superscript"/>
        </w:rPr>
        <w:t>2</w:t>
      </w:r>
      <w:r w:rsidR="00711384">
        <w:t>, then</w:t>
      </w:r>
      <w:r w:rsidR="00E45D79">
        <w:t xml:space="preserve"> immersed in </w:t>
      </w:r>
      <w:r w:rsidR="009C3CB9">
        <w:t xml:space="preserve">a </w:t>
      </w:r>
      <w:r w:rsidR="00E45D79">
        <w:t>0.9</w:t>
      </w:r>
      <w:r w:rsidR="009C3CB9">
        <w:t xml:space="preserve"> wt</w:t>
      </w:r>
      <w:r w:rsidR="00E45D79">
        <w:t>%</w:t>
      </w:r>
      <w:r>
        <w:t xml:space="preserve"> </w:t>
      </w:r>
      <w:r w:rsidR="009C3CB9">
        <w:t xml:space="preserve">NaCl </w:t>
      </w:r>
      <w:r>
        <w:t>solution</w:t>
      </w:r>
      <w:r w:rsidR="00711384">
        <w:t xml:space="preserve"> and agitated </w:t>
      </w:r>
      <w:r w:rsidR="009C3CB9">
        <w:t>with</w:t>
      </w:r>
      <w:r w:rsidR="00711384">
        <w:t xml:space="preserve"> mechanical stirrer</w:t>
      </w:r>
      <w:r w:rsidR="00621AEC">
        <w:t xml:space="preserve"> at</w:t>
      </w:r>
      <w:r w:rsidR="00711384">
        <w:t xml:space="preserve"> 400 </w:t>
      </w:r>
      <w:r w:rsidR="00711384" w:rsidRPr="00337D95">
        <w:t>rpm</w:t>
      </w:r>
      <w:r w:rsidR="00030FE5">
        <w:t>. The s</w:t>
      </w:r>
      <w:r>
        <w:t>olution was changed 4 times</w:t>
      </w:r>
      <w:r w:rsidR="00FF174F">
        <w:t xml:space="preserve"> and left overnight</w:t>
      </w:r>
      <w:r w:rsidR="00621AEC">
        <w:t xml:space="preserve"> on</w:t>
      </w:r>
      <w:r w:rsidR="00030FE5">
        <w:t xml:space="preserve"> a</w:t>
      </w:r>
      <w:r w:rsidR="00621AEC">
        <w:t xml:space="preserve"> magnetic stirrer at</w:t>
      </w:r>
      <w:r w:rsidR="00711384">
        <w:t xml:space="preserve"> 150 </w:t>
      </w:r>
      <w:r w:rsidR="00711384" w:rsidRPr="00337D95">
        <w:t>rpm</w:t>
      </w:r>
      <w:r w:rsidR="00036B9F">
        <w:t>. As shown in Table 1</w:t>
      </w:r>
      <w:r w:rsidR="00FF174F">
        <w:t xml:space="preserve">, </w:t>
      </w:r>
      <w:r w:rsidR="00030FE5">
        <w:t xml:space="preserve">the </w:t>
      </w:r>
      <w:r w:rsidR="00FF174F">
        <w:t>s</w:t>
      </w:r>
      <w:r>
        <w:t xml:space="preserve">amples were then </w:t>
      </w:r>
      <w:r w:rsidR="00A50B27">
        <w:t>divided</w:t>
      </w:r>
      <w:r w:rsidR="00621AEC">
        <w:t xml:space="preserve"> in</w:t>
      </w:r>
      <w:r w:rsidR="00A50B27">
        <w:t>to</w:t>
      </w:r>
      <w:r w:rsidR="00621AEC">
        <w:t xml:space="preserve"> 4 groups and stirred in</w:t>
      </w:r>
      <w:r>
        <w:t xml:space="preserve"> detergents SLS</w:t>
      </w:r>
      <w:r w:rsidR="00337D95">
        <w:t xml:space="preserve"> and SLES </w:t>
      </w:r>
      <w:r w:rsidR="00A50B27">
        <w:lastRenderedPageBreak/>
        <w:t>at concentration of</w:t>
      </w:r>
      <w:r w:rsidR="00337D95">
        <w:t xml:space="preserve"> 1 and 0.</w:t>
      </w:r>
      <w:r>
        <w:t xml:space="preserve">5 </w:t>
      </w:r>
      <w:r w:rsidR="00A50B27">
        <w:t>wt</w:t>
      </w:r>
      <w:r>
        <w:t>%</w:t>
      </w:r>
      <w:r w:rsidR="00621AEC">
        <w:rPr>
          <w:i/>
        </w:rPr>
        <w:t xml:space="preserve"> </w:t>
      </w:r>
      <w:r w:rsidR="00A50B27">
        <w:t>with a</w:t>
      </w:r>
      <w:r w:rsidR="00621AEC">
        <w:t xml:space="preserve"> magnetic stirrer at 150 </w:t>
      </w:r>
      <w:r w:rsidR="00621AEC" w:rsidRPr="00337D95">
        <w:t>rpm</w:t>
      </w:r>
      <w:r w:rsidR="00030FE5">
        <w:t xml:space="preserve">. </w:t>
      </w:r>
      <w:r w:rsidR="00A50B27">
        <w:t>The c</w:t>
      </w:r>
      <w:r w:rsidR="003B6291">
        <w:t xml:space="preserve">oncentrations of </w:t>
      </w:r>
      <w:r w:rsidR="00A50B27">
        <w:t xml:space="preserve">the </w:t>
      </w:r>
      <w:r w:rsidR="003B6291">
        <w:t xml:space="preserve">detergents were determined by previous </w:t>
      </w:r>
      <w:r w:rsidR="00A50B27">
        <w:t>studies which showed</w:t>
      </w:r>
      <w:r w:rsidR="003B6291">
        <w:t xml:space="preserve"> that concentration</w:t>
      </w:r>
      <w:r w:rsidR="007B5C9C">
        <w:t>s</w:t>
      </w:r>
      <w:r w:rsidR="003B6291">
        <w:t xml:space="preserve"> </w:t>
      </w:r>
      <w:r w:rsidR="00A50B27">
        <w:t>less than</w:t>
      </w:r>
      <w:r w:rsidR="003B6291">
        <w:t xml:space="preserve"> 0.5 </w:t>
      </w:r>
      <w:r w:rsidR="00A50B27">
        <w:t>wt</w:t>
      </w:r>
      <w:r w:rsidR="003B6291">
        <w:t xml:space="preserve">% </w:t>
      </w:r>
      <w:r w:rsidR="00A50B27">
        <w:t>required</w:t>
      </w:r>
      <w:r w:rsidR="003B6291">
        <w:t xml:space="preserve"> too many protocol steps to be effective. On the o</w:t>
      </w:r>
      <w:r w:rsidR="00DB41D3">
        <w:t xml:space="preserve">ther hand, concentrations </w:t>
      </w:r>
      <w:r w:rsidR="00A50B27">
        <w:t>higher than</w:t>
      </w:r>
      <w:r w:rsidR="003B6291">
        <w:t xml:space="preserve"> 1 </w:t>
      </w:r>
      <w:r w:rsidR="00A50B27">
        <w:t>wt</w:t>
      </w:r>
      <w:r w:rsidR="003B6291">
        <w:t xml:space="preserve">% were too aggressive </w:t>
      </w:r>
      <w:r w:rsidR="00A50B27">
        <w:t>for the</w:t>
      </w:r>
      <w:r w:rsidR="003B6291">
        <w:t xml:space="preserve"> ECM components. </w:t>
      </w:r>
    </w:p>
    <w:p w14:paraId="44161ABF" w14:textId="05AE8F21" w:rsidR="00973DB8" w:rsidRPr="00973DB8" w:rsidRDefault="00030FE5" w:rsidP="0006661A">
      <w:pPr>
        <w:pStyle w:val="CETBodytext"/>
        <w:rPr>
          <w:lang w:val="en-GB"/>
        </w:rPr>
      </w:pPr>
      <w:r>
        <w:t xml:space="preserve">Each group was </w:t>
      </w:r>
      <w:r w:rsidR="00DB3791">
        <w:t>divided</w:t>
      </w:r>
      <w:r w:rsidR="00FF174F">
        <w:t xml:space="preserve"> into</w:t>
      </w:r>
      <w:r>
        <w:t xml:space="preserve"> </w:t>
      </w:r>
      <w:r w:rsidR="00A50B27">
        <w:t xml:space="preserve">a </w:t>
      </w:r>
      <w:r>
        <w:t>subgroup</w:t>
      </w:r>
      <w:r w:rsidR="00FF174F">
        <w:t xml:space="preserve"> </w:t>
      </w:r>
      <w:r w:rsidR="00E45D79" w:rsidRPr="00E45D79">
        <w:rPr>
          <w:b/>
          <w:i/>
        </w:rPr>
        <w:t>a</w:t>
      </w:r>
      <w:r w:rsidR="00E45D79">
        <w:rPr>
          <w:i/>
        </w:rPr>
        <w:t xml:space="preserve"> </w:t>
      </w:r>
      <w:r w:rsidR="00E45D79">
        <w:t>a</w:t>
      </w:r>
      <w:r w:rsidR="00FF174F">
        <w:t>nd</w:t>
      </w:r>
      <w:r>
        <w:t xml:space="preserve"> </w:t>
      </w:r>
      <w:r w:rsidR="00A50B27">
        <w:t xml:space="preserve">a </w:t>
      </w:r>
      <w:r>
        <w:t>subgroup</w:t>
      </w:r>
      <w:r w:rsidR="00FF174F">
        <w:t xml:space="preserve"> </w:t>
      </w:r>
      <w:r w:rsidR="00FF174F" w:rsidRPr="00E45D79">
        <w:rPr>
          <w:b/>
          <w:i/>
        </w:rPr>
        <w:t>b</w:t>
      </w:r>
      <w:r>
        <w:t>. The s</w:t>
      </w:r>
      <w:r w:rsidR="00FF174F">
        <w:t xml:space="preserve">olution was changed after 30 minutes for all </w:t>
      </w:r>
      <w:r w:rsidR="00FF174F" w:rsidRPr="00E45D79">
        <w:rPr>
          <w:b/>
          <w:i/>
        </w:rPr>
        <w:t>a</w:t>
      </w:r>
      <w:r w:rsidR="00FF174F">
        <w:t xml:space="preserve"> </w:t>
      </w:r>
      <w:r>
        <w:t>sub</w:t>
      </w:r>
      <w:r w:rsidR="00FF174F">
        <w:t xml:space="preserve">groups and after 60 minutes for all </w:t>
      </w:r>
      <w:r w:rsidR="00FF174F" w:rsidRPr="00E45D79">
        <w:rPr>
          <w:b/>
          <w:i/>
        </w:rPr>
        <w:t>b</w:t>
      </w:r>
      <w:r w:rsidR="00FF174F">
        <w:t xml:space="preserve"> </w:t>
      </w:r>
      <w:r>
        <w:t>sub</w:t>
      </w:r>
      <w:r w:rsidR="00FF174F">
        <w:t xml:space="preserve">groups. </w:t>
      </w:r>
      <w:r w:rsidR="00A50B27">
        <w:t>The t</w:t>
      </w:r>
      <w:r w:rsidR="00FF174F">
        <w:t xml:space="preserve">reatment </w:t>
      </w:r>
      <w:r w:rsidR="00A50B27">
        <w:t xml:space="preserve">with the detergent </w:t>
      </w:r>
      <w:r w:rsidR="00FF174F">
        <w:t xml:space="preserve">was </w:t>
      </w:r>
      <w:r w:rsidR="00A50B27">
        <w:t>carried out</w:t>
      </w:r>
      <w:r w:rsidR="00FF174F">
        <w:t xml:space="preserve"> until the samples were transparent.</w:t>
      </w:r>
      <w:r w:rsidR="00621AEC">
        <w:t xml:space="preserve"> </w:t>
      </w:r>
      <w:r w:rsidR="00A50B27">
        <w:t>Then</w:t>
      </w:r>
      <w:r w:rsidR="00621AEC">
        <w:t>, all samples were</w:t>
      </w:r>
      <w:r>
        <w:t xml:space="preserve"> washed</w:t>
      </w:r>
      <w:r w:rsidR="00621AEC">
        <w:t xml:space="preserve"> thoroughly</w:t>
      </w:r>
      <w:r>
        <w:t xml:space="preserve"> </w:t>
      </w:r>
      <w:r w:rsidR="00FF174F">
        <w:t xml:space="preserve">in </w:t>
      </w:r>
      <w:r w:rsidR="00382FFD">
        <w:t>distilled</w:t>
      </w:r>
      <w:r w:rsidR="00E45D79">
        <w:t xml:space="preserve"> water,</w:t>
      </w:r>
      <w:r w:rsidR="00621AEC">
        <w:t xml:space="preserve"> stirred</w:t>
      </w:r>
      <w:r w:rsidR="00FF174F">
        <w:t xml:space="preserve"> in ethanol (96%)</w:t>
      </w:r>
      <w:r w:rsidR="00621AEC">
        <w:t xml:space="preserve"> at 150 </w:t>
      </w:r>
      <w:r w:rsidR="00621AEC" w:rsidRPr="00337D95">
        <w:t>rpm</w:t>
      </w:r>
      <w:r w:rsidR="00E45D79">
        <w:t xml:space="preserve"> for 30 minutes</w:t>
      </w:r>
      <w:r w:rsidR="00FF174F">
        <w:t xml:space="preserve"> and </w:t>
      </w:r>
      <w:r w:rsidR="00E45D79">
        <w:t xml:space="preserve">then placed </w:t>
      </w:r>
      <w:r w:rsidR="00FF174F">
        <w:t>in PBS</w:t>
      </w:r>
      <w:r w:rsidR="00FC7B7F">
        <w:t xml:space="preserve"> (phosphate buffer saline)</w:t>
      </w:r>
      <w:r w:rsidR="00245E99">
        <w:t xml:space="preserve"> for 24 hours</w:t>
      </w:r>
      <w:r w:rsidR="00FF174F">
        <w:t xml:space="preserve">. </w:t>
      </w:r>
      <w:r w:rsidR="00A50B27">
        <w:t>Finally</w:t>
      </w:r>
      <w:r w:rsidR="00FF174F">
        <w:t xml:space="preserve">, </w:t>
      </w:r>
      <w:r w:rsidR="00A50B27">
        <w:t xml:space="preserve">the </w:t>
      </w:r>
      <w:r w:rsidR="00FF174F">
        <w:t xml:space="preserve">samples were </w:t>
      </w:r>
      <w:r w:rsidR="00134499">
        <w:t>preserved by freezing</w:t>
      </w:r>
      <w:r w:rsidR="00FF174F">
        <w:t xml:space="preserve"> at -20 </w:t>
      </w:r>
      <w:r w:rsidR="00FF174F" w:rsidRPr="00337D95">
        <w:t>⁰C</w:t>
      </w:r>
      <w:r w:rsidR="00FF174F">
        <w:t xml:space="preserve"> </w:t>
      </w:r>
      <w:r w:rsidR="00D926C7">
        <w:t>until later</w:t>
      </w:r>
      <w:r w:rsidR="00FF174F" w:rsidRPr="00DB3791">
        <w:t xml:space="preserve"> use</w:t>
      </w:r>
      <w:r w:rsidR="00FF174F">
        <w:t>.</w:t>
      </w:r>
      <w:r w:rsidR="00C51C34">
        <w:t xml:space="preserve"> </w:t>
      </w:r>
    </w:p>
    <w:p w14:paraId="791FAF0D" w14:textId="3905D72B" w:rsidR="00FF174F" w:rsidRPr="00B57B36" w:rsidRDefault="00036B9F" w:rsidP="00FF174F">
      <w:pPr>
        <w:pStyle w:val="CETTabletitle"/>
      </w:pPr>
      <w:r>
        <w:t>Table 1</w:t>
      </w:r>
      <w:r w:rsidR="00FF174F" w:rsidRPr="00B57B36">
        <w:t xml:space="preserve">: </w:t>
      </w:r>
      <w:r w:rsidR="00681848">
        <w:t>Parameters</w:t>
      </w:r>
      <w:r w:rsidR="00500C53">
        <w:t xml:space="preserve"> of</w:t>
      </w:r>
      <w:r w:rsidR="00FF174F">
        <w:t xml:space="preserve"> protocol</w:t>
      </w:r>
      <w:r w:rsidR="00E526DC">
        <w:t xml:space="preserve"> and sample names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50"/>
        <w:gridCol w:w="2044"/>
        <w:gridCol w:w="1734"/>
        <w:gridCol w:w="182"/>
        <w:gridCol w:w="182"/>
        <w:gridCol w:w="1318"/>
        <w:gridCol w:w="20"/>
        <w:gridCol w:w="20"/>
        <w:gridCol w:w="20"/>
      </w:tblGrid>
      <w:tr w:rsidR="00134499" w:rsidRPr="00B57B36" w14:paraId="2462CC11" w14:textId="017958DC" w:rsidTr="003673B6">
        <w:trPr>
          <w:trHeight w:val="281"/>
        </w:trPr>
        <w:tc>
          <w:tcPr>
            <w:tcW w:w="1150" w:type="dxa"/>
            <w:tcBorders>
              <w:top w:val="single" w:sz="12" w:space="0" w:color="008000"/>
              <w:bottom w:val="single" w:sz="6" w:space="0" w:color="008000"/>
            </w:tcBorders>
            <w:shd w:val="clear" w:color="auto" w:fill="FFFFFF"/>
          </w:tcPr>
          <w:p w14:paraId="4F8B8301" w14:textId="20B25370" w:rsidR="00134499" w:rsidRPr="00B57B36" w:rsidRDefault="00134499" w:rsidP="00EB034E">
            <w:pPr>
              <w:pStyle w:val="CETBodytext"/>
              <w:rPr>
                <w:lang w:val="en-GB"/>
              </w:rPr>
            </w:pPr>
            <w:r>
              <w:rPr>
                <w:lang w:val="en-GB"/>
              </w:rPr>
              <w:t>Detergent</w:t>
            </w:r>
            <w:r w:rsidRPr="00B57B36">
              <w:rPr>
                <w:lang w:val="en-GB"/>
              </w:rPr>
              <w:t xml:space="preserve"> </w:t>
            </w:r>
          </w:p>
        </w:tc>
        <w:tc>
          <w:tcPr>
            <w:tcW w:w="2044" w:type="dxa"/>
            <w:tcBorders>
              <w:top w:val="single" w:sz="12" w:space="0" w:color="008000"/>
              <w:bottom w:val="single" w:sz="6" w:space="0" w:color="008000"/>
            </w:tcBorders>
            <w:shd w:val="clear" w:color="auto" w:fill="FFFFFF"/>
          </w:tcPr>
          <w:p w14:paraId="362D8BD0" w14:textId="7FAB32B2" w:rsidR="00134499" w:rsidRPr="00B57B36" w:rsidRDefault="00134499" w:rsidP="00EB034E">
            <w:pPr>
              <w:pStyle w:val="CETBodytext"/>
              <w:rPr>
                <w:lang w:val="en-GB"/>
              </w:rPr>
            </w:pPr>
            <w:r>
              <w:rPr>
                <w:lang w:val="en-GB"/>
              </w:rPr>
              <w:t xml:space="preserve">Concentration / </w:t>
            </w:r>
            <w:r w:rsidR="00A50B27">
              <w:rPr>
                <w:lang w:val="en-GB"/>
              </w:rPr>
              <w:t>wt</w:t>
            </w:r>
            <w:r>
              <w:rPr>
                <w:lang w:val="en-GB"/>
              </w:rPr>
              <w:t>%</w:t>
            </w:r>
          </w:p>
        </w:tc>
        <w:tc>
          <w:tcPr>
            <w:tcW w:w="1734" w:type="dxa"/>
            <w:tcBorders>
              <w:top w:val="single" w:sz="12" w:space="0" w:color="008000"/>
              <w:bottom w:val="single" w:sz="6" w:space="0" w:color="008000"/>
            </w:tcBorders>
            <w:shd w:val="clear" w:color="auto" w:fill="FFFFFF"/>
          </w:tcPr>
          <w:p w14:paraId="0C598B39" w14:textId="0E7ABB0F" w:rsidR="00134499" w:rsidRPr="00B57B36" w:rsidRDefault="00134499" w:rsidP="00EB034E">
            <w:pPr>
              <w:pStyle w:val="CETBodytext"/>
              <w:rPr>
                <w:lang w:val="en-GB"/>
              </w:rPr>
            </w:pPr>
            <w:r>
              <w:rPr>
                <w:lang w:val="en-GB"/>
              </w:rPr>
              <w:t>Time in solution /min</w:t>
            </w:r>
          </w:p>
        </w:tc>
        <w:tc>
          <w:tcPr>
            <w:tcW w:w="182" w:type="dxa"/>
            <w:tcBorders>
              <w:top w:val="single" w:sz="12" w:space="0" w:color="008000"/>
              <w:bottom w:val="single" w:sz="6" w:space="0" w:color="008000"/>
            </w:tcBorders>
            <w:shd w:val="clear" w:color="auto" w:fill="FFFFFF"/>
          </w:tcPr>
          <w:p w14:paraId="7FFFFDF9" w14:textId="77777777" w:rsidR="00134499" w:rsidRPr="00B57B36" w:rsidRDefault="00134499" w:rsidP="00EB034E">
            <w:pPr>
              <w:pStyle w:val="CETBodytext"/>
              <w:ind w:right="-1"/>
              <w:rPr>
                <w:rFonts w:cs="Arial"/>
                <w:szCs w:val="18"/>
                <w:lang w:val="en-GB"/>
              </w:rPr>
            </w:pPr>
          </w:p>
        </w:tc>
        <w:tc>
          <w:tcPr>
            <w:tcW w:w="182" w:type="dxa"/>
            <w:tcBorders>
              <w:top w:val="single" w:sz="12" w:space="0" w:color="008000"/>
              <w:bottom w:val="single" w:sz="6" w:space="0" w:color="008000"/>
            </w:tcBorders>
            <w:shd w:val="clear" w:color="auto" w:fill="FFFFFF"/>
          </w:tcPr>
          <w:p w14:paraId="623EC952" w14:textId="64CBF843" w:rsidR="00134499" w:rsidRPr="00B57B36" w:rsidRDefault="00134499" w:rsidP="00EB034E">
            <w:pPr>
              <w:pStyle w:val="CETBodytext"/>
              <w:ind w:right="-1"/>
              <w:rPr>
                <w:rFonts w:cs="Arial"/>
                <w:szCs w:val="18"/>
                <w:lang w:val="en-GB"/>
              </w:rPr>
            </w:pPr>
          </w:p>
        </w:tc>
        <w:tc>
          <w:tcPr>
            <w:tcW w:w="1318" w:type="dxa"/>
            <w:tcBorders>
              <w:top w:val="single" w:sz="12" w:space="0" w:color="008000"/>
              <w:bottom w:val="single" w:sz="6" w:space="0" w:color="008000"/>
            </w:tcBorders>
            <w:shd w:val="clear" w:color="auto" w:fill="FFFFFF"/>
          </w:tcPr>
          <w:p w14:paraId="1DBE30CC" w14:textId="2EBB9F50" w:rsidR="00134499" w:rsidRPr="00B57B36" w:rsidRDefault="00134499" w:rsidP="00EB034E">
            <w:pPr>
              <w:pStyle w:val="CETBodytext"/>
              <w:ind w:right="-1"/>
              <w:rPr>
                <w:rFonts w:cs="Arial"/>
                <w:szCs w:val="18"/>
                <w:lang w:val="en-GB"/>
              </w:rPr>
            </w:pPr>
            <w:r>
              <w:rPr>
                <w:rFonts w:cs="Arial"/>
                <w:szCs w:val="18"/>
                <w:lang w:val="en-GB"/>
              </w:rPr>
              <w:t>Sample name</w:t>
            </w:r>
          </w:p>
        </w:tc>
        <w:tc>
          <w:tcPr>
            <w:tcW w:w="20" w:type="dxa"/>
            <w:tcBorders>
              <w:top w:val="single" w:sz="12" w:space="0" w:color="008000"/>
              <w:bottom w:val="single" w:sz="6" w:space="0" w:color="008000"/>
            </w:tcBorders>
            <w:shd w:val="clear" w:color="auto" w:fill="FFFFFF"/>
          </w:tcPr>
          <w:p w14:paraId="1306176A" w14:textId="77777777" w:rsidR="00134499" w:rsidRPr="00B57B36" w:rsidRDefault="00134499" w:rsidP="00EB034E">
            <w:pPr>
              <w:pStyle w:val="CETBodytext"/>
              <w:ind w:right="-1"/>
              <w:rPr>
                <w:rFonts w:cs="Arial"/>
                <w:szCs w:val="18"/>
                <w:lang w:val="en-GB"/>
              </w:rPr>
            </w:pPr>
          </w:p>
        </w:tc>
        <w:tc>
          <w:tcPr>
            <w:tcW w:w="20" w:type="dxa"/>
            <w:tcBorders>
              <w:top w:val="single" w:sz="12" w:space="0" w:color="008000"/>
              <w:bottom w:val="single" w:sz="6" w:space="0" w:color="008000"/>
            </w:tcBorders>
            <w:shd w:val="clear" w:color="auto" w:fill="FFFFFF"/>
          </w:tcPr>
          <w:p w14:paraId="1EA0F273" w14:textId="2188AA9D" w:rsidR="00134499" w:rsidRPr="00B57B36" w:rsidRDefault="00134499" w:rsidP="00EB034E">
            <w:pPr>
              <w:pStyle w:val="CETBodytext"/>
              <w:ind w:right="-1"/>
              <w:rPr>
                <w:rFonts w:cs="Arial"/>
                <w:szCs w:val="18"/>
                <w:lang w:val="en-GB"/>
              </w:rPr>
            </w:pPr>
          </w:p>
        </w:tc>
        <w:tc>
          <w:tcPr>
            <w:tcW w:w="20" w:type="dxa"/>
            <w:tcBorders>
              <w:top w:val="single" w:sz="12" w:space="0" w:color="008000"/>
              <w:bottom w:val="single" w:sz="6" w:space="0" w:color="008000"/>
            </w:tcBorders>
            <w:shd w:val="clear" w:color="auto" w:fill="FFFFFF"/>
          </w:tcPr>
          <w:p w14:paraId="2752ADBD" w14:textId="4B8A95C8" w:rsidR="00134499" w:rsidRPr="00B57B36" w:rsidRDefault="00134499" w:rsidP="00EB034E">
            <w:pPr>
              <w:pStyle w:val="CETBodytext"/>
              <w:ind w:right="-1"/>
              <w:rPr>
                <w:rFonts w:cs="Arial"/>
                <w:szCs w:val="18"/>
                <w:lang w:val="en-GB"/>
              </w:rPr>
            </w:pPr>
          </w:p>
        </w:tc>
      </w:tr>
      <w:tr w:rsidR="00134499" w:rsidRPr="00B57B36" w14:paraId="79D28C52" w14:textId="29DFFFE2" w:rsidTr="003673B6">
        <w:trPr>
          <w:trHeight w:val="281"/>
        </w:trPr>
        <w:tc>
          <w:tcPr>
            <w:tcW w:w="1150" w:type="dxa"/>
            <w:vMerge w:val="restart"/>
            <w:shd w:val="clear" w:color="auto" w:fill="FFFFFF"/>
          </w:tcPr>
          <w:p w14:paraId="6ACD3309" w14:textId="3869B9C8" w:rsidR="00134499" w:rsidRPr="00B57B36" w:rsidRDefault="00134499" w:rsidP="00EB034E">
            <w:pPr>
              <w:pStyle w:val="CETBodytext"/>
              <w:rPr>
                <w:lang w:val="en-GB"/>
              </w:rPr>
            </w:pPr>
            <w:r>
              <w:rPr>
                <w:lang w:val="en-GB"/>
              </w:rPr>
              <w:t>SLS</w:t>
            </w:r>
          </w:p>
          <w:p w14:paraId="7D3B665D" w14:textId="41DF79DC" w:rsidR="00134499" w:rsidRPr="00B57B36" w:rsidRDefault="00134499" w:rsidP="00EB034E">
            <w:pPr>
              <w:pStyle w:val="CETBodytext"/>
              <w:ind w:right="-1"/>
              <w:rPr>
                <w:lang w:val="en-GB"/>
              </w:rPr>
            </w:pPr>
          </w:p>
        </w:tc>
        <w:tc>
          <w:tcPr>
            <w:tcW w:w="2044" w:type="dxa"/>
            <w:shd w:val="clear" w:color="auto" w:fill="FFFFFF"/>
          </w:tcPr>
          <w:p w14:paraId="6AD2F4D8" w14:textId="613AABA4" w:rsidR="00134499" w:rsidRPr="00B57B36" w:rsidRDefault="00134499" w:rsidP="00EB034E">
            <w:pPr>
              <w:pStyle w:val="CETBodytext"/>
              <w:rPr>
                <w:lang w:val="en-GB"/>
              </w:rPr>
            </w:pPr>
            <w:r>
              <w:rPr>
                <w:lang w:val="en-GB"/>
              </w:rPr>
              <w:t>1</w:t>
            </w:r>
          </w:p>
        </w:tc>
        <w:tc>
          <w:tcPr>
            <w:tcW w:w="1734" w:type="dxa"/>
            <w:shd w:val="clear" w:color="auto" w:fill="FFFFFF"/>
          </w:tcPr>
          <w:p w14:paraId="3A07F46F" w14:textId="432CFDAF" w:rsidR="00134499" w:rsidRPr="00B57B36" w:rsidRDefault="00134499" w:rsidP="00EB034E">
            <w:pPr>
              <w:pStyle w:val="CETBodytext"/>
              <w:rPr>
                <w:lang w:val="en-GB"/>
              </w:rPr>
            </w:pPr>
            <w:r>
              <w:rPr>
                <w:lang w:val="en-GB"/>
              </w:rPr>
              <w:t>30</w:t>
            </w:r>
          </w:p>
        </w:tc>
        <w:tc>
          <w:tcPr>
            <w:tcW w:w="182" w:type="dxa"/>
            <w:shd w:val="clear" w:color="auto" w:fill="FFFFFF"/>
          </w:tcPr>
          <w:p w14:paraId="35EB7085" w14:textId="77777777" w:rsidR="00134499" w:rsidRPr="00B57B36" w:rsidRDefault="00134499" w:rsidP="00EB034E">
            <w:pPr>
              <w:pStyle w:val="CETBodytext"/>
              <w:ind w:right="-1"/>
              <w:rPr>
                <w:rFonts w:cs="Arial"/>
                <w:szCs w:val="18"/>
                <w:lang w:val="en-GB"/>
              </w:rPr>
            </w:pPr>
          </w:p>
        </w:tc>
        <w:tc>
          <w:tcPr>
            <w:tcW w:w="182" w:type="dxa"/>
            <w:shd w:val="clear" w:color="auto" w:fill="FFFFFF"/>
          </w:tcPr>
          <w:p w14:paraId="5E392ACD" w14:textId="1ABF3F48" w:rsidR="00134499" w:rsidRPr="00B57B36" w:rsidRDefault="00134499" w:rsidP="00EB034E">
            <w:pPr>
              <w:pStyle w:val="CETBodytext"/>
              <w:ind w:right="-1"/>
              <w:rPr>
                <w:rFonts w:cs="Arial"/>
                <w:szCs w:val="18"/>
                <w:lang w:val="en-GB"/>
              </w:rPr>
            </w:pPr>
          </w:p>
        </w:tc>
        <w:tc>
          <w:tcPr>
            <w:tcW w:w="1318" w:type="dxa"/>
            <w:shd w:val="clear" w:color="auto" w:fill="FFFFFF"/>
          </w:tcPr>
          <w:p w14:paraId="522BEA91" w14:textId="7C9AC3F5" w:rsidR="00134499" w:rsidRPr="00B57B36" w:rsidRDefault="00134499" w:rsidP="00EB034E">
            <w:pPr>
              <w:pStyle w:val="CETBodytext"/>
              <w:ind w:right="-1"/>
              <w:rPr>
                <w:rFonts w:cs="Arial"/>
                <w:szCs w:val="18"/>
                <w:lang w:val="en-GB"/>
              </w:rPr>
            </w:pPr>
            <w:r>
              <w:rPr>
                <w:rFonts w:cs="Arial"/>
                <w:szCs w:val="18"/>
                <w:lang w:val="en-GB"/>
              </w:rPr>
              <w:t>SLS 1</w:t>
            </w:r>
            <w:r w:rsidRPr="00AF2BAD">
              <w:rPr>
                <w:rFonts w:cs="Arial"/>
                <w:b/>
                <w:i/>
                <w:szCs w:val="18"/>
                <w:lang w:val="en-GB"/>
              </w:rPr>
              <w:t>a</w:t>
            </w:r>
          </w:p>
        </w:tc>
        <w:tc>
          <w:tcPr>
            <w:tcW w:w="20" w:type="dxa"/>
            <w:shd w:val="clear" w:color="auto" w:fill="FFFFFF"/>
          </w:tcPr>
          <w:p w14:paraId="4A70057A" w14:textId="77777777" w:rsidR="00134499" w:rsidRPr="00B57B36" w:rsidRDefault="00134499" w:rsidP="00EB034E">
            <w:pPr>
              <w:pStyle w:val="CETBodytext"/>
              <w:ind w:right="-1"/>
              <w:rPr>
                <w:rFonts w:cs="Arial"/>
                <w:szCs w:val="18"/>
                <w:lang w:val="en-GB"/>
              </w:rPr>
            </w:pPr>
          </w:p>
        </w:tc>
        <w:tc>
          <w:tcPr>
            <w:tcW w:w="20" w:type="dxa"/>
            <w:shd w:val="clear" w:color="auto" w:fill="FFFFFF"/>
          </w:tcPr>
          <w:p w14:paraId="54DFB41E" w14:textId="6BBCF0D5" w:rsidR="00134499" w:rsidRPr="00B57B36" w:rsidRDefault="00134499" w:rsidP="00EB034E">
            <w:pPr>
              <w:pStyle w:val="CETBodytext"/>
              <w:ind w:right="-1"/>
              <w:rPr>
                <w:rFonts w:cs="Arial"/>
                <w:szCs w:val="18"/>
                <w:lang w:val="en-GB"/>
              </w:rPr>
            </w:pPr>
          </w:p>
        </w:tc>
        <w:tc>
          <w:tcPr>
            <w:tcW w:w="20" w:type="dxa"/>
            <w:shd w:val="clear" w:color="auto" w:fill="FFFFFF"/>
          </w:tcPr>
          <w:p w14:paraId="11684660" w14:textId="1F81E29F" w:rsidR="00134499" w:rsidRPr="00B57B36" w:rsidRDefault="00134499" w:rsidP="00EB034E">
            <w:pPr>
              <w:pStyle w:val="CETBodytext"/>
              <w:ind w:right="-1"/>
              <w:rPr>
                <w:rFonts w:cs="Arial"/>
                <w:szCs w:val="18"/>
                <w:lang w:val="en-GB"/>
              </w:rPr>
            </w:pPr>
          </w:p>
        </w:tc>
      </w:tr>
      <w:tr w:rsidR="00134499" w:rsidRPr="00B57B36" w14:paraId="45C56E07" w14:textId="686094B8" w:rsidTr="003673B6">
        <w:trPr>
          <w:trHeight w:val="300"/>
        </w:trPr>
        <w:tc>
          <w:tcPr>
            <w:tcW w:w="1150" w:type="dxa"/>
            <w:vMerge/>
            <w:shd w:val="clear" w:color="auto" w:fill="FFFFFF"/>
          </w:tcPr>
          <w:p w14:paraId="65556BED" w14:textId="77777777" w:rsidR="00134499" w:rsidRDefault="00134499" w:rsidP="00EB034E">
            <w:pPr>
              <w:pStyle w:val="CETBodytext"/>
              <w:rPr>
                <w:lang w:val="en-GB"/>
              </w:rPr>
            </w:pPr>
          </w:p>
        </w:tc>
        <w:tc>
          <w:tcPr>
            <w:tcW w:w="2044" w:type="dxa"/>
            <w:shd w:val="clear" w:color="auto" w:fill="FFFFFF"/>
          </w:tcPr>
          <w:p w14:paraId="191A3FDD" w14:textId="77777777" w:rsidR="00134499" w:rsidRDefault="00134499" w:rsidP="00EB034E">
            <w:pPr>
              <w:pStyle w:val="CETBodytext"/>
              <w:rPr>
                <w:lang w:val="en-GB"/>
              </w:rPr>
            </w:pPr>
          </w:p>
        </w:tc>
        <w:tc>
          <w:tcPr>
            <w:tcW w:w="1734" w:type="dxa"/>
            <w:shd w:val="clear" w:color="auto" w:fill="FFFFFF"/>
          </w:tcPr>
          <w:p w14:paraId="1F10AFD1" w14:textId="59489518" w:rsidR="00134499" w:rsidRDefault="00134499" w:rsidP="00EB034E">
            <w:pPr>
              <w:pStyle w:val="CETBodytext"/>
              <w:rPr>
                <w:lang w:val="en-GB"/>
              </w:rPr>
            </w:pPr>
            <w:r>
              <w:rPr>
                <w:lang w:val="en-GB"/>
              </w:rPr>
              <w:t>60</w:t>
            </w:r>
          </w:p>
        </w:tc>
        <w:tc>
          <w:tcPr>
            <w:tcW w:w="182" w:type="dxa"/>
            <w:shd w:val="clear" w:color="auto" w:fill="FFFFFF"/>
          </w:tcPr>
          <w:p w14:paraId="0728B6E5" w14:textId="77777777" w:rsidR="00134499" w:rsidRPr="00B57B36" w:rsidRDefault="00134499" w:rsidP="00EB034E">
            <w:pPr>
              <w:pStyle w:val="CETBodytext"/>
              <w:ind w:right="-1"/>
              <w:rPr>
                <w:rFonts w:cs="Arial"/>
                <w:szCs w:val="18"/>
                <w:lang w:val="en-GB"/>
              </w:rPr>
            </w:pPr>
          </w:p>
        </w:tc>
        <w:tc>
          <w:tcPr>
            <w:tcW w:w="182" w:type="dxa"/>
            <w:shd w:val="clear" w:color="auto" w:fill="FFFFFF"/>
          </w:tcPr>
          <w:p w14:paraId="5E35B70C" w14:textId="24485D1C" w:rsidR="00134499" w:rsidRPr="00B57B36" w:rsidRDefault="00134499" w:rsidP="00EB034E">
            <w:pPr>
              <w:pStyle w:val="CETBodytext"/>
              <w:ind w:right="-1"/>
              <w:rPr>
                <w:rFonts w:cs="Arial"/>
                <w:szCs w:val="18"/>
                <w:lang w:val="en-GB"/>
              </w:rPr>
            </w:pPr>
          </w:p>
        </w:tc>
        <w:tc>
          <w:tcPr>
            <w:tcW w:w="1318" w:type="dxa"/>
            <w:shd w:val="clear" w:color="auto" w:fill="FFFFFF"/>
          </w:tcPr>
          <w:p w14:paraId="4DBC2432" w14:textId="6746D9E5" w:rsidR="00134499" w:rsidRPr="00B57B36" w:rsidRDefault="00134499" w:rsidP="00EB034E">
            <w:pPr>
              <w:pStyle w:val="CETBodytext"/>
              <w:ind w:right="-1"/>
              <w:rPr>
                <w:rFonts w:cs="Arial"/>
                <w:szCs w:val="18"/>
                <w:lang w:val="en-GB"/>
              </w:rPr>
            </w:pPr>
            <w:r>
              <w:rPr>
                <w:rFonts w:cs="Arial"/>
                <w:szCs w:val="18"/>
                <w:lang w:val="en-GB"/>
              </w:rPr>
              <w:t>SLS 1</w:t>
            </w:r>
            <w:r w:rsidRPr="00AF2BAD">
              <w:rPr>
                <w:rFonts w:cs="Arial"/>
                <w:b/>
                <w:i/>
                <w:szCs w:val="18"/>
                <w:lang w:val="en-GB"/>
              </w:rPr>
              <w:t>b</w:t>
            </w:r>
          </w:p>
        </w:tc>
        <w:tc>
          <w:tcPr>
            <w:tcW w:w="20" w:type="dxa"/>
            <w:shd w:val="clear" w:color="auto" w:fill="FFFFFF"/>
          </w:tcPr>
          <w:p w14:paraId="763E301D" w14:textId="77777777" w:rsidR="00134499" w:rsidRPr="00B57B36" w:rsidRDefault="00134499" w:rsidP="00EB034E">
            <w:pPr>
              <w:pStyle w:val="CETBodytext"/>
              <w:ind w:right="-1"/>
              <w:rPr>
                <w:rFonts w:cs="Arial"/>
                <w:szCs w:val="18"/>
                <w:lang w:val="en-GB"/>
              </w:rPr>
            </w:pPr>
          </w:p>
        </w:tc>
        <w:tc>
          <w:tcPr>
            <w:tcW w:w="20" w:type="dxa"/>
            <w:shd w:val="clear" w:color="auto" w:fill="FFFFFF"/>
          </w:tcPr>
          <w:p w14:paraId="1E476B38" w14:textId="468EFAF4" w:rsidR="00134499" w:rsidRPr="00B57B36" w:rsidRDefault="00134499" w:rsidP="00EB034E">
            <w:pPr>
              <w:pStyle w:val="CETBodytext"/>
              <w:ind w:right="-1"/>
              <w:rPr>
                <w:rFonts w:cs="Arial"/>
                <w:szCs w:val="18"/>
                <w:lang w:val="en-GB"/>
              </w:rPr>
            </w:pPr>
          </w:p>
        </w:tc>
        <w:tc>
          <w:tcPr>
            <w:tcW w:w="20" w:type="dxa"/>
            <w:shd w:val="clear" w:color="auto" w:fill="FFFFFF"/>
          </w:tcPr>
          <w:p w14:paraId="5C36561C" w14:textId="250DD23E" w:rsidR="00134499" w:rsidRPr="00B57B36" w:rsidRDefault="00134499" w:rsidP="00EB034E">
            <w:pPr>
              <w:pStyle w:val="CETBodytext"/>
              <w:ind w:right="-1"/>
              <w:rPr>
                <w:rFonts w:cs="Arial"/>
                <w:szCs w:val="18"/>
                <w:lang w:val="en-GB"/>
              </w:rPr>
            </w:pPr>
          </w:p>
        </w:tc>
      </w:tr>
      <w:tr w:rsidR="00134499" w:rsidRPr="00B57B36" w14:paraId="7507D71C" w14:textId="2B924AB0" w:rsidTr="003673B6">
        <w:trPr>
          <w:trHeight w:val="281"/>
        </w:trPr>
        <w:tc>
          <w:tcPr>
            <w:tcW w:w="1150" w:type="dxa"/>
            <w:vMerge/>
            <w:shd w:val="clear" w:color="auto" w:fill="FFFFFF"/>
          </w:tcPr>
          <w:p w14:paraId="44F86F66" w14:textId="77777777" w:rsidR="00134499" w:rsidRDefault="00134499" w:rsidP="00EB034E">
            <w:pPr>
              <w:pStyle w:val="CETBodytext"/>
              <w:rPr>
                <w:lang w:val="en-GB"/>
              </w:rPr>
            </w:pPr>
          </w:p>
        </w:tc>
        <w:tc>
          <w:tcPr>
            <w:tcW w:w="2044" w:type="dxa"/>
            <w:shd w:val="clear" w:color="auto" w:fill="FFFFFF"/>
          </w:tcPr>
          <w:p w14:paraId="09D68568" w14:textId="0F4F0407" w:rsidR="00134499" w:rsidRDefault="00134499" w:rsidP="00EB034E">
            <w:pPr>
              <w:pStyle w:val="CETBodytext"/>
              <w:rPr>
                <w:lang w:val="en-GB"/>
              </w:rPr>
            </w:pPr>
            <w:r>
              <w:rPr>
                <w:lang w:val="en-GB"/>
              </w:rPr>
              <w:t>0.5</w:t>
            </w:r>
          </w:p>
        </w:tc>
        <w:tc>
          <w:tcPr>
            <w:tcW w:w="1734" w:type="dxa"/>
            <w:shd w:val="clear" w:color="auto" w:fill="FFFFFF"/>
          </w:tcPr>
          <w:p w14:paraId="05C8A919" w14:textId="1F79C599" w:rsidR="00134499" w:rsidRDefault="00134499" w:rsidP="00EB034E">
            <w:pPr>
              <w:pStyle w:val="CETBodytext"/>
              <w:rPr>
                <w:lang w:val="en-GB"/>
              </w:rPr>
            </w:pPr>
            <w:r>
              <w:rPr>
                <w:lang w:val="en-GB"/>
              </w:rPr>
              <w:t>30</w:t>
            </w:r>
          </w:p>
        </w:tc>
        <w:tc>
          <w:tcPr>
            <w:tcW w:w="182" w:type="dxa"/>
            <w:shd w:val="clear" w:color="auto" w:fill="FFFFFF"/>
          </w:tcPr>
          <w:p w14:paraId="6BD1BB2E" w14:textId="77777777" w:rsidR="00134499" w:rsidRPr="00B57B36" w:rsidRDefault="00134499" w:rsidP="00EB034E">
            <w:pPr>
              <w:pStyle w:val="CETBodytext"/>
              <w:ind w:right="-1"/>
              <w:rPr>
                <w:rFonts w:cs="Arial"/>
                <w:szCs w:val="18"/>
                <w:lang w:val="en-GB"/>
              </w:rPr>
            </w:pPr>
          </w:p>
        </w:tc>
        <w:tc>
          <w:tcPr>
            <w:tcW w:w="182" w:type="dxa"/>
            <w:shd w:val="clear" w:color="auto" w:fill="FFFFFF"/>
          </w:tcPr>
          <w:p w14:paraId="7E0BCE0A" w14:textId="3FFD19C0" w:rsidR="00134499" w:rsidRPr="00B57B36" w:rsidRDefault="00134499" w:rsidP="00EB034E">
            <w:pPr>
              <w:pStyle w:val="CETBodytext"/>
              <w:ind w:right="-1"/>
              <w:rPr>
                <w:rFonts w:cs="Arial"/>
                <w:szCs w:val="18"/>
                <w:lang w:val="en-GB"/>
              </w:rPr>
            </w:pPr>
          </w:p>
        </w:tc>
        <w:tc>
          <w:tcPr>
            <w:tcW w:w="1318" w:type="dxa"/>
            <w:shd w:val="clear" w:color="auto" w:fill="FFFFFF"/>
          </w:tcPr>
          <w:p w14:paraId="25EC4B0C" w14:textId="0B322AF9" w:rsidR="00134499" w:rsidRPr="00B57B36" w:rsidRDefault="00134499" w:rsidP="00EB034E">
            <w:pPr>
              <w:pStyle w:val="CETBodytext"/>
              <w:ind w:right="-1"/>
              <w:rPr>
                <w:rFonts w:cs="Arial"/>
                <w:szCs w:val="18"/>
                <w:lang w:val="en-GB"/>
              </w:rPr>
            </w:pPr>
            <w:r>
              <w:rPr>
                <w:rFonts w:cs="Arial"/>
                <w:szCs w:val="18"/>
                <w:lang w:val="en-GB"/>
              </w:rPr>
              <w:t>SLS 0.5</w:t>
            </w:r>
            <w:r w:rsidRPr="00AF2BAD">
              <w:rPr>
                <w:rFonts w:cs="Arial"/>
                <w:b/>
                <w:i/>
                <w:szCs w:val="18"/>
                <w:lang w:val="en-GB"/>
              </w:rPr>
              <w:t>a</w:t>
            </w:r>
          </w:p>
        </w:tc>
        <w:tc>
          <w:tcPr>
            <w:tcW w:w="20" w:type="dxa"/>
            <w:shd w:val="clear" w:color="auto" w:fill="FFFFFF"/>
          </w:tcPr>
          <w:p w14:paraId="12BB9891" w14:textId="77777777" w:rsidR="00134499" w:rsidRPr="00B57B36" w:rsidRDefault="00134499" w:rsidP="00EB034E">
            <w:pPr>
              <w:pStyle w:val="CETBodytext"/>
              <w:ind w:right="-1"/>
              <w:rPr>
                <w:rFonts w:cs="Arial"/>
                <w:szCs w:val="18"/>
                <w:lang w:val="en-GB"/>
              </w:rPr>
            </w:pPr>
          </w:p>
        </w:tc>
        <w:tc>
          <w:tcPr>
            <w:tcW w:w="20" w:type="dxa"/>
            <w:shd w:val="clear" w:color="auto" w:fill="FFFFFF"/>
          </w:tcPr>
          <w:p w14:paraId="693A7D7C" w14:textId="4AC8C1B2" w:rsidR="00134499" w:rsidRPr="00B57B36" w:rsidRDefault="00134499" w:rsidP="00EB034E">
            <w:pPr>
              <w:pStyle w:val="CETBodytext"/>
              <w:ind w:right="-1"/>
              <w:rPr>
                <w:rFonts w:cs="Arial"/>
                <w:szCs w:val="18"/>
                <w:lang w:val="en-GB"/>
              </w:rPr>
            </w:pPr>
          </w:p>
        </w:tc>
        <w:tc>
          <w:tcPr>
            <w:tcW w:w="20" w:type="dxa"/>
            <w:shd w:val="clear" w:color="auto" w:fill="FFFFFF"/>
          </w:tcPr>
          <w:p w14:paraId="2648059A" w14:textId="34E8FCE4" w:rsidR="00134499" w:rsidRPr="00B57B36" w:rsidRDefault="00134499" w:rsidP="00EB034E">
            <w:pPr>
              <w:pStyle w:val="CETBodytext"/>
              <w:ind w:right="-1"/>
              <w:rPr>
                <w:rFonts w:cs="Arial"/>
                <w:szCs w:val="18"/>
                <w:lang w:val="en-GB"/>
              </w:rPr>
            </w:pPr>
          </w:p>
        </w:tc>
      </w:tr>
      <w:tr w:rsidR="00134499" w:rsidRPr="00B57B36" w14:paraId="387E94DE" w14:textId="340B993F" w:rsidTr="003673B6">
        <w:trPr>
          <w:trHeight w:val="281"/>
        </w:trPr>
        <w:tc>
          <w:tcPr>
            <w:tcW w:w="1150" w:type="dxa"/>
            <w:vMerge/>
            <w:shd w:val="clear" w:color="auto" w:fill="FFFFFF"/>
          </w:tcPr>
          <w:p w14:paraId="1D5E2937" w14:textId="222B1B90" w:rsidR="00134499" w:rsidRPr="00B57B36" w:rsidRDefault="00134499" w:rsidP="00EB034E">
            <w:pPr>
              <w:pStyle w:val="CETBodytext"/>
              <w:ind w:right="-1"/>
              <w:rPr>
                <w:rFonts w:cs="Arial"/>
                <w:szCs w:val="18"/>
                <w:lang w:val="en-GB"/>
              </w:rPr>
            </w:pPr>
          </w:p>
        </w:tc>
        <w:tc>
          <w:tcPr>
            <w:tcW w:w="2044" w:type="dxa"/>
            <w:shd w:val="clear" w:color="auto" w:fill="FFFFFF"/>
          </w:tcPr>
          <w:p w14:paraId="405FED89" w14:textId="421AD08B" w:rsidR="00134499" w:rsidRPr="00B57B36" w:rsidRDefault="00134499" w:rsidP="00EB034E">
            <w:pPr>
              <w:pStyle w:val="CETBodytext"/>
              <w:ind w:right="-1"/>
              <w:rPr>
                <w:rFonts w:cs="Arial"/>
                <w:szCs w:val="18"/>
                <w:lang w:val="en-GB"/>
              </w:rPr>
            </w:pPr>
          </w:p>
        </w:tc>
        <w:tc>
          <w:tcPr>
            <w:tcW w:w="1734" w:type="dxa"/>
            <w:shd w:val="clear" w:color="auto" w:fill="FFFFFF"/>
          </w:tcPr>
          <w:p w14:paraId="3B287058" w14:textId="5A23ED69" w:rsidR="00134499" w:rsidRPr="00B57B36" w:rsidRDefault="00134499" w:rsidP="00EB034E">
            <w:pPr>
              <w:pStyle w:val="CETBodytext"/>
              <w:ind w:right="-1"/>
              <w:rPr>
                <w:rFonts w:cs="Arial"/>
                <w:szCs w:val="18"/>
                <w:lang w:val="en-GB"/>
              </w:rPr>
            </w:pPr>
            <w:r>
              <w:rPr>
                <w:rFonts w:cs="Arial"/>
                <w:szCs w:val="18"/>
                <w:lang w:val="en-GB"/>
              </w:rPr>
              <w:t>60</w:t>
            </w:r>
          </w:p>
        </w:tc>
        <w:tc>
          <w:tcPr>
            <w:tcW w:w="182" w:type="dxa"/>
            <w:shd w:val="clear" w:color="auto" w:fill="FFFFFF"/>
          </w:tcPr>
          <w:p w14:paraId="67AC38F5" w14:textId="77777777" w:rsidR="00134499" w:rsidRPr="00B57B36" w:rsidRDefault="00134499" w:rsidP="00EB034E">
            <w:pPr>
              <w:pStyle w:val="CETBodytext"/>
              <w:ind w:right="-1"/>
              <w:rPr>
                <w:rFonts w:cs="Arial"/>
                <w:szCs w:val="18"/>
                <w:lang w:val="en-GB"/>
              </w:rPr>
            </w:pPr>
          </w:p>
        </w:tc>
        <w:tc>
          <w:tcPr>
            <w:tcW w:w="182" w:type="dxa"/>
            <w:shd w:val="clear" w:color="auto" w:fill="FFFFFF"/>
          </w:tcPr>
          <w:p w14:paraId="196AB610" w14:textId="6806CB25" w:rsidR="00134499" w:rsidRPr="00B57B36" w:rsidRDefault="00134499" w:rsidP="00EB034E">
            <w:pPr>
              <w:pStyle w:val="CETBodytext"/>
              <w:ind w:right="-1"/>
              <w:rPr>
                <w:rFonts w:cs="Arial"/>
                <w:szCs w:val="18"/>
                <w:lang w:val="en-GB"/>
              </w:rPr>
            </w:pPr>
          </w:p>
        </w:tc>
        <w:tc>
          <w:tcPr>
            <w:tcW w:w="1318" w:type="dxa"/>
            <w:shd w:val="clear" w:color="auto" w:fill="FFFFFF"/>
          </w:tcPr>
          <w:p w14:paraId="2DD75257" w14:textId="46540A51" w:rsidR="00134499" w:rsidRPr="00B57B36" w:rsidRDefault="00134499" w:rsidP="00EB034E">
            <w:pPr>
              <w:pStyle w:val="CETBodytext"/>
              <w:ind w:right="-1"/>
              <w:rPr>
                <w:rFonts w:cs="Arial"/>
                <w:szCs w:val="18"/>
                <w:lang w:val="en-GB"/>
              </w:rPr>
            </w:pPr>
            <w:r>
              <w:rPr>
                <w:rFonts w:cs="Arial"/>
                <w:szCs w:val="18"/>
                <w:lang w:val="en-GB"/>
              </w:rPr>
              <w:t>SLS 0.5</w:t>
            </w:r>
            <w:r w:rsidRPr="00AF2BAD">
              <w:rPr>
                <w:rFonts w:cs="Arial"/>
                <w:b/>
                <w:i/>
                <w:szCs w:val="18"/>
                <w:lang w:val="en-GB"/>
              </w:rPr>
              <w:t>b</w:t>
            </w:r>
          </w:p>
        </w:tc>
        <w:tc>
          <w:tcPr>
            <w:tcW w:w="20" w:type="dxa"/>
            <w:shd w:val="clear" w:color="auto" w:fill="FFFFFF"/>
          </w:tcPr>
          <w:p w14:paraId="30F4C620" w14:textId="77777777" w:rsidR="00134499" w:rsidRPr="00B57B36" w:rsidRDefault="00134499" w:rsidP="00EB034E">
            <w:pPr>
              <w:pStyle w:val="CETBodytext"/>
              <w:ind w:right="-1"/>
              <w:rPr>
                <w:rFonts w:cs="Arial"/>
                <w:szCs w:val="18"/>
                <w:lang w:val="en-GB"/>
              </w:rPr>
            </w:pPr>
          </w:p>
        </w:tc>
        <w:tc>
          <w:tcPr>
            <w:tcW w:w="20" w:type="dxa"/>
            <w:shd w:val="clear" w:color="auto" w:fill="FFFFFF"/>
          </w:tcPr>
          <w:p w14:paraId="31C97E21" w14:textId="41D8B06B" w:rsidR="00134499" w:rsidRPr="00B57B36" w:rsidRDefault="00134499" w:rsidP="00EB034E">
            <w:pPr>
              <w:pStyle w:val="CETBodytext"/>
              <w:ind w:right="-1"/>
              <w:rPr>
                <w:rFonts w:cs="Arial"/>
                <w:szCs w:val="18"/>
                <w:lang w:val="en-GB"/>
              </w:rPr>
            </w:pPr>
          </w:p>
        </w:tc>
        <w:tc>
          <w:tcPr>
            <w:tcW w:w="20" w:type="dxa"/>
            <w:shd w:val="clear" w:color="auto" w:fill="FFFFFF"/>
          </w:tcPr>
          <w:p w14:paraId="3C02D77C" w14:textId="03ECE2E8" w:rsidR="00134499" w:rsidRPr="00B57B36" w:rsidRDefault="00134499" w:rsidP="00EB034E">
            <w:pPr>
              <w:pStyle w:val="CETBodytext"/>
              <w:ind w:right="-1"/>
              <w:rPr>
                <w:rFonts w:cs="Arial"/>
                <w:szCs w:val="18"/>
                <w:lang w:val="en-GB"/>
              </w:rPr>
            </w:pPr>
          </w:p>
        </w:tc>
      </w:tr>
      <w:tr w:rsidR="00134499" w:rsidRPr="00B57B36" w14:paraId="7A20C018" w14:textId="54118278" w:rsidTr="003673B6">
        <w:trPr>
          <w:trHeight w:val="281"/>
        </w:trPr>
        <w:tc>
          <w:tcPr>
            <w:tcW w:w="1150" w:type="dxa"/>
            <w:vMerge w:val="restart"/>
            <w:shd w:val="clear" w:color="auto" w:fill="FFFFFF"/>
          </w:tcPr>
          <w:p w14:paraId="3674C04F" w14:textId="74DE3693" w:rsidR="00134499" w:rsidRDefault="00134499" w:rsidP="00EB034E">
            <w:pPr>
              <w:pStyle w:val="CETBodytext"/>
              <w:ind w:right="-1"/>
              <w:rPr>
                <w:rFonts w:cs="Arial"/>
                <w:szCs w:val="18"/>
                <w:lang w:val="en-GB"/>
              </w:rPr>
            </w:pPr>
            <w:r>
              <w:rPr>
                <w:rFonts w:cs="Arial"/>
                <w:szCs w:val="18"/>
                <w:lang w:val="en-GB"/>
              </w:rPr>
              <w:t>SLES</w:t>
            </w:r>
          </w:p>
        </w:tc>
        <w:tc>
          <w:tcPr>
            <w:tcW w:w="2044" w:type="dxa"/>
            <w:shd w:val="clear" w:color="auto" w:fill="FFFFFF"/>
          </w:tcPr>
          <w:p w14:paraId="380254AA" w14:textId="201BBC47" w:rsidR="00134499" w:rsidRPr="00B57B36" w:rsidRDefault="00134499" w:rsidP="00EB034E">
            <w:pPr>
              <w:pStyle w:val="CETBodytext"/>
              <w:ind w:right="-1"/>
              <w:rPr>
                <w:rFonts w:cs="Arial"/>
                <w:szCs w:val="18"/>
                <w:lang w:val="en-GB"/>
              </w:rPr>
            </w:pPr>
            <w:r>
              <w:rPr>
                <w:rFonts w:cs="Arial"/>
                <w:szCs w:val="18"/>
                <w:lang w:val="en-GB"/>
              </w:rPr>
              <w:t>1</w:t>
            </w:r>
          </w:p>
        </w:tc>
        <w:tc>
          <w:tcPr>
            <w:tcW w:w="1734" w:type="dxa"/>
            <w:shd w:val="clear" w:color="auto" w:fill="FFFFFF"/>
          </w:tcPr>
          <w:p w14:paraId="4C76DFEA" w14:textId="319455D4" w:rsidR="00134499" w:rsidRPr="00B57B36" w:rsidRDefault="00134499" w:rsidP="00EB034E">
            <w:pPr>
              <w:pStyle w:val="CETBodytext"/>
              <w:ind w:right="-1"/>
              <w:rPr>
                <w:rFonts w:cs="Arial"/>
                <w:szCs w:val="18"/>
                <w:lang w:val="en-GB"/>
              </w:rPr>
            </w:pPr>
            <w:r>
              <w:rPr>
                <w:rFonts w:cs="Arial"/>
                <w:szCs w:val="18"/>
                <w:lang w:val="en-GB"/>
              </w:rPr>
              <w:t>30</w:t>
            </w:r>
          </w:p>
        </w:tc>
        <w:tc>
          <w:tcPr>
            <w:tcW w:w="182" w:type="dxa"/>
            <w:shd w:val="clear" w:color="auto" w:fill="FFFFFF"/>
          </w:tcPr>
          <w:p w14:paraId="30685B3B" w14:textId="77777777" w:rsidR="00134499" w:rsidRPr="00B57B36" w:rsidRDefault="00134499" w:rsidP="00EB034E">
            <w:pPr>
              <w:pStyle w:val="CETBodytext"/>
              <w:ind w:right="-1"/>
              <w:rPr>
                <w:rFonts w:cs="Arial"/>
                <w:szCs w:val="18"/>
                <w:lang w:val="en-GB"/>
              </w:rPr>
            </w:pPr>
          </w:p>
        </w:tc>
        <w:tc>
          <w:tcPr>
            <w:tcW w:w="182" w:type="dxa"/>
            <w:shd w:val="clear" w:color="auto" w:fill="FFFFFF"/>
          </w:tcPr>
          <w:p w14:paraId="0778EBE7" w14:textId="55120C22" w:rsidR="00134499" w:rsidRPr="00B57B36" w:rsidRDefault="00134499" w:rsidP="00EB034E">
            <w:pPr>
              <w:pStyle w:val="CETBodytext"/>
              <w:ind w:right="-1"/>
              <w:rPr>
                <w:rFonts w:cs="Arial"/>
                <w:szCs w:val="18"/>
                <w:lang w:val="en-GB"/>
              </w:rPr>
            </w:pPr>
          </w:p>
        </w:tc>
        <w:tc>
          <w:tcPr>
            <w:tcW w:w="1318" w:type="dxa"/>
            <w:shd w:val="clear" w:color="auto" w:fill="FFFFFF"/>
          </w:tcPr>
          <w:p w14:paraId="44FEB2DE" w14:textId="7CC60A79" w:rsidR="00134499" w:rsidRPr="00B57B36" w:rsidRDefault="00134499" w:rsidP="00EB034E">
            <w:pPr>
              <w:pStyle w:val="CETBodytext"/>
              <w:ind w:right="-1"/>
              <w:rPr>
                <w:rFonts w:cs="Arial"/>
                <w:szCs w:val="18"/>
                <w:lang w:val="en-GB"/>
              </w:rPr>
            </w:pPr>
            <w:r>
              <w:rPr>
                <w:rFonts w:cs="Arial"/>
                <w:szCs w:val="18"/>
                <w:lang w:val="en-GB"/>
              </w:rPr>
              <w:t>SLES 1</w:t>
            </w:r>
            <w:r w:rsidRPr="00AF2BAD">
              <w:rPr>
                <w:rFonts w:cs="Arial"/>
                <w:b/>
                <w:i/>
                <w:szCs w:val="18"/>
                <w:lang w:val="en-GB"/>
              </w:rPr>
              <w:t>a</w:t>
            </w:r>
          </w:p>
        </w:tc>
        <w:tc>
          <w:tcPr>
            <w:tcW w:w="20" w:type="dxa"/>
            <w:shd w:val="clear" w:color="auto" w:fill="FFFFFF"/>
          </w:tcPr>
          <w:p w14:paraId="6B32DE23" w14:textId="77777777" w:rsidR="00134499" w:rsidRPr="00B57B36" w:rsidRDefault="00134499" w:rsidP="00EB034E">
            <w:pPr>
              <w:pStyle w:val="CETBodytext"/>
              <w:ind w:right="-1"/>
              <w:rPr>
                <w:rFonts w:cs="Arial"/>
                <w:szCs w:val="18"/>
                <w:lang w:val="en-GB"/>
              </w:rPr>
            </w:pPr>
          </w:p>
        </w:tc>
        <w:tc>
          <w:tcPr>
            <w:tcW w:w="20" w:type="dxa"/>
            <w:shd w:val="clear" w:color="auto" w:fill="FFFFFF"/>
          </w:tcPr>
          <w:p w14:paraId="6B61D8D7" w14:textId="39617784" w:rsidR="00134499" w:rsidRPr="00B57B36" w:rsidRDefault="00134499" w:rsidP="00EB034E">
            <w:pPr>
              <w:pStyle w:val="CETBodytext"/>
              <w:ind w:right="-1"/>
              <w:rPr>
                <w:rFonts w:cs="Arial"/>
                <w:szCs w:val="18"/>
                <w:lang w:val="en-GB"/>
              </w:rPr>
            </w:pPr>
          </w:p>
        </w:tc>
        <w:tc>
          <w:tcPr>
            <w:tcW w:w="20" w:type="dxa"/>
            <w:shd w:val="clear" w:color="auto" w:fill="FFFFFF"/>
          </w:tcPr>
          <w:p w14:paraId="3EC707F1" w14:textId="19F87309" w:rsidR="00134499" w:rsidRPr="00B57B36" w:rsidRDefault="00134499" w:rsidP="00EB034E">
            <w:pPr>
              <w:pStyle w:val="CETBodytext"/>
              <w:ind w:right="-1"/>
              <w:rPr>
                <w:rFonts w:cs="Arial"/>
                <w:szCs w:val="18"/>
                <w:lang w:val="en-GB"/>
              </w:rPr>
            </w:pPr>
          </w:p>
        </w:tc>
      </w:tr>
      <w:tr w:rsidR="00134499" w:rsidRPr="00B57B36" w14:paraId="12D29A31" w14:textId="748873ED" w:rsidTr="003673B6">
        <w:trPr>
          <w:trHeight w:val="281"/>
        </w:trPr>
        <w:tc>
          <w:tcPr>
            <w:tcW w:w="1150" w:type="dxa"/>
            <w:vMerge/>
            <w:shd w:val="clear" w:color="auto" w:fill="FFFFFF"/>
          </w:tcPr>
          <w:p w14:paraId="5B62E774" w14:textId="77777777" w:rsidR="00134499" w:rsidRDefault="00134499" w:rsidP="00EB034E">
            <w:pPr>
              <w:pStyle w:val="CETBodytext"/>
              <w:ind w:right="-1"/>
              <w:rPr>
                <w:rFonts w:cs="Arial"/>
                <w:szCs w:val="18"/>
                <w:lang w:val="en-GB"/>
              </w:rPr>
            </w:pPr>
          </w:p>
        </w:tc>
        <w:tc>
          <w:tcPr>
            <w:tcW w:w="2044" w:type="dxa"/>
            <w:shd w:val="clear" w:color="auto" w:fill="FFFFFF"/>
          </w:tcPr>
          <w:p w14:paraId="7C564253" w14:textId="77777777" w:rsidR="00134499" w:rsidRDefault="00134499" w:rsidP="00EB034E">
            <w:pPr>
              <w:pStyle w:val="CETBodytext"/>
              <w:ind w:right="-1"/>
              <w:rPr>
                <w:rFonts w:cs="Arial"/>
                <w:szCs w:val="18"/>
                <w:lang w:val="en-GB"/>
              </w:rPr>
            </w:pPr>
          </w:p>
        </w:tc>
        <w:tc>
          <w:tcPr>
            <w:tcW w:w="1734" w:type="dxa"/>
            <w:shd w:val="clear" w:color="auto" w:fill="FFFFFF"/>
          </w:tcPr>
          <w:p w14:paraId="143B6DA8" w14:textId="70DE9677" w:rsidR="00134499" w:rsidRPr="00B57B36" w:rsidRDefault="00134499" w:rsidP="00EB034E">
            <w:pPr>
              <w:pStyle w:val="CETBodytext"/>
              <w:ind w:right="-1"/>
              <w:rPr>
                <w:rFonts w:cs="Arial"/>
                <w:szCs w:val="18"/>
                <w:lang w:val="en-GB"/>
              </w:rPr>
            </w:pPr>
            <w:r>
              <w:rPr>
                <w:rFonts w:cs="Arial"/>
                <w:szCs w:val="18"/>
                <w:lang w:val="en-GB"/>
              </w:rPr>
              <w:t>60</w:t>
            </w:r>
          </w:p>
        </w:tc>
        <w:tc>
          <w:tcPr>
            <w:tcW w:w="182" w:type="dxa"/>
            <w:shd w:val="clear" w:color="auto" w:fill="FFFFFF"/>
          </w:tcPr>
          <w:p w14:paraId="18DF1753" w14:textId="77777777" w:rsidR="00134499" w:rsidRPr="00B57B36" w:rsidRDefault="00134499" w:rsidP="00EB034E">
            <w:pPr>
              <w:pStyle w:val="CETBodytext"/>
              <w:ind w:right="-1"/>
              <w:rPr>
                <w:rFonts w:cs="Arial"/>
                <w:szCs w:val="18"/>
                <w:lang w:val="en-GB"/>
              </w:rPr>
            </w:pPr>
          </w:p>
        </w:tc>
        <w:tc>
          <w:tcPr>
            <w:tcW w:w="182" w:type="dxa"/>
            <w:shd w:val="clear" w:color="auto" w:fill="FFFFFF"/>
          </w:tcPr>
          <w:p w14:paraId="46EA711D" w14:textId="2E80A8F9" w:rsidR="00134499" w:rsidRPr="00B57B36" w:rsidRDefault="00134499" w:rsidP="00EB034E">
            <w:pPr>
              <w:pStyle w:val="CETBodytext"/>
              <w:ind w:right="-1"/>
              <w:rPr>
                <w:rFonts w:cs="Arial"/>
                <w:szCs w:val="18"/>
                <w:lang w:val="en-GB"/>
              </w:rPr>
            </w:pPr>
          </w:p>
        </w:tc>
        <w:tc>
          <w:tcPr>
            <w:tcW w:w="1318" w:type="dxa"/>
            <w:shd w:val="clear" w:color="auto" w:fill="FFFFFF"/>
          </w:tcPr>
          <w:p w14:paraId="2B025062" w14:textId="1835CDF7" w:rsidR="00134499" w:rsidRPr="00B57B36" w:rsidRDefault="00134499" w:rsidP="00EB034E">
            <w:pPr>
              <w:pStyle w:val="CETBodytext"/>
              <w:ind w:right="-1"/>
              <w:rPr>
                <w:rFonts w:cs="Arial"/>
                <w:szCs w:val="18"/>
                <w:lang w:val="en-GB"/>
              </w:rPr>
            </w:pPr>
            <w:r>
              <w:rPr>
                <w:rFonts w:cs="Arial"/>
                <w:szCs w:val="18"/>
                <w:lang w:val="en-GB"/>
              </w:rPr>
              <w:t>SLES 1</w:t>
            </w:r>
            <w:r w:rsidRPr="00AF2BAD">
              <w:rPr>
                <w:rFonts w:cs="Arial"/>
                <w:b/>
                <w:i/>
                <w:szCs w:val="18"/>
                <w:lang w:val="en-GB"/>
              </w:rPr>
              <w:t>b</w:t>
            </w:r>
          </w:p>
        </w:tc>
        <w:tc>
          <w:tcPr>
            <w:tcW w:w="20" w:type="dxa"/>
            <w:shd w:val="clear" w:color="auto" w:fill="FFFFFF"/>
          </w:tcPr>
          <w:p w14:paraId="012E394C" w14:textId="77777777" w:rsidR="00134499" w:rsidRPr="00B57B36" w:rsidRDefault="00134499" w:rsidP="00EB034E">
            <w:pPr>
              <w:pStyle w:val="CETBodytext"/>
              <w:ind w:right="-1"/>
              <w:rPr>
                <w:rFonts w:cs="Arial"/>
                <w:szCs w:val="18"/>
                <w:lang w:val="en-GB"/>
              </w:rPr>
            </w:pPr>
          </w:p>
        </w:tc>
        <w:tc>
          <w:tcPr>
            <w:tcW w:w="20" w:type="dxa"/>
            <w:shd w:val="clear" w:color="auto" w:fill="FFFFFF"/>
          </w:tcPr>
          <w:p w14:paraId="602CF18D" w14:textId="1980E718" w:rsidR="00134499" w:rsidRPr="00B57B36" w:rsidRDefault="00134499" w:rsidP="00EB034E">
            <w:pPr>
              <w:pStyle w:val="CETBodytext"/>
              <w:ind w:right="-1"/>
              <w:rPr>
                <w:rFonts w:cs="Arial"/>
                <w:szCs w:val="18"/>
                <w:lang w:val="en-GB"/>
              </w:rPr>
            </w:pPr>
          </w:p>
        </w:tc>
        <w:tc>
          <w:tcPr>
            <w:tcW w:w="20" w:type="dxa"/>
            <w:shd w:val="clear" w:color="auto" w:fill="FFFFFF"/>
          </w:tcPr>
          <w:p w14:paraId="31D440F6" w14:textId="23C88F44" w:rsidR="00134499" w:rsidRPr="00B57B36" w:rsidRDefault="00134499" w:rsidP="00EB034E">
            <w:pPr>
              <w:pStyle w:val="CETBodytext"/>
              <w:ind w:right="-1"/>
              <w:rPr>
                <w:rFonts w:cs="Arial"/>
                <w:szCs w:val="18"/>
                <w:lang w:val="en-GB"/>
              </w:rPr>
            </w:pPr>
          </w:p>
        </w:tc>
      </w:tr>
      <w:tr w:rsidR="00134499" w:rsidRPr="00B57B36" w14:paraId="361D39F6" w14:textId="36CCEC91" w:rsidTr="003673B6">
        <w:trPr>
          <w:trHeight w:val="281"/>
        </w:trPr>
        <w:tc>
          <w:tcPr>
            <w:tcW w:w="1150" w:type="dxa"/>
            <w:vMerge/>
            <w:shd w:val="clear" w:color="auto" w:fill="FFFFFF"/>
          </w:tcPr>
          <w:p w14:paraId="1C5A837D" w14:textId="77777777" w:rsidR="00134499" w:rsidRDefault="00134499" w:rsidP="00EB034E">
            <w:pPr>
              <w:pStyle w:val="CETBodytext"/>
              <w:ind w:right="-1"/>
              <w:rPr>
                <w:rFonts w:cs="Arial"/>
                <w:szCs w:val="18"/>
                <w:lang w:val="en-GB"/>
              </w:rPr>
            </w:pPr>
          </w:p>
        </w:tc>
        <w:tc>
          <w:tcPr>
            <w:tcW w:w="2044" w:type="dxa"/>
            <w:shd w:val="clear" w:color="auto" w:fill="FFFFFF"/>
          </w:tcPr>
          <w:p w14:paraId="57730E6D" w14:textId="5B359DF7" w:rsidR="00134499" w:rsidRDefault="00134499" w:rsidP="00EB034E">
            <w:pPr>
              <w:pStyle w:val="CETBodytext"/>
              <w:ind w:right="-1"/>
              <w:rPr>
                <w:rFonts w:cs="Arial"/>
                <w:szCs w:val="18"/>
                <w:lang w:val="en-GB"/>
              </w:rPr>
            </w:pPr>
            <w:r>
              <w:rPr>
                <w:rFonts w:cs="Arial"/>
                <w:szCs w:val="18"/>
                <w:lang w:val="en-GB"/>
              </w:rPr>
              <w:t>0.5</w:t>
            </w:r>
          </w:p>
        </w:tc>
        <w:tc>
          <w:tcPr>
            <w:tcW w:w="1734" w:type="dxa"/>
            <w:shd w:val="clear" w:color="auto" w:fill="FFFFFF"/>
          </w:tcPr>
          <w:p w14:paraId="73FD5864" w14:textId="22317B06" w:rsidR="00134499" w:rsidRPr="00B57B36" w:rsidRDefault="00134499" w:rsidP="00EB034E">
            <w:pPr>
              <w:pStyle w:val="CETBodytext"/>
              <w:ind w:right="-1"/>
              <w:rPr>
                <w:rFonts w:cs="Arial"/>
                <w:szCs w:val="18"/>
                <w:lang w:val="en-GB"/>
              </w:rPr>
            </w:pPr>
            <w:r>
              <w:rPr>
                <w:rFonts w:cs="Arial"/>
                <w:szCs w:val="18"/>
                <w:lang w:val="en-GB"/>
              </w:rPr>
              <w:t>30</w:t>
            </w:r>
          </w:p>
        </w:tc>
        <w:tc>
          <w:tcPr>
            <w:tcW w:w="182" w:type="dxa"/>
            <w:shd w:val="clear" w:color="auto" w:fill="FFFFFF"/>
          </w:tcPr>
          <w:p w14:paraId="14E43DE9" w14:textId="77777777" w:rsidR="00134499" w:rsidRPr="00B57B36" w:rsidRDefault="00134499" w:rsidP="00EB034E">
            <w:pPr>
              <w:pStyle w:val="CETBodytext"/>
              <w:ind w:right="-1"/>
              <w:rPr>
                <w:rFonts w:cs="Arial"/>
                <w:szCs w:val="18"/>
                <w:lang w:val="en-GB"/>
              </w:rPr>
            </w:pPr>
          </w:p>
        </w:tc>
        <w:tc>
          <w:tcPr>
            <w:tcW w:w="182" w:type="dxa"/>
            <w:shd w:val="clear" w:color="auto" w:fill="FFFFFF"/>
          </w:tcPr>
          <w:p w14:paraId="5934EAA4" w14:textId="418E8DD7" w:rsidR="00134499" w:rsidRPr="00B57B36" w:rsidRDefault="00134499" w:rsidP="00EB034E">
            <w:pPr>
              <w:pStyle w:val="CETBodytext"/>
              <w:ind w:right="-1"/>
              <w:rPr>
                <w:rFonts w:cs="Arial"/>
                <w:szCs w:val="18"/>
                <w:lang w:val="en-GB"/>
              </w:rPr>
            </w:pPr>
          </w:p>
        </w:tc>
        <w:tc>
          <w:tcPr>
            <w:tcW w:w="1318" w:type="dxa"/>
            <w:shd w:val="clear" w:color="auto" w:fill="FFFFFF"/>
          </w:tcPr>
          <w:p w14:paraId="5E1A6839" w14:textId="1CB7E934" w:rsidR="00134499" w:rsidRPr="00B57B36" w:rsidRDefault="00134499" w:rsidP="00EB034E">
            <w:pPr>
              <w:pStyle w:val="CETBodytext"/>
              <w:ind w:right="-1"/>
              <w:rPr>
                <w:rFonts w:cs="Arial"/>
                <w:szCs w:val="18"/>
                <w:lang w:val="en-GB"/>
              </w:rPr>
            </w:pPr>
            <w:r>
              <w:rPr>
                <w:rFonts w:cs="Arial"/>
                <w:szCs w:val="18"/>
                <w:lang w:val="en-GB"/>
              </w:rPr>
              <w:t>SLES 0.5</w:t>
            </w:r>
            <w:r w:rsidRPr="00AF2BAD">
              <w:rPr>
                <w:rFonts w:cs="Arial"/>
                <w:b/>
                <w:i/>
                <w:szCs w:val="18"/>
                <w:lang w:val="en-GB"/>
              </w:rPr>
              <w:t>a</w:t>
            </w:r>
          </w:p>
        </w:tc>
        <w:tc>
          <w:tcPr>
            <w:tcW w:w="20" w:type="dxa"/>
            <w:shd w:val="clear" w:color="auto" w:fill="FFFFFF"/>
          </w:tcPr>
          <w:p w14:paraId="19DF6213" w14:textId="77777777" w:rsidR="00134499" w:rsidRPr="00B57B36" w:rsidRDefault="00134499" w:rsidP="00EB034E">
            <w:pPr>
              <w:pStyle w:val="CETBodytext"/>
              <w:ind w:right="-1"/>
              <w:rPr>
                <w:rFonts w:cs="Arial"/>
                <w:szCs w:val="18"/>
                <w:lang w:val="en-GB"/>
              </w:rPr>
            </w:pPr>
          </w:p>
        </w:tc>
        <w:tc>
          <w:tcPr>
            <w:tcW w:w="20" w:type="dxa"/>
            <w:shd w:val="clear" w:color="auto" w:fill="FFFFFF"/>
          </w:tcPr>
          <w:p w14:paraId="060A0F82" w14:textId="6558C736" w:rsidR="00134499" w:rsidRPr="00B57B36" w:rsidRDefault="00134499" w:rsidP="00EB034E">
            <w:pPr>
              <w:pStyle w:val="CETBodytext"/>
              <w:ind w:right="-1"/>
              <w:rPr>
                <w:rFonts w:cs="Arial"/>
                <w:szCs w:val="18"/>
                <w:lang w:val="en-GB"/>
              </w:rPr>
            </w:pPr>
          </w:p>
        </w:tc>
        <w:tc>
          <w:tcPr>
            <w:tcW w:w="20" w:type="dxa"/>
            <w:shd w:val="clear" w:color="auto" w:fill="FFFFFF"/>
          </w:tcPr>
          <w:p w14:paraId="6E9C504A" w14:textId="373BA3DC" w:rsidR="00134499" w:rsidRPr="00B57B36" w:rsidRDefault="00134499" w:rsidP="00EB034E">
            <w:pPr>
              <w:pStyle w:val="CETBodytext"/>
              <w:ind w:right="-1"/>
              <w:rPr>
                <w:rFonts w:cs="Arial"/>
                <w:szCs w:val="18"/>
                <w:lang w:val="en-GB"/>
              </w:rPr>
            </w:pPr>
          </w:p>
        </w:tc>
      </w:tr>
      <w:tr w:rsidR="00134499" w:rsidRPr="00B57B36" w14:paraId="523A5045" w14:textId="7DC10A02" w:rsidTr="003673B6">
        <w:trPr>
          <w:trHeight w:val="300"/>
        </w:trPr>
        <w:tc>
          <w:tcPr>
            <w:tcW w:w="1150" w:type="dxa"/>
            <w:vMerge/>
            <w:shd w:val="clear" w:color="auto" w:fill="FFFFFF"/>
          </w:tcPr>
          <w:p w14:paraId="350DA9C4" w14:textId="77777777" w:rsidR="00134499" w:rsidRDefault="00134499" w:rsidP="00EB034E">
            <w:pPr>
              <w:pStyle w:val="CETBodytext"/>
              <w:ind w:right="-1"/>
              <w:rPr>
                <w:rFonts w:cs="Arial"/>
                <w:szCs w:val="18"/>
                <w:lang w:val="en-GB"/>
              </w:rPr>
            </w:pPr>
          </w:p>
        </w:tc>
        <w:tc>
          <w:tcPr>
            <w:tcW w:w="2044" w:type="dxa"/>
            <w:shd w:val="clear" w:color="auto" w:fill="FFFFFF"/>
          </w:tcPr>
          <w:p w14:paraId="683691FA" w14:textId="7AE874A3" w:rsidR="00134499" w:rsidRPr="00B57B36" w:rsidRDefault="00134499" w:rsidP="00EB034E">
            <w:pPr>
              <w:pStyle w:val="CETBodytext"/>
              <w:ind w:right="-1"/>
              <w:rPr>
                <w:rFonts w:cs="Arial"/>
                <w:szCs w:val="18"/>
                <w:lang w:val="en-GB"/>
              </w:rPr>
            </w:pPr>
          </w:p>
        </w:tc>
        <w:tc>
          <w:tcPr>
            <w:tcW w:w="1734" w:type="dxa"/>
            <w:shd w:val="clear" w:color="auto" w:fill="FFFFFF"/>
          </w:tcPr>
          <w:p w14:paraId="108B127E" w14:textId="19D12291" w:rsidR="00134499" w:rsidRPr="00B57B36" w:rsidRDefault="00134499" w:rsidP="00EB034E">
            <w:pPr>
              <w:pStyle w:val="CETBodytext"/>
              <w:ind w:right="-1"/>
              <w:rPr>
                <w:rFonts w:cs="Arial"/>
                <w:szCs w:val="18"/>
                <w:lang w:val="en-GB"/>
              </w:rPr>
            </w:pPr>
            <w:r>
              <w:rPr>
                <w:rFonts w:cs="Arial"/>
                <w:szCs w:val="18"/>
                <w:lang w:val="en-GB"/>
              </w:rPr>
              <w:t>60</w:t>
            </w:r>
          </w:p>
        </w:tc>
        <w:tc>
          <w:tcPr>
            <w:tcW w:w="182" w:type="dxa"/>
            <w:shd w:val="clear" w:color="auto" w:fill="FFFFFF"/>
          </w:tcPr>
          <w:p w14:paraId="791A15E7" w14:textId="77777777" w:rsidR="00134499" w:rsidRPr="00B57B36" w:rsidRDefault="00134499" w:rsidP="00EB034E">
            <w:pPr>
              <w:pStyle w:val="CETBodytext"/>
              <w:ind w:right="-1"/>
              <w:rPr>
                <w:rFonts w:cs="Arial"/>
                <w:szCs w:val="18"/>
                <w:lang w:val="en-GB"/>
              </w:rPr>
            </w:pPr>
          </w:p>
        </w:tc>
        <w:tc>
          <w:tcPr>
            <w:tcW w:w="182" w:type="dxa"/>
            <w:shd w:val="clear" w:color="auto" w:fill="FFFFFF"/>
          </w:tcPr>
          <w:p w14:paraId="42512A1D" w14:textId="1327CE17" w:rsidR="00134499" w:rsidRPr="00B57B36" w:rsidRDefault="00134499" w:rsidP="00EB034E">
            <w:pPr>
              <w:pStyle w:val="CETBodytext"/>
              <w:ind w:right="-1"/>
              <w:rPr>
                <w:rFonts w:cs="Arial"/>
                <w:szCs w:val="18"/>
                <w:lang w:val="en-GB"/>
              </w:rPr>
            </w:pPr>
          </w:p>
        </w:tc>
        <w:tc>
          <w:tcPr>
            <w:tcW w:w="1318" w:type="dxa"/>
            <w:shd w:val="clear" w:color="auto" w:fill="FFFFFF"/>
          </w:tcPr>
          <w:p w14:paraId="3EC9792C" w14:textId="5FA7EE53" w:rsidR="00134499" w:rsidRPr="00B57B36" w:rsidRDefault="00134499" w:rsidP="00EB034E">
            <w:pPr>
              <w:pStyle w:val="CETBodytext"/>
              <w:ind w:right="-1"/>
              <w:rPr>
                <w:rFonts w:cs="Arial"/>
                <w:szCs w:val="18"/>
                <w:lang w:val="en-GB"/>
              </w:rPr>
            </w:pPr>
            <w:r>
              <w:rPr>
                <w:rFonts w:cs="Arial"/>
                <w:szCs w:val="18"/>
                <w:lang w:val="en-GB"/>
              </w:rPr>
              <w:t>SLES 0.5</w:t>
            </w:r>
            <w:r w:rsidRPr="00AF2BAD">
              <w:rPr>
                <w:rFonts w:cs="Arial"/>
                <w:b/>
                <w:i/>
                <w:szCs w:val="18"/>
                <w:lang w:val="en-GB"/>
              </w:rPr>
              <w:t>b</w:t>
            </w:r>
          </w:p>
        </w:tc>
        <w:tc>
          <w:tcPr>
            <w:tcW w:w="20" w:type="dxa"/>
            <w:shd w:val="clear" w:color="auto" w:fill="FFFFFF"/>
          </w:tcPr>
          <w:p w14:paraId="19D3D711" w14:textId="77777777" w:rsidR="00134499" w:rsidRPr="00B57B36" w:rsidRDefault="00134499" w:rsidP="00EB034E">
            <w:pPr>
              <w:pStyle w:val="CETBodytext"/>
              <w:ind w:right="-1"/>
              <w:rPr>
                <w:rFonts w:cs="Arial"/>
                <w:szCs w:val="18"/>
                <w:lang w:val="en-GB"/>
              </w:rPr>
            </w:pPr>
          </w:p>
        </w:tc>
        <w:tc>
          <w:tcPr>
            <w:tcW w:w="20" w:type="dxa"/>
            <w:shd w:val="clear" w:color="auto" w:fill="FFFFFF"/>
          </w:tcPr>
          <w:p w14:paraId="196B9F24" w14:textId="29C230B8" w:rsidR="00134499" w:rsidRPr="00B57B36" w:rsidRDefault="00134499" w:rsidP="00EB034E">
            <w:pPr>
              <w:pStyle w:val="CETBodytext"/>
              <w:ind w:right="-1"/>
              <w:rPr>
                <w:rFonts w:cs="Arial"/>
                <w:szCs w:val="18"/>
                <w:lang w:val="en-GB"/>
              </w:rPr>
            </w:pPr>
          </w:p>
        </w:tc>
        <w:tc>
          <w:tcPr>
            <w:tcW w:w="20" w:type="dxa"/>
            <w:shd w:val="clear" w:color="auto" w:fill="FFFFFF"/>
          </w:tcPr>
          <w:p w14:paraId="71A9FAEA" w14:textId="4B01A6DF" w:rsidR="00134499" w:rsidRPr="00B57B36" w:rsidRDefault="00134499" w:rsidP="00EB034E">
            <w:pPr>
              <w:pStyle w:val="CETBodytext"/>
              <w:ind w:right="-1"/>
              <w:rPr>
                <w:rFonts w:cs="Arial"/>
                <w:szCs w:val="18"/>
                <w:lang w:val="en-GB"/>
              </w:rPr>
            </w:pPr>
          </w:p>
        </w:tc>
      </w:tr>
    </w:tbl>
    <w:p w14:paraId="44AE9484" w14:textId="2D5A64E1" w:rsidR="00FF174F" w:rsidRDefault="00FF174F" w:rsidP="00FF174F">
      <w:pPr>
        <w:pStyle w:val="CETBodytext"/>
        <w:rPr>
          <w:lang w:val="en-GB"/>
        </w:rPr>
      </w:pPr>
    </w:p>
    <w:p w14:paraId="7FDCD384" w14:textId="284EC569" w:rsidR="00AF5E8A" w:rsidRDefault="00E45D79" w:rsidP="00FF174F">
      <w:pPr>
        <w:pStyle w:val="CETBodytext"/>
        <w:rPr>
          <w:lang w:val="en-GB"/>
        </w:rPr>
      </w:pPr>
      <w:r w:rsidRPr="00E45D79">
        <w:rPr>
          <w:lang w:val="en-GB"/>
        </w:rPr>
        <w:t xml:space="preserve">All samples were subsequently characterized. The preservation of the natural structure was evaluated </w:t>
      </w:r>
      <w:r w:rsidR="00A50B27">
        <w:rPr>
          <w:lang w:val="en-GB"/>
        </w:rPr>
        <w:t xml:space="preserve">and compared </w:t>
      </w:r>
      <w:r w:rsidRPr="00E45D79">
        <w:rPr>
          <w:lang w:val="en-GB"/>
        </w:rPr>
        <w:t xml:space="preserve">by stereo and light microscopy. </w:t>
      </w:r>
      <w:r w:rsidR="00A50B27">
        <w:rPr>
          <w:lang w:val="en-GB"/>
        </w:rPr>
        <w:t>T</w:t>
      </w:r>
      <w:r w:rsidRPr="00E45D79">
        <w:rPr>
          <w:lang w:val="en-GB"/>
        </w:rPr>
        <w:t xml:space="preserve">he total number of steps in each protocol </w:t>
      </w:r>
      <w:r w:rsidR="00A50B27">
        <w:rPr>
          <w:lang w:val="en-GB"/>
        </w:rPr>
        <w:t>required</w:t>
      </w:r>
      <w:r w:rsidRPr="00E45D79">
        <w:rPr>
          <w:lang w:val="en-GB"/>
        </w:rPr>
        <w:t xml:space="preserve"> to make </w:t>
      </w:r>
      <w:r w:rsidR="00A50B27">
        <w:rPr>
          <w:lang w:val="en-GB"/>
        </w:rPr>
        <w:t xml:space="preserve">the </w:t>
      </w:r>
      <w:r w:rsidRPr="00E45D79">
        <w:rPr>
          <w:lang w:val="en-GB"/>
        </w:rPr>
        <w:t xml:space="preserve">samples transparent was </w:t>
      </w:r>
      <w:r w:rsidR="00A50B27">
        <w:rPr>
          <w:lang w:val="en-GB"/>
        </w:rPr>
        <w:t xml:space="preserve">also </w:t>
      </w:r>
      <w:r w:rsidRPr="00E45D79">
        <w:rPr>
          <w:lang w:val="en-GB"/>
        </w:rPr>
        <w:t>compared.</w:t>
      </w:r>
    </w:p>
    <w:p w14:paraId="475E88BD" w14:textId="63C7AF72" w:rsidR="00AF5E8A" w:rsidRDefault="00AF5E8A" w:rsidP="00AF5E8A">
      <w:pPr>
        <w:pStyle w:val="CETheadingx"/>
      </w:pPr>
      <w:r>
        <w:t>Light microscopy</w:t>
      </w:r>
    </w:p>
    <w:p w14:paraId="7EA28A91" w14:textId="3CAADAEE" w:rsidR="00AF5E8A" w:rsidRDefault="00AF5E8A" w:rsidP="00AF5E8A">
      <w:pPr>
        <w:pStyle w:val="CETBodytext"/>
      </w:pPr>
    </w:p>
    <w:p w14:paraId="01246093" w14:textId="13EB202C" w:rsidR="00AF5E8A" w:rsidRDefault="00E45D79" w:rsidP="00AF5E8A">
      <w:pPr>
        <w:pStyle w:val="CETBodytext"/>
      </w:pPr>
      <w:r>
        <w:t xml:space="preserve">Measurements were performed using the Motic BA200 light microscope. All samples for microscopy were taken directly from the media after treatment with detergents and placed on </w:t>
      </w:r>
      <w:r w:rsidR="009B0DAC">
        <w:t>a</w:t>
      </w:r>
      <w:r>
        <w:t xml:space="preserve"> slide without further treatment steps.</w:t>
      </w:r>
    </w:p>
    <w:p w14:paraId="3ADC87D5" w14:textId="77777777" w:rsidR="005A5807" w:rsidRDefault="005A5807" w:rsidP="00AF5E8A">
      <w:pPr>
        <w:pStyle w:val="CETBodytext"/>
      </w:pPr>
    </w:p>
    <w:p w14:paraId="7C727EFD" w14:textId="3E3DF26E" w:rsidR="00AF5E8A" w:rsidRDefault="00AF5E8A" w:rsidP="00AF5E8A">
      <w:pPr>
        <w:pStyle w:val="CETheadingx"/>
      </w:pPr>
      <w:r>
        <w:t>Stereomicroscopy</w:t>
      </w:r>
    </w:p>
    <w:p w14:paraId="6CBFC37E" w14:textId="7CCC416C" w:rsidR="0006661A" w:rsidRDefault="00E45D79" w:rsidP="0006661A">
      <w:pPr>
        <w:pStyle w:val="CETBodytext"/>
      </w:pPr>
      <w:r>
        <w:t>Stereomicroscopy was performed using Olympus SZX16 to determine the preservation of specific dense liver tissue at a larger scale. Samples were prepared in the same manner as for light microscopy.</w:t>
      </w:r>
    </w:p>
    <w:p w14:paraId="22A5ECBA" w14:textId="77777777" w:rsidR="0006661A" w:rsidRDefault="0006661A" w:rsidP="0006661A">
      <w:pPr>
        <w:pStyle w:val="CETBodytext"/>
      </w:pPr>
    </w:p>
    <w:p w14:paraId="3FA6420F" w14:textId="54737AAA" w:rsidR="00245E99" w:rsidRPr="0006661A" w:rsidRDefault="00562052" w:rsidP="0006661A">
      <w:pPr>
        <w:pStyle w:val="CETHeading1"/>
      </w:pPr>
      <w:r w:rsidRPr="0006661A">
        <w:t>Results</w:t>
      </w:r>
    </w:p>
    <w:p w14:paraId="4194086C" w14:textId="531E3407" w:rsidR="0006661A" w:rsidRDefault="0006661A" w:rsidP="007B5C9C">
      <w:pPr>
        <w:pStyle w:val="CETBodytext"/>
      </w:pPr>
      <w:r>
        <w:t>In Figure 2, the parameters of the protocol, such as the detergent used, its concentration and the change time, were compared. It is shown that sample SLS 1</w:t>
      </w:r>
      <w:r w:rsidRPr="00AF2BAD">
        <w:rPr>
          <w:b/>
          <w:i/>
        </w:rPr>
        <w:t>b</w:t>
      </w:r>
      <w:r>
        <w:t xml:space="preserve"> requires the least number of protocol steps to make the samples transparent. </w:t>
      </w:r>
      <w:r w:rsidR="009B0DAC">
        <w:t xml:space="preserve">In addition, SLS samples required fewer protocol steps overall than SLES samples, which is consistent with previous research showing that SLS is generally a more aggressive detergent. </w:t>
      </w:r>
      <w:r>
        <w:t xml:space="preserve">It can be seen that concentration also plays an important role; as concentration decreases, the number of protocol steps increases. It is also interesting to note that </w:t>
      </w:r>
      <w:r w:rsidR="009B0DAC">
        <w:t xml:space="preserve">the change in </w:t>
      </w:r>
      <w:r>
        <w:t xml:space="preserve">time has an effect on the number of protocol steps. It can be seen that </w:t>
      </w:r>
      <w:r w:rsidR="009B0DAC">
        <w:t>when</w:t>
      </w:r>
      <w:r>
        <w:t xml:space="preserve"> the changing period is longer (60 minutes), the number of steps decreases, but the total time required for decellularization is longer. Thus, the sample with the most protocol steps is SLES 0.5</w:t>
      </w:r>
      <w:r w:rsidRPr="00AF2BAD">
        <w:rPr>
          <w:b/>
          <w:i/>
        </w:rPr>
        <w:t>a</w:t>
      </w:r>
      <w:r>
        <w:t>, but the sample with the longest decellularization time is SLES 0.5</w:t>
      </w:r>
      <w:r w:rsidRPr="00AF2BAD">
        <w:rPr>
          <w:b/>
          <w:i/>
        </w:rPr>
        <w:t>b</w:t>
      </w:r>
      <w:r>
        <w:t>.</w:t>
      </w:r>
    </w:p>
    <w:p w14:paraId="6D35BCAC" w14:textId="77777777" w:rsidR="0006661A" w:rsidRPr="0006661A" w:rsidRDefault="0006661A" w:rsidP="0006661A">
      <w:pPr>
        <w:pStyle w:val="CETBodytext"/>
      </w:pPr>
    </w:p>
    <w:tbl>
      <w:tblPr>
        <w:tblStyle w:val="TableGrid"/>
        <w:tblW w:w="9347" w:type="dxa"/>
        <w:tblLook w:val="04A0" w:firstRow="1" w:lastRow="0" w:firstColumn="1" w:lastColumn="0" w:noHBand="0" w:noVBand="1"/>
      </w:tblPr>
      <w:tblGrid>
        <w:gridCol w:w="9347"/>
      </w:tblGrid>
      <w:tr w:rsidR="00020125" w14:paraId="57405B44" w14:textId="77777777" w:rsidTr="0006661A">
        <w:trPr>
          <w:trHeight w:val="563"/>
        </w:trPr>
        <w:tc>
          <w:tcPr>
            <w:tcW w:w="9347" w:type="dxa"/>
            <w:tcBorders>
              <w:top w:val="nil"/>
              <w:left w:val="nil"/>
              <w:bottom w:val="nil"/>
              <w:right w:val="nil"/>
            </w:tcBorders>
          </w:tcPr>
          <w:p w14:paraId="16CFE198" w14:textId="78BF9FC8" w:rsidR="007533C9" w:rsidRDefault="00C04C89" w:rsidP="002F4FE8">
            <w:pPr>
              <w:pStyle w:val="CETBodytext"/>
            </w:pPr>
            <w:r w:rsidRPr="00C04C89">
              <w:rPr>
                <w:noProof/>
              </w:rPr>
              <w:lastRenderedPageBreak/>
              <w:drawing>
                <wp:inline distT="0" distB="0" distL="0" distR="0" wp14:anchorId="5233394F" wp14:editId="151B779C">
                  <wp:extent cx="5572125" cy="2638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2638425"/>
                          </a:xfrm>
                          <a:prstGeom prst="rect">
                            <a:avLst/>
                          </a:prstGeom>
                          <a:noFill/>
                          <a:ln>
                            <a:noFill/>
                          </a:ln>
                        </pic:spPr>
                      </pic:pic>
                    </a:graphicData>
                  </a:graphic>
                </wp:inline>
              </w:drawing>
            </w:r>
          </w:p>
          <w:p w14:paraId="650A4D32" w14:textId="35551140" w:rsidR="00020125" w:rsidRPr="00343D75" w:rsidRDefault="007533C9" w:rsidP="002F4FE8">
            <w:pPr>
              <w:pStyle w:val="CETBodytext"/>
              <w:rPr>
                <w:i/>
                <w:lang w:val="en-GB"/>
              </w:rPr>
            </w:pPr>
            <w:r>
              <w:rPr>
                <w:rStyle w:val="CETCaptionCarattere"/>
              </w:rPr>
              <w:t xml:space="preserve"> </w:t>
            </w:r>
            <w:r w:rsidR="00020125">
              <w:rPr>
                <w:rStyle w:val="CETCaptionCarattere"/>
              </w:rPr>
              <w:t>Figure 2</w:t>
            </w:r>
            <w:r w:rsidR="00020125" w:rsidRPr="00BD077D">
              <w:rPr>
                <w:rStyle w:val="CETCaptionCarattere"/>
              </w:rPr>
              <w:t xml:space="preserve">: </w:t>
            </w:r>
            <w:r w:rsidR="00020125">
              <w:rPr>
                <w:rStyle w:val="CETCaptionCarattere"/>
              </w:rPr>
              <w:t>Comparison of</w:t>
            </w:r>
            <w:r w:rsidR="009B0DAC">
              <w:rPr>
                <w:rStyle w:val="CETCaptionCarattere"/>
              </w:rPr>
              <w:t xml:space="preserve"> the</w:t>
            </w:r>
            <w:r w:rsidR="00020125">
              <w:rPr>
                <w:rStyle w:val="CETCaptionCarattere"/>
              </w:rPr>
              <w:t xml:space="preserve"> time of decellularization depending on </w:t>
            </w:r>
            <w:r w:rsidR="009B0DAC">
              <w:rPr>
                <w:rStyle w:val="CETCaptionCarattere"/>
              </w:rPr>
              <w:t xml:space="preserve">the </w:t>
            </w:r>
            <w:r w:rsidR="002D1E02">
              <w:rPr>
                <w:rStyle w:val="CETCaptionCarattere"/>
              </w:rPr>
              <w:t>detergent, its</w:t>
            </w:r>
            <w:r w:rsidR="00020125">
              <w:rPr>
                <w:rStyle w:val="CETCaptionCarattere"/>
              </w:rPr>
              <w:t xml:space="preserve"> concentration and</w:t>
            </w:r>
            <w:r w:rsidR="009B0DAC">
              <w:rPr>
                <w:rStyle w:val="CETCaptionCarattere"/>
              </w:rPr>
              <w:t xml:space="preserve"> the</w:t>
            </w:r>
            <w:r w:rsidR="00020125">
              <w:rPr>
                <w:rStyle w:val="CETCaptionCarattere"/>
              </w:rPr>
              <w:t xml:space="preserve"> chang</w:t>
            </w:r>
            <w:r w:rsidR="009B0DAC">
              <w:rPr>
                <w:rStyle w:val="CETCaptionCarattere"/>
              </w:rPr>
              <w:t>e</w:t>
            </w:r>
            <w:r w:rsidR="00020125">
              <w:rPr>
                <w:rStyle w:val="CETCaptionCarattere"/>
              </w:rPr>
              <w:t xml:space="preserve"> times</w:t>
            </w:r>
          </w:p>
        </w:tc>
      </w:tr>
    </w:tbl>
    <w:p w14:paraId="2C22B56A" w14:textId="3E7ADE96" w:rsidR="00C85A02" w:rsidRDefault="00C85A02" w:rsidP="00C85A02">
      <w:pPr>
        <w:pStyle w:val="CETBodytext"/>
      </w:pPr>
    </w:p>
    <w:p w14:paraId="2A788E4B" w14:textId="6F1E1BE7" w:rsidR="007551C1" w:rsidRDefault="007551C1" w:rsidP="007551C1">
      <w:pPr>
        <w:pStyle w:val="CETheadingx"/>
      </w:pPr>
      <w:r>
        <w:t xml:space="preserve">Light </w:t>
      </w:r>
      <w:r w:rsidR="009B0DAC">
        <w:t>m</w:t>
      </w:r>
      <w:r>
        <w:t>icroscopy</w:t>
      </w:r>
    </w:p>
    <w:p w14:paraId="4F3998AC" w14:textId="1E4054BD" w:rsidR="009B5769" w:rsidRDefault="009B0DAC" w:rsidP="007551C1">
      <w:pPr>
        <w:pStyle w:val="CETBodytext"/>
      </w:pPr>
      <w:r>
        <w:t>The micrographs obtained by l</w:t>
      </w:r>
      <w:r w:rsidR="009B5769">
        <w:t xml:space="preserve">ight </w:t>
      </w:r>
      <w:r>
        <w:t>microscope</w:t>
      </w:r>
      <w:r w:rsidR="009B5769">
        <w:t xml:space="preserve"> can be found in Figure 3 A. Dense liver tissue and its microstructure can be seen in all images. In addition, all samples are thin, semi-transparent and </w:t>
      </w:r>
      <w:r w:rsidR="00FA01A9">
        <w:t>light brown in color. Samples SL</w:t>
      </w:r>
      <w:r w:rsidR="009B5769">
        <w:t>S 1</w:t>
      </w:r>
      <w:r w:rsidR="009B5769" w:rsidRPr="009B5769">
        <w:rPr>
          <w:b/>
          <w:i/>
        </w:rPr>
        <w:t>a</w:t>
      </w:r>
      <w:r w:rsidR="00FA01A9">
        <w:t xml:space="preserve"> and SL</w:t>
      </w:r>
      <w:r w:rsidR="009B5769">
        <w:t>S 1</w:t>
      </w:r>
      <w:r w:rsidR="009B5769" w:rsidRPr="009B5769">
        <w:rPr>
          <w:b/>
          <w:i/>
        </w:rPr>
        <w:t>b</w:t>
      </w:r>
      <w:r w:rsidR="009B5769">
        <w:t xml:space="preserve"> have damaged structures and in thinner areas there is no tissue at all. There are also signs of tearing and threading of tissue. This could be the result of too harsh </w:t>
      </w:r>
      <w:r>
        <w:t xml:space="preserve">detergent </w:t>
      </w:r>
      <w:r w:rsidR="009B5769">
        <w:t xml:space="preserve">treatment, but also </w:t>
      </w:r>
      <w:r>
        <w:t>from stress during mechanical stirring</w:t>
      </w:r>
      <w:r w:rsidR="009B5769">
        <w:t xml:space="preserve"> </w:t>
      </w:r>
      <w:r>
        <w:t>in</w:t>
      </w:r>
      <w:r w:rsidR="009B5769">
        <w:t xml:space="preserve"> decellularization</w:t>
      </w:r>
      <w:r w:rsidR="00FA01A9">
        <w:t xml:space="preserve"> protocol. Samples with lower SLS concentration (SL</w:t>
      </w:r>
      <w:r w:rsidR="009B5769">
        <w:t>S 0.5</w:t>
      </w:r>
      <w:r w:rsidR="009B5769" w:rsidRPr="009B5769">
        <w:rPr>
          <w:b/>
          <w:i/>
        </w:rPr>
        <w:t>a</w:t>
      </w:r>
      <w:r w:rsidR="009B5769">
        <w:t xml:space="preserve"> and </w:t>
      </w:r>
      <w:r w:rsidR="009B5769" w:rsidRPr="009B5769">
        <w:rPr>
          <w:b/>
          <w:i/>
        </w:rPr>
        <w:t>b</w:t>
      </w:r>
      <w:r w:rsidR="009B5769">
        <w:t xml:space="preserve">) also show signs of damage. There are missing pieces of tissue in thinner areas, but no threads or tears in the tissue. Samples decellularized with SLES show almost no damage in the tissue structure, all tissue </w:t>
      </w:r>
      <w:r>
        <w:t>pieces</w:t>
      </w:r>
      <w:r w:rsidR="009B5769">
        <w:t xml:space="preserve"> are visible and smooth with some small holes.</w:t>
      </w:r>
    </w:p>
    <w:p w14:paraId="29F1373B" w14:textId="77777777" w:rsidR="00381AAE" w:rsidRDefault="00381AAE" w:rsidP="007551C1">
      <w:pPr>
        <w:pStyle w:val="CETBodytext"/>
      </w:pPr>
    </w:p>
    <w:p w14:paraId="4D5CA8D8" w14:textId="2A266807" w:rsidR="007551C1" w:rsidRPr="00C85A02" w:rsidRDefault="007551C1" w:rsidP="007551C1">
      <w:pPr>
        <w:pStyle w:val="CETheadingx"/>
      </w:pPr>
      <w:r>
        <w:t>Stereo</w:t>
      </w:r>
      <w:r w:rsidR="009B0DAC">
        <w:t>m</w:t>
      </w:r>
      <w:r>
        <w:t>icroscopy</w:t>
      </w:r>
    </w:p>
    <w:p w14:paraId="07BDD1D8" w14:textId="314E1828" w:rsidR="00C85A02" w:rsidRDefault="009B5769" w:rsidP="00C85A02">
      <w:pPr>
        <w:pStyle w:val="CETBodytext"/>
      </w:pPr>
      <w:r>
        <w:t>The stereomicro</w:t>
      </w:r>
      <w:r w:rsidR="009B0DAC">
        <w:t>graphs</w:t>
      </w:r>
      <w:r>
        <w:t xml:space="preserve"> are shown in Figure 3 B. The natural liver structure with some arteries and veins is preserved in all samples with milder signs of damage. The damage is visible in thinner tissue areas as absence of connective tissue. The difference between </w:t>
      </w:r>
      <w:r w:rsidR="00B3605D">
        <w:t xml:space="preserve">samples in </w:t>
      </w:r>
      <w:r>
        <w:t xml:space="preserve">subgroup </w:t>
      </w:r>
      <w:r w:rsidRPr="009B5769">
        <w:rPr>
          <w:b/>
          <w:i/>
        </w:rPr>
        <w:t>a</w:t>
      </w:r>
      <w:r>
        <w:t xml:space="preserve"> and </w:t>
      </w:r>
      <w:r w:rsidRPr="009B5769">
        <w:rPr>
          <w:b/>
          <w:i/>
        </w:rPr>
        <w:t>b</w:t>
      </w:r>
      <w:r>
        <w:t xml:space="preserve"> </w:t>
      </w:r>
      <w:r w:rsidR="00B3605D">
        <w:t xml:space="preserve">is more visible than between </w:t>
      </w:r>
      <w:r>
        <w:t xml:space="preserve">detergents or concentrations. It can be seen that </w:t>
      </w:r>
      <w:r w:rsidR="00B3605D">
        <w:t xml:space="preserve">the </w:t>
      </w:r>
      <w:r>
        <w:t>samples whose medi</w:t>
      </w:r>
      <w:r w:rsidR="00B3605D">
        <w:t>um</w:t>
      </w:r>
      <w:r>
        <w:t xml:space="preserve"> was changed every </w:t>
      </w:r>
      <w:r w:rsidR="00A5305C">
        <w:t>60 minutes were</w:t>
      </w:r>
      <w:r>
        <w:t xml:space="preserve"> more damaged and ha</w:t>
      </w:r>
      <w:r w:rsidR="00B3605D">
        <w:t>d</w:t>
      </w:r>
      <w:r>
        <w:t xml:space="preserve"> more holes. This could be the result of partial digestion of the tissue caused by intercellular enzymes released after cell lysis in the decellularization media </w:t>
      </w:r>
      <w:r w:rsidR="00B3605D">
        <w:t>that</w:t>
      </w:r>
      <w:r>
        <w:t xml:space="preserve"> were not washed away as quickly as in the subgroup </w:t>
      </w:r>
      <w:r w:rsidRPr="009B5769">
        <w:rPr>
          <w:b/>
          <w:i/>
        </w:rPr>
        <w:t>b</w:t>
      </w:r>
      <w:r>
        <w:t xml:space="preserve"> samples. </w:t>
      </w:r>
      <w:r w:rsidR="00144159">
        <w:fldChar w:fldCharType="begin" w:fldLock="1"/>
      </w:r>
      <w:r w:rsidR="00A62DE5">
        <w:instrText>ADDIN CSL_CITATION {"citationItems":[{"id":"ITEM-1","itemData":{"DOI":"10.1016/j.bprint.2022.e00233","ISSN":"24058866","author":[{"dropping-particle":"","family":"Klak","given":"Marta","non-dropping-particle":"","parse-names":false,"suffix":""},{"dropping-particle":"","family":"Kosowska","given":"Katarzyna","non-dropping-particle":"","parse-names":false,"suffix":""},{"dropping-particle":"","family":"Bryniarski","given":"Tomasz","non-dropping-particle":"","parse-names":false,"suffix":""},{"dropping-particle":"","family":"Łojszczyk","given":"Ilona","non-dropping-particle":"","parse-names":false,"suffix":""},{"dropping-particle":"","family":"Dobrzański","given":"Tomasz","non-dropping-particle":"","parse-names":false,"suffix":""},{"dropping-particle":"","family":"Tymicki","given":"Grzegorz","non-dropping-particle":"","parse-names":false,"suffix":""},{"dropping-particle":"","family":"Filip","given":"Anna","non-dropping-particle":"","parse-names":false,"suffix":""},{"dropping-particle":"","family":"Szczepankiewicz","given":"Andrzej Antoni","non-dropping-particle":"","parse-names":false,"suffix":""},{"dropping-particle":"","family":"Olkowski","given":"Radosław","non-dropping-particle":"","parse-names":false,"suffix":""},{"dropping-particle":"","family":"Kosowska","given":"Anna","non-dropping-particle":"","parse-names":false,"suffix":""},{"dropping-particle":"","family":"Berman","given":"Andrzej","non-dropping-particle":"","parse-names":false,"suffix":""},{"dropping-particle":"","family":"Kamiński","given":"Artur","non-dropping-particle":"","parse-names":false,"suffix":""},{"dropping-particle":"","family":"Wszoła","given":"Michał","non-dropping-particle":"","parse-names":false,"suffix":""}],"container-title":"Bioprinting","id":"ITEM-1","issued":{"date-parts":[["2022","12"]]},"page":"e00233","title":"Bioink based on the dECM for 3D bioprinting of bionic tissue, the first results obtained on murine model","type":"article-journal","volume":"28"},"uris":["http://www.mendeley.com/documents/?uuid=0c7d75a8-b13c-4c26-81d1-b8d785f64fe4"]}],"mendeley":{"formattedCitation":"(Klak et al., 2022)","plainTextFormattedCitation":"(Klak et al., 2022)","previouslyFormattedCitation":"(Klak et al., 2022)"},"properties":{"noteIndex":0},"schema":"https://github.com/citation-style-language/schema/raw/master/csl-citation.json"}</w:instrText>
      </w:r>
      <w:r w:rsidR="00144159">
        <w:fldChar w:fldCharType="separate"/>
      </w:r>
      <w:r w:rsidR="00144159" w:rsidRPr="00144159">
        <w:rPr>
          <w:noProof/>
        </w:rPr>
        <w:t>(Klak et al., 2022)</w:t>
      </w:r>
      <w:r w:rsidR="00144159">
        <w:fldChar w:fldCharType="end"/>
      </w:r>
      <w:r w:rsidR="00144159">
        <w:t xml:space="preserve"> </w:t>
      </w:r>
      <w:r>
        <w:t xml:space="preserve">There is also a slight difference between detergents, </w:t>
      </w:r>
      <w:r w:rsidR="00B3605D">
        <w:t>with</w:t>
      </w:r>
      <w:r>
        <w:t xml:space="preserve"> SLES samples </w:t>
      </w:r>
      <w:r w:rsidR="00B3605D">
        <w:t>showing</w:t>
      </w:r>
      <w:r>
        <w:t xml:space="preserve"> a better preservation.</w:t>
      </w:r>
    </w:p>
    <w:p w14:paraId="5252513D" w14:textId="77777777" w:rsidR="00C85A02" w:rsidRPr="00245E99" w:rsidRDefault="00C85A02" w:rsidP="00C85A02">
      <w:pPr>
        <w:pStyle w:val="CETBodytext"/>
      </w:pPr>
    </w:p>
    <w:p w14:paraId="7C634B37" w14:textId="777DE43A" w:rsidR="0028544F" w:rsidRDefault="0028544F" w:rsidP="00562052">
      <w:pPr>
        <w:pStyle w:val="CETBodytext"/>
      </w:pPr>
    </w:p>
    <w:p w14:paraId="33A971F1" w14:textId="77777777" w:rsidR="007551C1" w:rsidRDefault="007551C1" w:rsidP="00562052">
      <w:pPr>
        <w:pStyle w:val="CETBodytext"/>
      </w:pPr>
    </w:p>
    <w:p w14:paraId="780908CD" w14:textId="4838D0C8" w:rsidR="00381AAE" w:rsidRDefault="006F724D" w:rsidP="00381AAE">
      <w:pPr>
        <w:pStyle w:val="CETBodytext"/>
        <w:jc w:val="center"/>
      </w:pPr>
      <w:r>
        <w:rPr>
          <w:noProof/>
        </w:rPr>
        <w:lastRenderedPageBreak/>
        <w:drawing>
          <wp:inline distT="0" distB="0" distL="0" distR="0" wp14:anchorId="46AE6EA2" wp14:editId="37844EAE">
            <wp:extent cx="5755186" cy="5017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EAP23.tif"/>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5762964" cy="5024652"/>
                    </a:xfrm>
                    <a:prstGeom prst="rect">
                      <a:avLst/>
                    </a:prstGeom>
                    <a:ln>
                      <a:noFill/>
                    </a:ln>
                    <a:extLst>
                      <a:ext uri="{53640926-AAD7-44D8-BBD7-CCE9431645EC}">
                        <a14:shadowObscured xmlns:a14="http://schemas.microsoft.com/office/drawing/2010/main"/>
                      </a:ext>
                    </a:extLst>
                  </pic:spPr>
                </pic:pic>
              </a:graphicData>
            </a:graphic>
          </wp:inline>
        </w:drawing>
      </w:r>
    </w:p>
    <w:p w14:paraId="5B6715DD" w14:textId="440BEA76" w:rsidR="00020125" w:rsidRDefault="00805D6D" w:rsidP="00562052">
      <w:pPr>
        <w:pStyle w:val="CETBodytext"/>
        <w:rPr>
          <w:rStyle w:val="CETCaptionCarattere"/>
        </w:rPr>
      </w:pPr>
      <w:r w:rsidRPr="00BD077D">
        <w:rPr>
          <w:rStyle w:val="CETCaptionCarattere"/>
        </w:rPr>
        <w:t xml:space="preserve">Figure </w:t>
      </w:r>
      <w:r w:rsidR="0028544F">
        <w:rPr>
          <w:rStyle w:val="CETCaptionCarattere"/>
        </w:rPr>
        <w:t>3</w:t>
      </w:r>
      <w:r w:rsidRPr="00BD077D">
        <w:rPr>
          <w:rStyle w:val="CETCaptionCarattere"/>
        </w:rPr>
        <w:t xml:space="preserve">: </w:t>
      </w:r>
      <w:r w:rsidR="00E526DC">
        <w:rPr>
          <w:rStyle w:val="CETCaptionCarattere"/>
        </w:rPr>
        <w:t>Light (A) and s</w:t>
      </w:r>
      <w:r>
        <w:rPr>
          <w:rStyle w:val="CETCaptionCarattere"/>
        </w:rPr>
        <w:t>tereo</w:t>
      </w:r>
      <w:r w:rsidR="00B3605D">
        <w:rPr>
          <w:rStyle w:val="CETCaptionCarattere"/>
        </w:rPr>
        <w:t xml:space="preserve">microscopy </w:t>
      </w:r>
      <w:r w:rsidR="00E526DC">
        <w:rPr>
          <w:rStyle w:val="CETCaptionCarattere"/>
        </w:rPr>
        <w:t>(B)</w:t>
      </w:r>
      <w:r>
        <w:rPr>
          <w:rStyle w:val="CETCaptionCarattere"/>
        </w:rPr>
        <w:t xml:space="preserve"> of samples </w:t>
      </w:r>
      <w:r w:rsidR="00B3605D">
        <w:rPr>
          <w:rStyle w:val="CETCaptionCarattere"/>
        </w:rPr>
        <w:t>prepared with</w:t>
      </w:r>
      <w:r>
        <w:rPr>
          <w:rStyle w:val="CETCaptionCarattere"/>
        </w:rPr>
        <w:t xml:space="preserve"> different decellularization protocols</w:t>
      </w:r>
    </w:p>
    <w:p w14:paraId="495FAFFC" w14:textId="77777777" w:rsidR="00381AAE" w:rsidRDefault="00381AAE" w:rsidP="00562052">
      <w:pPr>
        <w:pStyle w:val="CETBodytext"/>
        <w:rPr>
          <w:rStyle w:val="CETCaptionCarattere"/>
        </w:rPr>
      </w:pPr>
    </w:p>
    <w:p w14:paraId="6526FBC2" w14:textId="455F2ED6" w:rsidR="00343D75" w:rsidRPr="00C85A02" w:rsidRDefault="00C85A02" w:rsidP="00C85A02">
      <w:pPr>
        <w:pStyle w:val="CETHeading1"/>
        <w:rPr>
          <w:rStyle w:val="CETCaptionCarattere"/>
          <w:i w:val="0"/>
          <w:sz w:val="20"/>
          <w:lang w:val="en-US"/>
        </w:rPr>
      </w:pPr>
      <w:r w:rsidRPr="00C85A02">
        <w:rPr>
          <w:rStyle w:val="CETCaptionCarattere"/>
          <w:i w:val="0"/>
          <w:sz w:val="20"/>
          <w:lang w:val="en-US"/>
        </w:rPr>
        <w:t>Conclusion</w:t>
      </w:r>
    </w:p>
    <w:p w14:paraId="33BBF517" w14:textId="413E46F1" w:rsidR="00342CF3" w:rsidRDefault="009B5769" w:rsidP="00C85A02">
      <w:pPr>
        <w:pStyle w:val="CETBodytext"/>
      </w:pPr>
      <w:r>
        <w:t xml:space="preserve">A total of eight different decellularization protocols were performed, which differed in terms of detergents, concentration, and </w:t>
      </w:r>
      <w:r w:rsidR="00B3605D">
        <w:t xml:space="preserve">time of </w:t>
      </w:r>
      <w:r>
        <w:t>media change. Thus, eight different decellularized samples were obtained and characterized. Comparison of t</w:t>
      </w:r>
      <w:r w:rsidR="00FA01A9">
        <w:t>he number of steps shows that SL</w:t>
      </w:r>
      <w:r>
        <w:t xml:space="preserve">S is fastest to make samples transparent, where the increase in concentration decreases the number of </w:t>
      </w:r>
      <w:r w:rsidR="00B3605D">
        <w:t xml:space="preserve">media </w:t>
      </w:r>
      <w:r>
        <w:t>changes. Li</w:t>
      </w:r>
      <w:r w:rsidR="00FA01A9">
        <w:t>ght microscopy indicate</w:t>
      </w:r>
      <w:r w:rsidR="00B3605D">
        <w:t>s</w:t>
      </w:r>
      <w:r w:rsidR="00FA01A9">
        <w:t xml:space="preserve"> that SL</w:t>
      </w:r>
      <w:r>
        <w:t xml:space="preserve">S may be too aggressive for the tissue, while SLES shows better preservation of the tissue samples. Stereomicroscopy shows better preservation of natural tissue structure when </w:t>
      </w:r>
      <w:r w:rsidR="00B3605D">
        <w:t xml:space="preserve">the medium </w:t>
      </w:r>
      <w:r>
        <w:t>is changed after 30 minutes. Therefore,</w:t>
      </w:r>
      <w:r w:rsidR="00DF660E">
        <w:t xml:space="preserve"> the</w:t>
      </w:r>
      <w:r>
        <w:t xml:space="preserve"> SLES 1</w:t>
      </w:r>
      <w:r w:rsidRPr="00381AAE">
        <w:rPr>
          <w:b/>
          <w:i/>
        </w:rPr>
        <w:t>a</w:t>
      </w:r>
      <w:r>
        <w:t xml:space="preserve"> and 0.5</w:t>
      </w:r>
      <w:r w:rsidRPr="00381AAE">
        <w:rPr>
          <w:b/>
          <w:i/>
        </w:rPr>
        <w:t>a</w:t>
      </w:r>
      <w:r>
        <w:t xml:space="preserve"> </w:t>
      </w:r>
      <w:r w:rsidR="00B3605D">
        <w:t xml:space="preserve">samples </w:t>
      </w:r>
      <w:r>
        <w:t>show promising properties for future tissue engineering applications, but further studies should be performed to support this statement.</w:t>
      </w:r>
    </w:p>
    <w:p w14:paraId="5139F679" w14:textId="77777777" w:rsidR="00381AAE" w:rsidRDefault="00381AAE" w:rsidP="00C85A02">
      <w:pPr>
        <w:pStyle w:val="CETBodytext"/>
        <w:rPr>
          <w:lang w:val="en-GB"/>
        </w:rPr>
      </w:pPr>
    </w:p>
    <w:p w14:paraId="45FF38C9" w14:textId="03CE1195" w:rsidR="00381AAE" w:rsidRDefault="00BC5127" w:rsidP="00BC5127">
      <w:pPr>
        <w:pStyle w:val="CETHeadingxx"/>
      </w:pPr>
      <w:r>
        <w:t>Future research directions</w:t>
      </w:r>
    </w:p>
    <w:p w14:paraId="229A3724" w14:textId="7457BE63" w:rsidR="00BC5127" w:rsidRDefault="00381AAE" w:rsidP="00FA5C41">
      <w:pPr>
        <w:pStyle w:val="CETAcknowledgementstitle"/>
        <w:rPr>
          <w:b w:val="0"/>
        </w:rPr>
      </w:pPr>
      <w:r w:rsidRPr="00381AAE">
        <w:rPr>
          <w:b w:val="0"/>
        </w:rPr>
        <w:t>To investigate the matter further, the ECM components should be quantified and compared. In addition, a rheological study should be performed for the hydrogels obtained from all samples to determine a poss</w:t>
      </w:r>
      <w:r w:rsidR="00FA5C41">
        <w:rPr>
          <w:b w:val="0"/>
        </w:rPr>
        <w:t>ible application in 3D printing.</w:t>
      </w:r>
      <w:r w:rsidR="00DF660E">
        <w:rPr>
          <w:b w:val="0"/>
        </w:rPr>
        <w:t xml:space="preserve"> </w:t>
      </w:r>
      <w:r w:rsidR="00DF660E" w:rsidRPr="00DF660E">
        <w:rPr>
          <w:b w:val="0"/>
        </w:rPr>
        <w:t>This research is ongoing</w:t>
      </w:r>
      <w:r w:rsidR="00DF660E">
        <w:rPr>
          <w:b w:val="0"/>
        </w:rPr>
        <w:t>.</w:t>
      </w:r>
    </w:p>
    <w:p w14:paraId="0726BFB7" w14:textId="74958CC5" w:rsidR="00144159" w:rsidRDefault="00144159" w:rsidP="00144159">
      <w:pPr>
        <w:pStyle w:val="CETBodytext"/>
        <w:rPr>
          <w:lang w:val="en-GB"/>
        </w:rPr>
      </w:pPr>
    </w:p>
    <w:p w14:paraId="284651BC" w14:textId="2CBA6FFE" w:rsidR="00144159" w:rsidRDefault="00144159" w:rsidP="00144159">
      <w:pPr>
        <w:pStyle w:val="CETBodytext"/>
        <w:rPr>
          <w:lang w:val="en-GB"/>
        </w:rPr>
      </w:pPr>
    </w:p>
    <w:p w14:paraId="07671CD2" w14:textId="77777777" w:rsidR="00144159" w:rsidRPr="00144159" w:rsidRDefault="00144159" w:rsidP="00144159">
      <w:pPr>
        <w:pStyle w:val="CETBodytext"/>
        <w:rPr>
          <w:lang w:val="en-GB"/>
        </w:rPr>
      </w:pPr>
    </w:p>
    <w:p w14:paraId="5AEF6129" w14:textId="1414B58D" w:rsidR="00A14684" w:rsidRDefault="00A14684" w:rsidP="00A14684">
      <w:pPr>
        <w:pStyle w:val="CETHeadingxx"/>
      </w:pPr>
      <w:r>
        <w:lastRenderedPageBreak/>
        <w:t>References</w:t>
      </w:r>
    </w:p>
    <w:p w14:paraId="4527CC61" w14:textId="77777777" w:rsidR="00A14684" w:rsidRDefault="00A14684" w:rsidP="00A14684">
      <w:pPr>
        <w:widowControl w:val="0"/>
        <w:autoSpaceDE w:val="0"/>
        <w:autoSpaceDN w:val="0"/>
        <w:adjustRightInd w:val="0"/>
        <w:spacing w:line="240" w:lineRule="auto"/>
        <w:ind w:left="480" w:hanging="480"/>
      </w:pPr>
    </w:p>
    <w:p w14:paraId="7246D87D" w14:textId="6F25FE87" w:rsidR="003B6B39" w:rsidRPr="003B6B39" w:rsidRDefault="00A14684" w:rsidP="003B6B39">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3B6B39" w:rsidRPr="003B6B39">
        <w:rPr>
          <w:rFonts w:cs="Arial"/>
          <w:noProof/>
          <w:szCs w:val="24"/>
        </w:rPr>
        <w:t>Barra Caracciolo, A., Cardoni, M., Pescatore, T., Patrolecco, L., 2017. Environ. Pollut. 226, 94–103.</w:t>
      </w:r>
    </w:p>
    <w:p w14:paraId="22EC3A82"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Bondi, C.A.M., Marks, J.L., Wroblewski, L.B., Raatikainen, H.S., Lenox, S.R., Gebhardt, K.E., 2015. Environ. Health Insights 9, 27–32.</w:t>
      </w:r>
    </w:p>
    <w:p w14:paraId="5B8D53E2"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Gilpin, A., Yang, Y., 2017. Biomed Res. Int. 2017, 1–13.</w:t>
      </w:r>
    </w:p>
    <w:p w14:paraId="57D7E9F4"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Goddard, E.T., Hill, R.C., Barrett, A., Betts, C., Guo, Q., Maller, O., Borges, V.F., Hansen, K.C., Schedin, P., 2016. Int. J. Biochem. Cell Biol. 81, 223–232.</w:t>
      </w:r>
    </w:p>
    <w:p w14:paraId="11372237"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Hassanpour, A., Talaei-Khozani, T., Kargar-Abarghouei, E., Razban, V., Vojdani, Z., 2018. Stem Cell Res. Ther. 9, 252–265.</w:t>
      </w:r>
    </w:p>
    <w:p w14:paraId="0B285307"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Kalipatnapu, S., Chattopadhyay, A., 2005. IUBMB Life 57, 505–512.</w:t>
      </w:r>
    </w:p>
    <w:p w14:paraId="2505EC1E"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Kawasaki, T., Kirita, Y., Kami, D., Kitani, T., Ozaki, C., Itakura, Y., Toyoda, M., Gojo, S., 2015. J. Biomed. Mater. Res. - Part A 103, 3364–3373.</w:t>
      </w:r>
    </w:p>
    <w:p w14:paraId="6F3FF3B1"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Keshvari, M.A., Afshar, A., Daneshi, S., Khoradmehr, A., Baghban, M., Muhaddesi, M., Behrouzi, P., Miri, M.R., Azari, H., Nabipour, I., Shirazi, R., Mahmudpour, M., Tamadon, A., 2021. Cell Tissue Res. 386, 365–378.</w:t>
      </w:r>
    </w:p>
    <w:p w14:paraId="0374C15E"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Klak, M., Kosowska, K., Bryniarski, T., Łojszczyk, I., Dobrzański, T., Tymicki, G., Filip, A., Szczepankiewicz, A.A., Olkowski, R., Kosowska, A., Berman, A., Kamiński, A., Wszoła, M., 2022. Bioprinting 28, e00233.</w:t>
      </w:r>
    </w:p>
    <w:p w14:paraId="312AF490"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Linke, D., 2009. Chapter 34 Detergents. An Overview, 1st ed, Methods in Enzymology. Elsevier Inc.</w:t>
      </w:r>
    </w:p>
    <w:p w14:paraId="57F501BE"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Moffat, D., Ye, K., Jin, S., 2022. J. Tissue Eng. 13, 1–29.</w:t>
      </w:r>
    </w:p>
    <w:p w14:paraId="6D50B029"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Nicolas, J., Magli, S., Rabbachin, L., Sampaolesi, S., Nicotra, F., Russo, L., 2020. Biomacromolecules 21, 1968–1994.</w:t>
      </w:r>
    </w:p>
    <w:p w14:paraId="4B830270" w14:textId="77777777" w:rsidR="003B6B39" w:rsidRPr="003B6B39" w:rsidRDefault="003B6B39" w:rsidP="003B6B39">
      <w:pPr>
        <w:widowControl w:val="0"/>
        <w:autoSpaceDE w:val="0"/>
        <w:autoSpaceDN w:val="0"/>
        <w:adjustRightInd w:val="0"/>
        <w:spacing w:line="240" w:lineRule="auto"/>
        <w:ind w:left="480" w:hanging="480"/>
        <w:rPr>
          <w:rFonts w:cs="Arial"/>
          <w:noProof/>
          <w:szCs w:val="24"/>
        </w:rPr>
      </w:pPr>
      <w:r w:rsidRPr="003B6B39">
        <w:rPr>
          <w:rFonts w:cs="Arial"/>
          <w:noProof/>
          <w:szCs w:val="24"/>
        </w:rPr>
        <w:t>Poveda-Giraldo, J.A., Piedrahita-Rodríguez, S., Cardona-Alzate, C.A., 2021. Chem. Eng. Trans. 83, 397–402.</w:t>
      </w:r>
    </w:p>
    <w:p w14:paraId="7C01721A" w14:textId="77777777" w:rsidR="003B6B39" w:rsidRPr="003B6B39" w:rsidRDefault="003B6B39" w:rsidP="003B6B39">
      <w:pPr>
        <w:widowControl w:val="0"/>
        <w:autoSpaceDE w:val="0"/>
        <w:autoSpaceDN w:val="0"/>
        <w:adjustRightInd w:val="0"/>
        <w:spacing w:line="240" w:lineRule="auto"/>
        <w:ind w:left="480" w:hanging="480"/>
        <w:rPr>
          <w:rFonts w:cs="Arial"/>
          <w:noProof/>
        </w:rPr>
      </w:pPr>
      <w:r w:rsidRPr="003B6B39">
        <w:rPr>
          <w:rFonts w:cs="Arial"/>
          <w:noProof/>
          <w:szCs w:val="24"/>
        </w:rPr>
        <w:t>Yaghoubi, A., Azarpira, N., Karbalay-Doust, S., Daneshi, S., Vojdani, Z., Talaei-Khozani, T., 2022. Stem Cell Res. Ther. 13, 1–18.</w:t>
      </w:r>
    </w:p>
    <w:p w14:paraId="4029AD9B" w14:textId="036DFB0F" w:rsidR="00A14684" w:rsidRDefault="00A14684" w:rsidP="001C7519">
      <w:pPr>
        <w:pStyle w:val="CETReferencetext"/>
      </w:pPr>
      <w:r>
        <w:fldChar w:fldCharType="end"/>
      </w:r>
    </w:p>
    <w:p w14:paraId="00BA3D4F" w14:textId="77777777" w:rsidR="00C52C3C" w:rsidRDefault="00C52C3C" w:rsidP="00E65B91">
      <w:pPr>
        <w:pStyle w:val="CETReferencetext"/>
      </w:pPr>
    </w:p>
    <w:p w14:paraId="03CEA04C" w14:textId="77777777" w:rsidR="00C52C3C" w:rsidRDefault="00C52C3C" w:rsidP="00E65B91">
      <w:pPr>
        <w:pStyle w:val="CETReferencetext"/>
      </w:pPr>
    </w:p>
    <w:p w14:paraId="28E8379D" w14:textId="77777777" w:rsidR="00C52C3C" w:rsidRDefault="00C52C3C" w:rsidP="00E65B91">
      <w:pPr>
        <w:pStyle w:val="CETReferencetext"/>
      </w:pPr>
    </w:p>
    <w:p w14:paraId="6FAA4342" w14:textId="77777777" w:rsidR="00C52C3C" w:rsidRDefault="00C52C3C" w:rsidP="00E65B91">
      <w:pPr>
        <w:pStyle w:val="CETReferencetext"/>
      </w:pPr>
    </w:p>
    <w:p w14:paraId="5A13856B" w14:textId="77777777" w:rsidR="006B4888" w:rsidRPr="000D56D6" w:rsidRDefault="006B4888" w:rsidP="006B4888">
      <w:pPr>
        <w:pStyle w:val="CETReferencetext"/>
      </w:pPr>
    </w:p>
    <w:p w14:paraId="19C4FC68" w14:textId="4543A3AA"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12074" w14:textId="77777777" w:rsidR="000076B2" w:rsidRDefault="000076B2" w:rsidP="004F5E36">
      <w:r>
        <w:separator/>
      </w:r>
    </w:p>
  </w:endnote>
  <w:endnote w:type="continuationSeparator" w:id="0">
    <w:p w14:paraId="7EC84EC7" w14:textId="77777777" w:rsidR="000076B2" w:rsidRDefault="000076B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CA2F5" w14:textId="77777777" w:rsidR="000076B2" w:rsidRDefault="000076B2" w:rsidP="004F5E36">
      <w:r>
        <w:separator/>
      </w:r>
    </w:p>
  </w:footnote>
  <w:footnote w:type="continuationSeparator" w:id="0">
    <w:p w14:paraId="75AC7D42" w14:textId="77777777" w:rsidR="000076B2" w:rsidRDefault="000076B2"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32276EE"/>
    <w:multiLevelType w:val="hybridMultilevel"/>
    <w:tmpl w:val="51AC9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76B2"/>
    <w:rsid w:val="000103C9"/>
    <w:rsid w:val="000117CB"/>
    <w:rsid w:val="00020125"/>
    <w:rsid w:val="00020E65"/>
    <w:rsid w:val="0002485D"/>
    <w:rsid w:val="000274F6"/>
    <w:rsid w:val="00030FE5"/>
    <w:rsid w:val="0003148D"/>
    <w:rsid w:val="00031EEC"/>
    <w:rsid w:val="00036B9F"/>
    <w:rsid w:val="00051566"/>
    <w:rsid w:val="000562A9"/>
    <w:rsid w:val="00062A9A"/>
    <w:rsid w:val="00065058"/>
    <w:rsid w:val="0006661A"/>
    <w:rsid w:val="0006743B"/>
    <w:rsid w:val="000829EC"/>
    <w:rsid w:val="00086C39"/>
    <w:rsid w:val="000965DC"/>
    <w:rsid w:val="000A03B2"/>
    <w:rsid w:val="000B3BCC"/>
    <w:rsid w:val="000D0268"/>
    <w:rsid w:val="000D34BE"/>
    <w:rsid w:val="000E102F"/>
    <w:rsid w:val="000E36F1"/>
    <w:rsid w:val="000E3A73"/>
    <w:rsid w:val="000E414A"/>
    <w:rsid w:val="000E4D42"/>
    <w:rsid w:val="000F093C"/>
    <w:rsid w:val="000F787B"/>
    <w:rsid w:val="0012091F"/>
    <w:rsid w:val="00126BC2"/>
    <w:rsid w:val="001308B6"/>
    <w:rsid w:val="0013121F"/>
    <w:rsid w:val="00131FE6"/>
    <w:rsid w:val="0013263F"/>
    <w:rsid w:val="001331DF"/>
    <w:rsid w:val="00133714"/>
    <w:rsid w:val="00134499"/>
    <w:rsid w:val="00134DE4"/>
    <w:rsid w:val="00135035"/>
    <w:rsid w:val="0014034D"/>
    <w:rsid w:val="00144159"/>
    <w:rsid w:val="00144D16"/>
    <w:rsid w:val="00150E59"/>
    <w:rsid w:val="00152DE3"/>
    <w:rsid w:val="0016425B"/>
    <w:rsid w:val="00164CF9"/>
    <w:rsid w:val="001667A6"/>
    <w:rsid w:val="0017780F"/>
    <w:rsid w:val="00184AD6"/>
    <w:rsid w:val="001940D6"/>
    <w:rsid w:val="001A4AF7"/>
    <w:rsid w:val="001B0349"/>
    <w:rsid w:val="001B0840"/>
    <w:rsid w:val="001B1E93"/>
    <w:rsid w:val="001B65C1"/>
    <w:rsid w:val="001C684B"/>
    <w:rsid w:val="001C7519"/>
    <w:rsid w:val="001D0CFB"/>
    <w:rsid w:val="001D21AF"/>
    <w:rsid w:val="001D3E1A"/>
    <w:rsid w:val="001D53FC"/>
    <w:rsid w:val="001E3F0A"/>
    <w:rsid w:val="001F42A5"/>
    <w:rsid w:val="001F7B9D"/>
    <w:rsid w:val="00201B5C"/>
    <w:rsid w:val="00201C93"/>
    <w:rsid w:val="00210555"/>
    <w:rsid w:val="0022009F"/>
    <w:rsid w:val="002224B4"/>
    <w:rsid w:val="00234C1A"/>
    <w:rsid w:val="0023763F"/>
    <w:rsid w:val="00237A72"/>
    <w:rsid w:val="002447EF"/>
    <w:rsid w:val="00245E99"/>
    <w:rsid w:val="00251550"/>
    <w:rsid w:val="00251E9A"/>
    <w:rsid w:val="00257DCC"/>
    <w:rsid w:val="00263B05"/>
    <w:rsid w:val="00265AE0"/>
    <w:rsid w:val="002660FE"/>
    <w:rsid w:val="00270F55"/>
    <w:rsid w:val="0027221A"/>
    <w:rsid w:val="00275B61"/>
    <w:rsid w:val="00280FAF"/>
    <w:rsid w:val="00282656"/>
    <w:rsid w:val="0028544F"/>
    <w:rsid w:val="00296B83"/>
    <w:rsid w:val="002B4015"/>
    <w:rsid w:val="002B78CE"/>
    <w:rsid w:val="002C2FB6"/>
    <w:rsid w:val="002D1E02"/>
    <w:rsid w:val="002E5FA7"/>
    <w:rsid w:val="002F3309"/>
    <w:rsid w:val="002F7804"/>
    <w:rsid w:val="003008CE"/>
    <w:rsid w:val="003009B7"/>
    <w:rsid w:val="00300E56"/>
    <w:rsid w:val="0030152C"/>
    <w:rsid w:val="0030469C"/>
    <w:rsid w:val="00321CA6"/>
    <w:rsid w:val="00323763"/>
    <w:rsid w:val="00323C5F"/>
    <w:rsid w:val="00325642"/>
    <w:rsid w:val="00334C09"/>
    <w:rsid w:val="00335754"/>
    <w:rsid w:val="00337D95"/>
    <w:rsid w:val="00342CF3"/>
    <w:rsid w:val="00343D75"/>
    <w:rsid w:val="003465B9"/>
    <w:rsid w:val="0036397F"/>
    <w:rsid w:val="003723D4"/>
    <w:rsid w:val="00381905"/>
    <w:rsid w:val="00381AAE"/>
    <w:rsid w:val="00382FFD"/>
    <w:rsid w:val="00384CC8"/>
    <w:rsid w:val="003871FD"/>
    <w:rsid w:val="003A1E30"/>
    <w:rsid w:val="003A2829"/>
    <w:rsid w:val="003A7D1C"/>
    <w:rsid w:val="003B304B"/>
    <w:rsid w:val="003B3146"/>
    <w:rsid w:val="003B6291"/>
    <w:rsid w:val="003B6B39"/>
    <w:rsid w:val="003F015E"/>
    <w:rsid w:val="00400414"/>
    <w:rsid w:val="00401A4F"/>
    <w:rsid w:val="0041446B"/>
    <w:rsid w:val="00416011"/>
    <w:rsid w:val="004357FD"/>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D6FA8"/>
    <w:rsid w:val="004E4DD6"/>
    <w:rsid w:val="004F5E36"/>
    <w:rsid w:val="00500C53"/>
    <w:rsid w:val="00507B47"/>
    <w:rsid w:val="00507BEF"/>
    <w:rsid w:val="00507CC9"/>
    <w:rsid w:val="005119A5"/>
    <w:rsid w:val="00512A96"/>
    <w:rsid w:val="005278B7"/>
    <w:rsid w:val="00532016"/>
    <w:rsid w:val="005346C8"/>
    <w:rsid w:val="005407B2"/>
    <w:rsid w:val="00543E7D"/>
    <w:rsid w:val="00547A68"/>
    <w:rsid w:val="005531C9"/>
    <w:rsid w:val="00562052"/>
    <w:rsid w:val="00570C43"/>
    <w:rsid w:val="00583A99"/>
    <w:rsid w:val="005A5807"/>
    <w:rsid w:val="005B2110"/>
    <w:rsid w:val="005B61E6"/>
    <w:rsid w:val="005C0A1B"/>
    <w:rsid w:val="005C77E1"/>
    <w:rsid w:val="005D22D7"/>
    <w:rsid w:val="005D563A"/>
    <w:rsid w:val="005D6681"/>
    <w:rsid w:val="005D668A"/>
    <w:rsid w:val="005D6A2F"/>
    <w:rsid w:val="005E1A82"/>
    <w:rsid w:val="005E794C"/>
    <w:rsid w:val="005F0A28"/>
    <w:rsid w:val="005F0E5E"/>
    <w:rsid w:val="00600535"/>
    <w:rsid w:val="00606278"/>
    <w:rsid w:val="00610CD6"/>
    <w:rsid w:val="0061594A"/>
    <w:rsid w:val="00620DEE"/>
    <w:rsid w:val="00621AEC"/>
    <w:rsid w:val="00621F92"/>
    <w:rsid w:val="0062280A"/>
    <w:rsid w:val="006228B8"/>
    <w:rsid w:val="00625639"/>
    <w:rsid w:val="00631B33"/>
    <w:rsid w:val="0064184D"/>
    <w:rsid w:val="006422CC"/>
    <w:rsid w:val="00656EB6"/>
    <w:rsid w:val="00660E3E"/>
    <w:rsid w:val="00662E74"/>
    <w:rsid w:val="00680C23"/>
    <w:rsid w:val="00681848"/>
    <w:rsid w:val="006829D2"/>
    <w:rsid w:val="00685F7B"/>
    <w:rsid w:val="00693766"/>
    <w:rsid w:val="006A3281"/>
    <w:rsid w:val="006B4888"/>
    <w:rsid w:val="006C2E45"/>
    <w:rsid w:val="006C359C"/>
    <w:rsid w:val="006C5579"/>
    <w:rsid w:val="006D2CC8"/>
    <w:rsid w:val="006D6E8B"/>
    <w:rsid w:val="006E737D"/>
    <w:rsid w:val="006F724D"/>
    <w:rsid w:val="00711384"/>
    <w:rsid w:val="00713973"/>
    <w:rsid w:val="00720A24"/>
    <w:rsid w:val="00732386"/>
    <w:rsid w:val="00732E43"/>
    <w:rsid w:val="0073514D"/>
    <w:rsid w:val="007447F3"/>
    <w:rsid w:val="007533C9"/>
    <w:rsid w:val="0075499F"/>
    <w:rsid w:val="007551C1"/>
    <w:rsid w:val="007661C8"/>
    <w:rsid w:val="0077098D"/>
    <w:rsid w:val="007931FA"/>
    <w:rsid w:val="007A4861"/>
    <w:rsid w:val="007A7BBA"/>
    <w:rsid w:val="007B0C50"/>
    <w:rsid w:val="007B48F9"/>
    <w:rsid w:val="007B5C9C"/>
    <w:rsid w:val="007C1A43"/>
    <w:rsid w:val="007C6E4E"/>
    <w:rsid w:val="007D0951"/>
    <w:rsid w:val="007F2328"/>
    <w:rsid w:val="0080013E"/>
    <w:rsid w:val="00805D6D"/>
    <w:rsid w:val="00813288"/>
    <w:rsid w:val="00813761"/>
    <w:rsid w:val="008166A7"/>
    <w:rsid w:val="008168FC"/>
    <w:rsid w:val="00830996"/>
    <w:rsid w:val="00833DE6"/>
    <w:rsid w:val="008345F1"/>
    <w:rsid w:val="00836159"/>
    <w:rsid w:val="00850D4D"/>
    <w:rsid w:val="008560AA"/>
    <w:rsid w:val="00863244"/>
    <w:rsid w:val="00865B07"/>
    <w:rsid w:val="008667EA"/>
    <w:rsid w:val="00871981"/>
    <w:rsid w:val="0087637F"/>
    <w:rsid w:val="008775DA"/>
    <w:rsid w:val="00892AD5"/>
    <w:rsid w:val="008A1512"/>
    <w:rsid w:val="008D32B9"/>
    <w:rsid w:val="008D433B"/>
    <w:rsid w:val="008D4A16"/>
    <w:rsid w:val="008D5A80"/>
    <w:rsid w:val="008E139B"/>
    <w:rsid w:val="008E38EF"/>
    <w:rsid w:val="008E566E"/>
    <w:rsid w:val="0090161A"/>
    <w:rsid w:val="00901EB6"/>
    <w:rsid w:val="00904C62"/>
    <w:rsid w:val="009149D7"/>
    <w:rsid w:val="00922BA8"/>
    <w:rsid w:val="00924DAC"/>
    <w:rsid w:val="00927058"/>
    <w:rsid w:val="00942750"/>
    <w:rsid w:val="009450CE"/>
    <w:rsid w:val="009459BB"/>
    <w:rsid w:val="00947179"/>
    <w:rsid w:val="009507C0"/>
    <w:rsid w:val="0095164B"/>
    <w:rsid w:val="00954090"/>
    <w:rsid w:val="009573E7"/>
    <w:rsid w:val="0096281B"/>
    <w:rsid w:val="00963E05"/>
    <w:rsid w:val="00964A45"/>
    <w:rsid w:val="00967843"/>
    <w:rsid w:val="00967D54"/>
    <w:rsid w:val="00971028"/>
    <w:rsid w:val="00973DB8"/>
    <w:rsid w:val="00982494"/>
    <w:rsid w:val="00993B84"/>
    <w:rsid w:val="00996483"/>
    <w:rsid w:val="00996F5A"/>
    <w:rsid w:val="009A21E4"/>
    <w:rsid w:val="009B041A"/>
    <w:rsid w:val="009B0DAC"/>
    <w:rsid w:val="009B5769"/>
    <w:rsid w:val="009C37C3"/>
    <w:rsid w:val="009C3CB9"/>
    <w:rsid w:val="009C7C86"/>
    <w:rsid w:val="009D2FF7"/>
    <w:rsid w:val="009E7884"/>
    <w:rsid w:val="009E788A"/>
    <w:rsid w:val="009F0E08"/>
    <w:rsid w:val="009F1339"/>
    <w:rsid w:val="00A11D00"/>
    <w:rsid w:val="00A14684"/>
    <w:rsid w:val="00A1763D"/>
    <w:rsid w:val="00A17CEC"/>
    <w:rsid w:val="00A21D4A"/>
    <w:rsid w:val="00A27EF0"/>
    <w:rsid w:val="00A36B5F"/>
    <w:rsid w:val="00A42361"/>
    <w:rsid w:val="00A50B20"/>
    <w:rsid w:val="00A50B27"/>
    <w:rsid w:val="00A51390"/>
    <w:rsid w:val="00A5305C"/>
    <w:rsid w:val="00A60D13"/>
    <w:rsid w:val="00A62DE5"/>
    <w:rsid w:val="00A658C8"/>
    <w:rsid w:val="00A7223D"/>
    <w:rsid w:val="00A72745"/>
    <w:rsid w:val="00A73C60"/>
    <w:rsid w:val="00A76EFC"/>
    <w:rsid w:val="00A80508"/>
    <w:rsid w:val="00A811B2"/>
    <w:rsid w:val="00A869C4"/>
    <w:rsid w:val="00A87D50"/>
    <w:rsid w:val="00A91010"/>
    <w:rsid w:val="00A93BC9"/>
    <w:rsid w:val="00A97F29"/>
    <w:rsid w:val="00AA702E"/>
    <w:rsid w:val="00AA7BCD"/>
    <w:rsid w:val="00AA7D26"/>
    <w:rsid w:val="00AB0964"/>
    <w:rsid w:val="00AB34C6"/>
    <w:rsid w:val="00AB5011"/>
    <w:rsid w:val="00AC7368"/>
    <w:rsid w:val="00AD16B9"/>
    <w:rsid w:val="00AD420F"/>
    <w:rsid w:val="00AE377D"/>
    <w:rsid w:val="00AF0EBA"/>
    <w:rsid w:val="00AF2BAD"/>
    <w:rsid w:val="00AF5E8A"/>
    <w:rsid w:val="00B02C8A"/>
    <w:rsid w:val="00B17FBD"/>
    <w:rsid w:val="00B25276"/>
    <w:rsid w:val="00B315A6"/>
    <w:rsid w:val="00B31813"/>
    <w:rsid w:val="00B33365"/>
    <w:rsid w:val="00B3605D"/>
    <w:rsid w:val="00B57B36"/>
    <w:rsid w:val="00B57E6F"/>
    <w:rsid w:val="00B8686D"/>
    <w:rsid w:val="00B93F69"/>
    <w:rsid w:val="00B96CA4"/>
    <w:rsid w:val="00BB1DDC"/>
    <w:rsid w:val="00BC30C9"/>
    <w:rsid w:val="00BC5127"/>
    <w:rsid w:val="00BD077D"/>
    <w:rsid w:val="00BD394D"/>
    <w:rsid w:val="00BE3E58"/>
    <w:rsid w:val="00BF689D"/>
    <w:rsid w:val="00C01616"/>
    <w:rsid w:val="00C0162B"/>
    <w:rsid w:val="00C01BB6"/>
    <w:rsid w:val="00C04C89"/>
    <w:rsid w:val="00C068ED"/>
    <w:rsid w:val="00C22E0C"/>
    <w:rsid w:val="00C345B1"/>
    <w:rsid w:val="00C40142"/>
    <w:rsid w:val="00C42B73"/>
    <w:rsid w:val="00C46494"/>
    <w:rsid w:val="00C507E8"/>
    <w:rsid w:val="00C51C34"/>
    <w:rsid w:val="00C52C3C"/>
    <w:rsid w:val="00C57182"/>
    <w:rsid w:val="00C57863"/>
    <w:rsid w:val="00C640AF"/>
    <w:rsid w:val="00C655FD"/>
    <w:rsid w:val="00C7241A"/>
    <w:rsid w:val="00C7434C"/>
    <w:rsid w:val="00C75407"/>
    <w:rsid w:val="00C85A02"/>
    <w:rsid w:val="00C870A8"/>
    <w:rsid w:val="00C94434"/>
    <w:rsid w:val="00C95804"/>
    <w:rsid w:val="00CA0D75"/>
    <w:rsid w:val="00CA1C95"/>
    <w:rsid w:val="00CA5A9C"/>
    <w:rsid w:val="00CB66FC"/>
    <w:rsid w:val="00CC3762"/>
    <w:rsid w:val="00CC4C20"/>
    <w:rsid w:val="00CD3517"/>
    <w:rsid w:val="00CD5FE2"/>
    <w:rsid w:val="00CE610A"/>
    <w:rsid w:val="00CE7C68"/>
    <w:rsid w:val="00CF28FF"/>
    <w:rsid w:val="00D02B4C"/>
    <w:rsid w:val="00D02DEC"/>
    <w:rsid w:val="00D03905"/>
    <w:rsid w:val="00D040C4"/>
    <w:rsid w:val="00D20AD1"/>
    <w:rsid w:val="00D25C3D"/>
    <w:rsid w:val="00D33D00"/>
    <w:rsid w:val="00D46B7E"/>
    <w:rsid w:val="00D55AC4"/>
    <w:rsid w:val="00D57C84"/>
    <w:rsid w:val="00D603A6"/>
    <w:rsid w:val="00D6057D"/>
    <w:rsid w:val="00D619E4"/>
    <w:rsid w:val="00D71640"/>
    <w:rsid w:val="00D71EF7"/>
    <w:rsid w:val="00D76317"/>
    <w:rsid w:val="00D83694"/>
    <w:rsid w:val="00D836C5"/>
    <w:rsid w:val="00D84576"/>
    <w:rsid w:val="00D926C7"/>
    <w:rsid w:val="00D97DB7"/>
    <w:rsid w:val="00DA1399"/>
    <w:rsid w:val="00DA24C6"/>
    <w:rsid w:val="00DA4D7B"/>
    <w:rsid w:val="00DB0A2D"/>
    <w:rsid w:val="00DB3791"/>
    <w:rsid w:val="00DB41D3"/>
    <w:rsid w:val="00DC309D"/>
    <w:rsid w:val="00DD140A"/>
    <w:rsid w:val="00DD271C"/>
    <w:rsid w:val="00DE264A"/>
    <w:rsid w:val="00DE4004"/>
    <w:rsid w:val="00DE40B2"/>
    <w:rsid w:val="00DF5072"/>
    <w:rsid w:val="00DF660E"/>
    <w:rsid w:val="00E02D18"/>
    <w:rsid w:val="00E041E7"/>
    <w:rsid w:val="00E23CA1"/>
    <w:rsid w:val="00E360EB"/>
    <w:rsid w:val="00E409A8"/>
    <w:rsid w:val="00E44926"/>
    <w:rsid w:val="00E45D79"/>
    <w:rsid w:val="00E50C12"/>
    <w:rsid w:val="00E526DC"/>
    <w:rsid w:val="00E65B91"/>
    <w:rsid w:val="00E66EAF"/>
    <w:rsid w:val="00E7209D"/>
    <w:rsid w:val="00E72EAD"/>
    <w:rsid w:val="00E77223"/>
    <w:rsid w:val="00E8528B"/>
    <w:rsid w:val="00E85B94"/>
    <w:rsid w:val="00E978D0"/>
    <w:rsid w:val="00EA4613"/>
    <w:rsid w:val="00EA7F91"/>
    <w:rsid w:val="00EB1523"/>
    <w:rsid w:val="00EB653C"/>
    <w:rsid w:val="00EB7946"/>
    <w:rsid w:val="00EC0E49"/>
    <w:rsid w:val="00EC101F"/>
    <w:rsid w:val="00EC1D9F"/>
    <w:rsid w:val="00EC44A6"/>
    <w:rsid w:val="00EE0131"/>
    <w:rsid w:val="00EE17B0"/>
    <w:rsid w:val="00EE4969"/>
    <w:rsid w:val="00EF06D9"/>
    <w:rsid w:val="00F21CA5"/>
    <w:rsid w:val="00F3049E"/>
    <w:rsid w:val="00F30C64"/>
    <w:rsid w:val="00F32585"/>
    <w:rsid w:val="00F32BA2"/>
    <w:rsid w:val="00F32CDB"/>
    <w:rsid w:val="00F51370"/>
    <w:rsid w:val="00F565FE"/>
    <w:rsid w:val="00F63A70"/>
    <w:rsid w:val="00F63D8C"/>
    <w:rsid w:val="00F7534E"/>
    <w:rsid w:val="00F93EDF"/>
    <w:rsid w:val="00FA01A9"/>
    <w:rsid w:val="00FA1802"/>
    <w:rsid w:val="00FA21D0"/>
    <w:rsid w:val="00FA5C41"/>
    <w:rsid w:val="00FA5F5F"/>
    <w:rsid w:val="00FB730C"/>
    <w:rsid w:val="00FC2695"/>
    <w:rsid w:val="00FC3E03"/>
    <w:rsid w:val="00FC3FC1"/>
    <w:rsid w:val="00FC7B7F"/>
    <w:rsid w:val="00FD0677"/>
    <w:rsid w:val="00FE666A"/>
    <w:rsid w:val="00FF174F"/>
    <w:rsid w:val="00FF2DF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21974">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477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88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E312C873A75D4F9682D8FD9336F006" ma:contentTypeVersion="6" ma:contentTypeDescription="Create a new document." ma:contentTypeScope="" ma:versionID="c4e690feb1a19bd502a825f4d5f7f74f">
  <xsd:schema xmlns:xsd="http://www.w3.org/2001/XMLSchema" xmlns:xs="http://www.w3.org/2001/XMLSchema" xmlns:p="http://schemas.microsoft.com/office/2006/metadata/properties" xmlns:ns2="627b664f-749f-402c-bf54-8268f964b1b1" targetNamespace="http://schemas.microsoft.com/office/2006/metadata/properties" ma:root="true" ma:fieldsID="0f64415e944c020626d6c24b7271771e" ns2:_="">
    <xsd:import namespace="627b664f-749f-402c-bf54-8268f964b1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b664f-749f-402c-bf54-8268f964b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99BF6-D1A2-4DB2-A2D2-085460E70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b664f-749f-402c-bf54-8268f964b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A8BE42-4854-429B-B8A0-796F0AD303B4}">
  <ds:schemaRefs>
    <ds:schemaRef ds:uri="http://schemas.microsoft.com/sharepoint/v3/contenttype/forms"/>
  </ds:schemaRefs>
</ds:datastoreItem>
</file>

<file path=customXml/itemProps3.xml><?xml version="1.0" encoding="utf-8"?>
<ds:datastoreItem xmlns:ds="http://schemas.openxmlformats.org/officeDocument/2006/customXml" ds:itemID="{D64B30E0-B1A5-4CF9-B71A-CD59B66F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8292</Words>
  <Characters>47270</Characters>
  <Application>Microsoft Office Word</Application>
  <DocSecurity>0</DocSecurity>
  <Lines>393</Lines>
  <Paragraphs>110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55452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Teodora</cp:lastModifiedBy>
  <cp:revision>2</cp:revision>
  <cp:lastPrinted>2023-02-10T16:21:00Z</cp:lastPrinted>
  <dcterms:created xsi:type="dcterms:W3CDTF">2023-04-14T10:32:00Z</dcterms:created>
  <dcterms:modified xsi:type="dcterms:W3CDTF">2023-04-14T10:32:00Z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http://www.zotero.org/styles/elsevier-harvard-without-titles</vt:lpwstr>
  </property>
  <property fmtid="{D5CDD505-2E9C-101B-9397-08002B2CF9AE}" pid="15" name="Mendeley Recent Style Name 5_1">
    <vt:lpwstr>Elsevier - Harvard (without titles)</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http://www.zotero.org/styles/elsevier-harvard-without-titles</vt:lpwstr>
  </property>
  <property fmtid="{D5CDD505-2E9C-101B-9397-08002B2CF9AE}" pid="26" name="Mendeley Unique User Id_1">
    <vt:lpwstr>df2d2920-fa46-3a0e-b7f2-02aca614a224</vt:lpwstr>
  </property>
</Properties>
</file>