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85C94">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Pictur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Pictur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B0CE7" w14:paraId="380FA3CD" w14:textId="77777777" w:rsidTr="00685C94">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685C94" w:rsidRDefault="000D0268" w:rsidP="00CD5FE2">
            <w:pPr>
              <w:spacing w:line="140" w:lineRule="atLeast"/>
              <w:jc w:val="right"/>
              <w:rPr>
                <w:rFonts w:cs="Arial"/>
                <w:sz w:val="13"/>
                <w:szCs w:val="13"/>
                <w:lang w:val="da-DK"/>
              </w:rPr>
            </w:pPr>
            <w:r w:rsidRPr="00685C94">
              <w:rPr>
                <w:rFonts w:cs="Arial"/>
                <w:sz w:val="13"/>
                <w:szCs w:val="13"/>
                <w:lang w:val="da-DK"/>
              </w:rPr>
              <w:t>Online at www.cetjournal.it</w:t>
            </w:r>
          </w:p>
        </w:tc>
      </w:tr>
      <w:tr w:rsidR="000A03B2" w:rsidRPr="00DB0CE7" w14:paraId="2D1B7169" w14:textId="77777777" w:rsidTr="00685C94">
        <w:trPr>
          <w:trHeight w:val="68"/>
          <w:jc w:val="center"/>
        </w:trPr>
        <w:tc>
          <w:tcPr>
            <w:tcW w:w="8782" w:type="dxa"/>
            <w:gridSpan w:val="2"/>
          </w:tcPr>
          <w:p w14:paraId="1D8DD3C9" w14:textId="72C518CF" w:rsidR="00AA7D26" w:rsidRPr="00685C94" w:rsidRDefault="00AA7D26" w:rsidP="00AA7D26">
            <w:pPr>
              <w:ind w:left="-107"/>
              <w:outlineLvl w:val="2"/>
              <w:rPr>
                <w:rFonts w:ascii="Tahoma" w:hAnsi="Tahoma" w:cs="Tahoma"/>
                <w:bCs/>
                <w:color w:val="000000"/>
                <w:sz w:val="14"/>
                <w:szCs w:val="14"/>
                <w:lang w:val="da-DK" w:eastAsia="it-IT"/>
              </w:rPr>
            </w:pPr>
            <w:r w:rsidRPr="00685C94">
              <w:rPr>
                <w:rFonts w:ascii="Tahoma" w:hAnsi="Tahoma" w:cs="Tahoma"/>
                <w:iCs/>
                <w:color w:val="333333"/>
                <w:sz w:val="14"/>
                <w:szCs w:val="14"/>
                <w:lang w:val="da-DK" w:eastAsia="it-IT"/>
              </w:rPr>
              <w:t>Guest Editor:</w:t>
            </w:r>
            <w:r w:rsidRPr="00685C94">
              <w:rPr>
                <w:rFonts w:ascii="Tahoma" w:hAnsi="Tahoma" w:cs="Tahoma"/>
                <w:color w:val="000000"/>
                <w:sz w:val="14"/>
                <w:szCs w:val="14"/>
                <w:shd w:val="clear" w:color="auto" w:fill="FFFFFF"/>
                <w:lang w:val="da-DK"/>
              </w:rPr>
              <w:t xml:space="preserve"> </w:t>
            </w:r>
            <w:r w:rsidRPr="00685C94">
              <w:rPr>
                <w:rFonts w:ascii="Tahoma" w:hAnsi="Tahoma" w:cs="Tahoma"/>
                <w:sz w:val="14"/>
                <w:szCs w:val="14"/>
                <w:lang w:val="da-DK"/>
              </w:rPr>
              <w:t>Sauro Pierucci</w:t>
            </w:r>
          </w:p>
          <w:p w14:paraId="1B0F1814" w14:textId="650290B9" w:rsidR="000A03B2" w:rsidRPr="00685C94" w:rsidRDefault="00AA7D26" w:rsidP="00AA7D26">
            <w:pPr>
              <w:tabs>
                <w:tab w:val="left" w:pos="-108"/>
              </w:tabs>
              <w:spacing w:line="140" w:lineRule="atLeast"/>
              <w:ind w:left="-107"/>
              <w:jc w:val="left"/>
              <w:rPr>
                <w:lang w:val="da-DK"/>
              </w:rPr>
            </w:pPr>
            <w:r w:rsidRPr="00685C94">
              <w:rPr>
                <w:rFonts w:ascii="Tahoma" w:hAnsi="Tahoma" w:cs="Tahoma"/>
                <w:iCs/>
                <w:color w:val="333333"/>
                <w:sz w:val="14"/>
                <w:szCs w:val="14"/>
                <w:lang w:val="da-DK" w:eastAsia="it-IT"/>
              </w:rPr>
              <w:t>Copyright © 2023, AIDIC Servizi S.r.l.</w:t>
            </w:r>
            <w:r w:rsidRPr="00685C94">
              <w:rPr>
                <w:rFonts w:ascii="Tahoma" w:hAnsi="Tahoma" w:cs="Tahoma"/>
                <w:iCs/>
                <w:color w:val="333333"/>
                <w:sz w:val="14"/>
                <w:szCs w:val="14"/>
                <w:lang w:val="da-DK" w:eastAsia="it-IT"/>
              </w:rPr>
              <w:br/>
            </w:r>
            <w:r w:rsidRPr="00685C94">
              <w:rPr>
                <w:rFonts w:ascii="Tahoma" w:hAnsi="Tahoma" w:cs="Tahoma"/>
                <w:b/>
                <w:iCs/>
                <w:color w:val="000000"/>
                <w:sz w:val="14"/>
                <w:szCs w:val="14"/>
                <w:lang w:val="da-DK" w:eastAsia="it-IT"/>
              </w:rPr>
              <w:t>ISBN</w:t>
            </w:r>
            <w:r w:rsidRPr="00685C94">
              <w:rPr>
                <w:rFonts w:ascii="Tahoma" w:hAnsi="Tahoma" w:cs="Tahoma"/>
                <w:iCs/>
                <w:color w:val="000000"/>
                <w:sz w:val="14"/>
                <w:szCs w:val="14"/>
                <w:lang w:val="da-DK" w:eastAsia="it-IT"/>
              </w:rPr>
              <w:t xml:space="preserve"> </w:t>
            </w:r>
            <w:r w:rsidRPr="00685C94">
              <w:rPr>
                <w:rFonts w:ascii="Tahoma" w:hAnsi="Tahoma" w:cs="Tahoma"/>
                <w:sz w:val="14"/>
                <w:szCs w:val="14"/>
                <w:lang w:val="da-DK"/>
              </w:rPr>
              <w:t>978-88-95608-98-3</w:t>
            </w:r>
            <w:r w:rsidRPr="00685C94">
              <w:rPr>
                <w:rFonts w:ascii="Tahoma" w:hAnsi="Tahoma" w:cs="Tahoma"/>
                <w:iCs/>
                <w:color w:val="333333"/>
                <w:sz w:val="14"/>
                <w:szCs w:val="14"/>
                <w:lang w:val="da-DK" w:eastAsia="it-IT"/>
              </w:rPr>
              <w:t xml:space="preserve">; </w:t>
            </w:r>
            <w:r w:rsidRPr="00685C94">
              <w:rPr>
                <w:rFonts w:ascii="Tahoma" w:hAnsi="Tahoma" w:cs="Tahoma"/>
                <w:b/>
                <w:iCs/>
                <w:color w:val="333333"/>
                <w:sz w:val="14"/>
                <w:szCs w:val="14"/>
                <w:lang w:val="da-DK" w:eastAsia="it-IT"/>
              </w:rPr>
              <w:t>ISSN</w:t>
            </w:r>
            <w:r w:rsidRPr="00685C94">
              <w:rPr>
                <w:rFonts w:ascii="Tahoma" w:hAnsi="Tahoma" w:cs="Tahoma"/>
                <w:iCs/>
                <w:color w:val="333333"/>
                <w:sz w:val="14"/>
                <w:szCs w:val="14"/>
                <w:lang w:val="da-DK" w:eastAsia="it-IT"/>
              </w:rPr>
              <w:t xml:space="preserve"> 2283-9216</w:t>
            </w:r>
          </w:p>
        </w:tc>
      </w:tr>
    </w:tbl>
    <w:p w14:paraId="2E667253" w14:textId="1D6720D3" w:rsidR="00E978D0" w:rsidRPr="00B57B36" w:rsidRDefault="006E40D2" w:rsidP="00E978D0">
      <w:pPr>
        <w:pStyle w:val="CETTitle"/>
      </w:pPr>
      <w:r w:rsidRPr="006E40D2">
        <w:t xml:space="preserve">Real-Time Assessment </w:t>
      </w:r>
      <w:r>
        <w:t>o</w:t>
      </w:r>
      <w:r w:rsidRPr="006E40D2">
        <w:t xml:space="preserve">f Integrated Safety-Security Scenarios Triggering Cascading Events </w:t>
      </w:r>
      <w:r w:rsidR="00177795">
        <w:t>i</w:t>
      </w:r>
      <w:r w:rsidRPr="006E40D2">
        <w:t xml:space="preserve">n </w:t>
      </w:r>
      <w:r w:rsidR="00177795">
        <w:t>t</w:t>
      </w:r>
      <w:r w:rsidRPr="006E40D2">
        <w:t>he Process Industries</w:t>
      </w:r>
    </w:p>
    <w:p w14:paraId="0488FED2" w14:textId="2B4F33DD" w:rsidR="00B57E6F" w:rsidRPr="002D7C1C" w:rsidRDefault="00A67620" w:rsidP="00B57E6F">
      <w:pPr>
        <w:pStyle w:val="CETAuthors"/>
        <w:rPr>
          <w:lang w:val="it-IT"/>
        </w:rPr>
      </w:pPr>
      <w:r w:rsidRPr="00D61617">
        <w:rPr>
          <w:lang w:val="it-IT"/>
        </w:rPr>
        <w:t>Giulia Marroni</w:t>
      </w:r>
      <w:r w:rsidR="008E25BD" w:rsidRPr="00D61617">
        <w:rPr>
          <w:vertAlign w:val="superscript"/>
          <w:lang w:val="it-IT"/>
        </w:rPr>
        <w:t xml:space="preserve"> </w:t>
      </w:r>
      <w:r w:rsidR="00B57E6F" w:rsidRPr="00D61617">
        <w:rPr>
          <w:vertAlign w:val="superscript"/>
          <w:lang w:val="it-IT"/>
        </w:rPr>
        <w:t>a</w:t>
      </w:r>
      <w:r w:rsidR="00B57E6F" w:rsidRPr="00D61617">
        <w:rPr>
          <w:lang w:val="it-IT"/>
        </w:rPr>
        <w:t>,</w:t>
      </w:r>
      <w:r w:rsidR="009045A0" w:rsidRPr="00D61617">
        <w:rPr>
          <w:lang w:val="it-IT"/>
        </w:rPr>
        <w:t xml:space="preserve"> </w:t>
      </w:r>
      <w:r w:rsidRPr="00D61617">
        <w:rPr>
          <w:lang w:val="it-IT"/>
        </w:rPr>
        <w:t xml:space="preserve">Leonardo </w:t>
      </w:r>
      <w:r w:rsidR="007A7447" w:rsidRPr="00D61617">
        <w:rPr>
          <w:lang w:val="it-IT"/>
        </w:rPr>
        <w:t>Casini</w:t>
      </w:r>
      <w:r w:rsidR="008E25BD" w:rsidRPr="00D61617">
        <w:rPr>
          <w:vertAlign w:val="superscript"/>
          <w:lang w:val="it-IT"/>
        </w:rPr>
        <w:t xml:space="preserve"> </w:t>
      </w:r>
      <w:r w:rsidR="007A7447" w:rsidRPr="00D61617">
        <w:rPr>
          <w:vertAlign w:val="superscript"/>
          <w:lang w:val="it-IT"/>
        </w:rPr>
        <w:t>a</w:t>
      </w:r>
      <w:r w:rsidR="007A7447" w:rsidRPr="00D61617">
        <w:rPr>
          <w:lang w:val="it-IT"/>
        </w:rPr>
        <w:t xml:space="preserve">, </w:t>
      </w:r>
      <w:r w:rsidRPr="00D61617">
        <w:rPr>
          <w:lang w:val="it-IT"/>
        </w:rPr>
        <w:t xml:space="preserve">Sanneke </w:t>
      </w:r>
      <w:r w:rsidR="009045A0" w:rsidRPr="00D61617">
        <w:rPr>
          <w:lang w:val="it-IT"/>
        </w:rPr>
        <w:t>Kuipers</w:t>
      </w:r>
      <w:r w:rsidR="008E25BD" w:rsidRPr="00D61617">
        <w:rPr>
          <w:vertAlign w:val="superscript"/>
          <w:lang w:val="it-IT"/>
        </w:rPr>
        <w:t xml:space="preserve"> </w:t>
      </w:r>
      <w:r w:rsidR="00B57E6F" w:rsidRPr="00D61617">
        <w:rPr>
          <w:vertAlign w:val="superscript"/>
          <w:lang w:val="it-IT"/>
        </w:rPr>
        <w:t>b</w:t>
      </w:r>
      <w:r w:rsidR="00B57E6F" w:rsidRPr="00D61617">
        <w:rPr>
          <w:lang w:val="it-IT"/>
        </w:rPr>
        <w:t xml:space="preserve">, </w:t>
      </w:r>
      <w:r w:rsidR="008E25BD" w:rsidRPr="00D61617">
        <w:rPr>
          <w:lang w:val="it-IT"/>
        </w:rPr>
        <w:t>Dino D</w:t>
      </w:r>
      <w:r w:rsidR="009045A0" w:rsidRPr="00D61617">
        <w:rPr>
          <w:lang w:val="it-IT"/>
        </w:rPr>
        <w:t>entone</w:t>
      </w:r>
      <w:r w:rsidR="008E25BD" w:rsidRPr="00D61617">
        <w:rPr>
          <w:vertAlign w:val="superscript"/>
          <w:lang w:val="it-IT"/>
        </w:rPr>
        <w:t xml:space="preserve"> </w:t>
      </w:r>
      <w:r w:rsidR="009045A0" w:rsidRPr="00D61617">
        <w:rPr>
          <w:vertAlign w:val="superscript"/>
          <w:lang w:val="it-IT"/>
        </w:rPr>
        <w:t>c</w:t>
      </w:r>
      <w:r w:rsidR="009045A0" w:rsidRPr="00D61617">
        <w:rPr>
          <w:lang w:val="it-IT"/>
        </w:rPr>
        <w:t xml:space="preserve">, </w:t>
      </w:r>
      <w:r w:rsidR="00D41BFC">
        <w:rPr>
          <w:lang w:val="it-IT"/>
        </w:rPr>
        <w:t xml:space="preserve">Marcello </w:t>
      </w:r>
      <w:r w:rsidR="009045A0" w:rsidRPr="00D61617">
        <w:rPr>
          <w:lang w:val="it-IT"/>
        </w:rPr>
        <w:t xml:space="preserve">Mossa Verre </w:t>
      </w:r>
      <w:r w:rsidR="009045A0" w:rsidRPr="00D61617">
        <w:rPr>
          <w:vertAlign w:val="superscript"/>
          <w:lang w:val="it-IT"/>
        </w:rPr>
        <w:t>d</w:t>
      </w:r>
      <w:r w:rsidR="009045A0" w:rsidRPr="00D61617">
        <w:rPr>
          <w:lang w:val="it-IT"/>
        </w:rPr>
        <w:t xml:space="preserve">, </w:t>
      </w:r>
      <w:r w:rsidR="002D7C1C" w:rsidRPr="00D61617">
        <w:rPr>
          <w:lang w:val="it-IT"/>
        </w:rPr>
        <w:t xml:space="preserve">Werner </w:t>
      </w:r>
      <w:r w:rsidR="00B04CF1" w:rsidRPr="00D61617">
        <w:rPr>
          <w:lang w:val="it-IT"/>
        </w:rPr>
        <w:t>Overdijk</w:t>
      </w:r>
      <w:r w:rsidR="002D7C1C" w:rsidRPr="00D61617">
        <w:rPr>
          <w:vertAlign w:val="superscript"/>
          <w:lang w:val="it-IT"/>
        </w:rPr>
        <w:t xml:space="preserve"> </w:t>
      </w:r>
      <w:r w:rsidR="00B04CF1" w:rsidRPr="00D61617">
        <w:rPr>
          <w:vertAlign w:val="superscript"/>
          <w:lang w:val="it-IT"/>
        </w:rPr>
        <w:t>e</w:t>
      </w:r>
      <w:r w:rsidR="00B04CF1" w:rsidRPr="00D61617">
        <w:rPr>
          <w:lang w:val="it-IT"/>
        </w:rPr>
        <w:t xml:space="preserve">, </w:t>
      </w:r>
      <w:r w:rsidR="002D7C1C" w:rsidRPr="00D61617">
        <w:rPr>
          <w:lang w:val="it-IT"/>
        </w:rPr>
        <w:t xml:space="preserve">Valeria </w:t>
      </w:r>
      <w:r w:rsidR="00B04CF1" w:rsidRPr="00D61617">
        <w:rPr>
          <w:lang w:val="it-IT"/>
        </w:rPr>
        <w:t>Casson Moreno</w:t>
      </w:r>
      <w:r w:rsidR="002D7C1C" w:rsidRPr="00D61617">
        <w:rPr>
          <w:vertAlign w:val="superscript"/>
          <w:lang w:val="it-IT"/>
        </w:rPr>
        <w:t xml:space="preserve"> </w:t>
      </w:r>
      <w:r w:rsidR="00B04CF1" w:rsidRPr="00D61617">
        <w:rPr>
          <w:vertAlign w:val="superscript"/>
          <w:lang w:val="it-IT"/>
        </w:rPr>
        <w:t>a</w:t>
      </w:r>
      <w:r w:rsidR="00B04CF1" w:rsidRPr="00D61617">
        <w:rPr>
          <w:lang w:val="it-IT"/>
        </w:rPr>
        <w:t xml:space="preserve">, </w:t>
      </w:r>
      <w:r w:rsidR="002D7C1C" w:rsidRPr="00D61617">
        <w:rPr>
          <w:lang w:val="it-IT"/>
        </w:rPr>
        <w:t xml:space="preserve">Gabriele </w:t>
      </w:r>
      <w:r w:rsidR="00B04CF1" w:rsidRPr="00D61617">
        <w:rPr>
          <w:lang w:val="it-IT"/>
        </w:rPr>
        <w:t>Landucci</w:t>
      </w:r>
      <w:r w:rsidR="002D7C1C" w:rsidRPr="00D61617">
        <w:rPr>
          <w:vertAlign w:val="superscript"/>
          <w:lang w:val="it-IT"/>
        </w:rPr>
        <w:t xml:space="preserve"> </w:t>
      </w:r>
      <w:r w:rsidR="00B04CF1" w:rsidRPr="00D61617">
        <w:rPr>
          <w:vertAlign w:val="superscript"/>
          <w:lang w:val="it-IT"/>
        </w:rPr>
        <w:t>a</w:t>
      </w:r>
      <w:r w:rsidR="002D7C1C" w:rsidRPr="00D61617">
        <w:rPr>
          <w:vertAlign w:val="superscript"/>
          <w:lang w:val="it-IT"/>
        </w:rPr>
        <w:t>,*</w:t>
      </w:r>
    </w:p>
    <w:p w14:paraId="6B2D21B3" w14:textId="627D4DE1" w:rsidR="00B57E6F" w:rsidRPr="00B57B36" w:rsidRDefault="00B57E6F" w:rsidP="00B57E6F">
      <w:pPr>
        <w:pStyle w:val="CETAddress"/>
      </w:pPr>
      <w:r w:rsidRPr="00B57B36">
        <w:rPr>
          <w:vertAlign w:val="superscript"/>
        </w:rPr>
        <w:t>a</w:t>
      </w:r>
      <w:r w:rsidR="00870AFF">
        <w:rPr>
          <w:rStyle w:val="normaltextrun"/>
          <w:rFonts w:cs="Arial"/>
          <w:color w:val="000000"/>
          <w:szCs w:val="16"/>
          <w:shd w:val="clear" w:color="auto" w:fill="FFFFFF"/>
        </w:rPr>
        <w:t xml:space="preserve"> </w:t>
      </w:r>
      <w:r w:rsidR="0094034B">
        <w:rPr>
          <w:rStyle w:val="normaltextrun"/>
          <w:rFonts w:cs="Arial"/>
          <w:color w:val="000000"/>
          <w:szCs w:val="16"/>
          <w:shd w:val="clear" w:color="auto" w:fill="FFFFFF"/>
        </w:rPr>
        <w:t>D</w:t>
      </w:r>
      <w:r w:rsidR="00AC4F90">
        <w:rPr>
          <w:rStyle w:val="normaltextrun"/>
          <w:rFonts w:cs="Arial"/>
          <w:color w:val="000000"/>
          <w:szCs w:val="16"/>
          <w:shd w:val="clear" w:color="auto" w:fill="FFFFFF"/>
        </w:rPr>
        <w:t>epartment of Civil and Industrial Engineering, University of Pisa, Largo Lucio Lazzarino</w:t>
      </w:r>
      <w:r w:rsidR="00C23173">
        <w:rPr>
          <w:rStyle w:val="normaltextrun"/>
          <w:rFonts w:cs="Arial"/>
          <w:color w:val="000000"/>
          <w:szCs w:val="16"/>
          <w:shd w:val="clear" w:color="auto" w:fill="FFFFFF"/>
        </w:rPr>
        <w:t xml:space="preserve"> </w:t>
      </w:r>
      <w:r w:rsidR="00AC4F90">
        <w:rPr>
          <w:rStyle w:val="normaltextrun"/>
          <w:rFonts w:cs="Arial"/>
          <w:color w:val="000000"/>
          <w:szCs w:val="16"/>
          <w:shd w:val="clear" w:color="auto" w:fill="FFFFFF"/>
        </w:rPr>
        <w:t>2, 56126 Pisa, Italy</w:t>
      </w:r>
    </w:p>
    <w:p w14:paraId="3D72B0B0" w14:textId="7C2194EA" w:rsidR="00B57E6F" w:rsidRDefault="00B57E6F" w:rsidP="00D6795A">
      <w:pPr>
        <w:pStyle w:val="CETAddress"/>
      </w:pPr>
      <w:r w:rsidRPr="00B57B36">
        <w:rPr>
          <w:vertAlign w:val="superscript"/>
        </w:rPr>
        <w:t>b</w:t>
      </w:r>
      <w:r w:rsidR="0094034B">
        <w:t xml:space="preserve"> In</w:t>
      </w:r>
      <w:r w:rsidR="0094034B" w:rsidRPr="0094034B">
        <w:t>stitute of Security and Global Affairs, Leiden University,</w:t>
      </w:r>
      <w:r w:rsidR="00D6795A" w:rsidRPr="00D6795A">
        <w:rPr>
          <w:rFonts w:ascii="Georgia" w:hAnsi="Georgia"/>
          <w:noProof w:val="0"/>
          <w:color w:val="666666"/>
          <w:sz w:val="18"/>
          <w:shd w:val="clear" w:color="auto" w:fill="FFFFFF"/>
        </w:rPr>
        <w:t xml:space="preserve"> </w:t>
      </w:r>
      <w:r w:rsidR="00D6795A" w:rsidRPr="00D6795A">
        <w:t>Turfmarkt</w:t>
      </w:r>
      <w:r w:rsidR="00D6795A">
        <w:t xml:space="preserve"> </w:t>
      </w:r>
      <w:r w:rsidR="00D6795A" w:rsidRPr="00D6795A">
        <w:t>99</w:t>
      </w:r>
      <w:r w:rsidR="00D6795A">
        <w:t>, 2211 DP</w:t>
      </w:r>
      <w:r w:rsidR="0094034B" w:rsidRPr="0094034B">
        <w:t xml:space="preserve"> </w:t>
      </w:r>
      <w:r w:rsidR="00DC5007">
        <w:t>Den Haag</w:t>
      </w:r>
      <w:r w:rsidR="0094034B" w:rsidRPr="0094034B">
        <w:t>, the Netherlands</w:t>
      </w:r>
    </w:p>
    <w:p w14:paraId="05BFD5C5" w14:textId="6637CC78" w:rsidR="00F51C6C" w:rsidRPr="00DC5007" w:rsidRDefault="00F51C6C" w:rsidP="00DC5007">
      <w:pPr>
        <w:pStyle w:val="CETAddress"/>
        <w:rPr>
          <w:lang w:val="it-IT"/>
        </w:rPr>
      </w:pPr>
      <w:r w:rsidRPr="00DC5007">
        <w:rPr>
          <w:vertAlign w:val="superscript"/>
          <w:lang w:val="it-IT"/>
        </w:rPr>
        <w:t>c</w:t>
      </w:r>
      <w:r w:rsidR="005140CB" w:rsidRPr="00DC5007">
        <w:rPr>
          <w:lang w:val="it-IT"/>
        </w:rPr>
        <w:t xml:space="preserve"> DataCH Technologies</w:t>
      </w:r>
      <w:r w:rsidR="00821056">
        <w:rPr>
          <w:lang w:val="it-IT"/>
        </w:rPr>
        <w:t xml:space="preserve"> </w:t>
      </w:r>
      <w:r w:rsidR="005140CB" w:rsidRPr="00DC5007">
        <w:rPr>
          <w:lang w:val="it-IT"/>
        </w:rPr>
        <w:t>S.r.l.</w:t>
      </w:r>
      <w:r w:rsidR="00DC5007">
        <w:rPr>
          <w:lang w:val="it-IT"/>
        </w:rPr>
        <w:t xml:space="preserve">, </w:t>
      </w:r>
      <w:r w:rsidR="00DC5007" w:rsidRPr="00DC5007">
        <w:rPr>
          <w:lang w:val="it-IT"/>
        </w:rPr>
        <w:t>Via L. da Vinci</w:t>
      </w:r>
      <w:r w:rsidR="00C23173">
        <w:rPr>
          <w:lang w:val="it-IT"/>
        </w:rPr>
        <w:t xml:space="preserve"> </w:t>
      </w:r>
      <w:r w:rsidR="00DC5007" w:rsidRPr="00DC5007">
        <w:rPr>
          <w:lang w:val="it-IT"/>
        </w:rPr>
        <w:t>5, 57123 Livorno</w:t>
      </w:r>
      <w:r w:rsidR="00DC5007">
        <w:rPr>
          <w:lang w:val="it-IT"/>
        </w:rPr>
        <w:t>, Italy</w:t>
      </w:r>
    </w:p>
    <w:p w14:paraId="2B7893E6" w14:textId="53C56603" w:rsidR="00F51C6C" w:rsidRPr="00EB5A03" w:rsidRDefault="00F51C6C" w:rsidP="00BC4190">
      <w:pPr>
        <w:pStyle w:val="CETAddress"/>
        <w:rPr>
          <w:lang w:val="it-IT"/>
        </w:rPr>
      </w:pPr>
      <w:r w:rsidRPr="00EB5A03">
        <w:rPr>
          <w:vertAlign w:val="superscript"/>
          <w:lang w:val="it-IT"/>
        </w:rPr>
        <w:t>d</w:t>
      </w:r>
      <w:r w:rsidR="00BC2FB6" w:rsidRPr="00EB5A03">
        <w:rPr>
          <w:lang w:val="it-IT"/>
        </w:rPr>
        <w:t xml:space="preserve"> Regional Agency for Environmental Protection of Tuscany (ARPAT), </w:t>
      </w:r>
      <w:r w:rsidR="00BC4190" w:rsidRPr="00EB5A03">
        <w:rPr>
          <w:lang w:val="it-IT"/>
        </w:rPr>
        <w:t>Via del Ponte alle Mosse</w:t>
      </w:r>
      <w:r w:rsidR="00C23173" w:rsidRPr="00EB5A03">
        <w:rPr>
          <w:lang w:val="it-IT"/>
        </w:rPr>
        <w:t xml:space="preserve"> </w:t>
      </w:r>
      <w:r w:rsidR="00BC4190" w:rsidRPr="00EB5A03">
        <w:rPr>
          <w:lang w:val="it-IT"/>
        </w:rPr>
        <w:t>211, 50144 Firenze, Italy</w:t>
      </w:r>
    </w:p>
    <w:p w14:paraId="73B4B80B" w14:textId="47D0AE83" w:rsidR="00F51C6C" w:rsidRPr="00EB5A03" w:rsidRDefault="00F51C6C" w:rsidP="00821056">
      <w:pPr>
        <w:pStyle w:val="CETAddress"/>
        <w:rPr>
          <w:lang w:val="it-IT"/>
        </w:rPr>
      </w:pPr>
      <w:r w:rsidRPr="00EB5A03">
        <w:rPr>
          <w:vertAlign w:val="superscript"/>
          <w:lang w:val="it-IT"/>
        </w:rPr>
        <w:t>e</w:t>
      </w:r>
      <w:r w:rsidR="00B4450C" w:rsidRPr="00EB5A03">
        <w:rPr>
          <w:lang w:val="it-IT"/>
        </w:rPr>
        <w:t xml:space="preserve"> Crisisplan BV, </w:t>
      </w:r>
      <w:r w:rsidR="00821056" w:rsidRPr="00EB5A03">
        <w:rPr>
          <w:lang w:val="it-IT"/>
        </w:rPr>
        <w:t>Frambozenweg 123, 2321 KA, Leiden, the Netherlands</w:t>
      </w:r>
    </w:p>
    <w:p w14:paraId="73F1267A" w14:textId="019F4DD7" w:rsidR="00B57E6F" w:rsidRPr="00F23A85" w:rsidRDefault="007A65C0" w:rsidP="00B57E6F">
      <w:pPr>
        <w:pStyle w:val="CETemail"/>
        <w:rPr>
          <w:lang w:val="en-US"/>
        </w:rPr>
      </w:pPr>
      <w:r w:rsidRPr="0052431A">
        <w:rPr>
          <w:lang w:val="en-US"/>
        </w:rPr>
        <w:t>*</w:t>
      </w:r>
      <w:r w:rsidR="00C17D91" w:rsidRPr="00F23A85">
        <w:rPr>
          <w:lang w:val="en-US"/>
        </w:rPr>
        <w:t>gabriele.landucci</w:t>
      </w:r>
      <w:r w:rsidR="00F51C6C" w:rsidRPr="00F23A85">
        <w:rPr>
          <w:lang w:val="en-US"/>
        </w:rPr>
        <w:t>@unipi.it</w:t>
      </w:r>
    </w:p>
    <w:p w14:paraId="04B319EE" w14:textId="3608CE92" w:rsidR="00600535" w:rsidRPr="00B57B36" w:rsidRDefault="00175026" w:rsidP="000B5025">
      <w:pPr>
        <w:pStyle w:val="CETBodytext"/>
        <w:rPr>
          <w:lang w:val="en-GB"/>
        </w:rPr>
      </w:pPr>
      <w:r>
        <w:rPr>
          <w:lang w:val="en-GB"/>
        </w:rPr>
        <w:t>Industrial</w:t>
      </w:r>
      <w:r w:rsidR="00F23A85" w:rsidRPr="00F23A85">
        <w:rPr>
          <w:lang w:val="en-GB"/>
        </w:rPr>
        <w:t xml:space="preserve"> sites processing</w:t>
      </w:r>
      <w:r w:rsidR="00F23A85">
        <w:rPr>
          <w:lang w:val="en-GB"/>
        </w:rPr>
        <w:t xml:space="preserve"> </w:t>
      </w:r>
      <w:r w:rsidR="007137BD">
        <w:rPr>
          <w:lang w:val="en-GB"/>
        </w:rPr>
        <w:t>and</w:t>
      </w:r>
      <w:r w:rsidR="00F23A85" w:rsidRPr="00F23A85">
        <w:rPr>
          <w:lang w:val="en-GB"/>
        </w:rPr>
        <w:t xml:space="preserve"> storing hazardous chemicals can be attractive targets of malicious acts</w:t>
      </w:r>
      <w:r w:rsidR="006E2586">
        <w:rPr>
          <w:lang w:val="en-GB"/>
        </w:rPr>
        <w:t xml:space="preserve"> of interference</w:t>
      </w:r>
      <w:r w:rsidR="00F23A85" w:rsidRPr="00F23A85">
        <w:rPr>
          <w:lang w:val="en-GB"/>
        </w:rPr>
        <w:t>. The</w:t>
      </w:r>
      <w:r w:rsidR="00F23A85">
        <w:rPr>
          <w:lang w:val="en-GB"/>
        </w:rPr>
        <w:t xml:space="preserve"> </w:t>
      </w:r>
      <w:r w:rsidR="00F23A85" w:rsidRPr="00F23A85">
        <w:rPr>
          <w:lang w:val="en-GB"/>
        </w:rPr>
        <w:t>consequences successful intentional attack</w:t>
      </w:r>
      <w:r w:rsidR="001F186A">
        <w:rPr>
          <w:lang w:val="en-GB"/>
        </w:rPr>
        <w:t>s</w:t>
      </w:r>
      <w:r w:rsidR="00F23A85" w:rsidRPr="00F23A85">
        <w:rPr>
          <w:lang w:val="en-GB"/>
        </w:rPr>
        <w:t xml:space="preserve"> to chemical facilit</w:t>
      </w:r>
      <w:r w:rsidR="001F186A">
        <w:rPr>
          <w:lang w:val="en-GB"/>
        </w:rPr>
        <w:t>ies</w:t>
      </w:r>
      <w:r w:rsidR="00F23A85" w:rsidRPr="00F23A85">
        <w:rPr>
          <w:lang w:val="en-GB"/>
        </w:rPr>
        <w:t xml:space="preserve"> can be severe and could escalate generat</w:t>
      </w:r>
      <w:r w:rsidR="002F123F">
        <w:rPr>
          <w:lang w:val="en-GB"/>
        </w:rPr>
        <w:t>ing</w:t>
      </w:r>
      <w:r w:rsidR="006C01E6">
        <w:rPr>
          <w:lang w:val="en-GB"/>
        </w:rPr>
        <w:t xml:space="preserve"> </w:t>
      </w:r>
      <w:r w:rsidR="00F23A85" w:rsidRPr="00F23A85">
        <w:rPr>
          <w:lang w:val="en-GB"/>
        </w:rPr>
        <w:t xml:space="preserve">domino effects, potentially affecting </w:t>
      </w:r>
      <w:r w:rsidR="002F123F">
        <w:rPr>
          <w:lang w:val="en-GB"/>
        </w:rPr>
        <w:t>people</w:t>
      </w:r>
      <w:r w:rsidR="00F23A85" w:rsidRPr="00F23A85">
        <w:rPr>
          <w:lang w:val="en-GB"/>
        </w:rPr>
        <w:t xml:space="preserve"> and</w:t>
      </w:r>
      <w:r w:rsidR="00F23A85">
        <w:rPr>
          <w:lang w:val="en-GB"/>
        </w:rPr>
        <w:t xml:space="preserve"> </w:t>
      </w:r>
      <w:r w:rsidR="006C01E6">
        <w:rPr>
          <w:lang w:val="en-GB"/>
        </w:rPr>
        <w:t xml:space="preserve">the </w:t>
      </w:r>
      <w:r w:rsidR="00F23A85" w:rsidRPr="00F23A85">
        <w:rPr>
          <w:lang w:val="en-GB"/>
        </w:rPr>
        <w:t>environment. Moreover</w:t>
      </w:r>
      <w:r w:rsidR="00214B45">
        <w:rPr>
          <w:lang w:val="en-GB"/>
        </w:rPr>
        <w:t xml:space="preserve">, </w:t>
      </w:r>
      <w:r w:rsidR="00F23A85" w:rsidRPr="00F23A85">
        <w:rPr>
          <w:lang w:val="en-GB"/>
        </w:rPr>
        <w:t>intentional attacks have</w:t>
      </w:r>
      <w:r w:rsidR="0031438A">
        <w:rPr>
          <w:lang w:val="en-GB"/>
        </w:rPr>
        <w:t xml:space="preserve"> a</w:t>
      </w:r>
      <w:r w:rsidR="00F23A85" w:rsidRPr="00F23A85">
        <w:rPr>
          <w:lang w:val="en-GB"/>
        </w:rPr>
        <w:t xml:space="preserve"> </w:t>
      </w:r>
      <w:r w:rsidR="0031438A" w:rsidRPr="00F23A85">
        <w:rPr>
          <w:lang w:val="en-GB"/>
        </w:rPr>
        <w:t xml:space="preserve">dynamic </w:t>
      </w:r>
      <w:r w:rsidR="00F23A85" w:rsidRPr="00F23A85">
        <w:rPr>
          <w:lang w:val="en-GB"/>
        </w:rPr>
        <w:t xml:space="preserve">escalation that </w:t>
      </w:r>
      <w:r w:rsidR="0031438A">
        <w:rPr>
          <w:lang w:val="en-GB"/>
        </w:rPr>
        <w:t>is</w:t>
      </w:r>
      <w:r w:rsidR="00F23A85" w:rsidRPr="00F23A85">
        <w:rPr>
          <w:lang w:val="en-GB"/>
        </w:rPr>
        <w:t xml:space="preserve"> not well depicted by conventional analyses, which are instead static. This works</w:t>
      </w:r>
      <w:r w:rsidR="003C4B97">
        <w:rPr>
          <w:lang w:val="en-GB"/>
        </w:rPr>
        <w:t xml:space="preserve"> </w:t>
      </w:r>
      <w:r w:rsidR="00F23A85" w:rsidRPr="00F23A85">
        <w:rPr>
          <w:lang w:val="en-GB"/>
        </w:rPr>
        <w:t xml:space="preserve">focuses on the development of a </w:t>
      </w:r>
      <w:r w:rsidR="00E4357C">
        <w:rPr>
          <w:lang w:val="en-GB"/>
        </w:rPr>
        <w:t xml:space="preserve">comprehensive </w:t>
      </w:r>
      <w:r w:rsidR="00F23A85" w:rsidRPr="00F23A85">
        <w:rPr>
          <w:lang w:val="en-GB"/>
        </w:rPr>
        <w:t>tool for I</w:t>
      </w:r>
      <w:r w:rsidR="003C4B97">
        <w:rPr>
          <w:lang w:val="en-GB"/>
        </w:rPr>
        <w:t xml:space="preserve">ntegrated </w:t>
      </w:r>
      <w:r w:rsidR="00F23A85" w:rsidRPr="00F23A85">
        <w:rPr>
          <w:lang w:val="en-GB"/>
        </w:rPr>
        <w:t>S</w:t>
      </w:r>
      <w:r w:rsidR="003C4B97">
        <w:rPr>
          <w:lang w:val="en-GB"/>
        </w:rPr>
        <w:t>afety-Security</w:t>
      </w:r>
      <w:r w:rsidR="007B327F">
        <w:rPr>
          <w:lang w:val="en-GB"/>
        </w:rPr>
        <w:t xml:space="preserve"> </w:t>
      </w:r>
      <w:r w:rsidR="00F23A85" w:rsidRPr="00F23A85">
        <w:rPr>
          <w:lang w:val="en-GB"/>
        </w:rPr>
        <w:t>risk assessment and related domino effects</w:t>
      </w:r>
      <w:r w:rsidR="003C4B97">
        <w:rPr>
          <w:lang w:val="en-GB"/>
        </w:rPr>
        <w:t xml:space="preserve"> based on a</w:t>
      </w:r>
      <w:r w:rsidR="00D11552">
        <w:rPr>
          <w:lang w:val="en-GB"/>
        </w:rPr>
        <w:t xml:space="preserve"> three-dimensional</w:t>
      </w:r>
      <w:r w:rsidR="003C4B97">
        <w:rPr>
          <w:lang w:val="en-GB"/>
        </w:rPr>
        <w:t xml:space="preserve"> </w:t>
      </w:r>
      <w:r w:rsidR="00D11552">
        <w:rPr>
          <w:lang w:val="en-GB"/>
        </w:rPr>
        <w:t>(</w:t>
      </w:r>
      <w:r w:rsidR="00B2386B">
        <w:rPr>
          <w:lang w:val="en-GB"/>
        </w:rPr>
        <w:t>3D</w:t>
      </w:r>
      <w:r w:rsidR="00D11552">
        <w:rPr>
          <w:lang w:val="en-GB"/>
        </w:rPr>
        <w:t>)</w:t>
      </w:r>
      <w:r w:rsidR="00B2386B">
        <w:rPr>
          <w:lang w:val="en-GB"/>
        </w:rPr>
        <w:t xml:space="preserve"> </w:t>
      </w:r>
      <w:r w:rsidR="003C4B97">
        <w:rPr>
          <w:lang w:val="en-GB"/>
        </w:rPr>
        <w:t>real-time approach</w:t>
      </w:r>
      <w:r w:rsidR="00E4357C" w:rsidRPr="00F23A85">
        <w:rPr>
          <w:lang w:val="en-GB"/>
        </w:rPr>
        <w:t xml:space="preserve">. </w:t>
      </w:r>
      <w:r w:rsidR="00F23A85" w:rsidRPr="00F23A85">
        <w:rPr>
          <w:lang w:val="en-GB"/>
        </w:rPr>
        <w:t xml:space="preserve">Firstly, the plant is inspected </w:t>
      </w:r>
      <w:r w:rsidR="00B2386B">
        <w:rPr>
          <w:lang w:val="en-GB"/>
        </w:rPr>
        <w:t>using a</w:t>
      </w:r>
      <w:r w:rsidR="000210DB">
        <w:rPr>
          <w:lang w:val="en-GB"/>
        </w:rPr>
        <w:t xml:space="preserve"> drone</w:t>
      </w:r>
      <w:r w:rsidR="00F23A85" w:rsidRPr="00F23A85">
        <w:rPr>
          <w:lang w:val="en-GB"/>
        </w:rPr>
        <w:t xml:space="preserve"> to generate the graphic interface</w:t>
      </w:r>
      <w:r w:rsidR="00F23A85">
        <w:rPr>
          <w:lang w:val="en-GB"/>
        </w:rPr>
        <w:t xml:space="preserve"> </w:t>
      </w:r>
      <w:r w:rsidR="00F23A85" w:rsidRPr="00F23A85">
        <w:rPr>
          <w:lang w:val="en-GB"/>
        </w:rPr>
        <w:t xml:space="preserve">of the tool, which is </w:t>
      </w:r>
      <w:r w:rsidR="00B24834">
        <w:rPr>
          <w:lang w:val="en-GB"/>
        </w:rPr>
        <w:t>the</w:t>
      </w:r>
      <w:r w:rsidR="00F23A85" w:rsidRPr="00F23A85">
        <w:rPr>
          <w:lang w:val="en-GB"/>
        </w:rPr>
        <w:t xml:space="preserve"> 3D reconstruction o</w:t>
      </w:r>
      <w:r w:rsidR="00B24834">
        <w:rPr>
          <w:lang w:val="en-GB"/>
        </w:rPr>
        <w:t>f</w:t>
      </w:r>
      <w:r w:rsidR="00F23A85" w:rsidRPr="00F23A85">
        <w:rPr>
          <w:lang w:val="en-GB"/>
        </w:rPr>
        <w:t xml:space="preserve"> the plant. Real-time data are associated with each mapped</w:t>
      </w:r>
      <w:r w:rsidR="00F23A85">
        <w:rPr>
          <w:lang w:val="en-GB"/>
        </w:rPr>
        <w:t xml:space="preserve"> </w:t>
      </w:r>
      <w:r w:rsidR="00F23A85" w:rsidRPr="00F23A85">
        <w:rPr>
          <w:lang w:val="en-GB"/>
        </w:rPr>
        <w:t>element, e.g., pressure/temperature conditions. The tool allow</w:t>
      </w:r>
      <w:r w:rsidR="000D6F7E">
        <w:rPr>
          <w:lang w:val="en-GB"/>
        </w:rPr>
        <w:t>s</w:t>
      </w:r>
      <w:r w:rsidR="00F23A85" w:rsidRPr="00F23A85">
        <w:rPr>
          <w:lang w:val="en-GB"/>
        </w:rPr>
        <w:t xml:space="preserve"> for the</w:t>
      </w:r>
      <w:r w:rsidR="00F23A85">
        <w:rPr>
          <w:lang w:val="en-GB"/>
        </w:rPr>
        <w:t xml:space="preserve"> </w:t>
      </w:r>
      <w:r w:rsidR="00F23A85" w:rsidRPr="00F23A85">
        <w:rPr>
          <w:lang w:val="en-GB"/>
        </w:rPr>
        <w:t>evaluation of probabilities and 3D consequences of accidents given real time and/or user input data. Potential</w:t>
      </w:r>
      <w:r w:rsidR="0070517A">
        <w:rPr>
          <w:lang w:val="en-GB"/>
        </w:rPr>
        <w:t xml:space="preserve"> </w:t>
      </w:r>
      <w:r w:rsidR="00F23A85" w:rsidRPr="00F23A85">
        <w:rPr>
          <w:lang w:val="en-GB"/>
        </w:rPr>
        <w:t xml:space="preserve">domino effects of </w:t>
      </w:r>
      <w:r w:rsidR="00CF155E">
        <w:rPr>
          <w:lang w:val="en-GB"/>
        </w:rPr>
        <w:t>integrated safety-security scenarios</w:t>
      </w:r>
      <w:r w:rsidR="00F23A85" w:rsidRPr="00F23A85">
        <w:rPr>
          <w:lang w:val="en-GB"/>
        </w:rPr>
        <w:t xml:space="preserve"> </w:t>
      </w:r>
      <w:r w:rsidR="00B24834">
        <w:rPr>
          <w:lang w:val="en-GB"/>
        </w:rPr>
        <w:t>will also be</w:t>
      </w:r>
      <w:r w:rsidR="00F23A85" w:rsidRPr="00F23A85">
        <w:rPr>
          <w:lang w:val="en-GB"/>
        </w:rPr>
        <w:t xml:space="preserve"> included in the tool, allowing for the mapping of </w:t>
      </w:r>
      <w:r w:rsidR="00346362">
        <w:rPr>
          <w:lang w:val="en-GB"/>
        </w:rPr>
        <w:t>plant</w:t>
      </w:r>
      <w:r w:rsidR="00CF155E">
        <w:rPr>
          <w:lang w:val="en-GB"/>
        </w:rPr>
        <w:t xml:space="preserve"> vulnerability</w:t>
      </w:r>
      <w:r w:rsidR="00450662">
        <w:rPr>
          <w:lang w:val="en-GB"/>
        </w:rPr>
        <w:t xml:space="preserve">, </w:t>
      </w:r>
      <w:r w:rsidR="00F23A85" w:rsidRPr="00F23A85">
        <w:rPr>
          <w:lang w:val="en-GB"/>
        </w:rPr>
        <w:t>risk</w:t>
      </w:r>
      <w:r w:rsidR="00450662">
        <w:rPr>
          <w:lang w:val="en-GB"/>
        </w:rPr>
        <w:t xml:space="preserve"> and supporting the </w:t>
      </w:r>
      <w:r w:rsidR="00346362">
        <w:rPr>
          <w:lang w:val="en-GB"/>
        </w:rPr>
        <w:t xml:space="preserve">evaluation of weaknesses and need of additional </w:t>
      </w:r>
      <w:r w:rsidR="00450662">
        <w:rPr>
          <w:lang w:val="en-GB"/>
        </w:rPr>
        <w:t xml:space="preserve">countermeasures. </w:t>
      </w:r>
      <w:r w:rsidR="00F23A85" w:rsidRPr="00F23A85">
        <w:rPr>
          <w:lang w:val="en-GB"/>
        </w:rPr>
        <w:t xml:space="preserve">In order to provide a sample application, a simplified version of the tool was used </w:t>
      </w:r>
      <w:r w:rsidR="0030451E">
        <w:rPr>
          <w:lang w:val="en-GB"/>
        </w:rPr>
        <w:t xml:space="preserve">on </w:t>
      </w:r>
      <w:r w:rsidR="00F23A85" w:rsidRPr="00F23A85">
        <w:rPr>
          <w:lang w:val="en-GB"/>
        </w:rPr>
        <w:t>a case study.</w:t>
      </w:r>
      <w:bookmarkStart w:id="0" w:name="_Hlk495475023"/>
    </w:p>
    <w:bookmarkEnd w:id="0"/>
    <w:p w14:paraId="476B2F2E" w14:textId="46121239" w:rsidR="00600535" w:rsidRPr="00B57B36" w:rsidRDefault="00600535" w:rsidP="00600535">
      <w:pPr>
        <w:pStyle w:val="CETHeading1"/>
        <w:rPr>
          <w:lang w:val="en-GB"/>
        </w:rPr>
      </w:pPr>
      <w:r w:rsidRPr="00B57B36">
        <w:rPr>
          <w:lang w:val="en-GB"/>
        </w:rPr>
        <w:t>Introduction</w:t>
      </w:r>
    </w:p>
    <w:p w14:paraId="3CC4EEA7" w14:textId="19402FED" w:rsidR="00385D67" w:rsidRDefault="000117DA" w:rsidP="00DB74B3">
      <w:pPr>
        <w:pStyle w:val="CETBodytext"/>
      </w:pPr>
      <w:r>
        <w:rPr>
          <w:lang w:val="en-GB"/>
        </w:rPr>
        <w:t>Following</w:t>
      </w:r>
      <w:r w:rsidR="002C77CE">
        <w:t xml:space="preserve"> the events of 09/11, </w:t>
      </w:r>
      <w:r w:rsidR="00A7710E">
        <w:t>protecting</w:t>
      </w:r>
      <w:r w:rsidR="006B488A">
        <w:t xml:space="preserve"> </w:t>
      </w:r>
      <w:r w:rsidR="00B33FF3">
        <w:t>p</w:t>
      </w:r>
      <w:r w:rsidR="009264F2">
        <w:t xml:space="preserve">rocess facilities storing or processing high amounts of hazardous substances </w:t>
      </w:r>
      <w:r w:rsidR="00B33FF3">
        <w:t>from</w:t>
      </w:r>
      <w:r w:rsidR="009264F2">
        <w:t xml:space="preserve"> </w:t>
      </w:r>
      <w:r w:rsidR="00A7710E">
        <w:t>malicious</w:t>
      </w:r>
      <w:r w:rsidR="009264F2">
        <w:t xml:space="preserve"> acts of interference</w:t>
      </w:r>
      <w:r w:rsidR="00B33FF3">
        <w:t xml:space="preserve"> became</w:t>
      </w:r>
      <w:r w:rsidR="00515636">
        <w:t xml:space="preserve"> </w:t>
      </w:r>
      <w:r w:rsidR="0020668F">
        <w:t xml:space="preserve">a concern </w:t>
      </w:r>
      <w:r w:rsidR="00515636">
        <w:t xml:space="preserve">for </w:t>
      </w:r>
      <w:r w:rsidR="008E4184">
        <w:t>both industry and institutions</w:t>
      </w:r>
      <w:r w:rsidR="00B33FF3">
        <w:t xml:space="preserve"> </w:t>
      </w:r>
      <w:r w:rsidR="00784E8E" w:rsidRPr="008F2BE8">
        <w:rPr>
          <w:szCs w:val="18"/>
        </w:rPr>
        <w:t>(</w:t>
      </w:r>
      <w:r w:rsidR="008E4184" w:rsidRPr="008F2BE8">
        <w:rPr>
          <w:szCs w:val="18"/>
        </w:rPr>
        <w:t>Baybutt and Re</w:t>
      </w:r>
      <w:r w:rsidR="002E5089" w:rsidRPr="008F2BE8">
        <w:rPr>
          <w:szCs w:val="18"/>
        </w:rPr>
        <w:t>a</w:t>
      </w:r>
      <w:r w:rsidR="008E4184" w:rsidRPr="008F2BE8">
        <w:rPr>
          <w:szCs w:val="18"/>
        </w:rPr>
        <w:t>dy, 2003</w:t>
      </w:r>
      <w:r w:rsidR="00784E8E" w:rsidRPr="008F2BE8">
        <w:rPr>
          <w:szCs w:val="18"/>
        </w:rPr>
        <w:t>)</w:t>
      </w:r>
      <w:r w:rsidR="009264F2">
        <w:t>.</w:t>
      </w:r>
      <w:r w:rsidR="00663889">
        <w:t xml:space="preserve"> </w:t>
      </w:r>
      <w:r w:rsidR="00874E09">
        <w:t>A s</w:t>
      </w:r>
      <w:r w:rsidR="00590E0F">
        <w:t>uccessful intentional attack</w:t>
      </w:r>
      <w:r w:rsidR="008D1735">
        <w:t xml:space="preserve"> </w:t>
      </w:r>
      <w:r w:rsidR="00874E09">
        <w:t>might generate the so-called</w:t>
      </w:r>
      <w:r w:rsidR="008D1735">
        <w:t xml:space="preserve"> domino effect</w:t>
      </w:r>
      <w:r w:rsidR="00583610">
        <w:t>s</w:t>
      </w:r>
      <w:r w:rsidR="008D1735">
        <w:t xml:space="preserve">, i.e., </w:t>
      </w:r>
      <w:r w:rsidR="003A4EA3">
        <w:t>the propagation of the accident among multiple equipment and assets</w:t>
      </w:r>
      <w:r w:rsidR="005612AE">
        <w:t xml:space="preserve"> </w:t>
      </w:r>
      <w:r w:rsidR="005612AE" w:rsidRPr="009413F1">
        <w:t>(</w:t>
      </w:r>
      <w:r w:rsidR="00D36090" w:rsidRPr="009413F1">
        <w:t>Landucci et al., 2013</w:t>
      </w:r>
      <w:r w:rsidR="005612AE" w:rsidRPr="009413F1">
        <w:t>)</w:t>
      </w:r>
      <w:r w:rsidR="008D1735" w:rsidRPr="009413F1">
        <w:t>.</w:t>
      </w:r>
      <w:r w:rsidR="00670078">
        <w:t xml:space="preserve"> </w:t>
      </w:r>
      <w:r w:rsidR="0086364B">
        <w:t xml:space="preserve">Security science applied to </w:t>
      </w:r>
      <w:r w:rsidR="00DC308D">
        <w:t xml:space="preserve">the protection of </w:t>
      </w:r>
      <w:r w:rsidR="0086364B">
        <w:t xml:space="preserve">chemical installations </w:t>
      </w:r>
      <w:r w:rsidR="005F4160">
        <w:t>examines</w:t>
      </w:r>
      <w:r w:rsidR="0086364B">
        <w:t xml:space="preserve"> the modes and</w:t>
      </w:r>
      <w:r w:rsidR="008D1735">
        <w:t xml:space="preserve"> </w:t>
      </w:r>
      <w:r w:rsidR="00E423D7">
        <w:t xml:space="preserve">effects of intentional attacks. </w:t>
      </w:r>
      <w:r w:rsidR="00C127A5">
        <w:t>Se</w:t>
      </w:r>
      <w:r w:rsidR="00AC3066">
        <w:t>curity</w:t>
      </w:r>
      <w:r w:rsidR="00EE53EC">
        <w:t xml:space="preserve"> assessment </w:t>
      </w:r>
      <w:r w:rsidR="00A86C4E">
        <w:t xml:space="preserve">is </w:t>
      </w:r>
      <w:r w:rsidR="00242049">
        <w:t>regulated</w:t>
      </w:r>
      <w:r w:rsidR="00A86C4E">
        <w:t xml:space="preserve"> </w:t>
      </w:r>
      <w:r w:rsidR="00680F03">
        <w:t xml:space="preserve">in </w:t>
      </w:r>
      <w:r w:rsidR="007C5616">
        <w:t>Europe only for critical infrastructures or international port facilities</w:t>
      </w:r>
      <w:r w:rsidR="00863EAD">
        <w:t xml:space="preserve">; </w:t>
      </w:r>
      <w:r w:rsidR="007C5616">
        <w:t>intentional attacks are</w:t>
      </w:r>
      <w:r w:rsidR="00863EAD">
        <w:t xml:space="preserve"> in fact</w:t>
      </w:r>
      <w:r w:rsidR="007C5616">
        <w:t xml:space="preserve"> not </w:t>
      </w:r>
      <w:r w:rsidR="00C66EB7">
        <w:t xml:space="preserve">explicitly </w:t>
      </w:r>
      <w:r w:rsidR="00863EAD">
        <w:t>contemplated</w:t>
      </w:r>
      <w:r w:rsidR="007C5616">
        <w:t xml:space="preserve"> in </w:t>
      </w:r>
      <w:r w:rsidR="00680F03">
        <w:t xml:space="preserve">the European </w:t>
      </w:r>
      <w:r w:rsidR="00923BA1">
        <w:t>Seveso</w:t>
      </w:r>
      <w:r w:rsidR="0040524E">
        <w:t>-III</w:t>
      </w:r>
      <w:r w:rsidR="00923BA1">
        <w:t xml:space="preserve"> </w:t>
      </w:r>
      <w:r w:rsidR="00CB5CA6">
        <w:t>D</w:t>
      </w:r>
      <w:r w:rsidR="00680F03">
        <w:t xml:space="preserve">irective </w:t>
      </w:r>
      <w:r w:rsidR="00CB5CA6" w:rsidRPr="00CB5CA6">
        <w:t>2012/18/EU</w:t>
      </w:r>
      <w:r w:rsidR="00680F03">
        <w:t xml:space="preserve"> </w:t>
      </w:r>
      <w:r w:rsidR="00127D82">
        <w:t>on the control of major-accidents hazards involving dangerous substan</w:t>
      </w:r>
      <w:r w:rsidR="007C5616">
        <w:t>c</w:t>
      </w:r>
      <w:r w:rsidR="00127D82">
        <w:t>es</w:t>
      </w:r>
      <w:r w:rsidR="007825F4">
        <w:t xml:space="preserve"> in </w:t>
      </w:r>
      <w:r w:rsidR="00E876DE">
        <w:t xml:space="preserve">fixed </w:t>
      </w:r>
      <w:r w:rsidR="007825F4">
        <w:t>process facilities</w:t>
      </w:r>
      <w:r w:rsidR="00127D82">
        <w:t xml:space="preserve">. </w:t>
      </w:r>
      <w:r w:rsidR="00DC0C03">
        <w:t>Still</w:t>
      </w:r>
      <w:r w:rsidR="00955F2A">
        <w:t>, security science</w:t>
      </w:r>
      <w:r w:rsidR="00E423D7">
        <w:t xml:space="preserve"> is </w:t>
      </w:r>
      <w:r w:rsidR="005F78F3">
        <w:t>not un</w:t>
      </w:r>
      <w:r w:rsidR="006C2875">
        <w:t>related</w:t>
      </w:r>
      <w:r w:rsidR="00E423D7">
        <w:t xml:space="preserve"> to </w:t>
      </w:r>
      <w:r w:rsidR="00AA0683">
        <w:t xml:space="preserve">operational </w:t>
      </w:r>
      <w:r w:rsidR="00E423D7">
        <w:t>safety</w:t>
      </w:r>
      <w:r w:rsidR="00955F2A">
        <w:t xml:space="preserve">, </w:t>
      </w:r>
      <w:r w:rsidR="00E423D7">
        <w:t xml:space="preserve">which focuses </w:t>
      </w:r>
      <w:r w:rsidR="00086E6B">
        <w:t>on uninte</w:t>
      </w:r>
      <w:r w:rsidR="009E62F8">
        <w:t xml:space="preserve">ntional </w:t>
      </w:r>
      <w:r w:rsidR="003A4EA3">
        <w:t>events</w:t>
      </w:r>
      <w:r w:rsidR="008B0B1C">
        <w:t xml:space="preserve">. Indeed, </w:t>
      </w:r>
      <w:r w:rsidR="0088596A">
        <w:t xml:space="preserve">these two disciplines are linked by </w:t>
      </w:r>
      <w:r w:rsidR="008B0B1C">
        <w:t>the presence of domino effects and</w:t>
      </w:r>
      <w:r w:rsidR="0088596A">
        <w:t xml:space="preserve"> by</w:t>
      </w:r>
      <w:r w:rsidR="008B0B1C">
        <w:t xml:space="preserve"> the intervention of safety barriers in security scenarios</w:t>
      </w:r>
      <w:r w:rsidR="0088596A">
        <w:t>.</w:t>
      </w:r>
    </w:p>
    <w:p w14:paraId="5436D977" w14:textId="3C979DA4" w:rsidR="00453E24" w:rsidRDefault="005F78F3" w:rsidP="007B5EF4">
      <w:pPr>
        <w:pStyle w:val="CETBodytext"/>
        <w:rPr>
          <w:szCs w:val="18"/>
        </w:rPr>
      </w:pPr>
      <w:r>
        <w:t>Nevertheless</w:t>
      </w:r>
      <w:r w:rsidR="009D71CF">
        <w:t>, t</w:t>
      </w:r>
      <w:r w:rsidR="003F4ED1">
        <w:t>he tools</w:t>
      </w:r>
      <w:r w:rsidR="009D71CF">
        <w:t xml:space="preserve"> </w:t>
      </w:r>
      <w:r w:rsidR="003F4ED1">
        <w:t>currently available</w:t>
      </w:r>
      <w:r>
        <w:t xml:space="preserve"> for industrial </w:t>
      </w:r>
      <w:r w:rsidR="00CA6565">
        <w:t>application</w:t>
      </w:r>
      <w:r w:rsidR="003F4ED1">
        <w:t xml:space="preserve"> may not be adequate to cope with the challenge of managing safety and security concerns in a coordinated manner, as quantitative comprehensive approaches are still lacking.</w:t>
      </w:r>
      <w:r w:rsidR="0013451D">
        <w:t xml:space="preserve"> </w:t>
      </w:r>
      <w:r w:rsidR="008B0B1C">
        <w:t xml:space="preserve">Therefore, </w:t>
      </w:r>
      <w:r w:rsidR="00661223">
        <w:t xml:space="preserve">the development of </w:t>
      </w:r>
      <w:r w:rsidR="008B0B1C">
        <w:t>Integrated Safety-Security (ISS) approaches</w:t>
      </w:r>
      <w:r w:rsidR="007C5222">
        <w:t xml:space="preserve"> </w:t>
      </w:r>
      <w:r w:rsidR="009D71CF">
        <w:t>is necessary to reduce the vulnerability of people and the environment to these threats</w:t>
      </w:r>
      <w:r w:rsidR="004C5771">
        <w:t>.</w:t>
      </w:r>
      <w:r w:rsidR="00FA6D7A">
        <w:t xml:space="preserve"> </w:t>
      </w:r>
      <w:r w:rsidR="004E5174">
        <w:t xml:space="preserve">Given the dynamic nature of domino effect accidents </w:t>
      </w:r>
      <w:r w:rsidR="009939F9">
        <w:t>and</w:t>
      </w:r>
      <w:r w:rsidR="009E3402">
        <w:t xml:space="preserve"> the </w:t>
      </w:r>
      <w:r w:rsidR="00CE20FB">
        <w:t>different kind</w:t>
      </w:r>
      <w:r w:rsidR="009E3402">
        <w:t xml:space="preserve"> of escalation of security events</w:t>
      </w:r>
      <w:r w:rsidR="009939F9">
        <w:t xml:space="preserve">, ISS approaches </w:t>
      </w:r>
      <w:r w:rsidR="00677F72">
        <w:t xml:space="preserve">may </w:t>
      </w:r>
      <w:r w:rsidR="009939F9">
        <w:t>benefit from</w:t>
      </w:r>
      <w:r w:rsidR="00B82166">
        <w:t xml:space="preserve"> dynamic</w:t>
      </w:r>
      <w:r w:rsidR="009939F9">
        <w:t xml:space="preserve"> real-time approaches</w:t>
      </w:r>
      <w:r w:rsidR="00331C9D">
        <w:t xml:space="preserve"> </w:t>
      </w:r>
      <w:r w:rsidR="00331C9D" w:rsidRPr="00F8241D">
        <w:t>(Marroni et al., 2022)</w:t>
      </w:r>
      <w:r w:rsidR="00784E8E">
        <w:t xml:space="preserve">, which can capture the </w:t>
      </w:r>
      <w:r w:rsidR="0037747F">
        <w:t xml:space="preserve">detailed </w:t>
      </w:r>
      <w:r w:rsidR="00F34663">
        <w:t xml:space="preserve">transient </w:t>
      </w:r>
      <w:r w:rsidR="0037747F">
        <w:t xml:space="preserve">evolution of the scenario and </w:t>
      </w:r>
      <w:r w:rsidR="00F34663">
        <w:t>its three-dimensional (3D) features</w:t>
      </w:r>
      <w:r w:rsidR="00B82166">
        <w:t xml:space="preserve">. </w:t>
      </w:r>
      <w:r w:rsidR="009B2359">
        <w:t xml:space="preserve">Dynamic and </w:t>
      </w:r>
      <w:r w:rsidR="00F34663">
        <w:t>3D</w:t>
      </w:r>
      <w:r w:rsidR="009B2359">
        <w:t xml:space="preserve"> approaches are also beneficial for the </w:t>
      </w:r>
      <w:r w:rsidR="009B2359">
        <w:lastRenderedPageBreak/>
        <w:t xml:space="preserve">management of emergency in case of </w:t>
      </w:r>
      <w:r w:rsidR="00830925">
        <w:t>a loss of containment</w:t>
      </w:r>
      <w:r w:rsidR="00E33ED5">
        <w:t>, since a quick-running</w:t>
      </w:r>
      <w:r w:rsidR="00F90802">
        <w:t>,</w:t>
      </w:r>
      <w:r w:rsidR="00E33ED5">
        <w:t xml:space="preserve"> real-time tool </w:t>
      </w:r>
      <w:r w:rsidR="00830925">
        <w:t xml:space="preserve">can </w:t>
      </w:r>
      <w:r w:rsidR="00F90802">
        <w:t>help</w:t>
      </w:r>
      <w:r w:rsidR="00E33ED5">
        <w:t xml:space="preserve"> emergency squads</w:t>
      </w:r>
      <w:r w:rsidR="00BA7C75">
        <w:t xml:space="preserve"> in</w:t>
      </w:r>
      <w:r w:rsidR="00F90802">
        <w:t xml:space="preserve"> quickly</w:t>
      </w:r>
      <w:r w:rsidR="00BA7C75">
        <w:t xml:space="preserve"> detecting</w:t>
      </w:r>
      <w:r w:rsidR="00F90802">
        <w:t xml:space="preserve"> </w:t>
      </w:r>
      <w:r w:rsidR="00BA7C75">
        <w:t>high-risk zones</w:t>
      </w:r>
      <w:r w:rsidR="00F90802">
        <w:t xml:space="preserve"> to secure</w:t>
      </w:r>
      <w:r w:rsidR="00BA7C75">
        <w:t xml:space="preserve">. </w:t>
      </w:r>
    </w:p>
    <w:p w14:paraId="42AA17F9" w14:textId="3996774E" w:rsidR="003A3295" w:rsidRPr="00D57DD7" w:rsidRDefault="00AE7707" w:rsidP="0052431A">
      <w:pPr>
        <w:pStyle w:val="CETBodytext"/>
        <w:rPr>
          <w:szCs w:val="18"/>
        </w:rPr>
      </w:pPr>
      <w:r>
        <w:rPr>
          <w:szCs w:val="18"/>
        </w:rPr>
        <w:t>T</w:t>
      </w:r>
      <w:r w:rsidR="004D7132">
        <w:rPr>
          <w:szCs w:val="18"/>
        </w:rPr>
        <w:t xml:space="preserve">his work focuses on the development of a tool </w:t>
      </w:r>
      <w:r w:rsidR="00D82609">
        <w:rPr>
          <w:szCs w:val="18"/>
        </w:rPr>
        <w:t xml:space="preserve">for </w:t>
      </w:r>
      <w:r w:rsidR="004D7132">
        <w:rPr>
          <w:szCs w:val="18"/>
        </w:rPr>
        <w:t xml:space="preserve">ISS risk assessment and related domino effects. </w:t>
      </w:r>
      <w:r w:rsidR="00DA2B54">
        <w:rPr>
          <w:szCs w:val="18"/>
        </w:rPr>
        <w:t xml:space="preserve">The graphical interface of the tool is the 3D reconstruction of the </w:t>
      </w:r>
      <w:r w:rsidR="00A07998">
        <w:rPr>
          <w:szCs w:val="18"/>
        </w:rPr>
        <w:t>plant, in which critical equipment</w:t>
      </w:r>
      <w:r w:rsidR="00BC2913">
        <w:rPr>
          <w:szCs w:val="18"/>
        </w:rPr>
        <w:t>, safety and security barriers</w:t>
      </w:r>
      <w:r w:rsidR="00A07998">
        <w:rPr>
          <w:szCs w:val="18"/>
        </w:rPr>
        <w:t xml:space="preserve"> are mapped</w:t>
      </w:r>
      <w:r w:rsidR="003A3295">
        <w:rPr>
          <w:szCs w:val="18"/>
        </w:rPr>
        <w:t>.</w:t>
      </w:r>
      <w:r w:rsidR="0052431A">
        <w:rPr>
          <w:szCs w:val="18"/>
        </w:rPr>
        <w:t xml:space="preserve"> </w:t>
      </w:r>
      <w:r w:rsidR="003A3295">
        <w:rPr>
          <w:szCs w:val="18"/>
        </w:rPr>
        <w:t>Real-time input data are associated with each equipment</w:t>
      </w:r>
      <w:r w:rsidR="002D1CD2">
        <w:rPr>
          <w:szCs w:val="18"/>
        </w:rPr>
        <w:t xml:space="preserve">. The tool </w:t>
      </w:r>
      <w:r w:rsidR="00122B79">
        <w:rPr>
          <w:szCs w:val="18"/>
        </w:rPr>
        <w:t>evaluates</w:t>
      </w:r>
      <w:r w:rsidR="00C41764">
        <w:rPr>
          <w:szCs w:val="18"/>
        </w:rPr>
        <w:t xml:space="preserve"> frequencies</w:t>
      </w:r>
      <w:r w:rsidR="00083934">
        <w:rPr>
          <w:szCs w:val="18"/>
        </w:rPr>
        <w:t>,</w:t>
      </w:r>
      <w:r w:rsidR="00C41764">
        <w:rPr>
          <w:szCs w:val="18"/>
        </w:rPr>
        <w:t xml:space="preserve"> 3D consequences </w:t>
      </w:r>
      <w:r w:rsidR="00122B79">
        <w:rPr>
          <w:szCs w:val="18"/>
        </w:rPr>
        <w:t xml:space="preserve">and </w:t>
      </w:r>
      <w:r w:rsidR="00083934">
        <w:rPr>
          <w:szCs w:val="18"/>
        </w:rPr>
        <w:t xml:space="preserve">risk of </w:t>
      </w:r>
      <w:r w:rsidR="00C41764">
        <w:rPr>
          <w:szCs w:val="18"/>
        </w:rPr>
        <w:t xml:space="preserve">accidents </w:t>
      </w:r>
      <w:r w:rsidR="00BA14C3">
        <w:rPr>
          <w:szCs w:val="18"/>
        </w:rPr>
        <w:t xml:space="preserve">by </w:t>
      </w:r>
      <w:r w:rsidR="00C41764">
        <w:rPr>
          <w:szCs w:val="18"/>
        </w:rPr>
        <w:t xml:space="preserve">relying either on real-time data or user inputs. </w:t>
      </w:r>
      <w:r w:rsidR="004A0E1A">
        <w:rPr>
          <w:szCs w:val="18"/>
        </w:rPr>
        <w:t xml:space="preserve">Specific procedures are implemented in order to evaluate domino effects associated with ISS scenarios. </w:t>
      </w:r>
      <w:r w:rsidR="00575C8B" w:rsidRPr="00057BD0">
        <w:rPr>
          <w:szCs w:val="18"/>
        </w:rPr>
        <w:t>Additionally, the 3D</w:t>
      </w:r>
      <w:r w:rsidR="00F34663">
        <w:rPr>
          <w:szCs w:val="18"/>
        </w:rPr>
        <w:t xml:space="preserve"> </w:t>
      </w:r>
      <w:r w:rsidR="00057BD0" w:rsidRPr="00057BD0">
        <w:rPr>
          <w:szCs w:val="18"/>
        </w:rPr>
        <w:t xml:space="preserve">interface can serve as a functional tool to organize data and documents for each equipment, </w:t>
      </w:r>
      <w:r w:rsidR="0080699D">
        <w:rPr>
          <w:szCs w:val="18"/>
        </w:rPr>
        <w:t xml:space="preserve">and </w:t>
      </w:r>
      <w:r w:rsidR="00057BD0" w:rsidRPr="00057BD0">
        <w:rPr>
          <w:szCs w:val="18"/>
        </w:rPr>
        <w:t xml:space="preserve">to promote a better </w:t>
      </w:r>
      <w:r w:rsidR="00BA14C3">
        <w:rPr>
          <w:szCs w:val="18"/>
        </w:rPr>
        <w:t xml:space="preserve">and integrated </w:t>
      </w:r>
      <w:r w:rsidR="00057BD0" w:rsidRPr="00057BD0">
        <w:rPr>
          <w:szCs w:val="18"/>
        </w:rPr>
        <w:t>management of information in the plant</w:t>
      </w:r>
      <w:r w:rsidR="00057BD0" w:rsidRPr="00D437C9">
        <w:rPr>
          <w:szCs w:val="18"/>
        </w:rPr>
        <w:t>.</w:t>
      </w:r>
      <w:r w:rsidR="00057BD0">
        <w:rPr>
          <w:szCs w:val="18"/>
        </w:rPr>
        <w:t xml:space="preserve"> </w:t>
      </w:r>
      <w:r w:rsidR="008219B6">
        <w:rPr>
          <w:szCs w:val="18"/>
        </w:rPr>
        <w:t>The preliminary</w:t>
      </w:r>
      <w:r w:rsidR="006C167D">
        <w:rPr>
          <w:szCs w:val="18"/>
        </w:rPr>
        <w:t xml:space="preserve"> version of the tool </w:t>
      </w:r>
      <w:r w:rsidR="00A776B0">
        <w:rPr>
          <w:szCs w:val="18"/>
        </w:rPr>
        <w:t>has been</w:t>
      </w:r>
      <w:r w:rsidR="006C167D">
        <w:rPr>
          <w:szCs w:val="18"/>
        </w:rPr>
        <w:t xml:space="preserve"> used in this work to </w:t>
      </w:r>
      <w:r w:rsidR="002C7B57">
        <w:rPr>
          <w:szCs w:val="18"/>
        </w:rPr>
        <w:t xml:space="preserve">analyze a case study. The results show the benefits of the present approach, as quantitative contributions of safety and security barriers </w:t>
      </w:r>
      <w:r w:rsidR="00CD051E">
        <w:rPr>
          <w:szCs w:val="18"/>
        </w:rPr>
        <w:t>and emergency management are discussed.</w:t>
      </w:r>
      <w:r w:rsidR="00BA7C75">
        <w:rPr>
          <w:szCs w:val="18"/>
        </w:rPr>
        <w:t xml:space="preserve"> </w:t>
      </w:r>
    </w:p>
    <w:p w14:paraId="677EBFF0" w14:textId="4E7C7ED1" w:rsidR="00600535" w:rsidRDefault="008B7BF9" w:rsidP="00600535">
      <w:pPr>
        <w:pStyle w:val="CETHeading1"/>
        <w:tabs>
          <w:tab w:val="clear" w:pos="360"/>
          <w:tab w:val="right" w:pos="7100"/>
        </w:tabs>
        <w:jc w:val="both"/>
        <w:rPr>
          <w:lang w:val="en-GB"/>
        </w:rPr>
      </w:pPr>
      <w:r>
        <w:rPr>
          <w:lang w:val="en-GB"/>
        </w:rPr>
        <w:t>Methodology</w:t>
      </w:r>
    </w:p>
    <w:p w14:paraId="64841C8B" w14:textId="0835EB1A" w:rsidR="004E574D" w:rsidRDefault="004E574D" w:rsidP="004E574D">
      <w:pPr>
        <w:pStyle w:val="CETheadingx"/>
      </w:pPr>
      <w:r>
        <w:t>Overview</w:t>
      </w:r>
    </w:p>
    <w:p w14:paraId="752A4272" w14:textId="3CD7748B" w:rsidR="001819F7" w:rsidRDefault="001819F7" w:rsidP="008A4AA5">
      <w:pPr>
        <w:pStyle w:val="CETBodytext"/>
        <w:spacing w:after="240"/>
        <w:rPr>
          <w:lang w:val="en-GB"/>
        </w:rPr>
      </w:pPr>
      <w:r w:rsidRPr="005C5FF0">
        <w:rPr>
          <w:lang w:val="en-GB"/>
        </w:rPr>
        <w:t>Figure 1</w:t>
      </w:r>
      <w:r>
        <w:rPr>
          <w:lang w:val="en-GB"/>
        </w:rPr>
        <w:t xml:space="preserve"> shows the flowchart of the methodology used in this work to develop the tool for ISS assessment. </w:t>
      </w:r>
      <w:r w:rsidR="006D0543">
        <w:rPr>
          <w:lang w:val="en-GB"/>
        </w:rPr>
        <w:t>Step 1 of the methodology</w:t>
      </w:r>
      <w:r w:rsidR="00C2512A">
        <w:rPr>
          <w:lang w:val="en-GB"/>
        </w:rPr>
        <w:t xml:space="preserve"> consists </w:t>
      </w:r>
      <w:r w:rsidR="00A776B0">
        <w:rPr>
          <w:lang w:val="en-GB"/>
        </w:rPr>
        <w:t>in</w:t>
      </w:r>
      <w:r w:rsidR="00D83C6A">
        <w:rPr>
          <w:lang w:val="en-GB"/>
        </w:rPr>
        <w:t xml:space="preserve"> a</w:t>
      </w:r>
      <w:r w:rsidR="00C2512A">
        <w:rPr>
          <w:lang w:val="en-GB"/>
        </w:rPr>
        <w:t xml:space="preserve"> preliminary analysis of the site. Reference documents</w:t>
      </w:r>
      <w:r w:rsidR="00F84912">
        <w:rPr>
          <w:lang w:val="en-GB"/>
        </w:rPr>
        <w:t xml:space="preserve"> are </w:t>
      </w:r>
      <w:r w:rsidR="003B3167">
        <w:rPr>
          <w:lang w:val="en-GB"/>
        </w:rPr>
        <w:t>analysed</w:t>
      </w:r>
      <w:r w:rsidR="00F84912">
        <w:rPr>
          <w:lang w:val="en-GB"/>
        </w:rPr>
        <w:t>, e.g.,</w:t>
      </w:r>
      <w:r w:rsidR="00C2512A">
        <w:rPr>
          <w:lang w:val="en-GB"/>
        </w:rPr>
        <w:t xml:space="preserve"> process flow diagrams, </w:t>
      </w:r>
      <w:r w:rsidR="00DC624C">
        <w:rPr>
          <w:lang w:val="en-GB"/>
        </w:rPr>
        <w:t xml:space="preserve">equipment </w:t>
      </w:r>
      <w:r w:rsidR="00EC0F44">
        <w:rPr>
          <w:lang w:val="en-GB"/>
        </w:rPr>
        <w:t>datasheets, plant layout, etc</w:t>
      </w:r>
      <w:r w:rsidR="00F84912">
        <w:rPr>
          <w:lang w:val="en-GB"/>
        </w:rPr>
        <w:t xml:space="preserve">. Based on the gathered information, critical equipment </w:t>
      </w:r>
      <w:r w:rsidR="00026703">
        <w:rPr>
          <w:lang w:val="en-GB"/>
        </w:rPr>
        <w:t>is identified through a</w:t>
      </w:r>
      <w:r w:rsidR="00986A17">
        <w:rPr>
          <w:lang w:val="en-GB"/>
        </w:rPr>
        <w:t xml:space="preserve"> </w:t>
      </w:r>
      <w:r w:rsidR="004749A8">
        <w:rPr>
          <w:lang w:val="en-GB"/>
        </w:rPr>
        <w:t>hazard-base</w:t>
      </w:r>
      <w:r w:rsidR="005C5FF0">
        <w:rPr>
          <w:lang w:val="en-GB"/>
        </w:rPr>
        <w:t>d</w:t>
      </w:r>
      <w:r w:rsidR="004749A8">
        <w:rPr>
          <w:lang w:val="en-GB"/>
        </w:rPr>
        <w:t xml:space="preserve"> method</w:t>
      </w:r>
      <w:r w:rsidR="006819C8">
        <w:rPr>
          <w:lang w:val="en-GB"/>
        </w:rPr>
        <w:t xml:space="preserve">, </w:t>
      </w:r>
      <w:r w:rsidR="003C21F3">
        <w:rPr>
          <w:lang w:val="en-GB"/>
        </w:rPr>
        <w:t>which is described in Section 2.2</w:t>
      </w:r>
      <w:r w:rsidR="00986A17">
        <w:rPr>
          <w:lang w:val="en-GB"/>
        </w:rPr>
        <w:t>.</w:t>
      </w:r>
    </w:p>
    <w:p w14:paraId="1A729B42" w14:textId="050D4B94" w:rsidR="002A4500" w:rsidRDefault="002A4500" w:rsidP="00A33B2C">
      <w:pPr>
        <w:pStyle w:val="CETBodytext"/>
        <w:jc w:val="left"/>
        <w:rPr>
          <w:lang w:val="en-GB"/>
        </w:rPr>
      </w:pPr>
      <w:r w:rsidRPr="002A4500">
        <w:rPr>
          <w:noProof/>
        </w:rPr>
        <w:drawing>
          <wp:inline distT="0" distB="0" distL="0" distR="0" wp14:anchorId="12EB4659" wp14:editId="76B4BDEC">
            <wp:extent cx="4646829" cy="18191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828" cy="1921744"/>
                    </a:xfrm>
                    <a:prstGeom prst="rect">
                      <a:avLst/>
                    </a:prstGeom>
                    <a:noFill/>
                    <a:ln>
                      <a:noFill/>
                    </a:ln>
                  </pic:spPr>
                </pic:pic>
              </a:graphicData>
            </a:graphic>
          </wp:inline>
        </w:drawing>
      </w:r>
    </w:p>
    <w:p w14:paraId="5B4C14D4" w14:textId="294C6F50" w:rsidR="00037C3F" w:rsidRDefault="00037C3F" w:rsidP="00037C3F">
      <w:pPr>
        <w:pStyle w:val="CETCaption"/>
      </w:pPr>
      <w:r>
        <w:t>Fig</w:t>
      </w:r>
      <w:r w:rsidR="002D6965">
        <w:t>ure</w:t>
      </w:r>
      <w:r>
        <w:t xml:space="preserve"> 1</w:t>
      </w:r>
      <w:r w:rsidR="002D6965">
        <w:t>: Flowchart of the methodological approach used in this work to develop the tool for ISS assessment.</w:t>
      </w:r>
    </w:p>
    <w:p w14:paraId="0A41783E" w14:textId="54981DAF" w:rsidR="00037C3F" w:rsidRDefault="008A4AA5" w:rsidP="00007E24">
      <w:pPr>
        <w:pStyle w:val="CETBodytext"/>
        <w:rPr>
          <w:lang w:val="en-GB"/>
        </w:rPr>
      </w:pPr>
      <w:r>
        <w:rPr>
          <w:lang w:val="en-GB"/>
        </w:rPr>
        <w:t>Step 2 is composed of two sub-steps</w:t>
      </w:r>
      <w:r w:rsidR="00EC48AC">
        <w:rPr>
          <w:lang w:val="en-GB"/>
        </w:rPr>
        <w:t>:</w:t>
      </w:r>
      <w:r>
        <w:rPr>
          <w:lang w:val="en-GB"/>
        </w:rPr>
        <w:t xml:space="preserve"> Sub-step 2a </w:t>
      </w:r>
      <w:r w:rsidR="004749A8">
        <w:rPr>
          <w:lang w:val="en-GB"/>
        </w:rPr>
        <w:t xml:space="preserve">is the 3D reconstruction of </w:t>
      </w:r>
      <w:r w:rsidR="00EF481B">
        <w:rPr>
          <w:lang w:val="en-GB"/>
        </w:rPr>
        <w:t>the site under analysis</w:t>
      </w:r>
      <w:r w:rsidR="00E024A8">
        <w:rPr>
          <w:lang w:val="en-GB"/>
        </w:rPr>
        <w:t>,</w:t>
      </w:r>
      <w:r w:rsidR="00B81FC1">
        <w:rPr>
          <w:lang w:val="en-GB"/>
        </w:rPr>
        <w:t xml:space="preserve"> which is done through </w:t>
      </w:r>
      <w:r w:rsidR="00EC48AC">
        <w:rPr>
          <w:lang w:val="en-GB"/>
        </w:rPr>
        <w:t>a specific approach detailed</w:t>
      </w:r>
      <w:r w:rsidR="00B81FC1">
        <w:rPr>
          <w:lang w:val="en-GB"/>
        </w:rPr>
        <w:t xml:space="preserve"> in Section 2.3</w:t>
      </w:r>
      <w:r w:rsidR="00EC48AC">
        <w:rPr>
          <w:lang w:val="en-GB"/>
        </w:rPr>
        <w:t xml:space="preserve">; </w:t>
      </w:r>
      <w:r w:rsidR="003C21F3">
        <w:rPr>
          <w:lang w:val="en-GB"/>
        </w:rPr>
        <w:t xml:space="preserve">Sub-step 2b </w:t>
      </w:r>
      <w:r w:rsidR="00926250">
        <w:rPr>
          <w:lang w:val="en-GB"/>
        </w:rPr>
        <w:t xml:space="preserve">is the development of ISS algorithms for </w:t>
      </w:r>
      <w:r w:rsidR="008E5ED7">
        <w:rPr>
          <w:lang w:val="en-GB"/>
        </w:rPr>
        <w:t>risk assessment</w:t>
      </w:r>
      <w:r w:rsidR="00C31142">
        <w:rPr>
          <w:lang w:val="en-GB"/>
        </w:rPr>
        <w:t>, which is described in Section 2.4</w:t>
      </w:r>
      <w:r w:rsidR="008E5ED7">
        <w:rPr>
          <w:lang w:val="en-GB"/>
        </w:rPr>
        <w:t>. Finally, Step 3</w:t>
      </w:r>
      <w:r w:rsidR="00406CAB">
        <w:rPr>
          <w:lang w:val="en-GB"/>
        </w:rPr>
        <w:t xml:space="preserve"> is the visualization of risk </w:t>
      </w:r>
      <w:r w:rsidR="001D4914">
        <w:rPr>
          <w:lang w:val="en-GB"/>
        </w:rPr>
        <w:t xml:space="preserve">or vulnerability </w:t>
      </w:r>
      <w:r w:rsidR="00406CAB">
        <w:rPr>
          <w:lang w:val="en-GB"/>
        </w:rPr>
        <w:t>contours on the 3D reconstruction of the plant.</w:t>
      </w:r>
      <w:r w:rsidR="00007E24">
        <w:rPr>
          <w:lang w:val="en-GB"/>
        </w:rPr>
        <w:t xml:space="preserve"> </w:t>
      </w:r>
      <w:r w:rsidR="006064FA">
        <w:rPr>
          <w:lang w:val="en-GB"/>
        </w:rPr>
        <w:t xml:space="preserve">In this work, vulnerability is intended as the cumulative probability of death </w:t>
      </w:r>
      <w:r w:rsidR="00007E24">
        <w:rPr>
          <w:lang w:val="en-GB"/>
        </w:rPr>
        <w:t>from</w:t>
      </w:r>
      <w:r w:rsidR="006064FA">
        <w:t xml:space="preserve"> all possible final scenario</w:t>
      </w:r>
      <w:r w:rsidR="00237F8D">
        <w:t>s</w:t>
      </w:r>
      <w:r w:rsidR="00007E24">
        <w:t xml:space="preserve">. This includes the primary </w:t>
      </w:r>
      <w:r w:rsidR="001346DC">
        <w:t>scenario</w:t>
      </w:r>
      <w:r w:rsidR="00007E24">
        <w:t xml:space="preserve">, </w:t>
      </w:r>
      <w:r w:rsidR="00363BFA">
        <w:t>namely</w:t>
      </w:r>
      <w:r w:rsidR="00007E24">
        <w:t xml:space="preserve"> the scenario directly triggered by the attack, and the secondary scenarios, i.e., the scenarios </w:t>
      </w:r>
      <w:r w:rsidR="00363BFA">
        <w:t>caused</w:t>
      </w:r>
      <w:r w:rsidR="00007E24">
        <w:t xml:space="preserve"> from the escalation of the primary scenario</w:t>
      </w:r>
      <w:r w:rsidR="006064FA">
        <w:t xml:space="preserve">. </w:t>
      </w:r>
    </w:p>
    <w:p w14:paraId="431794C1" w14:textId="77777777" w:rsidR="0067471E" w:rsidRDefault="0067471E" w:rsidP="0067471E">
      <w:pPr>
        <w:pStyle w:val="CETheadingx"/>
      </w:pPr>
      <w:r>
        <w:t>Mapping criteria for critical asset</w:t>
      </w:r>
    </w:p>
    <w:p w14:paraId="4AF81769" w14:textId="48B6FB33" w:rsidR="00480BE3" w:rsidRDefault="004C39AB" w:rsidP="00C31142">
      <w:pPr>
        <w:pStyle w:val="CETBodytext"/>
        <w:spacing w:after="240"/>
      </w:pPr>
      <w:r>
        <w:t>The preliminary analysis of the site (</w:t>
      </w:r>
      <w:r w:rsidR="00DE71D8">
        <w:t>Step 1</w:t>
      </w:r>
      <w:r w:rsidR="00406CAB">
        <w:t xml:space="preserve"> </w:t>
      </w:r>
      <w:r w:rsidR="00D329F2">
        <w:t>in Figure 1</w:t>
      </w:r>
      <w:r>
        <w:t>)</w:t>
      </w:r>
      <w:r w:rsidR="00D329F2">
        <w:t xml:space="preserve"> </w:t>
      </w:r>
      <w:r w:rsidR="00A81B51">
        <w:t>entails selecting critical equipment</w:t>
      </w:r>
      <w:r w:rsidR="0067471E">
        <w:t>.</w:t>
      </w:r>
      <w:r w:rsidR="00DB2299">
        <w:t xml:space="preserve"> This work </w:t>
      </w:r>
      <w:r w:rsidR="00EE26B6">
        <w:t>adopts</w:t>
      </w:r>
      <w:r w:rsidR="00DB2299">
        <w:t xml:space="preserve"> a hazard-based screening method, which is based on a previous work </w:t>
      </w:r>
      <w:r w:rsidR="00DB2299" w:rsidRPr="006D445C">
        <w:t>(Sabatini et al., 2009)</w:t>
      </w:r>
      <w:r w:rsidR="00DB2299">
        <w:t xml:space="preserve"> and is </w:t>
      </w:r>
      <w:r w:rsidR="00EE26B6">
        <w:t>elaborated producing the reference hazard</w:t>
      </w:r>
      <w:r w:rsidR="00DB2299">
        <w:t xml:space="preserve"> </w:t>
      </w:r>
      <w:r w:rsidR="00EE26B6">
        <w:t xml:space="preserve">chart shown </w:t>
      </w:r>
      <w:r w:rsidR="00DB2299">
        <w:t>in</w:t>
      </w:r>
      <w:r w:rsidR="0067471E">
        <w:t xml:space="preserve"> </w:t>
      </w:r>
      <w:r w:rsidR="0099013A" w:rsidRPr="006D445C">
        <w:t xml:space="preserve">Figure </w:t>
      </w:r>
      <w:r w:rsidR="00AC0C63" w:rsidRPr="006D445C">
        <w:t>2</w:t>
      </w:r>
      <w:r w:rsidR="00DB2299">
        <w:t xml:space="preserve">. </w:t>
      </w:r>
    </w:p>
    <w:p w14:paraId="53C0A98A" w14:textId="4ED5FA4E" w:rsidR="00480BE3" w:rsidRDefault="00FB1E74" w:rsidP="00A33B2C">
      <w:pPr>
        <w:pStyle w:val="CETBodytext"/>
        <w:spacing w:after="240"/>
        <w:jc w:val="left"/>
      </w:pPr>
      <w:r w:rsidRPr="00FB1E74">
        <w:rPr>
          <w:noProof/>
        </w:rPr>
        <w:drawing>
          <wp:inline distT="0" distB="0" distL="0" distR="0" wp14:anchorId="17FE5EDB" wp14:editId="4CE62FB1">
            <wp:extent cx="5579745" cy="78168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781685"/>
                    </a:xfrm>
                    <a:prstGeom prst="rect">
                      <a:avLst/>
                    </a:prstGeom>
                    <a:noFill/>
                    <a:ln>
                      <a:noFill/>
                    </a:ln>
                  </pic:spPr>
                </pic:pic>
              </a:graphicData>
            </a:graphic>
          </wp:inline>
        </w:drawing>
      </w:r>
    </w:p>
    <w:p w14:paraId="792EB797" w14:textId="529D9CE3" w:rsidR="0067471E" w:rsidRDefault="006C777C" w:rsidP="00511217">
      <w:pPr>
        <w:pStyle w:val="CETCaption"/>
      </w:pPr>
      <w:r w:rsidRPr="006C777C">
        <w:rPr>
          <w:lang w:val="en-US"/>
        </w:rPr>
        <w:t xml:space="preserve">Figure 2: Hazard-based equipment </w:t>
      </w:r>
      <w:r w:rsidRPr="006964C6">
        <w:t>screening</w:t>
      </w:r>
      <w:r w:rsidR="0041649A">
        <w:t xml:space="preserve"> to support the </w:t>
      </w:r>
      <w:r w:rsidR="00F95B81">
        <w:t>mapping of critical asset.</w:t>
      </w:r>
    </w:p>
    <w:p w14:paraId="7B6E3AD6" w14:textId="33B72DAF" w:rsidR="00C31142" w:rsidRPr="006C777C" w:rsidRDefault="00C31142" w:rsidP="00C31142">
      <w:pPr>
        <w:pStyle w:val="CETBodytext"/>
        <w:spacing w:after="240"/>
      </w:pPr>
      <w:r>
        <w:lastRenderedPageBreak/>
        <w:t>Critical equipment is selected based on the equipment type and the physical condition of the substance using a scoring system ranging from 1 (lowest) to 4 (highest). Taking into account intentional attack scenarios, a further distinction among equipment is made based on the visibility; indeed, visible targets, e.g., aboveground tanks, are more attractive for malicious acts of interference compared to less visible equipment, such as buried tanks or underground pipeline</w:t>
      </w:r>
      <w:r w:rsidR="009913FB">
        <w:t>s</w:t>
      </w:r>
      <w:r>
        <w:t>. The most critical equipment is therefore obtained by assigning a score to each equipment in the plant under analysis and selecting those with the highest score.</w:t>
      </w:r>
    </w:p>
    <w:p w14:paraId="07C95EB9" w14:textId="6799FA44" w:rsidR="004E574D" w:rsidRDefault="00617963" w:rsidP="004E574D">
      <w:pPr>
        <w:pStyle w:val="CETheadingx"/>
      </w:pPr>
      <w:r>
        <w:t>3D layout preparation</w:t>
      </w:r>
    </w:p>
    <w:p w14:paraId="30451123" w14:textId="30E042FB" w:rsidR="00CB18A1" w:rsidRDefault="00C95090" w:rsidP="00D323A9">
      <w:pPr>
        <w:pStyle w:val="CETBodytext"/>
      </w:pPr>
      <w:r>
        <w:t xml:space="preserve">Step 2a of the methodology in </w:t>
      </w:r>
      <w:r w:rsidRPr="00D93661">
        <w:t>Figure 1</w:t>
      </w:r>
      <w:r>
        <w:t xml:space="preserve"> is the 3D reconstru</w:t>
      </w:r>
      <w:r w:rsidR="00AE26CE">
        <w:t>ction of the plant, which is</w:t>
      </w:r>
      <w:r w:rsidR="00A53683">
        <w:t xml:space="preserve"> </w:t>
      </w:r>
      <w:r w:rsidR="00423725">
        <w:t xml:space="preserve">made </w:t>
      </w:r>
      <w:r w:rsidR="0089468A">
        <w:t>using</w:t>
      </w:r>
      <w:r w:rsidR="00423725">
        <w:t xml:space="preserve"> aerial photogrammetry.</w:t>
      </w:r>
      <w:r w:rsidR="000142E7">
        <w:t xml:space="preserve"> </w:t>
      </w:r>
      <w:r w:rsidR="00423725">
        <w:t>This techni</w:t>
      </w:r>
      <w:r w:rsidR="00D433CA">
        <w:t xml:space="preserve">que </w:t>
      </w:r>
      <w:r w:rsidR="00F25D51">
        <w:t xml:space="preserve">allows the creation of </w:t>
      </w:r>
      <w:r w:rsidR="00014AB2">
        <w:t>the</w:t>
      </w:r>
      <w:r w:rsidR="00F25D51">
        <w:t xml:space="preserve"> 3D model from a</w:t>
      </w:r>
      <w:r w:rsidR="0089468A">
        <w:t>e</w:t>
      </w:r>
      <w:r w:rsidR="00F25D51">
        <w:t xml:space="preserve">rial photographs. In this work, </w:t>
      </w:r>
      <w:r w:rsidR="00D03597">
        <w:t xml:space="preserve">outdoor </w:t>
      </w:r>
      <w:r w:rsidR="00F25D51">
        <w:t>aerial photographs are obtained using a drone</w:t>
      </w:r>
      <w:r w:rsidR="008D4991">
        <w:t xml:space="preserve"> while flying</w:t>
      </w:r>
      <w:r w:rsidR="00F25D51">
        <w:t xml:space="preserve"> over the site</w:t>
      </w:r>
      <w:r w:rsidR="008D4991">
        <w:t xml:space="preserve"> under analysis</w:t>
      </w:r>
      <w:r w:rsidR="005E379B">
        <w:t xml:space="preserve">. </w:t>
      </w:r>
      <w:r w:rsidR="00D03597">
        <w:t>As for indoor areas</w:t>
      </w:r>
      <w:r w:rsidR="00CB18A1">
        <w:t>,</w:t>
      </w:r>
      <w:r w:rsidR="00D03597">
        <w:t xml:space="preserve"> such as warehouses storing hazardous substances, the pictures </w:t>
      </w:r>
      <w:r w:rsidR="00CB18A1">
        <w:t>are instead</w:t>
      </w:r>
      <w:r w:rsidR="00D03597">
        <w:t xml:space="preserve"> taken using a camera </w:t>
      </w:r>
      <w:r w:rsidR="00CB18A1">
        <w:t>as the drone</w:t>
      </w:r>
      <w:r w:rsidR="00D03597">
        <w:t xml:space="preserve"> movement would be drastically </w:t>
      </w:r>
      <w:r w:rsidR="00962657">
        <w:t>hindered</w:t>
      </w:r>
      <w:r w:rsidR="00035572">
        <w:t>.</w:t>
      </w:r>
      <w:r w:rsidR="002E14D8">
        <w:t xml:space="preserve"> </w:t>
      </w:r>
      <w:r w:rsidR="005E379B">
        <w:t xml:space="preserve">Each picture taken contains all the necessary parameters for the 3D reconstruction, such as latitude, longitude, elevation, and inclination. </w:t>
      </w:r>
    </w:p>
    <w:p w14:paraId="040699DE" w14:textId="5C14BB2D" w:rsidR="00207619" w:rsidRDefault="00A41266" w:rsidP="00D17A84">
      <w:pPr>
        <w:pStyle w:val="CETBodytext"/>
      </w:pPr>
      <w:r>
        <w:t>T</w:t>
      </w:r>
      <w:r w:rsidR="005E379B">
        <w:t>he 3D reconstruction of the plant</w:t>
      </w:r>
      <w:r w:rsidR="00EB182F">
        <w:t xml:space="preserve"> is obtained</w:t>
      </w:r>
      <w:r>
        <w:t xml:space="preserve"> by processing all pictures </w:t>
      </w:r>
      <w:r w:rsidR="00D323A9">
        <w:t xml:space="preserve">by the 3D rendering software </w:t>
      </w:r>
      <w:r w:rsidR="00D323A9" w:rsidRPr="00D323A9">
        <w:t>Agisoft Metashape</w:t>
      </w:r>
      <w:r w:rsidR="00EB182F">
        <w:t xml:space="preserve">. </w:t>
      </w:r>
      <w:r w:rsidR="00F00AAB">
        <w:t>A first test of the 3D reconstruct</w:t>
      </w:r>
      <w:r w:rsidR="0042489B">
        <w:t xml:space="preserve">ion is directly </w:t>
      </w:r>
      <w:r w:rsidR="003863D4">
        <w:t xml:space="preserve">carried out </w:t>
      </w:r>
      <w:r w:rsidR="0042489B">
        <w:t xml:space="preserve">on-field. The “on-field” 3D </w:t>
      </w:r>
      <w:r w:rsidR="007D7CE6">
        <w:t>reconstruction helps the technicians to verify the general quality of the 3D, as pictures can be influenced by meteorological conditions</w:t>
      </w:r>
      <w:r w:rsidR="00D17A84">
        <w:t xml:space="preserve">, </w:t>
      </w:r>
      <w:r w:rsidR="007D7CE6">
        <w:t>e.g., sunlight. More</w:t>
      </w:r>
      <w:r w:rsidR="00860A21">
        <w:t>o</w:t>
      </w:r>
      <w:r w:rsidR="007D7CE6">
        <w:t xml:space="preserve">ver, the “on-field” 3D guides further inspections by identifying areas </w:t>
      </w:r>
      <w:r w:rsidR="000B06C3">
        <w:t>that</w:t>
      </w:r>
      <w:r w:rsidR="007D7CE6">
        <w:t xml:space="preserve"> are not well represented. When the quality is considered sufficient, the technician</w:t>
      </w:r>
      <w:r w:rsidR="002C13E2">
        <w:t xml:space="preserve"> begin</w:t>
      </w:r>
      <w:r w:rsidR="00002C8A">
        <w:t>s</w:t>
      </w:r>
      <w:r w:rsidR="002C13E2">
        <w:t xml:space="preserve"> with the “high-resolution” 3D reconstruction. Additionally, post-processing </w:t>
      </w:r>
      <w:r w:rsidR="00BC461C">
        <w:t xml:space="preserve">is done </w:t>
      </w:r>
      <w:r w:rsidR="002C13E2">
        <w:t xml:space="preserve">in order to </w:t>
      </w:r>
      <w:r w:rsidR="00BC461C">
        <w:t>enhance</w:t>
      </w:r>
      <w:r w:rsidR="002C13E2">
        <w:t xml:space="preserve"> important details, </w:t>
      </w:r>
      <w:r w:rsidR="00BC461C">
        <w:t>e.g., critical equipment and barriers</w:t>
      </w:r>
      <w:r w:rsidR="009E7B75">
        <w:t>.</w:t>
      </w:r>
      <w:r w:rsidR="00D323A9">
        <w:t xml:space="preserve"> </w:t>
      </w:r>
      <w:r w:rsidR="00143D00">
        <w:t xml:space="preserve">The interface of the tool is constituted by the 3D reconstruction of the plant, as shown in </w:t>
      </w:r>
      <w:r w:rsidR="00143D00" w:rsidRPr="00D93661">
        <w:t>Figure 3</w:t>
      </w:r>
      <w:r w:rsidR="00143D00">
        <w:t>.</w:t>
      </w:r>
      <w:r w:rsidR="00D17A84">
        <w:t xml:space="preserve"> </w:t>
      </w:r>
      <w:r w:rsidR="00207619">
        <w:t xml:space="preserve">Critical equipment and barriers are interactive elements. By clicking on the element, a dedicated tab opens, an example of which is shown in </w:t>
      </w:r>
      <w:r w:rsidR="00207619" w:rsidRPr="00D93661">
        <w:t>Figure 3</w:t>
      </w:r>
      <w:r w:rsidR="00207619">
        <w:t xml:space="preserve">. The user can consult or upload equipment technical documentation in the dedicated tab, such as data-sheets or maintenance reports. </w:t>
      </w:r>
    </w:p>
    <w:p w14:paraId="12B6AD3E" w14:textId="77777777" w:rsidR="00D323A9" w:rsidRDefault="00D323A9" w:rsidP="00D323A9">
      <w:pPr>
        <w:pStyle w:val="CETBodytext"/>
      </w:pPr>
    </w:p>
    <w:p w14:paraId="1B6929DD" w14:textId="6D5586F3" w:rsidR="00BF6422" w:rsidRDefault="008155AA" w:rsidP="00F55048">
      <w:pPr>
        <w:pStyle w:val="CETBodytext"/>
        <w:jc w:val="left"/>
      </w:pPr>
      <w:r w:rsidRPr="008155AA">
        <w:rPr>
          <w:noProof/>
        </w:rPr>
        <w:drawing>
          <wp:inline distT="0" distB="0" distL="0" distR="0" wp14:anchorId="052710C4" wp14:editId="7E6DBA6B">
            <wp:extent cx="4294761" cy="1895912"/>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4761" cy="1895912"/>
                    </a:xfrm>
                    <a:prstGeom prst="rect">
                      <a:avLst/>
                    </a:prstGeom>
                  </pic:spPr>
                </pic:pic>
              </a:graphicData>
            </a:graphic>
          </wp:inline>
        </w:drawing>
      </w:r>
    </w:p>
    <w:p w14:paraId="7DEE0E7E" w14:textId="12B40EDF" w:rsidR="00F55048" w:rsidRDefault="00F55048" w:rsidP="00F55048">
      <w:pPr>
        <w:pStyle w:val="CETCaption"/>
      </w:pPr>
      <w:r>
        <w:t>Figure 3</w:t>
      </w:r>
      <w:r w:rsidR="00803A1C">
        <w:t xml:space="preserve">: </w:t>
      </w:r>
      <w:r w:rsidR="001D1A20">
        <w:t xml:space="preserve">Example of graphical interface </w:t>
      </w:r>
      <w:r w:rsidR="000D39C6">
        <w:t xml:space="preserve">and </w:t>
      </w:r>
      <w:r w:rsidR="00A61FE1">
        <w:t xml:space="preserve">equipment </w:t>
      </w:r>
      <w:r w:rsidR="007B6837">
        <w:t xml:space="preserve">tab. </w:t>
      </w:r>
    </w:p>
    <w:p w14:paraId="42589514" w14:textId="0D79C961" w:rsidR="00617963" w:rsidRDefault="00617963" w:rsidP="00617963">
      <w:pPr>
        <w:pStyle w:val="CETheadingx"/>
      </w:pPr>
      <w:r>
        <w:t>Real-time assessment of safety-security scenarios</w:t>
      </w:r>
    </w:p>
    <w:p w14:paraId="705B2171" w14:textId="72B48750" w:rsidR="00727C38" w:rsidRDefault="00511217" w:rsidP="00727C38">
      <w:pPr>
        <w:pStyle w:val="CETBodytext"/>
      </w:pPr>
      <w:r>
        <w:t>Step 2b</w:t>
      </w:r>
      <w:r w:rsidR="00FD7E51">
        <w:t xml:space="preserve"> in </w:t>
      </w:r>
      <w:r w:rsidR="00FD7E51" w:rsidRPr="00CF2B83">
        <w:t>Figure 1</w:t>
      </w:r>
      <w:r w:rsidR="00FD7E51">
        <w:t xml:space="preserve"> is the development of algorithms for ISS risk assessment.</w:t>
      </w:r>
      <w:r w:rsidR="00727C38">
        <w:t xml:space="preserve"> </w:t>
      </w:r>
      <w:r w:rsidR="00E76B0C">
        <w:t xml:space="preserve">The tool </w:t>
      </w:r>
      <w:r w:rsidR="00727C38">
        <w:t>operates</w:t>
      </w:r>
      <w:r w:rsidR="00E76B0C">
        <w:t xml:space="preserve"> in two different modes. In the “default” mode,</w:t>
      </w:r>
      <w:r w:rsidR="001E1128" w:rsidRPr="001E1128">
        <w:t xml:space="preserve"> the leak diam</w:t>
      </w:r>
      <w:r w:rsidR="00450220">
        <w:t>e</w:t>
      </w:r>
      <w:r w:rsidR="001E1128" w:rsidRPr="001E1128">
        <w:t xml:space="preserve">ter for </w:t>
      </w:r>
      <w:r w:rsidR="007C7783">
        <w:t xml:space="preserve">intentional </w:t>
      </w:r>
      <w:r w:rsidR="001E1128" w:rsidRPr="001E1128">
        <w:t>attacks with firearms, explosives or arson were adapted from conventional release diameter</w:t>
      </w:r>
      <w:r w:rsidR="001E1128">
        <w:t xml:space="preserve">s </w:t>
      </w:r>
      <w:r w:rsidR="001E1128" w:rsidRPr="00CF2B83">
        <w:t>(</w:t>
      </w:r>
      <w:r w:rsidR="004B1B7D" w:rsidRPr="00CF2B83">
        <w:t>API</w:t>
      </w:r>
      <w:r w:rsidR="001E1128" w:rsidRPr="00CF2B83">
        <w:t>, 2008)</w:t>
      </w:r>
      <w:r w:rsidR="001E1128" w:rsidRPr="001E1128">
        <w:t xml:space="preserve">. </w:t>
      </w:r>
      <w:r w:rsidR="00450220">
        <w:t>The same reference was used</w:t>
      </w:r>
      <w:r w:rsidR="00147C03">
        <w:t xml:space="preserve"> to evaluate the loss of containment </w:t>
      </w:r>
      <w:r w:rsidR="00385E6E">
        <w:t xml:space="preserve">scenarios of </w:t>
      </w:r>
      <w:r w:rsidR="001613EC">
        <w:t>conventional safety</w:t>
      </w:r>
      <w:r w:rsidR="00385E6E">
        <w:t xml:space="preserve"> events</w:t>
      </w:r>
      <w:r w:rsidR="00EC4C81">
        <w:t>.</w:t>
      </w:r>
      <w:r w:rsidR="00CE29F9">
        <w:t xml:space="preserve"> </w:t>
      </w:r>
      <w:r w:rsidR="00CF6E33">
        <w:t xml:space="preserve">On the other hand, the “custom” version </w:t>
      </w:r>
      <w:r w:rsidR="00E9003D">
        <w:t xml:space="preserve">allows more advances users to set </w:t>
      </w:r>
      <w:r w:rsidR="00A9603D">
        <w:t xml:space="preserve">the preferred values of leak diameters. </w:t>
      </w:r>
      <w:r w:rsidR="00CE29F9">
        <w:t>Release conditions</w:t>
      </w:r>
      <w:r w:rsidR="00140ED8">
        <w:t xml:space="preserve"> </w:t>
      </w:r>
      <w:r w:rsidR="00CE29F9">
        <w:t>can be either set by the user or, when possible, are directly retrieved from the control system of the analyzed equipment</w:t>
      </w:r>
      <w:r w:rsidR="003E5C0C">
        <w:t xml:space="preserve"> in order to obtain a real-time scenario</w:t>
      </w:r>
      <w:r w:rsidR="00CE29F9">
        <w:t>.</w:t>
      </w:r>
      <w:r w:rsidR="00326F3B">
        <w:t xml:space="preserve"> </w:t>
      </w:r>
      <w:r w:rsidR="00140ED8">
        <w:t xml:space="preserve">As for meteorological conditions, wind speed and stability conditions </w:t>
      </w:r>
      <w:r w:rsidR="005419C6">
        <w:t xml:space="preserve">can be either retrieved from available </w:t>
      </w:r>
      <w:r w:rsidR="00AD5633">
        <w:t xml:space="preserve">meteorological stations nearby or </w:t>
      </w:r>
      <w:r w:rsidR="00140ED8">
        <w:t>are set to</w:t>
      </w:r>
      <w:r w:rsidR="00AD5633">
        <w:t xml:space="preserve"> the default conditions</w:t>
      </w:r>
      <w:r w:rsidR="00140ED8">
        <w:t xml:space="preserve"> 2F and 5D</w:t>
      </w:r>
      <w:r w:rsidR="00AD5633">
        <w:t>.</w:t>
      </w:r>
      <w:r w:rsidR="005A6189">
        <w:t xml:space="preserve"> </w:t>
      </w:r>
    </w:p>
    <w:p w14:paraId="1FDE6034" w14:textId="55A10B27" w:rsidR="00727C38" w:rsidRDefault="00727C38" w:rsidP="003B32DA">
      <w:pPr>
        <w:pStyle w:val="CETBodytext"/>
      </w:pPr>
      <w:r>
        <w:t xml:space="preserve">The preliminary version of the tool includes the evaluation of physical effects of fires. A compromise was reached between computational time and accuracy of physical effects, as the tool should also be able to support emergency squads </w:t>
      </w:r>
      <w:r w:rsidR="000458EA">
        <w:t>in</w:t>
      </w:r>
      <w:r>
        <w:t xml:space="preserve"> coordinat</w:t>
      </w:r>
      <w:r w:rsidR="000458EA">
        <w:t>ing</w:t>
      </w:r>
      <w:r>
        <w:t xml:space="preserve"> actions after a major accident. For this reason, integral models based on a multi-point source approach </w:t>
      </w:r>
      <w:r w:rsidRPr="00A318C2">
        <w:t>(Hankinson and Lowesmith, 2012)</w:t>
      </w:r>
      <w:r>
        <w:t xml:space="preserve"> were preferred for pool and jet fires to conventional integral models; the conventional point-source model was instead implemented for fireball heat radiation </w:t>
      </w:r>
      <w:r w:rsidRPr="00034794">
        <w:t>(</w:t>
      </w:r>
      <w:r w:rsidR="00EB5A03">
        <w:t>v</w:t>
      </w:r>
      <w:r w:rsidRPr="00034794">
        <w:t>an de</w:t>
      </w:r>
      <w:r w:rsidR="00EB5A03">
        <w:t>n</w:t>
      </w:r>
      <w:r w:rsidRPr="00034794">
        <w:t xml:space="preserve"> Bosch and Weterings, 2005)</w:t>
      </w:r>
      <w:r>
        <w:t xml:space="preserve">. </w:t>
      </w:r>
    </w:p>
    <w:p w14:paraId="6C42D2D3" w14:textId="290892CF" w:rsidR="003B32DA" w:rsidRDefault="00385E6E" w:rsidP="003B32DA">
      <w:pPr>
        <w:pStyle w:val="CETBodytext"/>
      </w:pPr>
      <w:r>
        <w:lastRenderedPageBreak/>
        <w:t xml:space="preserve">The frequency </w:t>
      </w:r>
      <w:r w:rsidR="007E15AB" w:rsidRPr="00443C00">
        <w:t>f</w:t>
      </w:r>
      <w:r w:rsidR="00B0178D" w:rsidRPr="00443C00">
        <w:rPr>
          <w:vertAlign w:val="subscript"/>
        </w:rPr>
        <w:t>F</w:t>
      </w:r>
      <w:r w:rsidR="00AF7667" w:rsidRPr="00443C00">
        <w:rPr>
          <w:vertAlign w:val="subscript"/>
        </w:rPr>
        <w:t>O</w:t>
      </w:r>
      <w:r w:rsidR="007E15AB">
        <w:t xml:space="preserve"> </w:t>
      </w:r>
      <w:r>
        <w:t xml:space="preserve">of </w:t>
      </w:r>
      <w:r w:rsidR="00727C38">
        <w:t xml:space="preserve">the </w:t>
      </w:r>
      <w:r>
        <w:t xml:space="preserve">final </w:t>
      </w:r>
      <w:r w:rsidR="00AF7667">
        <w:t>outcomes</w:t>
      </w:r>
      <w:r>
        <w:t xml:space="preserve"> </w:t>
      </w:r>
      <w:r w:rsidR="00727C38">
        <w:t xml:space="preserve">included in the preliminary version of the tool </w:t>
      </w:r>
      <w:r>
        <w:t xml:space="preserve">was obtained </w:t>
      </w:r>
      <w:r w:rsidR="00217EB7">
        <w:t>by applying Eq. 1</w:t>
      </w:r>
      <w:r w:rsidR="00AF7667">
        <w:t>:</w:t>
      </w:r>
    </w:p>
    <w:tbl>
      <w:tblPr>
        <w:tblW w:w="5000" w:type="pct"/>
        <w:tblLook w:val="04A0" w:firstRow="1" w:lastRow="0" w:firstColumn="1" w:lastColumn="0" w:noHBand="0" w:noVBand="1"/>
      </w:tblPr>
      <w:tblGrid>
        <w:gridCol w:w="7982"/>
        <w:gridCol w:w="805"/>
      </w:tblGrid>
      <w:tr w:rsidR="003B32DA" w:rsidRPr="00B57B36" w14:paraId="07837777" w14:textId="77777777" w:rsidTr="009014CA">
        <w:tc>
          <w:tcPr>
            <w:tcW w:w="8188" w:type="dxa"/>
            <w:shd w:val="clear" w:color="auto" w:fill="auto"/>
            <w:vAlign w:val="center"/>
          </w:tcPr>
          <w:p w14:paraId="0C0E3457" w14:textId="2C09AF9B" w:rsidR="003B32DA" w:rsidRPr="00AF7667" w:rsidRDefault="003B32DA" w:rsidP="00AF7667">
            <w:pPr>
              <w:pStyle w:val="CETEquation"/>
            </w:pPr>
            <w:r w:rsidRPr="00AF7667">
              <w:t>f</w:t>
            </w:r>
            <w:r w:rsidRPr="00AF7667">
              <w:rPr>
                <w:vertAlign w:val="subscript"/>
              </w:rPr>
              <w:t>F</w:t>
            </w:r>
            <w:r w:rsidR="00AF7667" w:rsidRPr="00AF7667">
              <w:rPr>
                <w:vertAlign w:val="subscript"/>
              </w:rPr>
              <w:t>O</w:t>
            </w:r>
            <w:r w:rsidR="00AF7667" w:rsidRPr="00AF7667">
              <w:t xml:space="preserve"> = f</w:t>
            </w:r>
            <w:r w:rsidR="00AF7667" w:rsidRPr="00AF7667">
              <w:rPr>
                <w:vertAlign w:val="subscript"/>
              </w:rPr>
              <w:t>A</w:t>
            </w:r>
            <w:r w:rsidR="00AF7667" w:rsidRPr="00AF7667">
              <w:t xml:space="preserve"> ∙P</w:t>
            </w:r>
            <w:r w:rsidR="00AF7667" w:rsidRPr="00AF7667">
              <w:rPr>
                <w:vertAlign w:val="subscript"/>
              </w:rPr>
              <w:t>S</w:t>
            </w:r>
            <w:r w:rsidR="00AF7667" w:rsidRPr="00AF7667">
              <w:t xml:space="preserve"> ∙P</w:t>
            </w:r>
            <w:r w:rsidR="00AF7667" w:rsidRPr="00AF7667">
              <w:rPr>
                <w:vertAlign w:val="subscript"/>
              </w:rPr>
              <w:t>I</w:t>
            </w:r>
          </w:p>
        </w:tc>
        <w:tc>
          <w:tcPr>
            <w:tcW w:w="815" w:type="dxa"/>
            <w:shd w:val="clear" w:color="auto" w:fill="auto"/>
            <w:vAlign w:val="center"/>
          </w:tcPr>
          <w:p w14:paraId="17FAB1CB" w14:textId="77777777" w:rsidR="003B32DA" w:rsidRPr="00B57B36" w:rsidRDefault="003B32DA" w:rsidP="009014CA">
            <w:pPr>
              <w:pStyle w:val="CETEquation"/>
              <w:jc w:val="right"/>
            </w:pPr>
            <w:r w:rsidRPr="00B57B36">
              <w:t>(1)</w:t>
            </w:r>
          </w:p>
        </w:tc>
      </w:tr>
    </w:tbl>
    <w:p w14:paraId="1F903022" w14:textId="471C5043" w:rsidR="00AF7667" w:rsidRDefault="00B879CB" w:rsidP="00D16705">
      <w:pPr>
        <w:pStyle w:val="CETBodytext"/>
      </w:pPr>
      <w:r>
        <w:t>w</w:t>
      </w:r>
      <w:r w:rsidR="00AF7667">
        <w:t>here f</w:t>
      </w:r>
      <w:r w:rsidR="00AB15B0">
        <w:rPr>
          <w:vertAlign w:val="subscript"/>
        </w:rPr>
        <w:t>A</w:t>
      </w:r>
      <w:r w:rsidR="00AF7667">
        <w:t xml:space="preserve"> is the frequency of </w:t>
      </w:r>
      <w:r w:rsidR="007C7783">
        <w:t>the</w:t>
      </w:r>
      <w:r w:rsidR="00AF7667">
        <w:t xml:space="preserve"> intentional attack</w:t>
      </w:r>
      <w:r w:rsidR="00D16705">
        <w:t xml:space="preserve"> or unintentional loss of containment</w:t>
      </w:r>
      <w:r w:rsidR="00AF7667">
        <w:t>, P</w:t>
      </w:r>
      <w:r w:rsidR="00AF7667" w:rsidRPr="00727C38">
        <w:rPr>
          <w:vertAlign w:val="subscript"/>
        </w:rPr>
        <w:t>S</w:t>
      </w:r>
      <w:r w:rsidR="00AF7667">
        <w:t xml:space="preserve"> is the probability of success of the attack and P</w:t>
      </w:r>
      <w:r w:rsidR="00AF7667" w:rsidRPr="00727C38">
        <w:rPr>
          <w:vertAlign w:val="subscript"/>
        </w:rPr>
        <w:t>I</w:t>
      </w:r>
      <w:r w:rsidR="00AF7667">
        <w:t xml:space="preserve"> is the probability </w:t>
      </w:r>
      <w:r w:rsidR="00727C38">
        <w:t>of ignition</w:t>
      </w:r>
      <w:r w:rsidR="00D16705">
        <w:t xml:space="preserve">. The frequency </w:t>
      </w:r>
      <w:r w:rsidR="00D16705" w:rsidRPr="00AF7667">
        <w:t>f</w:t>
      </w:r>
      <w:r w:rsidR="00D16705" w:rsidRPr="00AF7667">
        <w:rPr>
          <w:vertAlign w:val="subscript"/>
        </w:rPr>
        <w:t>A</w:t>
      </w:r>
      <w:r w:rsidR="00D16705">
        <w:t xml:space="preserve"> of intentional attacks was taken from </w:t>
      </w:r>
      <w:r w:rsidR="00D16705" w:rsidRPr="00A17DC6">
        <w:t>(API, 2013)</w:t>
      </w:r>
      <w:r w:rsidR="00D16705">
        <w:t xml:space="preserve">, while </w:t>
      </w:r>
      <w:r w:rsidR="00D16705" w:rsidRPr="00AF7667">
        <w:t>f</w:t>
      </w:r>
      <w:r w:rsidR="00D16705" w:rsidRPr="00AF7667">
        <w:rPr>
          <w:vertAlign w:val="subscript"/>
        </w:rPr>
        <w:t>A</w:t>
      </w:r>
      <w:r w:rsidR="00D16705">
        <w:t xml:space="preserve"> for accidental scenarios was </w:t>
      </w:r>
      <w:r w:rsidR="00F43283">
        <w:t xml:space="preserve">retrieved from </w:t>
      </w:r>
      <w:r w:rsidR="00F43283" w:rsidRPr="00A17DC6">
        <w:t>(API, 2008)</w:t>
      </w:r>
      <w:r w:rsidR="00F43283">
        <w:t>.</w:t>
      </w:r>
    </w:p>
    <w:p w14:paraId="794C3CAF" w14:textId="2310A7FA" w:rsidR="006C5C19" w:rsidRDefault="00EE47A7" w:rsidP="00577FB2">
      <w:pPr>
        <w:pStyle w:val="CETBodytext"/>
      </w:pPr>
      <w:r>
        <w:t>P</w:t>
      </w:r>
      <w:r w:rsidRPr="002B61C3">
        <w:rPr>
          <w:vertAlign w:val="subscript"/>
        </w:rPr>
        <w:t>S</w:t>
      </w:r>
      <w:r>
        <w:t xml:space="preserve"> and P</w:t>
      </w:r>
      <w:r w:rsidRPr="002B61C3">
        <w:rPr>
          <w:vertAlign w:val="subscript"/>
        </w:rPr>
        <w:t>I</w:t>
      </w:r>
      <w:r>
        <w:t xml:space="preserve"> were ev</w:t>
      </w:r>
      <w:r w:rsidR="002B61C3">
        <w:t>aluated by applying t</w:t>
      </w:r>
      <w:r w:rsidR="00167D37">
        <w:t>he</w:t>
      </w:r>
      <w:r w:rsidR="00385E6E">
        <w:t xml:space="preserve"> Event Tree Analysis.</w:t>
      </w:r>
      <w:r w:rsidR="002E2AB8">
        <w:t xml:space="preserve"> </w:t>
      </w:r>
      <w:r w:rsidR="00F22DB1">
        <w:t xml:space="preserve">Specific gates were developed </w:t>
      </w:r>
      <w:r w:rsidR="00D82979">
        <w:t xml:space="preserve">to account for the performance of </w:t>
      </w:r>
      <w:r w:rsidR="00F22DB1">
        <w:t>security barriers</w:t>
      </w:r>
      <w:r w:rsidR="00D82979">
        <w:t xml:space="preserve">, e.g., </w:t>
      </w:r>
      <w:r w:rsidR="00C00546">
        <w:t>fences</w:t>
      </w:r>
      <w:r w:rsidR="00D82979">
        <w:t>,</w:t>
      </w:r>
      <w:r w:rsidR="00C00546">
        <w:t xml:space="preserve"> closed-circuit television</w:t>
      </w:r>
      <w:r w:rsidR="00116834">
        <w:t xml:space="preserve"> (CCTV)</w:t>
      </w:r>
      <w:r w:rsidR="00C00546">
        <w:t>,</w:t>
      </w:r>
      <w:r w:rsidR="00D82979">
        <w:t xml:space="preserve"> and they were implemented along with conventional safety barriers to generate ISS Event Trees</w:t>
      </w:r>
      <w:r w:rsidR="00167D37">
        <w:t xml:space="preserve"> </w:t>
      </w:r>
      <w:r w:rsidR="00167D37" w:rsidRPr="00954ECB">
        <w:t>(Casson Moreno et al., 2022)</w:t>
      </w:r>
      <w:r w:rsidR="00D82979">
        <w:t>.</w:t>
      </w:r>
      <w:r w:rsidR="00237F8D">
        <w:t xml:space="preserve"> </w:t>
      </w:r>
      <w:r w:rsidR="002E2AB8">
        <w:t>Moreover, specific Event Trees were created for domino effects caused by primary final scenarios</w:t>
      </w:r>
      <w:r w:rsidR="00366334">
        <w:t>, e.g., release scenarios originating from a pressurized tank impinged in flames.</w:t>
      </w:r>
      <w:r w:rsidR="009C092C">
        <w:t xml:space="preserve"> The probability of i</w:t>
      </w:r>
      <w:r w:rsidR="00B2646C">
        <w:t xml:space="preserve">gnition </w:t>
      </w:r>
      <w:r w:rsidR="00577FB2">
        <w:t xml:space="preserve">for unintentional scenarios were </w:t>
      </w:r>
      <w:r w:rsidR="0093089F">
        <w:t>gathered from the results of the ARAMIS project</w:t>
      </w:r>
      <w:r w:rsidR="00B2646C">
        <w:t xml:space="preserve"> </w:t>
      </w:r>
      <w:r w:rsidR="00145C3B" w:rsidRPr="00954ECB">
        <w:t>(de Dianous and Fiévez, 2006)</w:t>
      </w:r>
      <w:r w:rsidR="00577FB2">
        <w:t xml:space="preserve">; the same </w:t>
      </w:r>
      <w:r w:rsidR="00FE3C30">
        <w:t>values were</w:t>
      </w:r>
      <w:r w:rsidR="00577FB2">
        <w:t xml:space="preserve"> used for intentional attack scenarios, since dedicated values are</w:t>
      </w:r>
      <w:r w:rsidR="00132A1E">
        <w:t xml:space="preserve"> currently</w:t>
      </w:r>
      <w:r w:rsidR="00577FB2">
        <w:t xml:space="preserve"> lacking in the literature</w:t>
      </w:r>
      <w:r w:rsidR="00FE3C30">
        <w:t>.</w:t>
      </w:r>
    </w:p>
    <w:p w14:paraId="51A18D1B" w14:textId="2B034D12" w:rsidR="0029546C" w:rsidRDefault="00911977" w:rsidP="00E115FE">
      <w:pPr>
        <w:pStyle w:val="CETBodytext"/>
      </w:pPr>
      <w:r>
        <w:t xml:space="preserve">The tool can display the 3D contours </w:t>
      </w:r>
      <w:r w:rsidR="00C04A87">
        <w:t xml:space="preserve">of both risk and vulnerability. </w:t>
      </w:r>
      <w:r w:rsidR="00BA0219">
        <w:t>T</w:t>
      </w:r>
      <w:r w:rsidR="00C82A72">
        <w:t xml:space="preserve">he </w:t>
      </w:r>
      <w:r w:rsidR="00A80005">
        <w:t>compatibility matrix</w:t>
      </w:r>
      <w:r w:rsidR="00C82A72">
        <w:t xml:space="preserve"> </w:t>
      </w:r>
      <w:r w:rsidR="00A80005">
        <w:t>of</w:t>
      </w:r>
      <w:r w:rsidR="00C82A72">
        <w:t xml:space="preserve"> the Italian land-use planning legislation </w:t>
      </w:r>
      <w:r w:rsidR="00FF70EA" w:rsidRPr="00954ECB">
        <w:t>(Laurent et al. 2021)</w:t>
      </w:r>
      <w:r w:rsidR="00FF70EA">
        <w:t>,</w:t>
      </w:r>
      <w:r w:rsidR="007B38FA">
        <w:rPr>
          <w:rStyle w:val="normaltextrun"/>
          <w:rFonts w:cs="Arial"/>
          <w:color w:val="000000"/>
          <w:szCs w:val="18"/>
          <w:shd w:val="clear" w:color="auto" w:fill="FFFFFF"/>
        </w:rPr>
        <w:t xml:space="preserve"> which is shown in </w:t>
      </w:r>
      <w:r w:rsidR="007B38FA" w:rsidRPr="00954ECB">
        <w:rPr>
          <w:rStyle w:val="normaltextrun"/>
          <w:rFonts w:cs="Arial"/>
          <w:color w:val="000000"/>
          <w:szCs w:val="18"/>
          <w:shd w:val="clear" w:color="auto" w:fill="FFFFFF"/>
        </w:rPr>
        <w:t>Table 1</w:t>
      </w:r>
      <w:r w:rsidR="007B38FA">
        <w:rPr>
          <w:rStyle w:val="normaltextrun"/>
          <w:rFonts w:cs="Arial"/>
          <w:color w:val="000000"/>
          <w:szCs w:val="18"/>
          <w:shd w:val="clear" w:color="auto" w:fill="FFFFFF"/>
        </w:rPr>
        <w:t>,</w:t>
      </w:r>
      <w:r w:rsidR="001854A6">
        <w:t xml:space="preserve"> </w:t>
      </w:r>
      <w:r w:rsidR="00A80005">
        <w:t>has</w:t>
      </w:r>
      <w:r w:rsidR="00C82A72">
        <w:t xml:space="preserve"> been used</w:t>
      </w:r>
      <w:r w:rsidR="00BA0219">
        <w:t xml:space="preserve"> for risk assessment</w:t>
      </w:r>
      <w:r w:rsidR="007B38FA">
        <w:t xml:space="preserve">. </w:t>
      </w:r>
      <w:r w:rsidR="00331709">
        <w:t>Territorial categories</w:t>
      </w:r>
      <w:r w:rsidR="00E70BB7">
        <w:t xml:space="preserve"> are assigned</w:t>
      </w:r>
      <w:r w:rsidR="00331709">
        <w:t xml:space="preserve"> </w:t>
      </w:r>
      <w:r w:rsidR="00BA0219">
        <w:t xml:space="preserve">for each combination of frequency and impact </w:t>
      </w:r>
      <w:r w:rsidR="00274BA7">
        <w:t xml:space="preserve">zone </w:t>
      </w:r>
      <w:r w:rsidR="00331709">
        <w:t>rang</w:t>
      </w:r>
      <w:r w:rsidR="00E70BB7">
        <w:t>ing</w:t>
      </w:r>
      <w:r w:rsidR="00331709">
        <w:t xml:space="preserve"> from A</w:t>
      </w:r>
      <w:r w:rsidR="00C16820">
        <w:t xml:space="preserve"> (</w:t>
      </w:r>
      <w:r w:rsidR="00E70BB7">
        <w:t xml:space="preserve">densely populated </w:t>
      </w:r>
      <w:r w:rsidR="00C16820">
        <w:t>residential areas)</w:t>
      </w:r>
      <w:r w:rsidR="00331709">
        <w:t xml:space="preserve"> to F</w:t>
      </w:r>
      <w:r w:rsidR="00053AE1">
        <w:t xml:space="preserve"> </w:t>
      </w:r>
      <w:r w:rsidR="00D86CBF">
        <w:t>(i</w:t>
      </w:r>
      <w:r w:rsidR="00D86CBF" w:rsidRPr="00D86CBF">
        <w:t>ndustrial establishments and non-built respect area</w:t>
      </w:r>
      <w:r w:rsidR="00053AE1">
        <w:t>)</w:t>
      </w:r>
      <w:r w:rsidR="00A64B90">
        <w:t>.</w:t>
      </w:r>
      <w:r w:rsidR="003F00D9">
        <w:t xml:space="preserve"> </w:t>
      </w:r>
      <w:r w:rsidR="003F00D9" w:rsidRPr="00344F0D">
        <w:t xml:space="preserve">The Reader is referred to </w:t>
      </w:r>
      <w:r w:rsidR="00AA2B59" w:rsidRPr="00954ECB">
        <w:t>(Laurent et al. 2021)</w:t>
      </w:r>
      <w:r w:rsidR="00AA2B59" w:rsidRPr="00344F0D">
        <w:t xml:space="preserve"> </w:t>
      </w:r>
      <w:r w:rsidR="003F00D9" w:rsidRPr="00344F0D">
        <w:t>for more details on the definition of</w:t>
      </w:r>
      <w:r w:rsidR="00AA2B59" w:rsidRPr="00344F0D">
        <w:t xml:space="preserve"> the Italian</w:t>
      </w:r>
      <w:r w:rsidR="003F00D9" w:rsidRPr="00344F0D">
        <w:t xml:space="preserve"> territorial categories.</w:t>
      </w:r>
    </w:p>
    <w:p w14:paraId="4869614C" w14:textId="77777777" w:rsidR="00691DD9" w:rsidRDefault="00691DD9" w:rsidP="00617963">
      <w:pPr>
        <w:pStyle w:val="CETBodytext"/>
      </w:pP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8"/>
        <w:gridCol w:w="1592"/>
        <w:gridCol w:w="1666"/>
        <w:gridCol w:w="1986"/>
        <w:gridCol w:w="1555"/>
      </w:tblGrid>
      <w:tr w:rsidR="009E6999" w:rsidRPr="00007E24" w14:paraId="13552659" w14:textId="77777777" w:rsidTr="00007E24">
        <w:tc>
          <w:tcPr>
            <w:tcW w:w="1131" w:type="pct"/>
            <w:tcBorders>
              <w:top w:val="single" w:sz="12" w:space="0" w:color="008000"/>
              <w:bottom w:val="single" w:sz="6" w:space="0" w:color="008000"/>
            </w:tcBorders>
            <w:shd w:val="clear" w:color="auto" w:fill="FFFFFF"/>
          </w:tcPr>
          <w:p w14:paraId="1F203558" w14:textId="519325C4" w:rsidR="009E6999" w:rsidRDefault="00EA6016" w:rsidP="009E6999">
            <w:pPr>
              <w:pStyle w:val="CETBodytext"/>
              <w:rPr>
                <w:lang w:val="en-GB"/>
              </w:rPr>
            </w:pPr>
            <w:r>
              <w:rPr>
                <w:lang w:val="en-GB"/>
              </w:rPr>
              <w:t>Impact zones</w:t>
            </w:r>
            <w:r w:rsidR="009E6999">
              <w:rPr>
                <w:lang w:val="en-GB"/>
              </w:rPr>
              <w:t xml:space="preserve"> </w:t>
            </w:r>
            <w:r w:rsidR="009E6999">
              <w:rPr>
                <w:rFonts w:ascii="Calibri" w:hAnsi="Calibri" w:cs="Calibri"/>
                <w:lang w:val="en-GB"/>
              </w:rPr>
              <w:t>→</w:t>
            </w:r>
          </w:p>
          <w:p w14:paraId="3F6979A2" w14:textId="0C52D484" w:rsidR="009E6999" w:rsidRDefault="009E6999" w:rsidP="009E6999">
            <w:pPr>
              <w:pStyle w:val="CETBodytext"/>
              <w:rPr>
                <w:lang w:val="en-GB"/>
              </w:rPr>
            </w:pPr>
            <w:r>
              <w:rPr>
                <w:lang w:val="en-GB"/>
              </w:rPr>
              <w:t>Pool/jet fire</w:t>
            </w:r>
            <w:r w:rsidR="00B57231">
              <w:rPr>
                <w:lang w:val="en-GB"/>
              </w:rPr>
              <w:t xml:space="preserve"> </w:t>
            </w:r>
            <w:r w:rsidR="00B57231">
              <w:rPr>
                <w:rFonts w:ascii="Calibri" w:hAnsi="Calibri" w:cs="Calibri"/>
                <w:lang w:val="en-GB"/>
              </w:rPr>
              <w:t>→</w:t>
            </w:r>
          </w:p>
          <w:p w14:paraId="2AA777F4" w14:textId="55BB44FF" w:rsidR="009E6999" w:rsidRDefault="009E6999" w:rsidP="009E6999">
            <w:pPr>
              <w:pStyle w:val="CETBodytext"/>
              <w:rPr>
                <w:lang w:val="en-GB"/>
              </w:rPr>
            </w:pPr>
            <w:r>
              <w:rPr>
                <w:lang w:val="en-GB"/>
              </w:rPr>
              <w:t>Fireball</w:t>
            </w:r>
            <w:r w:rsidR="00B57231">
              <w:rPr>
                <w:lang w:val="en-GB"/>
              </w:rPr>
              <w:t xml:space="preserve"> </w:t>
            </w:r>
            <w:r w:rsidR="00B57231">
              <w:rPr>
                <w:rFonts w:ascii="Calibri" w:hAnsi="Calibri" w:cs="Calibri"/>
                <w:lang w:val="en-GB"/>
              </w:rPr>
              <w:t>→</w:t>
            </w:r>
          </w:p>
          <w:p w14:paraId="0EDE0C8B" w14:textId="7935D31A" w:rsidR="009E6999" w:rsidRPr="001E482B" w:rsidRDefault="009E6999" w:rsidP="009E6999">
            <w:pPr>
              <w:pStyle w:val="CETBodytext"/>
              <w:rPr>
                <w:lang w:val="en-GB"/>
              </w:rPr>
            </w:pPr>
            <w:r>
              <w:rPr>
                <w:lang w:val="en-GB"/>
              </w:rPr>
              <w:t xml:space="preserve">Frequency </w:t>
            </w:r>
            <w:r w:rsidRPr="007E15AB">
              <w:rPr>
                <w:i/>
                <w:iCs/>
                <w:lang w:val="en-GB"/>
              </w:rPr>
              <w:t>f</w:t>
            </w:r>
            <w:r w:rsidR="002661E7" w:rsidRPr="002661E7">
              <w:rPr>
                <w:i/>
                <w:iCs/>
                <w:vertAlign w:val="subscript"/>
                <w:lang w:val="en-GB"/>
              </w:rPr>
              <w:t>FO</w:t>
            </w:r>
            <w:r>
              <w:rPr>
                <w:lang w:val="en-GB"/>
              </w:rPr>
              <w:t xml:space="preserve"> </w:t>
            </w:r>
            <w:r>
              <w:rPr>
                <w:rFonts w:ascii="Calibri" w:hAnsi="Calibri" w:cs="Calibri"/>
                <w:lang w:val="en-GB"/>
              </w:rPr>
              <w:t>↓</w:t>
            </w:r>
          </w:p>
        </w:tc>
        <w:tc>
          <w:tcPr>
            <w:tcW w:w="906" w:type="pct"/>
            <w:tcBorders>
              <w:top w:val="single" w:sz="12" w:space="0" w:color="008000"/>
              <w:bottom w:val="single" w:sz="6" w:space="0" w:color="008000"/>
            </w:tcBorders>
            <w:shd w:val="clear" w:color="auto" w:fill="FFFFFF"/>
          </w:tcPr>
          <w:p w14:paraId="13081A83" w14:textId="3728BEDA" w:rsidR="009E6999" w:rsidRPr="00563F92" w:rsidRDefault="00EA6016" w:rsidP="009E6999">
            <w:pPr>
              <w:pStyle w:val="CETBodytext"/>
              <w:ind w:right="-1"/>
              <w:rPr>
                <w:rFonts w:cs="Arial"/>
                <w:szCs w:val="18"/>
              </w:rPr>
            </w:pPr>
            <w:r w:rsidRPr="00563F92">
              <w:rPr>
                <w:rFonts w:cs="Arial"/>
                <w:szCs w:val="18"/>
              </w:rPr>
              <w:t>High lethality</w:t>
            </w:r>
          </w:p>
          <w:p w14:paraId="38EDE03E" w14:textId="77777777" w:rsidR="009E6999" w:rsidRPr="00563F92" w:rsidRDefault="009E6999" w:rsidP="009E6999">
            <w:pPr>
              <w:pStyle w:val="CETBodytext"/>
              <w:ind w:right="-1"/>
              <w:rPr>
                <w:vertAlign w:val="superscript"/>
              </w:rPr>
            </w:pPr>
            <w:r w:rsidRPr="00563F92">
              <w:t>12.5 kW/m</w:t>
            </w:r>
            <w:r w:rsidRPr="00563F92">
              <w:rPr>
                <w:vertAlign w:val="superscript"/>
              </w:rPr>
              <w:t>2</w:t>
            </w:r>
          </w:p>
          <w:p w14:paraId="7793EFBC" w14:textId="18C07D66" w:rsidR="009E6999" w:rsidRPr="00563F92" w:rsidRDefault="009E6999" w:rsidP="009E6999">
            <w:pPr>
              <w:pStyle w:val="CETBodytext"/>
            </w:pPr>
            <w:r w:rsidRPr="00563F92">
              <w:t>Fireball radius</w:t>
            </w:r>
          </w:p>
        </w:tc>
        <w:tc>
          <w:tcPr>
            <w:tcW w:w="948" w:type="pct"/>
            <w:tcBorders>
              <w:top w:val="single" w:sz="12" w:space="0" w:color="008000"/>
              <w:bottom w:val="single" w:sz="6" w:space="0" w:color="008000"/>
            </w:tcBorders>
            <w:shd w:val="clear" w:color="auto" w:fill="FFFFFF"/>
          </w:tcPr>
          <w:p w14:paraId="6FDA7CF3" w14:textId="26CD2EC1" w:rsidR="009E6999" w:rsidRPr="00D3269A" w:rsidRDefault="00007E24" w:rsidP="009E6999">
            <w:pPr>
              <w:pStyle w:val="CETBodytext"/>
              <w:ind w:right="-1"/>
              <w:rPr>
                <w:rFonts w:cs="Arial"/>
                <w:szCs w:val="18"/>
                <w:lang w:val="pl-PL"/>
              </w:rPr>
            </w:pPr>
            <w:r w:rsidRPr="00D3269A">
              <w:rPr>
                <w:rFonts w:cs="Arial"/>
                <w:szCs w:val="18"/>
                <w:lang w:val="pl-PL"/>
              </w:rPr>
              <w:t>Starting</w:t>
            </w:r>
            <w:r w:rsidR="00EA6016" w:rsidRPr="00D3269A">
              <w:rPr>
                <w:rFonts w:cs="Arial"/>
                <w:szCs w:val="18"/>
                <w:lang w:val="pl-PL"/>
              </w:rPr>
              <w:t xml:space="preserve"> lethality</w:t>
            </w:r>
          </w:p>
          <w:p w14:paraId="2BF876B5" w14:textId="77777777" w:rsidR="009E6999" w:rsidRPr="00D3269A" w:rsidRDefault="009E6999" w:rsidP="009E6999">
            <w:pPr>
              <w:pStyle w:val="CETBodytext"/>
              <w:ind w:right="-1"/>
              <w:rPr>
                <w:lang w:val="pl-PL"/>
              </w:rPr>
            </w:pPr>
            <w:r w:rsidRPr="00D3269A">
              <w:rPr>
                <w:lang w:val="pl-PL"/>
              </w:rPr>
              <w:t>7.5 kW/m</w:t>
            </w:r>
            <w:r w:rsidRPr="00D3269A">
              <w:rPr>
                <w:vertAlign w:val="superscript"/>
                <w:lang w:val="pl-PL"/>
              </w:rPr>
              <w:t>2</w:t>
            </w:r>
          </w:p>
          <w:p w14:paraId="0160E4D4" w14:textId="75EEBE1D" w:rsidR="009E6999" w:rsidRPr="00D3269A" w:rsidRDefault="009E6999" w:rsidP="009E6999">
            <w:pPr>
              <w:pStyle w:val="CETBodytext"/>
              <w:rPr>
                <w:lang w:val="pl-PL"/>
              </w:rPr>
            </w:pPr>
            <w:r w:rsidRPr="00D3269A">
              <w:rPr>
                <w:lang w:val="pl-PL"/>
              </w:rPr>
              <w:t>350 kJ/m</w:t>
            </w:r>
            <w:r w:rsidRPr="00D3269A">
              <w:rPr>
                <w:vertAlign w:val="superscript"/>
                <w:lang w:val="pl-PL"/>
              </w:rPr>
              <w:t>2</w:t>
            </w:r>
          </w:p>
        </w:tc>
        <w:tc>
          <w:tcPr>
            <w:tcW w:w="1130" w:type="pct"/>
            <w:tcBorders>
              <w:top w:val="single" w:sz="12" w:space="0" w:color="008000"/>
              <w:bottom w:val="single" w:sz="6" w:space="0" w:color="008000"/>
            </w:tcBorders>
            <w:shd w:val="clear" w:color="auto" w:fill="FFFFFF"/>
          </w:tcPr>
          <w:p w14:paraId="4C9C37AB" w14:textId="19083DAE" w:rsidR="009E6999" w:rsidRPr="00EA6016" w:rsidRDefault="00EA6016" w:rsidP="009E6999">
            <w:pPr>
              <w:pStyle w:val="CETBodytext"/>
            </w:pPr>
            <w:r w:rsidRPr="00EA6016">
              <w:t xml:space="preserve">Irreversible </w:t>
            </w:r>
            <w:r w:rsidR="00007E24">
              <w:t>injuries</w:t>
            </w:r>
          </w:p>
          <w:p w14:paraId="20108140" w14:textId="77777777" w:rsidR="009E6999" w:rsidRPr="00EA6016" w:rsidRDefault="009E6999" w:rsidP="009E6999">
            <w:pPr>
              <w:pStyle w:val="CETBodytext"/>
            </w:pPr>
            <w:r w:rsidRPr="00EA6016">
              <w:t>5 kW/m</w:t>
            </w:r>
            <w:r w:rsidRPr="00EA6016">
              <w:rPr>
                <w:vertAlign w:val="superscript"/>
              </w:rPr>
              <w:t>2</w:t>
            </w:r>
          </w:p>
          <w:p w14:paraId="7D375149" w14:textId="343B3DD5" w:rsidR="009E6999" w:rsidRPr="00EA6016" w:rsidRDefault="009E6999" w:rsidP="009E6999">
            <w:pPr>
              <w:pStyle w:val="CETBodytext"/>
              <w:ind w:right="-1"/>
              <w:rPr>
                <w:rFonts w:cs="Arial"/>
                <w:szCs w:val="18"/>
              </w:rPr>
            </w:pPr>
            <w:r w:rsidRPr="00EA6016">
              <w:t>200 kJ/m</w:t>
            </w:r>
            <w:r w:rsidRPr="00EA6016">
              <w:rPr>
                <w:vertAlign w:val="superscript"/>
              </w:rPr>
              <w:t>2</w:t>
            </w:r>
          </w:p>
        </w:tc>
        <w:tc>
          <w:tcPr>
            <w:tcW w:w="885" w:type="pct"/>
            <w:tcBorders>
              <w:top w:val="single" w:sz="12" w:space="0" w:color="008000"/>
              <w:bottom w:val="single" w:sz="6" w:space="0" w:color="008000"/>
            </w:tcBorders>
            <w:shd w:val="clear" w:color="auto" w:fill="FFFFFF"/>
          </w:tcPr>
          <w:p w14:paraId="518F6D99" w14:textId="691F93DF" w:rsidR="009E6999" w:rsidRPr="00177795" w:rsidRDefault="00BE3C22" w:rsidP="009E6999">
            <w:pPr>
              <w:pStyle w:val="CETBodytext"/>
            </w:pPr>
            <w:r w:rsidRPr="00177795">
              <w:t>Reversible</w:t>
            </w:r>
            <w:r w:rsidR="00A80005" w:rsidRPr="00177795">
              <w:t xml:space="preserve"> </w:t>
            </w:r>
            <w:r w:rsidR="00007E24" w:rsidRPr="00177795">
              <w:t>injuries</w:t>
            </w:r>
          </w:p>
          <w:p w14:paraId="066C770E" w14:textId="77777777" w:rsidR="009E6999" w:rsidRPr="00177795" w:rsidRDefault="009E6999" w:rsidP="009E6999">
            <w:pPr>
              <w:pStyle w:val="CETBodytext"/>
              <w:rPr>
                <w:vertAlign w:val="superscript"/>
              </w:rPr>
            </w:pPr>
            <w:r w:rsidRPr="00177795">
              <w:t>3 kW/m</w:t>
            </w:r>
            <w:r w:rsidRPr="00177795">
              <w:rPr>
                <w:vertAlign w:val="superscript"/>
              </w:rPr>
              <w:t>2</w:t>
            </w:r>
          </w:p>
          <w:p w14:paraId="4E36472B" w14:textId="0A1FF9DA" w:rsidR="009E6999" w:rsidRPr="00177795" w:rsidRDefault="009E6999" w:rsidP="009E6999">
            <w:pPr>
              <w:pStyle w:val="CETBodytext"/>
            </w:pPr>
            <w:r w:rsidRPr="00177795">
              <w:t>125 kJ/m</w:t>
            </w:r>
            <w:r w:rsidRPr="00177795">
              <w:rPr>
                <w:vertAlign w:val="superscript"/>
              </w:rPr>
              <w:t>2</w:t>
            </w:r>
          </w:p>
        </w:tc>
      </w:tr>
      <w:tr w:rsidR="009E6999" w:rsidRPr="00B57B36" w14:paraId="51E21A62" w14:textId="77777777" w:rsidTr="00007E24">
        <w:tc>
          <w:tcPr>
            <w:tcW w:w="1131" w:type="pct"/>
            <w:shd w:val="clear" w:color="auto" w:fill="FFFFFF"/>
          </w:tcPr>
          <w:p w14:paraId="44ACE31F" w14:textId="2A545721" w:rsidR="009E6999" w:rsidRPr="00B57B36" w:rsidRDefault="002661E7" w:rsidP="009E6999">
            <w:pPr>
              <w:pStyle w:val="CETBodytext"/>
              <w:rPr>
                <w:lang w:val="en-GB"/>
              </w:rPr>
            </w:pPr>
            <w:r w:rsidRPr="007E15AB">
              <w:rPr>
                <w:i/>
                <w:iCs/>
                <w:lang w:val="en-GB"/>
              </w:rPr>
              <w:t>f</w:t>
            </w:r>
            <w:r w:rsidRPr="002661E7">
              <w:rPr>
                <w:i/>
                <w:iCs/>
                <w:vertAlign w:val="subscript"/>
                <w:lang w:val="en-GB"/>
              </w:rPr>
              <w:t>FO</w:t>
            </w:r>
            <w:r w:rsidR="009E6999">
              <w:rPr>
                <w:lang w:val="en-GB"/>
              </w:rPr>
              <w:t xml:space="preserve"> &lt; 10</w:t>
            </w:r>
            <w:r w:rsidR="009E6999" w:rsidRPr="0070465F">
              <w:rPr>
                <w:vertAlign w:val="superscript"/>
                <w:lang w:val="en-GB"/>
              </w:rPr>
              <w:t>-6</w:t>
            </w:r>
          </w:p>
        </w:tc>
        <w:tc>
          <w:tcPr>
            <w:tcW w:w="906" w:type="pct"/>
            <w:shd w:val="clear" w:color="auto" w:fill="FFFFFF"/>
          </w:tcPr>
          <w:p w14:paraId="3791FE58" w14:textId="78D08921" w:rsidR="009E6999" w:rsidRPr="00B57B36" w:rsidRDefault="009E6999" w:rsidP="009E6999">
            <w:pPr>
              <w:pStyle w:val="CETBodytext"/>
              <w:rPr>
                <w:lang w:val="en-GB"/>
              </w:rPr>
            </w:pPr>
            <w:r>
              <w:rPr>
                <w:lang w:val="en-GB"/>
              </w:rPr>
              <w:t>DEF</w:t>
            </w:r>
          </w:p>
        </w:tc>
        <w:tc>
          <w:tcPr>
            <w:tcW w:w="948" w:type="pct"/>
            <w:shd w:val="clear" w:color="auto" w:fill="FFFFFF"/>
          </w:tcPr>
          <w:p w14:paraId="76D746E3" w14:textId="6CE61596" w:rsidR="009E6999" w:rsidRPr="00B57B36" w:rsidRDefault="009E6999" w:rsidP="009E6999">
            <w:pPr>
              <w:pStyle w:val="CETBodytext"/>
              <w:rPr>
                <w:lang w:val="en-GB"/>
              </w:rPr>
            </w:pPr>
            <w:r>
              <w:rPr>
                <w:lang w:val="en-GB"/>
              </w:rPr>
              <w:t>CDEF</w:t>
            </w:r>
          </w:p>
        </w:tc>
        <w:tc>
          <w:tcPr>
            <w:tcW w:w="1130" w:type="pct"/>
            <w:shd w:val="clear" w:color="auto" w:fill="FFFFFF"/>
          </w:tcPr>
          <w:p w14:paraId="3BC77943" w14:textId="2DA82E98" w:rsidR="009E6999" w:rsidRPr="00B57B36" w:rsidRDefault="009E6999" w:rsidP="009E6999">
            <w:pPr>
              <w:pStyle w:val="CETBodytext"/>
              <w:ind w:right="-1"/>
              <w:rPr>
                <w:rFonts w:cs="Arial"/>
                <w:szCs w:val="18"/>
                <w:lang w:val="en-GB"/>
              </w:rPr>
            </w:pPr>
            <w:r>
              <w:rPr>
                <w:rFonts w:cs="Arial"/>
                <w:szCs w:val="18"/>
                <w:lang w:val="en-GB"/>
              </w:rPr>
              <w:t>BCDEF</w:t>
            </w:r>
          </w:p>
        </w:tc>
        <w:tc>
          <w:tcPr>
            <w:tcW w:w="885" w:type="pct"/>
            <w:shd w:val="clear" w:color="auto" w:fill="FFFFFF"/>
          </w:tcPr>
          <w:p w14:paraId="6E83D07C" w14:textId="02F67B58" w:rsidR="009E6999" w:rsidRPr="00B57B36" w:rsidRDefault="009E6999" w:rsidP="009E6999">
            <w:pPr>
              <w:pStyle w:val="CETBodytext"/>
              <w:ind w:right="-1"/>
              <w:rPr>
                <w:rFonts w:cs="Arial"/>
                <w:szCs w:val="18"/>
                <w:lang w:val="en-GB"/>
              </w:rPr>
            </w:pPr>
            <w:r>
              <w:rPr>
                <w:rFonts w:cs="Arial"/>
                <w:szCs w:val="18"/>
                <w:lang w:val="en-GB"/>
              </w:rPr>
              <w:t>ABCDEF</w:t>
            </w:r>
          </w:p>
        </w:tc>
      </w:tr>
      <w:tr w:rsidR="009E6999" w:rsidRPr="00B57B36" w14:paraId="1D785AEA" w14:textId="77777777" w:rsidTr="00007E24">
        <w:tc>
          <w:tcPr>
            <w:tcW w:w="1131" w:type="pct"/>
            <w:shd w:val="clear" w:color="auto" w:fill="FFFFFF"/>
          </w:tcPr>
          <w:p w14:paraId="6A1B0CD2" w14:textId="10158D49" w:rsidR="009E6999" w:rsidRPr="00B57B36" w:rsidRDefault="009E6999" w:rsidP="009E6999">
            <w:pPr>
              <w:pStyle w:val="CETBodytext"/>
              <w:ind w:right="-1"/>
              <w:rPr>
                <w:rFonts w:cs="Arial"/>
                <w:szCs w:val="18"/>
                <w:lang w:val="en-GB"/>
              </w:rPr>
            </w:pPr>
            <w:r>
              <w:rPr>
                <w:rFonts w:cs="Arial"/>
                <w:szCs w:val="18"/>
                <w:lang w:val="en-GB"/>
              </w:rPr>
              <w:t>10</w:t>
            </w:r>
            <w:r w:rsidRPr="0070465F">
              <w:rPr>
                <w:rFonts w:cs="Arial"/>
                <w:szCs w:val="18"/>
                <w:vertAlign w:val="superscript"/>
                <w:lang w:val="en-GB"/>
              </w:rPr>
              <w:t>-</w:t>
            </w:r>
            <w:r>
              <w:rPr>
                <w:rFonts w:cs="Arial"/>
                <w:szCs w:val="18"/>
                <w:vertAlign w:val="superscript"/>
                <w:lang w:val="en-GB"/>
              </w:rPr>
              <w:t>6</w:t>
            </w:r>
            <w:r>
              <w:rPr>
                <w:rFonts w:cs="Arial"/>
                <w:szCs w:val="18"/>
                <w:lang w:val="en-GB"/>
              </w:rPr>
              <w:t xml:space="preserve"> &lt; </w:t>
            </w:r>
            <w:r w:rsidR="002661E7" w:rsidRPr="007E15AB">
              <w:rPr>
                <w:i/>
                <w:iCs/>
                <w:lang w:val="en-GB"/>
              </w:rPr>
              <w:t>f</w:t>
            </w:r>
            <w:r w:rsidR="002661E7" w:rsidRPr="002661E7">
              <w:rPr>
                <w:i/>
                <w:iCs/>
                <w:vertAlign w:val="subscript"/>
                <w:lang w:val="en-GB"/>
              </w:rPr>
              <w:t>FO</w:t>
            </w:r>
            <w:r>
              <w:rPr>
                <w:rFonts w:cs="Arial"/>
                <w:szCs w:val="18"/>
                <w:lang w:val="en-GB"/>
              </w:rPr>
              <w:t xml:space="preserve"> ≤ 10</w:t>
            </w:r>
            <w:r w:rsidRPr="0070465F">
              <w:rPr>
                <w:rFonts w:cs="Arial"/>
                <w:szCs w:val="18"/>
                <w:vertAlign w:val="superscript"/>
                <w:lang w:val="en-GB"/>
              </w:rPr>
              <w:t>-</w:t>
            </w:r>
            <w:r>
              <w:rPr>
                <w:rFonts w:cs="Arial"/>
                <w:szCs w:val="18"/>
                <w:vertAlign w:val="superscript"/>
                <w:lang w:val="en-GB"/>
              </w:rPr>
              <w:t>4</w:t>
            </w:r>
          </w:p>
        </w:tc>
        <w:tc>
          <w:tcPr>
            <w:tcW w:w="906" w:type="pct"/>
            <w:shd w:val="clear" w:color="auto" w:fill="FFFFFF"/>
          </w:tcPr>
          <w:p w14:paraId="2AC7D1B8" w14:textId="16BE1EB7" w:rsidR="009E6999" w:rsidRPr="00B57B36" w:rsidRDefault="009E6999" w:rsidP="009E6999">
            <w:pPr>
              <w:pStyle w:val="CETBodytext"/>
              <w:ind w:right="-1"/>
              <w:rPr>
                <w:rFonts w:cs="Arial"/>
                <w:szCs w:val="18"/>
                <w:lang w:val="en-GB"/>
              </w:rPr>
            </w:pPr>
            <w:r>
              <w:rPr>
                <w:rFonts w:cs="Arial"/>
                <w:szCs w:val="18"/>
                <w:lang w:val="en-GB"/>
              </w:rPr>
              <w:t>EF</w:t>
            </w:r>
          </w:p>
        </w:tc>
        <w:tc>
          <w:tcPr>
            <w:tcW w:w="948" w:type="pct"/>
            <w:shd w:val="clear" w:color="auto" w:fill="FFFFFF"/>
          </w:tcPr>
          <w:p w14:paraId="4EC55C3B" w14:textId="110BB926" w:rsidR="009E6999" w:rsidRPr="00B57B36" w:rsidRDefault="009E6999" w:rsidP="009E6999">
            <w:pPr>
              <w:pStyle w:val="CETBodytext"/>
              <w:ind w:right="-1"/>
              <w:rPr>
                <w:rFonts w:cs="Arial"/>
                <w:szCs w:val="18"/>
                <w:lang w:val="en-GB"/>
              </w:rPr>
            </w:pPr>
            <w:r>
              <w:rPr>
                <w:rFonts w:cs="Arial"/>
                <w:szCs w:val="18"/>
                <w:lang w:val="en-GB"/>
              </w:rPr>
              <w:t>DEF</w:t>
            </w:r>
          </w:p>
        </w:tc>
        <w:tc>
          <w:tcPr>
            <w:tcW w:w="1130" w:type="pct"/>
            <w:shd w:val="clear" w:color="auto" w:fill="FFFFFF"/>
          </w:tcPr>
          <w:p w14:paraId="04701BDA" w14:textId="6268FAC5" w:rsidR="009E6999" w:rsidRPr="00B57B36" w:rsidRDefault="009E6999" w:rsidP="009E6999">
            <w:pPr>
              <w:pStyle w:val="CETBodytext"/>
              <w:ind w:right="-1"/>
              <w:rPr>
                <w:rFonts w:cs="Arial"/>
                <w:szCs w:val="18"/>
                <w:lang w:val="en-GB"/>
              </w:rPr>
            </w:pPr>
            <w:r>
              <w:rPr>
                <w:rFonts w:cs="Arial"/>
                <w:szCs w:val="18"/>
                <w:lang w:val="en-GB"/>
              </w:rPr>
              <w:t>CDEF</w:t>
            </w:r>
          </w:p>
        </w:tc>
        <w:tc>
          <w:tcPr>
            <w:tcW w:w="885" w:type="pct"/>
            <w:shd w:val="clear" w:color="auto" w:fill="FFFFFF"/>
          </w:tcPr>
          <w:p w14:paraId="5BE93A8F" w14:textId="11505AFE" w:rsidR="009E6999" w:rsidRPr="00B57B36" w:rsidRDefault="009E6999" w:rsidP="009E6999">
            <w:pPr>
              <w:pStyle w:val="CETBodytext"/>
              <w:ind w:right="-1"/>
              <w:rPr>
                <w:rFonts w:cs="Arial"/>
                <w:szCs w:val="18"/>
                <w:lang w:val="en-GB"/>
              </w:rPr>
            </w:pPr>
            <w:r>
              <w:rPr>
                <w:rFonts w:cs="Arial"/>
                <w:szCs w:val="18"/>
                <w:lang w:val="en-GB"/>
              </w:rPr>
              <w:t>BCDEF</w:t>
            </w:r>
          </w:p>
        </w:tc>
      </w:tr>
      <w:tr w:rsidR="009E6999" w:rsidRPr="00B57B36" w14:paraId="7FA7EAC5" w14:textId="77777777" w:rsidTr="00007E24">
        <w:tc>
          <w:tcPr>
            <w:tcW w:w="1131" w:type="pct"/>
            <w:shd w:val="clear" w:color="auto" w:fill="FFFFFF"/>
          </w:tcPr>
          <w:p w14:paraId="7F4F569E" w14:textId="5E371DF1" w:rsidR="009E6999" w:rsidRPr="00B57B36" w:rsidRDefault="009E6999" w:rsidP="009E6999">
            <w:pPr>
              <w:pStyle w:val="CETBodytext"/>
              <w:ind w:right="-1"/>
              <w:rPr>
                <w:rFonts w:cs="Arial"/>
                <w:szCs w:val="18"/>
                <w:lang w:val="en-GB"/>
              </w:rPr>
            </w:pPr>
            <w:r>
              <w:rPr>
                <w:rFonts w:cs="Arial"/>
                <w:szCs w:val="18"/>
                <w:lang w:val="en-GB"/>
              </w:rPr>
              <w:t>10</w:t>
            </w:r>
            <w:r w:rsidRPr="00DF6C1B">
              <w:rPr>
                <w:rFonts w:cs="Arial"/>
                <w:szCs w:val="18"/>
                <w:vertAlign w:val="superscript"/>
                <w:lang w:val="en-GB"/>
              </w:rPr>
              <w:t>-4</w:t>
            </w:r>
            <w:r>
              <w:rPr>
                <w:rFonts w:cs="Arial"/>
                <w:szCs w:val="18"/>
                <w:lang w:val="en-GB"/>
              </w:rPr>
              <w:t xml:space="preserve"> &lt; </w:t>
            </w:r>
            <w:r w:rsidR="002661E7" w:rsidRPr="007E15AB">
              <w:rPr>
                <w:i/>
                <w:iCs/>
                <w:lang w:val="en-GB"/>
              </w:rPr>
              <w:t>f</w:t>
            </w:r>
            <w:r w:rsidR="002661E7" w:rsidRPr="002661E7">
              <w:rPr>
                <w:i/>
                <w:iCs/>
                <w:vertAlign w:val="subscript"/>
                <w:lang w:val="en-GB"/>
              </w:rPr>
              <w:t>FO</w:t>
            </w:r>
            <w:r>
              <w:rPr>
                <w:rFonts w:cs="Arial"/>
                <w:szCs w:val="18"/>
                <w:lang w:val="en-GB"/>
              </w:rPr>
              <w:t xml:space="preserve"> ≤ 10</w:t>
            </w:r>
            <w:r w:rsidRPr="00DF6C1B">
              <w:rPr>
                <w:rFonts w:cs="Arial"/>
                <w:szCs w:val="18"/>
                <w:vertAlign w:val="superscript"/>
                <w:lang w:val="en-GB"/>
              </w:rPr>
              <w:t>-3</w:t>
            </w:r>
          </w:p>
        </w:tc>
        <w:tc>
          <w:tcPr>
            <w:tcW w:w="906" w:type="pct"/>
            <w:shd w:val="clear" w:color="auto" w:fill="FFFFFF"/>
          </w:tcPr>
          <w:p w14:paraId="21BAECE0" w14:textId="16AD195E" w:rsidR="009E6999" w:rsidRPr="00B57B36" w:rsidRDefault="009E6999" w:rsidP="009E6999">
            <w:pPr>
              <w:pStyle w:val="CETBodytext"/>
              <w:ind w:right="-1"/>
              <w:rPr>
                <w:rFonts w:cs="Arial"/>
                <w:szCs w:val="18"/>
                <w:lang w:val="en-GB"/>
              </w:rPr>
            </w:pPr>
            <w:r>
              <w:rPr>
                <w:rFonts w:cs="Arial"/>
                <w:szCs w:val="18"/>
                <w:lang w:val="en-GB"/>
              </w:rPr>
              <w:t>F</w:t>
            </w:r>
          </w:p>
        </w:tc>
        <w:tc>
          <w:tcPr>
            <w:tcW w:w="948" w:type="pct"/>
            <w:shd w:val="clear" w:color="auto" w:fill="FFFFFF"/>
          </w:tcPr>
          <w:p w14:paraId="1B1E226C" w14:textId="3BAD57EB" w:rsidR="009E6999" w:rsidRPr="00B57B36" w:rsidRDefault="009E6999" w:rsidP="009E6999">
            <w:pPr>
              <w:pStyle w:val="CETBodytext"/>
              <w:ind w:right="-1"/>
              <w:rPr>
                <w:rFonts w:cs="Arial"/>
                <w:szCs w:val="18"/>
                <w:lang w:val="en-GB"/>
              </w:rPr>
            </w:pPr>
            <w:r>
              <w:rPr>
                <w:rFonts w:cs="Arial"/>
                <w:szCs w:val="18"/>
                <w:lang w:val="en-GB"/>
              </w:rPr>
              <w:t>EF</w:t>
            </w:r>
          </w:p>
        </w:tc>
        <w:tc>
          <w:tcPr>
            <w:tcW w:w="1130" w:type="pct"/>
            <w:shd w:val="clear" w:color="auto" w:fill="FFFFFF"/>
          </w:tcPr>
          <w:p w14:paraId="6E1B42ED" w14:textId="7A645D4F" w:rsidR="009E6999" w:rsidRPr="00B57B36" w:rsidRDefault="009E6999" w:rsidP="009E6999">
            <w:pPr>
              <w:pStyle w:val="CETBodytext"/>
              <w:ind w:right="-1"/>
              <w:rPr>
                <w:rFonts w:cs="Arial"/>
                <w:szCs w:val="18"/>
                <w:lang w:val="en-GB"/>
              </w:rPr>
            </w:pPr>
            <w:r>
              <w:rPr>
                <w:rFonts w:cs="Arial"/>
                <w:szCs w:val="18"/>
                <w:lang w:val="en-GB"/>
              </w:rPr>
              <w:t>DEF</w:t>
            </w:r>
          </w:p>
        </w:tc>
        <w:tc>
          <w:tcPr>
            <w:tcW w:w="885" w:type="pct"/>
            <w:shd w:val="clear" w:color="auto" w:fill="FFFFFF"/>
          </w:tcPr>
          <w:p w14:paraId="26E3790F" w14:textId="6D94C5EA" w:rsidR="009E6999" w:rsidRPr="00B57B36" w:rsidRDefault="009E6999" w:rsidP="009E6999">
            <w:pPr>
              <w:pStyle w:val="CETBodytext"/>
              <w:ind w:right="-1"/>
              <w:rPr>
                <w:rFonts w:cs="Arial"/>
                <w:szCs w:val="18"/>
                <w:lang w:val="en-GB"/>
              </w:rPr>
            </w:pPr>
            <w:r>
              <w:rPr>
                <w:rFonts w:cs="Arial"/>
                <w:szCs w:val="18"/>
                <w:lang w:val="en-GB"/>
              </w:rPr>
              <w:t>CDEF</w:t>
            </w:r>
          </w:p>
        </w:tc>
      </w:tr>
      <w:tr w:rsidR="009E6999" w:rsidRPr="00B57B36" w14:paraId="2EDEC443" w14:textId="77777777" w:rsidTr="00007E24">
        <w:tc>
          <w:tcPr>
            <w:tcW w:w="1131" w:type="pct"/>
            <w:shd w:val="clear" w:color="auto" w:fill="FFFFFF"/>
          </w:tcPr>
          <w:p w14:paraId="67E67BDA" w14:textId="7E7AC1B6" w:rsidR="009E6999" w:rsidRPr="00B57B36" w:rsidRDefault="002661E7" w:rsidP="009E6999">
            <w:pPr>
              <w:pStyle w:val="CETBodytext"/>
              <w:ind w:right="-1"/>
              <w:rPr>
                <w:rFonts w:cs="Arial"/>
                <w:szCs w:val="18"/>
                <w:lang w:val="en-GB"/>
              </w:rPr>
            </w:pPr>
            <w:r w:rsidRPr="007E15AB">
              <w:rPr>
                <w:i/>
                <w:iCs/>
                <w:lang w:val="en-GB"/>
              </w:rPr>
              <w:t>f</w:t>
            </w:r>
            <w:r w:rsidRPr="002661E7">
              <w:rPr>
                <w:i/>
                <w:iCs/>
                <w:vertAlign w:val="subscript"/>
                <w:lang w:val="en-GB"/>
              </w:rPr>
              <w:t>FO</w:t>
            </w:r>
            <w:r w:rsidR="009E6999">
              <w:rPr>
                <w:rFonts w:cs="Arial"/>
                <w:szCs w:val="18"/>
                <w:lang w:val="en-GB"/>
              </w:rPr>
              <w:t xml:space="preserve"> </w:t>
            </w:r>
            <w:r w:rsidR="009E6999" w:rsidRPr="004B28EA">
              <w:rPr>
                <w:rFonts w:cs="Arial"/>
                <w:szCs w:val="18"/>
                <w:lang w:val="en-GB"/>
              </w:rPr>
              <w:t>&gt;</w:t>
            </w:r>
            <w:r w:rsidR="009E6999">
              <w:rPr>
                <w:rFonts w:cs="Arial"/>
                <w:szCs w:val="18"/>
                <w:lang w:val="en-GB"/>
              </w:rPr>
              <w:t xml:space="preserve"> 10</w:t>
            </w:r>
            <w:r w:rsidR="009E6999" w:rsidRPr="00DF6C1B">
              <w:rPr>
                <w:rFonts w:cs="Arial"/>
                <w:szCs w:val="18"/>
                <w:vertAlign w:val="superscript"/>
                <w:lang w:val="en-GB"/>
              </w:rPr>
              <w:t>-3</w:t>
            </w:r>
          </w:p>
        </w:tc>
        <w:tc>
          <w:tcPr>
            <w:tcW w:w="906" w:type="pct"/>
            <w:shd w:val="clear" w:color="auto" w:fill="FFFFFF"/>
          </w:tcPr>
          <w:p w14:paraId="102A56CE" w14:textId="09B2D82F" w:rsidR="009E6999" w:rsidRPr="00B57B36" w:rsidRDefault="009E6999" w:rsidP="009E6999">
            <w:pPr>
              <w:pStyle w:val="CETBodytext"/>
              <w:ind w:right="-1"/>
              <w:rPr>
                <w:rFonts w:cs="Arial"/>
                <w:szCs w:val="18"/>
                <w:lang w:val="en-GB"/>
              </w:rPr>
            </w:pPr>
            <w:r>
              <w:rPr>
                <w:rFonts w:cs="Arial"/>
                <w:szCs w:val="18"/>
                <w:lang w:val="en-GB"/>
              </w:rPr>
              <w:t>F</w:t>
            </w:r>
          </w:p>
        </w:tc>
        <w:tc>
          <w:tcPr>
            <w:tcW w:w="948" w:type="pct"/>
            <w:shd w:val="clear" w:color="auto" w:fill="FFFFFF"/>
          </w:tcPr>
          <w:p w14:paraId="4350D2EF" w14:textId="041293F0" w:rsidR="009E6999" w:rsidRPr="00B57B36" w:rsidRDefault="009E6999" w:rsidP="009E6999">
            <w:pPr>
              <w:pStyle w:val="CETBodytext"/>
              <w:ind w:right="-1"/>
              <w:rPr>
                <w:rFonts w:cs="Arial"/>
                <w:szCs w:val="18"/>
                <w:lang w:val="en-GB"/>
              </w:rPr>
            </w:pPr>
            <w:r>
              <w:rPr>
                <w:rFonts w:cs="Arial"/>
                <w:szCs w:val="18"/>
                <w:lang w:val="en-GB"/>
              </w:rPr>
              <w:t>F</w:t>
            </w:r>
          </w:p>
        </w:tc>
        <w:tc>
          <w:tcPr>
            <w:tcW w:w="1130" w:type="pct"/>
            <w:shd w:val="clear" w:color="auto" w:fill="FFFFFF"/>
          </w:tcPr>
          <w:p w14:paraId="0EB8FA36" w14:textId="4ACD9CB2" w:rsidR="009E6999" w:rsidRPr="00B57B36" w:rsidRDefault="009E6999" w:rsidP="009E6999">
            <w:pPr>
              <w:pStyle w:val="CETBodytext"/>
              <w:ind w:right="-1"/>
              <w:rPr>
                <w:rFonts w:cs="Arial"/>
                <w:szCs w:val="18"/>
                <w:lang w:val="en-GB"/>
              </w:rPr>
            </w:pPr>
            <w:r>
              <w:rPr>
                <w:rFonts w:cs="Arial"/>
                <w:szCs w:val="18"/>
                <w:lang w:val="en-GB"/>
              </w:rPr>
              <w:t>EF</w:t>
            </w:r>
          </w:p>
        </w:tc>
        <w:tc>
          <w:tcPr>
            <w:tcW w:w="885" w:type="pct"/>
            <w:shd w:val="clear" w:color="auto" w:fill="FFFFFF"/>
          </w:tcPr>
          <w:p w14:paraId="6963A5DB" w14:textId="37FB6617" w:rsidR="009E6999" w:rsidRPr="00B57B36" w:rsidRDefault="009E6999" w:rsidP="009E6999">
            <w:pPr>
              <w:pStyle w:val="CETBodytext"/>
              <w:ind w:right="-1"/>
              <w:rPr>
                <w:rFonts w:cs="Arial"/>
                <w:szCs w:val="18"/>
                <w:lang w:val="en-GB"/>
              </w:rPr>
            </w:pPr>
            <w:r>
              <w:rPr>
                <w:rFonts w:cs="Arial"/>
                <w:szCs w:val="18"/>
                <w:lang w:val="en-GB"/>
              </w:rPr>
              <w:t>DEF</w:t>
            </w:r>
          </w:p>
        </w:tc>
      </w:tr>
    </w:tbl>
    <w:p w14:paraId="23AC2015" w14:textId="102C7432" w:rsidR="005552DD" w:rsidRDefault="00653137" w:rsidP="00911977">
      <w:pPr>
        <w:pStyle w:val="CETCaption"/>
        <w:rPr>
          <w:rStyle w:val="normaltextrun"/>
          <w:rFonts w:cs="Arial"/>
          <w:color w:val="000000"/>
          <w:szCs w:val="18"/>
          <w:shd w:val="clear" w:color="auto" w:fill="FFFFFF"/>
        </w:rPr>
      </w:pPr>
      <w:r>
        <w:t>Table</w:t>
      </w:r>
      <w:r w:rsidR="003E7A04">
        <w:t xml:space="preserve"> 1: </w:t>
      </w:r>
      <w:r w:rsidR="00773153">
        <w:t xml:space="preserve">Compatibility matrix used for risk assessment, adapted from </w:t>
      </w:r>
      <w:r w:rsidR="00773153" w:rsidRPr="00954ECB">
        <w:t>(</w:t>
      </w:r>
      <w:r w:rsidR="00B63D46" w:rsidRPr="00954ECB">
        <w:t>Laurent et al. 2021</w:t>
      </w:r>
      <w:r w:rsidR="00773153" w:rsidRPr="00954ECB">
        <w:rPr>
          <w:rStyle w:val="normaltextrun"/>
          <w:rFonts w:cs="Arial"/>
          <w:color w:val="000000"/>
          <w:szCs w:val="18"/>
          <w:shd w:val="clear" w:color="auto" w:fill="FFFFFF"/>
        </w:rPr>
        <w:t>)</w:t>
      </w:r>
    </w:p>
    <w:p w14:paraId="333FFD2A" w14:textId="235EEBBB" w:rsidR="004804F7" w:rsidRDefault="003664DA" w:rsidP="003664DA">
      <w:pPr>
        <w:pStyle w:val="CETHeading1"/>
      </w:pPr>
      <w:r>
        <w:t>Application to a case study</w:t>
      </w:r>
    </w:p>
    <w:p w14:paraId="72DB4E3E" w14:textId="1CDAB7D6" w:rsidR="00FB1E74" w:rsidRDefault="00B6737B" w:rsidP="002E323D">
      <w:pPr>
        <w:pStyle w:val="CETBodytext"/>
        <w:spacing w:after="240"/>
      </w:pPr>
      <w:r>
        <w:t xml:space="preserve">A preliminary version of the tool was used to examine a case study. </w:t>
      </w:r>
      <w:r w:rsidR="00883FD8">
        <w:t>The</w:t>
      </w:r>
      <w:r w:rsidR="00D54085">
        <w:t xml:space="preserve"> analyzed</w:t>
      </w:r>
      <w:r w:rsidR="00883FD8">
        <w:t xml:space="preserve"> plant is shown in </w:t>
      </w:r>
      <w:r w:rsidR="00B03F23" w:rsidRPr="00954ECB">
        <w:t xml:space="preserve">Figure </w:t>
      </w:r>
      <w:r w:rsidR="001F545C" w:rsidRPr="00954ECB">
        <w:t>4</w:t>
      </w:r>
      <w:r w:rsidR="00D54085">
        <w:t>.</w:t>
      </w:r>
      <w:r w:rsidR="00534125">
        <w:t xml:space="preserve"> The plant </w:t>
      </w:r>
      <w:r w:rsidR="00F416CA">
        <w:t>was</w:t>
      </w:r>
      <w:r w:rsidR="00534125">
        <w:t xml:space="preserve"> active </w:t>
      </w:r>
      <w:r w:rsidR="00F416CA">
        <w:t>in the last</w:t>
      </w:r>
      <w:r w:rsidR="00534125">
        <w:t xml:space="preserve"> 30 years and is situated in a country with a mild socio-economic and political climate. The plant is located in an industrial context</w:t>
      </w:r>
      <w:r w:rsidR="0021460D">
        <w:t xml:space="preserve"> and </w:t>
      </w:r>
      <w:r w:rsidR="00534125">
        <w:t xml:space="preserve">confines with a railway on the </w:t>
      </w:r>
      <w:r w:rsidR="00CF27DD">
        <w:t>N</w:t>
      </w:r>
      <w:r w:rsidR="00534125">
        <w:t xml:space="preserve">orth side. The plant </w:t>
      </w:r>
      <w:r w:rsidR="00CF27DD">
        <w:t>stores</w:t>
      </w:r>
      <w:r w:rsidR="00534125">
        <w:t xml:space="preserve"> Liquefied Petroleum Gases (LPG) in two 50 m</w:t>
      </w:r>
      <w:r w:rsidR="00534125" w:rsidRPr="005C501C">
        <w:rPr>
          <w:vertAlign w:val="superscript"/>
        </w:rPr>
        <w:t>3</w:t>
      </w:r>
      <w:r w:rsidR="00534125">
        <w:t xml:space="preserve"> aboveground tanks and ethanol in three 10 m</w:t>
      </w:r>
      <w:r w:rsidR="00534125" w:rsidRPr="00D94B88">
        <w:rPr>
          <w:vertAlign w:val="superscript"/>
        </w:rPr>
        <w:t>3</w:t>
      </w:r>
      <w:r w:rsidR="00534125">
        <w:t xml:space="preserve"> buried tanks.</w:t>
      </w:r>
    </w:p>
    <w:p w14:paraId="41DF202F" w14:textId="7A61B48F" w:rsidR="00D01F7C" w:rsidRDefault="004506EC" w:rsidP="004506EC">
      <w:pPr>
        <w:pStyle w:val="CETBodytext"/>
        <w:spacing w:after="240"/>
      </w:pPr>
      <w:r w:rsidRPr="004506EC">
        <w:rPr>
          <w:noProof/>
        </w:rPr>
        <w:drawing>
          <wp:inline distT="0" distB="0" distL="0" distR="0" wp14:anchorId="026C1505" wp14:editId="4E90AF10">
            <wp:extent cx="2865286" cy="193744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7931" t="18962" r="17379" b="10687"/>
                    <a:stretch/>
                  </pic:blipFill>
                  <pic:spPr bwMode="auto">
                    <a:xfrm>
                      <a:off x="0" y="0"/>
                      <a:ext cx="2865286" cy="1937442"/>
                    </a:xfrm>
                    <a:prstGeom prst="rect">
                      <a:avLst/>
                    </a:prstGeom>
                    <a:noFill/>
                    <a:ln>
                      <a:noFill/>
                    </a:ln>
                    <a:extLst>
                      <a:ext uri="{53640926-AAD7-44D8-BBD7-CCE9431645EC}">
                        <a14:shadowObscured xmlns:a14="http://schemas.microsoft.com/office/drawing/2010/main"/>
                      </a:ext>
                    </a:extLst>
                  </pic:spPr>
                </pic:pic>
              </a:graphicData>
            </a:graphic>
          </wp:inline>
        </w:drawing>
      </w:r>
    </w:p>
    <w:p w14:paraId="48D51AE2" w14:textId="17B88B4D" w:rsidR="00D54085" w:rsidRDefault="00D54085" w:rsidP="00D54085">
      <w:pPr>
        <w:pStyle w:val="CETCaption"/>
      </w:pPr>
      <w:r>
        <w:t xml:space="preserve">Figure </w:t>
      </w:r>
      <w:r w:rsidR="001F545C">
        <w:t>4</w:t>
      </w:r>
      <w:r>
        <w:t>: Layout of the demonstrational case study</w:t>
      </w:r>
      <w:r w:rsidR="00540B45">
        <w:t>.</w:t>
      </w:r>
    </w:p>
    <w:p w14:paraId="2EBFF01A" w14:textId="237D8FA7" w:rsidR="00786DAE" w:rsidRDefault="008E703A" w:rsidP="00786DAE">
      <w:pPr>
        <w:pStyle w:val="CETBodytext"/>
        <w:spacing w:after="240"/>
      </w:pPr>
      <w:r>
        <w:t xml:space="preserve">According to </w:t>
      </w:r>
      <w:r w:rsidRPr="00611226">
        <w:t>Figure 2</w:t>
      </w:r>
      <w:r>
        <w:t xml:space="preserve">, </w:t>
      </w:r>
      <w:r w:rsidR="00133BFB">
        <w:t>LPG</w:t>
      </w:r>
      <w:r>
        <w:t xml:space="preserve"> storage tanks are more critical compare</w:t>
      </w:r>
      <w:r w:rsidR="0097720C">
        <w:t>d</w:t>
      </w:r>
      <w:r>
        <w:t xml:space="preserve"> to the buried storage of a fluid </w:t>
      </w:r>
      <w:r w:rsidR="0097720C">
        <w:t xml:space="preserve">with low </w:t>
      </w:r>
      <w:r w:rsidR="00133BFB">
        <w:t>vapor</w:t>
      </w:r>
      <w:r w:rsidR="0097720C">
        <w:t xml:space="preserve"> pressure, i.e., ethanol. For this reason, the analysis focuses on </w:t>
      </w:r>
      <w:r w:rsidR="006E74B2">
        <w:t xml:space="preserve">the </w:t>
      </w:r>
      <w:r w:rsidR="0097720C">
        <w:t>LPG tank</w:t>
      </w:r>
      <w:r w:rsidR="006E74B2">
        <w:t>s</w:t>
      </w:r>
      <w:r w:rsidR="005C594B">
        <w:t>.</w:t>
      </w:r>
      <w:r w:rsidR="00F97C37">
        <w:t xml:space="preserve"> </w:t>
      </w:r>
      <w:r w:rsidR="00D3052C" w:rsidRPr="00611226">
        <w:t xml:space="preserve">Figure </w:t>
      </w:r>
      <w:r w:rsidR="00F733CB" w:rsidRPr="00611226">
        <w:t>4</w:t>
      </w:r>
      <w:r w:rsidR="00D3052C" w:rsidRPr="00611226">
        <w:t xml:space="preserve"> </w:t>
      </w:r>
      <w:r w:rsidR="00611226">
        <w:t>also</w:t>
      </w:r>
      <w:r w:rsidR="00D3052C">
        <w:t xml:space="preserve"> shows an exemplifying intrusion path</w:t>
      </w:r>
      <w:r w:rsidR="00D54085">
        <w:t xml:space="preserve"> for the LPG tanks</w:t>
      </w:r>
      <w:r w:rsidR="00D3052C">
        <w:t xml:space="preserve">. </w:t>
      </w:r>
      <w:r w:rsidR="00341134">
        <w:t xml:space="preserve">The attacker </w:t>
      </w:r>
      <w:r w:rsidR="00D21907">
        <w:t>enters the plant</w:t>
      </w:r>
      <w:r w:rsidR="00D43E79">
        <w:t xml:space="preserve"> during night shift</w:t>
      </w:r>
      <w:r w:rsidR="00D21907">
        <w:t xml:space="preserve"> by </w:t>
      </w:r>
      <w:r w:rsidR="00C776AF">
        <w:t>trespassing</w:t>
      </w:r>
      <w:r w:rsidR="00D21907">
        <w:t xml:space="preserve"> the </w:t>
      </w:r>
      <w:r w:rsidR="00D21907">
        <w:lastRenderedPageBreak/>
        <w:t>external perimet</w:t>
      </w:r>
      <w:r w:rsidR="00C776AF">
        <w:t xml:space="preserve">ral </w:t>
      </w:r>
      <w:r w:rsidR="00A0260D">
        <w:t>fence</w:t>
      </w:r>
      <w:r w:rsidR="00D43E79">
        <w:t>. Then,</w:t>
      </w:r>
      <w:r w:rsidR="00EA2798">
        <w:t xml:space="preserve"> the attacker</w:t>
      </w:r>
      <w:r w:rsidR="00D43E79">
        <w:t xml:space="preserve"> </w:t>
      </w:r>
      <w:r w:rsidR="00C776AF">
        <w:t>ru</w:t>
      </w:r>
      <w:r w:rsidR="00D43E79">
        <w:t>n</w:t>
      </w:r>
      <w:r w:rsidR="00EA2798">
        <w:t>s</w:t>
      </w:r>
      <w:r w:rsidR="00C776AF">
        <w:t xml:space="preserve"> </w:t>
      </w:r>
      <w:r w:rsidR="008C3363">
        <w:t>towards one</w:t>
      </w:r>
      <w:r w:rsidR="00D21907">
        <w:t xml:space="preserve"> </w:t>
      </w:r>
      <w:r w:rsidR="00133BFB">
        <w:t>LPG tank</w:t>
      </w:r>
      <w:r w:rsidR="00A66D34">
        <w:t xml:space="preserve">, </w:t>
      </w:r>
      <w:r w:rsidR="00133BFB">
        <w:t xml:space="preserve">and </w:t>
      </w:r>
      <w:r w:rsidR="008F7D12">
        <w:t>sabotage</w:t>
      </w:r>
      <w:r w:rsidR="00EA2798">
        <w:t>s</w:t>
      </w:r>
      <w:r w:rsidR="00D43E79">
        <w:t xml:space="preserve"> </w:t>
      </w:r>
      <w:r w:rsidR="008F7D12">
        <w:t xml:space="preserve">a connection flange, </w:t>
      </w:r>
      <w:r w:rsidR="009B1F0D">
        <w:t>leading to</w:t>
      </w:r>
      <w:r w:rsidR="008F7D12">
        <w:t xml:space="preserve"> a 1’’</w:t>
      </w:r>
      <w:r w:rsidR="00F733CB">
        <w:t xml:space="preserve"> (25.4 mm)</w:t>
      </w:r>
      <w:r w:rsidR="008F7D12">
        <w:t xml:space="preserve"> leak</w:t>
      </w:r>
      <w:r w:rsidR="00A4458C">
        <w:t xml:space="preserve"> of LPG</w:t>
      </w:r>
      <w:r w:rsidR="008F7D12">
        <w:t xml:space="preserve">. </w:t>
      </w:r>
      <w:r w:rsidR="001C238D">
        <w:t>For the sake of exemplification, the unmitigated scenario is hereby analyzed,</w:t>
      </w:r>
      <w:r w:rsidR="00A43D6C">
        <w:t xml:space="preserve"> i.e., the scenario</w:t>
      </w:r>
      <w:r w:rsidR="00A22872">
        <w:t xml:space="preserve"> in which the attacker carries out completely the attack</w:t>
      </w:r>
      <w:r w:rsidR="001C238D">
        <w:t xml:space="preserve">. </w:t>
      </w:r>
      <w:r w:rsidR="00655680">
        <w:t>A</w:t>
      </w:r>
      <w:r w:rsidR="00A22872">
        <w:t xml:space="preserve"> </w:t>
      </w:r>
      <w:r w:rsidR="00655680">
        <w:t xml:space="preserve">release </w:t>
      </w:r>
      <w:r w:rsidR="00242C9F">
        <w:t xml:space="preserve">of </w:t>
      </w:r>
      <w:r w:rsidR="00E86D55">
        <w:t xml:space="preserve">the duration of </w:t>
      </w:r>
      <w:r w:rsidR="00242C9F">
        <w:t xml:space="preserve">3 minutes </w:t>
      </w:r>
      <w:r w:rsidR="00655680">
        <w:t>was assumed in case of</w:t>
      </w:r>
      <w:r w:rsidR="0025284C">
        <w:t xml:space="preserve"> </w:t>
      </w:r>
      <w:r w:rsidR="00655680">
        <w:t>successful attack</w:t>
      </w:r>
      <w:r w:rsidR="001B311D">
        <w:t>, as the intervention of safety barriers w</w:t>
      </w:r>
      <w:r w:rsidR="00A43D6C">
        <w:t xml:space="preserve">as </w:t>
      </w:r>
      <w:r w:rsidR="001B311D">
        <w:t>neglected</w:t>
      </w:r>
      <w:r w:rsidR="00A1337A">
        <w:t xml:space="preserve"> for this simplified case</w:t>
      </w:r>
      <w:r w:rsidR="001B311D">
        <w:t>.</w:t>
      </w:r>
      <w:r w:rsidR="00883FD8">
        <w:t xml:space="preserve"> </w:t>
      </w:r>
      <w:r w:rsidR="00E86D55">
        <w:t xml:space="preserve">Security guards are highly </w:t>
      </w:r>
      <w:r w:rsidR="00D71636">
        <w:t>trained;</w:t>
      </w:r>
      <w:r w:rsidR="00E86D55">
        <w:t xml:space="preserve"> therefore</w:t>
      </w:r>
      <w:r w:rsidR="00D71636">
        <w:t>,</w:t>
      </w:r>
      <w:r w:rsidR="00E86D55">
        <w:t xml:space="preserve"> a time of 4</w:t>
      </w:r>
      <w:r w:rsidR="00883FD8">
        <w:t xml:space="preserve"> minute</w:t>
      </w:r>
      <w:r w:rsidR="00E86D55">
        <w:t>s is assumed to be necessary to neutralize the attacker</w:t>
      </w:r>
      <w:r w:rsidR="00D71636" w:rsidRPr="00D71636">
        <w:t>.</w:t>
      </w:r>
      <w:r w:rsidR="00793C38">
        <w:t xml:space="preserve"> </w:t>
      </w:r>
      <w:r w:rsidR="00CE29F9">
        <w:t>Nominal storage conditions were used to evaluate impact zones</w:t>
      </w:r>
      <w:r w:rsidR="001E46C9">
        <w:t xml:space="preserve"> and the wind blows </w:t>
      </w:r>
      <w:r w:rsidR="00A4458C">
        <w:t>from South</w:t>
      </w:r>
      <w:r w:rsidR="001E46C9">
        <w:t xml:space="preserve"> direction at a speed of 2 m/s</w:t>
      </w:r>
      <w:r w:rsidR="00CE29F9">
        <w:t>.</w:t>
      </w:r>
    </w:p>
    <w:p w14:paraId="58A3BF1F" w14:textId="15BF83FE" w:rsidR="00EF7A0D" w:rsidRDefault="00EF7A0D" w:rsidP="00EF7A0D">
      <w:pPr>
        <w:pStyle w:val="CETHeading1"/>
      </w:pPr>
      <w:r>
        <w:t xml:space="preserve">Results and </w:t>
      </w:r>
      <w:r w:rsidR="0010397F">
        <w:t>discussion</w:t>
      </w:r>
    </w:p>
    <w:p w14:paraId="3F9EE1AB" w14:textId="7DE13C63" w:rsidR="0050643D" w:rsidRDefault="00B75288" w:rsidP="0050643D">
      <w:pPr>
        <w:pStyle w:val="CETBodytext"/>
      </w:pPr>
      <w:r>
        <w:t xml:space="preserve">The release of LPG </w:t>
      </w:r>
      <w:r w:rsidR="00323637">
        <w:t xml:space="preserve">caused by the sabotage is assumed to lead to a </w:t>
      </w:r>
      <w:r>
        <w:t>pool fire scenario</w:t>
      </w:r>
      <w:r w:rsidR="00A22B05">
        <w:t xml:space="preserve">, </w:t>
      </w:r>
      <w:r w:rsidR="00323637">
        <w:t>conservatively assuming a</w:t>
      </w:r>
      <w:r w:rsidR="00FD3AC0">
        <w:t xml:space="preserve"> </w:t>
      </w:r>
      <w:r w:rsidR="00E72BDC">
        <w:t xml:space="preserve">unitary </w:t>
      </w:r>
      <w:r w:rsidR="00323637">
        <w:t>probability of ignition</w:t>
      </w:r>
      <w:r w:rsidR="00FD3AC0">
        <w:t xml:space="preserve"> </w:t>
      </w:r>
      <w:r w:rsidR="00FD3AC0" w:rsidRPr="00E72BDC">
        <w:t>P</w:t>
      </w:r>
      <w:r w:rsidR="00FD3AC0" w:rsidRPr="00E72BDC">
        <w:rPr>
          <w:vertAlign w:val="subscript"/>
        </w:rPr>
        <w:t>I</w:t>
      </w:r>
      <w:r w:rsidR="00FD3AC0" w:rsidRPr="00E72BDC">
        <w:t xml:space="preserve"> = 1.0</w:t>
      </w:r>
      <w:r w:rsidR="00FD3AC0">
        <w:t xml:space="preserve"> because of </w:t>
      </w:r>
      <w:r w:rsidR="00E72BDC">
        <w:t>the heat and sparks generated during the sabotage</w:t>
      </w:r>
      <w:r w:rsidR="00A22B05">
        <w:t>.</w:t>
      </w:r>
      <w:r w:rsidR="00F5385F">
        <w:t xml:space="preserve"> </w:t>
      </w:r>
      <w:r w:rsidR="00D60E4F">
        <w:t>The first step for risk assessment is the evaluation of</w:t>
      </w:r>
      <w:r w:rsidR="00A22B05">
        <w:t xml:space="preserve"> the frequency of the </w:t>
      </w:r>
      <w:r w:rsidR="00D60E4F">
        <w:t>scenario, which is composed by different factors</w:t>
      </w:r>
      <w:r w:rsidR="000F18BF">
        <w:t xml:space="preserve">. </w:t>
      </w:r>
      <w:r w:rsidR="007F63C2">
        <w:t xml:space="preserve"> </w:t>
      </w:r>
      <w:r w:rsidR="00277930">
        <w:t>T</w:t>
      </w:r>
      <w:r w:rsidR="002D124E">
        <w:t xml:space="preserve">he frequency of </w:t>
      </w:r>
      <w:r>
        <w:t>the</w:t>
      </w:r>
      <w:r w:rsidR="002D124E">
        <w:t xml:space="preserve"> intentional attack </w:t>
      </w:r>
      <w:r w:rsidR="000D0802">
        <w:t xml:space="preserve">is </w:t>
      </w:r>
      <w:r w:rsidR="007F63C2">
        <w:t>assumed</w:t>
      </w:r>
      <w:r>
        <w:t xml:space="preserve"> as once in the life of the plant, leading to </w:t>
      </w:r>
      <w:r w:rsidR="000D0323" w:rsidRPr="00580177">
        <w:t>f</w:t>
      </w:r>
      <w:r w:rsidR="000D0323" w:rsidRPr="00580177">
        <w:rPr>
          <w:vertAlign w:val="subscript"/>
        </w:rPr>
        <w:t>A</w:t>
      </w:r>
      <w:r w:rsidR="000D0323" w:rsidRPr="00580177">
        <w:t xml:space="preserve"> = </w:t>
      </w:r>
      <w:r w:rsidR="00656B9B" w:rsidRPr="00580177">
        <w:t>0.03</w:t>
      </w:r>
      <w:r w:rsidR="00B51809" w:rsidRPr="00580177">
        <w:t xml:space="preserve"> </w:t>
      </w:r>
      <w:r w:rsidR="002D124E">
        <w:t>event</w:t>
      </w:r>
      <w:r w:rsidR="00874B02">
        <w:t>s</w:t>
      </w:r>
      <w:r w:rsidR="002D124E">
        <w:t>/y</w:t>
      </w:r>
      <w:r w:rsidR="00277930">
        <w:t xml:space="preserve">, i.e., the </w:t>
      </w:r>
      <w:r w:rsidR="00007E24">
        <w:t>second</w:t>
      </w:r>
      <w:r w:rsidR="00F40907">
        <w:t xml:space="preserve"> to last </w:t>
      </w:r>
      <w:r w:rsidR="00277930">
        <w:t xml:space="preserve">value possible according to the references in Section 2.4. </w:t>
      </w:r>
      <w:r w:rsidR="00E72BDC" w:rsidRPr="00611226">
        <w:t>Figure 5a</w:t>
      </w:r>
      <w:r w:rsidR="00E72BDC">
        <w:t xml:space="preserve"> </w:t>
      </w:r>
      <w:r w:rsidR="000E2147">
        <w:t xml:space="preserve">shows </w:t>
      </w:r>
      <w:r w:rsidR="008E6326">
        <w:t>the</w:t>
      </w:r>
      <w:r w:rsidR="00901712">
        <w:t xml:space="preserve"> ISS Event Tree</w:t>
      </w:r>
      <w:r w:rsidR="00262CE8">
        <w:t xml:space="preserve"> created with the methodology outlined in Section 2.4</w:t>
      </w:r>
      <w:r w:rsidR="008E6326">
        <w:t xml:space="preserve">. </w:t>
      </w:r>
      <w:r w:rsidR="001D1608">
        <w:t xml:space="preserve">It should be mentioned that </w:t>
      </w:r>
      <w:r w:rsidR="003F77E9">
        <w:t>the attack can be successful th</w:t>
      </w:r>
      <w:r w:rsidR="007E657F">
        <w:t>r</w:t>
      </w:r>
      <w:r w:rsidR="003F77E9">
        <w:t>ough</w:t>
      </w:r>
      <w:r w:rsidR="001D1608">
        <w:t xml:space="preserve"> </w:t>
      </w:r>
      <w:r w:rsidR="003F77E9">
        <w:t>many</w:t>
      </w:r>
      <w:r w:rsidR="001D1608">
        <w:t xml:space="preserve"> combinations </w:t>
      </w:r>
      <w:r w:rsidR="003F77E9">
        <w:t xml:space="preserve">of events. In this simplified case, it </w:t>
      </w:r>
      <w:r w:rsidR="007E657F">
        <w:t>is</w:t>
      </w:r>
      <w:r w:rsidR="003F77E9">
        <w:t xml:space="preserve"> assumed that the attacker trespasses the fence</w:t>
      </w:r>
      <w:r w:rsidR="00E86060">
        <w:t xml:space="preserve">, but is caught by </w:t>
      </w:r>
      <w:r w:rsidR="00AB498B">
        <w:t>the employees on the night</w:t>
      </w:r>
      <w:r w:rsidR="00EF7B19">
        <w:t xml:space="preserve"> </w:t>
      </w:r>
      <w:r w:rsidR="00AB498B">
        <w:t>shift</w:t>
      </w:r>
      <w:r w:rsidR="00E86060">
        <w:t xml:space="preserve">. </w:t>
      </w:r>
      <w:r w:rsidR="001D1608">
        <w:t xml:space="preserve"> </w:t>
      </w:r>
      <w:r w:rsidR="00B96BDD">
        <w:t>Ho</w:t>
      </w:r>
      <w:r w:rsidR="000A3925">
        <w:t xml:space="preserve">wever, the </w:t>
      </w:r>
      <w:r w:rsidR="009E05AF">
        <w:t xml:space="preserve">emergency squad </w:t>
      </w:r>
      <w:r w:rsidR="001C66F7">
        <w:t>fail</w:t>
      </w:r>
      <w:r w:rsidR="007E657F">
        <w:t>s to act</w:t>
      </w:r>
      <w:r w:rsidR="001C66F7">
        <w:t>, leading to an unmitigated escalation</w:t>
      </w:r>
      <w:r w:rsidR="009E05AF">
        <w:t>.</w:t>
      </w:r>
      <w:r w:rsidR="0050643D">
        <w:t xml:space="preserve"> </w:t>
      </w:r>
      <w:r w:rsidR="00EF7B19">
        <w:t>Therefore,</w:t>
      </w:r>
      <w:r w:rsidR="00995961">
        <w:t xml:space="preserve"> </w:t>
      </w:r>
      <w:r w:rsidR="004F1210">
        <w:t>the</w:t>
      </w:r>
      <w:r w:rsidR="00973F8F">
        <w:t xml:space="preserve"> attack success </w:t>
      </w:r>
      <w:r w:rsidR="00C13CCF">
        <w:t>fr</w:t>
      </w:r>
      <w:r w:rsidR="00571793">
        <w:t>e</w:t>
      </w:r>
      <w:r w:rsidR="00C13CCF">
        <w:t>quenc</w:t>
      </w:r>
      <w:r w:rsidR="00874B02">
        <w:t>y</w:t>
      </w:r>
      <w:r w:rsidR="00973F8F">
        <w:t xml:space="preserve"> </w:t>
      </w:r>
      <w:r w:rsidR="00901712">
        <w:t>is</w:t>
      </w:r>
      <w:r w:rsidR="000D0323">
        <w:t xml:space="preserve"> </w:t>
      </w:r>
      <w:r w:rsidR="008038B4" w:rsidRPr="00874B02">
        <w:t>f</w:t>
      </w:r>
      <w:r w:rsidR="008038B4" w:rsidRPr="00874B02">
        <w:rPr>
          <w:vertAlign w:val="subscript"/>
        </w:rPr>
        <w:t>A</w:t>
      </w:r>
      <w:r w:rsidR="00C34641" w:rsidRPr="00874B02">
        <w:rPr>
          <w:vertAlign w:val="subscript"/>
        </w:rPr>
        <w:t xml:space="preserve"> </w:t>
      </w:r>
      <w:r w:rsidR="008038B4" w:rsidRPr="00874B02">
        <w:t>∙</w:t>
      </w:r>
      <w:r w:rsidR="000D0323" w:rsidRPr="00874B02">
        <w:t>P</w:t>
      </w:r>
      <w:r w:rsidR="000D0323" w:rsidRPr="00874B02">
        <w:rPr>
          <w:vertAlign w:val="subscript"/>
        </w:rPr>
        <w:t>S</w:t>
      </w:r>
      <w:r w:rsidR="00030C76" w:rsidRPr="00874B02">
        <w:t xml:space="preserve"> </w:t>
      </w:r>
      <w:r w:rsidR="000D0323" w:rsidRPr="00874B02">
        <w:t xml:space="preserve">= </w:t>
      </w:r>
      <w:r w:rsidR="000162F7">
        <w:t>5.22</w:t>
      </w:r>
      <w:r w:rsidR="00A0260D" w:rsidRPr="00874B02">
        <w:rPr>
          <w:rFonts w:cs="Arial"/>
        </w:rPr>
        <w:t>∙</w:t>
      </w:r>
      <w:r w:rsidR="00A0260D" w:rsidRPr="00874B02">
        <w:t>10</w:t>
      </w:r>
      <w:r w:rsidR="00A0260D" w:rsidRPr="00874B02">
        <w:rPr>
          <w:vertAlign w:val="superscript"/>
        </w:rPr>
        <w:t>-</w:t>
      </w:r>
      <w:r w:rsidR="000162F7">
        <w:rPr>
          <w:vertAlign w:val="superscript"/>
        </w:rPr>
        <w:t>6</w:t>
      </w:r>
      <w:r w:rsidR="002745AE">
        <w:t xml:space="preserve"> events/y</w:t>
      </w:r>
      <w:r w:rsidR="00030C76">
        <w:t xml:space="preserve">. </w:t>
      </w:r>
      <w:r w:rsidR="00EF7B19">
        <w:t>T</w:t>
      </w:r>
      <w:r w:rsidR="009A49C2">
        <w:t xml:space="preserve">he </w:t>
      </w:r>
      <w:r w:rsidR="002745AE">
        <w:t>pool fire</w:t>
      </w:r>
      <w:r w:rsidR="009A49C2">
        <w:t xml:space="preserve"> frequency</w:t>
      </w:r>
      <w:r w:rsidR="00007E24">
        <w:t xml:space="preserve"> </w:t>
      </w:r>
      <w:r w:rsidR="0069114B">
        <w:t>can be evaluate</w:t>
      </w:r>
      <w:r w:rsidR="00C13CCF">
        <w:t>d</w:t>
      </w:r>
      <w:r w:rsidR="0069114B">
        <w:t xml:space="preserve"> using Eq.1, leading to</w:t>
      </w:r>
      <w:r w:rsidR="00030C76">
        <w:t xml:space="preserve"> </w:t>
      </w:r>
      <w:r w:rsidR="00973F8F" w:rsidRPr="00AC6806">
        <w:t>f</w:t>
      </w:r>
      <w:r w:rsidR="009A49C2" w:rsidRPr="00AC6806">
        <w:rPr>
          <w:vertAlign w:val="subscript"/>
        </w:rPr>
        <w:t>FO</w:t>
      </w:r>
      <w:r w:rsidR="005B4FAB">
        <w:rPr>
          <w:i/>
          <w:iCs/>
          <w:vertAlign w:val="subscript"/>
        </w:rPr>
        <w:t xml:space="preserve"> </w:t>
      </w:r>
      <w:r w:rsidR="005B4FAB">
        <w:t>=</w:t>
      </w:r>
      <w:r w:rsidR="00B51809" w:rsidRPr="00874B02">
        <w:t xml:space="preserve"> </w:t>
      </w:r>
      <w:r w:rsidR="000162F7">
        <w:t>5.22</w:t>
      </w:r>
      <w:r w:rsidR="009A0531" w:rsidRPr="00874B02">
        <w:rPr>
          <w:rFonts w:cs="Arial"/>
        </w:rPr>
        <w:t>∙</w:t>
      </w:r>
      <w:r w:rsidR="009A0531" w:rsidRPr="00874B02">
        <w:t>10</w:t>
      </w:r>
      <w:r w:rsidR="009A0531" w:rsidRPr="00874B02">
        <w:rPr>
          <w:vertAlign w:val="superscript"/>
        </w:rPr>
        <w:t>-</w:t>
      </w:r>
      <w:r w:rsidR="000162F7">
        <w:rPr>
          <w:vertAlign w:val="superscript"/>
        </w:rPr>
        <w:t>6</w:t>
      </w:r>
      <w:r w:rsidR="00973F8F" w:rsidRPr="00874B02">
        <w:t xml:space="preserve"> </w:t>
      </w:r>
      <w:r w:rsidR="00AA0BCC" w:rsidRPr="00874B02">
        <w:t>event</w:t>
      </w:r>
      <w:r w:rsidR="001346DC" w:rsidRPr="00874B02">
        <w:t>s</w:t>
      </w:r>
      <w:r w:rsidR="00AA0BCC" w:rsidRPr="00874B02">
        <w:t>/</w:t>
      </w:r>
      <w:r w:rsidR="00973F8F" w:rsidRPr="00874B02">
        <w:t>y</w:t>
      </w:r>
      <w:r w:rsidR="007B4350" w:rsidRPr="00874B02">
        <w:t>.</w:t>
      </w:r>
      <w:r w:rsidR="004A74E3" w:rsidRPr="00874B02">
        <w:t xml:space="preserve"> </w:t>
      </w:r>
      <w:r w:rsidR="004A74E3">
        <w:t xml:space="preserve">It can be noticed that the frequency </w:t>
      </w:r>
      <w:r w:rsidR="00655731">
        <w:t xml:space="preserve">of </w:t>
      </w:r>
      <w:r w:rsidR="005B4FAB">
        <w:t xml:space="preserve">final outcomes </w:t>
      </w:r>
      <w:r w:rsidR="00655731">
        <w:t>from</w:t>
      </w:r>
      <w:r w:rsidR="005B4FAB">
        <w:t xml:space="preserve"> intentional attacks</w:t>
      </w:r>
      <w:r w:rsidR="004A74E3">
        <w:t xml:space="preserve"> is compara</w:t>
      </w:r>
      <w:r w:rsidR="00B97C6D">
        <w:t>ble</w:t>
      </w:r>
      <w:r w:rsidR="004A74E3">
        <w:t xml:space="preserve"> with the frequencies of </w:t>
      </w:r>
      <w:r w:rsidR="005B4FAB">
        <w:t>final outcomes from unintentional accidents</w:t>
      </w:r>
      <w:r w:rsidR="004A74E3">
        <w:t>.</w:t>
      </w:r>
    </w:p>
    <w:p w14:paraId="7F38525E" w14:textId="76B2ACDF" w:rsidR="000233AF" w:rsidRDefault="002B6457" w:rsidP="0055043C">
      <w:pPr>
        <w:pStyle w:val="CETBodytext"/>
        <w:spacing w:after="240"/>
      </w:pPr>
      <w:r>
        <w:t>The</w:t>
      </w:r>
      <w:r w:rsidR="00D60E4F">
        <w:t>n,</w:t>
      </w:r>
      <w:r w:rsidR="0076080A">
        <w:t xml:space="preserve"> the second step</w:t>
      </w:r>
      <w:r w:rsidR="009A49C2">
        <w:t xml:space="preserve"> for risk assessment</w:t>
      </w:r>
      <w:r w:rsidR="0076080A">
        <w:t xml:space="preserve"> is the evaluation of</w:t>
      </w:r>
      <w:r w:rsidR="00D60E4F">
        <w:t xml:space="preserve"> impact zones </w:t>
      </w:r>
      <w:r w:rsidR="0076080A">
        <w:t>of the generated pool fire</w:t>
      </w:r>
      <w:r w:rsidR="00646BFD">
        <w:t>, which can be done by applying the models shown in Section 2.4</w:t>
      </w:r>
      <w:r w:rsidR="0076080A">
        <w:t xml:space="preserve">. </w:t>
      </w:r>
      <w:r w:rsidR="002661E7">
        <w:t xml:space="preserve">The final step is the combination of impact zones and </w:t>
      </w:r>
      <w:r w:rsidR="003455D9">
        <w:t xml:space="preserve">frequency to obtain the compatible territorial categories. </w:t>
      </w:r>
      <w:r w:rsidR="00111C71" w:rsidRPr="00611226">
        <w:t xml:space="preserve">Figure </w:t>
      </w:r>
      <w:r w:rsidR="00274270" w:rsidRPr="00611226">
        <w:t>5</w:t>
      </w:r>
      <w:r w:rsidR="00AB0EB6" w:rsidRPr="00611226">
        <w:t>b</w:t>
      </w:r>
      <w:r w:rsidR="00111C71">
        <w:t xml:space="preserve"> shows the pool fire originated by the 1’’ leak and its risk contours in </w:t>
      </w:r>
      <w:r w:rsidR="002006D0">
        <w:t xml:space="preserve">the </w:t>
      </w:r>
      <w:r w:rsidR="00111C71">
        <w:t>3D</w:t>
      </w:r>
      <w:r w:rsidR="002006D0">
        <w:t xml:space="preserve"> interface of the tool</w:t>
      </w:r>
      <w:r w:rsidR="00111C71">
        <w:t>.</w:t>
      </w:r>
    </w:p>
    <w:p w14:paraId="64819154" w14:textId="313970C7" w:rsidR="00682329" w:rsidRDefault="00137E71" w:rsidP="00E143A1">
      <w:pPr>
        <w:pStyle w:val="CETBodytext"/>
        <w:jc w:val="left"/>
      </w:pPr>
      <w:r w:rsidRPr="00137E71">
        <w:rPr>
          <w:noProof/>
        </w:rPr>
        <w:drawing>
          <wp:inline distT="0" distB="0" distL="0" distR="0" wp14:anchorId="3579F318" wp14:editId="605B1B54">
            <wp:extent cx="5561242" cy="243853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5"/>
                    <a:stretch/>
                  </pic:blipFill>
                  <pic:spPr bwMode="auto">
                    <a:xfrm>
                      <a:off x="0" y="0"/>
                      <a:ext cx="5561242" cy="2438533"/>
                    </a:xfrm>
                    <a:prstGeom prst="rect">
                      <a:avLst/>
                    </a:prstGeom>
                    <a:noFill/>
                    <a:ln>
                      <a:noFill/>
                    </a:ln>
                    <a:extLst>
                      <a:ext uri="{53640926-AAD7-44D8-BBD7-CCE9431645EC}">
                        <a14:shadowObscured xmlns:a14="http://schemas.microsoft.com/office/drawing/2010/main"/>
                      </a:ext>
                    </a:extLst>
                  </pic:spPr>
                </pic:pic>
              </a:graphicData>
            </a:graphic>
          </wp:inline>
        </w:drawing>
      </w:r>
    </w:p>
    <w:p w14:paraId="1F64E988" w14:textId="05967C84" w:rsidR="000233AF" w:rsidRPr="00CB1E1B" w:rsidRDefault="00C10E07" w:rsidP="00C10E07">
      <w:pPr>
        <w:pStyle w:val="CETCaption"/>
        <w:rPr>
          <w:lang w:val="en-US"/>
        </w:rPr>
      </w:pPr>
      <w:r w:rsidRPr="00CB1E1B">
        <w:rPr>
          <w:lang w:val="en-US"/>
        </w:rPr>
        <w:t xml:space="preserve">Figure </w:t>
      </w:r>
      <w:r w:rsidR="00274270">
        <w:rPr>
          <w:lang w:val="en-US"/>
        </w:rPr>
        <w:t>5</w:t>
      </w:r>
      <w:r w:rsidRPr="00CB1E1B">
        <w:rPr>
          <w:lang w:val="en-US"/>
        </w:rPr>
        <w:t xml:space="preserve">: </w:t>
      </w:r>
      <w:r w:rsidR="00B756EB">
        <w:rPr>
          <w:lang w:val="en-US"/>
        </w:rPr>
        <w:t xml:space="preserve">a) Event tree for the attack scenario; b) </w:t>
      </w:r>
      <w:r w:rsidR="002006D0">
        <w:rPr>
          <w:lang w:val="en-US"/>
        </w:rPr>
        <w:t>3D r</w:t>
      </w:r>
      <w:r w:rsidRPr="00CB1E1B">
        <w:rPr>
          <w:lang w:val="en-US"/>
        </w:rPr>
        <w:t>isk contours for</w:t>
      </w:r>
      <w:r w:rsidR="00CB1E1B">
        <w:rPr>
          <w:lang w:val="en-US"/>
        </w:rPr>
        <w:t xml:space="preserve"> the pool fire generated by a</w:t>
      </w:r>
      <w:r w:rsidRPr="00CB1E1B">
        <w:rPr>
          <w:lang w:val="en-US"/>
        </w:rPr>
        <w:t xml:space="preserve"> 1’’ </w:t>
      </w:r>
      <w:r w:rsidR="00085380">
        <w:rPr>
          <w:lang w:val="en-US"/>
        </w:rPr>
        <w:t>LPG</w:t>
      </w:r>
      <w:r w:rsidR="00CC4A27">
        <w:rPr>
          <w:lang w:val="en-US"/>
        </w:rPr>
        <w:t xml:space="preserve"> </w:t>
      </w:r>
      <w:r w:rsidR="00CB1E1B" w:rsidRPr="00CB1E1B">
        <w:rPr>
          <w:lang w:val="en-US"/>
        </w:rPr>
        <w:t>lea</w:t>
      </w:r>
      <w:r w:rsidR="00CB1E1B">
        <w:rPr>
          <w:lang w:val="en-US"/>
        </w:rPr>
        <w:t>k</w:t>
      </w:r>
      <w:r w:rsidR="00CC4A27">
        <w:rPr>
          <w:lang w:val="en-US"/>
        </w:rPr>
        <w:t>.</w:t>
      </w:r>
    </w:p>
    <w:p w14:paraId="08BFF878" w14:textId="5AFC0261" w:rsidR="007C434A" w:rsidRDefault="001E47F2" w:rsidP="00AB0EB6">
      <w:pPr>
        <w:pStyle w:val="CETBodytext"/>
      </w:pPr>
      <w:r>
        <w:t xml:space="preserve">The </w:t>
      </w:r>
      <w:r w:rsidR="00047E12">
        <w:t>3D visualization allows to</w:t>
      </w:r>
      <w:r w:rsidR="00C85785">
        <w:t xml:space="preserve"> visualize</w:t>
      </w:r>
      <w:r w:rsidR="00047E12">
        <w:t xml:space="preserve"> </w:t>
      </w:r>
      <w:r w:rsidR="001346DC">
        <w:t xml:space="preserve">the </w:t>
      </w:r>
      <w:r w:rsidR="00335E36">
        <w:t xml:space="preserve">actual physical effect. </w:t>
      </w:r>
      <w:r w:rsidR="00335E36" w:rsidRPr="00611226">
        <w:t>Figure 5</w:t>
      </w:r>
      <w:r w:rsidR="00AB0EB6" w:rsidRPr="00611226">
        <w:t>b</w:t>
      </w:r>
      <w:r w:rsidR="00335E36">
        <w:t xml:space="preserve"> show the contour of the pool fire, which is represented by a cylinder which is tilted due to wind</w:t>
      </w:r>
      <w:r w:rsidR="0021460D">
        <w:t xml:space="preserve"> effect</w:t>
      </w:r>
      <w:r w:rsidR="00335E36">
        <w:t xml:space="preserve">. </w:t>
      </w:r>
      <w:r w:rsidR="005B6BCA">
        <w:t>T</w:t>
      </w:r>
      <w:r w:rsidR="00335E36">
        <w:t>he different</w:t>
      </w:r>
      <w:r w:rsidR="005B6BCA">
        <w:t xml:space="preserve"> parts o</w:t>
      </w:r>
      <w:r w:rsidR="00335E36">
        <w:t xml:space="preserve">f the pool fire are </w:t>
      </w:r>
      <w:r w:rsidR="005B6BCA">
        <w:t>also represented</w:t>
      </w:r>
      <w:r w:rsidR="00335E36">
        <w:t xml:space="preserve">: in orange is the luminous part of the flame, while </w:t>
      </w:r>
      <w:r w:rsidR="005B6BCA">
        <w:t>in dark grey</w:t>
      </w:r>
      <w:r w:rsidR="00335E36">
        <w:t xml:space="preserve"> is the sooty part.</w:t>
      </w:r>
      <w:r w:rsidR="00AB0EB6">
        <w:t xml:space="preserve"> </w:t>
      </w:r>
      <w:r w:rsidR="006348FD">
        <w:t xml:space="preserve">Moreover, the 3D allows to take into consideration the difference of height among different equipment, which </w:t>
      </w:r>
      <w:r w:rsidR="00F80DE3">
        <w:t xml:space="preserve">is not possible for standard risk assessment tools. </w:t>
      </w:r>
      <w:r w:rsidR="005B6BCA">
        <w:t xml:space="preserve">By observing the </w:t>
      </w:r>
      <w:r w:rsidR="00986D9A">
        <w:t xml:space="preserve">pool fire contour, it is noticeable that </w:t>
      </w:r>
      <w:r w:rsidR="00FC4E4D">
        <w:t xml:space="preserve">the second LPG tank is engulfed in the </w:t>
      </w:r>
      <w:r w:rsidR="00047E12">
        <w:t>flames</w:t>
      </w:r>
      <w:r w:rsidR="00DD3CFA">
        <w:t xml:space="preserve">. This could damage the tank and </w:t>
      </w:r>
      <w:r w:rsidR="004C043B">
        <w:t xml:space="preserve">lead to </w:t>
      </w:r>
      <w:r w:rsidR="00DD3CFA">
        <w:t>potential domino effects</w:t>
      </w:r>
      <w:r w:rsidR="004C043B">
        <w:t>, amplifying the consequences</w:t>
      </w:r>
      <w:r w:rsidR="002207C2">
        <w:t xml:space="preserve"> of the primary event</w:t>
      </w:r>
      <w:r w:rsidR="004C043B">
        <w:t>.</w:t>
      </w:r>
      <w:r w:rsidR="00FB56BD">
        <w:t xml:space="preserve"> </w:t>
      </w:r>
      <w:r w:rsidR="00DB7B5A">
        <w:t>This chain of event</w:t>
      </w:r>
      <w:r w:rsidR="00FF202E">
        <w:t>s</w:t>
      </w:r>
      <w:r w:rsidR="00DB7B5A">
        <w:t xml:space="preserve"> is part of the future development of the tool, which will include the entire accident chain from </w:t>
      </w:r>
      <w:r w:rsidR="001346DC">
        <w:t xml:space="preserve">the </w:t>
      </w:r>
      <w:r w:rsidR="00DB7B5A">
        <w:t>primary</w:t>
      </w:r>
      <w:r w:rsidR="001346DC">
        <w:t xml:space="preserve"> scenario triggered by the attack</w:t>
      </w:r>
      <w:r w:rsidR="00DB7B5A">
        <w:t xml:space="preserve"> to </w:t>
      </w:r>
      <w:r w:rsidR="001346DC">
        <w:t>secondary scenarios derived from the escalation of the primary one.</w:t>
      </w:r>
      <w:r w:rsidR="00AB0EB6">
        <w:t xml:space="preserve"> </w:t>
      </w:r>
      <w:r w:rsidR="002207C2" w:rsidRPr="00611226">
        <w:t xml:space="preserve">Figure </w:t>
      </w:r>
      <w:r w:rsidR="00DD79B8" w:rsidRPr="00611226">
        <w:t>5</w:t>
      </w:r>
      <w:r w:rsidR="00AB0EB6" w:rsidRPr="00611226">
        <w:t>b</w:t>
      </w:r>
      <w:r w:rsidR="002207C2">
        <w:t xml:space="preserve"> also shows the risk</w:t>
      </w:r>
      <w:r w:rsidR="00200DC8">
        <w:t>-based</w:t>
      </w:r>
      <w:r w:rsidR="002207C2">
        <w:t xml:space="preserve"> contour</w:t>
      </w:r>
      <w:r w:rsidR="00B71577">
        <w:t xml:space="preserve">s and </w:t>
      </w:r>
      <w:r w:rsidR="008A2C5C">
        <w:t xml:space="preserve">territorial vulnerability </w:t>
      </w:r>
      <w:r w:rsidR="00B71577">
        <w:t>classification</w:t>
      </w:r>
      <w:r w:rsidR="002207C2">
        <w:t xml:space="preserve">, which </w:t>
      </w:r>
      <w:r w:rsidR="002207C2" w:rsidRPr="00611226">
        <w:t xml:space="preserve">are </w:t>
      </w:r>
      <w:r w:rsidR="00611226">
        <w:t>in the</w:t>
      </w:r>
      <w:r w:rsidR="002207C2">
        <w:t xml:space="preserve"> 3D </w:t>
      </w:r>
      <w:r w:rsidR="00611226">
        <w:t>representation are sphere</w:t>
      </w:r>
      <w:r w:rsidR="002207C2" w:rsidRPr="00611226">
        <w:t>s.</w:t>
      </w:r>
      <w:r w:rsidR="002207C2">
        <w:t xml:space="preserve"> </w:t>
      </w:r>
      <w:r w:rsidR="0041541E">
        <w:t>T</w:t>
      </w:r>
      <w:r w:rsidR="0085140F">
        <w:t>he reversible effect zone reaches part of the railway</w:t>
      </w:r>
      <w:r w:rsidR="00D85CE1">
        <w:t>. This highlight</w:t>
      </w:r>
      <w:r w:rsidR="0041541E">
        <w:t>s</w:t>
      </w:r>
      <w:r w:rsidR="00D85CE1">
        <w:t xml:space="preserve"> the criticality of intentional attack scenarios</w:t>
      </w:r>
      <w:r w:rsidR="007C434A">
        <w:t xml:space="preserve"> and the </w:t>
      </w:r>
      <w:r w:rsidR="008859D9">
        <w:t>need</w:t>
      </w:r>
      <w:r w:rsidR="007C434A">
        <w:t xml:space="preserve"> to further improve the security barriers </w:t>
      </w:r>
      <w:r w:rsidR="0041541E">
        <w:t>in place.</w:t>
      </w:r>
      <w:r w:rsidR="007C434A">
        <w:t xml:space="preserve"> </w:t>
      </w:r>
    </w:p>
    <w:p w14:paraId="68D26B83" w14:textId="14307E56" w:rsidR="00600535" w:rsidRPr="00B57B36" w:rsidRDefault="00600535" w:rsidP="00600535">
      <w:pPr>
        <w:pStyle w:val="CETHeading1"/>
        <w:rPr>
          <w:lang w:val="en-GB"/>
        </w:rPr>
      </w:pPr>
      <w:r w:rsidRPr="00B57B36">
        <w:rPr>
          <w:lang w:val="en-GB"/>
        </w:rPr>
        <w:lastRenderedPageBreak/>
        <w:t>Conclusions</w:t>
      </w:r>
      <w:r w:rsidR="005B61D6">
        <w:rPr>
          <w:lang w:val="en-GB"/>
        </w:rPr>
        <w:t xml:space="preserve"> and future works</w:t>
      </w:r>
    </w:p>
    <w:p w14:paraId="6178C5A9" w14:textId="77777777" w:rsidR="00CE6B8C" w:rsidRDefault="00D81AE1" w:rsidP="002A14CB">
      <w:pPr>
        <w:pStyle w:val="CETBodytext"/>
        <w:rPr>
          <w:lang w:val="en-GB"/>
        </w:rPr>
      </w:pPr>
      <w:r>
        <w:rPr>
          <w:lang w:val="en-GB"/>
        </w:rPr>
        <w:t xml:space="preserve">The </w:t>
      </w:r>
      <w:r w:rsidR="00E15493">
        <w:rPr>
          <w:lang w:val="en-GB"/>
        </w:rPr>
        <w:t xml:space="preserve">integration of safety and security scenarios is </w:t>
      </w:r>
      <w:r w:rsidR="002006D0">
        <w:rPr>
          <w:lang w:val="en-GB"/>
        </w:rPr>
        <w:t>a critical</w:t>
      </w:r>
      <w:r w:rsidR="00E15493">
        <w:rPr>
          <w:lang w:val="en-GB"/>
        </w:rPr>
        <w:t xml:space="preserve"> </w:t>
      </w:r>
      <w:r w:rsidR="008E2202">
        <w:rPr>
          <w:lang w:val="en-GB"/>
        </w:rPr>
        <w:t>issue</w:t>
      </w:r>
      <w:r w:rsidR="002006D0">
        <w:rPr>
          <w:lang w:val="en-GB"/>
        </w:rPr>
        <w:t xml:space="preserve"> for the protection of process facilities</w:t>
      </w:r>
      <w:r w:rsidR="004C043B">
        <w:rPr>
          <w:lang w:val="en-GB"/>
        </w:rPr>
        <w:t>.</w:t>
      </w:r>
      <w:r w:rsidR="002006D0">
        <w:rPr>
          <w:lang w:val="en-GB"/>
        </w:rPr>
        <w:t xml:space="preserve"> This work explored a methodology for 3D</w:t>
      </w:r>
      <w:r w:rsidR="00D20822">
        <w:rPr>
          <w:lang w:val="en-GB"/>
        </w:rPr>
        <w:t xml:space="preserve"> real-time assessment of ISS scenarios. A specific tool w</w:t>
      </w:r>
      <w:r w:rsidR="007454C4">
        <w:rPr>
          <w:lang w:val="en-GB"/>
        </w:rPr>
        <w:t xml:space="preserve">as developed as part of the methodology. The tool allows the evaluation of ISS scenarios and related domino effects. </w:t>
      </w:r>
      <w:r w:rsidR="00EB450B">
        <w:rPr>
          <w:lang w:val="en-GB"/>
        </w:rPr>
        <w:t>The tool has an additional functionality which allows users to store documents and data related to critical equipment. In this way, documentation can be easily retrieved and consulted by the user.</w:t>
      </w:r>
      <w:r w:rsidR="003444FF">
        <w:rPr>
          <w:lang w:val="en-GB"/>
        </w:rPr>
        <w:t xml:space="preserve"> </w:t>
      </w:r>
    </w:p>
    <w:p w14:paraId="46023A1F" w14:textId="16449E47" w:rsidR="00AB4FC4" w:rsidRDefault="00436057" w:rsidP="002A14CB">
      <w:pPr>
        <w:pStyle w:val="CETBodytext"/>
        <w:rPr>
          <w:lang w:val="en-GB"/>
        </w:rPr>
      </w:pPr>
      <w:r>
        <w:rPr>
          <w:lang w:val="en-GB"/>
        </w:rPr>
        <w:t xml:space="preserve">A simplified version of the tool was used to highlight the potentialities of the present methodology. The 3D visualization of the scenarios has </w:t>
      </w:r>
      <w:r w:rsidR="00461B55">
        <w:rPr>
          <w:lang w:val="en-GB"/>
        </w:rPr>
        <w:t xml:space="preserve">multiple advantages. The first one </w:t>
      </w:r>
      <w:r w:rsidR="00A816F2">
        <w:rPr>
          <w:lang w:val="en-GB"/>
        </w:rPr>
        <w:t xml:space="preserve">is that emergency squads have a quick tool to visualize impact zones and therefore better assess </w:t>
      </w:r>
      <w:r w:rsidR="0049384A">
        <w:rPr>
          <w:lang w:val="en-GB"/>
        </w:rPr>
        <w:t xml:space="preserve">evacuation and mitigation measures. The second advantage is that the management has a tool </w:t>
      </w:r>
      <w:r w:rsidR="00AE51DA">
        <w:rPr>
          <w:lang w:val="en-GB"/>
        </w:rPr>
        <w:t>that</w:t>
      </w:r>
      <w:r w:rsidR="0049384A">
        <w:rPr>
          <w:lang w:val="en-GB"/>
        </w:rPr>
        <w:t xml:space="preserve"> quicky allows to visualize the risk of</w:t>
      </w:r>
      <w:r w:rsidR="005871CA">
        <w:rPr>
          <w:lang w:val="en-GB"/>
        </w:rPr>
        <w:t xml:space="preserve"> either conventional or customized scenarios. This can be of support in decisional processes, for example while deciding which safety or security barriers to improve in </w:t>
      </w:r>
      <w:r w:rsidR="00111C35">
        <w:rPr>
          <w:lang w:val="en-GB"/>
        </w:rPr>
        <w:t xml:space="preserve">the </w:t>
      </w:r>
      <w:r w:rsidR="005871CA">
        <w:rPr>
          <w:lang w:val="en-GB"/>
        </w:rPr>
        <w:t>site.</w:t>
      </w:r>
      <w:r w:rsidR="00111C35">
        <w:rPr>
          <w:lang w:val="en-GB"/>
        </w:rPr>
        <w:t xml:space="preserve"> </w:t>
      </w:r>
      <w:r w:rsidR="00A5528A">
        <w:rPr>
          <w:lang w:val="en-GB"/>
        </w:rPr>
        <w:t>Moreover, the tool could be used for the training of employees.</w:t>
      </w:r>
      <w:r w:rsidR="00E324F7">
        <w:rPr>
          <w:lang w:val="en-GB"/>
        </w:rPr>
        <w:t xml:space="preserve"> Emergency scenarios can be </w:t>
      </w:r>
      <w:r w:rsidR="00AE51DA">
        <w:rPr>
          <w:lang w:val="en-GB"/>
        </w:rPr>
        <w:t>simulated</w:t>
      </w:r>
      <w:r w:rsidR="00E324F7">
        <w:rPr>
          <w:lang w:val="en-GB"/>
        </w:rPr>
        <w:t xml:space="preserve"> in the 3D tool </w:t>
      </w:r>
      <w:r w:rsidR="00C004C2">
        <w:rPr>
          <w:lang w:val="en-GB"/>
        </w:rPr>
        <w:t xml:space="preserve">in order to show </w:t>
      </w:r>
      <w:r w:rsidR="00AB4FC4">
        <w:rPr>
          <w:lang w:val="en-GB"/>
        </w:rPr>
        <w:t xml:space="preserve">emergency procedures and critical barriers or equipment </w:t>
      </w:r>
      <w:r w:rsidR="00C004C2">
        <w:rPr>
          <w:lang w:val="en-GB"/>
        </w:rPr>
        <w:t>to employees.</w:t>
      </w:r>
      <w:r w:rsidR="00053640">
        <w:rPr>
          <w:lang w:val="en-GB"/>
        </w:rPr>
        <w:t xml:space="preserve"> </w:t>
      </w:r>
    </w:p>
    <w:p w14:paraId="2E04433E" w14:textId="785F07A7" w:rsidR="00436057" w:rsidRDefault="00053640" w:rsidP="002A14CB">
      <w:pPr>
        <w:pStyle w:val="CETBodytext"/>
        <w:rPr>
          <w:lang w:val="en-GB"/>
        </w:rPr>
      </w:pPr>
      <w:r>
        <w:rPr>
          <w:lang w:val="en-GB"/>
        </w:rPr>
        <w:t>The drawback of having a</w:t>
      </w:r>
      <w:r w:rsidR="00764691">
        <w:rPr>
          <w:lang w:val="en-GB"/>
        </w:rPr>
        <w:t xml:space="preserve"> risk-assessment with low running times is related to the accuracy of </w:t>
      </w:r>
      <w:r w:rsidR="005C1E2E">
        <w:rPr>
          <w:lang w:val="en-GB"/>
        </w:rPr>
        <w:t>physical</w:t>
      </w:r>
      <w:r w:rsidR="00764691">
        <w:rPr>
          <w:lang w:val="en-GB"/>
        </w:rPr>
        <w:t xml:space="preserve"> models</w:t>
      </w:r>
      <w:r w:rsidR="005C1E2E">
        <w:rPr>
          <w:lang w:val="en-GB"/>
        </w:rPr>
        <w:t xml:space="preserve">. The integral models used in the tool are less accurate compared to others available; however, considering the scope of the tool </w:t>
      </w:r>
      <w:r w:rsidR="004B5C1E">
        <w:rPr>
          <w:lang w:val="en-GB"/>
        </w:rPr>
        <w:t xml:space="preserve">(especially for the management of emergency), the lower accuracy is considered acceptable </w:t>
      </w:r>
      <w:r w:rsidR="006E56AF">
        <w:rPr>
          <w:lang w:val="en-GB"/>
        </w:rPr>
        <w:t>to enhance the</w:t>
      </w:r>
      <w:r w:rsidR="004C6457">
        <w:rPr>
          <w:lang w:val="en-GB"/>
        </w:rPr>
        <w:t xml:space="preserve"> run-time speed of the tool.</w:t>
      </w:r>
    </w:p>
    <w:p w14:paraId="14C71715" w14:textId="7184694C" w:rsidR="00C621B6" w:rsidRDefault="00C621B6" w:rsidP="000361EB">
      <w:pPr>
        <w:pStyle w:val="CETBodytext"/>
        <w:rPr>
          <w:lang w:val="en-GB"/>
        </w:rPr>
      </w:pPr>
      <w:r>
        <w:rPr>
          <w:lang w:val="en-GB"/>
        </w:rPr>
        <w:t xml:space="preserve">Future works include the overall improvement of the algorithms of the tool. Procedures for the evaluation of domino </w:t>
      </w:r>
      <w:r w:rsidR="000865EB">
        <w:rPr>
          <w:lang w:val="en-GB"/>
        </w:rPr>
        <w:t xml:space="preserve">effects based on type of equipment and stored substance will be implemented in order to assess the risk of the whole accidental chain. Additionally, the </w:t>
      </w:r>
      <w:r w:rsidR="006D0AB4">
        <w:rPr>
          <w:lang w:val="en-GB"/>
        </w:rPr>
        <w:t xml:space="preserve">3D </w:t>
      </w:r>
      <w:r w:rsidR="000865EB">
        <w:rPr>
          <w:lang w:val="en-GB"/>
        </w:rPr>
        <w:t>evaluation of vulnerability will be implemented on the tool</w:t>
      </w:r>
      <w:r w:rsidR="006D0AB4">
        <w:rPr>
          <w:lang w:val="en-GB"/>
        </w:rPr>
        <w:t xml:space="preserve">. </w:t>
      </w:r>
      <w:r w:rsidR="006F1658">
        <w:rPr>
          <w:lang w:val="en-GB"/>
        </w:rPr>
        <w:t>Other</w:t>
      </w:r>
      <w:r w:rsidR="006D0AB4">
        <w:rPr>
          <w:lang w:val="en-GB"/>
        </w:rPr>
        <w:t xml:space="preserve"> metrics for risk assessment will be</w:t>
      </w:r>
      <w:r w:rsidR="006F1658">
        <w:rPr>
          <w:lang w:val="en-GB"/>
        </w:rPr>
        <w:t xml:space="preserve"> added, such as </w:t>
      </w:r>
      <w:r w:rsidR="000865EB">
        <w:rPr>
          <w:lang w:val="en-GB"/>
        </w:rPr>
        <w:t>the</w:t>
      </w:r>
      <w:r w:rsidR="006D0AB4">
        <w:rPr>
          <w:lang w:val="en-GB"/>
        </w:rPr>
        <w:t xml:space="preserve"> 3D</w:t>
      </w:r>
      <w:r w:rsidR="000865EB">
        <w:rPr>
          <w:lang w:val="en-GB"/>
        </w:rPr>
        <w:t xml:space="preserve"> evaluation of the Local </w:t>
      </w:r>
      <w:r w:rsidR="006D0AB4">
        <w:rPr>
          <w:lang w:val="en-GB"/>
        </w:rPr>
        <w:t>Specific Individual Risk</w:t>
      </w:r>
      <w:r w:rsidR="006F1658">
        <w:rPr>
          <w:lang w:val="en-GB"/>
        </w:rPr>
        <w:t xml:space="preserve">. </w:t>
      </w:r>
      <w:r w:rsidR="000361EB">
        <w:rPr>
          <w:lang w:val="en-GB"/>
        </w:rPr>
        <w:t>In conclusion, t</w:t>
      </w:r>
      <w:r w:rsidR="006F1658">
        <w:rPr>
          <w:lang w:val="en-GB"/>
        </w:rPr>
        <w:t xml:space="preserve">he </w:t>
      </w:r>
      <w:r w:rsidR="00AF0EC0">
        <w:rPr>
          <w:lang w:val="en-GB"/>
        </w:rPr>
        <w:t xml:space="preserve">full version of the tool will </w:t>
      </w:r>
      <w:r w:rsidR="00D37F28">
        <w:rPr>
          <w:lang w:val="en-GB"/>
        </w:rPr>
        <w:t xml:space="preserve">support </w:t>
      </w:r>
      <w:r w:rsidR="000361EB">
        <w:rPr>
          <w:lang w:val="en-GB"/>
        </w:rPr>
        <w:t xml:space="preserve">managers and analysists in addressing ISS issues. </w:t>
      </w:r>
    </w:p>
    <w:p w14:paraId="459D05E6" w14:textId="77777777" w:rsidR="00600535" w:rsidRPr="00B57B36" w:rsidRDefault="00600535" w:rsidP="00600535">
      <w:pPr>
        <w:pStyle w:val="CETAcknowledgementstitle"/>
      </w:pPr>
      <w:r w:rsidRPr="00B57B36">
        <w:t>Acknowledgments</w:t>
      </w:r>
    </w:p>
    <w:p w14:paraId="4810462B" w14:textId="0A77DB63" w:rsidR="0008535B" w:rsidRDefault="0008535B" w:rsidP="0008535B">
      <w:pPr>
        <w:pStyle w:val="CETReference"/>
        <w:jc w:val="both"/>
        <w:rPr>
          <w:b w:val="0"/>
        </w:rPr>
      </w:pPr>
      <w:r w:rsidRPr="0008535B">
        <w:rPr>
          <w:b w:val="0"/>
        </w:rPr>
        <w:t>This study was in part developed within the project LIFE20 ENV/IT/000436 –LIFE SECURDOMINO</w:t>
      </w:r>
      <w:r>
        <w:rPr>
          <w:b w:val="0"/>
        </w:rPr>
        <w:t xml:space="preserve"> </w:t>
      </w:r>
      <w:r w:rsidRPr="0008535B">
        <w:rPr>
          <w:b w:val="0"/>
        </w:rPr>
        <w:t xml:space="preserve">“Seveso sites: assessment of integrated safety-security hazards and risks and related domino </w:t>
      </w:r>
      <w:r>
        <w:rPr>
          <w:b w:val="0"/>
        </w:rPr>
        <w:t>e</w:t>
      </w:r>
      <w:r w:rsidRPr="0008535B">
        <w:rPr>
          <w:b w:val="0"/>
        </w:rPr>
        <w:t>ffects”</w:t>
      </w:r>
      <w:r w:rsidR="00400E6D">
        <w:rPr>
          <w:b w:val="0"/>
        </w:rPr>
        <w:t xml:space="preserve"> with the contribution of LIFE program of the European Union</w:t>
      </w:r>
      <w:r w:rsidR="00274BA7">
        <w:rPr>
          <w:b w:val="0"/>
        </w:rPr>
        <w:t>.</w:t>
      </w:r>
    </w:p>
    <w:p w14:paraId="4F1327F8" w14:textId="4D9AD5FE" w:rsidR="00600535" w:rsidRPr="00B57B36" w:rsidRDefault="00600535" w:rsidP="0008535B">
      <w:pPr>
        <w:pStyle w:val="CETReference"/>
      </w:pPr>
      <w:r w:rsidRPr="00B57B36">
        <w:t>References</w:t>
      </w:r>
    </w:p>
    <w:p w14:paraId="6AFF9E4B" w14:textId="0757FB17" w:rsidR="00CB47BB" w:rsidRDefault="00F74792" w:rsidP="00CB47BB">
      <w:pPr>
        <w:pStyle w:val="CETReferencetext"/>
      </w:pPr>
      <w:r w:rsidRPr="00D736C8">
        <w:t xml:space="preserve">American Petroleum Institute (API), 2008, </w:t>
      </w:r>
      <w:r w:rsidR="00CB47BB" w:rsidRPr="00D736C8">
        <w:t>ANSI/API Standard 581</w:t>
      </w:r>
      <w:r w:rsidR="00D736C8" w:rsidRPr="00D736C8">
        <w:t xml:space="preserve"> – Risk-</w:t>
      </w:r>
      <w:r w:rsidR="00D736C8">
        <w:t xml:space="preserve">Based Inspection Technology, </w:t>
      </w:r>
      <w:r w:rsidR="00FB027A">
        <w:t>American Petroleum Institute</w:t>
      </w:r>
      <w:r w:rsidR="00615C42">
        <w:t xml:space="preserve">, Washington D.C., </w:t>
      </w:r>
      <w:r w:rsidR="00A318C2">
        <w:t>U.S.</w:t>
      </w:r>
    </w:p>
    <w:p w14:paraId="4918F1C0" w14:textId="151D95A3" w:rsidR="00CF2B83" w:rsidRPr="006F4C37" w:rsidRDefault="00CF2B83" w:rsidP="00CB47BB">
      <w:pPr>
        <w:pStyle w:val="CETReferencetext"/>
        <w:rPr>
          <w:lang w:val="en-US"/>
        </w:rPr>
      </w:pPr>
      <w:r w:rsidRPr="006F4C37">
        <w:rPr>
          <w:lang w:val="en-US"/>
        </w:rPr>
        <w:t>American Petroleum Institute (API), 2013, ANSI/API Standard 780</w:t>
      </w:r>
      <w:r w:rsidR="006F4C37" w:rsidRPr="006F4C37">
        <w:rPr>
          <w:lang w:val="en-US"/>
        </w:rPr>
        <w:t xml:space="preserve"> – Security R</w:t>
      </w:r>
      <w:r w:rsidR="006F4C37">
        <w:rPr>
          <w:lang w:val="en-US"/>
        </w:rPr>
        <w:t>isk Assessment Methodology for the Petroleum and Petrochemical Industr</w:t>
      </w:r>
      <w:r w:rsidR="00A90DD2">
        <w:rPr>
          <w:lang w:val="en-US"/>
        </w:rPr>
        <w:t>ies</w:t>
      </w:r>
      <w:r w:rsidR="006F4C37">
        <w:rPr>
          <w:lang w:val="en-US"/>
        </w:rPr>
        <w:t>, American Petroleum Institute, Washington D.C.,</w:t>
      </w:r>
      <w:r w:rsidR="00A318C2">
        <w:rPr>
          <w:lang w:val="en-US"/>
        </w:rPr>
        <w:t xml:space="preserve"> U.S.</w:t>
      </w:r>
    </w:p>
    <w:p w14:paraId="32DB3AE3" w14:textId="281F36E0" w:rsidR="002E5089" w:rsidRPr="00D736C8" w:rsidRDefault="002E5089" w:rsidP="00CB47BB">
      <w:pPr>
        <w:pStyle w:val="CETReferencetext"/>
      </w:pPr>
      <w:r>
        <w:t xml:space="preserve">Baybutt P., Ready V., </w:t>
      </w:r>
      <w:r w:rsidR="004633DB">
        <w:t>2003, Strateg</w:t>
      </w:r>
      <w:r w:rsidR="009C7790">
        <w:t xml:space="preserve">ies for protecting process plants against terrorism, sabotage and other criminal acts, </w:t>
      </w:r>
      <w:r w:rsidR="00B016FD">
        <w:t>Homeland Defense Journal, 2, 1.</w:t>
      </w:r>
    </w:p>
    <w:p w14:paraId="453E34B9" w14:textId="77777777" w:rsidR="00DB0CE7" w:rsidRDefault="00AA17D0" w:rsidP="00DB0CE7">
      <w:pPr>
        <w:pStyle w:val="CETReferencetext"/>
        <w:rPr>
          <w:lang w:val="en-US"/>
        </w:rPr>
      </w:pPr>
      <w:r w:rsidRPr="00081F94">
        <w:rPr>
          <w:lang w:val="en-US"/>
        </w:rPr>
        <w:t>Casson Moreno V</w:t>
      </w:r>
      <w:r w:rsidR="00081F94" w:rsidRPr="00081F94">
        <w:rPr>
          <w:lang w:val="en-US"/>
        </w:rPr>
        <w:t xml:space="preserve">., Marroni G., Landucci G., </w:t>
      </w:r>
      <w:r w:rsidR="00081F94">
        <w:rPr>
          <w:lang w:val="en-US"/>
        </w:rPr>
        <w:t>2022, P</w:t>
      </w:r>
      <w:r w:rsidR="00081F94" w:rsidRPr="00081F94">
        <w:rPr>
          <w:lang w:val="en-US"/>
        </w:rPr>
        <w:t>robabilistic assessment aimed at th</w:t>
      </w:r>
      <w:r w:rsidR="00081F94">
        <w:rPr>
          <w:lang w:val="en-US"/>
        </w:rPr>
        <w:t xml:space="preserve">e evaluation of escalating scenarios in process facilities combining safety and security barriers, </w:t>
      </w:r>
      <w:r w:rsidR="00ED6EE6">
        <w:rPr>
          <w:lang w:val="en-US"/>
        </w:rPr>
        <w:t>Reliability Engineering and System Safety, 228, 108762</w:t>
      </w:r>
      <w:r w:rsidR="00DB0CE7" w:rsidRPr="00DB0CE7">
        <w:rPr>
          <w:lang w:val="en-US"/>
        </w:rPr>
        <w:t xml:space="preserve"> </w:t>
      </w:r>
    </w:p>
    <w:p w14:paraId="62ADD71E" w14:textId="290523E1" w:rsidR="00DB0CE7" w:rsidRPr="009263B9" w:rsidRDefault="00DB0CE7" w:rsidP="00DB0CE7">
      <w:pPr>
        <w:pStyle w:val="CETReferencetext"/>
        <w:rPr>
          <w:lang w:val="en-US"/>
        </w:rPr>
      </w:pPr>
      <w:r w:rsidRPr="009263B9">
        <w:rPr>
          <w:lang w:val="en-US"/>
        </w:rPr>
        <w:t>de Dianous V., Fiévez C., 2006, ARAMIS project: A more explicit d</w:t>
      </w:r>
      <w:r>
        <w:rPr>
          <w:lang w:val="en-US"/>
        </w:rPr>
        <w:t>emonstration of risk control through the use of the bow-tie diagrams and the evaluation of safety barrier performance, Journal of Hazardous Materials, 130, 220-233</w:t>
      </w:r>
    </w:p>
    <w:p w14:paraId="5576AA44" w14:textId="0D103DD4" w:rsidR="00AA275E" w:rsidRDefault="00AA275E" w:rsidP="006B4888">
      <w:pPr>
        <w:pStyle w:val="CETReferencetext"/>
        <w:rPr>
          <w:lang w:val="en-US"/>
        </w:rPr>
      </w:pPr>
      <w:r w:rsidRPr="00AA275E">
        <w:rPr>
          <w:lang w:val="en-US"/>
        </w:rPr>
        <w:t>Hankinson G., Lowesmith B.J.</w:t>
      </w:r>
      <w:r>
        <w:rPr>
          <w:lang w:val="en-US"/>
        </w:rPr>
        <w:t xml:space="preserve">, </w:t>
      </w:r>
      <w:r w:rsidR="00CD033E">
        <w:rPr>
          <w:lang w:val="en-US"/>
        </w:rPr>
        <w:t>2012, A consideration of methods of determining the radiative characteristics of jet fires, Combustion and Flame, 159, 1165-1177.</w:t>
      </w:r>
    </w:p>
    <w:p w14:paraId="710F5B3A" w14:textId="6AEAD040" w:rsidR="00FE3C4F" w:rsidRPr="002E3285" w:rsidRDefault="00FE3C4F" w:rsidP="00FE3C4F">
      <w:pPr>
        <w:pStyle w:val="CETReferencetext"/>
      </w:pPr>
      <w:r w:rsidRPr="002E3285">
        <w:t xml:space="preserve">Landucci G., Cozzani V., Birk M., 2013, Heat Radiation Effects, </w:t>
      </w:r>
      <w:r w:rsidR="00FE6885">
        <w:t>Chapter I</w:t>
      </w:r>
      <w:r w:rsidRPr="002E3285">
        <w:t>n</w:t>
      </w:r>
      <w:r w:rsidR="00FE6885">
        <w:t>:</w:t>
      </w:r>
      <w:r w:rsidRPr="002E3285">
        <w:t xml:space="preserve"> Reniers G.</w:t>
      </w:r>
      <w:r w:rsidR="0052474A">
        <w:t>,</w:t>
      </w:r>
      <w:r w:rsidRPr="002E3285">
        <w:t xml:space="preserve"> Cozzani V. </w:t>
      </w:r>
      <w:r w:rsidR="0053528C">
        <w:t>(</w:t>
      </w:r>
      <w:r w:rsidRPr="002E3285">
        <w:t>Eds</w:t>
      </w:r>
      <w:r w:rsidR="0053528C">
        <w:t>.)</w:t>
      </w:r>
      <w:r w:rsidRPr="002E3285">
        <w:t>, Domino Effects in the Process Industries: Modelling, Prevention and Managing, 70-115</w:t>
      </w:r>
    </w:p>
    <w:p w14:paraId="1B7011F6" w14:textId="395CE0DC" w:rsidR="00970B28" w:rsidRPr="00FB1E74" w:rsidRDefault="00FB1E74" w:rsidP="006B4888">
      <w:pPr>
        <w:pStyle w:val="CETReferencetext"/>
        <w:rPr>
          <w:lang w:val="en-US"/>
        </w:rPr>
      </w:pPr>
      <w:r w:rsidRPr="00FB1E74">
        <w:rPr>
          <w:rStyle w:val="normaltextrun"/>
          <w:rFonts w:cs="Arial"/>
          <w:color w:val="000000"/>
          <w:szCs w:val="18"/>
          <w:shd w:val="clear" w:color="auto" w:fill="FFFFFF"/>
          <w:lang w:val="en-US"/>
        </w:rPr>
        <w:t>Laurent A., Pey A., Gurtel P., Fabiano B.,</w:t>
      </w:r>
      <w:r>
        <w:rPr>
          <w:rStyle w:val="normaltextrun"/>
          <w:rFonts w:cs="Arial"/>
          <w:color w:val="000000"/>
          <w:szCs w:val="18"/>
          <w:shd w:val="clear" w:color="auto" w:fill="FFFFFF"/>
          <w:lang w:val="en-US"/>
        </w:rPr>
        <w:t xml:space="preserve"> 2021,</w:t>
      </w:r>
      <w:r w:rsidRPr="00FB1E74">
        <w:rPr>
          <w:rStyle w:val="normaltextrun"/>
          <w:rFonts w:cs="Arial"/>
          <w:color w:val="000000"/>
          <w:szCs w:val="18"/>
          <w:shd w:val="clear" w:color="auto" w:fill="FFFFFF"/>
          <w:lang w:val="en-US"/>
        </w:rPr>
        <w:t xml:space="preserve"> A critical perspective on th</w:t>
      </w:r>
      <w:r>
        <w:rPr>
          <w:rStyle w:val="normaltextrun"/>
          <w:rFonts w:cs="Arial"/>
          <w:color w:val="000000"/>
          <w:szCs w:val="18"/>
          <w:shd w:val="clear" w:color="auto" w:fill="FFFFFF"/>
          <w:lang w:val="en-US"/>
        </w:rPr>
        <w:t>e implementation of the EU Council Seveso Directive in France, Germany, Italy and Spain, Process Safety and Environmental Protection, 148, 47-74</w:t>
      </w:r>
    </w:p>
    <w:p w14:paraId="19C4FC68" w14:textId="2DEB3C4B" w:rsidR="004628D2" w:rsidRPr="00FB1E74" w:rsidRDefault="0098336D" w:rsidP="00926A1E">
      <w:pPr>
        <w:pStyle w:val="CETReferencetext"/>
        <w:rPr>
          <w:lang w:val="en-US"/>
        </w:rPr>
      </w:pPr>
      <w:r w:rsidRPr="00FB1E74">
        <w:rPr>
          <w:lang w:val="en-US"/>
        </w:rPr>
        <w:t>Marroni G., Piemonte A., Tamburini F., Caroti G</w:t>
      </w:r>
      <w:r w:rsidR="003E35FE" w:rsidRPr="00FB1E74">
        <w:rPr>
          <w:lang w:val="en-US"/>
        </w:rPr>
        <w:t xml:space="preserve">., Pannocchia G., Landucci G., 2022, An Interdisciplinary Approach Towards the Integrated Safety-Security Assessment of Process Facilities Operating in the Maghreb Context, Chemical Engineering Transactions, </w:t>
      </w:r>
      <w:r w:rsidR="00FF6595" w:rsidRPr="00FB1E74">
        <w:rPr>
          <w:lang w:val="en-US"/>
        </w:rPr>
        <w:t xml:space="preserve">91, </w:t>
      </w:r>
      <w:r w:rsidR="00E87DB4" w:rsidRPr="00FB1E74">
        <w:rPr>
          <w:lang w:val="en-US"/>
        </w:rPr>
        <w:t>517-522</w:t>
      </w:r>
    </w:p>
    <w:p w14:paraId="5EF63ACD" w14:textId="6ACFB758" w:rsidR="00F03ADF" w:rsidRDefault="00E20EEF" w:rsidP="00E20EEF">
      <w:pPr>
        <w:pStyle w:val="CETReferencetext"/>
        <w:rPr>
          <w:lang w:val="en-US"/>
        </w:rPr>
      </w:pPr>
      <w:r w:rsidRPr="00E20EEF">
        <w:rPr>
          <w:lang w:val="en-US"/>
        </w:rPr>
        <w:t>Sabatini M., Zanelli S., Ganapini S., Bonvicini S., Cozzani V.,</w:t>
      </w:r>
      <w:r w:rsidR="006D445C">
        <w:rPr>
          <w:lang w:val="en-US"/>
        </w:rPr>
        <w:t xml:space="preserve"> </w:t>
      </w:r>
      <w:r w:rsidRPr="00E20EEF">
        <w:rPr>
          <w:lang w:val="en-US"/>
        </w:rPr>
        <w:t>2009, Ranking the attractiveness of industrial plants to</w:t>
      </w:r>
      <w:r>
        <w:rPr>
          <w:lang w:val="en-US"/>
        </w:rPr>
        <w:t xml:space="preserve"> </w:t>
      </w:r>
      <w:r w:rsidRPr="00E20EEF">
        <w:rPr>
          <w:lang w:val="en-US"/>
        </w:rPr>
        <w:t>external acts of interference</w:t>
      </w:r>
      <w:r>
        <w:rPr>
          <w:lang w:val="en-US"/>
        </w:rPr>
        <w:t>,</w:t>
      </w:r>
      <w:r w:rsidRPr="00E20EEF">
        <w:rPr>
          <w:lang w:val="en-US"/>
        </w:rPr>
        <w:t xml:space="preserve"> Safety, Reliability and Risk</w:t>
      </w:r>
      <w:r>
        <w:rPr>
          <w:lang w:val="en-US"/>
        </w:rPr>
        <w:t xml:space="preserve"> </w:t>
      </w:r>
      <w:r w:rsidRPr="00E20EEF">
        <w:rPr>
          <w:lang w:val="en-US"/>
        </w:rPr>
        <w:t xml:space="preserve">Analysis: Theory, Methods and Applications </w:t>
      </w:r>
      <w:r>
        <w:rPr>
          <w:lang w:val="en-US"/>
        </w:rPr>
        <w:t>-</w:t>
      </w:r>
      <w:r w:rsidRPr="00E20EEF">
        <w:rPr>
          <w:lang w:val="en-US"/>
        </w:rPr>
        <w:t xml:space="preserve"> Proceedings of</w:t>
      </w:r>
      <w:r>
        <w:rPr>
          <w:lang w:val="en-US"/>
        </w:rPr>
        <w:t xml:space="preserve"> </w:t>
      </w:r>
      <w:r w:rsidRPr="00E20EEF">
        <w:rPr>
          <w:lang w:val="en-US"/>
        </w:rPr>
        <w:t>the Joint ESREL and SRA—Europe Conference, 1199–1205.</w:t>
      </w:r>
    </w:p>
    <w:p w14:paraId="1AD30F45" w14:textId="55296F63" w:rsidR="00335E36" w:rsidRPr="005162BF" w:rsidRDefault="00EB5A03" w:rsidP="00335E36">
      <w:pPr>
        <w:pStyle w:val="CETReferencetext"/>
        <w:rPr>
          <w:rFonts w:cs="Arial"/>
          <w:color w:val="000000"/>
          <w:szCs w:val="18"/>
          <w:shd w:val="clear" w:color="auto" w:fill="FFFFFF"/>
        </w:rPr>
      </w:pPr>
      <w:r>
        <w:rPr>
          <w:rStyle w:val="normaltextrun"/>
          <w:rFonts w:cs="Arial"/>
          <w:color w:val="000000"/>
          <w:szCs w:val="18"/>
          <w:shd w:val="clear" w:color="auto" w:fill="FFFFFF"/>
        </w:rPr>
        <w:t>v</w:t>
      </w:r>
      <w:r w:rsidR="00BA70C7">
        <w:rPr>
          <w:rStyle w:val="normaltextrun"/>
          <w:rFonts w:cs="Arial"/>
          <w:color w:val="000000"/>
          <w:szCs w:val="18"/>
          <w:shd w:val="clear" w:color="auto" w:fill="FFFFFF"/>
        </w:rPr>
        <w:t xml:space="preserve">an </w:t>
      </w:r>
      <w:r>
        <w:rPr>
          <w:rStyle w:val="normaltextrun"/>
          <w:rFonts w:cs="Arial"/>
          <w:color w:val="000000"/>
          <w:szCs w:val="18"/>
          <w:shd w:val="clear" w:color="auto" w:fill="FFFFFF"/>
        </w:rPr>
        <w:t>d</w:t>
      </w:r>
      <w:r w:rsidR="00BA70C7">
        <w:rPr>
          <w:rStyle w:val="normaltextrun"/>
          <w:rFonts w:cs="Arial"/>
          <w:color w:val="000000"/>
          <w:szCs w:val="18"/>
          <w:shd w:val="clear" w:color="auto" w:fill="FFFFFF"/>
        </w:rPr>
        <w:t>en Bos</w:t>
      </w:r>
      <w:r w:rsidR="00495C3A">
        <w:rPr>
          <w:rStyle w:val="normaltextrun"/>
          <w:rFonts w:cs="Arial"/>
          <w:color w:val="000000"/>
          <w:szCs w:val="18"/>
          <w:shd w:val="clear" w:color="auto" w:fill="FFFFFF"/>
        </w:rPr>
        <w:t>c</w:t>
      </w:r>
      <w:r w:rsidR="00BA70C7">
        <w:rPr>
          <w:rStyle w:val="normaltextrun"/>
          <w:rFonts w:cs="Arial"/>
          <w:color w:val="000000"/>
          <w:szCs w:val="18"/>
          <w:shd w:val="clear" w:color="auto" w:fill="FFFFFF"/>
        </w:rPr>
        <w:t>h C.J.H., Weterings R.A.P.M., 2005, Methods for the calculation of physical effects (Yellow Book), Committee for the Prevention of Disasters, The Hague, The Netherlands.</w:t>
      </w:r>
    </w:p>
    <w:sectPr w:rsidR="00335E36" w:rsidRPr="005162B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D250A" w14:textId="77777777" w:rsidR="00D3026D" w:rsidRDefault="00D3026D" w:rsidP="004F5E36">
      <w:r>
        <w:separator/>
      </w:r>
    </w:p>
  </w:endnote>
  <w:endnote w:type="continuationSeparator" w:id="0">
    <w:p w14:paraId="1C7A4717" w14:textId="77777777" w:rsidR="00D3026D" w:rsidRDefault="00D3026D" w:rsidP="004F5E36">
      <w:r>
        <w:continuationSeparator/>
      </w:r>
    </w:p>
  </w:endnote>
  <w:endnote w:type="continuationNotice" w:id="1">
    <w:p w14:paraId="73C66C96" w14:textId="77777777" w:rsidR="00D3026D" w:rsidRDefault="00D302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12067" w14:textId="77777777" w:rsidR="00D3026D" w:rsidRDefault="00D3026D" w:rsidP="004F5E36">
      <w:r>
        <w:separator/>
      </w:r>
    </w:p>
  </w:footnote>
  <w:footnote w:type="continuationSeparator" w:id="0">
    <w:p w14:paraId="65A0E094" w14:textId="77777777" w:rsidR="00D3026D" w:rsidRDefault="00D3026D" w:rsidP="004F5E36">
      <w:r>
        <w:continuationSeparator/>
      </w:r>
    </w:p>
  </w:footnote>
  <w:footnote w:type="continuationNotice" w:id="1">
    <w:p w14:paraId="5DE1B116" w14:textId="77777777" w:rsidR="00D3026D" w:rsidRDefault="00D3026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3760F2A"/>
    <w:multiLevelType w:val="hybridMultilevel"/>
    <w:tmpl w:val="C5E43E92"/>
    <w:lvl w:ilvl="0" w:tplc="6E88D840">
      <w:start w:val="10"/>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118696F"/>
    <w:multiLevelType w:val="hybridMultilevel"/>
    <w:tmpl w:val="1FE872B2"/>
    <w:lvl w:ilvl="0" w:tplc="9648F6F0">
      <w:start w:val="10"/>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77535918">
    <w:abstractNumId w:val="10"/>
  </w:num>
  <w:num w:numId="2" w16cid:durableId="990019418">
    <w:abstractNumId w:val="8"/>
  </w:num>
  <w:num w:numId="3" w16cid:durableId="166214158">
    <w:abstractNumId w:val="3"/>
  </w:num>
  <w:num w:numId="4" w16cid:durableId="1842044800">
    <w:abstractNumId w:val="2"/>
  </w:num>
  <w:num w:numId="5" w16cid:durableId="535002644">
    <w:abstractNumId w:val="1"/>
  </w:num>
  <w:num w:numId="6" w16cid:durableId="745494498">
    <w:abstractNumId w:val="0"/>
  </w:num>
  <w:num w:numId="7" w16cid:durableId="81341987">
    <w:abstractNumId w:val="9"/>
  </w:num>
  <w:num w:numId="8" w16cid:durableId="1960380058">
    <w:abstractNumId w:val="7"/>
  </w:num>
  <w:num w:numId="9" w16cid:durableId="823743539">
    <w:abstractNumId w:val="6"/>
  </w:num>
  <w:num w:numId="10" w16cid:durableId="722564862">
    <w:abstractNumId w:val="5"/>
  </w:num>
  <w:num w:numId="11" w16cid:durableId="478692260">
    <w:abstractNumId w:val="4"/>
  </w:num>
  <w:num w:numId="12" w16cid:durableId="715812614">
    <w:abstractNumId w:val="18"/>
  </w:num>
  <w:num w:numId="13" w16cid:durableId="1560441178">
    <w:abstractNumId w:val="12"/>
  </w:num>
  <w:num w:numId="14" w16cid:durableId="1147630714">
    <w:abstractNumId w:val="19"/>
  </w:num>
  <w:num w:numId="15" w16cid:durableId="1314020597">
    <w:abstractNumId w:val="21"/>
  </w:num>
  <w:num w:numId="16" w16cid:durableId="1280644630">
    <w:abstractNumId w:val="20"/>
  </w:num>
  <w:num w:numId="17" w16cid:durableId="597954831">
    <w:abstractNumId w:val="11"/>
  </w:num>
  <w:num w:numId="18" w16cid:durableId="611784646">
    <w:abstractNumId w:val="12"/>
    <w:lvlOverride w:ilvl="0">
      <w:startOverride w:val="1"/>
    </w:lvlOverride>
  </w:num>
  <w:num w:numId="19" w16cid:durableId="512575033">
    <w:abstractNumId w:val="16"/>
  </w:num>
  <w:num w:numId="20" w16cid:durableId="1960794769">
    <w:abstractNumId w:val="15"/>
  </w:num>
  <w:num w:numId="21" w16cid:durableId="1088581483">
    <w:abstractNumId w:val="14"/>
  </w:num>
  <w:num w:numId="22" w16cid:durableId="249851594">
    <w:abstractNumId w:val="13"/>
  </w:num>
  <w:num w:numId="23" w16cid:durableId="89009443">
    <w:abstractNumId w:val="22"/>
  </w:num>
  <w:num w:numId="24" w16cid:durableId="15392010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C8A"/>
    <w:rsid w:val="000052FB"/>
    <w:rsid w:val="00007E24"/>
    <w:rsid w:val="000117CB"/>
    <w:rsid w:val="000117DA"/>
    <w:rsid w:val="000142E7"/>
    <w:rsid w:val="00014AB2"/>
    <w:rsid w:val="000162F7"/>
    <w:rsid w:val="000210DB"/>
    <w:rsid w:val="000233AF"/>
    <w:rsid w:val="00026703"/>
    <w:rsid w:val="00030C76"/>
    <w:rsid w:val="0003148D"/>
    <w:rsid w:val="00031EEC"/>
    <w:rsid w:val="00034794"/>
    <w:rsid w:val="00035572"/>
    <w:rsid w:val="000361EB"/>
    <w:rsid w:val="00037C3F"/>
    <w:rsid w:val="000458EA"/>
    <w:rsid w:val="00047E12"/>
    <w:rsid w:val="00051566"/>
    <w:rsid w:val="00053640"/>
    <w:rsid w:val="00053AE1"/>
    <w:rsid w:val="00055F8D"/>
    <w:rsid w:val="000562A9"/>
    <w:rsid w:val="00057BD0"/>
    <w:rsid w:val="00062A9A"/>
    <w:rsid w:val="00065058"/>
    <w:rsid w:val="000701F3"/>
    <w:rsid w:val="00071EA9"/>
    <w:rsid w:val="00072504"/>
    <w:rsid w:val="00076B1A"/>
    <w:rsid w:val="00081F94"/>
    <w:rsid w:val="00083934"/>
    <w:rsid w:val="0008535B"/>
    <w:rsid w:val="00085380"/>
    <w:rsid w:val="000865EB"/>
    <w:rsid w:val="00086C39"/>
    <w:rsid w:val="00086E6B"/>
    <w:rsid w:val="000943F3"/>
    <w:rsid w:val="000A03B2"/>
    <w:rsid w:val="000A3925"/>
    <w:rsid w:val="000A5D13"/>
    <w:rsid w:val="000A6F58"/>
    <w:rsid w:val="000B06C3"/>
    <w:rsid w:val="000B39EB"/>
    <w:rsid w:val="000B5025"/>
    <w:rsid w:val="000B751E"/>
    <w:rsid w:val="000C3F6D"/>
    <w:rsid w:val="000D0268"/>
    <w:rsid w:val="000D0323"/>
    <w:rsid w:val="000D0802"/>
    <w:rsid w:val="000D0F97"/>
    <w:rsid w:val="000D2497"/>
    <w:rsid w:val="000D34BE"/>
    <w:rsid w:val="000D39C6"/>
    <w:rsid w:val="000D6F7E"/>
    <w:rsid w:val="000D7CB6"/>
    <w:rsid w:val="000E102F"/>
    <w:rsid w:val="000E2147"/>
    <w:rsid w:val="000E36F1"/>
    <w:rsid w:val="000E3A73"/>
    <w:rsid w:val="000E414A"/>
    <w:rsid w:val="000E7854"/>
    <w:rsid w:val="000F093C"/>
    <w:rsid w:val="000F18BF"/>
    <w:rsid w:val="000F787B"/>
    <w:rsid w:val="001022C5"/>
    <w:rsid w:val="0010397F"/>
    <w:rsid w:val="00111C35"/>
    <w:rsid w:val="00111C71"/>
    <w:rsid w:val="0011396D"/>
    <w:rsid w:val="00116834"/>
    <w:rsid w:val="0012091F"/>
    <w:rsid w:val="00122B79"/>
    <w:rsid w:val="00126BC2"/>
    <w:rsid w:val="00126ED1"/>
    <w:rsid w:val="00127D82"/>
    <w:rsid w:val="001308B6"/>
    <w:rsid w:val="0013121F"/>
    <w:rsid w:val="00131FE6"/>
    <w:rsid w:val="0013263F"/>
    <w:rsid w:val="00132A1E"/>
    <w:rsid w:val="001331DF"/>
    <w:rsid w:val="00133BFB"/>
    <w:rsid w:val="001341F1"/>
    <w:rsid w:val="0013451D"/>
    <w:rsid w:val="001346DC"/>
    <w:rsid w:val="00134DE4"/>
    <w:rsid w:val="00137E71"/>
    <w:rsid w:val="0014034D"/>
    <w:rsid w:val="00140ED8"/>
    <w:rsid w:val="001413DB"/>
    <w:rsid w:val="00143D00"/>
    <w:rsid w:val="00144D16"/>
    <w:rsid w:val="00145C3B"/>
    <w:rsid w:val="00147BB7"/>
    <w:rsid w:val="00147C03"/>
    <w:rsid w:val="00150E59"/>
    <w:rsid w:val="00151BDB"/>
    <w:rsid w:val="00152DE3"/>
    <w:rsid w:val="001613EC"/>
    <w:rsid w:val="00164CF9"/>
    <w:rsid w:val="001667A6"/>
    <w:rsid w:val="00166C46"/>
    <w:rsid w:val="00167D37"/>
    <w:rsid w:val="00175026"/>
    <w:rsid w:val="00177795"/>
    <w:rsid w:val="0018091D"/>
    <w:rsid w:val="001819F7"/>
    <w:rsid w:val="00183883"/>
    <w:rsid w:val="00184AD6"/>
    <w:rsid w:val="001854A6"/>
    <w:rsid w:val="00192B8C"/>
    <w:rsid w:val="001A4AF7"/>
    <w:rsid w:val="001B0349"/>
    <w:rsid w:val="001B07A5"/>
    <w:rsid w:val="001B1E93"/>
    <w:rsid w:val="001B2FF7"/>
    <w:rsid w:val="001B311D"/>
    <w:rsid w:val="001B65C1"/>
    <w:rsid w:val="001C238D"/>
    <w:rsid w:val="001C66F7"/>
    <w:rsid w:val="001C684B"/>
    <w:rsid w:val="001D0CFB"/>
    <w:rsid w:val="001D1608"/>
    <w:rsid w:val="001D1A20"/>
    <w:rsid w:val="001D21AF"/>
    <w:rsid w:val="001D301B"/>
    <w:rsid w:val="001D4914"/>
    <w:rsid w:val="001D53FC"/>
    <w:rsid w:val="001E1128"/>
    <w:rsid w:val="001E46C9"/>
    <w:rsid w:val="001E47F2"/>
    <w:rsid w:val="001E482B"/>
    <w:rsid w:val="001E6675"/>
    <w:rsid w:val="001F186A"/>
    <w:rsid w:val="001F42A5"/>
    <w:rsid w:val="001F545C"/>
    <w:rsid w:val="001F6985"/>
    <w:rsid w:val="001F6B21"/>
    <w:rsid w:val="001F7B9D"/>
    <w:rsid w:val="002006D0"/>
    <w:rsid w:val="00200DC8"/>
    <w:rsid w:val="00201C93"/>
    <w:rsid w:val="00202D00"/>
    <w:rsid w:val="0020668F"/>
    <w:rsid w:val="0020708C"/>
    <w:rsid w:val="00207619"/>
    <w:rsid w:val="0021460D"/>
    <w:rsid w:val="00214B45"/>
    <w:rsid w:val="0021759D"/>
    <w:rsid w:val="00217EB7"/>
    <w:rsid w:val="002207C2"/>
    <w:rsid w:val="002208D1"/>
    <w:rsid w:val="002224B4"/>
    <w:rsid w:val="0022445B"/>
    <w:rsid w:val="0023735E"/>
    <w:rsid w:val="00237F8D"/>
    <w:rsid w:val="00242049"/>
    <w:rsid w:val="00242C9F"/>
    <w:rsid w:val="002447EF"/>
    <w:rsid w:val="00251550"/>
    <w:rsid w:val="002517DB"/>
    <w:rsid w:val="0025284C"/>
    <w:rsid w:val="00254620"/>
    <w:rsid w:val="00255CAF"/>
    <w:rsid w:val="00262CE8"/>
    <w:rsid w:val="00263B05"/>
    <w:rsid w:val="002661E7"/>
    <w:rsid w:val="0027221A"/>
    <w:rsid w:val="00274270"/>
    <w:rsid w:val="002745AE"/>
    <w:rsid w:val="00274BA7"/>
    <w:rsid w:val="00275B61"/>
    <w:rsid w:val="00277930"/>
    <w:rsid w:val="00280FAF"/>
    <w:rsid w:val="00282656"/>
    <w:rsid w:val="00284A9B"/>
    <w:rsid w:val="0029546C"/>
    <w:rsid w:val="00296B83"/>
    <w:rsid w:val="00297DF1"/>
    <w:rsid w:val="002A14CB"/>
    <w:rsid w:val="002A4500"/>
    <w:rsid w:val="002A676E"/>
    <w:rsid w:val="002B2B9F"/>
    <w:rsid w:val="002B4015"/>
    <w:rsid w:val="002B61C3"/>
    <w:rsid w:val="002B6457"/>
    <w:rsid w:val="002B78CE"/>
    <w:rsid w:val="002C0B5C"/>
    <w:rsid w:val="002C13E2"/>
    <w:rsid w:val="002C2FB6"/>
    <w:rsid w:val="002C77CE"/>
    <w:rsid w:val="002C7B57"/>
    <w:rsid w:val="002D124E"/>
    <w:rsid w:val="002D1CD2"/>
    <w:rsid w:val="002D6965"/>
    <w:rsid w:val="002D7C1C"/>
    <w:rsid w:val="002D7E14"/>
    <w:rsid w:val="002E14D8"/>
    <w:rsid w:val="002E2190"/>
    <w:rsid w:val="002E2384"/>
    <w:rsid w:val="002E2AB8"/>
    <w:rsid w:val="002E323D"/>
    <w:rsid w:val="002E498E"/>
    <w:rsid w:val="002E5089"/>
    <w:rsid w:val="002E5FA7"/>
    <w:rsid w:val="002F123F"/>
    <w:rsid w:val="002F27DC"/>
    <w:rsid w:val="002F3309"/>
    <w:rsid w:val="003008CE"/>
    <w:rsid w:val="003009B7"/>
    <w:rsid w:val="00300E56"/>
    <w:rsid w:val="0030152C"/>
    <w:rsid w:val="00303778"/>
    <w:rsid w:val="0030451E"/>
    <w:rsid w:val="0030469C"/>
    <w:rsid w:val="0031438A"/>
    <w:rsid w:val="00321CA6"/>
    <w:rsid w:val="00323637"/>
    <w:rsid w:val="00323763"/>
    <w:rsid w:val="00323C5F"/>
    <w:rsid w:val="00324BA1"/>
    <w:rsid w:val="00325E46"/>
    <w:rsid w:val="00326F3B"/>
    <w:rsid w:val="00331375"/>
    <w:rsid w:val="00331709"/>
    <w:rsid w:val="00331C9D"/>
    <w:rsid w:val="00332C6D"/>
    <w:rsid w:val="00333003"/>
    <w:rsid w:val="00334C09"/>
    <w:rsid w:val="00335E36"/>
    <w:rsid w:val="00337D4C"/>
    <w:rsid w:val="00341134"/>
    <w:rsid w:val="003444FF"/>
    <w:rsid w:val="00344F0D"/>
    <w:rsid w:val="003455D9"/>
    <w:rsid w:val="00346362"/>
    <w:rsid w:val="003630B7"/>
    <w:rsid w:val="00363BFA"/>
    <w:rsid w:val="00366334"/>
    <w:rsid w:val="003664DA"/>
    <w:rsid w:val="003723D4"/>
    <w:rsid w:val="0037747F"/>
    <w:rsid w:val="00377A1C"/>
    <w:rsid w:val="00381905"/>
    <w:rsid w:val="00384B85"/>
    <w:rsid w:val="00384CC8"/>
    <w:rsid w:val="003850AB"/>
    <w:rsid w:val="00385D67"/>
    <w:rsid w:val="00385E6E"/>
    <w:rsid w:val="003863D4"/>
    <w:rsid w:val="003871FD"/>
    <w:rsid w:val="003874B0"/>
    <w:rsid w:val="003A06E3"/>
    <w:rsid w:val="003A0B46"/>
    <w:rsid w:val="003A0D6D"/>
    <w:rsid w:val="003A1E30"/>
    <w:rsid w:val="003A22F4"/>
    <w:rsid w:val="003A2829"/>
    <w:rsid w:val="003A3295"/>
    <w:rsid w:val="003A4EA3"/>
    <w:rsid w:val="003A7D1C"/>
    <w:rsid w:val="003B304B"/>
    <w:rsid w:val="003B3146"/>
    <w:rsid w:val="003B3167"/>
    <w:rsid w:val="003B32DA"/>
    <w:rsid w:val="003B5DC7"/>
    <w:rsid w:val="003C21F3"/>
    <w:rsid w:val="003C4B97"/>
    <w:rsid w:val="003D31D7"/>
    <w:rsid w:val="003E011F"/>
    <w:rsid w:val="003E28CF"/>
    <w:rsid w:val="003E35FE"/>
    <w:rsid w:val="003E5C0C"/>
    <w:rsid w:val="003E72A6"/>
    <w:rsid w:val="003E7A04"/>
    <w:rsid w:val="003F00D9"/>
    <w:rsid w:val="003F015E"/>
    <w:rsid w:val="003F3ECE"/>
    <w:rsid w:val="003F4ED1"/>
    <w:rsid w:val="003F6401"/>
    <w:rsid w:val="003F77E9"/>
    <w:rsid w:val="00400414"/>
    <w:rsid w:val="00400E6D"/>
    <w:rsid w:val="0040524E"/>
    <w:rsid w:val="00406CAB"/>
    <w:rsid w:val="0041446B"/>
    <w:rsid w:val="0041541E"/>
    <w:rsid w:val="0041649A"/>
    <w:rsid w:val="004232F9"/>
    <w:rsid w:val="00423725"/>
    <w:rsid w:val="0042489B"/>
    <w:rsid w:val="00427606"/>
    <w:rsid w:val="00430D37"/>
    <w:rsid w:val="00436057"/>
    <w:rsid w:val="0044071E"/>
    <w:rsid w:val="00440EF1"/>
    <w:rsid w:val="0044329C"/>
    <w:rsid w:val="004439AB"/>
    <w:rsid w:val="00443C00"/>
    <w:rsid w:val="00450220"/>
    <w:rsid w:val="00450662"/>
    <w:rsid w:val="004506EC"/>
    <w:rsid w:val="00453E24"/>
    <w:rsid w:val="00454E30"/>
    <w:rsid w:val="00457456"/>
    <w:rsid w:val="004577FE"/>
    <w:rsid w:val="00457B9C"/>
    <w:rsid w:val="0046164A"/>
    <w:rsid w:val="00461B55"/>
    <w:rsid w:val="004628D2"/>
    <w:rsid w:val="00462DCD"/>
    <w:rsid w:val="004633DB"/>
    <w:rsid w:val="004648AD"/>
    <w:rsid w:val="00464F61"/>
    <w:rsid w:val="004666D3"/>
    <w:rsid w:val="00467B29"/>
    <w:rsid w:val="004703A9"/>
    <w:rsid w:val="004749A8"/>
    <w:rsid w:val="004760DE"/>
    <w:rsid w:val="004763D7"/>
    <w:rsid w:val="00476B41"/>
    <w:rsid w:val="00476CEE"/>
    <w:rsid w:val="004804F7"/>
    <w:rsid w:val="00480BE3"/>
    <w:rsid w:val="00480EF6"/>
    <w:rsid w:val="0049384A"/>
    <w:rsid w:val="00493AD6"/>
    <w:rsid w:val="00493ECE"/>
    <w:rsid w:val="00495C3A"/>
    <w:rsid w:val="004A004E"/>
    <w:rsid w:val="004A0E1A"/>
    <w:rsid w:val="004A24CF"/>
    <w:rsid w:val="004A74E3"/>
    <w:rsid w:val="004B0297"/>
    <w:rsid w:val="004B0EA5"/>
    <w:rsid w:val="004B1B7D"/>
    <w:rsid w:val="004B28EA"/>
    <w:rsid w:val="004B5C1E"/>
    <w:rsid w:val="004C043B"/>
    <w:rsid w:val="004C39AB"/>
    <w:rsid w:val="004C3D1D"/>
    <w:rsid w:val="004C3D84"/>
    <w:rsid w:val="004C5771"/>
    <w:rsid w:val="004C6457"/>
    <w:rsid w:val="004C7913"/>
    <w:rsid w:val="004D5B7A"/>
    <w:rsid w:val="004D7132"/>
    <w:rsid w:val="004E19CE"/>
    <w:rsid w:val="004E4DD6"/>
    <w:rsid w:val="004E5174"/>
    <w:rsid w:val="004E574D"/>
    <w:rsid w:val="004F1210"/>
    <w:rsid w:val="004F2CB4"/>
    <w:rsid w:val="004F5E36"/>
    <w:rsid w:val="0050643D"/>
    <w:rsid w:val="00507B47"/>
    <w:rsid w:val="00507BEF"/>
    <w:rsid w:val="00507CC9"/>
    <w:rsid w:val="00511217"/>
    <w:rsid w:val="005119A5"/>
    <w:rsid w:val="005140CB"/>
    <w:rsid w:val="005149B3"/>
    <w:rsid w:val="00515636"/>
    <w:rsid w:val="005162BF"/>
    <w:rsid w:val="0052431A"/>
    <w:rsid w:val="0052474A"/>
    <w:rsid w:val="005256E8"/>
    <w:rsid w:val="0052777D"/>
    <w:rsid w:val="005278B7"/>
    <w:rsid w:val="00532016"/>
    <w:rsid w:val="00534125"/>
    <w:rsid w:val="005346C8"/>
    <w:rsid w:val="0053528C"/>
    <w:rsid w:val="005362EB"/>
    <w:rsid w:val="00540B45"/>
    <w:rsid w:val="005419C6"/>
    <w:rsid w:val="00543E7D"/>
    <w:rsid w:val="005450F6"/>
    <w:rsid w:val="00545D98"/>
    <w:rsid w:val="005462FC"/>
    <w:rsid w:val="0054737B"/>
    <w:rsid w:val="00547A68"/>
    <w:rsid w:val="0055043C"/>
    <w:rsid w:val="005531C9"/>
    <w:rsid w:val="005552DD"/>
    <w:rsid w:val="005612AE"/>
    <w:rsid w:val="00563F92"/>
    <w:rsid w:val="00565BB7"/>
    <w:rsid w:val="00570C43"/>
    <w:rsid w:val="00571793"/>
    <w:rsid w:val="00572FDB"/>
    <w:rsid w:val="00575C8B"/>
    <w:rsid w:val="00577FB2"/>
    <w:rsid w:val="00580177"/>
    <w:rsid w:val="00582380"/>
    <w:rsid w:val="0058255B"/>
    <w:rsid w:val="00583610"/>
    <w:rsid w:val="00583B01"/>
    <w:rsid w:val="005871CA"/>
    <w:rsid w:val="00587D27"/>
    <w:rsid w:val="00590E0F"/>
    <w:rsid w:val="0059571E"/>
    <w:rsid w:val="00597198"/>
    <w:rsid w:val="005975B8"/>
    <w:rsid w:val="005A0DD3"/>
    <w:rsid w:val="005A29E1"/>
    <w:rsid w:val="005A6189"/>
    <w:rsid w:val="005B2110"/>
    <w:rsid w:val="005B4FAB"/>
    <w:rsid w:val="005B61D6"/>
    <w:rsid w:val="005B61E6"/>
    <w:rsid w:val="005B67E8"/>
    <w:rsid w:val="005B6BCA"/>
    <w:rsid w:val="005C0A43"/>
    <w:rsid w:val="005C1E2E"/>
    <w:rsid w:val="005C215C"/>
    <w:rsid w:val="005C27DE"/>
    <w:rsid w:val="005C501C"/>
    <w:rsid w:val="005C594B"/>
    <w:rsid w:val="005C5FF0"/>
    <w:rsid w:val="005C651E"/>
    <w:rsid w:val="005C77E1"/>
    <w:rsid w:val="005D668A"/>
    <w:rsid w:val="005D6A2F"/>
    <w:rsid w:val="005D6B5F"/>
    <w:rsid w:val="005E1A82"/>
    <w:rsid w:val="005E23D6"/>
    <w:rsid w:val="005E379B"/>
    <w:rsid w:val="005E794C"/>
    <w:rsid w:val="005F0A28"/>
    <w:rsid w:val="005F0E5E"/>
    <w:rsid w:val="005F33D3"/>
    <w:rsid w:val="005F4160"/>
    <w:rsid w:val="005F78F3"/>
    <w:rsid w:val="00600535"/>
    <w:rsid w:val="0060523F"/>
    <w:rsid w:val="006064FA"/>
    <w:rsid w:val="00610CD6"/>
    <w:rsid w:val="00611226"/>
    <w:rsid w:val="00615C42"/>
    <w:rsid w:val="00617963"/>
    <w:rsid w:val="00620DEE"/>
    <w:rsid w:val="00621F92"/>
    <w:rsid w:val="0062280A"/>
    <w:rsid w:val="00623208"/>
    <w:rsid w:val="00625639"/>
    <w:rsid w:val="0063098B"/>
    <w:rsid w:val="00631B33"/>
    <w:rsid w:val="006348FD"/>
    <w:rsid w:val="0064184D"/>
    <w:rsid w:val="006422CC"/>
    <w:rsid w:val="00646194"/>
    <w:rsid w:val="00646BFD"/>
    <w:rsid w:val="00653137"/>
    <w:rsid w:val="00655680"/>
    <w:rsid w:val="00655731"/>
    <w:rsid w:val="00656B9B"/>
    <w:rsid w:val="006605A5"/>
    <w:rsid w:val="00660E3E"/>
    <w:rsid w:val="00661223"/>
    <w:rsid w:val="00662127"/>
    <w:rsid w:val="00662E74"/>
    <w:rsid w:val="00663889"/>
    <w:rsid w:val="00670078"/>
    <w:rsid w:val="006741FD"/>
    <w:rsid w:val="0067471E"/>
    <w:rsid w:val="00676C3E"/>
    <w:rsid w:val="00677F72"/>
    <w:rsid w:val="00680C23"/>
    <w:rsid w:val="00680F03"/>
    <w:rsid w:val="006819C8"/>
    <w:rsid w:val="00682329"/>
    <w:rsid w:val="006823FC"/>
    <w:rsid w:val="00684626"/>
    <w:rsid w:val="00685C94"/>
    <w:rsid w:val="006878AE"/>
    <w:rsid w:val="0069114B"/>
    <w:rsid w:val="006917C4"/>
    <w:rsid w:val="00691DD9"/>
    <w:rsid w:val="00693766"/>
    <w:rsid w:val="00693B45"/>
    <w:rsid w:val="00693EA8"/>
    <w:rsid w:val="00695CEB"/>
    <w:rsid w:val="006964C6"/>
    <w:rsid w:val="006A0254"/>
    <w:rsid w:val="006A3281"/>
    <w:rsid w:val="006A5A4F"/>
    <w:rsid w:val="006B4888"/>
    <w:rsid w:val="006B488A"/>
    <w:rsid w:val="006B590E"/>
    <w:rsid w:val="006B7F10"/>
    <w:rsid w:val="006C01E6"/>
    <w:rsid w:val="006C167D"/>
    <w:rsid w:val="006C2875"/>
    <w:rsid w:val="006C2E45"/>
    <w:rsid w:val="006C359C"/>
    <w:rsid w:val="006C5579"/>
    <w:rsid w:val="006C5C19"/>
    <w:rsid w:val="006C777C"/>
    <w:rsid w:val="006D0543"/>
    <w:rsid w:val="006D0696"/>
    <w:rsid w:val="006D0AB4"/>
    <w:rsid w:val="006D445C"/>
    <w:rsid w:val="006D6E8B"/>
    <w:rsid w:val="006E2586"/>
    <w:rsid w:val="006E40D2"/>
    <w:rsid w:val="006E4E9E"/>
    <w:rsid w:val="006E56AF"/>
    <w:rsid w:val="006E737D"/>
    <w:rsid w:val="006E74B2"/>
    <w:rsid w:val="006F163A"/>
    <w:rsid w:val="006F1658"/>
    <w:rsid w:val="006F4C37"/>
    <w:rsid w:val="00700728"/>
    <w:rsid w:val="0070465F"/>
    <w:rsid w:val="0070517A"/>
    <w:rsid w:val="007100EC"/>
    <w:rsid w:val="007137BD"/>
    <w:rsid w:val="00713973"/>
    <w:rsid w:val="00715911"/>
    <w:rsid w:val="00720A24"/>
    <w:rsid w:val="00720C88"/>
    <w:rsid w:val="00721DF1"/>
    <w:rsid w:val="007224D8"/>
    <w:rsid w:val="007231ED"/>
    <w:rsid w:val="00727C38"/>
    <w:rsid w:val="00732386"/>
    <w:rsid w:val="0073259B"/>
    <w:rsid w:val="0073514D"/>
    <w:rsid w:val="007447F3"/>
    <w:rsid w:val="007452D6"/>
    <w:rsid w:val="007454C4"/>
    <w:rsid w:val="007477D3"/>
    <w:rsid w:val="0075499F"/>
    <w:rsid w:val="0076080A"/>
    <w:rsid w:val="00760D7D"/>
    <w:rsid w:val="00764691"/>
    <w:rsid w:val="007661C8"/>
    <w:rsid w:val="0077098D"/>
    <w:rsid w:val="00771991"/>
    <w:rsid w:val="00773153"/>
    <w:rsid w:val="00774835"/>
    <w:rsid w:val="00775807"/>
    <w:rsid w:val="007825F4"/>
    <w:rsid w:val="00783973"/>
    <w:rsid w:val="00784E8E"/>
    <w:rsid w:val="00785C75"/>
    <w:rsid w:val="00786DAE"/>
    <w:rsid w:val="00792CA9"/>
    <w:rsid w:val="007931FA"/>
    <w:rsid w:val="00793C38"/>
    <w:rsid w:val="00794EC5"/>
    <w:rsid w:val="007A01AD"/>
    <w:rsid w:val="007A0B94"/>
    <w:rsid w:val="007A1440"/>
    <w:rsid w:val="007A32AF"/>
    <w:rsid w:val="007A44F5"/>
    <w:rsid w:val="007A4861"/>
    <w:rsid w:val="007A65C0"/>
    <w:rsid w:val="007A7447"/>
    <w:rsid w:val="007A7BBA"/>
    <w:rsid w:val="007B0C50"/>
    <w:rsid w:val="007B327F"/>
    <w:rsid w:val="007B38FA"/>
    <w:rsid w:val="007B4350"/>
    <w:rsid w:val="007B48F9"/>
    <w:rsid w:val="007B5D1A"/>
    <w:rsid w:val="007B5EF4"/>
    <w:rsid w:val="007B6837"/>
    <w:rsid w:val="007C1A43"/>
    <w:rsid w:val="007C434A"/>
    <w:rsid w:val="007C5222"/>
    <w:rsid w:val="007C5616"/>
    <w:rsid w:val="007C7783"/>
    <w:rsid w:val="007D0951"/>
    <w:rsid w:val="007D7CE6"/>
    <w:rsid w:val="007E15AB"/>
    <w:rsid w:val="007E657F"/>
    <w:rsid w:val="007E7723"/>
    <w:rsid w:val="007F5BBB"/>
    <w:rsid w:val="007F63C2"/>
    <w:rsid w:val="0080013E"/>
    <w:rsid w:val="008038B4"/>
    <w:rsid w:val="00803A1C"/>
    <w:rsid w:val="0080699D"/>
    <w:rsid w:val="00813288"/>
    <w:rsid w:val="00813542"/>
    <w:rsid w:val="008155AA"/>
    <w:rsid w:val="008168FC"/>
    <w:rsid w:val="00816E8B"/>
    <w:rsid w:val="00821056"/>
    <w:rsid w:val="008219B6"/>
    <w:rsid w:val="00830925"/>
    <w:rsid w:val="00830996"/>
    <w:rsid w:val="008322D5"/>
    <w:rsid w:val="008345F1"/>
    <w:rsid w:val="0083750D"/>
    <w:rsid w:val="0084003B"/>
    <w:rsid w:val="00844575"/>
    <w:rsid w:val="0085140F"/>
    <w:rsid w:val="00856415"/>
    <w:rsid w:val="00860A21"/>
    <w:rsid w:val="0086364B"/>
    <w:rsid w:val="00863EAD"/>
    <w:rsid w:val="00865B07"/>
    <w:rsid w:val="008667EA"/>
    <w:rsid w:val="00870AFF"/>
    <w:rsid w:val="00871548"/>
    <w:rsid w:val="00874B02"/>
    <w:rsid w:val="00874E09"/>
    <w:rsid w:val="0087637F"/>
    <w:rsid w:val="008817C6"/>
    <w:rsid w:val="00883FD8"/>
    <w:rsid w:val="0088596A"/>
    <w:rsid w:val="008859D9"/>
    <w:rsid w:val="00892AD5"/>
    <w:rsid w:val="0089468A"/>
    <w:rsid w:val="008A1512"/>
    <w:rsid w:val="008A2C5C"/>
    <w:rsid w:val="008A4AA5"/>
    <w:rsid w:val="008A6F40"/>
    <w:rsid w:val="008B0B1C"/>
    <w:rsid w:val="008B48A9"/>
    <w:rsid w:val="008B7BF9"/>
    <w:rsid w:val="008C3363"/>
    <w:rsid w:val="008C5B9D"/>
    <w:rsid w:val="008C662D"/>
    <w:rsid w:val="008C7CDB"/>
    <w:rsid w:val="008D1735"/>
    <w:rsid w:val="008D32B9"/>
    <w:rsid w:val="008D433B"/>
    <w:rsid w:val="008D4991"/>
    <w:rsid w:val="008D4A16"/>
    <w:rsid w:val="008E1621"/>
    <w:rsid w:val="008E2202"/>
    <w:rsid w:val="008E25BD"/>
    <w:rsid w:val="008E4184"/>
    <w:rsid w:val="008E566E"/>
    <w:rsid w:val="008E5ED7"/>
    <w:rsid w:val="008E6326"/>
    <w:rsid w:val="008E701C"/>
    <w:rsid w:val="008E703A"/>
    <w:rsid w:val="008F0E76"/>
    <w:rsid w:val="008F2BE8"/>
    <w:rsid w:val="008F7843"/>
    <w:rsid w:val="008F7D12"/>
    <w:rsid w:val="009014CA"/>
    <w:rsid w:val="0090161A"/>
    <w:rsid w:val="00901712"/>
    <w:rsid w:val="00901EB6"/>
    <w:rsid w:val="00902258"/>
    <w:rsid w:val="009030D1"/>
    <w:rsid w:val="009045A0"/>
    <w:rsid w:val="0090467F"/>
    <w:rsid w:val="00904C62"/>
    <w:rsid w:val="00911977"/>
    <w:rsid w:val="00922BA8"/>
    <w:rsid w:val="00923BA1"/>
    <w:rsid w:val="00924DAC"/>
    <w:rsid w:val="009259DA"/>
    <w:rsid w:val="00925BA2"/>
    <w:rsid w:val="00925D84"/>
    <w:rsid w:val="00926250"/>
    <w:rsid w:val="009263B9"/>
    <w:rsid w:val="009264F2"/>
    <w:rsid w:val="00926A1E"/>
    <w:rsid w:val="00927058"/>
    <w:rsid w:val="0093089F"/>
    <w:rsid w:val="0094034B"/>
    <w:rsid w:val="00940ACC"/>
    <w:rsid w:val="009413F1"/>
    <w:rsid w:val="00942750"/>
    <w:rsid w:val="009450CE"/>
    <w:rsid w:val="009459BB"/>
    <w:rsid w:val="00947179"/>
    <w:rsid w:val="0095122A"/>
    <w:rsid w:val="0095164B"/>
    <w:rsid w:val="00954090"/>
    <w:rsid w:val="00954ECB"/>
    <w:rsid w:val="00955F2A"/>
    <w:rsid w:val="009573E7"/>
    <w:rsid w:val="00962657"/>
    <w:rsid w:val="00962928"/>
    <w:rsid w:val="00963E05"/>
    <w:rsid w:val="00964A45"/>
    <w:rsid w:val="00964E00"/>
    <w:rsid w:val="00966767"/>
    <w:rsid w:val="00967843"/>
    <w:rsid w:val="00967D54"/>
    <w:rsid w:val="009708DD"/>
    <w:rsid w:val="00970B28"/>
    <w:rsid w:val="00971028"/>
    <w:rsid w:val="009711FD"/>
    <w:rsid w:val="00973F8F"/>
    <w:rsid w:val="0097720C"/>
    <w:rsid w:val="0098074E"/>
    <w:rsid w:val="009822E9"/>
    <w:rsid w:val="0098336D"/>
    <w:rsid w:val="00985F7E"/>
    <w:rsid w:val="00986A17"/>
    <w:rsid w:val="00986D9A"/>
    <w:rsid w:val="0099013A"/>
    <w:rsid w:val="009913FB"/>
    <w:rsid w:val="00991DBB"/>
    <w:rsid w:val="009939F9"/>
    <w:rsid w:val="00993B84"/>
    <w:rsid w:val="00995961"/>
    <w:rsid w:val="00996483"/>
    <w:rsid w:val="00996F5A"/>
    <w:rsid w:val="009A0531"/>
    <w:rsid w:val="009A11FA"/>
    <w:rsid w:val="009A23CB"/>
    <w:rsid w:val="009A4250"/>
    <w:rsid w:val="009A49C2"/>
    <w:rsid w:val="009B041A"/>
    <w:rsid w:val="009B1F0D"/>
    <w:rsid w:val="009B2359"/>
    <w:rsid w:val="009C092C"/>
    <w:rsid w:val="009C2E9B"/>
    <w:rsid w:val="009C32E9"/>
    <w:rsid w:val="009C37C3"/>
    <w:rsid w:val="009C501B"/>
    <w:rsid w:val="009C7361"/>
    <w:rsid w:val="009C7790"/>
    <w:rsid w:val="009C7C86"/>
    <w:rsid w:val="009D031D"/>
    <w:rsid w:val="009D2FF7"/>
    <w:rsid w:val="009D47BE"/>
    <w:rsid w:val="009D71CF"/>
    <w:rsid w:val="009E05AF"/>
    <w:rsid w:val="009E3402"/>
    <w:rsid w:val="009E5AD4"/>
    <w:rsid w:val="009E62F8"/>
    <w:rsid w:val="009E6999"/>
    <w:rsid w:val="009E7884"/>
    <w:rsid w:val="009E788A"/>
    <w:rsid w:val="009E7B75"/>
    <w:rsid w:val="009F0777"/>
    <w:rsid w:val="009F0E08"/>
    <w:rsid w:val="009F1339"/>
    <w:rsid w:val="00A0260D"/>
    <w:rsid w:val="00A0495C"/>
    <w:rsid w:val="00A0583E"/>
    <w:rsid w:val="00A07998"/>
    <w:rsid w:val="00A11314"/>
    <w:rsid w:val="00A12012"/>
    <w:rsid w:val="00A1337A"/>
    <w:rsid w:val="00A1763D"/>
    <w:rsid w:val="00A17CEC"/>
    <w:rsid w:val="00A17DC6"/>
    <w:rsid w:val="00A22872"/>
    <w:rsid w:val="00A22B05"/>
    <w:rsid w:val="00A26944"/>
    <w:rsid w:val="00A27EF0"/>
    <w:rsid w:val="00A318C2"/>
    <w:rsid w:val="00A33B2C"/>
    <w:rsid w:val="00A35FDC"/>
    <w:rsid w:val="00A41266"/>
    <w:rsid w:val="00A42361"/>
    <w:rsid w:val="00A43D6C"/>
    <w:rsid w:val="00A4458C"/>
    <w:rsid w:val="00A4738D"/>
    <w:rsid w:val="00A50B20"/>
    <w:rsid w:val="00A51390"/>
    <w:rsid w:val="00A53683"/>
    <w:rsid w:val="00A549A9"/>
    <w:rsid w:val="00A5528A"/>
    <w:rsid w:val="00A57077"/>
    <w:rsid w:val="00A60D13"/>
    <w:rsid w:val="00A61FE1"/>
    <w:rsid w:val="00A64B90"/>
    <w:rsid w:val="00A64CEB"/>
    <w:rsid w:val="00A65308"/>
    <w:rsid w:val="00A66D34"/>
    <w:rsid w:val="00A67620"/>
    <w:rsid w:val="00A67780"/>
    <w:rsid w:val="00A710C0"/>
    <w:rsid w:val="00A7223D"/>
    <w:rsid w:val="00A72745"/>
    <w:rsid w:val="00A7320E"/>
    <w:rsid w:val="00A75D34"/>
    <w:rsid w:val="00A76EFC"/>
    <w:rsid w:val="00A7710E"/>
    <w:rsid w:val="00A776B0"/>
    <w:rsid w:val="00A80005"/>
    <w:rsid w:val="00A816F2"/>
    <w:rsid w:val="00A81B51"/>
    <w:rsid w:val="00A86C4E"/>
    <w:rsid w:val="00A8718D"/>
    <w:rsid w:val="00A87D50"/>
    <w:rsid w:val="00A90DD2"/>
    <w:rsid w:val="00A91010"/>
    <w:rsid w:val="00A9603D"/>
    <w:rsid w:val="00A97F29"/>
    <w:rsid w:val="00AA0683"/>
    <w:rsid w:val="00AA0BCC"/>
    <w:rsid w:val="00AA0C2B"/>
    <w:rsid w:val="00AA17D0"/>
    <w:rsid w:val="00AA275E"/>
    <w:rsid w:val="00AA2B59"/>
    <w:rsid w:val="00AA702E"/>
    <w:rsid w:val="00AA7D26"/>
    <w:rsid w:val="00AB0964"/>
    <w:rsid w:val="00AB0EB6"/>
    <w:rsid w:val="00AB15B0"/>
    <w:rsid w:val="00AB498B"/>
    <w:rsid w:val="00AB4FC4"/>
    <w:rsid w:val="00AB5011"/>
    <w:rsid w:val="00AB66BF"/>
    <w:rsid w:val="00AC0C63"/>
    <w:rsid w:val="00AC0EF0"/>
    <w:rsid w:val="00AC3066"/>
    <w:rsid w:val="00AC3BB3"/>
    <w:rsid w:val="00AC449B"/>
    <w:rsid w:val="00AC4F90"/>
    <w:rsid w:val="00AC5B45"/>
    <w:rsid w:val="00AC6806"/>
    <w:rsid w:val="00AC7368"/>
    <w:rsid w:val="00AD16B9"/>
    <w:rsid w:val="00AD3018"/>
    <w:rsid w:val="00AD5633"/>
    <w:rsid w:val="00AD60D8"/>
    <w:rsid w:val="00AE26CE"/>
    <w:rsid w:val="00AE377D"/>
    <w:rsid w:val="00AE51DA"/>
    <w:rsid w:val="00AE7707"/>
    <w:rsid w:val="00AF0EBA"/>
    <w:rsid w:val="00AF0EC0"/>
    <w:rsid w:val="00AF7667"/>
    <w:rsid w:val="00B016FD"/>
    <w:rsid w:val="00B0178D"/>
    <w:rsid w:val="00B02663"/>
    <w:rsid w:val="00B02C8A"/>
    <w:rsid w:val="00B03F23"/>
    <w:rsid w:val="00B04CF1"/>
    <w:rsid w:val="00B07DE3"/>
    <w:rsid w:val="00B17FBD"/>
    <w:rsid w:val="00B2386B"/>
    <w:rsid w:val="00B24834"/>
    <w:rsid w:val="00B25840"/>
    <w:rsid w:val="00B2646C"/>
    <w:rsid w:val="00B30E38"/>
    <w:rsid w:val="00B31187"/>
    <w:rsid w:val="00B315A6"/>
    <w:rsid w:val="00B31813"/>
    <w:rsid w:val="00B33365"/>
    <w:rsid w:val="00B33FF3"/>
    <w:rsid w:val="00B42215"/>
    <w:rsid w:val="00B4450C"/>
    <w:rsid w:val="00B44517"/>
    <w:rsid w:val="00B45A16"/>
    <w:rsid w:val="00B47DEA"/>
    <w:rsid w:val="00B505AE"/>
    <w:rsid w:val="00B51809"/>
    <w:rsid w:val="00B57231"/>
    <w:rsid w:val="00B57B36"/>
    <w:rsid w:val="00B57E6F"/>
    <w:rsid w:val="00B62D34"/>
    <w:rsid w:val="00B63B2E"/>
    <w:rsid w:val="00B63D46"/>
    <w:rsid w:val="00B64B3A"/>
    <w:rsid w:val="00B65BD7"/>
    <w:rsid w:val="00B6737B"/>
    <w:rsid w:val="00B67C44"/>
    <w:rsid w:val="00B71577"/>
    <w:rsid w:val="00B75288"/>
    <w:rsid w:val="00B756EB"/>
    <w:rsid w:val="00B8140B"/>
    <w:rsid w:val="00B81FC1"/>
    <w:rsid w:val="00B82166"/>
    <w:rsid w:val="00B860AE"/>
    <w:rsid w:val="00B8686D"/>
    <w:rsid w:val="00B879CB"/>
    <w:rsid w:val="00B90FDF"/>
    <w:rsid w:val="00B9222F"/>
    <w:rsid w:val="00B93F69"/>
    <w:rsid w:val="00B9697C"/>
    <w:rsid w:val="00B96BDD"/>
    <w:rsid w:val="00B97C6D"/>
    <w:rsid w:val="00B97CC6"/>
    <w:rsid w:val="00BA0219"/>
    <w:rsid w:val="00BA14C3"/>
    <w:rsid w:val="00BA1750"/>
    <w:rsid w:val="00BA6667"/>
    <w:rsid w:val="00BA70C7"/>
    <w:rsid w:val="00BA7A39"/>
    <w:rsid w:val="00BA7C75"/>
    <w:rsid w:val="00BB1DDC"/>
    <w:rsid w:val="00BB3FDA"/>
    <w:rsid w:val="00BC2913"/>
    <w:rsid w:val="00BC2FB6"/>
    <w:rsid w:val="00BC30C9"/>
    <w:rsid w:val="00BC4190"/>
    <w:rsid w:val="00BC461C"/>
    <w:rsid w:val="00BD077D"/>
    <w:rsid w:val="00BE3C22"/>
    <w:rsid w:val="00BE3E58"/>
    <w:rsid w:val="00BE49E4"/>
    <w:rsid w:val="00BF0FBD"/>
    <w:rsid w:val="00BF1654"/>
    <w:rsid w:val="00BF6422"/>
    <w:rsid w:val="00C004C2"/>
    <w:rsid w:val="00C00546"/>
    <w:rsid w:val="00C01616"/>
    <w:rsid w:val="00C0162B"/>
    <w:rsid w:val="00C03196"/>
    <w:rsid w:val="00C038F2"/>
    <w:rsid w:val="00C0458B"/>
    <w:rsid w:val="00C04A87"/>
    <w:rsid w:val="00C068ED"/>
    <w:rsid w:val="00C10E07"/>
    <w:rsid w:val="00C11B3F"/>
    <w:rsid w:val="00C127A5"/>
    <w:rsid w:val="00C129A7"/>
    <w:rsid w:val="00C13CCF"/>
    <w:rsid w:val="00C13D6C"/>
    <w:rsid w:val="00C16820"/>
    <w:rsid w:val="00C16B91"/>
    <w:rsid w:val="00C17D91"/>
    <w:rsid w:val="00C22E0C"/>
    <w:rsid w:val="00C23173"/>
    <w:rsid w:val="00C2512A"/>
    <w:rsid w:val="00C31142"/>
    <w:rsid w:val="00C345B1"/>
    <w:rsid w:val="00C34641"/>
    <w:rsid w:val="00C35115"/>
    <w:rsid w:val="00C40142"/>
    <w:rsid w:val="00C40E20"/>
    <w:rsid w:val="00C41764"/>
    <w:rsid w:val="00C42B73"/>
    <w:rsid w:val="00C444C8"/>
    <w:rsid w:val="00C52C3C"/>
    <w:rsid w:val="00C57182"/>
    <w:rsid w:val="00C57863"/>
    <w:rsid w:val="00C621B6"/>
    <w:rsid w:val="00C640AF"/>
    <w:rsid w:val="00C655FD"/>
    <w:rsid w:val="00C66EB7"/>
    <w:rsid w:val="00C75407"/>
    <w:rsid w:val="00C776AF"/>
    <w:rsid w:val="00C82A72"/>
    <w:rsid w:val="00C85785"/>
    <w:rsid w:val="00C8596C"/>
    <w:rsid w:val="00C870A8"/>
    <w:rsid w:val="00C91F28"/>
    <w:rsid w:val="00C93981"/>
    <w:rsid w:val="00C94434"/>
    <w:rsid w:val="00C95090"/>
    <w:rsid w:val="00C96A93"/>
    <w:rsid w:val="00CA0654"/>
    <w:rsid w:val="00CA0D75"/>
    <w:rsid w:val="00CA0FB0"/>
    <w:rsid w:val="00CA1C95"/>
    <w:rsid w:val="00CA20AA"/>
    <w:rsid w:val="00CA3391"/>
    <w:rsid w:val="00CA5A9C"/>
    <w:rsid w:val="00CA6565"/>
    <w:rsid w:val="00CB18A1"/>
    <w:rsid w:val="00CB1E1B"/>
    <w:rsid w:val="00CB47BB"/>
    <w:rsid w:val="00CB5CA6"/>
    <w:rsid w:val="00CC4A27"/>
    <w:rsid w:val="00CC4C20"/>
    <w:rsid w:val="00CC6D9A"/>
    <w:rsid w:val="00CD033E"/>
    <w:rsid w:val="00CD051E"/>
    <w:rsid w:val="00CD274A"/>
    <w:rsid w:val="00CD3517"/>
    <w:rsid w:val="00CD5FE2"/>
    <w:rsid w:val="00CD67AC"/>
    <w:rsid w:val="00CE20FB"/>
    <w:rsid w:val="00CE29F9"/>
    <w:rsid w:val="00CE3204"/>
    <w:rsid w:val="00CE6B8C"/>
    <w:rsid w:val="00CE7C68"/>
    <w:rsid w:val="00CF155E"/>
    <w:rsid w:val="00CF27DD"/>
    <w:rsid w:val="00CF2B83"/>
    <w:rsid w:val="00CF2C74"/>
    <w:rsid w:val="00CF6E33"/>
    <w:rsid w:val="00CF7E2C"/>
    <w:rsid w:val="00D01F7C"/>
    <w:rsid w:val="00D02B4C"/>
    <w:rsid w:val="00D03074"/>
    <w:rsid w:val="00D03597"/>
    <w:rsid w:val="00D040C4"/>
    <w:rsid w:val="00D04B22"/>
    <w:rsid w:val="00D04F34"/>
    <w:rsid w:val="00D07CD0"/>
    <w:rsid w:val="00D11552"/>
    <w:rsid w:val="00D159F7"/>
    <w:rsid w:val="00D16705"/>
    <w:rsid w:val="00D17A84"/>
    <w:rsid w:val="00D20822"/>
    <w:rsid w:val="00D20AD1"/>
    <w:rsid w:val="00D21907"/>
    <w:rsid w:val="00D2749E"/>
    <w:rsid w:val="00D3026D"/>
    <w:rsid w:val="00D3052C"/>
    <w:rsid w:val="00D323A9"/>
    <w:rsid w:val="00D3269A"/>
    <w:rsid w:val="00D329F2"/>
    <w:rsid w:val="00D34C77"/>
    <w:rsid w:val="00D36090"/>
    <w:rsid w:val="00D37F28"/>
    <w:rsid w:val="00D41BFC"/>
    <w:rsid w:val="00D433CA"/>
    <w:rsid w:val="00D437C9"/>
    <w:rsid w:val="00D439D9"/>
    <w:rsid w:val="00D43E79"/>
    <w:rsid w:val="00D46B7E"/>
    <w:rsid w:val="00D54085"/>
    <w:rsid w:val="00D56ADA"/>
    <w:rsid w:val="00D57C84"/>
    <w:rsid w:val="00D57DD7"/>
    <w:rsid w:val="00D6057D"/>
    <w:rsid w:val="00D60E4F"/>
    <w:rsid w:val="00D61617"/>
    <w:rsid w:val="00D627B9"/>
    <w:rsid w:val="00D66505"/>
    <w:rsid w:val="00D675BE"/>
    <w:rsid w:val="00D6795A"/>
    <w:rsid w:val="00D70DD4"/>
    <w:rsid w:val="00D71636"/>
    <w:rsid w:val="00D71640"/>
    <w:rsid w:val="00D736C8"/>
    <w:rsid w:val="00D81AE1"/>
    <w:rsid w:val="00D82599"/>
    <w:rsid w:val="00D82609"/>
    <w:rsid w:val="00D82979"/>
    <w:rsid w:val="00D836C5"/>
    <w:rsid w:val="00D83C6A"/>
    <w:rsid w:val="00D84576"/>
    <w:rsid w:val="00D85CE1"/>
    <w:rsid w:val="00D86CBF"/>
    <w:rsid w:val="00D90641"/>
    <w:rsid w:val="00D93661"/>
    <w:rsid w:val="00D94B88"/>
    <w:rsid w:val="00D95040"/>
    <w:rsid w:val="00D96273"/>
    <w:rsid w:val="00DA1399"/>
    <w:rsid w:val="00DA24C6"/>
    <w:rsid w:val="00DA2B54"/>
    <w:rsid w:val="00DA4D7B"/>
    <w:rsid w:val="00DA721B"/>
    <w:rsid w:val="00DB0CE7"/>
    <w:rsid w:val="00DB2299"/>
    <w:rsid w:val="00DB74B3"/>
    <w:rsid w:val="00DB7B5A"/>
    <w:rsid w:val="00DC0C03"/>
    <w:rsid w:val="00DC308D"/>
    <w:rsid w:val="00DC4E81"/>
    <w:rsid w:val="00DC5007"/>
    <w:rsid w:val="00DC624C"/>
    <w:rsid w:val="00DC6F73"/>
    <w:rsid w:val="00DD271C"/>
    <w:rsid w:val="00DD3CFA"/>
    <w:rsid w:val="00DD79B8"/>
    <w:rsid w:val="00DD7B05"/>
    <w:rsid w:val="00DE264A"/>
    <w:rsid w:val="00DE42E9"/>
    <w:rsid w:val="00DE6D01"/>
    <w:rsid w:val="00DE71D8"/>
    <w:rsid w:val="00DF174A"/>
    <w:rsid w:val="00DF5072"/>
    <w:rsid w:val="00DF6287"/>
    <w:rsid w:val="00DF6C1B"/>
    <w:rsid w:val="00E024A8"/>
    <w:rsid w:val="00E02D18"/>
    <w:rsid w:val="00E041E7"/>
    <w:rsid w:val="00E115FE"/>
    <w:rsid w:val="00E143A1"/>
    <w:rsid w:val="00E15493"/>
    <w:rsid w:val="00E20EEF"/>
    <w:rsid w:val="00E23CA1"/>
    <w:rsid w:val="00E277CD"/>
    <w:rsid w:val="00E324F7"/>
    <w:rsid w:val="00E33ED5"/>
    <w:rsid w:val="00E343B4"/>
    <w:rsid w:val="00E409A8"/>
    <w:rsid w:val="00E422B9"/>
    <w:rsid w:val="00E423D7"/>
    <w:rsid w:val="00E4357C"/>
    <w:rsid w:val="00E44B11"/>
    <w:rsid w:val="00E44EF0"/>
    <w:rsid w:val="00E458C7"/>
    <w:rsid w:val="00E50A17"/>
    <w:rsid w:val="00E50C12"/>
    <w:rsid w:val="00E54B88"/>
    <w:rsid w:val="00E62717"/>
    <w:rsid w:val="00E65B91"/>
    <w:rsid w:val="00E679DF"/>
    <w:rsid w:val="00E70BB7"/>
    <w:rsid w:val="00E7209D"/>
    <w:rsid w:val="00E726CD"/>
    <w:rsid w:val="00E72BDC"/>
    <w:rsid w:val="00E72EAD"/>
    <w:rsid w:val="00E76B0C"/>
    <w:rsid w:val="00E77223"/>
    <w:rsid w:val="00E812A0"/>
    <w:rsid w:val="00E8528B"/>
    <w:rsid w:val="00E8543D"/>
    <w:rsid w:val="00E85B94"/>
    <w:rsid w:val="00E86060"/>
    <w:rsid w:val="00E86D55"/>
    <w:rsid w:val="00E870B2"/>
    <w:rsid w:val="00E876DE"/>
    <w:rsid w:val="00E87DB4"/>
    <w:rsid w:val="00E9003D"/>
    <w:rsid w:val="00E969C0"/>
    <w:rsid w:val="00E978D0"/>
    <w:rsid w:val="00EA2798"/>
    <w:rsid w:val="00EA4613"/>
    <w:rsid w:val="00EA5197"/>
    <w:rsid w:val="00EA6000"/>
    <w:rsid w:val="00EA6016"/>
    <w:rsid w:val="00EA7F91"/>
    <w:rsid w:val="00EA7FB3"/>
    <w:rsid w:val="00EB0A8A"/>
    <w:rsid w:val="00EB1523"/>
    <w:rsid w:val="00EB182F"/>
    <w:rsid w:val="00EB450B"/>
    <w:rsid w:val="00EB4F82"/>
    <w:rsid w:val="00EB5A03"/>
    <w:rsid w:val="00EB79A5"/>
    <w:rsid w:val="00EC0E49"/>
    <w:rsid w:val="00EC0F44"/>
    <w:rsid w:val="00EC101F"/>
    <w:rsid w:val="00EC10CB"/>
    <w:rsid w:val="00EC1D9F"/>
    <w:rsid w:val="00EC48AC"/>
    <w:rsid w:val="00EC4C81"/>
    <w:rsid w:val="00ED3936"/>
    <w:rsid w:val="00ED6A12"/>
    <w:rsid w:val="00ED6EE6"/>
    <w:rsid w:val="00EE0131"/>
    <w:rsid w:val="00EE169E"/>
    <w:rsid w:val="00EE17B0"/>
    <w:rsid w:val="00EE23CC"/>
    <w:rsid w:val="00EE26B6"/>
    <w:rsid w:val="00EE47A7"/>
    <w:rsid w:val="00EE53EC"/>
    <w:rsid w:val="00EF06D9"/>
    <w:rsid w:val="00EF481B"/>
    <w:rsid w:val="00EF5579"/>
    <w:rsid w:val="00EF7A0D"/>
    <w:rsid w:val="00EF7B19"/>
    <w:rsid w:val="00F00AAB"/>
    <w:rsid w:val="00F03950"/>
    <w:rsid w:val="00F03ADF"/>
    <w:rsid w:val="00F21590"/>
    <w:rsid w:val="00F22CC7"/>
    <w:rsid w:val="00F22DB1"/>
    <w:rsid w:val="00F23A85"/>
    <w:rsid w:val="00F24B3A"/>
    <w:rsid w:val="00F25D51"/>
    <w:rsid w:val="00F3049E"/>
    <w:rsid w:val="00F30C64"/>
    <w:rsid w:val="00F32BA2"/>
    <w:rsid w:val="00F32CDB"/>
    <w:rsid w:val="00F34663"/>
    <w:rsid w:val="00F37871"/>
    <w:rsid w:val="00F40907"/>
    <w:rsid w:val="00F416CA"/>
    <w:rsid w:val="00F43283"/>
    <w:rsid w:val="00F43B6F"/>
    <w:rsid w:val="00F43E0C"/>
    <w:rsid w:val="00F51C6C"/>
    <w:rsid w:val="00F5385F"/>
    <w:rsid w:val="00F53A4F"/>
    <w:rsid w:val="00F55048"/>
    <w:rsid w:val="00F565FE"/>
    <w:rsid w:val="00F63428"/>
    <w:rsid w:val="00F63A70"/>
    <w:rsid w:val="00F63D8C"/>
    <w:rsid w:val="00F648F6"/>
    <w:rsid w:val="00F71CF3"/>
    <w:rsid w:val="00F733CB"/>
    <w:rsid w:val="00F74792"/>
    <w:rsid w:val="00F7534E"/>
    <w:rsid w:val="00F75F9E"/>
    <w:rsid w:val="00F80DE3"/>
    <w:rsid w:val="00F8241D"/>
    <w:rsid w:val="00F82CB2"/>
    <w:rsid w:val="00F84912"/>
    <w:rsid w:val="00F8559F"/>
    <w:rsid w:val="00F869BA"/>
    <w:rsid w:val="00F86FD1"/>
    <w:rsid w:val="00F90802"/>
    <w:rsid w:val="00F93B70"/>
    <w:rsid w:val="00F93EDF"/>
    <w:rsid w:val="00F940A0"/>
    <w:rsid w:val="00F95B81"/>
    <w:rsid w:val="00F97C37"/>
    <w:rsid w:val="00FA1802"/>
    <w:rsid w:val="00FA21D0"/>
    <w:rsid w:val="00FA5F5F"/>
    <w:rsid w:val="00FA6D7A"/>
    <w:rsid w:val="00FA7C4E"/>
    <w:rsid w:val="00FB027A"/>
    <w:rsid w:val="00FB1E74"/>
    <w:rsid w:val="00FB42D5"/>
    <w:rsid w:val="00FB56BD"/>
    <w:rsid w:val="00FB730C"/>
    <w:rsid w:val="00FC0B4F"/>
    <w:rsid w:val="00FC2695"/>
    <w:rsid w:val="00FC3E03"/>
    <w:rsid w:val="00FC3FC1"/>
    <w:rsid w:val="00FC412A"/>
    <w:rsid w:val="00FC4E4D"/>
    <w:rsid w:val="00FD3AC0"/>
    <w:rsid w:val="00FD7E51"/>
    <w:rsid w:val="00FE3758"/>
    <w:rsid w:val="00FE3C30"/>
    <w:rsid w:val="00FE3C4F"/>
    <w:rsid w:val="00FE6885"/>
    <w:rsid w:val="00FF202E"/>
    <w:rsid w:val="00FF25B1"/>
    <w:rsid w:val="00FF6595"/>
    <w:rsid w:val="00FF70E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9F6FEDD1-BE84-4450-9D2A-818F59F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normaltextrun">
    <w:name w:val="normaltextrun"/>
    <w:basedOn w:val="Carpredefinitoparagrafo"/>
    <w:rsid w:val="00AC4F90"/>
  </w:style>
  <w:style w:type="character" w:customStyle="1" w:styleId="eop">
    <w:name w:val="eop"/>
    <w:basedOn w:val="Carpredefinitoparagrafo"/>
    <w:rsid w:val="00AC4F90"/>
  </w:style>
  <w:style w:type="character" w:styleId="Menzionenonrisolta">
    <w:name w:val="Unresolved Mention"/>
    <w:basedOn w:val="Carpredefinitoparagrafo"/>
    <w:uiPriority w:val="99"/>
    <w:semiHidden/>
    <w:unhideWhenUsed/>
    <w:rsid w:val="00BF0FBD"/>
    <w:rPr>
      <w:color w:val="605E5C"/>
      <w:shd w:val="clear" w:color="auto" w:fill="E1DFDD"/>
    </w:rPr>
  </w:style>
  <w:style w:type="character" w:styleId="Testosegnaposto">
    <w:name w:val="Placeholder Text"/>
    <w:basedOn w:val="Carpredefinitoparagrafo"/>
    <w:uiPriority w:val="99"/>
    <w:semiHidden/>
    <w:rsid w:val="00B63B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13126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530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3376</Words>
  <Characters>19249</Characters>
  <Application>Microsoft Office Word</Application>
  <DocSecurity>0</DocSecurity>
  <Lines>160</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Giulia Marroni</cp:lastModifiedBy>
  <cp:revision>229</cp:revision>
  <cp:lastPrinted>2023-02-13T16:38:00Z</cp:lastPrinted>
  <dcterms:created xsi:type="dcterms:W3CDTF">2023-02-14T10:20:00Z</dcterms:created>
  <dcterms:modified xsi:type="dcterms:W3CDTF">2023-04-17T07:33:00Z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