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8B0F77"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8B0F77" w:rsidRDefault="000A03B2" w:rsidP="00DE264A">
            <w:pPr>
              <w:tabs>
                <w:tab w:val="left" w:pos="-108"/>
              </w:tabs>
              <w:ind w:left="-108"/>
              <w:jc w:val="left"/>
              <w:rPr>
                <w:rFonts w:cs="Arial"/>
                <w:b/>
                <w:bCs/>
                <w:i/>
                <w:iCs/>
                <w:color w:val="000066"/>
                <w:sz w:val="12"/>
                <w:szCs w:val="12"/>
                <w:lang w:eastAsia="it-IT"/>
              </w:rPr>
            </w:pPr>
            <w:r w:rsidRPr="008B0F77">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8B0F77">
              <w:rPr>
                <w:rFonts w:ascii="AdvP6960" w:hAnsi="AdvP6960" w:cs="AdvP6960"/>
                <w:color w:val="241F20"/>
                <w:szCs w:val="18"/>
                <w:lang w:eastAsia="it-IT"/>
              </w:rPr>
              <w:t xml:space="preserve"> </w:t>
            </w:r>
            <w:r w:rsidRPr="008B0F77">
              <w:rPr>
                <w:rFonts w:cs="Arial"/>
                <w:b/>
                <w:bCs/>
                <w:i/>
                <w:iCs/>
                <w:color w:val="000066"/>
                <w:sz w:val="24"/>
                <w:szCs w:val="24"/>
                <w:lang w:eastAsia="it-IT"/>
              </w:rPr>
              <w:t>CHEMICAL ENGINEERING</w:t>
            </w:r>
            <w:r w:rsidRPr="008B0F77">
              <w:rPr>
                <w:rFonts w:cs="Arial"/>
                <w:b/>
                <w:bCs/>
                <w:i/>
                <w:iCs/>
                <w:color w:val="0033FF"/>
                <w:sz w:val="24"/>
                <w:szCs w:val="24"/>
                <w:lang w:eastAsia="it-IT"/>
              </w:rPr>
              <w:t xml:space="preserve"> </w:t>
            </w:r>
            <w:r w:rsidRPr="008B0F77">
              <w:rPr>
                <w:rFonts w:cs="Arial"/>
                <w:b/>
                <w:bCs/>
                <w:i/>
                <w:iCs/>
                <w:color w:val="666666"/>
                <w:sz w:val="24"/>
                <w:szCs w:val="24"/>
                <w:lang w:eastAsia="it-IT"/>
              </w:rPr>
              <w:t>TRANSACTIONS</w:t>
            </w:r>
            <w:r w:rsidRPr="008B0F77">
              <w:rPr>
                <w:color w:val="333333"/>
                <w:sz w:val="24"/>
                <w:szCs w:val="24"/>
                <w:lang w:eastAsia="it-IT"/>
              </w:rPr>
              <w:t xml:space="preserve"> </w:t>
            </w:r>
            <w:r w:rsidRPr="008B0F77">
              <w:rPr>
                <w:rFonts w:cs="Arial"/>
                <w:b/>
                <w:bCs/>
                <w:i/>
                <w:iCs/>
                <w:color w:val="000066"/>
                <w:sz w:val="27"/>
                <w:szCs w:val="27"/>
                <w:lang w:eastAsia="it-IT"/>
              </w:rPr>
              <w:br/>
            </w:r>
          </w:p>
          <w:p w14:paraId="4B780582" w14:textId="530285EB" w:rsidR="000A03B2" w:rsidRPr="008B0F77" w:rsidRDefault="00A76EFC" w:rsidP="001D21AF">
            <w:pPr>
              <w:tabs>
                <w:tab w:val="left" w:pos="-108"/>
              </w:tabs>
              <w:ind w:left="-108"/>
              <w:rPr>
                <w:rFonts w:cs="Arial"/>
                <w:b/>
                <w:bCs/>
                <w:i/>
                <w:iCs/>
                <w:color w:val="000066"/>
                <w:sz w:val="22"/>
                <w:szCs w:val="22"/>
                <w:lang w:eastAsia="it-IT"/>
              </w:rPr>
            </w:pPr>
            <w:r w:rsidRPr="008B0F77">
              <w:rPr>
                <w:rFonts w:cs="Arial"/>
                <w:b/>
                <w:bCs/>
                <w:i/>
                <w:iCs/>
                <w:color w:val="000066"/>
                <w:sz w:val="22"/>
                <w:szCs w:val="22"/>
                <w:lang w:eastAsia="it-IT"/>
              </w:rPr>
              <w:t xml:space="preserve">VOL. </w:t>
            </w:r>
            <w:r w:rsidR="0030152C" w:rsidRPr="008B0F77">
              <w:rPr>
                <w:rFonts w:cs="Arial"/>
                <w:b/>
                <w:bCs/>
                <w:i/>
                <w:iCs/>
                <w:color w:val="000066"/>
                <w:sz w:val="22"/>
                <w:szCs w:val="22"/>
                <w:lang w:eastAsia="it-IT"/>
              </w:rPr>
              <w:t xml:space="preserve">   </w:t>
            </w:r>
            <w:r w:rsidR="007B48F9" w:rsidRPr="008B0F77">
              <w:rPr>
                <w:rFonts w:cs="Arial"/>
                <w:b/>
                <w:bCs/>
                <w:i/>
                <w:iCs/>
                <w:color w:val="000066"/>
                <w:sz w:val="22"/>
                <w:szCs w:val="22"/>
                <w:lang w:eastAsia="it-IT"/>
              </w:rPr>
              <w:t>,</w:t>
            </w:r>
            <w:r w:rsidR="00FA5F5F" w:rsidRPr="008B0F77">
              <w:rPr>
                <w:rFonts w:cs="Arial"/>
                <w:b/>
                <w:bCs/>
                <w:i/>
                <w:iCs/>
                <w:color w:val="000066"/>
                <w:sz w:val="22"/>
                <w:szCs w:val="22"/>
                <w:lang w:eastAsia="it-IT"/>
              </w:rPr>
              <w:t xml:space="preserve"> </w:t>
            </w:r>
            <w:r w:rsidR="0030152C" w:rsidRPr="008B0F77">
              <w:rPr>
                <w:rFonts w:cs="Arial"/>
                <w:b/>
                <w:bCs/>
                <w:i/>
                <w:iCs/>
                <w:color w:val="000066"/>
                <w:sz w:val="22"/>
                <w:szCs w:val="22"/>
                <w:lang w:eastAsia="it-IT"/>
              </w:rPr>
              <w:t>2023</w:t>
            </w:r>
          </w:p>
        </w:tc>
        <w:tc>
          <w:tcPr>
            <w:tcW w:w="1843" w:type="dxa"/>
            <w:tcBorders>
              <w:left w:val="single" w:sz="4" w:space="0" w:color="auto"/>
              <w:bottom w:val="nil"/>
              <w:right w:val="single" w:sz="4" w:space="0" w:color="auto"/>
            </w:tcBorders>
          </w:tcPr>
          <w:p w14:paraId="56782132" w14:textId="77777777" w:rsidR="000A03B2" w:rsidRPr="008B0F77" w:rsidRDefault="000A03B2" w:rsidP="00CD5FE2">
            <w:pPr>
              <w:spacing w:line="140" w:lineRule="atLeast"/>
              <w:jc w:val="right"/>
              <w:rPr>
                <w:rFonts w:cs="Arial"/>
                <w:sz w:val="14"/>
                <w:szCs w:val="14"/>
              </w:rPr>
            </w:pPr>
            <w:r w:rsidRPr="008B0F77">
              <w:rPr>
                <w:rFonts w:cs="Arial"/>
                <w:sz w:val="14"/>
                <w:szCs w:val="14"/>
              </w:rPr>
              <w:t>A publication of</w:t>
            </w:r>
          </w:p>
          <w:p w14:paraId="599E5441" w14:textId="77777777" w:rsidR="000A03B2" w:rsidRPr="008B0F77" w:rsidRDefault="000A03B2" w:rsidP="00CD5FE2">
            <w:pPr>
              <w:jc w:val="right"/>
            </w:pPr>
            <w:r w:rsidRPr="008B0F77">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8B0F77" w14:paraId="380FA3CD" w14:textId="77777777" w:rsidTr="00DE264A">
        <w:trPr>
          <w:trHeight w:val="567"/>
          <w:jc w:val="center"/>
        </w:trPr>
        <w:tc>
          <w:tcPr>
            <w:tcW w:w="6946" w:type="dxa"/>
            <w:vMerge/>
            <w:tcBorders>
              <w:right w:val="single" w:sz="4" w:space="0" w:color="auto"/>
            </w:tcBorders>
          </w:tcPr>
          <w:p w14:paraId="39E5E4C1" w14:textId="77777777" w:rsidR="000A03B2" w:rsidRPr="008B0F77"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8B0F77" w:rsidRDefault="000A03B2" w:rsidP="00CD5FE2">
            <w:pPr>
              <w:spacing w:line="140" w:lineRule="atLeast"/>
              <w:jc w:val="right"/>
              <w:rPr>
                <w:rFonts w:cs="Arial"/>
                <w:sz w:val="14"/>
                <w:szCs w:val="14"/>
              </w:rPr>
            </w:pPr>
            <w:r w:rsidRPr="008B0F77">
              <w:rPr>
                <w:rFonts w:cs="Arial"/>
                <w:sz w:val="14"/>
                <w:szCs w:val="14"/>
              </w:rPr>
              <w:t>The Italian Association</w:t>
            </w:r>
          </w:p>
          <w:p w14:paraId="7522B1D2" w14:textId="77777777" w:rsidR="000A03B2" w:rsidRPr="008B0F77" w:rsidRDefault="000A03B2" w:rsidP="00CD5FE2">
            <w:pPr>
              <w:spacing w:line="140" w:lineRule="atLeast"/>
              <w:jc w:val="right"/>
              <w:rPr>
                <w:rFonts w:cs="Arial"/>
                <w:sz w:val="14"/>
                <w:szCs w:val="14"/>
              </w:rPr>
            </w:pPr>
            <w:r w:rsidRPr="008B0F77">
              <w:rPr>
                <w:rFonts w:cs="Arial"/>
                <w:sz w:val="14"/>
                <w:szCs w:val="14"/>
              </w:rPr>
              <w:t>of Chemical Engineering</w:t>
            </w:r>
          </w:p>
          <w:p w14:paraId="4F0CC5DE" w14:textId="47FDB2FC" w:rsidR="000A03B2" w:rsidRPr="008B0F77" w:rsidRDefault="000D0268" w:rsidP="00CD5FE2">
            <w:pPr>
              <w:spacing w:line="140" w:lineRule="atLeast"/>
              <w:jc w:val="right"/>
              <w:rPr>
                <w:rFonts w:cs="Arial"/>
                <w:sz w:val="13"/>
                <w:szCs w:val="13"/>
              </w:rPr>
            </w:pPr>
            <w:r w:rsidRPr="008B0F77">
              <w:rPr>
                <w:rFonts w:cs="Arial"/>
                <w:sz w:val="13"/>
                <w:szCs w:val="13"/>
              </w:rPr>
              <w:t>Online at www.cetjournal.it</w:t>
            </w:r>
          </w:p>
        </w:tc>
      </w:tr>
      <w:tr w:rsidR="000A03B2" w:rsidRPr="008B0F77" w14:paraId="2D1B7169" w14:textId="77777777" w:rsidTr="00DE264A">
        <w:trPr>
          <w:trHeight w:val="68"/>
          <w:jc w:val="center"/>
        </w:trPr>
        <w:tc>
          <w:tcPr>
            <w:tcW w:w="8789" w:type="dxa"/>
            <w:gridSpan w:val="2"/>
          </w:tcPr>
          <w:p w14:paraId="1D8DD3C9" w14:textId="72C518CF" w:rsidR="00AA7D26" w:rsidRPr="008B0F77" w:rsidRDefault="00AA7D26" w:rsidP="00AA7D26">
            <w:pPr>
              <w:ind w:left="-107"/>
              <w:outlineLvl w:val="2"/>
              <w:rPr>
                <w:rFonts w:ascii="Tahoma" w:hAnsi="Tahoma" w:cs="Tahoma"/>
                <w:bCs/>
                <w:color w:val="000000"/>
                <w:sz w:val="14"/>
                <w:szCs w:val="14"/>
                <w:lang w:eastAsia="it-IT"/>
              </w:rPr>
            </w:pPr>
            <w:r w:rsidRPr="008B0F77">
              <w:rPr>
                <w:rFonts w:ascii="Tahoma" w:hAnsi="Tahoma" w:cs="Tahoma"/>
                <w:iCs/>
                <w:color w:val="333333"/>
                <w:sz w:val="14"/>
                <w:szCs w:val="14"/>
                <w:lang w:eastAsia="it-IT"/>
              </w:rPr>
              <w:t>Guest Editor:</w:t>
            </w:r>
            <w:r w:rsidRPr="008B0F77">
              <w:rPr>
                <w:rFonts w:ascii="Tahoma" w:hAnsi="Tahoma" w:cs="Tahoma"/>
                <w:color w:val="000000"/>
                <w:sz w:val="14"/>
                <w:szCs w:val="14"/>
                <w:shd w:val="clear" w:color="auto" w:fill="FFFFFF"/>
              </w:rPr>
              <w:t xml:space="preserve"> </w:t>
            </w:r>
            <w:proofErr w:type="spellStart"/>
            <w:r w:rsidRPr="008B0F77">
              <w:rPr>
                <w:rFonts w:ascii="Tahoma" w:hAnsi="Tahoma" w:cs="Tahoma"/>
                <w:sz w:val="14"/>
                <w:szCs w:val="14"/>
              </w:rPr>
              <w:t>Sauro</w:t>
            </w:r>
            <w:proofErr w:type="spellEnd"/>
            <w:r w:rsidRPr="008B0F77">
              <w:rPr>
                <w:rFonts w:ascii="Tahoma" w:hAnsi="Tahoma" w:cs="Tahoma"/>
                <w:sz w:val="14"/>
                <w:szCs w:val="14"/>
              </w:rPr>
              <w:t xml:space="preserve"> </w:t>
            </w:r>
            <w:proofErr w:type="spellStart"/>
            <w:r w:rsidRPr="008B0F77">
              <w:rPr>
                <w:rFonts w:ascii="Tahoma" w:hAnsi="Tahoma" w:cs="Tahoma"/>
                <w:sz w:val="14"/>
                <w:szCs w:val="14"/>
              </w:rPr>
              <w:t>Pierucci</w:t>
            </w:r>
            <w:proofErr w:type="spellEnd"/>
          </w:p>
          <w:p w14:paraId="1B0F1814" w14:textId="650290B9" w:rsidR="000A03B2" w:rsidRPr="008B0F77" w:rsidRDefault="00AA7D26" w:rsidP="00AA7D26">
            <w:pPr>
              <w:tabs>
                <w:tab w:val="left" w:pos="-108"/>
              </w:tabs>
              <w:spacing w:line="140" w:lineRule="atLeast"/>
              <w:ind w:left="-107"/>
              <w:jc w:val="left"/>
            </w:pPr>
            <w:r w:rsidRPr="008B0F77">
              <w:rPr>
                <w:rFonts w:ascii="Tahoma" w:hAnsi="Tahoma" w:cs="Tahoma"/>
                <w:iCs/>
                <w:color w:val="333333"/>
                <w:sz w:val="14"/>
                <w:szCs w:val="14"/>
                <w:lang w:eastAsia="it-IT"/>
              </w:rPr>
              <w:t xml:space="preserve">Copyright © 2023, AIDIC Servizi </w:t>
            </w:r>
            <w:proofErr w:type="spellStart"/>
            <w:r w:rsidRPr="008B0F77">
              <w:rPr>
                <w:rFonts w:ascii="Tahoma" w:hAnsi="Tahoma" w:cs="Tahoma"/>
                <w:iCs/>
                <w:color w:val="333333"/>
                <w:sz w:val="14"/>
                <w:szCs w:val="14"/>
                <w:lang w:eastAsia="it-IT"/>
              </w:rPr>
              <w:t>S.r.l</w:t>
            </w:r>
            <w:proofErr w:type="spellEnd"/>
            <w:r w:rsidRPr="008B0F77">
              <w:rPr>
                <w:rFonts w:ascii="Tahoma" w:hAnsi="Tahoma" w:cs="Tahoma"/>
                <w:iCs/>
                <w:color w:val="333333"/>
                <w:sz w:val="14"/>
                <w:szCs w:val="14"/>
                <w:lang w:eastAsia="it-IT"/>
              </w:rPr>
              <w:t>.</w:t>
            </w:r>
            <w:r w:rsidRPr="008B0F77">
              <w:rPr>
                <w:rFonts w:ascii="Tahoma" w:hAnsi="Tahoma" w:cs="Tahoma"/>
                <w:iCs/>
                <w:color w:val="333333"/>
                <w:sz w:val="14"/>
                <w:szCs w:val="14"/>
                <w:lang w:eastAsia="it-IT"/>
              </w:rPr>
              <w:br/>
            </w:r>
            <w:r w:rsidRPr="008B0F77">
              <w:rPr>
                <w:rFonts w:ascii="Tahoma" w:hAnsi="Tahoma" w:cs="Tahoma"/>
                <w:b/>
                <w:iCs/>
                <w:color w:val="000000"/>
                <w:sz w:val="14"/>
                <w:szCs w:val="14"/>
                <w:lang w:eastAsia="it-IT"/>
              </w:rPr>
              <w:t>ISBN</w:t>
            </w:r>
            <w:r w:rsidRPr="008B0F77">
              <w:rPr>
                <w:rFonts w:ascii="Tahoma" w:hAnsi="Tahoma" w:cs="Tahoma"/>
                <w:iCs/>
                <w:color w:val="000000"/>
                <w:sz w:val="14"/>
                <w:szCs w:val="14"/>
                <w:lang w:eastAsia="it-IT"/>
              </w:rPr>
              <w:t xml:space="preserve"> </w:t>
            </w:r>
            <w:r w:rsidRPr="008B0F77">
              <w:rPr>
                <w:rFonts w:ascii="Tahoma" w:hAnsi="Tahoma" w:cs="Tahoma"/>
                <w:sz w:val="14"/>
                <w:szCs w:val="14"/>
              </w:rPr>
              <w:t>978-88-95608-98-3</w:t>
            </w:r>
            <w:r w:rsidRPr="008B0F77">
              <w:rPr>
                <w:rFonts w:ascii="Tahoma" w:hAnsi="Tahoma" w:cs="Tahoma"/>
                <w:iCs/>
                <w:color w:val="333333"/>
                <w:sz w:val="14"/>
                <w:szCs w:val="14"/>
                <w:lang w:eastAsia="it-IT"/>
              </w:rPr>
              <w:t xml:space="preserve">; </w:t>
            </w:r>
            <w:r w:rsidRPr="008B0F77">
              <w:rPr>
                <w:rFonts w:ascii="Tahoma" w:hAnsi="Tahoma" w:cs="Tahoma"/>
                <w:b/>
                <w:iCs/>
                <w:color w:val="333333"/>
                <w:sz w:val="14"/>
                <w:szCs w:val="14"/>
                <w:lang w:eastAsia="it-IT"/>
              </w:rPr>
              <w:t>ISSN</w:t>
            </w:r>
            <w:r w:rsidRPr="008B0F77">
              <w:rPr>
                <w:rFonts w:ascii="Tahoma" w:hAnsi="Tahoma" w:cs="Tahoma"/>
                <w:iCs/>
                <w:color w:val="333333"/>
                <w:sz w:val="14"/>
                <w:szCs w:val="14"/>
                <w:lang w:eastAsia="it-IT"/>
              </w:rPr>
              <w:t xml:space="preserve"> 2283-9216</w:t>
            </w:r>
          </w:p>
        </w:tc>
      </w:tr>
    </w:tbl>
    <w:p w14:paraId="2E667253" w14:textId="2B1DB0A8" w:rsidR="00E978D0" w:rsidRPr="008B0F77" w:rsidRDefault="00611092" w:rsidP="00611092">
      <w:pPr>
        <w:pStyle w:val="CETTitle"/>
      </w:pPr>
      <w:r w:rsidRPr="008B0F77">
        <w:t>Risks in Loading and Unloading LPG at Storage Sites: Analysis of a Set of Quasi-Accidental Events</w:t>
      </w:r>
    </w:p>
    <w:p w14:paraId="0488FED2" w14:textId="31E53D67" w:rsidR="00B57E6F" w:rsidRPr="008B0F77" w:rsidRDefault="0056104F" w:rsidP="00B57E6F">
      <w:pPr>
        <w:pStyle w:val="CETAuthors"/>
      </w:pPr>
      <w:r w:rsidRPr="008B0F77">
        <w:t>Casto Di Girolamo</w:t>
      </w:r>
      <w:r w:rsidRPr="008B0F77">
        <w:rPr>
          <w:vertAlign w:val="superscript"/>
        </w:rPr>
        <w:t>a</w:t>
      </w:r>
      <w:r w:rsidRPr="008B0F77">
        <w:t>, Silvia Carra</w:t>
      </w:r>
      <w:r w:rsidRPr="008B0F77">
        <w:rPr>
          <w:vertAlign w:val="superscript"/>
        </w:rPr>
        <w:t>b,*</w:t>
      </w:r>
      <w:r w:rsidRPr="008B0F77">
        <w:t>, Luigi Monica</w:t>
      </w:r>
      <w:r w:rsidRPr="008B0F77">
        <w:rPr>
          <w:vertAlign w:val="superscript"/>
        </w:rPr>
        <w:t>b</w:t>
      </w:r>
      <w:r w:rsidRPr="008B0F77">
        <w:t>, Andrea Tonti</w:t>
      </w:r>
      <w:r w:rsidRPr="008B0F77">
        <w:rPr>
          <w:vertAlign w:val="superscript"/>
        </w:rPr>
        <w:t>b</w:t>
      </w:r>
    </w:p>
    <w:p w14:paraId="6B2D21B3" w14:textId="00A76D6C" w:rsidR="00B57E6F" w:rsidRPr="008B0F77" w:rsidRDefault="00B57E6F" w:rsidP="00B57E6F">
      <w:pPr>
        <w:pStyle w:val="CETAddress"/>
      </w:pPr>
      <w:r w:rsidRPr="008B0F77">
        <w:rPr>
          <w:vertAlign w:val="superscript"/>
        </w:rPr>
        <w:t>a</w:t>
      </w:r>
      <w:r w:rsidR="0007598E" w:rsidRPr="008B0F77">
        <w:t>INAIL, Unità Operativa Territoriale di certificazione, verifica e ricerca di Piacenza, Via Rodolfo Boselli 59/63, 29122 Piacenza</w:t>
      </w:r>
      <w:r w:rsidRPr="008B0F77">
        <w:t xml:space="preserve"> </w:t>
      </w:r>
    </w:p>
    <w:p w14:paraId="3D72B0B0" w14:textId="059FA131" w:rsidR="00B57E6F" w:rsidRPr="008B0F77" w:rsidRDefault="00B57E6F" w:rsidP="00B57E6F">
      <w:pPr>
        <w:pStyle w:val="CETAddress"/>
      </w:pPr>
      <w:r w:rsidRPr="008B0F77">
        <w:rPr>
          <w:vertAlign w:val="superscript"/>
        </w:rPr>
        <w:t>b</w:t>
      </w:r>
      <w:r w:rsidR="0007598E" w:rsidRPr="008B0F77">
        <w:t>INAIL, Dipartimento Innovazione Tecnologica e Sicurezza degli Impianti, Prodotti e Insediamenti Antropici, Via Roberto Ferruzzi, 38, 00143 Roma, Italy</w:t>
      </w:r>
    </w:p>
    <w:p w14:paraId="73F1267A" w14:textId="1156764B" w:rsidR="00B57E6F" w:rsidRPr="008B0F77" w:rsidRDefault="00B57E6F" w:rsidP="00B57E6F">
      <w:pPr>
        <w:pStyle w:val="CETemail"/>
      </w:pPr>
      <w:r w:rsidRPr="008B0F77">
        <w:t xml:space="preserve"> </w:t>
      </w:r>
      <w:r w:rsidR="0007598E" w:rsidRPr="008B0F77">
        <w:t>si.carra@inail.it</w:t>
      </w:r>
      <w:bookmarkStart w:id="0" w:name="_GoBack"/>
      <w:bookmarkEnd w:id="0"/>
    </w:p>
    <w:p w14:paraId="110D7EE3" w14:textId="45743F09" w:rsidR="00CF496F" w:rsidRPr="008B0F77" w:rsidRDefault="00CF496F" w:rsidP="00CF496F">
      <w:pPr>
        <w:pStyle w:val="CETBodytext"/>
        <w:rPr>
          <w:lang w:val="en-GB"/>
        </w:rPr>
      </w:pPr>
      <w:bookmarkStart w:id="1" w:name="_Hlk495475023"/>
      <w:r w:rsidRPr="008B0F77">
        <w:rPr>
          <w:lang w:val="en-GB"/>
        </w:rPr>
        <w:t>In Europe</w:t>
      </w:r>
      <w:r w:rsidR="006A799B" w:rsidRPr="008B0F77">
        <w:rPr>
          <w:lang w:val="en-GB"/>
        </w:rPr>
        <w:t>,</w:t>
      </w:r>
      <w:r w:rsidRPr="008B0F77">
        <w:rPr>
          <w:lang w:val="en-GB"/>
        </w:rPr>
        <w:t xml:space="preserve"> several industrial plants present significant quantities of dangerous substances that can potentially cause major accidents with catastrophic </w:t>
      </w:r>
      <w:r w:rsidR="002730ED" w:rsidRPr="008B0F77">
        <w:rPr>
          <w:lang w:val="en-GB"/>
        </w:rPr>
        <w:t xml:space="preserve">consequences </w:t>
      </w:r>
      <w:r w:rsidRPr="008B0F77">
        <w:rPr>
          <w:lang w:val="en-GB"/>
        </w:rPr>
        <w:t>and domino effects on the surrounding area</w:t>
      </w:r>
      <w:r w:rsidR="002730ED" w:rsidRPr="008B0F77">
        <w:rPr>
          <w:lang w:val="en-GB"/>
        </w:rPr>
        <w:t>s</w:t>
      </w:r>
      <w:r w:rsidRPr="008B0F77">
        <w:rPr>
          <w:lang w:val="en-GB"/>
        </w:rPr>
        <w:t xml:space="preserve">. </w:t>
      </w:r>
      <w:r w:rsidR="006A799B" w:rsidRPr="008B0F77">
        <w:rPr>
          <w:lang w:val="en-GB"/>
        </w:rPr>
        <w:t xml:space="preserve">LPG </w:t>
      </w:r>
      <w:r w:rsidR="004C6B63" w:rsidRPr="008B0F77">
        <w:rPr>
          <w:lang w:val="en-GB"/>
        </w:rPr>
        <w:t>storage sites</w:t>
      </w:r>
      <w:r w:rsidR="006A799B" w:rsidRPr="008B0F77">
        <w:rPr>
          <w:lang w:val="en-GB"/>
        </w:rPr>
        <w:t xml:space="preserve"> belong to that category of installations</w:t>
      </w:r>
      <w:r w:rsidR="00C31BB2" w:rsidRPr="008B0F77">
        <w:rPr>
          <w:lang w:val="en-GB"/>
        </w:rPr>
        <w:t xml:space="preserve"> </w:t>
      </w:r>
      <w:r w:rsidR="006A799B" w:rsidRPr="008B0F77">
        <w:rPr>
          <w:lang w:val="en-GB"/>
        </w:rPr>
        <w:t xml:space="preserve">and they are subject to the </w:t>
      </w:r>
      <w:r w:rsidR="00C31BB2" w:rsidRPr="008B0F77">
        <w:rPr>
          <w:lang w:val="en-GB"/>
        </w:rPr>
        <w:t>Directive 2012/18/EU</w:t>
      </w:r>
      <w:r w:rsidR="006A799B" w:rsidRPr="008B0F77">
        <w:rPr>
          <w:lang w:val="en-GB"/>
        </w:rPr>
        <w:t xml:space="preserve">. In such high-risk contexts, </w:t>
      </w:r>
      <w:proofErr w:type="gramStart"/>
      <w:r w:rsidR="006A799B" w:rsidRPr="008B0F77">
        <w:rPr>
          <w:lang w:val="en-GB"/>
        </w:rPr>
        <w:t>near-misses</w:t>
      </w:r>
      <w:proofErr w:type="gramEnd"/>
      <w:r w:rsidR="006A799B" w:rsidRPr="008B0F77">
        <w:rPr>
          <w:lang w:val="en-GB"/>
        </w:rPr>
        <w:t xml:space="preserve"> </w:t>
      </w:r>
      <w:r w:rsidR="00C31BB2" w:rsidRPr="008B0F77">
        <w:rPr>
          <w:lang w:val="en-GB"/>
        </w:rPr>
        <w:t xml:space="preserve">associated to LPG transfer and handling </w:t>
      </w:r>
      <w:r w:rsidR="006A799B" w:rsidRPr="008B0F77">
        <w:rPr>
          <w:lang w:val="en-GB"/>
        </w:rPr>
        <w:t>can</w:t>
      </w:r>
      <w:r w:rsidR="00A028D3" w:rsidRPr="008B0F77">
        <w:rPr>
          <w:lang w:val="en-GB"/>
        </w:rPr>
        <w:t xml:space="preserve"> represent</w:t>
      </w:r>
      <w:r w:rsidRPr="008B0F77">
        <w:rPr>
          <w:lang w:val="en-GB"/>
        </w:rPr>
        <w:t xml:space="preserve"> a possible precursor of catastrophic events in the long term</w:t>
      </w:r>
      <w:r w:rsidR="006A799B" w:rsidRPr="008B0F77">
        <w:rPr>
          <w:lang w:val="en-GB"/>
        </w:rPr>
        <w:t xml:space="preserve">, </w:t>
      </w:r>
      <w:r w:rsidR="002730ED" w:rsidRPr="008B0F77">
        <w:rPr>
          <w:lang w:val="en-GB"/>
        </w:rPr>
        <w:t xml:space="preserve">therefore </w:t>
      </w:r>
      <w:r w:rsidR="006A799B" w:rsidRPr="008B0F77">
        <w:rPr>
          <w:lang w:val="en-GB"/>
        </w:rPr>
        <w:t>suggesting corrective and improvement actions.</w:t>
      </w:r>
    </w:p>
    <w:p w14:paraId="077E2C0D" w14:textId="535E2D25" w:rsidR="00C31BB2" w:rsidRPr="008B0F77" w:rsidRDefault="00CF496F" w:rsidP="00CF496F">
      <w:pPr>
        <w:pStyle w:val="CETBodytext"/>
        <w:rPr>
          <w:lang w:val="en-GB"/>
        </w:rPr>
      </w:pPr>
      <w:r w:rsidRPr="008B0F77">
        <w:rPr>
          <w:lang w:val="en-GB"/>
        </w:rPr>
        <w:t xml:space="preserve">In the present study, the sequence of quasi-accidental events that occurred </w:t>
      </w:r>
      <w:r w:rsidR="004062B4" w:rsidRPr="008B0F77">
        <w:rPr>
          <w:lang w:val="en-GB"/>
        </w:rPr>
        <w:t xml:space="preserve">between </w:t>
      </w:r>
      <w:r w:rsidR="00916836" w:rsidRPr="008B0F77">
        <w:rPr>
          <w:lang w:val="en-GB"/>
        </w:rPr>
        <w:t>2012 and 2021</w:t>
      </w:r>
      <w:r w:rsidR="00624E74" w:rsidRPr="008B0F77">
        <w:rPr>
          <w:lang w:val="en-GB"/>
        </w:rPr>
        <w:t xml:space="preserve"> </w:t>
      </w:r>
      <w:r w:rsidRPr="008B0F77">
        <w:rPr>
          <w:lang w:val="en-GB"/>
        </w:rPr>
        <w:t xml:space="preserve">in an Italian </w:t>
      </w:r>
      <w:r w:rsidR="006A799B" w:rsidRPr="008B0F77">
        <w:rPr>
          <w:lang w:val="en-GB"/>
        </w:rPr>
        <w:t xml:space="preserve">LPG </w:t>
      </w:r>
      <w:r w:rsidR="004C6B63" w:rsidRPr="008B0F77">
        <w:rPr>
          <w:lang w:val="en-GB"/>
        </w:rPr>
        <w:t>storage site</w:t>
      </w:r>
      <w:r w:rsidRPr="008B0F77">
        <w:rPr>
          <w:lang w:val="en-GB"/>
        </w:rPr>
        <w:t>, whose main activity consists of receiving, storing, bottling and shipping LPG, is analysed</w:t>
      </w:r>
      <w:r w:rsidR="004062B4" w:rsidRPr="008B0F77">
        <w:rPr>
          <w:lang w:val="en-GB"/>
        </w:rPr>
        <w:t>.</w:t>
      </w:r>
      <w:r w:rsidRPr="008B0F77">
        <w:rPr>
          <w:lang w:val="en-GB"/>
        </w:rPr>
        <w:t xml:space="preserve"> </w:t>
      </w:r>
      <w:r w:rsidR="004062B4" w:rsidRPr="008B0F77">
        <w:rPr>
          <w:lang w:val="en-GB"/>
        </w:rPr>
        <w:t>D</w:t>
      </w:r>
      <w:r w:rsidRPr="008B0F77">
        <w:rPr>
          <w:lang w:val="en-GB"/>
        </w:rPr>
        <w:t xml:space="preserve">ata </w:t>
      </w:r>
      <w:proofErr w:type="gramStart"/>
      <w:r w:rsidR="004062B4" w:rsidRPr="008B0F77">
        <w:rPr>
          <w:lang w:val="en-GB"/>
        </w:rPr>
        <w:t xml:space="preserve">are </w:t>
      </w:r>
      <w:r w:rsidRPr="008B0F77">
        <w:rPr>
          <w:lang w:val="en-GB"/>
        </w:rPr>
        <w:t>extracted</w:t>
      </w:r>
      <w:proofErr w:type="gramEnd"/>
      <w:r w:rsidRPr="008B0F77">
        <w:rPr>
          <w:lang w:val="en-GB"/>
        </w:rPr>
        <w:t xml:space="preserve"> from the company accidents database in the form of operative experience sheets for Seveso audits, as well as </w:t>
      </w:r>
      <w:r w:rsidR="002730ED" w:rsidRPr="008B0F77">
        <w:rPr>
          <w:lang w:val="en-GB"/>
        </w:rPr>
        <w:t>from</w:t>
      </w:r>
      <w:r w:rsidRPr="008B0F77">
        <w:rPr>
          <w:lang w:val="en-GB"/>
        </w:rPr>
        <w:t xml:space="preserve"> </w:t>
      </w:r>
      <w:r w:rsidR="002221E1" w:rsidRPr="008B0F77">
        <w:rPr>
          <w:lang w:val="en-GB"/>
        </w:rPr>
        <w:t>other internal technical documents</w:t>
      </w:r>
      <w:r w:rsidRPr="008B0F77">
        <w:rPr>
          <w:lang w:val="en-GB"/>
        </w:rPr>
        <w:t xml:space="preserve">. </w:t>
      </w:r>
      <w:r w:rsidR="00624E74" w:rsidRPr="008B0F77">
        <w:rPr>
          <w:lang w:val="en-GB"/>
        </w:rPr>
        <w:t>The focus</w:t>
      </w:r>
      <w:r w:rsidRPr="008B0F77">
        <w:rPr>
          <w:lang w:val="en-GB"/>
        </w:rPr>
        <w:t xml:space="preserve"> </w:t>
      </w:r>
      <w:r w:rsidR="00624E74" w:rsidRPr="008B0F77">
        <w:rPr>
          <w:lang w:val="en-GB"/>
        </w:rPr>
        <w:t>is on LPG transfer operations</w:t>
      </w:r>
      <w:r w:rsidR="00C31BB2" w:rsidRPr="008B0F77">
        <w:rPr>
          <w:lang w:val="en-GB"/>
        </w:rPr>
        <w:t xml:space="preserve"> and the</w:t>
      </w:r>
      <w:r w:rsidR="00624E74" w:rsidRPr="008B0F77">
        <w:rPr>
          <w:lang w:val="en-GB"/>
        </w:rPr>
        <w:t xml:space="preserve"> </w:t>
      </w:r>
      <w:r w:rsidRPr="008B0F77">
        <w:rPr>
          <w:lang w:val="en-GB"/>
        </w:rPr>
        <w:t>multiple factors (technical, organizational and human ones) that may have contributed to the occ</w:t>
      </w:r>
      <w:r w:rsidR="00F54E83" w:rsidRPr="008B0F77">
        <w:rPr>
          <w:lang w:val="en-GB"/>
        </w:rPr>
        <w:t>urrence of the undesired events</w:t>
      </w:r>
      <w:r w:rsidR="004062B4" w:rsidRPr="008B0F77">
        <w:rPr>
          <w:lang w:val="en-GB"/>
        </w:rPr>
        <w:t>,</w:t>
      </w:r>
      <w:r w:rsidR="00624E74" w:rsidRPr="008B0F77">
        <w:rPr>
          <w:lang w:val="en-GB"/>
        </w:rPr>
        <w:t xml:space="preserve"> </w:t>
      </w:r>
      <w:r w:rsidRPr="008B0F77">
        <w:rPr>
          <w:lang w:val="en-GB"/>
        </w:rPr>
        <w:t>with a particular attention to maintenance procedures</w:t>
      </w:r>
      <w:r w:rsidR="00F54E83" w:rsidRPr="008B0F77">
        <w:rPr>
          <w:lang w:val="en-GB"/>
        </w:rPr>
        <w:t xml:space="preserve"> and</w:t>
      </w:r>
      <w:r w:rsidRPr="008B0F77">
        <w:rPr>
          <w:lang w:val="en-GB"/>
        </w:rPr>
        <w:t xml:space="preserve"> machinery management. </w:t>
      </w:r>
    </w:p>
    <w:p w14:paraId="6F8F0766" w14:textId="0D441249" w:rsidR="00CF496F" w:rsidRPr="008B0F77" w:rsidRDefault="00CF496F" w:rsidP="00CF496F">
      <w:pPr>
        <w:pStyle w:val="CETBodytext"/>
        <w:rPr>
          <w:lang w:val="en-GB"/>
        </w:rPr>
      </w:pPr>
      <w:r w:rsidRPr="008B0F77">
        <w:rPr>
          <w:lang w:val="en-GB"/>
        </w:rPr>
        <w:t xml:space="preserve">Results </w:t>
      </w:r>
      <w:proofErr w:type="gramStart"/>
      <w:r w:rsidRPr="008B0F77">
        <w:rPr>
          <w:lang w:val="en-GB"/>
        </w:rPr>
        <w:t>are expected</w:t>
      </w:r>
      <w:proofErr w:type="gramEnd"/>
      <w:r w:rsidRPr="008B0F77">
        <w:rPr>
          <w:lang w:val="en-GB"/>
        </w:rPr>
        <w:t xml:space="preserve"> to contribute to the understanding of the relationships between precursor events and possible major accidents in critical industrial sites</w:t>
      </w:r>
      <w:r w:rsidR="00F54E83" w:rsidRPr="008B0F77">
        <w:rPr>
          <w:lang w:val="en-GB"/>
        </w:rPr>
        <w:t>.</w:t>
      </w:r>
    </w:p>
    <w:bookmarkEnd w:id="1"/>
    <w:p w14:paraId="476B2F2E" w14:textId="77777777" w:rsidR="00600535" w:rsidRPr="008B0F77" w:rsidRDefault="00600535" w:rsidP="00600535">
      <w:pPr>
        <w:pStyle w:val="CETHeading1"/>
        <w:rPr>
          <w:lang w:val="en-GB"/>
        </w:rPr>
      </w:pPr>
      <w:r w:rsidRPr="008B0F77">
        <w:rPr>
          <w:lang w:val="en-GB"/>
        </w:rPr>
        <w:t>Introduction</w:t>
      </w:r>
    </w:p>
    <w:p w14:paraId="06A8EB85" w14:textId="7B933221" w:rsidR="0010569A" w:rsidRPr="008B0F77" w:rsidRDefault="0010569A" w:rsidP="0010569A">
      <w:pPr>
        <w:pStyle w:val="CETBodytext"/>
        <w:rPr>
          <w:lang w:val="en-GB"/>
        </w:rPr>
      </w:pPr>
      <w:r w:rsidRPr="008B0F77">
        <w:rPr>
          <w:lang w:val="en-GB"/>
        </w:rPr>
        <w:t>Several European industrial plants are subject to Directive 2012/18/EU (Seveso III), since they present significant quantities of dangerous substances that can potentially produce devastating consequences in case of an accident. In such contexts, any event that could have caused serious consequences, but which have been avoided due to fortuitous circumstances (as the failure to ignite flammable substances), is c</w:t>
      </w:r>
      <w:r w:rsidR="00935F8E" w:rsidRPr="008B0F77">
        <w:rPr>
          <w:lang w:val="en-GB"/>
        </w:rPr>
        <w:t xml:space="preserve">onsidered as a “quasi-accident” or “near-miss”. </w:t>
      </w:r>
      <w:r w:rsidRPr="008B0F77">
        <w:rPr>
          <w:lang w:val="en-GB"/>
        </w:rPr>
        <w:t>It represents a possible precursor of catas</w:t>
      </w:r>
      <w:r w:rsidR="00935F8E" w:rsidRPr="008B0F77">
        <w:rPr>
          <w:lang w:val="en-GB"/>
        </w:rPr>
        <w:t xml:space="preserve">trophic events in the long term, but it needs to </w:t>
      </w:r>
      <w:proofErr w:type="gramStart"/>
      <w:r w:rsidR="00935F8E" w:rsidRPr="008B0F77">
        <w:rPr>
          <w:lang w:val="en-GB"/>
        </w:rPr>
        <w:t>be triggered</w:t>
      </w:r>
      <w:proofErr w:type="gramEnd"/>
      <w:r w:rsidR="00935F8E" w:rsidRPr="008B0F77">
        <w:rPr>
          <w:lang w:val="en-GB"/>
        </w:rPr>
        <w:t xml:space="preserve"> by adverse conditions that, fortunately, do not always occur.</w:t>
      </w:r>
    </w:p>
    <w:p w14:paraId="28E236B9" w14:textId="461F0165" w:rsidR="00567DE1" w:rsidRPr="008B0F77" w:rsidRDefault="0010569A" w:rsidP="00C64E73">
      <w:pPr>
        <w:pStyle w:val="CETBodytext"/>
        <w:rPr>
          <w:lang w:val="en-GB"/>
        </w:rPr>
      </w:pPr>
      <w:r w:rsidRPr="008B0F77">
        <w:rPr>
          <w:lang w:val="en-GB"/>
        </w:rPr>
        <w:t>Storage sites for Liquefied Petroleum Gas (LPG) belong to such category of industrial plants, since they present significant risks associated to LPG transfer from/to tanks and rail tanks, e.g. the risk of product losses, with exposure of workers, and even explosive events</w:t>
      </w:r>
      <w:r w:rsidR="00E57613" w:rsidRPr="008B0F77">
        <w:rPr>
          <w:lang w:val="en-GB"/>
        </w:rPr>
        <w:t xml:space="preserve">. As an example, the major accident described </w:t>
      </w:r>
      <w:r w:rsidR="0048508F" w:rsidRPr="008B0F77">
        <w:rPr>
          <w:lang w:val="en-GB"/>
        </w:rPr>
        <w:t xml:space="preserve">by </w:t>
      </w:r>
      <w:proofErr w:type="spellStart"/>
      <w:r w:rsidRPr="008B0F77">
        <w:rPr>
          <w:lang w:val="en-GB"/>
        </w:rPr>
        <w:t>Bubbico</w:t>
      </w:r>
      <w:proofErr w:type="spellEnd"/>
      <w:r w:rsidRPr="008B0F77">
        <w:rPr>
          <w:lang w:val="en-GB"/>
        </w:rPr>
        <w:t xml:space="preserve"> and </w:t>
      </w:r>
      <w:proofErr w:type="spellStart"/>
      <w:r w:rsidRPr="008B0F77">
        <w:rPr>
          <w:lang w:val="en-GB"/>
        </w:rPr>
        <w:t>Marchini</w:t>
      </w:r>
      <w:proofErr w:type="spellEnd"/>
      <w:r w:rsidR="0048508F" w:rsidRPr="008B0F77">
        <w:rPr>
          <w:lang w:val="en-GB"/>
        </w:rPr>
        <w:t xml:space="preserve"> (</w:t>
      </w:r>
      <w:r w:rsidRPr="008B0F77">
        <w:rPr>
          <w:lang w:val="en-GB"/>
        </w:rPr>
        <w:t xml:space="preserve">2008) </w:t>
      </w:r>
      <w:proofErr w:type="gramStart"/>
      <w:r w:rsidR="00E57613" w:rsidRPr="008B0F77">
        <w:rPr>
          <w:lang w:val="en-GB"/>
        </w:rPr>
        <w:t xml:space="preserve">was </w:t>
      </w:r>
      <w:r w:rsidR="00C64E73" w:rsidRPr="008B0F77">
        <w:rPr>
          <w:lang w:val="en-GB"/>
        </w:rPr>
        <w:t xml:space="preserve">exactly </w:t>
      </w:r>
      <w:r w:rsidR="00E57613" w:rsidRPr="008B0F77">
        <w:rPr>
          <w:lang w:val="en-GB"/>
        </w:rPr>
        <w:t>related</w:t>
      </w:r>
      <w:proofErr w:type="gramEnd"/>
      <w:r w:rsidR="00E57613" w:rsidRPr="008B0F77">
        <w:rPr>
          <w:lang w:val="en-GB"/>
        </w:rPr>
        <w:t xml:space="preserve"> to the specific operation of transferring LPG from </w:t>
      </w:r>
      <w:r w:rsidR="00C64E73" w:rsidRPr="008B0F77">
        <w:rPr>
          <w:lang w:val="en-GB"/>
        </w:rPr>
        <w:t>a</w:t>
      </w:r>
      <w:r w:rsidR="00E57613" w:rsidRPr="008B0F77">
        <w:rPr>
          <w:lang w:val="en-GB"/>
        </w:rPr>
        <w:t xml:space="preserve"> source road tank car to </w:t>
      </w:r>
      <w:r w:rsidR="00C64E73" w:rsidRPr="008B0F77">
        <w:rPr>
          <w:lang w:val="en-GB"/>
        </w:rPr>
        <w:t>a</w:t>
      </w:r>
      <w:r w:rsidR="00E57613" w:rsidRPr="008B0F77">
        <w:rPr>
          <w:lang w:val="en-GB"/>
        </w:rPr>
        <w:t xml:space="preserve"> receiving fixed storage vessel</w:t>
      </w:r>
      <w:r w:rsidR="00C64E73" w:rsidRPr="008B0F77">
        <w:rPr>
          <w:lang w:val="en-GB"/>
        </w:rPr>
        <w:t>. Moreover,</w:t>
      </w:r>
      <w:r w:rsidR="00C64E73" w:rsidRPr="008B0F77">
        <w:t xml:space="preserve"> </w:t>
      </w:r>
      <w:r w:rsidR="00C64E73" w:rsidRPr="008B0F77">
        <w:rPr>
          <w:lang w:val="en-GB"/>
        </w:rPr>
        <w:t xml:space="preserve">scientific research has also started to be interested in risk assessment models for LPG in the course of loading and unloading </w:t>
      </w:r>
      <w:r w:rsidRPr="008B0F77">
        <w:rPr>
          <w:lang w:val="en-GB"/>
        </w:rPr>
        <w:t xml:space="preserve">(Cao, 2014). </w:t>
      </w:r>
      <w:r w:rsidR="00C64E73" w:rsidRPr="008B0F77">
        <w:rPr>
          <w:lang w:val="en-GB"/>
        </w:rPr>
        <w:t xml:space="preserve">Anyway, the official literature on that topic </w:t>
      </w:r>
      <w:r w:rsidR="00A028D3" w:rsidRPr="008B0F77">
        <w:rPr>
          <w:lang w:val="en-GB"/>
        </w:rPr>
        <w:t xml:space="preserve">still </w:t>
      </w:r>
      <w:r w:rsidR="0073587D" w:rsidRPr="008B0F77">
        <w:rPr>
          <w:lang w:val="en-GB"/>
        </w:rPr>
        <w:t>appears</w:t>
      </w:r>
      <w:r w:rsidR="00A028D3" w:rsidRPr="008B0F77">
        <w:rPr>
          <w:lang w:val="en-GB"/>
        </w:rPr>
        <w:t xml:space="preserve"> </w:t>
      </w:r>
      <w:r w:rsidR="00C64E73" w:rsidRPr="008B0F77">
        <w:rPr>
          <w:lang w:val="en-GB"/>
        </w:rPr>
        <w:t xml:space="preserve">relatively limited </w:t>
      </w:r>
      <w:r w:rsidR="00A028D3" w:rsidRPr="008B0F77">
        <w:rPr>
          <w:lang w:val="en-GB"/>
        </w:rPr>
        <w:t xml:space="preserve">if </w:t>
      </w:r>
      <w:r w:rsidR="00C64E73" w:rsidRPr="008B0F77">
        <w:rPr>
          <w:lang w:val="en-GB"/>
        </w:rPr>
        <w:t xml:space="preserve">compared to the amount of technical documentation available in grey literature. This means that </w:t>
      </w:r>
      <w:r w:rsidR="00466D2A" w:rsidRPr="008B0F77">
        <w:rPr>
          <w:lang w:val="en-GB"/>
        </w:rPr>
        <w:t xml:space="preserve">new </w:t>
      </w:r>
      <w:r w:rsidR="00C64E73" w:rsidRPr="008B0F77">
        <w:rPr>
          <w:lang w:val="en-GB"/>
        </w:rPr>
        <w:t xml:space="preserve">scientific contributions on the specific topic of </w:t>
      </w:r>
      <w:r w:rsidR="0073587D" w:rsidRPr="008B0F77">
        <w:rPr>
          <w:lang w:val="en-GB"/>
        </w:rPr>
        <w:t xml:space="preserve">LPG </w:t>
      </w:r>
      <w:r w:rsidR="00C64E73" w:rsidRPr="008B0F77">
        <w:rPr>
          <w:lang w:val="en-GB"/>
        </w:rPr>
        <w:t>transfer risks can help to spread a structured and unambiguous knowledge on the subject</w:t>
      </w:r>
      <w:r w:rsidR="007E4D27" w:rsidRPr="008B0F77">
        <w:rPr>
          <w:lang w:val="en-GB"/>
        </w:rPr>
        <w:t>.</w:t>
      </w:r>
    </w:p>
    <w:p w14:paraId="0A7F61A2" w14:textId="091418A3" w:rsidR="00797117" w:rsidRPr="008B0F77" w:rsidRDefault="00797117" w:rsidP="00C43EA8">
      <w:pPr>
        <w:pStyle w:val="CETBodytext"/>
        <w:rPr>
          <w:lang w:val="en-GB"/>
        </w:rPr>
      </w:pPr>
      <w:r w:rsidRPr="008B0F77">
        <w:rPr>
          <w:lang w:val="en-GB"/>
        </w:rPr>
        <w:t xml:space="preserve">In Italy, specific safe operating sequences have to </w:t>
      </w:r>
      <w:proofErr w:type="gramStart"/>
      <w:r w:rsidRPr="008B0F77">
        <w:rPr>
          <w:lang w:val="en-GB"/>
        </w:rPr>
        <w:t>be adopted</w:t>
      </w:r>
      <w:proofErr w:type="gramEnd"/>
      <w:r w:rsidRPr="008B0F77">
        <w:rPr>
          <w:lang w:val="en-GB"/>
        </w:rPr>
        <w:t xml:space="preserve"> </w:t>
      </w:r>
      <w:r w:rsidR="00D23C80" w:rsidRPr="008B0F77">
        <w:rPr>
          <w:lang w:val="en-GB"/>
        </w:rPr>
        <w:t xml:space="preserve">for transferring </w:t>
      </w:r>
      <w:r w:rsidRPr="008B0F77">
        <w:rPr>
          <w:lang w:val="en-GB"/>
        </w:rPr>
        <w:t xml:space="preserve">dangerous goods, depending on whether they are carried on </w:t>
      </w:r>
      <w:r w:rsidR="00D23C80" w:rsidRPr="008B0F77">
        <w:rPr>
          <w:lang w:val="en-GB"/>
        </w:rPr>
        <w:t xml:space="preserve">by road, rail or </w:t>
      </w:r>
      <w:r w:rsidRPr="008B0F77">
        <w:rPr>
          <w:lang w:val="en-GB"/>
        </w:rPr>
        <w:t xml:space="preserve">sea. In particular, the safety procedures </w:t>
      </w:r>
      <w:r w:rsidR="00C43EA8" w:rsidRPr="008B0F77">
        <w:rPr>
          <w:lang w:val="en-GB"/>
        </w:rPr>
        <w:t>for (</w:t>
      </w:r>
      <w:proofErr w:type="spellStart"/>
      <w:r w:rsidR="00C43EA8" w:rsidRPr="008B0F77">
        <w:rPr>
          <w:lang w:val="en-GB"/>
        </w:rPr>
        <w:t>i</w:t>
      </w:r>
      <w:proofErr w:type="spellEnd"/>
      <w:r w:rsidR="00C43EA8" w:rsidRPr="008B0F77">
        <w:rPr>
          <w:lang w:val="en-GB"/>
        </w:rPr>
        <w:t>)</w:t>
      </w:r>
      <w:r w:rsidRPr="008B0F77">
        <w:rPr>
          <w:lang w:val="en-GB"/>
        </w:rPr>
        <w:t xml:space="preserve"> carrying out the transfer activities in LPG tankers and rail tankers, </w:t>
      </w:r>
      <w:r w:rsidR="00C43EA8" w:rsidRPr="008B0F77">
        <w:rPr>
          <w:lang w:val="en-GB"/>
        </w:rPr>
        <w:t xml:space="preserve">(ii) operating with LPG </w:t>
      </w:r>
      <w:r w:rsidR="00FA64C5" w:rsidRPr="008B0F77">
        <w:rPr>
          <w:lang w:val="en-GB"/>
        </w:rPr>
        <w:t>storages</w:t>
      </w:r>
      <w:r w:rsidR="00C43EA8" w:rsidRPr="008B0F77">
        <w:rPr>
          <w:lang w:val="en-GB"/>
        </w:rPr>
        <w:t xml:space="preserve"> in fixed tanks and </w:t>
      </w:r>
      <w:r w:rsidRPr="008B0F77">
        <w:rPr>
          <w:lang w:val="en-GB"/>
        </w:rPr>
        <w:t>mobile containers</w:t>
      </w:r>
      <w:r w:rsidR="00C43EA8" w:rsidRPr="008B0F77">
        <w:rPr>
          <w:lang w:val="en-GB"/>
        </w:rPr>
        <w:t xml:space="preserve"> and (iii) carrying out work activities in</w:t>
      </w:r>
      <w:r w:rsidRPr="008B0F77">
        <w:rPr>
          <w:lang w:val="en-GB"/>
        </w:rPr>
        <w:t xml:space="preserve"> </w:t>
      </w:r>
      <w:r w:rsidR="00C43EA8" w:rsidRPr="008B0F77">
        <w:rPr>
          <w:lang w:val="en-GB"/>
        </w:rPr>
        <w:t xml:space="preserve">railway freight yards </w:t>
      </w:r>
      <w:proofErr w:type="gramStart"/>
      <w:r w:rsidR="00C43EA8" w:rsidRPr="008B0F77">
        <w:rPr>
          <w:lang w:val="en-GB"/>
        </w:rPr>
        <w:t>are defined</w:t>
      </w:r>
      <w:proofErr w:type="gramEnd"/>
      <w:r w:rsidR="00C43EA8" w:rsidRPr="008B0F77">
        <w:rPr>
          <w:lang w:val="en-GB"/>
        </w:rPr>
        <w:t xml:space="preserve"> by specific National Decrees </w:t>
      </w:r>
      <w:r w:rsidRPr="008B0F77">
        <w:rPr>
          <w:lang w:val="en-GB"/>
        </w:rPr>
        <w:lastRenderedPageBreak/>
        <w:t>(INAIL, 2012).</w:t>
      </w:r>
      <w:r w:rsidR="00D23C80" w:rsidRPr="008B0F77">
        <w:rPr>
          <w:lang w:val="en-GB"/>
        </w:rPr>
        <w:t xml:space="preserve"> T</w:t>
      </w:r>
      <w:r w:rsidR="0073587D" w:rsidRPr="008B0F77">
        <w:rPr>
          <w:lang w:val="en-GB"/>
        </w:rPr>
        <w:t xml:space="preserve">he entire LPG supply chain may </w:t>
      </w:r>
      <w:r w:rsidR="00D23C80" w:rsidRPr="008B0F77">
        <w:rPr>
          <w:lang w:val="en-GB"/>
        </w:rPr>
        <w:t xml:space="preserve">also </w:t>
      </w:r>
      <w:r w:rsidR="0073587D" w:rsidRPr="008B0F77">
        <w:rPr>
          <w:lang w:val="en-GB"/>
        </w:rPr>
        <w:t xml:space="preserve">present different degrees of risk depending on how it </w:t>
      </w:r>
      <w:proofErr w:type="gramStart"/>
      <w:r w:rsidR="0073587D" w:rsidRPr="008B0F77">
        <w:rPr>
          <w:lang w:val="en-GB"/>
        </w:rPr>
        <w:t>is organized</w:t>
      </w:r>
      <w:proofErr w:type="gramEnd"/>
      <w:r w:rsidR="0073587D" w:rsidRPr="008B0F77">
        <w:rPr>
          <w:lang w:val="en-GB"/>
        </w:rPr>
        <w:t xml:space="preserve">, </w:t>
      </w:r>
      <w:r w:rsidR="00D23C80" w:rsidRPr="008B0F77">
        <w:rPr>
          <w:lang w:val="en-GB"/>
        </w:rPr>
        <w:t>as</w:t>
      </w:r>
      <w:r w:rsidR="0073587D" w:rsidRPr="008B0F77">
        <w:rPr>
          <w:lang w:val="en-GB"/>
        </w:rPr>
        <w:t xml:space="preserve"> in terms of decentralization, with further effects even on sustainability (</w:t>
      </w:r>
      <w:proofErr w:type="spellStart"/>
      <w:r w:rsidR="0073587D" w:rsidRPr="008B0F77">
        <w:rPr>
          <w:lang w:val="en-GB"/>
        </w:rPr>
        <w:t>Pourhejazy</w:t>
      </w:r>
      <w:proofErr w:type="spellEnd"/>
      <w:r w:rsidR="0073587D" w:rsidRPr="008B0F77">
        <w:rPr>
          <w:lang w:val="en-GB"/>
        </w:rPr>
        <w:t xml:space="preserve"> et al., 2019).</w:t>
      </w:r>
    </w:p>
    <w:p w14:paraId="0512A890" w14:textId="55F6DCF2" w:rsidR="00567DE1" w:rsidRPr="008B0F77" w:rsidRDefault="005055A8" w:rsidP="00567DE1">
      <w:pPr>
        <w:pStyle w:val="CETBodytext"/>
        <w:rPr>
          <w:lang w:val="en-GB"/>
        </w:rPr>
      </w:pPr>
      <w:r w:rsidRPr="008B0F77">
        <w:rPr>
          <w:lang w:val="en-GB"/>
        </w:rPr>
        <w:t>D</w:t>
      </w:r>
      <w:r w:rsidR="0010569A" w:rsidRPr="008B0F77">
        <w:rPr>
          <w:lang w:val="en-GB"/>
        </w:rPr>
        <w:t xml:space="preserve">ata </w:t>
      </w:r>
      <w:r w:rsidRPr="008B0F77">
        <w:rPr>
          <w:lang w:val="en-GB"/>
        </w:rPr>
        <w:t xml:space="preserve">about quasi-accidents, </w:t>
      </w:r>
      <w:r w:rsidR="0010569A" w:rsidRPr="008B0F77">
        <w:rPr>
          <w:lang w:val="en-GB"/>
        </w:rPr>
        <w:t>coming from inspections and interviews</w:t>
      </w:r>
      <w:r w:rsidRPr="008B0F77">
        <w:rPr>
          <w:lang w:val="en-GB"/>
        </w:rPr>
        <w:t>,</w:t>
      </w:r>
      <w:r w:rsidR="0010569A" w:rsidRPr="008B0F77">
        <w:rPr>
          <w:lang w:val="en-GB"/>
        </w:rPr>
        <w:t xml:space="preserve"> </w:t>
      </w:r>
      <w:r w:rsidRPr="008B0F77">
        <w:rPr>
          <w:lang w:val="en-GB"/>
        </w:rPr>
        <w:t xml:space="preserve">can </w:t>
      </w:r>
      <w:r w:rsidR="0010569A" w:rsidRPr="008B0F77">
        <w:rPr>
          <w:lang w:val="en-GB"/>
        </w:rPr>
        <w:t>help the company management in putting into practice corrective and improvement actions, both provisionally and definitively.</w:t>
      </w:r>
      <w:r w:rsidR="00567DE1" w:rsidRPr="008B0F77">
        <w:rPr>
          <w:lang w:val="en-GB"/>
        </w:rPr>
        <w:t xml:space="preserve"> </w:t>
      </w:r>
      <w:r w:rsidR="0041674B" w:rsidRPr="008B0F77">
        <w:rPr>
          <w:lang w:val="en-GB"/>
        </w:rPr>
        <w:t>Recent l</w:t>
      </w:r>
      <w:r w:rsidR="00567DE1" w:rsidRPr="008B0F77">
        <w:rPr>
          <w:lang w:val="en-GB"/>
        </w:rPr>
        <w:t>iterature reports studies based on deep analysis of the historical sequence of accidents and potentially dangerous events in process plants with risk of high-impact low-probability disasters</w:t>
      </w:r>
      <w:r w:rsidR="00E82D65" w:rsidRPr="008B0F77">
        <w:rPr>
          <w:lang w:val="en-GB"/>
        </w:rPr>
        <w:t xml:space="preserve"> (</w:t>
      </w:r>
      <w:proofErr w:type="spellStart"/>
      <w:r w:rsidR="00E82D65" w:rsidRPr="008B0F77">
        <w:rPr>
          <w:lang w:val="en-GB"/>
        </w:rPr>
        <w:t>Vallerotonda</w:t>
      </w:r>
      <w:proofErr w:type="spellEnd"/>
      <w:r w:rsidR="00E82D65" w:rsidRPr="008B0F77">
        <w:rPr>
          <w:lang w:val="en-GB"/>
        </w:rPr>
        <w:t xml:space="preserve"> et al., 2022)</w:t>
      </w:r>
      <w:r w:rsidR="00567DE1" w:rsidRPr="008B0F77">
        <w:rPr>
          <w:lang w:val="en-GB"/>
        </w:rPr>
        <w:t xml:space="preserve">, </w:t>
      </w:r>
      <w:r w:rsidRPr="008B0F77">
        <w:rPr>
          <w:lang w:val="en-GB"/>
        </w:rPr>
        <w:t>but</w:t>
      </w:r>
      <w:r w:rsidR="00567DE1" w:rsidRPr="008B0F77">
        <w:rPr>
          <w:lang w:val="en-GB"/>
        </w:rPr>
        <w:t xml:space="preserve"> </w:t>
      </w:r>
      <w:r w:rsidRPr="008B0F77">
        <w:rPr>
          <w:lang w:val="en-GB"/>
        </w:rPr>
        <w:t xml:space="preserve">also in </w:t>
      </w:r>
      <w:r w:rsidR="00567DE1" w:rsidRPr="008B0F77">
        <w:rPr>
          <w:lang w:val="en-GB"/>
        </w:rPr>
        <w:t xml:space="preserve">scenarios subject to low-impact high-probability accidents, as constructions. While manipulating past accidents and </w:t>
      </w:r>
      <w:proofErr w:type="gramStart"/>
      <w:r w:rsidR="00567DE1" w:rsidRPr="008B0F77">
        <w:rPr>
          <w:lang w:val="en-GB"/>
        </w:rPr>
        <w:t>near-misses</w:t>
      </w:r>
      <w:proofErr w:type="gramEnd"/>
      <w:r w:rsidR="00567DE1" w:rsidRPr="008B0F77">
        <w:rPr>
          <w:lang w:val="en-GB"/>
        </w:rPr>
        <w:t xml:space="preserve"> through systematic review, it is </w:t>
      </w:r>
      <w:r w:rsidR="006B581A" w:rsidRPr="008B0F77">
        <w:rPr>
          <w:lang w:val="en-GB"/>
        </w:rPr>
        <w:t xml:space="preserve">in fact </w:t>
      </w:r>
      <w:r w:rsidR="00567DE1" w:rsidRPr="008B0F77">
        <w:rPr>
          <w:lang w:val="en-GB"/>
        </w:rPr>
        <w:t>possible to hypothesize possible future critical scenarios and guarantee safety with a resilient attitude and appropriate reactions.</w:t>
      </w:r>
      <w:r w:rsidR="00772BE4" w:rsidRPr="008B0F77">
        <w:rPr>
          <w:lang w:val="en-GB"/>
        </w:rPr>
        <w:t xml:space="preserve"> </w:t>
      </w:r>
      <w:r w:rsidR="00567DE1" w:rsidRPr="008B0F77">
        <w:rPr>
          <w:lang w:val="en-GB"/>
        </w:rPr>
        <w:t xml:space="preserve">The first step is to identify the conceptual categories that </w:t>
      </w:r>
      <w:proofErr w:type="gramStart"/>
      <w:r w:rsidR="00567DE1" w:rsidRPr="008B0F77">
        <w:rPr>
          <w:lang w:val="en-GB"/>
        </w:rPr>
        <w:t>could be used</w:t>
      </w:r>
      <w:proofErr w:type="gramEnd"/>
      <w:r w:rsidR="00567DE1" w:rsidRPr="008B0F77">
        <w:rPr>
          <w:lang w:val="en-GB"/>
        </w:rPr>
        <w:t xml:space="preserve"> in order to classify and analyse such accidental data. For example, Fabiano and </w:t>
      </w:r>
      <w:proofErr w:type="spellStart"/>
      <w:r w:rsidR="00567DE1" w:rsidRPr="008B0F77">
        <w:rPr>
          <w:lang w:val="en-GB"/>
        </w:rPr>
        <w:t>Currò</w:t>
      </w:r>
      <w:proofErr w:type="spellEnd"/>
      <w:r w:rsidR="00567DE1" w:rsidRPr="008B0F77">
        <w:rPr>
          <w:lang w:val="en-GB"/>
        </w:rPr>
        <w:t xml:space="preserve"> (2012) realized a review of the story of oil industry in order to  identify factors related to plant/process (e.g. failure to equipment), environment (e.g. natural event) and organization (e.g. maintenance or worker error), with an additional schematization of causes, as well as consequences, of each event. More recently, </w:t>
      </w:r>
      <w:proofErr w:type="spellStart"/>
      <w:r w:rsidR="00567DE1" w:rsidRPr="008B0F77">
        <w:rPr>
          <w:lang w:val="en-GB"/>
        </w:rPr>
        <w:t>Baldissone</w:t>
      </w:r>
      <w:proofErr w:type="spellEnd"/>
      <w:r w:rsidR="00567DE1" w:rsidRPr="008B0F77">
        <w:rPr>
          <w:lang w:val="en-GB"/>
        </w:rPr>
        <w:t xml:space="preserve"> et al. (2019) have classified unsafe human behaviours as well as preconditions for such unsafe acts (</w:t>
      </w:r>
      <w:proofErr w:type="spellStart"/>
      <w:r w:rsidR="00567DE1" w:rsidRPr="008B0F77">
        <w:rPr>
          <w:lang w:val="en-GB"/>
        </w:rPr>
        <w:t>i.e</w:t>
      </w:r>
      <w:proofErr w:type="spellEnd"/>
      <w:r w:rsidR="00567DE1" w:rsidRPr="008B0F77">
        <w:rPr>
          <w:lang w:val="en-GB"/>
        </w:rPr>
        <w:t xml:space="preserve"> working conditions, unsafe supervision and organisational influences) even in the manufacturing </w:t>
      </w:r>
      <w:r w:rsidR="006B581A" w:rsidRPr="008B0F77">
        <w:rPr>
          <w:lang w:val="en-GB"/>
        </w:rPr>
        <w:t>field, while adopt</w:t>
      </w:r>
      <w:r w:rsidR="00567DE1" w:rsidRPr="008B0F77">
        <w:rPr>
          <w:lang w:val="en-GB"/>
        </w:rPr>
        <w:t>in</w:t>
      </w:r>
      <w:r w:rsidR="006B581A" w:rsidRPr="008B0F77">
        <w:rPr>
          <w:lang w:val="en-GB"/>
        </w:rPr>
        <w:t>g</w:t>
      </w:r>
      <w:r w:rsidR="00567DE1" w:rsidRPr="008B0F77">
        <w:rPr>
          <w:lang w:val="en-GB"/>
        </w:rPr>
        <w:t xml:space="preserve"> a dedicated classification system including the human component.</w:t>
      </w:r>
    </w:p>
    <w:p w14:paraId="26134354" w14:textId="77777777" w:rsidR="00C80480" w:rsidRPr="008B0F77" w:rsidRDefault="0010569A" w:rsidP="00BF3EEC">
      <w:pPr>
        <w:pStyle w:val="CETBodytext"/>
        <w:rPr>
          <w:lang w:val="en-GB"/>
        </w:rPr>
      </w:pPr>
      <w:r w:rsidRPr="008B0F77">
        <w:rPr>
          <w:lang w:val="en-GB"/>
        </w:rPr>
        <w:t>In the present study, the sequence of quasi-accidental events that occurred in an Italian industrial site, whose main activity consists of receiving, storing, bottlin</w:t>
      </w:r>
      <w:r w:rsidR="00545861" w:rsidRPr="008B0F77">
        <w:rPr>
          <w:lang w:val="en-GB"/>
        </w:rPr>
        <w:t>g and shipping LPG, is analysed</w:t>
      </w:r>
      <w:r w:rsidRPr="008B0F77">
        <w:rPr>
          <w:lang w:val="en-GB"/>
        </w:rPr>
        <w:t xml:space="preserve">. LPG is unloaded from rail tankers by compressors, transferred to mounded </w:t>
      </w:r>
      <w:r w:rsidR="001A7D58" w:rsidRPr="008B0F77">
        <w:rPr>
          <w:lang w:val="en-GB"/>
        </w:rPr>
        <w:t>vessels</w:t>
      </w:r>
      <w:r w:rsidRPr="008B0F77">
        <w:rPr>
          <w:lang w:val="en-GB"/>
        </w:rPr>
        <w:t xml:space="preserve"> and then pumped into tankers for subsequent distribution, for combustion or transport use. The maintenance activity, which mainly concerns pumps, compressors and pipes, </w:t>
      </w:r>
      <w:proofErr w:type="gramStart"/>
      <w:r w:rsidRPr="008B0F77">
        <w:rPr>
          <w:lang w:val="en-GB"/>
        </w:rPr>
        <w:t>is preferably carried out</w:t>
      </w:r>
      <w:proofErr w:type="gramEnd"/>
      <w:r w:rsidRPr="008B0F77">
        <w:rPr>
          <w:lang w:val="en-GB"/>
        </w:rPr>
        <w:t xml:space="preserve"> externally, in order to limit the access of third parties. In any case, notwithstanding the automation of many processes, the human operation is </w:t>
      </w:r>
      <w:r w:rsidR="00772BE4" w:rsidRPr="008B0F77">
        <w:rPr>
          <w:lang w:val="en-GB"/>
        </w:rPr>
        <w:t>still present</w:t>
      </w:r>
      <w:r w:rsidRPr="008B0F77">
        <w:rPr>
          <w:lang w:val="en-GB"/>
        </w:rPr>
        <w:t xml:space="preserve"> </w:t>
      </w:r>
      <w:r w:rsidR="001F445F" w:rsidRPr="008B0F77">
        <w:rPr>
          <w:lang w:val="en-GB"/>
        </w:rPr>
        <w:t xml:space="preserve">in the site. </w:t>
      </w:r>
    </w:p>
    <w:p w14:paraId="3D25D812" w14:textId="0E778544" w:rsidR="0010569A" w:rsidRPr="008B0F77" w:rsidRDefault="00A028D3" w:rsidP="00BF3EEC">
      <w:pPr>
        <w:pStyle w:val="CETBodytext"/>
        <w:rPr>
          <w:lang w:val="en-GB"/>
        </w:rPr>
      </w:pPr>
      <w:r w:rsidRPr="008B0F77">
        <w:rPr>
          <w:lang w:val="en-GB"/>
        </w:rPr>
        <w:t>In high-hazard contexts, t</w:t>
      </w:r>
      <w:r w:rsidR="00907DCC" w:rsidRPr="008B0F77">
        <w:rPr>
          <w:lang w:val="en-GB"/>
        </w:rPr>
        <w:t xml:space="preserve">he role of human reliability (Di </w:t>
      </w:r>
      <w:proofErr w:type="spellStart"/>
      <w:r w:rsidR="00907DCC" w:rsidRPr="008B0F77">
        <w:rPr>
          <w:lang w:val="en-GB"/>
        </w:rPr>
        <w:t>Nardo</w:t>
      </w:r>
      <w:proofErr w:type="spellEnd"/>
      <w:r w:rsidR="00907DCC" w:rsidRPr="008B0F77">
        <w:rPr>
          <w:lang w:val="en-GB"/>
        </w:rPr>
        <w:t xml:space="preserve"> and </w:t>
      </w:r>
      <w:proofErr w:type="spellStart"/>
      <w:r w:rsidR="00907DCC" w:rsidRPr="008B0F77">
        <w:rPr>
          <w:lang w:val="en-GB"/>
        </w:rPr>
        <w:t>Murino</w:t>
      </w:r>
      <w:proofErr w:type="spellEnd"/>
      <w:r w:rsidR="00907DCC" w:rsidRPr="008B0F77">
        <w:rPr>
          <w:lang w:val="en-GB"/>
        </w:rPr>
        <w:t>,</w:t>
      </w:r>
      <w:r w:rsidR="0010569A" w:rsidRPr="008B0F77">
        <w:rPr>
          <w:lang w:val="en-GB"/>
        </w:rPr>
        <w:t xml:space="preserve"> 2021</w:t>
      </w:r>
      <w:r w:rsidR="00907DCC" w:rsidRPr="008B0F77">
        <w:rPr>
          <w:lang w:val="en-GB"/>
        </w:rPr>
        <w:t>)</w:t>
      </w:r>
      <w:r w:rsidR="0010569A" w:rsidRPr="008B0F77">
        <w:rPr>
          <w:lang w:val="en-GB"/>
        </w:rPr>
        <w:t xml:space="preserve"> </w:t>
      </w:r>
      <w:proofErr w:type="gramStart"/>
      <w:r w:rsidR="0010569A" w:rsidRPr="008B0F77">
        <w:rPr>
          <w:lang w:val="en-GB"/>
        </w:rPr>
        <w:t xml:space="preserve">cannot be </w:t>
      </w:r>
      <w:r w:rsidRPr="008B0F77">
        <w:rPr>
          <w:lang w:val="en-GB"/>
        </w:rPr>
        <w:t>ignored</w:t>
      </w:r>
      <w:proofErr w:type="gramEnd"/>
      <w:r w:rsidRPr="008B0F77">
        <w:rPr>
          <w:lang w:val="en-GB"/>
        </w:rPr>
        <w:t>.</w:t>
      </w:r>
      <w:r w:rsidR="001F445F" w:rsidRPr="008B0F77">
        <w:rPr>
          <w:lang w:val="en-GB"/>
        </w:rPr>
        <w:t xml:space="preserve"> </w:t>
      </w:r>
      <w:r w:rsidR="00C80480" w:rsidRPr="008B0F77">
        <w:rPr>
          <w:lang w:val="en-GB"/>
        </w:rPr>
        <w:t>I</w:t>
      </w:r>
      <w:r w:rsidR="001F445F" w:rsidRPr="008B0F77">
        <w:rPr>
          <w:lang w:val="en-GB"/>
        </w:rPr>
        <w:t>n particularly com</w:t>
      </w:r>
      <w:r w:rsidR="00405D55" w:rsidRPr="008B0F77">
        <w:rPr>
          <w:lang w:val="en-GB"/>
        </w:rPr>
        <w:t xml:space="preserve">plex transport contexts, as </w:t>
      </w:r>
      <w:r w:rsidR="001F445F" w:rsidRPr="008B0F77">
        <w:rPr>
          <w:lang w:val="en-GB"/>
        </w:rPr>
        <w:t xml:space="preserve">LPG maritime transport, it has been assessed through </w:t>
      </w:r>
      <w:proofErr w:type="gramStart"/>
      <w:r w:rsidR="001F445F" w:rsidRPr="008B0F77">
        <w:rPr>
          <w:lang w:val="en-GB"/>
        </w:rPr>
        <w:t>second generation</w:t>
      </w:r>
      <w:proofErr w:type="gramEnd"/>
      <w:r w:rsidR="001F445F" w:rsidRPr="008B0F77">
        <w:rPr>
          <w:lang w:val="en-GB"/>
        </w:rPr>
        <w:t xml:space="preserve"> human reliability assessment method</w:t>
      </w:r>
      <w:r w:rsidR="00C80480" w:rsidRPr="008B0F77">
        <w:rPr>
          <w:lang w:val="en-GB"/>
        </w:rPr>
        <w:t>s</w:t>
      </w:r>
      <w:r w:rsidR="001F445F" w:rsidRPr="008B0F77">
        <w:rPr>
          <w:lang w:val="en-GB"/>
        </w:rPr>
        <w:t xml:space="preserve"> (</w:t>
      </w:r>
      <w:proofErr w:type="spellStart"/>
      <w:r w:rsidR="006A34E0" w:rsidRPr="008B0F77">
        <w:t>Akyuz</w:t>
      </w:r>
      <w:proofErr w:type="spellEnd"/>
      <w:r w:rsidR="006A34E0" w:rsidRPr="008B0F77">
        <w:t xml:space="preserve"> </w:t>
      </w:r>
      <w:r w:rsidR="001F445F" w:rsidRPr="008B0F77">
        <w:t xml:space="preserve">and </w:t>
      </w:r>
      <w:proofErr w:type="spellStart"/>
      <w:r w:rsidR="001F445F" w:rsidRPr="008B0F77">
        <w:t>Celik</w:t>
      </w:r>
      <w:proofErr w:type="spellEnd"/>
      <w:r w:rsidR="006A34E0" w:rsidRPr="008B0F77">
        <w:t>, 2015</w:t>
      </w:r>
      <w:r w:rsidR="001F445F" w:rsidRPr="008B0F77">
        <w:t>).</w:t>
      </w:r>
      <w:r w:rsidR="00BF3EEC" w:rsidRPr="008B0F77">
        <w:t xml:space="preserve"> Moreover, </w:t>
      </w:r>
      <w:r w:rsidRPr="008B0F77">
        <w:t>in the considered site</w:t>
      </w:r>
      <w:r w:rsidR="00405D55" w:rsidRPr="008B0F77">
        <w:t>,</w:t>
      </w:r>
      <w:r w:rsidRPr="008B0F77">
        <w:t xml:space="preserve"> </w:t>
      </w:r>
      <w:r w:rsidR="00BF3EEC" w:rsidRPr="008B0F77">
        <w:t xml:space="preserve">different dangerous activities (bottling, loading) </w:t>
      </w:r>
      <w:proofErr w:type="gramStart"/>
      <w:r w:rsidR="00BF3EEC" w:rsidRPr="008B0F77">
        <w:t>are performed</w:t>
      </w:r>
      <w:proofErr w:type="gramEnd"/>
      <w:r w:rsidR="00BF3EEC" w:rsidRPr="008B0F77">
        <w:t xml:space="preserve"> at the same time in close proximity, so </w:t>
      </w:r>
      <w:r w:rsidR="00946FC1" w:rsidRPr="008B0F77">
        <w:t>even more</w:t>
      </w:r>
      <w:r w:rsidR="00BF3EEC" w:rsidRPr="008B0F77">
        <w:t xml:space="preserve"> attention is required (</w:t>
      </w:r>
      <w:proofErr w:type="spellStart"/>
      <w:r w:rsidR="00BF3EEC" w:rsidRPr="008B0F77">
        <w:t>Baybutt</w:t>
      </w:r>
      <w:proofErr w:type="spellEnd"/>
      <w:r w:rsidR="00BF3EEC" w:rsidRPr="008B0F77">
        <w:t>, 2017).</w:t>
      </w:r>
    </w:p>
    <w:p w14:paraId="1AED3853" w14:textId="14C8E48B" w:rsidR="00600535" w:rsidRPr="008B0F77" w:rsidRDefault="0010569A" w:rsidP="0010569A">
      <w:pPr>
        <w:pStyle w:val="CETBodytext"/>
        <w:rPr>
          <w:lang w:val="en-GB"/>
        </w:rPr>
      </w:pPr>
      <w:r w:rsidRPr="008B0F77">
        <w:rPr>
          <w:lang w:val="en-GB"/>
        </w:rPr>
        <w:t xml:space="preserve">In particular, the present work analyses quasi-accidental events that occurred </w:t>
      </w:r>
      <w:r w:rsidR="00EE3E4A" w:rsidRPr="008B0F77">
        <w:rPr>
          <w:lang w:val="en-GB"/>
        </w:rPr>
        <w:t>in the last decade</w:t>
      </w:r>
      <w:r w:rsidRPr="008B0F77">
        <w:rPr>
          <w:lang w:val="en-GB"/>
        </w:rPr>
        <w:t xml:space="preserve"> in the considered </w:t>
      </w:r>
      <w:r w:rsidR="00946FC1" w:rsidRPr="008B0F77">
        <w:rPr>
          <w:lang w:val="en-GB"/>
        </w:rPr>
        <w:t>industrial site</w:t>
      </w:r>
      <w:r w:rsidRPr="008B0F77">
        <w:rPr>
          <w:lang w:val="en-GB"/>
        </w:rPr>
        <w:t xml:space="preserve">. The analysis </w:t>
      </w:r>
      <w:proofErr w:type="gramStart"/>
      <w:r w:rsidRPr="008B0F77">
        <w:rPr>
          <w:lang w:val="en-GB"/>
        </w:rPr>
        <w:t>is based</w:t>
      </w:r>
      <w:proofErr w:type="gramEnd"/>
      <w:r w:rsidRPr="008B0F77">
        <w:rPr>
          <w:lang w:val="en-GB"/>
        </w:rPr>
        <w:t xml:space="preserve"> on data extracted from the company accidents database</w:t>
      </w:r>
      <w:r w:rsidR="00620235" w:rsidRPr="008B0F77">
        <w:rPr>
          <w:lang w:val="en-GB"/>
        </w:rPr>
        <w:t xml:space="preserve">, </w:t>
      </w:r>
      <w:r w:rsidR="00857CC4" w:rsidRPr="008B0F77">
        <w:rPr>
          <w:lang w:val="en-GB"/>
        </w:rPr>
        <w:t xml:space="preserve">i.e. </w:t>
      </w:r>
      <w:r w:rsidR="00620235" w:rsidRPr="008B0F77">
        <w:rPr>
          <w:lang w:val="en-GB"/>
        </w:rPr>
        <w:t>mainly</w:t>
      </w:r>
      <w:r w:rsidRPr="008B0F77">
        <w:rPr>
          <w:lang w:val="en-GB"/>
        </w:rPr>
        <w:t xml:space="preserve"> </w:t>
      </w:r>
      <w:r w:rsidR="00620235" w:rsidRPr="008B0F77">
        <w:rPr>
          <w:lang w:val="en-GB"/>
        </w:rPr>
        <w:t>the</w:t>
      </w:r>
      <w:r w:rsidR="00B202E9" w:rsidRPr="008B0F77">
        <w:rPr>
          <w:lang w:val="en-GB"/>
        </w:rPr>
        <w:t xml:space="preserve"> official</w:t>
      </w:r>
      <w:r w:rsidRPr="008B0F77">
        <w:rPr>
          <w:lang w:val="en-GB"/>
        </w:rPr>
        <w:t xml:space="preserve"> operative experience sheets </w:t>
      </w:r>
      <w:r w:rsidR="00620235" w:rsidRPr="008B0F77">
        <w:rPr>
          <w:lang w:val="en-GB"/>
        </w:rPr>
        <w:t xml:space="preserve">as </w:t>
      </w:r>
      <w:r w:rsidR="00857CC4" w:rsidRPr="008B0F77">
        <w:rPr>
          <w:lang w:val="en-GB"/>
        </w:rPr>
        <w:t>provided</w:t>
      </w:r>
      <w:r w:rsidR="00620235" w:rsidRPr="008B0F77">
        <w:rPr>
          <w:lang w:val="en-GB"/>
        </w:rPr>
        <w:t xml:space="preserve"> during </w:t>
      </w:r>
      <w:r w:rsidRPr="008B0F77">
        <w:rPr>
          <w:lang w:val="en-GB"/>
        </w:rPr>
        <w:t xml:space="preserve">Seveso audits, </w:t>
      </w:r>
      <w:r w:rsidR="00620235" w:rsidRPr="008B0F77">
        <w:rPr>
          <w:lang w:val="en-GB"/>
        </w:rPr>
        <w:t>but also</w:t>
      </w:r>
      <w:r w:rsidR="00857CC4" w:rsidRPr="008B0F77">
        <w:rPr>
          <w:lang w:val="en-GB"/>
        </w:rPr>
        <w:t xml:space="preserve"> </w:t>
      </w:r>
      <w:r w:rsidR="00C9427D" w:rsidRPr="008B0F77">
        <w:rPr>
          <w:lang w:val="en-GB"/>
        </w:rPr>
        <w:t xml:space="preserve">additional </w:t>
      </w:r>
      <w:r w:rsidR="00857CC4" w:rsidRPr="008B0F77">
        <w:rPr>
          <w:lang w:val="en-GB"/>
        </w:rPr>
        <w:t xml:space="preserve">internal </w:t>
      </w:r>
      <w:r w:rsidR="00937D92" w:rsidRPr="008B0F77">
        <w:rPr>
          <w:lang w:val="en-GB"/>
        </w:rPr>
        <w:t>documents and reports for</w:t>
      </w:r>
      <w:r w:rsidR="00C9427D" w:rsidRPr="008B0F77">
        <w:rPr>
          <w:lang w:val="en-GB"/>
        </w:rPr>
        <w:t xml:space="preserve"> further confirmation</w:t>
      </w:r>
      <w:r w:rsidR="00E57BAE" w:rsidRPr="008B0F77">
        <w:rPr>
          <w:lang w:val="en-GB"/>
        </w:rPr>
        <w:t xml:space="preserve"> and deepening.</w:t>
      </w:r>
      <w:r w:rsidRPr="008B0F77">
        <w:rPr>
          <w:lang w:val="en-GB"/>
        </w:rPr>
        <w:t xml:space="preserve"> Data mainly refer to machinery failures, instrumentation failures, human errors and maintenance issues related to LPG loading and unloading.</w:t>
      </w:r>
      <w:r w:rsidR="00736614" w:rsidRPr="008B0F77">
        <w:rPr>
          <w:lang w:val="en-GB"/>
        </w:rPr>
        <w:t xml:space="preserve"> </w:t>
      </w:r>
      <w:r w:rsidR="0025428F" w:rsidRPr="008B0F77">
        <w:rPr>
          <w:lang w:val="en-GB"/>
        </w:rPr>
        <w:t>T</w:t>
      </w:r>
      <w:r w:rsidRPr="008B0F77">
        <w:rPr>
          <w:lang w:val="en-GB"/>
        </w:rPr>
        <w:t>he study aims to identify and analyse multiple factors (technical, organizational and human ones) that may have contributed to the occurrence of the undesired events, with a particular atte</w:t>
      </w:r>
      <w:r w:rsidR="00567DE1" w:rsidRPr="008B0F77">
        <w:rPr>
          <w:lang w:val="en-GB"/>
        </w:rPr>
        <w:t>ntion to maintenance procedur</w:t>
      </w:r>
      <w:r w:rsidR="00946FC1" w:rsidRPr="008B0F77">
        <w:rPr>
          <w:lang w:val="en-GB"/>
        </w:rPr>
        <w:t>es and machinery management. Even t</w:t>
      </w:r>
      <w:r w:rsidR="00567DE1" w:rsidRPr="008B0F77">
        <w:rPr>
          <w:lang w:val="en-GB"/>
        </w:rPr>
        <w:t xml:space="preserve">he corrective actions implemented </w:t>
      </w:r>
      <w:r w:rsidR="00946FC1" w:rsidRPr="008B0F77">
        <w:rPr>
          <w:lang w:val="en-GB"/>
        </w:rPr>
        <w:t>and</w:t>
      </w:r>
      <w:r w:rsidR="00567DE1" w:rsidRPr="008B0F77">
        <w:rPr>
          <w:lang w:val="en-GB"/>
        </w:rPr>
        <w:t xml:space="preserve"> programmed in the site</w:t>
      </w:r>
      <w:r w:rsidR="00946FC1" w:rsidRPr="008B0F77">
        <w:rPr>
          <w:lang w:val="en-GB"/>
        </w:rPr>
        <w:t xml:space="preserve"> are intended as an opportunity to understand the approach to safety in the company and, more generally, in the sites of LPG storage and distribution</w:t>
      </w:r>
      <w:r w:rsidRPr="008B0F77">
        <w:rPr>
          <w:lang w:val="en-GB"/>
        </w:rPr>
        <w:t xml:space="preserve">. </w:t>
      </w:r>
    </w:p>
    <w:p w14:paraId="5741900F" w14:textId="22B3CF9C" w:rsidR="00453E24" w:rsidRPr="008B0F77" w:rsidRDefault="007B629C" w:rsidP="007B629C">
      <w:pPr>
        <w:pStyle w:val="CETHeading1"/>
      </w:pPr>
      <w:r w:rsidRPr="008B0F77">
        <w:t>Data collection and analysis</w:t>
      </w:r>
    </w:p>
    <w:p w14:paraId="43787AB5" w14:textId="33A2C138" w:rsidR="00320C53" w:rsidRPr="008B0F77" w:rsidRDefault="00205AB4" w:rsidP="00205AB4">
      <w:pPr>
        <w:pStyle w:val="CETBodytext"/>
      </w:pPr>
      <w:r w:rsidRPr="008B0F77">
        <w:t xml:space="preserve">At AGN site in </w:t>
      </w:r>
      <w:proofErr w:type="spellStart"/>
      <w:r w:rsidRPr="008B0F77">
        <w:t>Fontevivo</w:t>
      </w:r>
      <w:proofErr w:type="spellEnd"/>
      <w:r w:rsidRPr="008B0F77">
        <w:t xml:space="preserve"> (Parma</w:t>
      </w:r>
      <w:r w:rsidR="00AA58FA" w:rsidRPr="008B0F77">
        <w:t xml:space="preserve"> area</w:t>
      </w:r>
      <w:r w:rsidR="00320C53" w:rsidRPr="008B0F77">
        <w:t>, in Italy)</w:t>
      </w:r>
      <w:r w:rsidRPr="008B0F77">
        <w:t xml:space="preserve"> the activity consists of receiving, stor</w:t>
      </w:r>
      <w:r w:rsidR="00AA58FA" w:rsidRPr="008B0F77">
        <w:t>ing, bottling and shipping LPG, which</w:t>
      </w:r>
      <w:r w:rsidR="00AA58FA" w:rsidRPr="008B0F77">
        <w:rPr>
          <w:lang w:val="en-GB"/>
        </w:rPr>
        <w:t xml:space="preserve"> is unloaded from rail tankers by compressors, </w:t>
      </w:r>
      <w:r w:rsidR="00EE3E4A" w:rsidRPr="008B0F77">
        <w:rPr>
          <w:lang w:val="en-GB"/>
        </w:rPr>
        <w:t xml:space="preserve">then </w:t>
      </w:r>
      <w:r w:rsidR="00AA58FA" w:rsidRPr="008B0F77">
        <w:rPr>
          <w:lang w:val="en-GB"/>
        </w:rPr>
        <w:t>tr</w:t>
      </w:r>
      <w:r w:rsidR="00EE3E4A" w:rsidRPr="008B0F77">
        <w:rPr>
          <w:lang w:val="en-GB"/>
        </w:rPr>
        <w:t xml:space="preserve">ansferred to mounded </w:t>
      </w:r>
      <w:r w:rsidR="001A7D58" w:rsidRPr="008B0F77">
        <w:rPr>
          <w:lang w:val="en-GB"/>
        </w:rPr>
        <w:t>vessels</w:t>
      </w:r>
      <w:r w:rsidR="00EE3E4A" w:rsidRPr="008B0F77">
        <w:rPr>
          <w:lang w:val="en-GB"/>
        </w:rPr>
        <w:t xml:space="preserve"> and finally</w:t>
      </w:r>
      <w:r w:rsidR="00AA58FA" w:rsidRPr="008B0F77">
        <w:rPr>
          <w:lang w:val="en-GB"/>
        </w:rPr>
        <w:t xml:space="preserve"> pumped into tankers for subsequent distribution</w:t>
      </w:r>
      <w:r w:rsidR="00EE3E4A" w:rsidRPr="008B0F77">
        <w:rPr>
          <w:lang w:val="en-GB"/>
        </w:rPr>
        <w:t xml:space="preserve"> and</w:t>
      </w:r>
      <w:r w:rsidR="00AA58FA" w:rsidRPr="008B0F77">
        <w:rPr>
          <w:lang w:val="en-GB"/>
        </w:rPr>
        <w:t xml:space="preserve"> combustion or transport use</w:t>
      </w:r>
      <w:r w:rsidR="00AA58FA" w:rsidRPr="008B0F77">
        <w:t xml:space="preserve">. </w:t>
      </w:r>
      <w:r w:rsidR="00320C53" w:rsidRPr="008B0F77">
        <w:t xml:space="preserve">The </w:t>
      </w:r>
      <w:r w:rsidR="00B06550" w:rsidRPr="008B0F77">
        <w:t>storage site</w:t>
      </w:r>
      <w:r w:rsidR="00320C53" w:rsidRPr="008B0F77">
        <w:t xml:space="preserve"> falls within the scope of Legislative Decree 105/2015</w:t>
      </w:r>
      <w:r w:rsidR="00545861" w:rsidRPr="008B0F77">
        <w:t xml:space="preserve"> </w:t>
      </w:r>
      <w:r w:rsidR="00545861" w:rsidRPr="008B0F77">
        <w:rPr>
          <w:lang w:val="en-GB"/>
        </w:rPr>
        <w:t>(Italian transposition of Seveso III Directive)</w:t>
      </w:r>
      <w:r w:rsidR="00320C53" w:rsidRPr="008B0F77">
        <w:t>, with a total storage capacity of almost 4000 m</w:t>
      </w:r>
      <w:r w:rsidR="00320C53" w:rsidRPr="008B0F77">
        <w:rPr>
          <w:vertAlign w:val="superscript"/>
        </w:rPr>
        <w:t>3</w:t>
      </w:r>
      <w:r w:rsidR="00320C53" w:rsidRPr="008B0F77">
        <w:t xml:space="preserve">. </w:t>
      </w:r>
    </w:p>
    <w:p w14:paraId="02C29171" w14:textId="3DEC2CA5" w:rsidR="00067E53" w:rsidRPr="008B0F77" w:rsidRDefault="00B61E66" w:rsidP="00205AB4">
      <w:pPr>
        <w:pStyle w:val="CETBodytext"/>
      </w:pPr>
      <w:r w:rsidRPr="008B0F77">
        <w:t>A part of t</w:t>
      </w:r>
      <w:r w:rsidR="00205AB4" w:rsidRPr="008B0F77">
        <w:t xml:space="preserve">he received </w:t>
      </w:r>
      <w:r w:rsidR="00B93FD4" w:rsidRPr="008B0F77">
        <w:t xml:space="preserve">LPG </w:t>
      </w:r>
      <w:r w:rsidRPr="008B0F77">
        <w:t xml:space="preserve">- that intended for combustion use - </w:t>
      </w:r>
      <w:proofErr w:type="gramStart"/>
      <w:r w:rsidRPr="008B0F77">
        <w:t xml:space="preserve">is firstly denatured, by adding </w:t>
      </w:r>
      <w:r w:rsidR="00567624" w:rsidRPr="008B0F77">
        <w:t xml:space="preserve">a marker substance </w:t>
      </w:r>
      <w:r w:rsidRPr="008B0F77">
        <w:t>in adequate quantities, and then stored in six mounded cylindrical vessels with horizontal axis</w:t>
      </w:r>
      <w:proofErr w:type="gramEnd"/>
      <w:r w:rsidRPr="008B0F77">
        <w:t>. Denaturing is required for taxation and customs traceabi</w:t>
      </w:r>
      <w:r w:rsidR="00785375" w:rsidRPr="008B0F77">
        <w:t xml:space="preserve">lity purposes, as it allows </w:t>
      </w:r>
      <w:r w:rsidRPr="008B0F77">
        <w:t xml:space="preserve">to easily </w:t>
      </w:r>
      <w:proofErr w:type="gramStart"/>
      <w:r w:rsidRPr="008B0F77">
        <w:t>distinguish</w:t>
      </w:r>
      <w:proofErr w:type="gramEnd"/>
      <w:r w:rsidRPr="008B0F77">
        <w:t xml:space="preserve"> LPG for combustion use from non-denatured LPG for automotive use. </w:t>
      </w:r>
      <w:r w:rsidR="00DC1196" w:rsidRPr="008B0F77">
        <w:t>Denatured LPG</w:t>
      </w:r>
      <w:r w:rsidR="00DB17C1" w:rsidRPr="008B0F77">
        <w:t xml:space="preserve"> does not </w:t>
      </w:r>
      <w:r w:rsidR="00320C53" w:rsidRPr="008B0F77">
        <w:t>only come out</w:t>
      </w:r>
      <w:r w:rsidR="00EE3E4A" w:rsidRPr="008B0F77">
        <w:t xml:space="preserve"> in tankers;</w:t>
      </w:r>
      <w:r w:rsidR="00DB17C1" w:rsidRPr="008B0F77">
        <w:t xml:space="preserve"> it </w:t>
      </w:r>
      <w:proofErr w:type="gramStart"/>
      <w:r w:rsidR="00DB17C1" w:rsidRPr="008B0F77">
        <w:t>is also bottled</w:t>
      </w:r>
      <w:proofErr w:type="gramEnd"/>
      <w:r w:rsidR="00DB17C1" w:rsidRPr="008B0F77">
        <w:t xml:space="preserve"> in cylinders that are carried by trucks and sent, for example, to stores serving private individuals. </w:t>
      </w:r>
      <w:r w:rsidR="00F224F8" w:rsidRPr="008B0F77">
        <w:t xml:space="preserve">In the bottling area, </w:t>
      </w:r>
      <w:r w:rsidR="00EE3E4A" w:rsidRPr="008B0F77">
        <w:t>a semi-automatic system includes</w:t>
      </w:r>
      <w:r w:rsidR="00F224F8" w:rsidRPr="008B0F77">
        <w:t xml:space="preserve"> several hand weighing scales, with gross weight setting.</w:t>
      </w:r>
      <w:r w:rsidR="00320C53" w:rsidRPr="008B0F77">
        <w:t xml:space="preserve"> </w:t>
      </w:r>
    </w:p>
    <w:p w14:paraId="75EBE847" w14:textId="16736CAC" w:rsidR="00B61E66" w:rsidRPr="008B0F77" w:rsidRDefault="00785375" w:rsidP="00205AB4">
      <w:pPr>
        <w:pStyle w:val="CETBodytext"/>
      </w:pPr>
      <w:r w:rsidRPr="008B0F77">
        <w:t xml:space="preserve">Both denatured and not-denatured LPG are also subjected to </w:t>
      </w:r>
      <w:proofErr w:type="spellStart"/>
      <w:r w:rsidRPr="008B0F77">
        <w:t>odorisation</w:t>
      </w:r>
      <w:proofErr w:type="spellEnd"/>
      <w:r w:rsidRPr="008B0F77">
        <w:t xml:space="preserve">, that is a process which consists in adding </w:t>
      </w:r>
      <w:proofErr w:type="spellStart"/>
      <w:r w:rsidR="00567624" w:rsidRPr="008B0F77">
        <w:t>tert</w:t>
      </w:r>
      <w:proofErr w:type="spellEnd"/>
      <w:r w:rsidR="00567624" w:rsidRPr="008B0F77">
        <w:t xml:space="preserve">-butyl </w:t>
      </w:r>
      <w:proofErr w:type="spellStart"/>
      <w:r w:rsidR="00567624" w:rsidRPr="008B0F77">
        <w:t>mercaptan</w:t>
      </w:r>
      <w:proofErr w:type="spellEnd"/>
      <w:r w:rsidR="00567624" w:rsidRPr="008B0F77">
        <w:t xml:space="preserve"> (TBM) </w:t>
      </w:r>
      <w:r w:rsidR="00F63EBA" w:rsidRPr="008B0F77">
        <w:t xml:space="preserve">in adequate quantities </w:t>
      </w:r>
      <w:r w:rsidRPr="008B0F77">
        <w:t xml:space="preserve">to LPG - which is naturally odorless and </w:t>
      </w:r>
      <w:proofErr w:type="spellStart"/>
      <w:r w:rsidRPr="008B0F77">
        <w:t>colourless</w:t>
      </w:r>
      <w:proofErr w:type="spellEnd"/>
      <w:r w:rsidRPr="008B0F77">
        <w:t xml:space="preserve"> - so that</w:t>
      </w:r>
      <w:r w:rsidR="004E4948" w:rsidRPr="008B0F77">
        <w:t xml:space="preserve"> its presence </w:t>
      </w:r>
      <w:r w:rsidR="00405D55" w:rsidRPr="008B0F77">
        <w:t xml:space="preserve">may be perceptible </w:t>
      </w:r>
      <w:r w:rsidR="004E4948" w:rsidRPr="008B0F77">
        <w:t>in case of release into the atmosphere.</w:t>
      </w:r>
    </w:p>
    <w:p w14:paraId="77AB2E52" w14:textId="47F3DDF3" w:rsidR="00320C53" w:rsidRPr="008B0F77" w:rsidRDefault="00C91724" w:rsidP="00205AB4">
      <w:pPr>
        <w:pStyle w:val="CETBodytext"/>
      </w:pPr>
      <w:r w:rsidRPr="008B0F77">
        <w:t xml:space="preserve">The area where the denatured LPG </w:t>
      </w:r>
      <w:proofErr w:type="gramStart"/>
      <w:r w:rsidRPr="008B0F77">
        <w:t>is handled</w:t>
      </w:r>
      <w:proofErr w:type="gramEnd"/>
      <w:r w:rsidRPr="008B0F77">
        <w:t xml:space="preserve"> is called “Red Department”, while the area for the handling of not-denatured LPG is called “White Area”. Each of them is equipped with a room for pumps and compressors</w:t>
      </w:r>
      <w:r w:rsidR="00067E53" w:rsidRPr="008B0F77">
        <w:t>. C</w:t>
      </w:r>
      <w:r w:rsidRPr="008B0F77">
        <w:t>ompre</w:t>
      </w:r>
      <w:r w:rsidR="00320C53" w:rsidRPr="008B0F77">
        <w:t xml:space="preserve">ssors </w:t>
      </w:r>
      <w:proofErr w:type="gramStart"/>
      <w:r w:rsidR="00320C53" w:rsidRPr="008B0F77">
        <w:t>are used</w:t>
      </w:r>
      <w:proofErr w:type="gramEnd"/>
      <w:r w:rsidR="00320C53" w:rsidRPr="008B0F77">
        <w:t xml:space="preserve"> for unloading ac</w:t>
      </w:r>
      <w:r w:rsidR="00067E53" w:rsidRPr="008B0F77">
        <w:t>tivities;</w:t>
      </w:r>
      <w:r w:rsidRPr="008B0F77">
        <w:t xml:space="preserve"> </w:t>
      </w:r>
      <w:r w:rsidR="00067E53" w:rsidRPr="008B0F77">
        <w:t xml:space="preserve">each one of them is placed on the gas line that joins the two tanks interested in the transfer, sucking gas from the one to be filled and compressing it in the one to be emptied. </w:t>
      </w:r>
      <w:r w:rsidR="00067E53" w:rsidRPr="008B0F77">
        <w:lastRenderedPageBreak/>
        <w:t>P</w:t>
      </w:r>
      <w:r w:rsidRPr="008B0F77">
        <w:t xml:space="preserve">umps </w:t>
      </w:r>
      <w:proofErr w:type="gramStart"/>
      <w:r w:rsidRPr="008B0F77">
        <w:t>are used</w:t>
      </w:r>
      <w:proofErr w:type="gramEnd"/>
      <w:r w:rsidRPr="008B0F77">
        <w:t xml:space="preserve"> for loading tankers, bottling cylinders and for transferring LPG </w:t>
      </w:r>
      <w:r w:rsidR="004942D4" w:rsidRPr="008B0F77">
        <w:t>from storage tanks in the White Area to the ones in Red Area.</w:t>
      </w:r>
      <w:r w:rsidR="00067E53" w:rsidRPr="008B0F77">
        <w:t xml:space="preserve"> Each pump itself gives the liquid LPG the prevalence necessary for the transfer from one tank to another.</w:t>
      </w:r>
      <w:r w:rsidR="00405D55" w:rsidRPr="008B0F77">
        <w:t xml:space="preserve"> </w:t>
      </w:r>
      <w:r w:rsidR="00656856" w:rsidRPr="008B0F77">
        <w:t>Figure 1</w:t>
      </w:r>
      <w:r w:rsidR="00320C53" w:rsidRPr="008B0F77">
        <w:t xml:space="preserve"> gives a schematic representation of LPG flux all along such site areas.</w:t>
      </w:r>
    </w:p>
    <w:p w14:paraId="5B27A280" w14:textId="77777777" w:rsidR="00405D55" w:rsidRPr="008B0F77" w:rsidRDefault="00405D55" w:rsidP="00205AB4">
      <w:pPr>
        <w:pStyle w:val="CETBodytext"/>
      </w:pPr>
    </w:p>
    <w:p w14:paraId="27F22271" w14:textId="5A49EBA7" w:rsidR="002D76DF" w:rsidRPr="008B0F77" w:rsidRDefault="002D76DF" w:rsidP="00205AB4">
      <w:pPr>
        <w:pStyle w:val="CETBodytext"/>
      </w:pPr>
      <w:r w:rsidRPr="008B0F77">
        <w:rPr>
          <w:noProof/>
          <w:lang w:val="it-IT" w:eastAsia="it-IT"/>
        </w:rPr>
        <w:drawing>
          <wp:inline distT="0" distB="0" distL="0" distR="0" wp14:anchorId="60E244D3" wp14:editId="1D2B00C6">
            <wp:extent cx="3220714" cy="2694214"/>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esentazione standard2.bmp"/>
                    <pic:cNvPicPr/>
                  </pic:nvPicPr>
                  <pic:blipFill rotWithShape="1">
                    <a:blip r:embed="rId13">
                      <a:extLst>
                        <a:ext uri="{28A0092B-C50C-407E-A947-70E740481C1C}">
                          <a14:useLocalDpi xmlns:a14="http://schemas.microsoft.com/office/drawing/2010/main" val="0"/>
                        </a:ext>
                      </a:extLst>
                    </a:blip>
                    <a:srcRect t="3680" b="5239"/>
                    <a:stretch/>
                  </pic:blipFill>
                  <pic:spPr bwMode="auto">
                    <a:xfrm>
                      <a:off x="0" y="0"/>
                      <a:ext cx="3222000" cy="2695290"/>
                    </a:xfrm>
                    <a:prstGeom prst="rect">
                      <a:avLst/>
                    </a:prstGeom>
                    <a:ln>
                      <a:noFill/>
                    </a:ln>
                    <a:extLst>
                      <a:ext uri="{53640926-AAD7-44D8-BBD7-CCE9431645EC}">
                        <a14:shadowObscured xmlns:a14="http://schemas.microsoft.com/office/drawing/2010/main"/>
                      </a:ext>
                    </a:extLst>
                  </pic:spPr>
                </pic:pic>
              </a:graphicData>
            </a:graphic>
          </wp:inline>
        </w:drawing>
      </w:r>
    </w:p>
    <w:p w14:paraId="1C773630" w14:textId="3275ECD2" w:rsidR="00656856" w:rsidRPr="008B0F77" w:rsidRDefault="00A0570B" w:rsidP="00656856">
      <w:pPr>
        <w:pStyle w:val="CETCaption"/>
        <w:rPr>
          <w:rStyle w:val="CETCaptionCarattere"/>
        </w:rPr>
      </w:pPr>
      <w:r w:rsidRPr="008B0F77">
        <w:rPr>
          <w:rStyle w:val="CETCaptionCarattere"/>
          <w:i/>
        </w:rPr>
        <w:t>F</w:t>
      </w:r>
      <w:r w:rsidR="00656856" w:rsidRPr="008B0F77">
        <w:rPr>
          <w:rStyle w:val="CETCaptionCarattere"/>
          <w:i/>
        </w:rPr>
        <w:t xml:space="preserve">igure 1: </w:t>
      </w:r>
      <w:r w:rsidR="006D294F" w:rsidRPr="008B0F77">
        <w:rPr>
          <w:rStyle w:val="CETCaptionCarattere"/>
          <w:i/>
        </w:rPr>
        <w:t>Schematization of LPG flux within the site.</w:t>
      </w:r>
    </w:p>
    <w:p w14:paraId="22A40102" w14:textId="21430391" w:rsidR="00B62C59" w:rsidRPr="008B0F77" w:rsidRDefault="005C1DDB" w:rsidP="00B62C59">
      <w:pPr>
        <w:pStyle w:val="CETBodytext"/>
      </w:pPr>
      <w:r w:rsidRPr="008B0F77">
        <w:t xml:space="preserve">The present work analyses </w:t>
      </w:r>
      <w:r w:rsidR="00782A4B" w:rsidRPr="008B0F77">
        <w:t>65</w:t>
      </w:r>
      <w:r w:rsidRPr="008B0F77">
        <w:t xml:space="preserve"> </w:t>
      </w:r>
      <w:r w:rsidR="008260EC" w:rsidRPr="008B0F77">
        <w:t xml:space="preserve">quasi-accidental events </w:t>
      </w:r>
      <w:r w:rsidRPr="008B0F77">
        <w:t>that touched the p</w:t>
      </w:r>
      <w:r w:rsidR="008260EC" w:rsidRPr="008B0F77">
        <w:t xml:space="preserve">lant </w:t>
      </w:r>
      <w:r w:rsidR="0046078C" w:rsidRPr="008B0F77">
        <w:t>from 2012 to 2021</w:t>
      </w:r>
      <w:r w:rsidR="008260EC" w:rsidRPr="008B0F77">
        <w:t>. D</w:t>
      </w:r>
      <w:r w:rsidRPr="008B0F77">
        <w:t xml:space="preserve">ata </w:t>
      </w:r>
      <w:proofErr w:type="gramStart"/>
      <w:r w:rsidR="008260EC" w:rsidRPr="008B0F77">
        <w:t>are taken</w:t>
      </w:r>
      <w:proofErr w:type="gramEnd"/>
      <w:r w:rsidR="008260EC" w:rsidRPr="008B0F77">
        <w:t xml:space="preserve"> from </w:t>
      </w:r>
      <w:r w:rsidRPr="008B0F77">
        <w:t xml:space="preserve">operative sheets for Seveso audits and </w:t>
      </w:r>
      <w:r w:rsidR="008260EC" w:rsidRPr="008B0F77">
        <w:t xml:space="preserve">safety </w:t>
      </w:r>
      <w:r w:rsidRPr="008B0F77">
        <w:t>internal reports.</w:t>
      </w:r>
      <w:r w:rsidR="00FB3E15" w:rsidRPr="008B0F77">
        <w:t xml:space="preserve"> </w:t>
      </w:r>
      <w:r w:rsidR="007F75C4" w:rsidRPr="008B0F77">
        <w:t xml:space="preserve">The company has established procedures to regulate </w:t>
      </w:r>
      <w:r w:rsidR="00EE3E4A" w:rsidRPr="008B0F77">
        <w:t xml:space="preserve">the report of accidents, </w:t>
      </w:r>
      <w:proofErr w:type="gramStart"/>
      <w:r w:rsidR="00EE3E4A" w:rsidRPr="008B0F77">
        <w:t>near-</w:t>
      </w:r>
      <w:r w:rsidR="007F75C4" w:rsidRPr="008B0F77">
        <w:t>misses</w:t>
      </w:r>
      <w:proofErr w:type="gramEnd"/>
      <w:r w:rsidR="007F75C4" w:rsidRPr="008B0F77">
        <w:t>, anomalies and injuries, while trying to identify causes and adopt</w:t>
      </w:r>
      <w:r w:rsidR="00EE3E4A" w:rsidRPr="008B0F77">
        <w:t>ing</w:t>
      </w:r>
      <w:r w:rsidR="007F75C4" w:rsidRPr="008B0F77">
        <w:t xml:space="preserve"> corrective actions.</w:t>
      </w:r>
      <w:r w:rsidR="00B62C59" w:rsidRPr="008B0F77">
        <w:t xml:space="preserve"> </w:t>
      </w:r>
      <w:r w:rsidR="00FD1DC4" w:rsidRPr="008B0F77">
        <w:t>In</w:t>
      </w:r>
      <w:r w:rsidR="00EE3E4A" w:rsidRPr="008B0F77">
        <w:t xml:space="preserve"> accordance with </w:t>
      </w:r>
      <w:r w:rsidR="00FD1DC4" w:rsidRPr="008B0F77">
        <w:t>company reports, n</w:t>
      </w:r>
      <w:r w:rsidR="00B62C59" w:rsidRPr="008B0F77">
        <w:t xml:space="preserve">ear-misses are </w:t>
      </w:r>
      <w:r w:rsidR="00FD1DC4" w:rsidRPr="008B0F77">
        <w:t xml:space="preserve">here considered </w:t>
      </w:r>
      <w:r w:rsidR="00B62C59" w:rsidRPr="008B0F77">
        <w:t xml:space="preserve">extraordinary events that could have caused consequences such as those of an accident (damage to people, environment or company assets), </w:t>
      </w:r>
      <w:r w:rsidR="00EE3E4A" w:rsidRPr="008B0F77">
        <w:t>finally</w:t>
      </w:r>
      <w:r w:rsidR="00B62C59" w:rsidRPr="008B0F77">
        <w:t xml:space="preserve"> avoided due to fortuitous circumstances. Anomalies are deviations from normal operating conditions, i.e. failures, or from normal procedural and organizational arrangements.</w:t>
      </w:r>
    </w:p>
    <w:p w14:paraId="255BD8C1" w14:textId="0804AEB2" w:rsidR="00B03673" w:rsidRPr="008B0F77" w:rsidRDefault="00B03673" w:rsidP="00A03511">
      <w:pPr>
        <w:pStyle w:val="CETheadingx"/>
      </w:pPr>
      <w:r w:rsidRPr="008B0F77">
        <w:t xml:space="preserve">Analysis criteria and methodology </w:t>
      </w:r>
    </w:p>
    <w:p w14:paraId="53226E01" w14:textId="6569C1D1" w:rsidR="00C23FC4" w:rsidRPr="008B0F77" w:rsidRDefault="00C23FC4" w:rsidP="006A241A">
      <w:pPr>
        <w:pStyle w:val="CETBodytext"/>
        <w:rPr>
          <w:lang w:val="en-GB"/>
        </w:rPr>
      </w:pPr>
      <w:r w:rsidRPr="008B0F77">
        <w:t>A previous historical analysis of accidents in similar high-risk plants (</w:t>
      </w:r>
      <w:r w:rsidR="00261659" w:rsidRPr="008B0F77">
        <w:t xml:space="preserve">for </w:t>
      </w:r>
      <w:r w:rsidRPr="008B0F77">
        <w:t>LPG, propane, butane</w:t>
      </w:r>
      <w:r w:rsidR="00FB67CE" w:rsidRPr="008B0F77">
        <w:t>)</w:t>
      </w:r>
      <w:r w:rsidRPr="008B0F77">
        <w:t xml:space="preserve">, realized by the company </w:t>
      </w:r>
      <w:r w:rsidR="00BB37A5" w:rsidRPr="008B0F77">
        <w:t xml:space="preserve">based </w:t>
      </w:r>
      <w:r w:rsidRPr="008B0F77">
        <w:t xml:space="preserve">on international databases, tried to </w:t>
      </w:r>
      <w:r w:rsidR="00261659" w:rsidRPr="008B0F77">
        <w:t>pre-</w:t>
      </w:r>
      <w:r w:rsidRPr="008B0F77">
        <w:t>identify acc</w:t>
      </w:r>
      <w:r w:rsidR="00FB67CE" w:rsidRPr="008B0F77">
        <w:t xml:space="preserve">idents that </w:t>
      </w:r>
      <w:r w:rsidR="003C3884" w:rsidRPr="008B0F77">
        <w:t>could occur</w:t>
      </w:r>
      <w:r w:rsidR="00FB67CE" w:rsidRPr="008B0F77">
        <w:t xml:space="preserve"> during </w:t>
      </w:r>
      <w:r w:rsidRPr="008B0F77">
        <w:t>loading and unloading, storage and handling phases</w:t>
      </w:r>
      <w:r w:rsidR="006A241A" w:rsidRPr="008B0F77">
        <w:t xml:space="preserve">, considering </w:t>
      </w:r>
      <w:r w:rsidRPr="008B0F77">
        <w:rPr>
          <w:lang w:val="en-GB"/>
        </w:rPr>
        <w:t>types of generating causes (</w:t>
      </w:r>
      <w:r w:rsidR="001B436E" w:rsidRPr="008B0F77">
        <w:rPr>
          <w:lang w:val="en-GB"/>
        </w:rPr>
        <w:t xml:space="preserve">e.g. </w:t>
      </w:r>
      <w:r w:rsidRPr="008B0F77">
        <w:rPr>
          <w:lang w:val="en-GB"/>
        </w:rPr>
        <w:t>mechani</w:t>
      </w:r>
      <w:r w:rsidR="001B436E" w:rsidRPr="008B0F77">
        <w:rPr>
          <w:lang w:val="en-GB"/>
        </w:rPr>
        <w:t>cal failures, human errors</w:t>
      </w:r>
      <w:r w:rsidRPr="008B0F77">
        <w:rPr>
          <w:lang w:val="en-GB"/>
        </w:rPr>
        <w:t>)</w:t>
      </w:r>
      <w:r w:rsidR="006A241A" w:rsidRPr="008B0F77">
        <w:rPr>
          <w:lang w:val="en-GB"/>
        </w:rPr>
        <w:t xml:space="preserve">, </w:t>
      </w:r>
      <w:r w:rsidRPr="008B0F77">
        <w:rPr>
          <w:lang w:val="en-GB"/>
        </w:rPr>
        <w:t>accidental consequences</w:t>
      </w:r>
      <w:r w:rsidR="001B436E" w:rsidRPr="008B0F77">
        <w:rPr>
          <w:lang w:val="en-GB"/>
        </w:rPr>
        <w:t xml:space="preserve"> (e.g. release, fire, explosion</w:t>
      </w:r>
      <w:r w:rsidRPr="008B0F77">
        <w:rPr>
          <w:lang w:val="en-GB"/>
        </w:rPr>
        <w:t>)</w:t>
      </w:r>
      <w:r w:rsidR="006A241A" w:rsidRPr="008B0F77">
        <w:rPr>
          <w:lang w:val="en-GB"/>
        </w:rPr>
        <w:t xml:space="preserve"> and </w:t>
      </w:r>
      <w:r w:rsidRPr="008B0F77">
        <w:rPr>
          <w:lang w:val="en-GB"/>
        </w:rPr>
        <w:t>types</w:t>
      </w:r>
      <w:r w:rsidR="001B436E" w:rsidRPr="008B0F77">
        <w:rPr>
          <w:lang w:val="en-GB"/>
        </w:rPr>
        <w:t xml:space="preserve"> of ignition.</w:t>
      </w:r>
    </w:p>
    <w:p w14:paraId="2CDD66EE" w14:textId="606B69F5" w:rsidR="00205AB4" w:rsidRPr="008B0F77" w:rsidRDefault="00C23FC4" w:rsidP="00C23FC4">
      <w:pPr>
        <w:pStyle w:val="CETBodytext"/>
      </w:pPr>
      <w:r w:rsidRPr="008B0F77">
        <w:t xml:space="preserve">The analysis </w:t>
      </w:r>
      <w:r w:rsidR="00FB67CE" w:rsidRPr="008B0F77">
        <w:t xml:space="preserve">reached the conclusion that </w:t>
      </w:r>
      <w:r w:rsidR="00BB37A5" w:rsidRPr="008B0F77">
        <w:t>the following events were non-excludable</w:t>
      </w:r>
      <w:r w:rsidR="00FB67CE" w:rsidRPr="008B0F77">
        <w:t xml:space="preserve"> </w:t>
      </w:r>
      <w:r w:rsidR="00023FFE" w:rsidRPr="008B0F77">
        <w:t xml:space="preserve">a priori </w:t>
      </w:r>
      <w:r w:rsidR="00FB67CE" w:rsidRPr="008B0F77">
        <w:t xml:space="preserve">at </w:t>
      </w:r>
      <w:proofErr w:type="spellStart"/>
      <w:r w:rsidR="00FB67CE" w:rsidRPr="008B0F77">
        <w:t>Fontevivo</w:t>
      </w:r>
      <w:proofErr w:type="spellEnd"/>
      <w:r w:rsidR="00FB67CE" w:rsidRPr="008B0F77">
        <w:t xml:space="preserve"> site</w:t>
      </w:r>
      <w:r w:rsidR="00BB37A5" w:rsidRPr="008B0F77">
        <w:t>:</w:t>
      </w:r>
    </w:p>
    <w:p w14:paraId="2B4FDA15" w14:textId="316E19A5" w:rsidR="00BB37A5" w:rsidRPr="008B0F77" w:rsidRDefault="00BB37A5" w:rsidP="00C23FC4">
      <w:pPr>
        <w:pStyle w:val="CETBodytext"/>
      </w:pPr>
    </w:p>
    <w:p w14:paraId="4861EB29" w14:textId="3543E6F9" w:rsidR="00BB37A5" w:rsidRPr="008B0F77" w:rsidRDefault="00BB37A5" w:rsidP="00BB37A5">
      <w:pPr>
        <w:pStyle w:val="CETBodytext"/>
        <w:numPr>
          <w:ilvl w:val="0"/>
          <w:numId w:val="16"/>
        </w:numPr>
        <w:rPr>
          <w:lang w:val="en-GB"/>
        </w:rPr>
      </w:pPr>
      <w:r w:rsidRPr="008B0F77">
        <w:rPr>
          <w:lang w:val="en-GB"/>
        </w:rPr>
        <w:t xml:space="preserve">mechanical failures on </w:t>
      </w:r>
      <w:r w:rsidR="00023FFE" w:rsidRPr="008B0F77">
        <w:rPr>
          <w:lang w:val="en-GB"/>
        </w:rPr>
        <w:t>pumps, compressors</w:t>
      </w:r>
      <w:r w:rsidRPr="008B0F77">
        <w:rPr>
          <w:lang w:val="en-GB"/>
        </w:rPr>
        <w:t>, lines and valves;</w:t>
      </w:r>
    </w:p>
    <w:p w14:paraId="6F874EE5" w14:textId="77777777" w:rsidR="00BB37A5" w:rsidRPr="008B0F77" w:rsidRDefault="00BB37A5" w:rsidP="00BB37A5">
      <w:pPr>
        <w:pStyle w:val="CETBodytext"/>
        <w:numPr>
          <w:ilvl w:val="0"/>
          <w:numId w:val="16"/>
        </w:numPr>
        <w:rPr>
          <w:lang w:val="en-GB"/>
        </w:rPr>
      </w:pPr>
      <w:r w:rsidRPr="008B0F77">
        <w:rPr>
          <w:lang w:val="en-GB"/>
        </w:rPr>
        <w:t>mechanical failures on valve/tap in cylinders;</w:t>
      </w:r>
    </w:p>
    <w:p w14:paraId="34EAA094" w14:textId="6394102A" w:rsidR="00BB37A5" w:rsidRPr="008B0F77" w:rsidRDefault="00BB37A5" w:rsidP="00BB37A5">
      <w:pPr>
        <w:pStyle w:val="CETBodytext"/>
        <w:numPr>
          <w:ilvl w:val="0"/>
          <w:numId w:val="16"/>
        </w:numPr>
        <w:rPr>
          <w:lang w:val="en-GB"/>
        </w:rPr>
      </w:pPr>
      <w:proofErr w:type="gramStart"/>
      <w:r w:rsidRPr="008B0F77">
        <w:rPr>
          <w:lang w:val="en-GB"/>
        </w:rPr>
        <w:t>releases</w:t>
      </w:r>
      <w:proofErr w:type="gramEnd"/>
      <w:r w:rsidRPr="008B0F77">
        <w:rPr>
          <w:lang w:val="en-GB"/>
        </w:rPr>
        <w:t xml:space="preserve"> caused by human errors while connecting</w:t>
      </w:r>
      <w:r w:rsidR="00023FFE" w:rsidRPr="008B0F77">
        <w:rPr>
          <w:lang w:val="en-GB"/>
        </w:rPr>
        <w:t xml:space="preserve"> moving parts in </w:t>
      </w:r>
      <w:r w:rsidRPr="008B0F77">
        <w:rPr>
          <w:lang w:val="en-GB"/>
        </w:rPr>
        <w:t>l</w:t>
      </w:r>
      <w:r w:rsidR="00023FFE" w:rsidRPr="008B0F77">
        <w:rPr>
          <w:lang w:val="en-GB"/>
        </w:rPr>
        <w:t>oading and unloading operations</w:t>
      </w:r>
      <w:r w:rsidRPr="008B0F77">
        <w:rPr>
          <w:lang w:val="en-GB"/>
        </w:rPr>
        <w:t>.</w:t>
      </w:r>
    </w:p>
    <w:p w14:paraId="44C27959" w14:textId="77777777" w:rsidR="00205AB4" w:rsidRPr="008B0F77" w:rsidRDefault="00205AB4" w:rsidP="00F0348B">
      <w:pPr>
        <w:pStyle w:val="CETBodytext"/>
      </w:pPr>
    </w:p>
    <w:p w14:paraId="2BEA7501" w14:textId="21532B85" w:rsidR="00CE13EF" w:rsidRPr="008B0F77" w:rsidRDefault="00CE13EF" w:rsidP="00F0348B">
      <w:pPr>
        <w:pStyle w:val="CETBodytext"/>
      </w:pPr>
      <w:r w:rsidRPr="008B0F77">
        <w:t>Anyway,</w:t>
      </w:r>
      <w:r w:rsidR="00E13835" w:rsidRPr="008B0F77">
        <w:t xml:space="preserve"> in </w:t>
      </w:r>
      <w:r w:rsidR="00D867C9" w:rsidRPr="008B0F77">
        <w:t>such</w:t>
      </w:r>
      <w:r w:rsidR="00E13835" w:rsidRPr="008B0F77">
        <w:t xml:space="preserve"> previous study based on international data,</w:t>
      </w:r>
      <w:r w:rsidR="00D74BC7" w:rsidRPr="008B0F77">
        <w:t xml:space="preserve"> the </w:t>
      </w:r>
      <w:r w:rsidR="00023FFE" w:rsidRPr="008B0F77">
        <w:t>c</w:t>
      </w:r>
      <w:r w:rsidR="00D74BC7" w:rsidRPr="008B0F77">
        <w:t>auses related</w:t>
      </w:r>
      <w:r w:rsidRPr="008B0F77">
        <w:t xml:space="preserve"> to </w:t>
      </w:r>
      <w:r w:rsidR="001929E2" w:rsidRPr="008B0F77">
        <w:t xml:space="preserve">the specific activity of </w:t>
      </w:r>
      <w:r w:rsidR="00261659" w:rsidRPr="008B0F77">
        <w:t xml:space="preserve">LPG </w:t>
      </w:r>
      <w:r w:rsidR="00D74BC7" w:rsidRPr="008B0F77">
        <w:t xml:space="preserve">loading/unloading </w:t>
      </w:r>
      <w:r w:rsidRPr="008B0F77">
        <w:t>result</w:t>
      </w:r>
      <w:r w:rsidR="00D74BC7" w:rsidRPr="008B0F77">
        <w:t>ed</w:t>
      </w:r>
      <w:r w:rsidRPr="008B0F77">
        <w:t xml:space="preserve"> </w:t>
      </w:r>
      <w:r w:rsidR="00023FFE" w:rsidRPr="008B0F77">
        <w:t>mostly</w:t>
      </w:r>
      <w:r w:rsidRPr="008B0F77">
        <w:t xml:space="preserve"> (58%) </w:t>
      </w:r>
      <w:r w:rsidR="00E13835" w:rsidRPr="008B0F77">
        <w:t xml:space="preserve">unexpectedly </w:t>
      </w:r>
      <w:r w:rsidRPr="008B0F77">
        <w:t>"undefined"</w:t>
      </w:r>
      <w:r w:rsidR="00E13835" w:rsidRPr="008B0F77">
        <w:t xml:space="preserve">: </w:t>
      </w:r>
      <w:r w:rsidR="00D74BC7" w:rsidRPr="008B0F77">
        <w:t xml:space="preserve">this fact further justified the opportunity to carry out the present </w:t>
      </w:r>
      <w:r w:rsidR="00E13835" w:rsidRPr="008B0F77">
        <w:t>research</w:t>
      </w:r>
      <w:r w:rsidR="00261659" w:rsidRPr="008B0F77">
        <w:t xml:space="preserve"> in order to deepen the topic.</w:t>
      </w:r>
    </w:p>
    <w:p w14:paraId="7BA41ADA" w14:textId="2F51B3D7" w:rsidR="008260EC" w:rsidRPr="008B0F77" w:rsidRDefault="0010126D" w:rsidP="0010126D">
      <w:pPr>
        <w:pStyle w:val="CETBodytext"/>
      </w:pPr>
      <w:r w:rsidRPr="008B0F77">
        <w:t xml:space="preserve">The selected events </w:t>
      </w:r>
      <w:proofErr w:type="gramStart"/>
      <w:r w:rsidRPr="008B0F77">
        <w:t xml:space="preserve">were </w:t>
      </w:r>
      <w:r w:rsidR="00250279" w:rsidRPr="008B0F77">
        <w:t>therefore</w:t>
      </w:r>
      <w:r w:rsidR="004E3D3C" w:rsidRPr="008B0F77">
        <w:t xml:space="preserve"> </w:t>
      </w:r>
      <w:r w:rsidRPr="008B0F77">
        <w:t>inserted</w:t>
      </w:r>
      <w:proofErr w:type="gramEnd"/>
      <w:r w:rsidRPr="008B0F77">
        <w:t xml:space="preserve"> into a general spreadsheet, </w:t>
      </w:r>
      <w:r w:rsidR="008260EC" w:rsidRPr="008B0F77">
        <w:t xml:space="preserve">where </w:t>
      </w:r>
      <w:r w:rsidRPr="008B0F77">
        <w:t xml:space="preserve">specific attributes, </w:t>
      </w:r>
      <w:r w:rsidR="008260EC" w:rsidRPr="008B0F77">
        <w:t xml:space="preserve">as detailed in Table 1, have been used to classify them. </w:t>
      </w:r>
      <w:r w:rsidR="004877F6" w:rsidRPr="008B0F77">
        <w:t xml:space="preserve">It was not necessary to specify the severity of the events because neither </w:t>
      </w:r>
      <w:r w:rsidR="00D74BC7" w:rsidRPr="008B0F77">
        <w:t>workers’ injuries</w:t>
      </w:r>
      <w:r w:rsidR="004877F6" w:rsidRPr="008B0F77">
        <w:t xml:space="preserve"> nor major structural damage</w:t>
      </w:r>
      <w:r w:rsidR="00D74BC7" w:rsidRPr="008B0F77">
        <w:t>s</w:t>
      </w:r>
      <w:r w:rsidR="004877F6" w:rsidRPr="008B0F77">
        <w:t xml:space="preserve"> to the plants</w:t>
      </w:r>
      <w:r w:rsidR="00D74BC7" w:rsidRPr="008B0F77">
        <w:t xml:space="preserve"> </w:t>
      </w:r>
      <w:proofErr w:type="gramStart"/>
      <w:r w:rsidR="00D74BC7" w:rsidRPr="008B0F77">
        <w:t>were reported</w:t>
      </w:r>
      <w:proofErr w:type="gramEnd"/>
      <w:r w:rsidR="004877F6" w:rsidRPr="008B0F77">
        <w:t>.</w:t>
      </w:r>
    </w:p>
    <w:p w14:paraId="3DEEA222" w14:textId="5DBC98EA" w:rsidR="00023FFE" w:rsidRPr="008B0F77" w:rsidRDefault="00AC1278" w:rsidP="00023FFE">
      <w:pPr>
        <w:pStyle w:val="CETBodytext"/>
      </w:pPr>
      <w:r w:rsidRPr="008B0F77">
        <w:t>Critical “top events</w:t>
      </w:r>
      <w:r w:rsidR="0026787B" w:rsidRPr="008B0F77">
        <w:t>”</w:t>
      </w:r>
      <w:r w:rsidRPr="008B0F77">
        <w:t xml:space="preserve"> are </w:t>
      </w:r>
      <w:r w:rsidR="001F225E" w:rsidRPr="008B0F77">
        <w:t>quasi-</w:t>
      </w:r>
      <w:r w:rsidRPr="008B0F77">
        <w:t>accident typologies including both LPG releases and other kind</w:t>
      </w:r>
      <w:r w:rsidR="002D18CE" w:rsidRPr="008B0F77">
        <w:t>s</w:t>
      </w:r>
      <w:r w:rsidRPr="008B0F77">
        <w:t xml:space="preserve"> of anomalies. </w:t>
      </w:r>
      <w:r w:rsidR="00736462" w:rsidRPr="008B0F77">
        <w:t xml:space="preserve">Even small releases can be precursors of major accidents. </w:t>
      </w:r>
      <w:r w:rsidRPr="008B0F77">
        <w:t xml:space="preserve">In </w:t>
      </w:r>
      <w:r w:rsidR="00263A4B" w:rsidRPr="008B0F77">
        <w:t>addition</w:t>
      </w:r>
      <w:r w:rsidRPr="008B0F77">
        <w:t>, unwanted events related to machinery (pumps and compressors) represent a not-</w:t>
      </w:r>
      <w:r w:rsidR="00023FFE" w:rsidRPr="008B0F77">
        <w:t>negligible</w:t>
      </w:r>
      <w:r w:rsidRPr="008B0F77">
        <w:t xml:space="preserve"> </w:t>
      </w:r>
      <w:r w:rsidR="001F225E" w:rsidRPr="008B0F77">
        <w:t xml:space="preserve">aspect, together with all anomalies on bottling lines for LPG cylinders. </w:t>
      </w:r>
      <w:r w:rsidR="00023FFE" w:rsidRPr="008B0F77">
        <w:t>During the bottling operations, any los</w:t>
      </w:r>
      <w:r w:rsidR="00261659" w:rsidRPr="008B0F77">
        <w:t xml:space="preserve">ses </w:t>
      </w:r>
      <w:proofErr w:type="gramStart"/>
      <w:r w:rsidR="00261659" w:rsidRPr="008B0F77">
        <w:t>must be promptly eliminated</w:t>
      </w:r>
      <w:proofErr w:type="gramEnd"/>
      <w:r w:rsidR="00261659" w:rsidRPr="008B0F77">
        <w:t xml:space="preserve"> and,</w:t>
      </w:r>
      <w:r w:rsidR="00023FFE" w:rsidRPr="008B0F77">
        <w:t xml:space="preserve"> </w:t>
      </w:r>
      <w:r w:rsidR="00261659" w:rsidRPr="008B0F77">
        <w:t>a</w:t>
      </w:r>
      <w:r w:rsidR="00023FFE" w:rsidRPr="008B0F77">
        <w:t>fter bottling, each cylinder should be checked to make sure that there are no leaks from shut-off devices</w:t>
      </w:r>
      <w:r w:rsidR="0026787B" w:rsidRPr="008B0F77">
        <w:t xml:space="preserve"> (INAIL, 2012)</w:t>
      </w:r>
      <w:r w:rsidR="00023FFE" w:rsidRPr="008B0F77">
        <w:t>.</w:t>
      </w:r>
    </w:p>
    <w:p w14:paraId="237A1316" w14:textId="11F990A0" w:rsidR="00023FFE" w:rsidRPr="008B0F77" w:rsidRDefault="00023FFE" w:rsidP="0010126D">
      <w:pPr>
        <w:pStyle w:val="CETBodytext"/>
      </w:pPr>
      <w:r w:rsidRPr="008B0F77">
        <w:t xml:space="preserve">All top events </w:t>
      </w:r>
      <w:proofErr w:type="gramStart"/>
      <w:r w:rsidRPr="008B0F77">
        <w:t>can be</w:t>
      </w:r>
      <w:r w:rsidR="00261659" w:rsidRPr="008B0F77">
        <w:t xml:space="preserve"> thought</w:t>
      </w:r>
      <w:proofErr w:type="gramEnd"/>
      <w:r w:rsidR="00261659" w:rsidRPr="008B0F77">
        <w:t xml:space="preserve"> as </w:t>
      </w:r>
      <w:r w:rsidRPr="008B0F77">
        <w:t>distributed between different “Logic unit</w:t>
      </w:r>
      <w:r w:rsidR="0026787B" w:rsidRPr="008B0F77">
        <w:t>s</w:t>
      </w:r>
      <w:r w:rsidRPr="008B0F77">
        <w:t xml:space="preserve">”, </w:t>
      </w:r>
      <w:r w:rsidR="0026787B" w:rsidRPr="008B0F77">
        <w:t>representing the distinction between</w:t>
      </w:r>
      <w:r w:rsidRPr="008B0F77">
        <w:t xml:space="preserve"> the effective loading/unloading phases from the pure storage function in vessels and other plant components. </w:t>
      </w:r>
    </w:p>
    <w:p w14:paraId="6C6D07EF" w14:textId="466E3C90" w:rsidR="00AC1278" w:rsidRPr="008B0F77" w:rsidRDefault="001F225E" w:rsidP="0010126D">
      <w:pPr>
        <w:pStyle w:val="CETBodytext"/>
      </w:pPr>
      <w:r w:rsidRPr="008B0F77">
        <w:lastRenderedPageBreak/>
        <w:t>The analysis continues with the identification of possible human, technological and organizational causes of unwanted events</w:t>
      </w:r>
      <w:r w:rsidR="00023FFE" w:rsidRPr="008B0F77">
        <w:t xml:space="preserve">, together with the correspondent </w:t>
      </w:r>
      <w:r w:rsidR="00023FFE" w:rsidRPr="008B0F77">
        <w:rPr>
          <w:lang w:val="en-GB"/>
        </w:rPr>
        <w:t>actions, taken and programmed</w:t>
      </w:r>
      <w:r w:rsidR="0026787B" w:rsidRPr="008B0F77">
        <w:rPr>
          <w:lang w:val="en-GB"/>
        </w:rPr>
        <w:t>,</w:t>
      </w:r>
      <w:r w:rsidR="00023FFE" w:rsidRPr="008B0F77">
        <w:rPr>
          <w:lang w:val="en-GB"/>
        </w:rPr>
        <w:t xml:space="preserve"> for managing and preventing similar </w:t>
      </w:r>
      <w:r w:rsidR="0026787B" w:rsidRPr="008B0F77">
        <w:rPr>
          <w:lang w:val="en-GB"/>
        </w:rPr>
        <w:t>quasi-accidents</w:t>
      </w:r>
      <w:r w:rsidR="00023FFE" w:rsidRPr="008B0F77">
        <w:rPr>
          <w:lang w:val="en-GB"/>
        </w:rPr>
        <w:t>.</w:t>
      </w:r>
    </w:p>
    <w:p w14:paraId="34C0DD59" w14:textId="3301D7CC" w:rsidR="009B3620" w:rsidRPr="008B0F77" w:rsidRDefault="009B3620" w:rsidP="009B3620">
      <w:pPr>
        <w:pStyle w:val="CETTabletitle"/>
      </w:pPr>
      <w:r w:rsidRPr="008B0F77">
        <w:t xml:space="preserve">Table 1: Attributes for classification of </w:t>
      </w:r>
      <w:r w:rsidR="004877F6" w:rsidRPr="008B0F77">
        <w:t>quasi-accidental</w:t>
      </w:r>
      <w:r w:rsidRPr="008B0F77">
        <w:t xml:space="preserve"> events</w:t>
      </w:r>
    </w:p>
    <w:tbl>
      <w:tblPr>
        <w:tblW w:w="880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835"/>
        <w:gridCol w:w="5954"/>
        <w:gridCol w:w="20"/>
      </w:tblGrid>
      <w:tr w:rsidR="009B3620" w:rsidRPr="008B0F77" w14:paraId="6C315B64" w14:textId="77777777" w:rsidTr="005C3D46">
        <w:trPr>
          <w:trHeight w:val="20"/>
        </w:trPr>
        <w:tc>
          <w:tcPr>
            <w:tcW w:w="2835" w:type="dxa"/>
            <w:tcBorders>
              <w:top w:val="single" w:sz="12" w:space="0" w:color="008000"/>
              <w:bottom w:val="single" w:sz="6" w:space="0" w:color="008000"/>
            </w:tcBorders>
            <w:shd w:val="clear" w:color="auto" w:fill="FFFFFF"/>
          </w:tcPr>
          <w:p w14:paraId="65F85C52" w14:textId="77777777" w:rsidR="009B3620" w:rsidRPr="008B0F77" w:rsidRDefault="009B3620" w:rsidP="005C3D46">
            <w:pPr>
              <w:pStyle w:val="CETBodytext"/>
              <w:jc w:val="left"/>
              <w:rPr>
                <w:lang w:val="en-GB"/>
              </w:rPr>
            </w:pPr>
            <w:r w:rsidRPr="008B0F77">
              <w:rPr>
                <w:lang w:val="en-GB"/>
              </w:rPr>
              <w:t>Attribute</w:t>
            </w:r>
          </w:p>
        </w:tc>
        <w:tc>
          <w:tcPr>
            <w:tcW w:w="5954" w:type="dxa"/>
            <w:tcBorders>
              <w:top w:val="single" w:sz="12" w:space="0" w:color="008000"/>
              <w:bottom w:val="single" w:sz="6" w:space="0" w:color="008000"/>
            </w:tcBorders>
            <w:shd w:val="clear" w:color="auto" w:fill="FFFFFF"/>
            <w:tcMar>
              <w:left w:w="170" w:type="dxa"/>
            </w:tcMar>
          </w:tcPr>
          <w:p w14:paraId="03FAB073" w14:textId="77777777" w:rsidR="009B3620" w:rsidRPr="008B0F77" w:rsidRDefault="009B3620" w:rsidP="005C3D46">
            <w:pPr>
              <w:pStyle w:val="CETBodytext"/>
              <w:rPr>
                <w:lang w:val="en-GB"/>
              </w:rPr>
            </w:pPr>
            <w:r w:rsidRPr="008B0F77">
              <w:rPr>
                <w:lang w:val="en-GB"/>
              </w:rPr>
              <w:t>Description</w:t>
            </w:r>
          </w:p>
        </w:tc>
        <w:tc>
          <w:tcPr>
            <w:tcW w:w="20" w:type="dxa"/>
            <w:tcBorders>
              <w:top w:val="single" w:sz="12" w:space="0" w:color="008000"/>
              <w:bottom w:val="nil"/>
            </w:tcBorders>
            <w:shd w:val="clear" w:color="auto" w:fill="FFFFFF"/>
          </w:tcPr>
          <w:p w14:paraId="434FEC84" w14:textId="77777777" w:rsidR="009B3620" w:rsidRPr="008B0F77" w:rsidRDefault="009B3620" w:rsidP="005C3D46">
            <w:pPr>
              <w:pStyle w:val="CETBodytext"/>
              <w:ind w:right="-1"/>
              <w:rPr>
                <w:rFonts w:cs="Arial"/>
                <w:szCs w:val="18"/>
                <w:lang w:val="en-GB"/>
              </w:rPr>
            </w:pPr>
          </w:p>
        </w:tc>
      </w:tr>
      <w:tr w:rsidR="009B3620" w:rsidRPr="008B0F77" w14:paraId="405F5C39" w14:textId="77777777" w:rsidTr="005C3D46">
        <w:trPr>
          <w:trHeight w:val="20"/>
        </w:trPr>
        <w:tc>
          <w:tcPr>
            <w:tcW w:w="2835" w:type="dxa"/>
            <w:tcBorders>
              <w:top w:val="nil"/>
              <w:bottom w:val="nil"/>
            </w:tcBorders>
            <w:shd w:val="clear" w:color="auto" w:fill="FFFFFF"/>
          </w:tcPr>
          <w:p w14:paraId="0CBB216B" w14:textId="77777777" w:rsidR="009B3620" w:rsidRPr="008B0F77" w:rsidRDefault="009B3620" w:rsidP="005C3D46">
            <w:pPr>
              <w:pStyle w:val="CETBodytext"/>
              <w:jc w:val="left"/>
              <w:rPr>
                <w:lang w:val="en-GB"/>
              </w:rPr>
            </w:pPr>
            <w:r w:rsidRPr="008B0F77">
              <w:rPr>
                <w:lang w:val="en-GB"/>
              </w:rPr>
              <w:t>Year</w:t>
            </w:r>
          </w:p>
        </w:tc>
        <w:tc>
          <w:tcPr>
            <w:tcW w:w="5954" w:type="dxa"/>
            <w:tcBorders>
              <w:top w:val="nil"/>
              <w:bottom w:val="nil"/>
            </w:tcBorders>
            <w:shd w:val="clear" w:color="auto" w:fill="FFFFFF"/>
            <w:tcMar>
              <w:left w:w="170" w:type="dxa"/>
            </w:tcMar>
          </w:tcPr>
          <w:p w14:paraId="01FDAABE" w14:textId="77777777" w:rsidR="009B3620" w:rsidRPr="008B0F77" w:rsidRDefault="009B3620" w:rsidP="005C3D46">
            <w:pPr>
              <w:pStyle w:val="CETBodytext"/>
              <w:ind w:right="-1"/>
              <w:rPr>
                <w:rFonts w:cs="Arial"/>
                <w:szCs w:val="18"/>
                <w:lang w:val="en-GB"/>
              </w:rPr>
            </w:pPr>
            <w:r w:rsidRPr="008B0F77">
              <w:rPr>
                <w:rFonts w:cs="Arial"/>
                <w:szCs w:val="18"/>
                <w:lang w:val="en-GB"/>
              </w:rPr>
              <w:t>Year of event occurrence</w:t>
            </w:r>
          </w:p>
        </w:tc>
        <w:tc>
          <w:tcPr>
            <w:tcW w:w="20" w:type="dxa"/>
            <w:tcBorders>
              <w:top w:val="nil"/>
              <w:bottom w:val="nil"/>
            </w:tcBorders>
            <w:shd w:val="clear" w:color="auto" w:fill="FFFFFF"/>
          </w:tcPr>
          <w:p w14:paraId="7B8BE1B8" w14:textId="77777777" w:rsidR="009B3620" w:rsidRPr="008B0F77" w:rsidRDefault="009B3620" w:rsidP="005C3D46">
            <w:pPr>
              <w:pStyle w:val="CETBodytext"/>
              <w:ind w:right="-1"/>
              <w:rPr>
                <w:rFonts w:cs="Arial"/>
                <w:szCs w:val="18"/>
                <w:lang w:val="en-GB"/>
              </w:rPr>
            </w:pPr>
          </w:p>
        </w:tc>
      </w:tr>
      <w:tr w:rsidR="009B3620" w:rsidRPr="008B0F77" w14:paraId="1D68D883" w14:textId="77777777" w:rsidTr="005C3D46">
        <w:trPr>
          <w:trHeight w:val="20"/>
        </w:trPr>
        <w:tc>
          <w:tcPr>
            <w:tcW w:w="2835" w:type="dxa"/>
            <w:tcBorders>
              <w:top w:val="nil"/>
              <w:bottom w:val="nil"/>
            </w:tcBorders>
            <w:shd w:val="clear" w:color="auto" w:fill="FFFFFF"/>
          </w:tcPr>
          <w:p w14:paraId="2561E022" w14:textId="77777777" w:rsidR="009B3620" w:rsidRPr="008B0F77" w:rsidRDefault="009B3620" w:rsidP="005C3D46">
            <w:pPr>
              <w:pStyle w:val="CETBodytext"/>
              <w:jc w:val="left"/>
              <w:rPr>
                <w:lang w:val="en-GB"/>
              </w:rPr>
            </w:pPr>
            <w:r w:rsidRPr="008B0F77">
              <w:rPr>
                <w:lang w:val="en-GB"/>
              </w:rPr>
              <w:t>Brief event description</w:t>
            </w:r>
          </w:p>
        </w:tc>
        <w:tc>
          <w:tcPr>
            <w:tcW w:w="5954" w:type="dxa"/>
            <w:tcBorders>
              <w:top w:val="nil"/>
              <w:bottom w:val="nil"/>
            </w:tcBorders>
            <w:shd w:val="clear" w:color="auto" w:fill="FFFFFF"/>
            <w:tcMar>
              <w:left w:w="170" w:type="dxa"/>
            </w:tcMar>
          </w:tcPr>
          <w:p w14:paraId="36E041A2" w14:textId="77777777" w:rsidR="009B3620" w:rsidRPr="008B0F77" w:rsidRDefault="009B3620" w:rsidP="005C3D46">
            <w:pPr>
              <w:pStyle w:val="CETBodytext"/>
              <w:rPr>
                <w:lang w:val="en-GB"/>
              </w:rPr>
            </w:pPr>
            <w:r w:rsidRPr="008B0F77">
              <w:rPr>
                <w:lang w:val="en-GB"/>
              </w:rPr>
              <w:t>Short title used to quickly identify and understand the event</w:t>
            </w:r>
          </w:p>
        </w:tc>
        <w:tc>
          <w:tcPr>
            <w:tcW w:w="20" w:type="dxa"/>
            <w:tcBorders>
              <w:top w:val="nil"/>
              <w:bottom w:val="nil"/>
            </w:tcBorders>
            <w:shd w:val="clear" w:color="auto" w:fill="FFFFFF"/>
          </w:tcPr>
          <w:p w14:paraId="5442B00D" w14:textId="77777777" w:rsidR="009B3620" w:rsidRPr="008B0F77" w:rsidRDefault="009B3620" w:rsidP="005C3D46">
            <w:pPr>
              <w:pStyle w:val="CETBodytext"/>
              <w:ind w:right="-1"/>
              <w:rPr>
                <w:rFonts w:cs="Arial"/>
                <w:szCs w:val="18"/>
                <w:lang w:val="en-GB"/>
              </w:rPr>
            </w:pPr>
          </w:p>
        </w:tc>
      </w:tr>
      <w:tr w:rsidR="009B3620" w:rsidRPr="008B0F77" w14:paraId="500E84F2" w14:textId="77777777" w:rsidTr="005C3D46">
        <w:trPr>
          <w:trHeight w:val="20"/>
        </w:trPr>
        <w:tc>
          <w:tcPr>
            <w:tcW w:w="2835" w:type="dxa"/>
            <w:tcBorders>
              <w:top w:val="nil"/>
              <w:bottom w:val="nil"/>
            </w:tcBorders>
            <w:shd w:val="clear" w:color="auto" w:fill="FFFFFF"/>
          </w:tcPr>
          <w:p w14:paraId="38AEA24A" w14:textId="31D11D05" w:rsidR="009B3620" w:rsidRPr="008B0F77" w:rsidRDefault="00F82A5C" w:rsidP="001C572C">
            <w:pPr>
              <w:pStyle w:val="CETBodytext"/>
              <w:jc w:val="left"/>
              <w:rPr>
                <w:lang w:val="en-GB"/>
              </w:rPr>
            </w:pPr>
            <w:r w:rsidRPr="008B0F77">
              <w:rPr>
                <w:lang w:val="en-GB"/>
              </w:rPr>
              <w:t>C</w:t>
            </w:r>
            <w:r w:rsidR="009B3620" w:rsidRPr="008B0F77">
              <w:rPr>
                <w:lang w:val="en-GB"/>
              </w:rPr>
              <w:t xml:space="preserve">ritical </w:t>
            </w:r>
            <w:r w:rsidR="001C572C" w:rsidRPr="008B0F77">
              <w:rPr>
                <w:lang w:val="en-GB"/>
              </w:rPr>
              <w:t>top event</w:t>
            </w:r>
          </w:p>
        </w:tc>
        <w:tc>
          <w:tcPr>
            <w:tcW w:w="5954" w:type="dxa"/>
            <w:tcBorders>
              <w:top w:val="nil"/>
              <w:bottom w:val="nil"/>
            </w:tcBorders>
            <w:shd w:val="clear" w:color="auto" w:fill="FFFFFF"/>
            <w:tcMar>
              <w:left w:w="170" w:type="dxa"/>
            </w:tcMar>
          </w:tcPr>
          <w:p w14:paraId="1E94D5D0" w14:textId="4B52424F" w:rsidR="009B3620" w:rsidRPr="008B0F77" w:rsidRDefault="00E56370" w:rsidP="005C3D46">
            <w:pPr>
              <w:pStyle w:val="CETBodytext"/>
              <w:rPr>
                <w:lang w:val="en-GB"/>
              </w:rPr>
            </w:pPr>
            <w:r w:rsidRPr="008B0F77">
              <w:rPr>
                <w:lang w:val="en-GB"/>
              </w:rPr>
              <w:t>Release in loading; Release in unloading; Release from a compressor; Release from a pump; Other anomaly; Anomaly in cylinders; Anomaly on compressors or pumps.</w:t>
            </w:r>
          </w:p>
        </w:tc>
        <w:tc>
          <w:tcPr>
            <w:tcW w:w="20" w:type="dxa"/>
            <w:tcBorders>
              <w:top w:val="nil"/>
              <w:bottom w:val="nil"/>
            </w:tcBorders>
            <w:shd w:val="clear" w:color="auto" w:fill="FFFFFF"/>
          </w:tcPr>
          <w:p w14:paraId="4EDB59BD" w14:textId="77777777" w:rsidR="009B3620" w:rsidRPr="008B0F77" w:rsidRDefault="009B3620" w:rsidP="005C3D46">
            <w:pPr>
              <w:pStyle w:val="CETBodytext"/>
              <w:ind w:right="-1"/>
              <w:rPr>
                <w:rFonts w:cs="Arial"/>
                <w:szCs w:val="18"/>
                <w:lang w:val="en-GB"/>
              </w:rPr>
            </w:pPr>
          </w:p>
        </w:tc>
      </w:tr>
      <w:tr w:rsidR="001F225E" w:rsidRPr="008B0F77" w14:paraId="1D034B1D" w14:textId="77777777" w:rsidTr="005C3D46">
        <w:trPr>
          <w:trHeight w:val="20"/>
        </w:trPr>
        <w:tc>
          <w:tcPr>
            <w:tcW w:w="2835" w:type="dxa"/>
            <w:tcBorders>
              <w:top w:val="nil"/>
              <w:bottom w:val="nil"/>
            </w:tcBorders>
            <w:shd w:val="clear" w:color="auto" w:fill="FFFFFF"/>
          </w:tcPr>
          <w:p w14:paraId="074D75BD" w14:textId="466F9C5D" w:rsidR="001F225E" w:rsidRPr="008B0F77" w:rsidRDefault="001F225E" w:rsidP="001F225E">
            <w:pPr>
              <w:pStyle w:val="CETBodytext"/>
              <w:jc w:val="left"/>
              <w:rPr>
                <w:lang w:val="en-GB"/>
              </w:rPr>
            </w:pPr>
            <w:r w:rsidRPr="008B0F77">
              <w:rPr>
                <w:lang w:val="en-GB"/>
              </w:rPr>
              <w:t>Logic unit</w:t>
            </w:r>
          </w:p>
        </w:tc>
        <w:tc>
          <w:tcPr>
            <w:tcW w:w="5954" w:type="dxa"/>
            <w:tcBorders>
              <w:top w:val="nil"/>
              <w:bottom w:val="nil"/>
            </w:tcBorders>
            <w:shd w:val="clear" w:color="auto" w:fill="FFFFFF"/>
            <w:tcMar>
              <w:left w:w="170" w:type="dxa"/>
            </w:tcMar>
          </w:tcPr>
          <w:p w14:paraId="41AA9453" w14:textId="42CE6D62" w:rsidR="001F225E" w:rsidRPr="008B0F77" w:rsidRDefault="001F225E" w:rsidP="001F225E">
            <w:pPr>
              <w:pStyle w:val="CETBodytext"/>
              <w:rPr>
                <w:lang w:val="en-GB"/>
              </w:rPr>
            </w:pPr>
            <w:r w:rsidRPr="008B0F77">
              <w:rPr>
                <w:lang w:val="en-GB"/>
              </w:rPr>
              <w:t>Process phase involving the unexpected event. Loading/unloading; Storage; Other (e.g. handling lines, alarm systems).</w:t>
            </w:r>
          </w:p>
        </w:tc>
        <w:tc>
          <w:tcPr>
            <w:tcW w:w="20" w:type="dxa"/>
            <w:tcBorders>
              <w:top w:val="nil"/>
              <w:bottom w:val="nil"/>
            </w:tcBorders>
            <w:shd w:val="clear" w:color="auto" w:fill="FFFFFF"/>
          </w:tcPr>
          <w:p w14:paraId="480904A0" w14:textId="77777777" w:rsidR="001F225E" w:rsidRPr="008B0F77" w:rsidRDefault="001F225E" w:rsidP="001F225E">
            <w:pPr>
              <w:pStyle w:val="CETBodytext"/>
              <w:ind w:right="-1"/>
              <w:rPr>
                <w:rFonts w:cs="Arial"/>
                <w:szCs w:val="18"/>
                <w:lang w:val="en-GB"/>
              </w:rPr>
            </w:pPr>
          </w:p>
        </w:tc>
      </w:tr>
      <w:tr w:rsidR="001F225E" w:rsidRPr="008B0F77" w14:paraId="77A43D04" w14:textId="77777777" w:rsidTr="005C3D46">
        <w:trPr>
          <w:trHeight w:val="20"/>
        </w:trPr>
        <w:tc>
          <w:tcPr>
            <w:tcW w:w="2835" w:type="dxa"/>
            <w:tcBorders>
              <w:top w:val="nil"/>
              <w:bottom w:val="nil"/>
            </w:tcBorders>
            <w:shd w:val="clear" w:color="auto" w:fill="FFFFFF"/>
          </w:tcPr>
          <w:p w14:paraId="0914C647" w14:textId="236DD8CC" w:rsidR="001F225E" w:rsidRPr="008B0F77" w:rsidRDefault="001F225E" w:rsidP="001F225E">
            <w:pPr>
              <w:pStyle w:val="CETBodytext"/>
              <w:jc w:val="left"/>
              <w:rPr>
                <w:lang w:val="en-GB"/>
              </w:rPr>
            </w:pPr>
            <w:r w:rsidRPr="008B0F77">
              <w:rPr>
                <w:lang w:val="en-GB"/>
              </w:rPr>
              <w:t xml:space="preserve">Presence of a human cause component </w:t>
            </w:r>
          </w:p>
        </w:tc>
        <w:tc>
          <w:tcPr>
            <w:tcW w:w="5954" w:type="dxa"/>
            <w:tcBorders>
              <w:top w:val="nil"/>
              <w:bottom w:val="nil"/>
            </w:tcBorders>
            <w:shd w:val="clear" w:color="auto" w:fill="FFFFFF"/>
            <w:tcMar>
              <w:left w:w="170" w:type="dxa"/>
            </w:tcMar>
          </w:tcPr>
          <w:p w14:paraId="7D074EEE" w14:textId="56477B89" w:rsidR="001F225E" w:rsidRPr="008B0F77" w:rsidRDefault="001F225E" w:rsidP="001F225E">
            <w:pPr>
              <w:pStyle w:val="CETBodytext"/>
              <w:rPr>
                <w:lang w:val="en-GB"/>
              </w:rPr>
            </w:pPr>
            <w:r w:rsidRPr="008B0F77">
              <w:rPr>
                <w:lang w:val="en-GB"/>
              </w:rPr>
              <w:t>Eventual behaviours of workers that can be considered the cause (or one of the causes) of the unwanted event</w:t>
            </w:r>
          </w:p>
        </w:tc>
        <w:tc>
          <w:tcPr>
            <w:tcW w:w="20" w:type="dxa"/>
            <w:tcBorders>
              <w:top w:val="nil"/>
              <w:bottom w:val="nil"/>
            </w:tcBorders>
            <w:shd w:val="clear" w:color="auto" w:fill="FFFFFF"/>
          </w:tcPr>
          <w:p w14:paraId="1C6C090F" w14:textId="77777777" w:rsidR="001F225E" w:rsidRPr="008B0F77" w:rsidRDefault="001F225E" w:rsidP="001F225E">
            <w:pPr>
              <w:pStyle w:val="CETBodytext"/>
              <w:ind w:right="-1"/>
              <w:rPr>
                <w:rFonts w:cs="Arial"/>
                <w:szCs w:val="18"/>
                <w:lang w:val="en-GB"/>
              </w:rPr>
            </w:pPr>
          </w:p>
        </w:tc>
      </w:tr>
      <w:tr w:rsidR="001F225E" w:rsidRPr="008B0F77" w14:paraId="2B4F3AEE" w14:textId="77777777" w:rsidTr="005C3D46">
        <w:trPr>
          <w:trHeight w:val="20"/>
        </w:trPr>
        <w:tc>
          <w:tcPr>
            <w:tcW w:w="2835" w:type="dxa"/>
            <w:tcBorders>
              <w:top w:val="nil"/>
              <w:bottom w:val="nil"/>
            </w:tcBorders>
            <w:shd w:val="clear" w:color="auto" w:fill="FFFFFF"/>
          </w:tcPr>
          <w:p w14:paraId="72C5C7F9" w14:textId="0ED3FC08" w:rsidR="001F225E" w:rsidRPr="008B0F77" w:rsidRDefault="001F225E" w:rsidP="001F225E">
            <w:pPr>
              <w:pStyle w:val="CETBodytext"/>
              <w:jc w:val="left"/>
              <w:rPr>
                <w:lang w:val="en-GB"/>
              </w:rPr>
            </w:pPr>
            <w:r w:rsidRPr="008B0F77">
              <w:rPr>
                <w:lang w:val="en-GB"/>
              </w:rPr>
              <w:t xml:space="preserve">Presence of a technological cause component </w:t>
            </w:r>
          </w:p>
        </w:tc>
        <w:tc>
          <w:tcPr>
            <w:tcW w:w="5954" w:type="dxa"/>
            <w:tcBorders>
              <w:top w:val="nil"/>
              <w:bottom w:val="nil"/>
            </w:tcBorders>
            <w:shd w:val="clear" w:color="auto" w:fill="FFFFFF"/>
            <w:tcMar>
              <w:left w:w="170" w:type="dxa"/>
            </w:tcMar>
          </w:tcPr>
          <w:p w14:paraId="28958FAC" w14:textId="6C0DC783" w:rsidR="001F225E" w:rsidRPr="008B0F77" w:rsidRDefault="001F225E" w:rsidP="001F225E">
            <w:pPr>
              <w:pStyle w:val="CETBodytext"/>
              <w:rPr>
                <w:lang w:val="en-GB"/>
              </w:rPr>
            </w:pPr>
            <w:r w:rsidRPr="008B0F77">
              <w:rPr>
                <w:lang w:val="en-GB"/>
              </w:rPr>
              <w:t>Eventual characteristics of the plant/equipment that can be considered the cause (or one of the causes) of the unwanted event</w:t>
            </w:r>
          </w:p>
        </w:tc>
        <w:tc>
          <w:tcPr>
            <w:tcW w:w="20" w:type="dxa"/>
            <w:tcBorders>
              <w:top w:val="nil"/>
              <w:bottom w:val="nil"/>
            </w:tcBorders>
            <w:shd w:val="clear" w:color="auto" w:fill="FFFFFF"/>
          </w:tcPr>
          <w:p w14:paraId="0CB588D6" w14:textId="77777777" w:rsidR="001F225E" w:rsidRPr="008B0F77" w:rsidRDefault="001F225E" w:rsidP="001F225E">
            <w:pPr>
              <w:pStyle w:val="CETBodytext"/>
              <w:ind w:right="-1"/>
              <w:rPr>
                <w:rFonts w:cs="Arial"/>
                <w:szCs w:val="18"/>
                <w:lang w:val="en-GB"/>
              </w:rPr>
            </w:pPr>
          </w:p>
        </w:tc>
      </w:tr>
      <w:tr w:rsidR="001F225E" w:rsidRPr="008B0F77" w14:paraId="1723B605" w14:textId="77777777" w:rsidTr="005C3D46">
        <w:trPr>
          <w:trHeight w:val="20"/>
        </w:trPr>
        <w:tc>
          <w:tcPr>
            <w:tcW w:w="2835" w:type="dxa"/>
            <w:tcBorders>
              <w:top w:val="nil"/>
              <w:bottom w:val="nil"/>
            </w:tcBorders>
            <w:shd w:val="clear" w:color="auto" w:fill="FFFFFF"/>
          </w:tcPr>
          <w:p w14:paraId="1994975A" w14:textId="38582B02" w:rsidR="001F225E" w:rsidRPr="008B0F77" w:rsidRDefault="001F225E" w:rsidP="001F225E">
            <w:pPr>
              <w:pStyle w:val="CETBodytext"/>
              <w:jc w:val="left"/>
              <w:rPr>
                <w:lang w:val="en-GB"/>
              </w:rPr>
            </w:pPr>
            <w:r w:rsidRPr="008B0F77">
              <w:rPr>
                <w:lang w:val="en-GB"/>
              </w:rPr>
              <w:t>Presence of an organizational cause component</w:t>
            </w:r>
          </w:p>
        </w:tc>
        <w:tc>
          <w:tcPr>
            <w:tcW w:w="5954" w:type="dxa"/>
            <w:tcBorders>
              <w:top w:val="nil"/>
              <w:bottom w:val="nil"/>
            </w:tcBorders>
            <w:shd w:val="clear" w:color="auto" w:fill="FFFFFF"/>
            <w:tcMar>
              <w:left w:w="170" w:type="dxa"/>
            </w:tcMar>
          </w:tcPr>
          <w:p w14:paraId="747F17D5" w14:textId="46A78E0C" w:rsidR="001F225E" w:rsidRPr="008B0F77" w:rsidRDefault="001F225E" w:rsidP="001F225E">
            <w:pPr>
              <w:pStyle w:val="CETBodytext"/>
              <w:rPr>
                <w:lang w:val="en-GB"/>
              </w:rPr>
            </w:pPr>
            <w:r w:rsidRPr="008B0F77">
              <w:rPr>
                <w:lang w:val="en-GB"/>
              </w:rPr>
              <w:t xml:space="preserve">Eventual organizational procedures and regulations that can be considered the cause (or one of the causes) of the unwanted event </w:t>
            </w:r>
          </w:p>
        </w:tc>
        <w:tc>
          <w:tcPr>
            <w:tcW w:w="20" w:type="dxa"/>
            <w:tcBorders>
              <w:top w:val="nil"/>
              <w:bottom w:val="nil"/>
            </w:tcBorders>
            <w:shd w:val="clear" w:color="auto" w:fill="FFFFFF"/>
          </w:tcPr>
          <w:p w14:paraId="4AC232CD" w14:textId="77777777" w:rsidR="001F225E" w:rsidRPr="008B0F77" w:rsidRDefault="001F225E" w:rsidP="001F225E">
            <w:pPr>
              <w:pStyle w:val="CETBodytext"/>
              <w:ind w:right="-1"/>
              <w:rPr>
                <w:rFonts w:cs="Arial"/>
                <w:szCs w:val="18"/>
                <w:lang w:val="en-GB"/>
              </w:rPr>
            </w:pPr>
          </w:p>
        </w:tc>
      </w:tr>
      <w:tr w:rsidR="001F225E" w:rsidRPr="008B0F77" w14:paraId="205C6A89" w14:textId="77777777" w:rsidTr="005C3D46">
        <w:trPr>
          <w:trHeight w:val="20"/>
        </w:trPr>
        <w:tc>
          <w:tcPr>
            <w:tcW w:w="2835" w:type="dxa"/>
            <w:tcBorders>
              <w:top w:val="nil"/>
              <w:bottom w:val="single" w:sz="12" w:space="0" w:color="008000"/>
            </w:tcBorders>
            <w:shd w:val="clear" w:color="auto" w:fill="FFFFFF"/>
          </w:tcPr>
          <w:p w14:paraId="306326DD" w14:textId="2EDAFD8B" w:rsidR="001F225E" w:rsidRPr="008B0F77" w:rsidRDefault="001F225E" w:rsidP="001F225E">
            <w:pPr>
              <w:pStyle w:val="CETBodytext"/>
              <w:jc w:val="left"/>
              <w:rPr>
                <w:lang w:val="en-GB"/>
              </w:rPr>
            </w:pPr>
            <w:r w:rsidRPr="008B0F77">
              <w:rPr>
                <w:lang w:val="en-GB"/>
              </w:rPr>
              <w:t>Actions taken and programmed</w:t>
            </w:r>
          </w:p>
        </w:tc>
        <w:tc>
          <w:tcPr>
            <w:tcW w:w="5954" w:type="dxa"/>
            <w:tcBorders>
              <w:top w:val="nil"/>
              <w:bottom w:val="single" w:sz="12" w:space="0" w:color="008000"/>
            </w:tcBorders>
            <w:shd w:val="clear" w:color="auto" w:fill="FFFFFF"/>
            <w:tcMar>
              <w:left w:w="170" w:type="dxa"/>
            </w:tcMar>
          </w:tcPr>
          <w:p w14:paraId="66D6C9DE" w14:textId="223D9158" w:rsidR="001F225E" w:rsidRPr="008B0F77" w:rsidRDefault="001F225E" w:rsidP="001F225E">
            <w:pPr>
              <w:pStyle w:val="CETBodytext"/>
              <w:rPr>
                <w:lang w:val="en-GB"/>
              </w:rPr>
            </w:pPr>
            <w:r w:rsidRPr="008B0F77">
              <w:rPr>
                <w:lang w:val="en-GB"/>
              </w:rPr>
              <w:t>Interventions based on work organization (e.g. workers’ training, control procedures) and improved technical systems (maintenance).</w:t>
            </w:r>
          </w:p>
        </w:tc>
        <w:tc>
          <w:tcPr>
            <w:tcW w:w="20" w:type="dxa"/>
            <w:tcBorders>
              <w:top w:val="nil"/>
              <w:bottom w:val="single" w:sz="6" w:space="0" w:color="008000"/>
            </w:tcBorders>
            <w:shd w:val="clear" w:color="auto" w:fill="FFFFFF"/>
          </w:tcPr>
          <w:p w14:paraId="590B44D4" w14:textId="77777777" w:rsidR="001F225E" w:rsidRPr="008B0F77" w:rsidRDefault="001F225E" w:rsidP="001F225E">
            <w:pPr>
              <w:pStyle w:val="CETBodytext"/>
              <w:ind w:right="-1"/>
              <w:rPr>
                <w:rFonts w:cs="Arial"/>
                <w:szCs w:val="18"/>
                <w:lang w:val="en-GB"/>
              </w:rPr>
            </w:pPr>
          </w:p>
        </w:tc>
      </w:tr>
    </w:tbl>
    <w:p w14:paraId="436A21AD" w14:textId="77777777" w:rsidR="009B3620" w:rsidRPr="008B0F77" w:rsidRDefault="009B3620" w:rsidP="00491861">
      <w:pPr>
        <w:pStyle w:val="CETBodytext"/>
      </w:pPr>
    </w:p>
    <w:p w14:paraId="70601669" w14:textId="26D63BF3" w:rsidR="00B03673" w:rsidRPr="008B0F77" w:rsidRDefault="00B03673" w:rsidP="00023FFE">
      <w:pPr>
        <w:pStyle w:val="CETheadingx"/>
      </w:pPr>
      <w:r w:rsidRPr="008B0F77">
        <w:t>Analysis results</w:t>
      </w:r>
    </w:p>
    <w:p w14:paraId="4200FFB5" w14:textId="4187C1D1" w:rsidR="00D74BC7" w:rsidRPr="008B0F77" w:rsidRDefault="003C3884" w:rsidP="00D74BC7">
      <w:pPr>
        <w:pStyle w:val="CETBodytext"/>
      </w:pPr>
      <w:r w:rsidRPr="008B0F77">
        <w:t>All</w:t>
      </w:r>
      <w:r w:rsidR="00F016FB" w:rsidRPr="008B0F77">
        <w:t xml:space="preserve"> quasi-accidental events </w:t>
      </w:r>
      <w:proofErr w:type="gramStart"/>
      <w:r w:rsidR="00F016FB" w:rsidRPr="008B0F77">
        <w:t>have been analyzed and classified by applying the abovementioned attributes</w:t>
      </w:r>
      <w:proofErr w:type="gramEnd"/>
      <w:r w:rsidR="00F016FB" w:rsidRPr="008B0F77">
        <w:t xml:space="preserve">. </w:t>
      </w:r>
      <w:r w:rsidR="00791DC3" w:rsidRPr="008B0F77">
        <w:t xml:space="preserve">It has been observed that </w:t>
      </w:r>
      <w:r w:rsidR="00F016FB" w:rsidRPr="008B0F77">
        <w:t xml:space="preserve">41 of them </w:t>
      </w:r>
      <w:r w:rsidR="00791DC3" w:rsidRPr="008B0F77">
        <w:t xml:space="preserve">(63%) </w:t>
      </w:r>
      <w:r w:rsidR="00F016FB" w:rsidRPr="008B0F77">
        <w:t xml:space="preserve">was related to LPG loading/unloading </w:t>
      </w:r>
      <w:r w:rsidR="00791DC3" w:rsidRPr="008B0F77">
        <w:t xml:space="preserve">logic units, while </w:t>
      </w:r>
      <w:r w:rsidR="00F016FB" w:rsidRPr="008B0F77">
        <w:t xml:space="preserve">18 events </w:t>
      </w:r>
      <w:r w:rsidR="00791DC3" w:rsidRPr="008B0F77">
        <w:t xml:space="preserve">(28%) were </w:t>
      </w:r>
      <w:r w:rsidR="00F016FB" w:rsidRPr="008B0F77">
        <w:t xml:space="preserve">strictly related to anomalies in </w:t>
      </w:r>
      <w:r w:rsidR="00791DC3" w:rsidRPr="008B0F77">
        <w:t>storage</w:t>
      </w:r>
      <w:r w:rsidR="00F016FB" w:rsidRPr="008B0F77">
        <w:t xml:space="preserve"> vessels</w:t>
      </w:r>
      <w:r w:rsidR="003B48C3" w:rsidRPr="008B0F77">
        <w:t xml:space="preserve"> (Figure 2)</w:t>
      </w:r>
      <w:r w:rsidR="00423E5B" w:rsidRPr="008B0F77">
        <w:t>. The latter consist mainly in</w:t>
      </w:r>
      <w:r w:rsidR="00F016FB" w:rsidRPr="008B0F77">
        <w:t xml:space="preserve"> </w:t>
      </w:r>
      <w:r w:rsidR="00791DC3" w:rsidRPr="008B0F77">
        <w:t>malfunctioni</w:t>
      </w:r>
      <w:r w:rsidR="002B5836" w:rsidRPr="008B0F77">
        <w:t>ng of level indicators</w:t>
      </w:r>
      <w:r w:rsidR="00505835" w:rsidRPr="008B0F77">
        <w:t xml:space="preserve"> with consequent false alarms</w:t>
      </w:r>
      <w:r w:rsidR="00F429D1" w:rsidRPr="008B0F77">
        <w:t>, due for example to their misalignment or to problems at the intrinsic safety barriers, as well as</w:t>
      </w:r>
      <w:r w:rsidR="003B48C3" w:rsidRPr="008B0F77">
        <w:t xml:space="preserve"> discrepancies between the values ​​in the field</w:t>
      </w:r>
      <w:r w:rsidR="00423E5B" w:rsidRPr="008B0F77">
        <w:t xml:space="preserve"> and those sent back remotely to</w:t>
      </w:r>
      <w:r w:rsidR="003B48C3" w:rsidRPr="008B0F77">
        <w:t xml:space="preserve"> the synoptic panels</w:t>
      </w:r>
      <w:r w:rsidR="00F016FB" w:rsidRPr="008B0F77">
        <w:t xml:space="preserve">. </w:t>
      </w:r>
      <w:r w:rsidR="00D74BC7" w:rsidRPr="008B0F77">
        <w:t xml:space="preserve">It </w:t>
      </w:r>
      <w:proofErr w:type="gramStart"/>
      <w:r w:rsidR="00D74BC7" w:rsidRPr="008B0F77">
        <w:t xml:space="preserve">must be </w:t>
      </w:r>
      <w:r w:rsidR="00791DC3" w:rsidRPr="008B0F77">
        <w:t xml:space="preserve">always </w:t>
      </w:r>
      <w:r w:rsidR="00D74BC7" w:rsidRPr="008B0F77">
        <w:t>checked</w:t>
      </w:r>
      <w:proofErr w:type="gramEnd"/>
      <w:r w:rsidR="00F016FB" w:rsidRPr="008B0F77">
        <w:t xml:space="preserve"> in fact </w:t>
      </w:r>
      <w:r w:rsidR="00D74BC7" w:rsidRPr="008B0F77">
        <w:t>that the fixed or mobile receiving tank does not come filled beyond the safe level.</w:t>
      </w:r>
      <w:r w:rsidR="00791DC3" w:rsidRPr="008B0F77">
        <w:t xml:space="preserve"> </w:t>
      </w:r>
      <w:r w:rsidR="001A7F52" w:rsidRPr="008B0F77">
        <w:t>Category “Other” include</w:t>
      </w:r>
      <w:r w:rsidR="00EE67A6" w:rsidRPr="008B0F77">
        <w:t>s</w:t>
      </w:r>
      <w:r w:rsidR="001A7F52" w:rsidRPr="008B0F77">
        <w:t xml:space="preserve"> </w:t>
      </w:r>
      <w:proofErr w:type="gramStart"/>
      <w:r w:rsidR="000B6C8C" w:rsidRPr="008B0F77">
        <w:t>6</w:t>
      </w:r>
      <w:proofErr w:type="gramEnd"/>
      <w:r w:rsidR="000B6C8C" w:rsidRPr="008B0F77">
        <w:t xml:space="preserve"> </w:t>
      </w:r>
      <w:r w:rsidR="001A7F52" w:rsidRPr="008B0F77">
        <w:t xml:space="preserve">other cases, as </w:t>
      </w:r>
      <w:r w:rsidR="00EE67A6" w:rsidRPr="008B0F77">
        <w:t xml:space="preserve">malfunctioning of </w:t>
      </w:r>
      <w:r w:rsidR="001A7F52" w:rsidRPr="008B0F77">
        <w:t>fire protection pump</w:t>
      </w:r>
      <w:r w:rsidR="00BE2D72" w:rsidRPr="008B0F77">
        <w:t>s</w:t>
      </w:r>
      <w:r w:rsidR="001A7F52" w:rsidRPr="008B0F77">
        <w:t xml:space="preserve">. </w:t>
      </w:r>
    </w:p>
    <w:p w14:paraId="2A40ECDC" w14:textId="77777777" w:rsidR="005A6022" w:rsidRPr="008B0F77" w:rsidRDefault="005A6022" w:rsidP="00D74BC7">
      <w:pPr>
        <w:pStyle w:val="CETBodytext"/>
      </w:pPr>
    </w:p>
    <w:p w14:paraId="3FDA1CA8" w14:textId="4F821477" w:rsidR="00E87828" w:rsidRPr="008B0F77" w:rsidRDefault="00E87828" w:rsidP="00CD3624">
      <w:pPr>
        <w:pStyle w:val="CETBodytext"/>
        <w:jc w:val="left"/>
      </w:pPr>
      <w:r w:rsidRPr="008B0F77">
        <w:rPr>
          <w:noProof/>
          <w:lang w:val="it-IT" w:eastAsia="it-IT"/>
        </w:rPr>
        <w:drawing>
          <wp:inline distT="0" distB="0" distL="0" distR="0" wp14:anchorId="78F0CE4A" wp14:editId="72784B4F">
            <wp:extent cx="3655318" cy="1527464"/>
            <wp:effectExtent l="0" t="0" r="254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extLst>
                        <a:ext uri="{28A0092B-C50C-407E-A947-70E740481C1C}">
                          <a14:useLocalDpi xmlns:a14="http://schemas.microsoft.com/office/drawing/2010/main" val="0"/>
                        </a:ext>
                      </a:extLst>
                    </a:blip>
                    <a:srcRect t="3370" b="3729"/>
                    <a:stretch/>
                  </pic:blipFill>
                  <pic:spPr bwMode="auto">
                    <a:xfrm>
                      <a:off x="0" y="0"/>
                      <a:ext cx="3657600" cy="1528418"/>
                    </a:xfrm>
                    <a:prstGeom prst="rect">
                      <a:avLst/>
                    </a:prstGeom>
                    <a:noFill/>
                    <a:ln>
                      <a:noFill/>
                    </a:ln>
                    <a:extLst>
                      <a:ext uri="{53640926-AAD7-44D8-BBD7-CCE9431645EC}">
                        <a14:shadowObscured xmlns:a14="http://schemas.microsoft.com/office/drawing/2010/main"/>
                      </a:ext>
                    </a:extLst>
                  </pic:spPr>
                </pic:pic>
              </a:graphicData>
            </a:graphic>
          </wp:inline>
        </w:drawing>
      </w:r>
    </w:p>
    <w:p w14:paraId="5B480030" w14:textId="0FBADC41" w:rsidR="00CD3624" w:rsidRPr="008B0F77" w:rsidRDefault="00CD3624" w:rsidP="00CD3624">
      <w:pPr>
        <w:pStyle w:val="CETCaption"/>
        <w:rPr>
          <w:rStyle w:val="CETCaptionCarattere"/>
          <w:i/>
        </w:rPr>
      </w:pPr>
      <w:r w:rsidRPr="008B0F77">
        <w:rPr>
          <w:rStyle w:val="CETCaptionCarattere"/>
          <w:i/>
        </w:rPr>
        <w:t xml:space="preserve">Figure </w:t>
      </w:r>
      <w:r w:rsidR="002B5836" w:rsidRPr="008B0F77">
        <w:rPr>
          <w:rStyle w:val="CETCaptionCarattere"/>
          <w:i/>
        </w:rPr>
        <w:t>2</w:t>
      </w:r>
      <w:r w:rsidRPr="008B0F77">
        <w:rPr>
          <w:rStyle w:val="CETCaptionCarattere"/>
          <w:i/>
        </w:rPr>
        <w:t xml:space="preserve">: Number of identified unwanted events for each </w:t>
      </w:r>
      <w:r w:rsidR="00F016FB" w:rsidRPr="008B0F77">
        <w:rPr>
          <w:rStyle w:val="CETCaptionCarattere"/>
          <w:i/>
        </w:rPr>
        <w:t>logic unit in the site.</w:t>
      </w:r>
    </w:p>
    <w:p w14:paraId="551790EE" w14:textId="2C4C824D" w:rsidR="00664887" w:rsidRPr="008B0F77" w:rsidRDefault="00EE67A6" w:rsidP="001026E5">
      <w:pPr>
        <w:pStyle w:val="CETBodytext"/>
      </w:pPr>
      <w:r w:rsidRPr="008B0F77">
        <w:t xml:space="preserve">It </w:t>
      </w:r>
      <w:proofErr w:type="gramStart"/>
      <w:r w:rsidRPr="008B0F77">
        <w:t>was finally chosen</w:t>
      </w:r>
      <w:proofErr w:type="gramEnd"/>
      <w:r w:rsidRPr="008B0F77">
        <w:t xml:space="preserve"> to process only the 41 events at the loading and unloading stages, in accordance with the initial work objectives. The analysis showed that the majority of events concerns machines (compressors and pumps), which together are involved in 54% of the events reported in the company operative sheets</w:t>
      </w:r>
      <w:r w:rsidR="007105DB" w:rsidRPr="008B0F77">
        <w:t>,</w:t>
      </w:r>
      <w:r w:rsidRPr="008B0F77">
        <w:t xml:space="preserve"> whether </w:t>
      </w:r>
      <w:r w:rsidR="007105DB" w:rsidRPr="008B0F77">
        <w:t>they include</w:t>
      </w:r>
      <w:r w:rsidRPr="008B0F77">
        <w:t xml:space="preserve"> both leakage and other anomalies (</w:t>
      </w:r>
      <w:r w:rsidR="007105DB" w:rsidRPr="008B0F77">
        <w:t xml:space="preserve">e.g. </w:t>
      </w:r>
      <w:r w:rsidRPr="008B0F77">
        <w:t>abnormal noise, problems with the electric motor)</w:t>
      </w:r>
      <w:r w:rsidR="007105DB" w:rsidRPr="008B0F77">
        <w:t>.</w:t>
      </w:r>
      <w:r w:rsidR="006D0DA1" w:rsidRPr="008B0F77">
        <w:t xml:space="preserve"> </w:t>
      </w:r>
      <w:r w:rsidR="00664887" w:rsidRPr="008B0F77">
        <w:t>T</w:t>
      </w:r>
      <w:r w:rsidR="006D0DA1" w:rsidRPr="008B0F77">
        <w:t>he hatched area marks such</w:t>
      </w:r>
      <w:r w:rsidR="00850528" w:rsidRPr="008B0F77">
        <w:t xml:space="preserve"> machinery component in Figure 3</w:t>
      </w:r>
      <w:r w:rsidR="006D0DA1" w:rsidRPr="008B0F77">
        <w:t>, where the distribution of all the identified typologies of critical top events betwee</w:t>
      </w:r>
      <w:r w:rsidR="00A06269" w:rsidRPr="008B0F77">
        <w:t>n</w:t>
      </w:r>
      <w:r w:rsidR="006D0DA1" w:rsidRPr="008B0F77">
        <w:t xml:space="preserve"> the reported quasi-accidents and anomalies </w:t>
      </w:r>
      <w:proofErr w:type="gramStart"/>
      <w:r w:rsidR="006D0DA1" w:rsidRPr="008B0F77">
        <w:t>is shown</w:t>
      </w:r>
      <w:proofErr w:type="gramEnd"/>
      <w:r w:rsidR="006D0DA1" w:rsidRPr="008B0F77">
        <w:t>.</w:t>
      </w:r>
      <w:r w:rsidR="00664887" w:rsidRPr="008B0F77">
        <w:t xml:space="preserve"> </w:t>
      </w:r>
    </w:p>
    <w:p w14:paraId="0326F20A" w14:textId="047C22A3" w:rsidR="00E604CA" w:rsidRPr="008B0F77" w:rsidRDefault="00664887" w:rsidP="00E604CA">
      <w:pPr>
        <w:rPr>
          <w:lang w:val="en-US"/>
        </w:rPr>
      </w:pPr>
      <w:r w:rsidRPr="008B0F77">
        <w:t>It is possible to observe that LPG releases (from metallic arms during loading</w:t>
      </w:r>
      <w:r w:rsidR="00A06269" w:rsidRPr="008B0F77">
        <w:t xml:space="preserve"> or unloading</w:t>
      </w:r>
      <w:r w:rsidRPr="008B0F77">
        <w:t xml:space="preserve"> phase</w:t>
      </w:r>
      <w:r w:rsidR="00A06269" w:rsidRPr="008B0F77">
        <w:t xml:space="preserve">s </w:t>
      </w:r>
      <w:r w:rsidRPr="008B0F77">
        <w:t>or specifically from pumps and compressors) touches another 54% of the unwanted events. Only a small percentages (</w:t>
      </w:r>
      <w:r w:rsidR="000627E4" w:rsidRPr="008B0F77">
        <w:t>three</w:t>
      </w:r>
      <w:r w:rsidRPr="008B0F77">
        <w:t xml:space="preserve"> events) </w:t>
      </w:r>
      <w:proofErr w:type="gramStart"/>
      <w:r w:rsidRPr="008B0F77">
        <w:t>is related</w:t>
      </w:r>
      <w:proofErr w:type="gramEnd"/>
      <w:r w:rsidRPr="008B0F77">
        <w:t xml:space="preserve"> to various kinds of an</w:t>
      </w:r>
      <w:r w:rsidR="0049463F" w:rsidRPr="008B0F77">
        <w:t>omalies regarding LPG cylinders, while 12% of cases presents anomalies other than the release of LPG and that do not concern machinery.</w:t>
      </w:r>
      <w:r w:rsidR="00E604CA" w:rsidRPr="008B0F77">
        <w:t xml:space="preserve"> </w:t>
      </w:r>
      <w:r w:rsidR="00E604CA" w:rsidRPr="008B0F77">
        <w:rPr>
          <w:lang w:val="en-US"/>
        </w:rPr>
        <w:t xml:space="preserve">The latter include, for example, failures of the </w:t>
      </w:r>
      <w:proofErr w:type="gramStart"/>
      <w:r w:rsidR="00E604CA" w:rsidRPr="008B0F77">
        <w:rPr>
          <w:lang w:val="en-US"/>
        </w:rPr>
        <w:t>gas leak detection system</w:t>
      </w:r>
      <w:proofErr w:type="gramEnd"/>
      <w:r w:rsidR="00E604CA" w:rsidRPr="008B0F77">
        <w:rPr>
          <w:lang w:val="en-US"/>
        </w:rPr>
        <w:t xml:space="preserve"> </w:t>
      </w:r>
      <w:r w:rsidR="00F81A2B" w:rsidRPr="008B0F77">
        <w:rPr>
          <w:lang w:val="en-US"/>
        </w:rPr>
        <w:t xml:space="preserve">in loading and unloading </w:t>
      </w:r>
      <w:r w:rsidR="000627E4" w:rsidRPr="008B0F77">
        <w:rPr>
          <w:lang w:val="en-US"/>
        </w:rPr>
        <w:t>(three cases)</w:t>
      </w:r>
      <w:r w:rsidR="00E604CA" w:rsidRPr="008B0F77">
        <w:rPr>
          <w:lang w:val="en-US"/>
        </w:rPr>
        <w:t>.</w:t>
      </w:r>
    </w:p>
    <w:p w14:paraId="3AA04D53" w14:textId="7DD33940" w:rsidR="005A1B8F" w:rsidRPr="008B0F77" w:rsidRDefault="002F249B" w:rsidP="001026E5">
      <w:pPr>
        <w:pStyle w:val="CETBodytext"/>
      </w:pPr>
      <w:r w:rsidRPr="008B0F77">
        <w:lastRenderedPageBreak/>
        <w:t xml:space="preserve">The data analysis also showed that in almost all cases (39 events) maintenance is reported by the company as the main action taken </w:t>
      </w:r>
      <w:r w:rsidR="003C3884" w:rsidRPr="008B0F77">
        <w:t xml:space="preserve">successfully </w:t>
      </w:r>
      <w:r w:rsidRPr="008B0F77">
        <w:t xml:space="preserve">for solving the anomalies, while only in two cases workers training and/or an update of operative procedures were required. In addition, </w:t>
      </w:r>
      <w:r w:rsidR="00A56897" w:rsidRPr="008B0F77">
        <w:t xml:space="preserve">in 39% of cases, </w:t>
      </w:r>
      <w:r w:rsidRPr="008B0F77">
        <w:t xml:space="preserve">a long-term monitoring of components similar to those involved in </w:t>
      </w:r>
      <w:r w:rsidR="00A56897" w:rsidRPr="008B0F77">
        <w:t>quasi-</w:t>
      </w:r>
      <w:r w:rsidRPr="008B0F77">
        <w:t xml:space="preserve">accidents was </w:t>
      </w:r>
      <w:r w:rsidR="00AF7DDA" w:rsidRPr="008B0F77">
        <w:t xml:space="preserve">also </w:t>
      </w:r>
      <w:r w:rsidRPr="008B0F77">
        <w:t>previewed.</w:t>
      </w:r>
    </w:p>
    <w:p w14:paraId="47EE596A" w14:textId="62837214" w:rsidR="00EB2C35" w:rsidRPr="008B0F77" w:rsidRDefault="00EB2C35" w:rsidP="00CD3624">
      <w:pPr>
        <w:pStyle w:val="CETBodytext"/>
        <w:jc w:val="left"/>
      </w:pPr>
      <w:r w:rsidRPr="008B0F77">
        <w:rPr>
          <w:noProof/>
          <w:lang w:val="it-IT" w:eastAsia="it-IT"/>
        </w:rPr>
        <w:drawing>
          <wp:inline distT="0" distB="0" distL="0" distR="0" wp14:anchorId="69433F40" wp14:editId="1ECCFF46">
            <wp:extent cx="3391200" cy="191160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5">
                      <a:extLst>
                        <a:ext uri="{28A0092B-C50C-407E-A947-70E740481C1C}">
                          <a14:useLocalDpi xmlns:a14="http://schemas.microsoft.com/office/drawing/2010/main" val="0"/>
                        </a:ext>
                      </a:extLst>
                    </a:blip>
                    <a:srcRect l="8552" t="7647" r="3724" b="8000"/>
                    <a:stretch/>
                  </pic:blipFill>
                  <pic:spPr bwMode="auto">
                    <a:xfrm>
                      <a:off x="0" y="0"/>
                      <a:ext cx="3391200" cy="1911600"/>
                    </a:xfrm>
                    <a:prstGeom prst="rect">
                      <a:avLst/>
                    </a:prstGeom>
                    <a:noFill/>
                    <a:ln>
                      <a:noFill/>
                    </a:ln>
                    <a:extLst>
                      <a:ext uri="{53640926-AAD7-44D8-BBD7-CCE9431645EC}">
                        <a14:shadowObscured xmlns:a14="http://schemas.microsoft.com/office/drawing/2010/main"/>
                      </a:ext>
                    </a:extLst>
                  </pic:spPr>
                </pic:pic>
              </a:graphicData>
            </a:graphic>
          </wp:inline>
        </w:drawing>
      </w:r>
    </w:p>
    <w:p w14:paraId="4F792DF1" w14:textId="58F14EA6" w:rsidR="008364EE" w:rsidRPr="008B0F77" w:rsidRDefault="00CD3624" w:rsidP="008364EE">
      <w:pPr>
        <w:pStyle w:val="CETCaption"/>
      </w:pPr>
      <w:r w:rsidRPr="008B0F77">
        <w:rPr>
          <w:rStyle w:val="CETCaptionCarattere"/>
          <w:i/>
        </w:rPr>
        <w:t xml:space="preserve">Figure </w:t>
      </w:r>
      <w:r w:rsidR="00850528" w:rsidRPr="008B0F77">
        <w:rPr>
          <w:rStyle w:val="CETCaptionCarattere"/>
          <w:i/>
        </w:rPr>
        <w:t>3</w:t>
      </w:r>
      <w:r w:rsidR="008364EE" w:rsidRPr="008B0F77">
        <w:rPr>
          <w:rStyle w:val="CETCaptionCarattere"/>
          <w:i/>
        </w:rPr>
        <w:t xml:space="preserve">: Number of identified unwanted events for each typology of </w:t>
      </w:r>
      <w:r w:rsidR="00E87828" w:rsidRPr="008B0F77">
        <w:rPr>
          <w:rStyle w:val="CETCaptionCarattere"/>
          <w:i/>
        </w:rPr>
        <w:t>critical top event. The hatched area globally refers to events involving machinery (pumps, compressors).</w:t>
      </w:r>
    </w:p>
    <w:p w14:paraId="677EBFF0" w14:textId="00E9915E" w:rsidR="00600535" w:rsidRPr="008B0F77" w:rsidRDefault="007B629C" w:rsidP="007B629C">
      <w:pPr>
        <w:pStyle w:val="CETHeading1"/>
        <w:rPr>
          <w:lang w:val="en-GB"/>
        </w:rPr>
      </w:pPr>
      <w:r w:rsidRPr="008B0F77">
        <w:rPr>
          <w:lang w:val="en-GB"/>
        </w:rPr>
        <w:t>Results interpretation and discussion</w:t>
      </w:r>
    </w:p>
    <w:p w14:paraId="7B9377FE" w14:textId="2C70602E" w:rsidR="00494738" w:rsidRPr="008B0F77" w:rsidRDefault="0067046D" w:rsidP="00C129AE">
      <w:pPr>
        <w:pStyle w:val="CETBodytext"/>
        <w:rPr>
          <w:lang w:val="en-GB"/>
        </w:rPr>
      </w:pPr>
      <w:r w:rsidRPr="008B0F77">
        <w:rPr>
          <w:lang w:val="en-GB"/>
        </w:rPr>
        <w:t>The</w:t>
      </w:r>
      <w:r w:rsidR="00494738" w:rsidRPr="008B0F77">
        <w:rPr>
          <w:lang w:val="en-GB"/>
        </w:rPr>
        <w:t xml:space="preserve"> analysis of the operating sheets </w:t>
      </w:r>
      <w:r w:rsidR="00AF6169" w:rsidRPr="008B0F77">
        <w:rPr>
          <w:lang w:val="en-GB"/>
        </w:rPr>
        <w:t xml:space="preserve">at the investigated LPG site </w:t>
      </w:r>
      <w:r w:rsidRPr="008B0F77">
        <w:rPr>
          <w:lang w:val="en-GB"/>
        </w:rPr>
        <w:t xml:space="preserve">globally </w:t>
      </w:r>
      <w:r w:rsidR="00494738" w:rsidRPr="008B0F77">
        <w:rPr>
          <w:lang w:val="en-GB"/>
        </w:rPr>
        <w:t xml:space="preserve">shows an accident </w:t>
      </w:r>
      <w:r w:rsidR="00AF6169" w:rsidRPr="008B0F77">
        <w:rPr>
          <w:lang w:val="en-GB"/>
        </w:rPr>
        <w:t xml:space="preserve">recent </w:t>
      </w:r>
      <w:r w:rsidR="00494738" w:rsidRPr="008B0F77">
        <w:rPr>
          <w:lang w:val="en-GB"/>
        </w:rPr>
        <w:t xml:space="preserve">history free of serious </w:t>
      </w:r>
      <w:r w:rsidR="00AF6169" w:rsidRPr="008B0F77">
        <w:rPr>
          <w:lang w:val="en-GB"/>
        </w:rPr>
        <w:t>accidents or injuries</w:t>
      </w:r>
      <w:r w:rsidRPr="008B0F77">
        <w:rPr>
          <w:lang w:val="en-GB"/>
        </w:rPr>
        <w:t xml:space="preserve"> </w:t>
      </w:r>
      <w:proofErr w:type="gramStart"/>
      <w:r w:rsidRPr="008B0F77">
        <w:rPr>
          <w:lang w:val="en-GB"/>
        </w:rPr>
        <w:t>and also</w:t>
      </w:r>
      <w:proofErr w:type="gramEnd"/>
      <w:r w:rsidR="00494738" w:rsidRPr="008B0F77">
        <w:rPr>
          <w:lang w:val="en-GB"/>
        </w:rPr>
        <w:t xml:space="preserve"> a scrupulous and prudent attitude in the management of any anomaly. Moreover, the company internal documentation shows that </w:t>
      </w:r>
      <w:r w:rsidR="00AF6169" w:rsidRPr="008B0F77">
        <w:rPr>
          <w:lang w:val="en-GB"/>
        </w:rPr>
        <w:t xml:space="preserve">several </w:t>
      </w:r>
      <w:r w:rsidR="00494738" w:rsidRPr="008B0F77">
        <w:rPr>
          <w:lang w:val="en-GB"/>
        </w:rPr>
        <w:t xml:space="preserve">technical solutions are expressly previewed and aimed at trying to prevent the most probable hypothesized unwanted top events (e.g. </w:t>
      </w:r>
      <w:r w:rsidR="000864F5" w:rsidRPr="008B0F77">
        <w:rPr>
          <w:lang w:val="en-GB"/>
        </w:rPr>
        <w:t>pressure relief devices</w:t>
      </w:r>
      <w:r w:rsidR="00494738" w:rsidRPr="008B0F77">
        <w:rPr>
          <w:lang w:val="en-GB"/>
        </w:rPr>
        <w:t xml:space="preserve">, emergency stop systems, anti-overfilling automatic blocking of the loading phase, leak sensors). </w:t>
      </w:r>
    </w:p>
    <w:p w14:paraId="64661A7A" w14:textId="3D7C0836" w:rsidR="0027226B" w:rsidRPr="008B0F77" w:rsidRDefault="00030D2D" w:rsidP="00C129AE">
      <w:pPr>
        <w:pStyle w:val="CETBodytext"/>
        <w:rPr>
          <w:lang w:val="en-GB"/>
        </w:rPr>
      </w:pPr>
      <w:r w:rsidRPr="008B0F77">
        <w:rPr>
          <w:lang w:val="en-GB"/>
        </w:rPr>
        <w:t xml:space="preserve">The analysis carried out on the quasi-incidental events occurred in the LPG loading and unloading phases has highlighted that - as in many high risk contexts - the release of very small quantities of dangerous substances represents one of the most common examples </w:t>
      </w:r>
      <w:r w:rsidR="00BC5127" w:rsidRPr="008B0F77">
        <w:rPr>
          <w:lang w:val="en-GB"/>
        </w:rPr>
        <w:t>of dangerous situations</w:t>
      </w:r>
      <w:r w:rsidR="00AF6169" w:rsidRPr="008B0F77">
        <w:rPr>
          <w:lang w:val="en-GB"/>
        </w:rPr>
        <w:t xml:space="preserve">. They </w:t>
      </w:r>
      <w:r w:rsidRPr="008B0F77">
        <w:rPr>
          <w:lang w:val="en-GB"/>
        </w:rPr>
        <w:t xml:space="preserve">could </w:t>
      </w:r>
      <w:r w:rsidR="0095282D" w:rsidRPr="008B0F77">
        <w:rPr>
          <w:lang w:val="en-GB"/>
        </w:rPr>
        <w:t xml:space="preserve">potentially </w:t>
      </w:r>
      <w:r w:rsidRPr="008B0F77">
        <w:rPr>
          <w:lang w:val="en-GB"/>
        </w:rPr>
        <w:t>have catastrophic consequences</w:t>
      </w:r>
      <w:r w:rsidR="00A13257" w:rsidRPr="008B0F77">
        <w:rPr>
          <w:lang w:val="en-GB"/>
        </w:rPr>
        <w:t>, which</w:t>
      </w:r>
      <w:r w:rsidR="00AF6169" w:rsidRPr="008B0F77">
        <w:rPr>
          <w:lang w:val="en-GB"/>
        </w:rPr>
        <w:t xml:space="preserve"> could arise</w:t>
      </w:r>
      <w:r w:rsidRPr="008B0F77">
        <w:rPr>
          <w:lang w:val="en-GB"/>
        </w:rPr>
        <w:t xml:space="preserve"> under additional further adverse conditions and in case of no-effectiveness of the envisaged barriers.</w:t>
      </w:r>
      <w:r w:rsidR="00B67F32" w:rsidRPr="008B0F77">
        <w:rPr>
          <w:lang w:val="en-GB"/>
        </w:rPr>
        <w:t xml:space="preserve"> The large proportion of cases involving anomalies and failures in pumps and compressors also emphasises the importance of keeping a general good functionality of the equipment and </w:t>
      </w:r>
      <w:r w:rsidR="00AF6169" w:rsidRPr="008B0F77">
        <w:rPr>
          <w:lang w:val="en-GB"/>
        </w:rPr>
        <w:t xml:space="preserve">of guaranteeing </w:t>
      </w:r>
      <w:r w:rsidR="00B67F32" w:rsidRPr="008B0F77">
        <w:rPr>
          <w:lang w:val="en-GB"/>
        </w:rPr>
        <w:t>its compliance with the European Product Directives.</w:t>
      </w:r>
    </w:p>
    <w:p w14:paraId="0AB56759" w14:textId="4892B935" w:rsidR="008D38CE" w:rsidRPr="008B0F77" w:rsidRDefault="00047EAF" w:rsidP="00C129AE">
      <w:pPr>
        <w:pStyle w:val="CETBodytext"/>
        <w:rPr>
          <w:lang w:val="en-GB"/>
        </w:rPr>
      </w:pPr>
      <w:r w:rsidRPr="008B0F77">
        <w:rPr>
          <w:lang w:val="en-GB"/>
        </w:rPr>
        <w:t>The most unexpected</w:t>
      </w:r>
      <w:r w:rsidR="00A13257" w:rsidRPr="008B0F77">
        <w:rPr>
          <w:lang w:val="en-GB"/>
        </w:rPr>
        <w:t xml:space="preserve"> result</w:t>
      </w:r>
      <w:r w:rsidRPr="008B0F77">
        <w:rPr>
          <w:lang w:val="en-GB"/>
        </w:rPr>
        <w:t xml:space="preserve"> </w:t>
      </w:r>
      <w:r w:rsidR="00A13257" w:rsidRPr="008B0F77">
        <w:rPr>
          <w:lang w:val="en-GB"/>
        </w:rPr>
        <w:t>is that</w:t>
      </w:r>
      <w:r w:rsidRPr="008B0F77">
        <w:rPr>
          <w:lang w:val="en-GB"/>
        </w:rPr>
        <w:t xml:space="preserve"> the contribution of the human </w:t>
      </w:r>
      <w:r w:rsidR="00CD211A" w:rsidRPr="008B0F77">
        <w:rPr>
          <w:lang w:val="en-GB"/>
        </w:rPr>
        <w:t>factor to the incidental events</w:t>
      </w:r>
      <w:r w:rsidRPr="008B0F77">
        <w:rPr>
          <w:lang w:val="en-GB"/>
        </w:rPr>
        <w:t xml:space="preserve"> seems </w:t>
      </w:r>
      <w:r w:rsidR="00A13257" w:rsidRPr="008B0F77">
        <w:rPr>
          <w:lang w:val="en-GB"/>
        </w:rPr>
        <w:t xml:space="preserve">to be </w:t>
      </w:r>
      <w:r w:rsidRPr="008B0F77">
        <w:rPr>
          <w:lang w:val="en-GB"/>
        </w:rPr>
        <w:t xml:space="preserve">minimal. </w:t>
      </w:r>
      <w:r w:rsidR="00A13257" w:rsidRPr="008B0F77">
        <w:rPr>
          <w:lang w:val="en-GB"/>
        </w:rPr>
        <w:t xml:space="preserve">Only </w:t>
      </w:r>
      <w:r w:rsidR="0067046D" w:rsidRPr="008B0F77">
        <w:rPr>
          <w:lang w:val="en-GB"/>
        </w:rPr>
        <w:t xml:space="preserve">in </w:t>
      </w:r>
      <w:r w:rsidR="00A13257" w:rsidRPr="008B0F77">
        <w:rPr>
          <w:lang w:val="en-GB"/>
        </w:rPr>
        <w:t>few cases</w:t>
      </w:r>
      <w:r w:rsidRPr="008B0F77">
        <w:rPr>
          <w:lang w:val="en-GB"/>
        </w:rPr>
        <w:t xml:space="preserve">, </w:t>
      </w:r>
      <w:r w:rsidR="00A13257" w:rsidRPr="008B0F77">
        <w:rPr>
          <w:lang w:val="en-GB"/>
        </w:rPr>
        <w:t xml:space="preserve">even </w:t>
      </w:r>
      <w:r w:rsidR="00A52109" w:rsidRPr="008B0F77">
        <w:rPr>
          <w:lang w:val="en-GB"/>
        </w:rPr>
        <w:t xml:space="preserve">in </w:t>
      </w:r>
      <w:r w:rsidRPr="008B0F77">
        <w:rPr>
          <w:lang w:val="en-GB"/>
        </w:rPr>
        <w:t xml:space="preserve">absence of errors </w:t>
      </w:r>
      <w:r w:rsidR="00A13257" w:rsidRPr="008B0F77">
        <w:rPr>
          <w:lang w:val="en-GB"/>
        </w:rPr>
        <w:t>by the</w:t>
      </w:r>
      <w:r w:rsidR="00AF6169" w:rsidRPr="008B0F77">
        <w:rPr>
          <w:lang w:val="en-GB"/>
        </w:rPr>
        <w:t xml:space="preserve"> operators, a necessary</w:t>
      </w:r>
      <w:r w:rsidR="000F0077" w:rsidRPr="008B0F77">
        <w:rPr>
          <w:lang w:val="en-GB"/>
        </w:rPr>
        <w:t xml:space="preserve"> update/</w:t>
      </w:r>
      <w:r w:rsidRPr="008B0F77">
        <w:rPr>
          <w:lang w:val="en-GB"/>
        </w:rPr>
        <w:t>improvement of the</w:t>
      </w:r>
      <w:r w:rsidR="00A13257" w:rsidRPr="008B0F77">
        <w:rPr>
          <w:lang w:val="en-GB"/>
        </w:rPr>
        <w:t xml:space="preserve"> adopted</w:t>
      </w:r>
      <w:r w:rsidRPr="008B0F77">
        <w:rPr>
          <w:lang w:val="en-GB"/>
        </w:rPr>
        <w:t xml:space="preserve"> procedures </w:t>
      </w:r>
      <w:proofErr w:type="gramStart"/>
      <w:r w:rsidR="000B1C37" w:rsidRPr="008B0F77">
        <w:rPr>
          <w:lang w:val="en-GB"/>
        </w:rPr>
        <w:t>was</w:t>
      </w:r>
      <w:r w:rsidRPr="008B0F77">
        <w:rPr>
          <w:lang w:val="en-GB"/>
        </w:rPr>
        <w:t xml:space="preserve"> </w:t>
      </w:r>
      <w:r w:rsidR="00AF6169" w:rsidRPr="008B0F77">
        <w:rPr>
          <w:lang w:val="en-GB"/>
        </w:rPr>
        <w:t>carried out</w:t>
      </w:r>
      <w:proofErr w:type="gramEnd"/>
      <w:r w:rsidRPr="008B0F77">
        <w:rPr>
          <w:lang w:val="en-GB"/>
        </w:rPr>
        <w:t xml:space="preserve">. </w:t>
      </w:r>
      <w:r w:rsidR="00A13257" w:rsidRPr="008B0F77">
        <w:rPr>
          <w:lang w:val="en-GB"/>
        </w:rPr>
        <w:t>On</w:t>
      </w:r>
      <w:r w:rsidRPr="008B0F77">
        <w:rPr>
          <w:lang w:val="en-GB"/>
        </w:rPr>
        <w:t xml:space="preserve"> the other hand, </w:t>
      </w:r>
      <w:r w:rsidR="00A13257" w:rsidRPr="008B0F77">
        <w:rPr>
          <w:lang w:val="en-GB"/>
        </w:rPr>
        <w:t xml:space="preserve">maintenance </w:t>
      </w:r>
      <w:r w:rsidR="000F0077" w:rsidRPr="008B0F77">
        <w:rPr>
          <w:lang w:val="en-GB"/>
        </w:rPr>
        <w:t>(</w:t>
      </w:r>
      <w:r w:rsidR="00AF6169" w:rsidRPr="008B0F77">
        <w:rPr>
          <w:lang w:val="en-GB"/>
        </w:rPr>
        <w:t xml:space="preserve">a </w:t>
      </w:r>
      <w:r w:rsidR="000F0077" w:rsidRPr="008B0F77">
        <w:rPr>
          <w:lang w:val="en-GB"/>
        </w:rPr>
        <w:t xml:space="preserve">technical and organizational component) </w:t>
      </w:r>
      <w:r w:rsidR="00A13257" w:rsidRPr="008B0F77">
        <w:rPr>
          <w:lang w:val="en-GB"/>
        </w:rPr>
        <w:t>seems to be</w:t>
      </w:r>
      <w:r w:rsidRPr="008B0F77">
        <w:rPr>
          <w:lang w:val="en-GB"/>
        </w:rPr>
        <w:t xml:space="preserve"> </w:t>
      </w:r>
      <w:r w:rsidR="00A13257" w:rsidRPr="008B0F77">
        <w:rPr>
          <w:lang w:val="en-GB"/>
        </w:rPr>
        <w:t>the</w:t>
      </w:r>
      <w:r w:rsidRPr="008B0F77">
        <w:rPr>
          <w:lang w:val="en-GB"/>
        </w:rPr>
        <w:t xml:space="preserve"> key tool for</w:t>
      </w:r>
      <w:r w:rsidR="00A13257" w:rsidRPr="008B0F77">
        <w:rPr>
          <w:lang w:val="en-GB"/>
        </w:rPr>
        <w:t xml:space="preserve"> the resolution of problems</w:t>
      </w:r>
      <w:r w:rsidR="00AF6169" w:rsidRPr="008B0F77">
        <w:rPr>
          <w:lang w:val="en-GB"/>
        </w:rPr>
        <w:t>.</w:t>
      </w:r>
      <w:r w:rsidR="00A13257" w:rsidRPr="008B0F77">
        <w:rPr>
          <w:lang w:val="en-GB"/>
        </w:rPr>
        <w:t xml:space="preserve"> </w:t>
      </w:r>
      <w:r w:rsidR="0067046D" w:rsidRPr="008B0F77">
        <w:rPr>
          <w:lang w:val="en-GB"/>
        </w:rPr>
        <w:t>In</w:t>
      </w:r>
      <w:r w:rsidR="00A13257" w:rsidRPr="008B0F77">
        <w:rPr>
          <w:lang w:val="en-GB"/>
        </w:rPr>
        <w:t xml:space="preserve"> some </w:t>
      </w:r>
      <w:r w:rsidR="0067046D" w:rsidRPr="008B0F77">
        <w:rPr>
          <w:lang w:val="en-GB"/>
        </w:rPr>
        <w:t>cases</w:t>
      </w:r>
      <w:r w:rsidR="008D38CE" w:rsidRPr="008B0F77">
        <w:rPr>
          <w:lang w:val="en-GB"/>
        </w:rPr>
        <w:t xml:space="preserve">, maintenance </w:t>
      </w:r>
      <w:proofErr w:type="gramStart"/>
      <w:r w:rsidR="003D2AE0" w:rsidRPr="008B0F77">
        <w:rPr>
          <w:lang w:val="en-GB"/>
        </w:rPr>
        <w:t>has been</w:t>
      </w:r>
      <w:r w:rsidR="008D38CE" w:rsidRPr="008B0F77">
        <w:rPr>
          <w:lang w:val="en-GB"/>
        </w:rPr>
        <w:t xml:space="preserve"> </w:t>
      </w:r>
      <w:r w:rsidR="000F0077" w:rsidRPr="008B0F77">
        <w:rPr>
          <w:lang w:val="en-GB"/>
        </w:rPr>
        <w:t xml:space="preserve">also </w:t>
      </w:r>
      <w:r w:rsidR="008D38CE" w:rsidRPr="008B0F77">
        <w:rPr>
          <w:lang w:val="en-GB"/>
        </w:rPr>
        <w:t>carried out</w:t>
      </w:r>
      <w:proofErr w:type="gramEnd"/>
      <w:r w:rsidR="008D38CE" w:rsidRPr="008B0F77">
        <w:rPr>
          <w:lang w:val="en-GB"/>
        </w:rPr>
        <w:t xml:space="preserve"> </w:t>
      </w:r>
      <w:r w:rsidR="000F0077" w:rsidRPr="008B0F77">
        <w:rPr>
          <w:lang w:val="en-GB"/>
        </w:rPr>
        <w:t xml:space="preserve">as a further precaution, </w:t>
      </w:r>
      <w:r w:rsidR="0067046D" w:rsidRPr="008B0F77">
        <w:rPr>
          <w:lang w:val="en-GB"/>
        </w:rPr>
        <w:t xml:space="preserve">even on machines with a </w:t>
      </w:r>
      <w:r w:rsidR="000F0077" w:rsidRPr="008B0F77">
        <w:rPr>
          <w:lang w:val="en-GB"/>
        </w:rPr>
        <w:t xml:space="preserve">relatively low </w:t>
      </w:r>
      <w:r w:rsidR="008D38CE" w:rsidRPr="008B0F77">
        <w:rPr>
          <w:lang w:val="en-GB"/>
        </w:rPr>
        <w:t>number of operating hours</w:t>
      </w:r>
      <w:r w:rsidR="0067046D" w:rsidRPr="008B0F77">
        <w:rPr>
          <w:lang w:val="en-GB"/>
        </w:rPr>
        <w:t>.</w:t>
      </w:r>
    </w:p>
    <w:p w14:paraId="78D914CE" w14:textId="6AC90BB5" w:rsidR="00212D77" w:rsidRPr="008B0F77" w:rsidRDefault="007E292C" w:rsidP="00212D77">
      <w:pPr>
        <w:pStyle w:val="CETBodytext"/>
      </w:pPr>
      <w:r w:rsidRPr="008B0F77">
        <w:rPr>
          <w:lang w:val="en-GB"/>
        </w:rPr>
        <w:t xml:space="preserve">A previous work by some of the </w:t>
      </w:r>
      <w:r w:rsidR="003D2AE0" w:rsidRPr="008B0F77">
        <w:rPr>
          <w:lang w:val="en-GB"/>
        </w:rPr>
        <w:t>authors (Carra et al., 2022) reported historical data from of a</w:t>
      </w:r>
      <w:r w:rsidR="00AF6169" w:rsidRPr="008B0F77">
        <w:rPr>
          <w:lang w:val="en-GB"/>
        </w:rPr>
        <w:t xml:space="preserve"> different</w:t>
      </w:r>
      <w:r w:rsidR="003D2AE0" w:rsidRPr="008B0F77">
        <w:rPr>
          <w:lang w:val="en-GB"/>
        </w:rPr>
        <w:t xml:space="preserve"> high-risk </w:t>
      </w:r>
      <w:r w:rsidR="000F0077" w:rsidRPr="008B0F77">
        <w:rPr>
          <w:lang w:val="en-GB"/>
        </w:rPr>
        <w:t xml:space="preserve">site (a polyurethane systems production plant): </w:t>
      </w:r>
      <w:r w:rsidR="003D2AE0" w:rsidRPr="008B0F77">
        <w:rPr>
          <w:lang w:val="en-GB"/>
        </w:rPr>
        <w:t>in t</w:t>
      </w:r>
      <w:r w:rsidR="00851465" w:rsidRPr="008B0F77">
        <w:rPr>
          <w:lang w:val="en-GB"/>
        </w:rPr>
        <w:t>hat case, the human component</w:t>
      </w:r>
      <w:r w:rsidR="003D2AE0" w:rsidRPr="008B0F77">
        <w:rPr>
          <w:lang w:val="en-GB"/>
        </w:rPr>
        <w:t xml:space="preserve"> (mainly distractions and oversights of operators</w:t>
      </w:r>
      <w:r w:rsidR="001B5E51" w:rsidRPr="008B0F77">
        <w:rPr>
          <w:lang w:val="en-GB"/>
        </w:rPr>
        <w:t xml:space="preserve"> but also human decisions at higher hierarchical levels) </w:t>
      </w:r>
      <w:r w:rsidR="003D2AE0" w:rsidRPr="008B0F77">
        <w:rPr>
          <w:lang w:val="en-GB"/>
        </w:rPr>
        <w:t xml:space="preserve">seemed </w:t>
      </w:r>
      <w:r w:rsidR="000F0077" w:rsidRPr="008B0F77">
        <w:rPr>
          <w:lang w:val="en-GB"/>
        </w:rPr>
        <w:t xml:space="preserve">instead </w:t>
      </w:r>
      <w:r w:rsidR="003D2AE0" w:rsidRPr="008B0F77">
        <w:rPr>
          <w:lang w:val="en-GB"/>
        </w:rPr>
        <w:t>to have a fundamental role in causing accidents.</w:t>
      </w:r>
      <w:r w:rsidR="001B5E51" w:rsidRPr="008B0F77">
        <w:t xml:space="preserve"> </w:t>
      </w:r>
      <w:r w:rsidR="001B5E51" w:rsidRPr="008B0F77">
        <w:rPr>
          <w:lang w:val="en-GB"/>
        </w:rPr>
        <w:t>Even p</w:t>
      </w:r>
      <w:r w:rsidR="000101DB" w:rsidRPr="008B0F77">
        <w:rPr>
          <w:lang w:val="en-GB"/>
        </w:rPr>
        <w:t xml:space="preserve">revious </w:t>
      </w:r>
      <w:r w:rsidR="001B5E51" w:rsidRPr="008B0F77">
        <w:rPr>
          <w:lang w:val="en-GB"/>
        </w:rPr>
        <w:t xml:space="preserve">international </w:t>
      </w:r>
      <w:r w:rsidR="000101DB" w:rsidRPr="008B0F77">
        <w:rPr>
          <w:lang w:val="en-GB"/>
        </w:rPr>
        <w:t>literature studies show</w:t>
      </w:r>
      <w:r w:rsidR="001B5E51" w:rsidRPr="008B0F77">
        <w:rPr>
          <w:lang w:val="en-GB"/>
        </w:rPr>
        <w:t>ed</w:t>
      </w:r>
      <w:r w:rsidR="000101DB" w:rsidRPr="008B0F77">
        <w:rPr>
          <w:lang w:val="en-GB"/>
        </w:rPr>
        <w:t xml:space="preserve"> that risks in LPG transfer operations can be strongly influenced by the human factor, </w:t>
      </w:r>
      <w:r w:rsidR="0067046D" w:rsidRPr="008B0F77">
        <w:rPr>
          <w:lang w:val="en-GB"/>
        </w:rPr>
        <w:t>as</w:t>
      </w:r>
      <w:r w:rsidR="000101DB" w:rsidRPr="008B0F77">
        <w:rPr>
          <w:lang w:val="en-GB"/>
        </w:rPr>
        <w:t xml:space="preserve"> for possible incorrect behaviours of truck drivers and transfer operators (</w:t>
      </w:r>
      <w:proofErr w:type="spellStart"/>
      <w:r w:rsidR="000101DB" w:rsidRPr="008B0F77">
        <w:rPr>
          <w:lang w:val="en-GB"/>
        </w:rPr>
        <w:t>Gallab</w:t>
      </w:r>
      <w:proofErr w:type="spellEnd"/>
      <w:r w:rsidR="000101DB" w:rsidRPr="008B0F77">
        <w:rPr>
          <w:lang w:val="en-GB"/>
        </w:rPr>
        <w:t xml:space="preserve"> et al., 2</w:t>
      </w:r>
      <w:r w:rsidR="001B5E51" w:rsidRPr="008B0F77">
        <w:rPr>
          <w:lang w:val="en-GB"/>
        </w:rPr>
        <w:t>017</w:t>
      </w:r>
      <w:r w:rsidR="008550D3" w:rsidRPr="008B0F77">
        <w:rPr>
          <w:lang w:val="en-GB"/>
        </w:rPr>
        <w:t>)</w:t>
      </w:r>
      <w:r w:rsidR="001B5E51" w:rsidRPr="008B0F77">
        <w:rPr>
          <w:lang w:val="en-GB"/>
        </w:rPr>
        <w:t xml:space="preserve">, </w:t>
      </w:r>
      <w:r w:rsidR="001B5E51" w:rsidRPr="008B0F77">
        <w:t xml:space="preserve">for example in following the procedures of transfer operations or in realizing </w:t>
      </w:r>
      <w:r w:rsidR="008550D3" w:rsidRPr="008B0F77">
        <w:t>checks and controls (</w:t>
      </w:r>
      <w:proofErr w:type="spellStart"/>
      <w:r w:rsidR="00D150E0" w:rsidRPr="008B0F77">
        <w:t>Silvestri</w:t>
      </w:r>
      <w:proofErr w:type="spellEnd"/>
      <w:r w:rsidR="00D150E0" w:rsidRPr="008B0F77">
        <w:t xml:space="preserve"> et al., </w:t>
      </w:r>
      <w:r w:rsidR="008550D3" w:rsidRPr="008B0F77">
        <w:t>2000).</w:t>
      </w:r>
      <w:r w:rsidR="0067046D" w:rsidRPr="008B0F77">
        <w:t xml:space="preserve"> </w:t>
      </w:r>
      <w:proofErr w:type="spellStart"/>
      <w:r w:rsidR="00E711F6" w:rsidRPr="008B0F77">
        <w:t>Sheikhalishahi</w:t>
      </w:r>
      <w:proofErr w:type="spellEnd"/>
      <w:r w:rsidR="00E711F6" w:rsidRPr="008B0F77">
        <w:t xml:space="preserve"> et al. (2016) highlighted </w:t>
      </w:r>
      <w:r w:rsidR="001B5E51" w:rsidRPr="008B0F77">
        <w:t xml:space="preserve">that even maintenance can be influenced by </w:t>
      </w:r>
      <w:r w:rsidR="00E711F6" w:rsidRPr="008B0F77">
        <w:t xml:space="preserve">critical human factors, but in </w:t>
      </w:r>
      <w:proofErr w:type="spellStart"/>
      <w:r w:rsidR="001B5E51" w:rsidRPr="008B0F77">
        <w:t>Fontevivo</w:t>
      </w:r>
      <w:proofErr w:type="spellEnd"/>
      <w:r w:rsidR="00E711F6" w:rsidRPr="008B0F77">
        <w:t xml:space="preserve"> </w:t>
      </w:r>
      <w:proofErr w:type="gramStart"/>
      <w:r w:rsidR="00E711F6" w:rsidRPr="008B0F77">
        <w:t>site</w:t>
      </w:r>
      <w:proofErr w:type="gramEnd"/>
      <w:r w:rsidR="00E711F6" w:rsidRPr="008B0F77">
        <w:t xml:space="preserve"> the maintenance activity, which mainly concerns pumps, compressors</w:t>
      </w:r>
      <w:r w:rsidR="000F0077" w:rsidRPr="008B0F77">
        <w:t xml:space="preserve"> and pipes</w:t>
      </w:r>
      <w:r w:rsidR="00E711F6" w:rsidRPr="008B0F77">
        <w:t xml:space="preserve">, is preferably carried out externally, in order to reduce </w:t>
      </w:r>
      <w:r w:rsidR="001B5E51" w:rsidRPr="008B0F77">
        <w:t>internal human errors</w:t>
      </w:r>
      <w:r w:rsidR="00E711F6" w:rsidRPr="008B0F77">
        <w:t>.</w:t>
      </w:r>
      <w:r w:rsidR="00212D77" w:rsidRPr="008B0F77">
        <w:t xml:space="preserve"> </w:t>
      </w:r>
      <w:r w:rsidR="000F0077" w:rsidRPr="008B0F77">
        <w:t>Anywa</w:t>
      </w:r>
      <w:r w:rsidR="00AF6169" w:rsidRPr="008B0F77">
        <w:t>y</w:t>
      </w:r>
      <w:r w:rsidR="000F0077" w:rsidRPr="008B0F77">
        <w:t>, the human intervention is still present</w:t>
      </w:r>
      <w:r w:rsidR="00AF6169" w:rsidRPr="008B0F77">
        <w:t xml:space="preserve"> and significant: for example, i</w:t>
      </w:r>
      <w:r w:rsidR="000F0077" w:rsidRPr="008B0F77">
        <w:t>n the bottling area</w:t>
      </w:r>
      <w:r w:rsidR="00212D77" w:rsidRPr="008B0F77">
        <w:t xml:space="preserve"> there is a semi-automatic system where an operator, after having evaluated the tare of the single cylinder, sets the value of the maximum filling level at which the system must automatically stop.</w:t>
      </w:r>
    </w:p>
    <w:p w14:paraId="7ECAE2CF" w14:textId="252E437F" w:rsidR="000F0077" w:rsidRPr="008B0F77" w:rsidRDefault="000F0077" w:rsidP="00212D77">
      <w:pPr>
        <w:pStyle w:val="CETBodytext"/>
      </w:pPr>
      <w:r w:rsidRPr="008B0F77">
        <w:t>Moreover, t</w:t>
      </w:r>
      <w:r w:rsidR="00212D77" w:rsidRPr="008B0F77">
        <w:t>he analysis of the other two logic units (</w:t>
      </w:r>
      <w:r w:rsidR="00AF6169" w:rsidRPr="008B0F77">
        <w:t xml:space="preserve">LPG </w:t>
      </w:r>
      <w:r w:rsidR="00212D77" w:rsidRPr="008B0F77">
        <w:t xml:space="preserve">storage, </w:t>
      </w:r>
      <w:r w:rsidR="00AF6169" w:rsidRPr="008B0F77">
        <w:t xml:space="preserve">LPG </w:t>
      </w:r>
      <w:r w:rsidR="00212D77" w:rsidRPr="008B0F77">
        <w:t>handling lines)</w:t>
      </w:r>
      <w:r w:rsidRPr="008B0F77">
        <w:t xml:space="preserve">, as realized by the company in the abovementioned </w:t>
      </w:r>
      <w:r w:rsidR="007A5A12" w:rsidRPr="008B0F77">
        <w:t xml:space="preserve">preliminary </w:t>
      </w:r>
      <w:r w:rsidRPr="008B0F77">
        <w:t xml:space="preserve">research on international databases, </w:t>
      </w:r>
      <w:r w:rsidR="00212D77" w:rsidRPr="008B0F77">
        <w:t xml:space="preserve">showed </w:t>
      </w:r>
      <w:r w:rsidRPr="008B0F77">
        <w:t>that</w:t>
      </w:r>
      <w:r w:rsidR="00212D77" w:rsidRPr="008B0F77">
        <w:t xml:space="preserve"> human error seems to affect </w:t>
      </w:r>
      <w:r w:rsidRPr="008B0F77">
        <w:t xml:space="preserve">at least </w:t>
      </w:r>
      <w:r w:rsidR="00212D77" w:rsidRPr="008B0F77">
        <w:t>62% of the analyze</w:t>
      </w:r>
      <w:r w:rsidRPr="008B0F77">
        <w:t>d events regarding LPG handling</w:t>
      </w:r>
      <w:r w:rsidR="00E11A56" w:rsidRPr="008B0F77">
        <w:t xml:space="preserve"> in many industrial sites</w:t>
      </w:r>
      <w:r w:rsidRPr="008B0F77">
        <w:t>.</w:t>
      </w:r>
    </w:p>
    <w:p w14:paraId="211E13BE" w14:textId="514E44BA" w:rsidR="00212D77" w:rsidRPr="008B0F77" w:rsidRDefault="00083D72" w:rsidP="00212D77">
      <w:pPr>
        <w:pStyle w:val="CETBodytext"/>
      </w:pPr>
      <w:r w:rsidRPr="008B0F77">
        <w:t xml:space="preserve">The low number of reports involving human error </w:t>
      </w:r>
      <w:proofErr w:type="gramStart"/>
      <w:r w:rsidRPr="008B0F77">
        <w:t>could be linked</w:t>
      </w:r>
      <w:proofErr w:type="gramEnd"/>
      <w:r w:rsidRPr="008B0F77">
        <w:t xml:space="preserve"> to the strong standardization of pro-safety technologies </w:t>
      </w:r>
      <w:r w:rsidR="004A643B" w:rsidRPr="008B0F77">
        <w:t xml:space="preserve">and procedures </w:t>
      </w:r>
      <w:r w:rsidRPr="008B0F77">
        <w:t>achieved</w:t>
      </w:r>
      <w:r w:rsidR="00C80480" w:rsidRPr="008B0F77">
        <w:t xml:space="preserve"> over the years in the </w:t>
      </w:r>
      <w:r w:rsidRPr="008B0F77">
        <w:t xml:space="preserve">LPG storage </w:t>
      </w:r>
      <w:r w:rsidR="00C80480" w:rsidRPr="008B0F77">
        <w:t>field</w:t>
      </w:r>
      <w:r w:rsidRPr="008B0F77">
        <w:t>, also thanks to stringent regulatory impositions. In any case, t</w:t>
      </w:r>
      <w:r w:rsidR="000F0077" w:rsidRPr="008B0F77">
        <w:t xml:space="preserve">his all suggests </w:t>
      </w:r>
      <w:r w:rsidR="00AF6169" w:rsidRPr="008B0F77">
        <w:t>that</w:t>
      </w:r>
      <w:r w:rsidR="00212D77" w:rsidRPr="008B0F77">
        <w:t xml:space="preserve"> a dedicated research in </w:t>
      </w:r>
      <w:r w:rsidR="00C80480" w:rsidRPr="008B0F77">
        <w:t xml:space="preserve">the future </w:t>
      </w:r>
      <w:r w:rsidR="00212D77" w:rsidRPr="008B0F77">
        <w:t xml:space="preserve">could </w:t>
      </w:r>
      <w:r w:rsidR="00E11A56" w:rsidRPr="008B0F77">
        <w:t xml:space="preserve">deepen the </w:t>
      </w:r>
      <w:r w:rsidR="00E11A56" w:rsidRPr="008B0F77">
        <w:lastRenderedPageBreak/>
        <w:t>role of human factor in s</w:t>
      </w:r>
      <w:r w:rsidR="0021096D" w:rsidRPr="008B0F77">
        <w:t>afety management in LPG storage sites</w:t>
      </w:r>
      <w:r w:rsidR="00E11A56" w:rsidRPr="008B0F77">
        <w:t xml:space="preserve">, starting from a comparison with </w:t>
      </w:r>
      <w:r w:rsidR="00FA7FF2" w:rsidRPr="008B0F77">
        <w:t>similar plants</w:t>
      </w:r>
      <w:r w:rsidR="00E11A56" w:rsidRPr="008B0F77">
        <w:t>.</w:t>
      </w:r>
      <w:r w:rsidR="002F124A" w:rsidRPr="008B0F77">
        <w:t xml:space="preserve"> This could also allow </w:t>
      </w:r>
      <w:proofErr w:type="gramStart"/>
      <w:r w:rsidR="002F124A" w:rsidRPr="008B0F77">
        <w:t>to verify</w:t>
      </w:r>
      <w:proofErr w:type="gramEnd"/>
      <w:r w:rsidR="002F124A" w:rsidRPr="008B0F77">
        <w:t xml:space="preserve"> the reliability of the analyzed data</w:t>
      </w:r>
      <w:r w:rsidR="00C80480" w:rsidRPr="008B0F77">
        <w:t xml:space="preserve"> by</w:t>
      </w:r>
      <w:r w:rsidR="002F124A" w:rsidRPr="008B0F77">
        <w:t xml:space="preserve"> minimizing the effect of possible biases </w:t>
      </w:r>
      <w:r w:rsidR="00C80480" w:rsidRPr="008B0F77">
        <w:t>(e.g. m</w:t>
      </w:r>
      <w:r w:rsidR="002F124A" w:rsidRPr="008B0F77">
        <w:t>issing reports</w:t>
      </w:r>
      <w:r w:rsidR="00C80480" w:rsidRPr="008B0F77">
        <w:t>)</w:t>
      </w:r>
      <w:r w:rsidR="002F124A" w:rsidRPr="008B0F77">
        <w:t>.</w:t>
      </w:r>
      <w:r w:rsidR="00E11A56" w:rsidRPr="008B0F77">
        <w:t xml:space="preserve"> In addition, it could be interesting to evaluate possible differences in the human role between different typologies of Seveso p</w:t>
      </w:r>
      <w:r w:rsidR="00AF6169" w:rsidRPr="008B0F77">
        <w:t>l</w:t>
      </w:r>
      <w:r w:rsidR="00E11A56" w:rsidRPr="008B0F77">
        <w:t>ant</w:t>
      </w:r>
      <w:r w:rsidR="00AF6169" w:rsidRPr="008B0F77">
        <w:t>s</w:t>
      </w:r>
      <w:r w:rsidR="00E11A56" w:rsidRPr="008B0F77">
        <w:t xml:space="preserve"> (e.g. </w:t>
      </w:r>
      <w:r w:rsidR="00653F4E" w:rsidRPr="008B0F77">
        <w:t>storage sites of dangerous substances</w:t>
      </w:r>
      <w:r w:rsidR="00E11A56" w:rsidRPr="008B0F77">
        <w:t>, chemical plants, oil refineries).</w:t>
      </w:r>
    </w:p>
    <w:p w14:paraId="68D26B83" w14:textId="2BFEAE01" w:rsidR="00600535" w:rsidRPr="008B0F77" w:rsidRDefault="00600535" w:rsidP="00600535">
      <w:pPr>
        <w:pStyle w:val="CETHeading1"/>
        <w:rPr>
          <w:lang w:val="en-GB"/>
        </w:rPr>
      </w:pPr>
      <w:r w:rsidRPr="008B0F77">
        <w:rPr>
          <w:lang w:val="en-GB"/>
        </w:rPr>
        <w:t>Conclusions</w:t>
      </w:r>
    </w:p>
    <w:p w14:paraId="5CFEEF6E" w14:textId="25C1E171" w:rsidR="00084B9E" w:rsidRPr="008B0F77" w:rsidRDefault="004B6F9E" w:rsidP="004B6F9E">
      <w:pPr>
        <w:pStyle w:val="CETBodytext"/>
      </w:pPr>
      <w:r w:rsidRPr="008B0F77">
        <w:rPr>
          <w:lang w:val="en-GB"/>
        </w:rPr>
        <w:t xml:space="preserve">The historical sequence of quasi-accidental events that occurred in the last decade in an Italian LPG </w:t>
      </w:r>
      <w:r w:rsidR="00C46070" w:rsidRPr="008B0F77">
        <w:rPr>
          <w:lang w:val="en-GB"/>
        </w:rPr>
        <w:t>storage</w:t>
      </w:r>
      <w:r w:rsidRPr="008B0F77">
        <w:rPr>
          <w:lang w:val="en-GB"/>
        </w:rPr>
        <w:t xml:space="preserve"> site </w:t>
      </w:r>
      <w:proofErr w:type="gramStart"/>
      <w:r w:rsidRPr="008B0F77">
        <w:rPr>
          <w:lang w:val="en-GB"/>
        </w:rPr>
        <w:t xml:space="preserve">has been </w:t>
      </w:r>
      <w:proofErr w:type="spellStart"/>
      <w:r w:rsidRPr="008B0F77">
        <w:rPr>
          <w:lang w:val="en-GB"/>
        </w:rPr>
        <w:t>analyzed</w:t>
      </w:r>
      <w:proofErr w:type="spellEnd"/>
      <w:proofErr w:type="gramEnd"/>
      <w:r w:rsidRPr="008B0F77">
        <w:rPr>
          <w:lang w:val="en-GB"/>
        </w:rPr>
        <w:t xml:space="preserve">, in order to identify </w:t>
      </w:r>
      <w:r w:rsidR="001D5651" w:rsidRPr="008B0F77">
        <w:rPr>
          <w:lang w:val="en-GB"/>
        </w:rPr>
        <w:t xml:space="preserve">possible </w:t>
      </w:r>
      <w:r w:rsidRPr="008B0F77">
        <w:rPr>
          <w:lang w:val="en-GB"/>
        </w:rPr>
        <w:t>multiple factors (technical, organizational and human ones) that may have contributed to the occurrence of the undesired events</w:t>
      </w:r>
      <w:r w:rsidR="006C6552" w:rsidRPr="008B0F77">
        <w:rPr>
          <w:lang w:val="en-GB"/>
        </w:rPr>
        <w:t xml:space="preserve"> during LPG transfer operations</w:t>
      </w:r>
      <w:r w:rsidRPr="008B0F77">
        <w:rPr>
          <w:lang w:val="en-GB"/>
        </w:rPr>
        <w:t xml:space="preserve">. Data </w:t>
      </w:r>
      <w:proofErr w:type="gramStart"/>
      <w:r w:rsidRPr="008B0F77">
        <w:rPr>
          <w:lang w:val="en-GB"/>
        </w:rPr>
        <w:t>have been extracted</w:t>
      </w:r>
      <w:proofErr w:type="gramEnd"/>
      <w:r w:rsidRPr="008B0F77">
        <w:rPr>
          <w:lang w:val="en-GB"/>
        </w:rPr>
        <w:t xml:space="preserve"> from the company accidents database. The most common</w:t>
      </w:r>
      <w:r w:rsidRPr="008B0F77">
        <w:t xml:space="preserve"> accident typologies</w:t>
      </w:r>
      <w:r w:rsidR="005A1B8F" w:rsidRPr="008B0F77">
        <w:t xml:space="preserve"> in the site </w:t>
      </w:r>
      <w:proofErr w:type="gramStart"/>
      <w:r w:rsidR="005A1B8F" w:rsidRPr="008B0F77">
        <w:t>have been identified</w:t>
      </w:r>
      <w:proofErr w:type="gramEnd"/>
      <w:r w:rsidR="005A1B8F" w:rsidRPr="008B0F77">
        <w:t xml:space="preserve">, together with organizational and technological measures </w:t>
      </w:r>
      <w:r w:rsidRPr="008B0F77">
        <w:t>used to</w:t>
      </w:r>
      <w:r w:rsidR="005A1B8F" w:rsidRPr="008B0F77">
        <w:t xml:space="preserve"> solve </w:t>
      </w:r>
      <w:r w:rsidRPr="008B0F77">
        <w:t xml:space="preserve">and prevent </w:t>
      </w:r>
      <w:r w:rsidR="0067046D" w:rsidRPr="008B0F77">
        <w:t>criticalities</w:t>
      </w:r>
      <w:r w:rsidR="005A1B8F" w:rsidRPr="008B0F77">
        <w:t>.</w:t>
      </w:r>
    </w:p>
    <w:p w14:paraId="58264C1C" w14:textId="3845F298" w:rsidR="006A1279" w:rsidRPr="008B0F77" w:rsidRDefault="00084B9E" w:rsidP="004B6F9E">
      <w:pPr>
        <w:pStyle w:val="CETBodytext"/>
        <w:rPr>
          <w:lang w:val="en-GB"/>
        </w:rPr>
      </w:pPr>
      <w:r w:rsidRPr="008B0F77">
        <w:t xml:space="preserve">Results show that </w:t>
      </w:r>
      <w:r w:rsidR="006C6552" w:rsidRPr="008B0F77">
        <w:t xml:space="preserve">little more than half of the </w:t>
      </w:r>
      <w:r w:rsidR="005B544F" w:rsidRPr="008B0F77">
        <w:t>quasi-</w:t>
      </w:r>
      <w:r w:rsidR="006C6552" w:rsidRPr="008B0F77">
        <w:t>ac</w:t>
      </w:r>
      <w:r w:rsidRPr="008B0F77">
        <w:t xml:space="preserve">cidental events </w:t>
      </w:r>
      <w:proofErr w:type="gramStart"/>
      <w:r w:rsidRPr="008B0F77">
        <w:t>is related</w:t>
      </w:r>
      <w:proofErr w:type="gramEnd"/>
      <w:r w:rsidRPr="008B0F77">
        <w:t xml:space="preserve"> to LPG releases</w:t>
      </w:r>
      <w:r w:rsidR="0018793A" w:rsidRPr="008B0F77">
        <w:t>; moreover</w:t>
      </w:r>
      <w:r w:rsidR="0080481E" w:rsidRPr="008B0F77">
        <w:t>,</w:t>
      </w:r>
      <w:r w:rsidR="0018793A" w:rsidRPr="008B0F77">
        <w:t xml:space="preserve"> </w:t>
      </w:r>
      <w:r w:rsidRPr="008B0F77">
        <w:t>the conform</w:t>
      </w:r>
      <w:r w:rsidR="00D56563" w:rsidRPr="008B0F77">
        <w:t xml:space="preserve">ity and good functioning of </w:t>
      </w:r>
      <w:r w:rsidRPr="008B0F77">
        <w:t>loading and unloading machines (pumps and compressors</w:t>
      </w:r>
      <w:r w:rsidR="00D56563" w:rsidRPr="008B0F77">
        <w:t xml:space="preserve">) is essential to ensure </w:t>
      </w:r>
      <w:r w:rsidRPr="008B0F77">
        <w:t>safety and to limit possible anomalies as precursors of major accidents.</w:t>
      </w:r>
      <w:r w:rsidR="006A1279" w:rsidRPr="008B0F77">
        <w:t xml:space="preserve"> </w:t>
      </w:r>
      <w:r w:rsidR="000824A2" w:rsidRPr="008B0F77">
        <w:t>T</w:t>
      </w:r>
      <w:r w:rsidR="006A1279" w:rsidRPr="008B0F77">
        <w:rPr>
          <w:lang w:val="en-GB"/>
        </w:rPr>
        <w:t>he central role of the maintena</w:t>
      </w:r>
      <w:r w:rsidR="0018793A" w:rsidRPr="008B0F77">
        <w:rPr>
          <w:lang w:val="en-GB"/>
        </w:rPr>
        <w:t>nce act</w:t>
      </w:r>
      <w:r w:rsidR="008C1306" w:rsidRPr="008B0F77">
        <w:rPr>
          <w:lang w:val="en-GB"/>
        </w:rPr>
        <w:t xml:space="preserve">ivity </w:t>
      </w:r>
      <w:r w:rsidR="00470D03" w:rsidRPr="008B0F77">
        <w:rPr>
          <w:lang w:val="en-GB"/>
        </w:rPr>
        <w:t>(</w:t>
      </w:r>
      <w:r w:rsidR="001D5651" w:rsidRPr="008B0F77">
        <w:rPr>
          <w:lang w:val="en-GB"/>
        </w:rPr>
        <w:t>both</w:t>
      </w:r>
      <w:r w:rsidR="00470D03" w:rsidRPr="008B0F77">
        <w:rPr>
          <w:lang w:val="en-GB"/>
        </w:rPr>
        <w:t xml:space="preserve"> on machinery and on metallic loading/unloading arms) </w:t>
      </w:r>
      <w:r w:rsidR="008C1306" w:rsidRPr="008B0F77">
        <w:rPr>
          <w:lang w:val="en-GB"/>
        </w:rPr>
        <w:t xml:space="preserve">has </w:t>
      </w:r>
      <w:r w:rsidR="00470D03" w:rsidRPr="008B0F77">
        <w:rPr>
          <w:lang w:val="en-GB"/>
        </w:rPr>
        <w:t xml:space="preserve">appeared evident. </w:t>
      </w:r>
    </w:p>
    <w:p w14:paraId="755BAFDE" w14:textId="1A360F7D" w:rsidR="008029A4" w:rsidRPr="008B0F77" w:rsidRDefault="008029A4" w:rsidP="004B6F9E">
      <w:pPr>
        <w:pStyle w:val="CETBodytext"/>
        <w:rPr>
          <w:lang w:val="en-GB"/>
        </w:rPr>
      </w:pPr>
      <w:r w:rsidRPr="008B0F77">
        <w:rPr>
          <w:lang w:val="en-GB"/>
        </w:rPr>
        <w:t xml:space="preserve">The role played by the human factor </w:t>
      </w:r>
      <w:r w:rsidR="006C6552" w:rsidRPr="008B0F77">
        <w:rPr>
          <w:lang w:val="en-GB"/>
        </w:rPr>
        <w:t xml:space="preserve">in the occurrence of undesirable events </w:t>
      </w:r>
      <w:r w:rsidRPr="008B0F77">
        <w:rPr>
          <w:lang w:val="en-GB"/>
        </w:rPr>
        <w:t xml:space="preserve">(in terms of possible operators’ errors or poor management of procedures) has not emerged </w:t>
      </w:r>
      <w:r w:rsidR="005C0C9E" w:rsidRPr="008B0F77">
        <w:rPr>
          <w:lang w:val="en-GB"/>
        </w:rPr>
        <w:t>significantly</w:t>
      </w:r>
      <w:r w:rsidRPr="008B0F77">
        <w:rPr>
          <w:lang w:val="en-GB"/>
        </w:rPr>
        <w:t xml:space="preserve">. It </w:t>
      </w:r>
      <w:proofErr w:type="gramStart"/>
      <w:r w:rsidRPr="008B0F77">
        <w:rPr>
          <w:lang w:val="en-GB"/>
        </w:rPr>
        <w:t>is expected</w:t>
      </w:r>
      <w:proofErr w:type="gramEnd"/>
      <w:r w:rsidRPr="008B0F77">
        <w:rPr>
          <w:lang w:val="en-GB"/>
        </w:rPr>
        <w:t xml:space="preserve"> that </w:t>
      </w:r>
      <w:r w:rsidR="007F16BE" w:rsidRPr="008B0F77">
        <w:rPr>
          <w:lang w:val="en-GB"/>
        </w:rPr>
        <w:t>further investigation on</w:t>
      </w:r>
      <w:r w:rsidRPr="008B0F77">
        <w:rPr>
          <w:lang w:val="en-GB"/>
        </w:rPr>
        <w:t xml:space="preserve"> similar industrial sites or </w:t>
      </w:r>
      <w:r w:rsidR="007F16BE" w:rsidRPr="008B0F77">
        <w:rPr>
          <w:lang w:val="en-GB"/>
        </w:rPr>
        <w:t xml:space="preserve">on </w:t>
      </w:r>
      <w:r w:rsidRPr="008B0F77">
        <w:rPr>
          <w:lang w:val="en-GB"/>
        </w:rPr>
        <w:t xml:space="preserve">other </w:t>
      </w:r>
      <w:r w:rsidR="005C0C9E" w:rsidRPr="008B0F77">
        <w:rPr>
          <w:lang w:val="en-GB"/>
        </w:rPr>
        <w:t>categories</w:t>
      </w:r>
      <w:r w:rsidRPr="008B0F77">
        <w:rPr>
          <w:lang w:val="en-GB"/>
        </w:rPr>
        <w:t xml:space="preserve"> of Seveso </w:t>
      </w:r>
      <w:r w:rsidR="007F16BE" w:rsidRPr="008B0F77">
        <w:rPr>
          <w:lang w:val="en-GB"/>
        </w:rPr>
        <w:t>plants may help to clarify which</w:t>
      </w:r>
      <w:r w:rsidRPr="008B0F77">
        <w:rPr>
          <w:lang w:val="en-GB"/>
        </w:rPr>
        <w:t xml:space="preserve"> factors </w:t>
      </w:r>
      <w:r w:rsidR="007F16BE" w:rsidRPr="008B0F77">
        <w:rPr>
          <w:lang w:val="en-GB"/>
        </w:rPr>
        <w:t xml:space="preserve">could </w:t>
      </w:r>
      <w:r w:rsidRPr="008B0F77">
        <w:rPr>
          <w:lang w:val="en-GB"/>
        </w:rPr>
        <w:t xml:space="preserve">determine the greater or lesser weight of </w:t>
      </w:r>
      <w:r w:rsidR="007F16BE" w:rsidRPr="008B0F77">
        <w:rPr>
          <w:lang w:val="en-GB"/>
        </w:rPr>
        <w:t>the human</w:t>
      </w:r>
      <w:r w:rsidRPr="008B0F77">
        <w:rPr>
          <w:lang w:val="en-GB"/>
        </w:rPr>
        <w:t xml:space="preserve"> component in terms of </w:t>
      </w:r>
      <w:r w:rsidR="005C0C9E" w:rsidRPr="008B0F77">
        <w:rPr>
          <w:lang w:val="en-GB"/>
        </w:rPr>
        <w:t>quasi-accidents incidence</w:t>
      </w:r>
      <w:r w:rsidR="006C6552" w:rsidRPr="008B0F77">
        <w:rPr>
          <w:lang w:val="en-GB"/>
        </w:rPr>
        <w:t>.</w:t>
      </w:r>
    </w:p>
    <w:p w14:paraId="459D05E6" w14:textId="715D25E2" w:rsidR="00600535" w:rsidRPr="008B0F77" w:rsidRDefault="00600535" w:rsidP="0085055B">
      <w:pPr>
        <w:pStyle w:val="CETAcknowledgementstitle"/>
      </w:pPr>
      <w:r w:rsidRPr="008B0F77">
        <w:t>Acknowledgments</w:t>
      </w:r>
    </w:p>
    <w:p w14:paraId="33F8138F" w14:textId="2412133A" w:rsidR="00600535" w:rsidRPr="008B0F77" w:rsidRDefault="00481B89" w:rsidP="00600535">
      <w:pPr>
        <w:pStyle w:val="CETBodytext"/>
        <w:rPr>
          <w:lang w:val="en-GB"/>
        </w:rPr>
      </w:pPr>
      <w:r w:rsidRPr="008B0F77">
        <w:rPr>
          <w:lang w:val="en-GB"/>
        </w:rPr>
        <w:t xml:space="preserve">The authors are very grateful to </w:t>
      </w:r>
      <w:r w:rsidR="00732A5A" w:rsidRPr="008B0F77">
        <w:rPr>
          <w:lang w:val="en-GB"/>
        </w:rPr>
        <w:t xml:space="preserve">AGN </w:t>
      </w:r>
      <w:proofErr w:type="spellStart"/>
      <w:r w:rsidR="00732A5A" w:rsidRPr="008B0F77">
        <w:rPr>
          <w:lang w:val="en-GB"/>
        </w:rPr>
        <w:t>Energia</w:t>
      </w:r>
      <w:proofErr w:type="spellEnd"/>
      <w:r w:rsidR="00B7402F" w:rsidRPr="008B0F77">
        <w:rPr>
          <w:lang w:val="en-GB"/>
        </w:rPr>
        <w:t xml:space="preserve"> S</w:t>
      </w:r>
      <w:r w:rsidR="00732A5A" w:rsidRPr="008B0F77">
        <w:rPr>
          <w:lang w:val="en-GB"/>
        </w:rPr>
        <w:t>.</w:t>
      </w:r>
      <w:r w:rsidR="00B7402F" w:rsidRPr="008B0F77">
        <w:rPr>
          <w:lang w:val="en-GB"/>
        </w:rPr>
        <w:t>p</w:t>
      </w:r>
      <w:r w:rsidR="00732A5A" w:rsidRPr="008B0F77">
        <w:rPr>
          <w:lang w:val="en-GB"/>
        </w:rPr>
        <w:t>.A.</w:t>
      </w:r>
      <w:r w:rsidRPr="008B0F77">
        <w:rPr>
          <w:lang w:val="en-GB"/>
        </w:rPr>
        <w:t xml:space="preserve"> for its support</w:t>
      </w:r>
      <w:r w:rsidR="00600535" w:rsidRPr="008B0F77">
        <w:rPr>
          <w:lang w:val="en-GB"/>
        </w:rPr>
        <w:t>.</w:t>
      </w:r>
    </w:p>
    <w:p w14:paraId="4F1327F8" w14:textId="77777777" w:rsidR="00600535" w:rsidRPr="008B0F77" w:rsidRDefault="00600535" w:rsidP="00600535">
      <w:pPr>
        <w:pStyle w:val="CETReference"/>
      </w:pPr>
      <w:r w:rsidRPr="008B0F77">
        <w:t>References</w:t>
      </w:r>
    </w:p>
    <w:p w14:paraId="2FF48465" w14:textId="77777777" w:rsidR="00C1395E" w:rsidRPr="008B0F77" w:rsidRDefault="00C1395E" w:rsidP="00276B2A">
      <w:pPr>
        <w:pStyle w:val="CETReferencetext"/>
      </w:pPr>
      <w:proofErr w:type="spellStart"/>
      <w:r w:rsidRPr="008B0F77">
        <w:t>Akyuz</w:t>
      </w:r>
      <w:proofErr w:type="spellEnd"/>
      <w:r w:rsidRPr="008B0F77">
        <w:t xml:space="preserve"> E., </w:t>
      </w:r>
      <w:proofErr w:type="spellStart"/>
      <w:r w:rsidRPr="008B0F77">
        <w:t>Celik</w:t>
      </w:r>
      <w:proofErr w:type="spellEnd"/>
      <w:r w:rsidRPr="008B0F77">
        <w:t xml:space="preserve"> M., 2015, Application of CREAM human reliability model to cargo loading process of LPG tankers, Journal of Loss Prevention in the Process Industries, 34, 39-48.</w:t>
      </w:r>
    </w:p>
    <w:p w14:paraId="5287D7A7" w14:textId="77777777" w:rsidR="00C1395E" w:rsidRPr="008B0F77" w:rsidRDefault="00C1395E" w:rsidP="00CB6939">
      <w:pPr>
        <w:pStyle w:val="CETReferencetext"/>
      </w:pPr>
      <w:proofErr w:type="spellStart"/>
      <w:r w:rsidRPr="008B0F77">
        <w:t>Baldissone</w:t>
      </w:r>
      <w:proofErr w:type="spellEnd"/>
      <w:r w:rsidRPr="008B0F77">
        <w:t xml:space="preserve"> G., </w:t>
      </w:r>
      <w:proofErr w:type="spellStart"/>
      <w:r w:rsidRPr="008B0F77">
        <w:t>Demichela</w:t>
      </w:r>
      <w:proofErr w:type="spellEnd"/>
      <w:r w:rsidRPr="008B0F77">
        <w:t xml:space="preserve"> M., </w:t>
      </w:r>
      <w:proofErr w:type="spellStart"/>
      <w:r w:rsidRPr="008B0F77">
        <w:t>Comberti</w:t>
      </w:r>
      <w:proofErr w:type="spellEnd"/>
      <w:r w:rsidRPr="008B0F77">
        <w:t xml:space="preserve"> L., </w:t>
      </w:r>
      <w:proofErr w:type="spellStart"/>
      <w:r w:rsidRPr="008B0F77">
        <w:t>Murè</w:t>
      </w:r>
      <w:proofErr w:type="spellEnd"/>
      <w:r w:rsidRPr="008B0F77">
        <w:t xml:space="preserve"> S., 2019, Occupational accident-precursors data collection and analysis according to Human Factors Analysis and Classification System (HFACS) taxonomy, Data in Brief, 26, article number 104479.</w:t>
      </w:r>
    </w:p>
    <w:p w14:paraId="40690E04" w14:textId="77777777" w:rsidR="00C1395E" w:rsidRPr="008B0F77" w:rsidRDefault="00C1395E" w:rsidP="00C6704B">
      <w:pPr>
        <w:pStyle w:val="CETReferencetext"/>
      </w:pPr>
      <w:proofErr w:type="spellStart"/>
      <w:r w:rsidRPr="008B0F77">
        <w:t>Baybutt</w:t>
      </w:r>
      <w:proofErr w:type="spellEnd"/>
      <w:r w:rsidRPr="008B0F77">
        <w:t>, P., 2017, Simultaneous Operation (SIMOP) review: an important hazard analysis tool, Process Safety Progress, 36(1), 62-66.</w:t>
      </w:r>
    </w:p>
    <w:p w14:paraId="194B7BF5" w14:textId="77777777" w:rsidR="00C1395E" w:rsidRPr="008B0F77" w:rsidRDefault="00C1395E" w:rsidP="0066064F">
      <w:pPr>
        <w:pStyle w:val="CETReferencetext"/>
      </w:pPr>
      <w:proofErr w:type="spellStart"/>
      <w:r w:rsidRPr="008B0F77">
        <w:t>Bubbico</w:t>
      </w:r>
      <w:proofErr w:type="spellEnd"/>
      <w:r w:rsidRPr="008B0F77">
        <w:t xml:space="preserve"> R., </w:t>
      </w:r>
      <w:proofErr w:type="spellStart"/>
      <w:r w:rsidRPr="008B0F77">
        <w:t>Marchini</w:t>
      </w:r>
      <w:proofErr w:type="spellEnd"/>
      <w:r w:rsidRPr="008B0F77">
        <w:t xml:space="preserve"> M., 2008, Assessment of an explosive LPG release accident: a case study, Journal of Hazardous Materials, 155, 558–565.</w:t>
      </w:r>
    </w:p>
    <w:p w14:paraId="7FDF2AEF" w14:textId="357431C2" w:rsidR="00C1395E" w:rsidRPr="008B0F77" w:rsidRDefault="00C1395E" w:rsidP="004D33D2">
      <w:pPr>
        <w:pStyle w:val="CETReferencetext"/>
      </w:pPr>
      <w:r w:rsidRPr="008B0F77">
        <w:t>Cao W.Y., 2014, Railway transportation of LPG: a risk assessment of LPG in the course of load-and-unload, Advanced Materials Research, 1030-1032, 2078-2081.</w:t>
      </w:r>
    </w:p>
    <w:p w14:paraId="45A5A157" w14:textId="1D6DBAD6" w:rsidR="00DF44F3" w:rsidRPr="008B0F77" w:rsidRDefault="00DF44F3" w:rsidP="004D33D2">
      <w:pPr>
        <w:pStyle w:val="CETReferencetext"/>
      </w:pPr>
      <w:r w:rsidRPr="008B0F77">
        <w:t>Carra S., Monica L., Di Girolamo C., Salerno A., 2022, Accidents and near-misses in the history of a high-risk chemical installation: analysis of the human component, Chemical Engineering Transactions, 91, 133-138.</w:t>
      </w:r>
    </w:p>
    <w:p w14:paraId="2F7F1739" w14:textId="77777777" w:rsidR="00C1395E" w:rsidRPr="008B0F77" w:rsidRDefault="00C1395E" w:rsidP="004D33D2">
      <w:pPr>
        <w:pStyle w:val="CETReferencetext"/>
      </w:pPr>
      <w:r w:rsidRPr="008B0F77">
        <w:t xml:space="preserve">Di </w:t>
      </w:r>
      <w:proofErr w:type="spellStart"/>
      <w:r w:rsidRPr="008B0F77">
        <w:t>Nardo</w:t>
      </w:r>
      <w:proofErr w:type="spellEnd"/>
      <w:r w:rsidRPr="008B0F77">
        <w:t xml:space="preserve"> M., </w:t>
      </w:r>
      <w:proofErr w:type="spellStart"/>
      <w:r w:rsidRPr="008B0F77">
        <w:t>Murino</w:t>
      </w:r>
      <w:proofErr w:type="spellEnd"/>
      <w:r w:rsidRPr="008B0F77">
        <w:t xml:space="preserve"> T., 2021, </w:t>
      </w:r>
      <w:proofErr w:type="gramStart"/>
      <w:r w:rsidRPr="008B0F77">
        <w:t>The</w:t>
      </w:r>
      <w:proofErr w:type="gramEnd"/>
      <w:r w:rsidRPr="008B0F77">
        <w:t xml:space="preserve"> system dynamics in the human reliability analysis through cognitive reliability and error analysis method: a case study of an LPG company, International Review of Civil Engineering, 12(2), 56-68.</w:t>
      </w:r>
    </w:p>
    <w:p w14:paraId="39AABE0C" w14:textId="77777777" w:rsidR="00C1395E" w:rsidRPr="008B0F77" w:rsidRDefault="00C1395E" w:rsidP="006D6DBC">
      <w:pPr>
        <w:pStyle w:val="CETReferencetext"/>
      </w:pPr>
      <w:r w:rsidRPr="008B0F77">
        <w:t xml:space="preserve">Fabiano B., </w:t>
      </w:r>
      <w:proofErr w:type="spellStart"/>
      <w:r w:rsidRPr="008B0F77">
        <w:t>Currò</w:t>
      </w:r>
      <w:proofErr w:type="spellEnd"/>
      <w:r w:rsidRPr="008B0F77">
        <w:t xml:space="preserve"> F., 2012, </w:t>
      </w:r>
      <w:proofErr w:type="gramStart"/>
      <w:r w:rsidRPr="008B0F77">
        <w:t>From</w:t>
      </w:r>
      <w:proofErr w:type="gramEnd"/>
      <w:r w:rsidRPr="008B0F77">
        <w:t xml:space="preserve"> a survey on accidents in the downstream oil industry to the development of a detailed near-miss reporting system, Process Safety and Environmental Protection, 90, 357–367.</w:t>
      </w:r>
    </w:p>
    <w:p w14:paraId="6649B21E" w14:textId="77777777" w:rsidR="00C1395E" w:rsidRPr="008B0F77" w:rsidRDefault="00C1395E" w:rsidP="00E65B91">
      <w:pPr>
        <w:pStyle w:val="CETReferencetext"/>
      </w:pPr>
      <w:proofErr w:type="spellStart"/>
      <w:r w:rsidRPr="008B0F77">
        <w:t>Gallab</w:t>
      </w:r>
      <w:proofErr w:type="spellEnd"/>
      <w:r w:rsidRPr="008B0F77">
        <w:t xml:space="preserve"> M., </w:t>
      </w:r>
      <w:proofErr w:type="spellStart"/>
      <w:r w:rsidRPr="008B0F77">
        <w:t>Bouloiz</w:t>
      </w:r>
      <w:proofErr w:type="spellEnd"/>
      <w:r w:rsidRPr="008B0F77">
        <w:t xml:space="preserve"> H. </w:t>
      </w:r>
      <w:proofErr w:type="spellStart"/>
      <w:r w:rsidRPr="008B0F77">
        <w:t>Tkiouat</w:t>
      </w:r>
      <w:proofErr w:type="spellEnd"/>
      <w:r w:rsidRPr="008B0F77">
        <w:t xml:space="preserve"> M., </w:t>
      </w:r>
      <w:proofErr w:type="spellStart"/>
      <w:r w:rsidRPr="008B0F77">
        <w:t>Garbolino</w:t>
      </w:r>
      <w:proofErr w:type="spellEnd"/>
      <w:r w:rsidRPr="008B0F77">
        <w:t xml:space="preserve"> E., 2017, Conformity checking of LPG transportation trucks by modelling and simulation, MATEC Web of Conferences (IWTSCE 2016), 105, article number 00004.</w:t>
      </w:r>
    </w:p>
    <w:p w14:paraId="344307FC" w14:textId="77777777" w:rsidR="00C1395E" w:rsidRPr="008B0F77" w:rsidRDefault="00C1395E" w:rsidP="00D5186F">
      <w:pPr>
        <w:pStyle w:val="CETReferencetext"/>
      </w:pPr>
      <w:r w:rsidRPr="008B0F77">
        <w:t>INAIL (Ed), 2012, Dangerous goods handling. Loading, unloading, porterage of goods and materials, printed by INAIL typography, Milan, Italy (in Italian).</w:t>
      </w:r>
    </w:p>
    <w:p w14:paraId="0A961548" w14:textId="77777777" w:rsidR="00C1395E" w:rsidRPr="008B0F77" w:rsidRDefault="00C1395E" w:rsidP="00680FEB">
      <w:pPr>
        <w:pStyle w:val="CETReferencetext"/>
      </w:pPr>
      <w:proofErr w:type="spellStart"/>
      <w:r w:rsidRPr="008B0F77">
        <w:t>Pourhejazy</w:t>
      </w:r>
      <w:proofErr w:type="spellEnd"/>
      <w:r w:rsidRPr="008B0F77">
        <w:t xml:space="preserve"> P., Kwon O.K., Lim H., 2019, </w:t>
      </w:r>
      <w:proofErr w:type="gramStart"/>
      <w:r w:rsidRPr="008B0F77">
        <w:t>Integrating</w:t>
      </w:r>
      <w:proofErr w:type="gramEnd"/>
      <w:r w:rsidRPr="008B0F77">
        <w:t xml:space="preserve"> sustainability into the optimization of fuel logistics networks, KSCE Journal of Civil Engineering, 23(3), 1369-1383.</w:t>
      </w:r>
    </w:p>
    <w:p w14:paraId="3ABB309E" w14:textId="77777777" w:rsidR="00C1395E" w:rsidRPr="008B0F77" w:rsidRDefault="00C1395E" w:rsidP="00E81A3F">
      <w:pPr>
        <w:pStyle w:val="CETReferencetext"/>
      </w:pPr>
      <w:proofErr w:type="spellStart"/>
      <w:r w:rsidRPr="008B0F77">
        <w:t>Sheikhalishahi</w:t>
      </w:r>
      <w:proofErr w:type="spellEnd"/>
      <w:r w:rsidRPr="008B0F77">
        <w:t xml:space="preserve"> M., </w:t>
      </w:r>
      <w:proofErr w:type="spellStart"/>
      <w:r w:rsidRPr="008B0F77">
        <w:t>Azadeh</w:t>
      </w:r>
      <w:proofErr w:type="spellEnd"/>
      <w:r w:rsidRPr="008B0F77">
        <w:t xml:space="preserve"> A., </w:t>
      </w:r>
      <w:proofErr w:type="spellStart"/>
      <w:r w:rsidRPr="008B0F77">
        <w:t>Pintelon</w:t>
      </w:r>
      <w:proofErr w:type="spellEnd"/>
      <w:r w:rsidRPr="008B0F77">
        <w:t xml:space="preserve"> L., </w:t>
      </w:r>
      <w:proofErr w:type="spellStart"/>
      <w:r w:rsidRPr="008B0F77">
        <w:t>Chemweno</w:t>
      </w:r>
      <w:proofErr w:type="spellEnd"/>
      <w:r w:rsidRPr="008B0F77">
        <w:t xml:space="preserve"> P., 2017, Human factors effects and analysis in maintenance: a power plant case study, Quality and Reliability Engineering International, 33(4), 895-903.</w:t>
      </w:r>
    </w:p>
    <w:p w14:paraId="3A44DF7C" w14:textId="77777777" w:rsidR="00C1395E" w:rsidRPr="008B0F77" w:rsidRDefault="00C1395E" w:rsidP="00680FEB">
      <w:pPr>
        <w:pStyle w:val="CETReferencetext"/>
      </w:pPr>
      <w:proofErr w:type="spellStart"/>
      <w:r w:rsidRPr="008B0F77">
        <w:t>Silvestri</w:t>
      </w:r>
      <w:proofErr w:type="spellEnd"/>
      <w:r w:rsidRPr="008B0F77">
        <w:t xml:space="preserve"> F., </w:t>
      </w:r>
      <w:proofErr w:type="spellStart"/>
      <w:r w:rsidRPr="008B0F77">
        <w:t>Saccone</w:t>
      </w:r>
      <w:proofErr w:type="spellEnd"/>
      <w:r w:rsidRPr="008B0F77">
        <w:t xml:space="preserve"> M.V., </w:t>
      </w:r>
      <w:proofErr w:type="spellStart"/>
      <w:r w:rsidRPr="008B0F77">
        <w:t>Incorvaia</w:t>
      </w:r>
      <w:proofErr w:type="spellEnd"/>
      <w:r w:rsidRPr="008B0F77">
        <w:t xml:space="preserve"> C.F., 2000, </w:t>
      </w:r>
      <w:proofErr w:type="gramStart"/>
      <w:r w:rsidRPr="008B0F77">
        <w:t>The</w:t>
      </w:r>
      <w:proofErr w:type="gramEnd"/>
      <w:r w:rsidRPr="008B0F77">
        <w:t xml:space="preserve"> risk of release during transfer from mobile tanks: factors related to transport systems, characteristics of the transfer points and human component. Proposals for plant and regulatory interventions, Proceedings of Italian National Conference VGR 2000 (Risk assessment and management in civil and industrial settlements), article number 132, Pisa, Italy (in Italian).</w:t>
      </w:r>
    </w:p>
    <w:p w14:paraId="19C4FC68" w14:textId="71B1077E" w:rsidR="004628D2" w:rsidRDefault="00C1395E" w:rsidP="00D13245">
      <w:pPr>
        <w:pStyle w:val="CETReferencetext"/>
      </w:pPr>
      <w:proofErr w:type="spellStart"/>
      <w:r w:rsidRPr="008B0F77">
        <w:t>Vallerotonda</w:t>
      </w:r>
      <w:proofErr w:type="spellEnd"/>
      <w:r w:rsidRPr="008B0F77">
        <w:t xml:space="preserve"> M.R., Ansaldi S., </w:t>
      </w:r>
      <w:proofErr w:type="spellStart"/>
      <w:r w:rsidRPr="008B0F77">
        <w:t>Pirone</w:t>
      </w:r>
      <w:proofErr w:type="spellEnd"/>
      <w:r w:rsidRPr="008B0F77">
        <w:t xml:space="preserve"> A., Bragatto T., Bragatto P., 2022, Accident triggered by electrical failures in Seveso sites, Chemical Engineering Transactions, 91, 211-216.</w:t>
      </w:r>
    </w:p>
    <w:sectPr w:rsidR="004628D2" w:rsidSect="00EF06D9">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D7FAE" w14:textId="77777777" w:rsidR="00C42B73" w:rsidRDefault="00C42B73" w:rsidP="004F5E36">
      <w:r>
        <w:separator/>
      </w:r>
    </w:p>
  </w:endnote>
  <w:endnote w:type="continuationSeparator" w:id="0">
    <w:p w14:paraId="7E87407A" w14:textId="77777777" w:rsidR="00C42B73" w:rsidRDefault="00C42B73"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A6F0F" w14:textId="77777777" w:rsidR="00894931" w:rsidRDefault="0089493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0AF4E" w14:textId="77777777" w:rsidR="00894931" w:rsidRDefault="0089493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C3D55" w14:textId="77777777" w:rsidR="00894931" w:rsidRDefault="008949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E7D4D" w14:textId="77777777" w:rsidR="00C42B73" w:rsidRDefault="00C42B73" w:rsidP="004F5E36">
      <w:r>
        <w:separator/>
      </w:r>
    </w:p>
  </w:footnote>
  <w:footnote w:type="continuationSeparator" w:id="0">
    <w:p w14:paraId="4DE66B15" w14:textId="77777777" w:rsidR="00C42B73" w:rsidRDefault="00C42B73"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F26DE" w14:textId="77777777" w:rsidR="00894931" w:rsidRDefault="0089493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27DD9" w14:textId="77777777" w:rsidR="00894931" w:rsidRDefault="00894931">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913D9" w14:textId="77777777" w:rsidR="00894931" w:rsidRDefault="0089493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F6D5E7E"/>
    <w:multiLevelType w:val="hybridMultilevel"/>
    <w:tmpl w:val="889089F0"/>
    <w:lvl w:ilvl="0" w:tplc="7C7630B0">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27AD5CCE"/>
    <w:multiLevelType w:val="hybridMultilevel"/>
    <w:tmpl w:val="B934B05A"/>
    <w:lvl w:ilvl="0" w:tplc="020A94D2">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41297C0F"/>
    <w:multiLevelType w:val="hybridMultilevel"/>
    <w:tmpl w:val="3A3EE736"/>
    <w:lvl w:ilvl="0" w:tplc="0410000F">
      <w:start w:val="1"/>
      <w:numFmt w:val="decimal"/>
      <w:lvlText w:val="%1."/>
      <w:lvlJc w:val="left"/>
      <w:pPr>
        <w:ind w:left="360" w:hanging="360"/>
      </w:pPr>
      <w:rPr>
        <w:rFont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1"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BE245ED"/>
    <w:multiLevelType w:val="hybridMultilevel"/>
    <w:tmpl w:val="A4A4C2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62015B5"/>
    <w:multiLevelType w:val="hybridMultilevel"/>
    <w:tmpl w:val="30E080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0"/>
  </w:num>
  <w:num w:numId="13">
    <w:abstractNumId w:val="14"/>
  </w:num>
  <w:num w:numId="14">
    <w:abstractNumId w:val="21"/>
  </w:num>
  <w:num w:numId="15">
    <w:abstractNumId w:val="24"/>
  </w:num>
  <w:num w:numId="16">
    <w:abstractNumId w:val="23"/>
  </w:num>
  <w:num w:numId="17">
    <w:abstractNumId w:val="13"/>
  </w:num>
  <w:num w:numId="18">
    <w:abstractNumId w:val="14"/>
    <w:lvlOverride w:ilvl="0">
      <w:startOverride w:val="1"/>
    </w:lvlOverride>
  </w:num>
  <w:num w:numId="19">
    <w:abstractNumId w:val="19"/>
  </w:num>
  <w:num w:numId="20">
    <w:abstractNumId w:val="18"/>
  </w:num>
  <w:num w:numId="21">
    <w:abstractNumId w:val="16"/>
  </w:num>
  <w:num w:numId="22">
    <w:abstractNumId w:val="15"/>
  </w:num>
  <w:num w:numId="23">
    <w:abstractNumId w:val="11"/>
  </w:num>
  <w:num w:numId="24">
    <w:abstractNumId w:val="11"/>
  </w:num>
  <w:num w:numId="25">
    <w:abstractNumId w:val="11"/>
  </w:num>
  <w:num w:numId="26">
    <w:abstractNumId w:val="11"/>
  </w:num>
  <w:num w:numId="27">
    <w:abstractNumId w:val="22"/>
  </w:num>
  <w:num w:numId="28">
    <w:abstractNumId w:val="12"/>
  </w:num>
  <w:num w:numId="29">
    <w:abstractNumId w:val="10"/>
  </w:num>
  <w:num w:numId="30">
    <w:abstractNumId w:val="11"/>
  </w:num>
  <w:num w:numId="31">
    <w:abstractNumId w:val="11"/>
  </w:num>
  <w:num w:numId="32">
    <w:abstractNumId w:val="17"/>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314E"/>
    <w:rsid w:val="000052FB"/>
    <w:rsid w:val="000101DB"/>
    <w:rsid w:val="000117CB"/>
    <w:rsid w:val="0001188C"/>
    <w:rsid w:val="00014F45"/>
    <w:rsid w:val="00023FFE"/>
    <w:rsid w:val="00030D2D"/>
    <w:rsid w:val="0003148D"/>
    <w:rsid w:val="00031EEC"/>
    <w:rsid w:val="00044B73"/>
    <w:rsid w:val="00045888"/>
    <w:rsid w:val="00047424"/>
    <w:rsid w:val="00047EAF"/>
    <w:rsid w:val="00051566"/>
    <w:rsid w:val="0005288F"/>
    <w:rsid w:val="000562A9"/>
    <w:rsid w:val="000627E4"/>
    <w:rsid w:val="00062A9A"/>
    <w:rsid w:val="00065058"/>
    <w:rsid w:val="00067E53"/>
    <w:rsid w:val="000751FE"/>
    <w:rsid w:val="0007598E"/>
    <w:rsid w:val="00076AE4"/>
    <w:rsid w:val="00080A98"/>
    <w:rsid w:val="000824A2"/>
    <w:rsid w:val="00083937"/>
    <w:rsid w:val="00083D72"/>
    <w:rsid w:val="00084B9E"/>
    <w:rsid w:val="000864F5"/>
    <w:rsid w:val="00086C39"/>
    <w:rsid w:val="00094E5F"/>
    <w:rsid w:val="000A03B2"/>
    <w:rsid w:val="000B1C37"/>
    <w:rsid w:val="000B6C8C"/>
    <w:rsid w:val="000C4EC5"/>
    <w:rsid w:val="000D0268"/>
    <w:rsid w:val="000D34BE"/>
    <w:rsid w:val="000E102F"/>
    <w:rsid w:val="000E15E3"/>
    <w:rsid w:val="000E36F1"/>
    <w:rsid w:val="000E3A73"/>
    <w:rsid w:val="000E414A"/>
    <w:rsid w:val="000F0077"/>
    <w:rsid w:val="000F093C"/>
    <w:rsid w:val="000F787B"/>
    <w:rsid w:val="00100423"/>
    <w:rsid w:val="0010126D"/>
    <w:rsid w:val="001026E5"/>
    <w:rsid w:val="00104F9C"/>
    <w:rsid w:val="0010569A"/>
    <w:rsid w:val="00113CE3"/>
    <w:rsid w:val="0012091F"/>
    <w:rsid w:val="00126BC2"/>
    <w:rsid w:val="001308B6"/>
    <w:rsid w:val="0013121F"/>
    <w:rsid w:val="00131FE6"/>
    <w:rsid w:val="0013263F"/>
    <w:rsid w:val="001331DF"/>
    <w:rsid w:val="00134982"/>
    <w:rsid w:val="00134DE4"/>
    <w:rsid w:val="0014034D"/>
    <w:rsid w:val="00144D16"/>
    <w:rsid w:val="00150E59"/>
    <w:rsid w:val="00152DE3"/>
    <w:rsid w:val="00154B49"/>
    <w:rsid w:val="00164CF9"/>
    <w:rsid w:val="00164DF6"/>
    <w:rsid w:val="001667A6"/>
    <w:rsid w:val="001843EB"/>
    <w:rsid w:val="00184AD6"/>
    <w:rsid w:val="0018793A"/>
    <w:rsid w:val="001929E2"/>
    <w:rsid w:val="001A4AF7"/>
    <w:rsid w:val="001A7D58"/>
    <w:rsid w:val="001A7F52"/>
    <w:rsid w:val="001B0349"/>
    <w:rsid w:val="001B1E93"/>
    <w:rsid w:val="001B436E"/>
    <w:rsid w:val="001B5E51"/>
    <w:rsid w:val="001B65C1"/>
    <w:rsid w:val="001C572C"/>
    <w:rsid w:val="001C684B"/>
    <w:rsid w:val="001C7311"/>
    <w:rsid w:val="001D0CFB"/>
    <w:rsid w:val="001D21AF"/>
    <w:rsid w:val="001D53FC"/>
    <w:rsid w:val="001D5651"/>
    <w:rsid w:val="001F225E"/>
    <w:rsid w:val="001F42A5"/>
    <w:rsid w:val="001F445F"/>
    <w:rsid w:val="001F7B9D"/>
    <w:rsid w:val="00201C93"/>
    <w:rsid w:val="00205AB4"/>
    <w:rsid w:val="0021096D"/>
    <w:rsid w:val="00212D77"/>
    <w:rsid w:val="002221E1"/>
    <w:rsid w:val="002224B4"/>
    <w:rsid w:val="00223E1E"/>
    <w:rsid w:val="00225BC7"/>
    <w:rsid w:val="002343A8"/>
    <w:rsid w:val="0024302B"/>
    <w:rsid w:val="002447EF"/>
    <w:rsid w:val="00250279"/>
    <w:rsid w:val="00251550"/>
    <w:rsid w:val="0025428F"/>
    <w:rsid w:val="0025589B"/>
    <w:rsid w:val="00261659"/>
    <w:rsid w:val="00263A4B"/>
    <w:rsid w:val="00263B05"/>
    <w:rsid w:val="00266E04"/>
    <w:rsid w:val="0026787B"/>
    <w:rsid w:val="0027221A"/>
    <w:rsid w:val="0027226B"/>
    <w:rsid w:val="002730ED"/>
    <w:rsid w:val="00275B61"/>
    <w:rsid w:val="00276B2A"/>
    <w:rsid w:val="00280FAF"/>
    <w:rsid w:val="00282656"/>
    <w:rsid w:val="0028322A"/>
    <w:rsid w:val="00291E7E"/>
    <w:rsid w:val="00296B83"/>
    <w:rsid w:val="002B4015"/>
    <w:rsid w:val="002B4166"/>
    <w:rsid w:val="002B5836"/>
    <w:rsid w:val="002B78CE"/>
    <w:rsid w:val="002C2FB6"/>
    <w:rsid w:val="002D18CE"/>
    <w:rsid w:val="002D76DF"/>
    <w:rsid w:val="002E5FA7"/>
    <w:rsid w:val="002F124A"/>
    <w:rsid w:val="002F249B"/>
    <w:rsid w:val="002F3309"/>
    <w:rsid w:val="003008CE"/>
    <w:rsid w:val="003009B7"/>
    <w:rsid w:val="00300BC9"/>
    <w:rsid w:val="00300E56"/>
    <w:rsid w:val="0030152C"/>
    <w:rsid w:val="0030469C"/>
    <w:rsid w:val="0031732A"/>
    <w:rsid w:val="00320C53"/>
    <w:rsid w:val="00321CA6"/>
    <w:rsid w:val="00323763"/>
    <w:rsid w:val="00323C5F"/>
    <w:rsid w:val="00334C09"/>
    <w:rsid w:val="00361AC9"/>
    <w:rsid w:val="0036383C"/>
    <w:rsid w:val="003723D4"/>
    <w:rsid w:val="00381905"/>
    <w:rsid w:val="0038233C"/>
    <w:rsid w:val="00383B83"/>
    <w:rsid w:val="00384CC8"/>
    <w:rsid w:val="003871FD"/>
    <w:rsid w:val="003A1E30"/>
    <w:rsid w:val="003A2829"/>
    <w:rsid w:val="003A7367"/>
    <w:rsid w:val="003A7D1C"/>
    <w:rsid w:val="003B304B"/>
    <w:rsid w:val="003B3146"/>
    <w:rsid w:val="003B48C3"/>
    <w:rsid w:val="003B6EA8"/>
    <w:rsid w:val="003C3884"/>
    <w:rsid w:val="003D2AE0"/>
    <w:rsid w:val="003E3F92"/>
    <w:rsid w:val="003F015E"/>
    <w:rsid w:val="003F11E9"/>
    <w:rsid w:val="00400414"/>
    <w:rsid w:val="00405D55"/>
    <w:rsid w:val="004062B4"/>
    <w:rsid w:val="0041446B"/>
    <w:rsid w:val="0041674B"/>
    <w:rsid w:val="004234BD"/>
    <w:rsid w:val="00423E5B"/>
    <w:rsid w:val="0044071E"/>
    <w:rsid w:val="0044329C"/>
    <w:rsid w:val="00453E24"/>
    <w:rsid w:val="00457456"/>
    <w:rsid w:val="004577FE"/>
    <w:rsid w:val="00457B9C"/>
    <w:rsid w:val="0046078C"/>
    <w:rsid w:val="0046164A"/>
    <w:rsid w:val="00461E8F"/>
    <w:rsid w:val="004628D2"/>
    <w:rsid w:val="00462AB0"/>
    <w:rsid w:val="00462DCD"/>
    <w:rsid w:val="00463717"/>
    <w:rsid w:val="004648AD"/>
    <w:rsid w:val="00466D2A"/>
    <w:rsid w:val="004703A9"/>
    <w:rsid w:val="00470D03"/>
    <w:rsid w:val="004760DE"/>
    <w:rsid w:val="004763D7"/>
    <w:rsid w:val="00481796"/>
    <w:rsid w:val="00481B89"/>
    <w:rsid w:val="0048508F"/>
    <w:rsid w:val="004877F6"/>
    <w:rsid w:val="00491861"/>
    <w:rsid w:val="004942D4"/>
    <w:rsid w:val="0049463F"/>
    <w:rsid w:val="00494738"/>
    <w:rsid w:val="004A004E"/>
    <w:rsid w:val="004A24CF"/>
    <w:rsid w:val="004A643B"/>
    <w:rsid w:val="004B0911"/>
    <w:rsid w:val="004B6F9E"/>
    <w:rsid w:val="004C0604"/>
    <w:rsid w:val="004C3D1D"/>
    <w:rsid w:val="004C3D84"/>
    <w:rsid w:val="004C6B63"/>
    <w:rsid w:val="004C7913"/>
    <w:rsid w:val="004D33D2"/>
    <w:rsid w:val="004E0273"/>
    <w:rsid w:val="004E13C0"/>
    <w:rsid w:val="004E3D3C"/>
    <w:rsid w:val="004E4948"/>
    <w:rsid w:val="004E4DD6"/>
    <w:rsid w:val="004F5E36"/>
    <w:rsid w:val="005055A8"/>
    <w:rsid w:val="00505835"/>
    <w:rsid w:val="00507B47"/>
    <w:rsid w:val="00507BEF"/>
    <w:rsid w:val="00507CC9"/>
    <w:rsid w:val="005119A5"/>
    <w:rsid w:val="00521D39"/>
    <w:rsid w:val="005278B7"/>
    <w:rsid w:val="00532016"/>
    <w:rsid w:val="005346C8"/>
    <w:rsid w:val="0053569B"/>
    <w:rsid w:val="00543E7D"/>
    <w:rsid w:val="00545861"/>
    <w:rsid w:val="00547A68"/>
    <w:rsid w:val="005531C9"/>
    <w:rsid w:val="00560537"/>
    <w:rsid w:val="0056104F"/>
    <w:rsid w:val="00567624"/>
    <w:rsid w:val="00567DE1"/>
    <w:rsid w:val="00570C43"/>
    <w:rsid w:val="00593CEA"/>
    <w:rsid w:val="005A1B8F"/>
    <w:rsid w:val="005A6022"/>
    <w:rsid w:val="005B2110"/>
    <w:rsid w:val="005B4E10"/>
    <w:rsid w:val="005B544F"/>
    <w:rsid w:val="005B61E6"/>
    <w:rsid w:val="005C0C9E"/>
    <w:rsid w:val="005C1DDB"/>
    <w:rsid w:val="005C77E1"/>
    <w:rsid w:val="005D668A"/>
    <w:rsid w:val="005D6A2F"/>
    <w:rsid w:val="005E1A82"/>
    <w:rsid w:val="005E794C"/>
    <w:rsid w:val="005F0A28"/>
    <w:rsid w:val="005F0E5E"/>
    <w:rsid w:val="005F5F94"/>
    <w:rsid w:val="00600535"/>
    <w:rsid w:val="00606D4E"/>
    <w:rsid w:val="00610CD6"/>
    <w:rsid w:val="00611092"/>
    <w:rsid w:val="00620235"/>
    <w:rsid w:val="00620DEE"/>
    <w:rsid w:val="00621F92"/>
    <w:rsid w:val="0062280A"/>
    <w:rsid w:val="00624E74"/>
    <w:rsid w:val="00625639"/>
    <w:rsid w:val="00631B33"/>
    <w:rsid w:val="0064184D"/>
    <w:rsid w:val="006422CC"/>
    <w:rsid w:val="0064548B"/>
    <w:rsid w:val="00650921"/>
    <w:rsid w:val="006512C9"/>
    <w:rsid w:val="00653F4E"/>
    <w:rsid w:val="006567FC"/>
    <w:rsid w:val="00656856"/>
    <w:rsid w:val="006575F3"/>
    <w:rsid w:val="0066064F"/>
    <w:rsid w:val="00660E3E"/>
    <w:rsid w:val="00661CF9"/>
    <w:rsid w:val="00662E74"/>
    <w:rsid w:val="00664887"/>
    <w:rsid w:val="0067046D"/>
    <w:rsid w:val="00680C23"/>
    <w:rsid w:val="00680FEB"/>
    <w:rsid w:val="00693766"/>
    <w:rsid w:val="006A1279"/>
    <w:rsid w:val="006A241A"/>
    <w:rsid w:val="006A3281"/>
    <w:rsid w:val="006A34E0"/>
    <w:rsid w:val="006A799B"/>
    <w:rsid w:val="006B4888"/>
    <w:rsid w:val="006B581A"/>
    <w:rsid w:val="006C2E45"/>
    <w:rsid w:val="006C359C"/>
    <w:rsid w:val="006C5579"/>
    <w:rsid w:val="006C6552"/>
    <w:rsid w:val="006C7BD2"/>
    <w:rsid w:val="006D0DA1"/>
    <w:rsid w:val="006D294F"/>
    <w:rsid w:val="006D6DBC"/>
    <w:rsid w:val="006D6E8B"/>
    <w:rsid w:val="006E737D"/>
    <w:rsid w:val="007105DB"/>
    <w:rsid w:val="00713973"/>
    <w:rsid w:val="00720A24"/>
    <w:rsid w:val="00732386"/>
    <w:rsid w:val="00732A5A"/>
    <w:rsid w:val="0073514D"/>
    <w:rsid w:val="0073587D"/>
    <w:rsid w:val="00736462"/>
    <w:rsid w:val="00736614"/>
    <w:rsid w:val="00736B8A"/>
    <w:rsid w:val="007447F3"/>
    <w:rsid w:val="0075499F"/>
    <w:rsid w:val="007661C8"/>
    <w:rsid w:val="0077098D"/>
    <w:rsid w:val="00772BE4"/>
    <w:rsid w:val="007731CD"/>
    <w:rsid w:val="00782A4B"/>
    <w:rsid w:val="00785375"/>
    <w:rsid w:val="00791DC3"/>
    <w:rsid w:val="007931FA"/>
    <w:rsid w:val="00796F17"/>
    <w:rsid w:val="00797117"/>
    <w:rsid w:val="007A4861"/>
    <w:rsid w:val="007A569A"/>
    <w:rsid w:val="007A5A12"/>
    <w:rsid w:val="007A7BBA"/>
    <w:rsid w:val="007B0C50"/>
    <w:rsid w:val="007B48F9"/>
    <w:rsid w:val="007B629C"/>
    <w:rsid w:val="007C1A43"/>
    <w:rsid w:val="007C2D2E"/>
    <w:rsid w:val="007C3556"/>
    <w:rsid w:val="007D0951"/>
    <w:rsid w:val="007E292C"/>
    <w:rsid w:val="007E4D27"/>
    <w:rsid w:val="007F16BE"/>
    <w:rsid w:val="007F75C4"/>
    <w:rsid w:val="0080013E"/>
    <w:rsid w:val="008029A4"/>
    <w:rsid w:val="0080481E"/>
    <w:rsid w:val="00813288"/>
    <w:rsid w:val="008168FC"/>
    <w:rsid w:val="008260EC"/>
    <w:rsid w:val="00830996"/>
    <w:rsid w:val="008345F1"/>
    <w:rsid w:val="008364EE"/>
    <w:rsid w:val="00850528"/>
    <w:rsid w:val="0085055B"/>
    <w:rsid w:val="00851465"/>
    <w:rsid w:val="00853519"/>
    <w:rsid w:val="008550D3"/>
    <w:rsid w:val="00857CC4"/>
    <w:rsid w:val="00865B07"/>
    <w:rsid w:val="008667EA"/>
    <w:rsid w:val="0087637F"/>
    <w:rsid w:val="00877A6C"/>
    <w:rsid w:val="008847A6"/>
    <w:rsid w:val="00892AD5"/>
    <w:rsid w:val="00894931"/>
    <w:rsid w:val="008A1512"/>
    <w:rsid w:val="008B0F77"/>
    <w:rsid w:val="008C1306"/>
    <w:rsid w:val="008D32B9"/>
    <w:rsid w:val="008D38CE"/>
    <w:rsid w:val="008D433B"/>
    <w:rsid w:val="008D4A16"/>
    <w:rsid w:val="008E566E"/>
    <w:rsid w:val="0090161A"/>
    <w:rsid w:val="00901EB6"/>
    <w:rsid w:val="009034B7"/>
    <w:rsid w:val="00904C62"/>
    <w:rsid w:val="00907DCC"/>
    <w:rsid w:val="00916836"/>
    <w:rsid w:val="00922BA8"/>
    <w:rsid w:val="00924DAC"/>
    <w:rsid w:val="009250C1"/>
    <w:rsid w:val="00927058"/>
    <w:rsid w:val="00935F8E"/>
    <w:rsid w:val="00937D92"/>
    <w:rsid w:val="00942750"/>
    <w:rsid w:val="009450CE"/>
    <w:rsid w:val="00945980"/>
    <w:rsid w:val="009459BB"/>
    <w:rsid w:val="00946FC1"/>
    <w:rsid w:val="00947179"/>
    <w:rsid w:val="00950AC6"/>
    <w:rsid w:val="0095164B"/>
    <w:rsid w:val="0095282D"/>
    <w:rsid w:val="00954090"/>
    <w:rsid w:val="009573E7"/>
    <w:rsid w:val="00957FAD"/>
    <w:rsid w:val="00963E05"/>
    <w:rsid w:val="00964A45"/>
    <w:rsid w:val="0096645F"/>
    <w:rsid w:val="00967843"/>
    <w:rsid w:val="00967D54"/>
    <w:rsid w:val="00971028"/>
    <w:rsid w:val="00973881"/>
    <w:rsid w:val="00990B6E"/>
    <w:rsid w:val="00993B84"/>
    <w:rsid w:val="00996483"/>
    <w:rsid w:val="00996F5A"/>
    <w:rsid w:val="0099753D"/>
    <w:rsid w:val="009A39F7"/>
    <w:rsid w:val="009B041A"/>
    <w:rsid w:val="009B3620"/>
    <w:rsid w:val="009B7EC6"/>
    <w:rsid w:val="009C37C3"/>
    <w:rsid w:val="009C7C86"/>
    <w:rsid w:val="009D2FF7"/>
    <w:rsid w:val="009E7884"/>
    <w:rsid w:val="009E788A"/>
    <w:rsid w:val="009F0E08"/>
    <w:rsid w:val="009F1339"/>
    <w:rsid w:val="00A028D3"/>
    <w:rsid w:val="00A03511"/>
    <w:rsid w:val="00A0570B"/>
    <w:rsid w:val="00A06269"/>
    <w:rsid w:val="00A13257"/>
    <w:rsid w:val="00A1763D"/>
    <w:rsid w:val="00A17CEC"/>
    <w:rsid w:val="00A27EF0"/>
    <w:rsid w:val="00A34CD4"/>
    <w:rsid w:val="00A42361"/>
    <w:rsid w:val="00A4353C"/>
    <w:rsid w:val="00A45079"/>
    <w:rsid w:val="00A50B20"/>
    <w:rsid w:val="00A51390"/>
    <w:rsid w:val="00A52109"/>
    <w:rsid w:val="00A53A22"/>
    <w:rsid w:val="00A56897"/>
    <w:rsid w:val="00A60D13"/>
    <w:rsid w:val="00A7223D"/>
    <w:rsid w:val="00A72745"/>
    <w:rsid w:val="00A76EFC"/>
    <w:rsid w:val="00A87081"/>
    <w:rsid w:val="00A87D50"/>
    <w:rsid w:val="00A91010"/>
    <w:rsid w:val="00A97F29"/>
    <w:rsid w:val="00AA2263"/>
    <w:rsid w:val="00AA58FA"/>
    <w:rsid w:val="00AA702E"/>
    <w:rsid w:val="00AA7D26"/>
    <w:rsid w:val="00AB0964"/>
    <w:rsid w:val="00AB5011"/>
    <w:rsid w:val="00AC1278"/>
    <w:rsid w:val="00AC58E3"/>
    <w:rsid w:val="00AC7368"/>
    <w:rsid w:val="00AD16B9"/>
    <w:rsid w:val="00AE2DA9"/>
    <w:rsid w:val="00AE377D"/>
    <w:rsid w:val="00AE7542"/>
    <w:rsid w:val="00AF0EBA"/>
    <w:rsid w:val="00AF3F43"/>
    <w:rsid w:val="00AF6169"/>
    <w:rsid w:val="00AF7596"/>
    <w:rsid w:val="00AF7DDA"/>
    <w:rsid w:val="00B02C8A"/>
    <w:rsid w:val="00B03673"/>
    <w:rsid w:val="00B06550"/>
    <w:rsid w:val="00B17FBD"/>
    <w:rsid w:val="00B202E9"/>
    <w:rsid w:val="00B315A6"/>
    <w:rsid w:val="00B31813"/>
    <w:rsid w:val="00B33365"/>
    <w:rsid w:val="00B3355B"/>
    <w:rsid w:val="00B41DBE"/>
    <w:rsid w:val="00B57B36"/>
    <w:rsid w:val="00B57E6F"/>
    <w:rsid w:val="00B61E66"/>
    <w:rsid w:val="00B62C59"/>
    <w:rsid w:val="00B67F32"/>
    <w:rsid w:val="00B7402F"/>
    <w:rsid w:val="00B8686D"/>
    <w:rsid w:val="00B877D7"/>
    <w:rsid w:val="00B9187C"/>
    <w:rsid w:val="00B93F69"/>
    <w:rsid w:val="00B93FD4"/>
    <w:rsid w:val="00BA0A00"/>
    <w:rsid w:val="00BA15CE"/>
    <w:rsid w:val="00BB1DDC"/>
    <w:rsid w:val="00BB37A5"/>
    <w:rsid w:val="00BC30C9"/>
    <w:rsid w:val="00BC5127"/>
    <w:rsid w:val="00BD077D"/>
    <w:rsid w:val="00BE2C70"/>
    <w:rsid w:val="00BE2D72"/>
    <w:rsid w:val="00BE3E58"/>
    <w:rsid w:val="00BE56D5"/>
    <w:rsid w:val="00BE5B32"/>
    <w:rsid w:val="00BF24B2"/>
    <w:rsid w:val="00BF3EEC"/>
    <w:rsid w:val="00C01616"/>
    <w:rsid w:val="00C0162B"/>
    <w:rsid w:val="00C02541"/>
    <w:rsid w:val="00C068ED"/>
    <w:rsid w:val="00C129AE"/>
    <w:rsid w:val="00C1395E"/>
    <w:rsid w:val="00C22E0C"/>
    <w:rsid w:val="00C23FC4"/>
    <w:rsid w:val="00C24732"/>
    <w:rsid w:val="00C25359"/>
    <w:rsid w:val="00C31BB2"/>
    <w:rsid w:val="00C345B1"/>
    <w:rsid w:val="00C40142"/>
    <w:rsid w:val="00C41425"/>
    <w:rsid w:val="00C42B73"/>
    <w:rsid w:val="00C43EA8"/>
    <w:rsid w:val="00C46070"/>
    <w:rsid w:val="00C50603"/>
    <w:rsid w:val="00C52C3C"/>
    <w:rsid w:val="00C55442"/>
    <w:rsid w:val="00C57182"/>
    <w:rsid w:val="00C57863"/>
    <w:rsid w:val="00C640AF"/>
    <w:rsid w:val="00C64E73"/>
    <w:rsid w:val="00C655FD"/>
    <w:rsid w:val="00C6704B"/>
    <w:rsid w:val="00C75407"/>
    <w:rsid w:val="00C80160"/>
    <w:rsid w:val="00C80480"/>
    <w:rsid w:val="00C8655C"/>
    <w:rsid w:val="00C870A8"/>
    <w:rsid w:val="00C91724"/>
    <w:rsid w:val="00C921CD"/>
    <w:rsid w:val="00C9427D"/>
    <w:rsid w:val="00C94434"/>
    <w:rsid w:val="00C94858"/>
    <w:rsid w:val="00C96DD7"/>
    <w:rsid w:val="00CA0D75"/>
    <w:rsid w:val="00CA1C95"/>
    <w:rsid w:val="00CA5A9C"/>
    <w:rsid w:val="00CB6939"/>
    <w:rsid w:val="00CC4C20"/>
    <w:rsid w:val="00CD211A"/>
    <w:rsid w:val="00CD3517"/>
    <w:rsid w:val="00CD3624"/>
    <w:rsid w:val="00CD5FE2"/>
    <w:rsid w:val="00CE13EF"/>
    <w:rsid w:val="00CE5245"/>
    <w:rsid w:val="00CE7C68"/>
    <w:rsid w:val="00CF496F"/>
    <w:rsid w:val="00CF7235"/>
    <w:rsid w:val="00D02B4C"/>
    <w:rsid w:val="00D03493"/>
    <w:rsid w:val="00D040C4"/>
    <w:rsid w:val="00D13245"/>
    <w:rsid w:val="00D150E0"/>
    <w:rsid w:val="00D20AD1"/>
    <w:rsid w:val="00D23C80"/>
    <w:rsid w:val="00D30B99"/>
    <w:rsid w:val="00D44CF4"/>
    <w:rsid w:val="00D46B7E"/>
    <w:rsid w:val="00D5186F"/>
    <w:rsid w:val="00D56563"/>
    <w:rsid w:val="00D57C84"/>
    <w:rsid w:val="00D6057D"/>
    <w:rsid w:val="00D71186"/>
    <w:rsid w:val="00D71640"/>
    <w:rsid w:val="00D74BC7"/>
    <w:rsid w:val="00D836C5"/>
    <w:rsid w:val="00D84576"/>
    <w:rsid w:val="00D867C9"/>
    <w:rsid w:val="00DA1399"/>
    <w:rsid w:val="00DA24C6"/>
    <w:rsid w:val="00DA4C55"/>
    <w:rsid w:val="00DA4D7B"/>
    <w:rsid w:val="00DB17C1"/>
    <w:rsid w:val="00DB6B21"/>
    <w:rsid w:val="00DC1196"/>
    <w:rsid w:val="00DD271C"/>
    <w:rsid w:val="00DD5D7A"/>
    <w:rsid w:val="00DE1431"/>
    <w:rsid w:val="00DE264A"/>
    <w:rsid w:val="00DE33A8"/>
    <w:rsid w:val="00DE4254"/>
    <w:rsid w:val="00DF44F3"/>
    <w:rsid w:val="00DF5072"/>
    <w:rsid w:val="00E02D18"/>
    <w:rsid w:val="00E041E7"/>
    <w:rsid w:val="00E05AC4"/>
    <w:rsid w:val="00E11A56"/>
    <w:rsid w:val="00E13835"/>
    <w:rsid w:val="00E23CA1"/>
    <w:rsid w:val="00E409A8"/>
    <w:rsid w:val="00E40A48"/>
    <w:rsid w:val="00E44510"/>
    <w:rsid w:val="00E50C12"/>
    <w:rsid w:val="00E56370"/>
    <w:rsid w:val="00E57613"/>
    <w:rsid w:val="00E57BAE"/>
    <w:rsid w:val="00E604CA"/>
    <w:rsid w:val="00E63CD9"/>
    <w:rsid w:val="00E65B91"/>
    <w:rsid w:val="00E711F6"/>
    <w:rsid w:val="00E714F2"/>
    <w:rsid w:val="00E7209D"/>
    <w:rsid w:val="00E72EAD"/>
    <w:rsid w:val="00E77223"/>
    <w:rsid w:val="00E81A3F"/>
    <w:rsid w:val="00E82D65"/>
    <w:rsid w:val="00E8528B"/>
    <w:rsid w:val="00E85B94"/>
    <w:rsid w:val="00E86270"/>
    <w:rsid w:val="00E87828"/>
    <w:rsid w:val="00E978D0"/>
    <w:rsid w:val="00E97937"/>
    <w:rsid w:val="00EA4613"/>
    <w:rsid w:val="00EA7F91"/>
    <w:rsid w:val="00EB1523"/>
    <w:rsid w:val="00EB2C35"/>
    <w:rsid w:val="00EC0E49"/>
    <w:rsid w:val="00EC101F"/>
    <w:rsid w:val="00EC1D9F"/>
    <w:rsid w:val="00EC528F"/>
    <w:rsid w:val="00ED300A"/>
    <w:rsid w:val="00EE0131"/>
    <w:rsid w:val="00EE17B0"/>
    <w:rsid w:val="00EE3E4A"/>
    <w:rsid w:val="00EE67A6"/>
    <w:rsid w:val="00EF05D8"/>
    <w:rsid w:val="00EF06D9"/>
    <w:rsid w:val="00EF0C26"/>
    <w:rsid w:val="00EF6A06"/>
    <w:rsid w:val="00F016FB"/>
    <w:rsid w:val="00F029CD"/>
    <w:rsid w:val="00F0348B"/>
    <w:rsid w:val="00F224F8"/>
    <w:rsid w:val="00F3049E"/>
    <w:rsid w:val="00F30C64"/>
    <w:rsid w:val="00F32BA2"/>
    <w:rsid w:val="00F32CDB"/>
    <w:rsid w:val="00F356FD"/>
    <w:rsid w:val="00F429D1"/>
    <w:rsid w:val="00F455E9"/>
    <w:rsid w:val="00F50C33"/>
    <w:rsid w:val="00F52AB9"/>
    <w:rsid w:val="00F54E83"/>
    <w:rsid w:val="00F565FE"/>
    <w:rsid w:val="00F63A70"/>
    <w:rsid w:val="00F63D8C"/>
    <w:rsid w:val="00F63EBA"/>
    <w:rsid w:val="00F66C73"/>
    <w:rsid w:val="00F7534E"/>
    <w:rsid w:val="00F8191E"/>
    <w:rsid w:val="00F81A2B"/>
    <w:rsid w:val="00F82A5C"/>
    <w:rsid w:val="00F93EDF"/>
    <w:rsid w:val="00FA1802"/>
    <w:rsid w:val="00FA21D0"/>
    <w:rsid w:val="00FA5F5F"/>
    <w:rsid w:val="00FA64C5"/>
    <w:rsid w:val="00FA7FF2"/>
    <w:rsid w:val="00FB3E15"/>
    <w:rsid w:val="00FB67CE"/>
    <w:rsid w:val="00FB730C"/>
    <w:rsid w:val="00FC2695"/>
    <w:rsid w:val="00FC3E03"/>
    <w:rsid w:val="00FC3FC1"/>
    <w:rsid w:val="00FC5A17"/>
    <w:rsid w:val="00FD1DC4"/>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efd62b7-050b-494d-ba5d-69d9bf463a0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32E386ED325CE458C4FCF0A51638F47" ma:contentTypeVersion="15" ma:contentTypeDescription="Creare un nuovo documento." ma:contentTypeScope="" ma:versionID="e823e73c8a7a926dd55b0d1606059624">
  <xsd:schema xmlns:xsd="http://www.w3.org/2001/XMLSchema" xmlns:xs="http://www.w3.org/2001/XMLSchema" xmlns:p="http://schemas.microsoft.com/office/2006/metadata/properties" xmlns:ns3="1efd62b7-050b-494d-ba5d-69d9bf463a0e" xmlns:ns4="4886ccbd-943c-4b86-aaad-6bc7631bd2c6" targetNamespace="http://schemas.microsoft.com/office/2006/metadata/properties" ma:root="true" ma:fieldsID="b436454002df0a7465c438fd9a3e11dd" ns3:_="" ns4:_="">
    <xsd:import namespace="1efd62b7-050b-494d-ba5d-69d9bf463a0e"/>
    <xsd:import namespace="4886ccbd-943c-4b86-aaad-6bc7631bd2c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d62b7-050b-494d-ba5d-69d9bf463a0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86ccbd-943c-4b86-aaad-6bc7631bd2c6" elementFormDefault="qualified">
    <xsd:import namespace="http://schemas.microsoft.com/office/2006/documentManagement/types"/>
    <xsd:import namespace="http://schemas.microsoft.com/office/infopath/2007/PartnerControls"/>
    <xsd:element name="SharedWithUsers" ma:index="2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Condiviso con dettagli" ma:internalName="SharedWithDetails" ma:readOnly="true">
      <xsd:simpleType>
        <xsd:restriction base="dms:Note">
          <xsd:maxLength value="255"/>
        </xsd:restriction>
      </xsd:simpleType>
    </xsd:element>
    <xsd:element name="SharingHintHash" ma:index="2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F6525-0D56-45C8-B299-9F379DDA286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efd62b7-050b-494d-ba5d-69d9bf463a0e"/>
    <ds:schemaRef ds:uri="4886ccbd-943c-4b86-aaad-6bc7631bd2c6"/>
    <ds:schemaRef ds:uri="http://www.w3.org/XML/1998/namespace"/>
    <ds:schemaRef ds:uri="http://purl.org/dc/dcmitype/"/>
  </ds:schemaRefs>
</ds:datastoreItem>
</file>

<file path=customXml/itemProps2.xml><?xml version="1.0" encoding="utf-8"?>
<ds:datastoreItem xmlns:ds="http://schemas.openxmlformats.org/officeDocument/2006/customXml" ds:itemID="{E60B2EA4-0CD2-4901-8E02-421086038803}">
  <ds:schemaRefs>
    <ds:schemaRef ds:uri="http://schemas.microsoft.com/sharepoint/v3/contenttype/forms"/>
  </ds:schemaRefs>
</ds:datastoreItem>
</file>

<file path=customXml/itemProps3.xml><?xml version="1.0" encoding="utf-8"?>
<ds:datastoreItem xmlns:ds="http://schemas.openxmlformats.org/officeDocument/2006/customXml" ds:itemID="{61ED8F92-3B99-492A-BC32-810792AE7E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d62b7-050b-494d-ba5d-69d9bf463a0e"/>
    <ds:schemaRef ds:uri="4886ccbd-943c-4b86-aaad-6bc7631bd2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8F69EF-496F-4ECF-9D9B-628AB2D76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3844</Words>
  <Characters>21914</Characters>
  <Application>Microsoft Office Word</Application>
  <DocSecurity>0</DocSecurity>
  <Lines>182</Lines>
  <Paragraphs>51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CARRA SILVIA</cp:lastModifiedBy>
  <cp:revision>3</cp:revision>
  <cp:lastPrinted>2015-05-12T18:31:00Z</cp:lastPrinted>
  <dcterms:created xsi:type="dcterms:W3CDTF">2023-04-15T09:35:00Z</dcterms:created>
  <dcterms:modified xsi:type="dcterms:W3CDTF">2023-04-15T09:36:00Z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ContentTypeId">
    <vt:lpwstr>0x010100932E386ED325CE458C4FCF0A51638F47</vt:lpwstr>
  </property>
</Properties>
</file>