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93653" w14:paraId="2A131A54" w14:textId="77777777" w:rsidTr="00E86F92">
        <w:trPr>
          <w:trHeight w:val="852"/>
          <w:jc w:val="center"/>
        </w:trPr>
        <w:tc>
          <w:tcPr>
            <w:tcW w:w="6940" w:type="dxa"/>
            <w:vMerge w:val="restart"/>
            <w:tcBorders>
              <w:right w:val="single" w:sz="4" w:space="0" w:color="auto"/>
            </w:tcBorders>
          </w:tcPr>
          <w:p w14:paraId="38C3D2BA" w14:textId="77777777" w:rsidR="000A03B2" w:rsidRPr="00A93653" w:rsidRDefault="000A03B2" w:rsidP="00DE264A">
            <w:pPr>
              <w:tabs>
                <w:tab w:val="left" w:pos="-108"/>
              </w:tabs>
              <w:ind w:left="-108"/>
              <w:jc w:val="left"/>
              <w:rPr>
                <w:rFonts w:cs="Arial"/>
                <w:b/>
                <w:bCs/>
                <w:i/>
                <w:iCs/>
                <w:color w:val="000066"/>
                <w:sz w:val="12"/>
                <w:szCs w:val="12"/>
                <w:lang w:eastAsia="it-IT"/>
              </w:rPr>
            </w:pPr>
            <w:bookmarkStart w:id="0" w:name="_Hlk127315452"/>
            <w:bookmarkEnd w:id="0"/>
            <w:r w:rsidRPr="00A93653">
              <w:rPr>
                <w:rFonts w:ascii="AdvP6960" w:hAnsi="AdvP6960" w:cs="AdvP6960"/>
                <w:noProof/>
                <w:color w:val="241F20"/>
                <w:szCs w:val="18"/>
                <w:lang w:val="es-MX" w:eastAsia="es-MX"/>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93653">
              <w:rPr>
                <w:rFonts w:ascii="AdvP6960" w:hAnsi="AdvP6960" w:cs="AdvP6960"/>
                <w:color w:val="241F20"/>
                <w:szCs w:val="18"/>
                <w:lang w:eastAsia="it-IT"/>
              </w:rPr>
              <w:t xml:space="preserve"> </w:t>
            </w:r>
            <w:r w:rsidRPr="00A93653">
              <w:rPr>
                <w:rFonts w:cs="Arial"/>
                <w:b/>
                <w:bCs/>
                <w:i/>
                <w:iCs/>
                <w:color w:val="000066"/>
                <w:sz w:val="24"/>
                <w:szCs w:val="24"/>
                <w:lang w:eastAsia="it-IT"/>
              </w:rPr>
              <w:t>CHEMICAL ENGINEERING</w:t>
            </w:r>
            <w:r w:rsidRPr="00A93653">
              <w:rPr>
                <w:rFonts w:cs="Arial"/>
                <w:b/>
                <w:bCs/>
                <w:i/>
                <w:iCs/>
                <w:color w:val="0033FF"/>
                <w:sz w:val="24"/>
                <w:szCs w:val="24"/>
                <w:lang w:eastAsia="it-IT"/>
              </w:rPr>
              <w:t xml:space="preserve"> </w:t>
            </w:r>
            <w:r w:rsidRPr="00A93653">
              <w:rPr>
                <w:rFonts w:cs="Arial"/>
                <w:b/>
                <w:bCs/>
                <w:i/>
                <w:iCs/>
                <w:color w:val="666666"/>
                <w:sz w:val="24"/>
                <w:szCs w:val="24"/>
                <w:lang w:eastAsia="it-IT"/>
              </w:rPr>
              <w:t>TRANSACTIONS</w:t>
            </w:r>
            <w:r w:rsidRPr="00A93653">
              <w:rPr>
                <w:color w:val="333333"/>
                <w:sz w:val="24"/>
                <w:szCs w:val="24"/>
                <w:lang w:eastAsia="it-IT"/>
              </w:rPr>
              <w:t xml:space="preserve"> </w:t>
            </w:r>
            <w:r w:rsidRPr="00A93653">
              <w:rPr>
                <w:rFonts w:cs="Arial"/>
                <w:b/>
                <w:bCs/>
                <w:i/>
                <w:iCs/>
                <w:color w:val="000066"/>
                <w:sz w:val="27"/>
                <w:szCs w:val="27"/>
                <w:lang w:eastAsia="it-IT"/>
              </w:rPr>
              <w:br/>
            </w:r>
          </w:p>
          <w:p w14:paraId="4B780582" w14:textId="530285EB" w:rsidR="000A03B2" w:rsidRPr="00A93653" w:rsidRDefault="00A76EFC" w:rsidP="001D21AF">
            <w:pPr>
              <w:tabs>
                <w:tab w:val="left" w:pos="-108"/>
              </w:tabs>
              <w:ind w:left="-108"/>
              <w:rPr>
                <w:rFonts w:cs="Arial"/>
                <w:b/>
                <w:bCs/>
                <w:i/>
                <w:iCs/>
                <w:color w:val="000066"/>
                <w:sz w:val="22"/>
                <w:szCs w:val="22"/>
                <w:lang w:eastAsia="it-IT"/>
              </w:rPr>
            </w:pPr>
            <w:r w:rsidRPr="00A93653">
              <w:rPr>
                <w:rFonts w:cs="Arial"/>
                <w:b/>
                <w:bCs/>
                <w:i/>
                <w:iCs/>
                <w:color w:val="000066"/>
                <w:sz w:val="22"/>
                <w:szCs w:val="22"/>
                <w:lang w:eastAsia="it-IT"/>
              </w:rPr>
              <w:t xml:space="preserve">VOL. </w:t>
            </w:r>
            <w:r w:rsidR="0030152C" w:rsidRPr="00A93653">
              <w:rPr>
                <w:rFonts w:cs="Arial"/>
                <w:b/>
                <w:bCs/>
                <w:i/>
                <w:iCs/>
                <w:color w:val="000066"/>
                <w:sz w:val="22"/>
                <w:szCs w:val="22"/>
                <w:lang w:eastAsia="it-IT"/>
              </w:rPr>
              <w:t xml:space="preserve">   </w:t>
            </w:r>
            <w:r w:rsidR="007B48F9" w:rsidRPr="00A93653">
              <w:rPr>
                <w:rFonts w:cs="Arial"/>
                <w:b/>
                <w:bCs/>
                <w:i/>
                <w:iCs/>
                <w:color w:val="000066"/>
                <w:sz w:val="22"/>
                <w:szCs w:val="22"/>
                <w:lang w:eastAsia="it-IT"/>
              </w:rPr>
              <w:t>,</w:t>
            </w:r>
            <w:r w:rsidR="00FA5F5F" w:rsidRPr="00A93653">
              <w:rPr>
                <w:rFonts w:cs="Arial"/>
                <w:b/>
                <w:bCs/>
                <w:i/>
                <w:iCs/>
                <w:color w:val="000066"/>
                <w:sz w:val="22"/>
                <w:szCs w:val="22"/>
                <w:lang w:eastAsia="it-IT"/>
              </w:rPr>
              <w:t xml:space="preserve"> </w:t>
            </w:r>
            <w:r w:rsidR="0030152C" w:rsidRPr="00A93653">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A93653" w:rsidRDefault="000A03B2" w:rsidP="00CD5FE2">
            <w:pPr>
              <w:spacing w:line="140" w:lineRule="atLeast"/>
              <w:jc w:val="right"/>
              <w:rPr>
                <w:rFonts w:cs="Arial"/>
                <w:sz w:val="14"/>
                <w:szCs w:val="14"/>
              </w:rPr>
            </w:pPr>
            <w:r w:rsidRPr="00A93653">
              <w:rPr>
                <w:rFonts w:cs="Arial"/>
                <w:sz w:val="14"/>
                <w:szCs w:val="14"/>
              </w:rPr>
              <w:t>A publication of</w:t>
            </w:r>
          </w:p>
          <w:p w14:paraId="599E5441" w14:textId="77777777" w:rsidR="000A03B2" w:rsidRPr="00A93653" w:rsidRDefault="000A03B2" w:rsidP="00CD5FE2">
            <w:pPr>
              <w:jc w:val="right"/>
            </w:pPr>
            <w:r w:rsidRPr="00A93653">
              <w:rPr>
                <w:noProof/>
                <w:lang w:val="es-MX" w:eastAsia="es-MX"/>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93653" w14:paraId="380FA3CD" w14:textId="77777777" w:rsidTr="00E86F92">
        <w:trPr>
          <w:trHeight w:val="567"/>
          <w:jc w:val="center"/>
        </w:trPr>
        <w:tc>
          <w:tcPr>
            <w:tcW w:w="6940" w:type="dxa"/>
            <w:vMerge/>
            <w:tcBorders>
              <w:right w:val="single" w:sz="4" w:space="0" w:color="auto"/>
            </w:tcBorders>
          </w:tcPr>
          <w:p w14:paraId="39E5E4C1" w14:textId="77777777" w:rsidR="000A03B2" w:rsidRPr="00A93653"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A93653" w:rsidRDefault="000A03B2" w:rsidP="00CD5FE2">
            <w:pPr>
              <w:spacing w:line="140" w:lineRule="atLeast"/>
              <w:jc w:val="right"/>
              <w:rPr>
                <w:rFonts w:cs="Arial"/>
                <w:sz w:val="14"/>
                <w:szCs w:val="14"/>
              </w:rPr>
            </w:pPr>
            <w:r w:rsidRPr="00A93653">
              <w:rPr>
                <w:rFonts w:cs="Arial"/>
                <w:sz w:val="14"/>
                <w:szCs w:val="14"/>
              </w:rPr>
              <w:t>The Italian Association</w:t>
            </w:r>
          </w:p>
          <w:p w14:paraId="7522B1D2" w14:textId="77777777" w:rsidR="000A03B2" w:rsidRPr="00A93653" w:rsidRDefault="000A03B2" w:rsidP="00CD5FE2">
            <w:pPr>
              <w:spacing w:line="140" w:lineRule="atLeast"/>
              <w:jc w:val="right"/>
              <w:rPr>
                <w:rFonts w:cs="Arial"/>
                <w:sz w:val="14"/>
                <w:szCs w:val="14"/>
              </w:rPr>
            </w:pPr>
            <w:r w:rsidRPr="00A93653">
              <w:rPr>
                <w:rFonts w:cs="Arial"/>
                <w:sz w:val="14"/>
                <w:szCs w:val="14"/>
              </w:rPr>
              <w:t>of Chemical Engineering</w:t>
            </w:r>
          </w:p>
          <w:p w14:paraId="4F0CC5DE" w14:textId="47FDB2FC" w:rsidR="000A03B2" w:rsidRPr="00A93653" w:rsidRDefault="000D0268" w:rsidP="00CD5FE2">
            <w:pPr>
              <w:spacing w:line="140" w:lineRule="atLeast"/>
              <w:jc w:val="right"/>
              <w:rPr>
                <w:rFonts w:cs="Arial"/>
                <w:sz w:val="13"/>
                <w:szCs w:val="13"/>
              </w:rPr>
            </w:pPr>
            <w:r w:rsidRPr="00A93653">
              <w:rPr>
                <w:rFonts w:cs="Arial"/>
                <w:sz w:val="13"/>
                <w:szCs w:val="13"/>
              </w:rPr>
              <w:t>Online at www.cetjournal.it</w:t>
            </w:r>
          </w:p>
        </w:tc>
      </w:tr>
      <w:tr w:rsidR="000A03B2" w:rsidRPr="00A93653" w14:paraId="2D1B7169" w14:textId="77777777" w:rsidTr="00E86F92">
        <w:trPr>
          <w:trHeight w:val="68"/>
          <w:jc w:val="center"/>
        </w:trPr>
        <w:tc>
          <w:tcPr>
            <w:tcW w:w="8782" w:type="dxa"/>
            <w:gridSpan w:val="2"/>
          </w:tcPr>
          <w:p w14:paraId="1D8DD3C9" w14:textId="72C518CF" w:rsidR="00AA7D26" w:rsidRPr="00A93653" w:rsidRDefault="00AA7D26" w:rsidP="00AA7D26">
            <w:pPr>
              <w:ind w:left="-107"/>
              <w:outlineLvl w:val="2"/>
              <w:rPr>
                <w:rFonts w:ascii="Tahoma" w:hAnsi="Tahoma" w:cs="Tahoma"/>
                <w:bCs/>
                <w:color w:val="000000"/>
                <w:sz w:val="14"/>
                <w:szCs w:val="14"/>
                <w:lang w:eastAsia="it-IT"/>
              </w:rPr>
            </w:pPr>
            <w:r w:rsidRPr="00A93653">
              <w:rPr>
                <w:rFonts w:ascii="Tahoma" w:hAnsi="Tahoma" w:cs="Tahoma"/>
                <w:iCs/>
                <w:color w:val="333333"/>
                <w:sz w:val="14"/>
                <w:szCs w:val="14"/>
                <w:lang w:eastAsia="it-IT"/>
              </w:rPr>
              <w:t>Guest Editor:</w:t>
            </w:r>
            <w:r w:rsidRPr="00A93653">
              <w:rPr>
                <w:rFonts w:ascii="Tahoma" w:hAnsi="Tahoma" w:cs="Tahoma"/>
                <w:color w:val="000000"/>
                <w:sz w:val="14"/>
                <w:szCs w:val="14"/>
                <w:shd w:val="clear" w:color="auto" w:fill="FFFFFF"/>
              </w:rPr>
              <w:t xml:space="preserve"> </w:t>
            </w:r>
            <w:proofErr w:type="spellStart"/>
            <w:r w:rsidRPr="00A93653">
              <w:rPr>
                <w:rFonts w:ascii="Tahoma" w:hAnsi="Tahoma" w:cs="Tahoma"/>
                <w:sz w:val="14"/>
                <w:szCs w:val="14"/>
              </w:rPr>
              <w:t>Sauro</w:t>
            </w:r>
            <w:proofErr w:type="spellEnd"/>
            <w:r w:rsidRPr="00A93653">
              <w:rPr>
                <w:rFonts w:ascii="Tahoma" w:hAnsi="Tahoma" w:cs="Tahoma"/>
                <w:sz w:val="14"/>
                <w:szCs w:val="14"/>
              </w:rPr>
              <w:t xml:space="preserve"> </w:t>
            </w:r>
            <w:proofErr w:type="spellStart"/>
            <w:r w:rsidRPr="00A93653">
              <w:rPr>
                <w:rFonts w:ascii="Tahoma" w:hAnsi="Tahoma" w:cs="Tahoma"/>
                <w:sz w:val="14"/>
                <w:szCs w:val="14"/>
              </w:rPr>
              <w:t>Pierucci</w:t>
            </w:r>
            <w:proofErr w:type="spellEnd"/>
          </w:p>
          <w:p w14:paraId="1B0F1814" w14:textId="650290B9" w:rsidR="000A03B2" w:rsidRPr="00A93653" w:rsidRDefault="00AA7D26" w:rsidP="00AA7D26">
            <w:pPr>
              <w:tabs>
                <w:tab w:val="left" w:pos="-108"/>
              </w:tabs>
              <w:spacing w:line="140" w:lineRule="atLeast"/>
              <w:ind w:left="-107"/>
              <w:jc w:val="left"/>
            </w:pPr>
            <w:r w:rsidRPr="00A93653">
              <w:rPr>
                <w:rFonts w:ascii="Tahoma" w:hAnsi="Tahoma" w:cs="Tahoma"/>
                <w:iCs/>
                <w:color w:val="333333"/>
                <w:sz w:val="14"/>
                <w:szCs w:val="14"/>
                <w:lang w:eastAsia="it-IT"/>
              </w:rPr>
              <w:t xml:space="preserve">Copyright © 2023, AIDIC </w:t>
            </w:r>
            <w:proofErr w:type="spellStart"/>
            <w:r w:rsidRPr="00A93653">
              <w:rPr>
                <w:rFonts w:ascii="Tahoma" w:hAnsi="Tahoma" w:cs="Tahoma"/>
                <w:iCs/>
                <w:color w:val="333333"/>
                <w:sz w:val="14"/>
                <w:szCs w:val="14"/>
                <w:lang w:eastAsia="it-IT"/>
              </w:rPr>
              <w:t>Servizi</w:t>
            </w:r>
            <w:proofErr w:type="spellEnd"/>
            <w:r w:rsidRPr="00A93653">
              <w:rPr>
                <w:rFonts w:ascii="Tahoma" w:hAnsi="Tahoma" w:cs="Tahoma"/>
                <w:iCs/>
                <w:color w:val="333333"/>
                <w:sz w:val="14"/>
                <w:szCs w:val="14"/>
                <w:lang w:eastAsia="it-IT"/>
              </w:rPr>
              <w:t xml:space="preserve"> </w:t>
            </w:r>
            <w:proofErr w:type="spellStart"/>
            <w:r w:rsidRPr="00A93653">
              <w:rPr>
                <w:rFonts w:ascii="Tahoma" w:hAnsi="Tahoma" w:cs="Tahoma"/>
                <w:iCs/>
                <w:color w:val="333333"/>
                <w:sz w:val="14"/>
                <w:szCs w:val="14"/>
                <w:lang w:eastAsia="it-IT"/>
              </w:rPr>
              <w:t>S.r.l</w:t>
            </w:r>
            <w:proofErr w:type="spellEnd"/>
            <w:r w:rsidRPr="00A93653">
              <w:rPr>
                <w:rFonts w:ascii="Tahoma" w:hAnsi="Tahoma" w:cs="Tahoma"/>
                <w:iCs/>
                <w:color w:val="333333"/>
                <w:sz w:val="14"/>
                <w:szCs w:val="14"/>
                <w:lang w:eastAsia="it-IT"/>
              </w:rPr>
              <w:t>.</w:t>
            </w:r>
            <w:r w:rsidRPr="00A93653">
              <w:rPr>
                <w:rFonts w:ascii="Tahoma" w:hAnsi="Tahoma" w:cs="Tahoma"/>
                <w:iCs/>
                <w:color w:val="333333"/>
                <w:sz w:val="14"/>
                <w:szCs w:val="14"/>
                <w:lang w:eastAsia="it-IT"/>
              </w:rPr>
              <w:br/>
            </w:r>
            <w:r w:rsidRPr="00A93653">
              <w:rPr>
                <w:rFonts w:ascii="Tahoma" w:hAnsi="Tahoma" w:cs="Tahoma"/>
                <w:b/>
                <w:iCs/>
                <w:color w:val="000000"/>
                <w:sz w:val="14"/>
                <w:szCs w:val="14"/>
                <w:lang w:eastAsia="it-IT"/>
              </w:rPr>
              <w:t>ISBN</w:t>
            </w:r>
            <w:r w:rsidRPr="00A93653">
              <w:rPr>
                <w:rFonts w:ascii="Tahoma" w:hAnsi="Tahoma" w:cs="Tahoma"/>
                <w:iCs/>
                <w:color w:val="000000"/>
                <w:sz w:val="14"/>
                <w:szCs w:val="14"/>
                <w:lang w:eastAsia="it-IT"/>
              </w:rPr>
              <w:t xml:space="preserve"> </w:t>
            </w:r>
            <w:r w:rsidRPr="00A93653">
              <w:rPr>
                <w:rFonts w:ascii="Tahoma" w:hAnsi="Tahoma" w:cs="Tahoma"/>
                <w:sz w:val="14"/>
                <w:szCs w:val="14"/>
              </w:rPr>
              <w:t>978-88-95608-98-3</w:t>
            </w:r>
            <w:r w:rsidRPr="00A93653">
              <w:rPr>
                <w:rFonts w:ascii="Tahoma" w:hAnsi="Tahoma" w:cs="Tahoma"/>
                <w:iCs/>
                <w:color w:val="333333"/>
                <w:sz w:val="14"/>
                <w:szCs w:val="14"/>
                <w:lang w:eastAsia="it-IT"/>
              </w:rPr>
              <w:t xml:space="preserve">; </w:t>
            </w:r>
            <w:r w:rsidRPr="00A93653">
              <w:rPr>
                <w:rFonts w:ascii="Tahoma" w:hAnsi="Tahoma" w:cs="Tahoma"/>
                <w:b/>
                <w:iCs/>
                <w:color w:val="333333"/>
                <w:sz w:val="14"/>
                <w:szCs w:val="14"/>
                <w:lang w:eastAsia="it-IT"/>
              </w:rPr>
              <w:t>ISSN</w:t>
            </w:r>
            <w:r w:rsidRPr="00A93653">
              <w:rPr>
                <w:rFonts w:ascii="Tahoma" w:hAnsi="Tahoma" w:cs="Tahoma"/>
                <w:iCs/>
                <w:color w:val="333333"/>
                <w:sz w:val="14"/>
                <w:szCs w:val="14"/>
                <w:lang w:eastAsia="it-IT"/>
              </w:rPr>
              <w:t xml:space="preserve"> 2283-9216</w:t>
            </w:r>
          </w:p>
        </w:tc>
      </w:tr>
    </w:tbl>
    <w:p w14:paraId="2E667253" w14:textId="44B97087" w:rsidR="00E978D0" w:rsidRPr="00A93653" w:rsidRDefault="00E86F92" w:rsidP="00E978D0">
      <w:pPr>
        <w:pStyle w:val="CETTitle"/>
      </w:pPr>
      <w:r w:rsidRPr="00A93653">
        <w:t>Monitoring Equipment Corrosion due to Sour Crude Oils: a Bayesian Approach</w:t>
      </w:r>
    </w:p>
    <w:p w14:paraId="0488FED2" w14:textId="32D0D31F" w:rsidR="00B57E6F" w:rsidRPr="00A93653" w:rsidRDefault="00B92921" w:rsidP="00B57E6F">
      <w:pPr>
        <w:pStyle w:val="CETAuthors"/>
        <w:rPr>
          <w:lang w:val="it-IT"/>
        </w:rPr>
      </w:pPr>
      <w:r w:rsidRPr="00A93653">
        <w:rPr>
          <w:lang w:val="it-IT"/>
        </w:rPr>
        <w:t>Giuseppa Ancione</w:t>
      </w:r>
      <w:r w:rsidR="00351D09">
        <w:rPr>
          <w:vertAlign w:val="superscript"/>
          <w:lang w:val="it-IT"/>
        </w:rPr>
        <w:t>a</w:t>
      </w:r>
      <w:r w:rsidRPr="00A93653">
        <w:rPr>
          <w:lang w:val="it-IT"/>
        </w:rPr>
        <w:t xml:space="preserve">, </w:t>
      </w:r>
      <w:r w:rsidR="00A07D38">
        <w:rPr>
          <w:lang w:val="it-IT"/>
        </w:rPr>
        <w:t>Vincen</w:t>
      </w:r>
      <w:r w:rsidR="001472B0">
        <w:rPr>
          <w:lang w:val="it-IT"/>
        </w:rPr>
        <w:t>zo Bartolozzi</w:t>
      </w:r>
      <w:r w:rsidR="00351D09">
        <w:rPr>
          <w:vertAlign w:val="superscript"/>
          <w:lang w:val="it-IT"/>
        </w:rPr>
        <w:t>b</w:t>
      </w:r>
      <w:r w:rsidR="00351D09">
        <w:rPr>
          <w:lang w:val="it-IT"/>
        </w:rPr>
        <w:t>,</w:t>
      </w:r>
      <w:r w:rsidR="005C3F1B">
        <w:rPr>
          <w:lang w:val="it-IT"/>
        </w:rPr>
        <w:t xml:space="preserve"> </w:t>
      </w:r>
      <w:r w:rsidR="00E86F92" w:rsidRPr="00A93653">
        <w:rPr>
          <w:lang w:val="it-IT"/>
        </w:rPr>
        <w:t>Paolo</w:t>
      </w:r>
      <w:r w:rsidR="00E85457">
        <w:rPr>
          <w:lang w:val="it-IT"/>
        </w:rPr>
        <w:t xml:space="preserve"> </w:t>
      </w:r>
      <w:r w:rsidR="00E86F92" w:rsidRPr="00A93653">
        <w:rPr>
          <w:lang w:val="it-IT"/>
        </w:rPr>
        <w:t>Bragatto</w:t>
      </w:r>
      <w:r w:rsidR="00351D09">
        <w:rPr>
          <w:vertAlign w:val="superscript"/>
          <w:lang w:val="it-IT"/>
        </w:rPr>
        <w:t>c</w:t>
      </w:r>
      <w:r w:rsidR="00E86F92" w:rsidRPr="00A93653">
        <w:rPr>
          <w:vertAlign w:val="superscript"/>
          <w:lang w:val="it-IT"/>
        </w:rPr>
        <w:t>,</w:t>
      </w:r>
      <w:r w:rsidR="00E86F92" w:rsidRPr="00A93653">
        <w:rPr>
          <w:lang w:val="it-IT"/>
        </w:rPr>
        <w:t>*</w:t>
      </w:r>
      <w:r w:rsidR="005A4408">
        <w:rPr>
          <w:lang w:val="it-IT"/>
        </w:rPr>
        <w:t xml:space="preserve"> </w:t>
      </w:r>
      <w:r w:rsidR="00E86F92" w:rsidRPr="00A93653">
        <w:rPr>
          <w:lang w:val="it-IT"/>
        </w:rPr>
        <w:t>Maria Francesca Milazzo</w:t>
      </w:r>
      <w:r w:rsidR="00E86F92" w:rsidRPr="00A93653">
        <w:rPr>
          <w:vertAlign w:val="superscript"/>
          <w:lang w:val="it-IT"/>
        </w:rPr>
        <w:t>b</w:t>
      </w:r>
    </w:p>
    <w:p w14:paraId="7382811B" w14:textId="37D1F05F" w:rsidR="00351D09" w:rsidRDefault="00351D09" w:rsidP="00351D09">
      <w:pPr>
        <w:pStyle w:val="CETAddress"/>
      </w:pPr>
      <w:r w:rsidRPr="00351D09">
        <w:rPr>
          <w:vertAlign w:val="superscript"/>
        </w:rPr>
        <w:t>a</w:t>
      </w:r>
      <w:r w:rsidR="00F01C5C">
        <w:rPr>
          <w:vertAlign w:val="superscript"/>
        </w:rPr>
        <w:t xml:space="preserve"> </w:t>
      </w:r>
      <w:r w:rsidRPr="00351D09">
        <w:t>Department of Engineering, University of Messina, Contrada di Dio, 98166, Messina, Italy</w:t>
      </w:r>
    </w:p>
    <w:p w14:paraId="6B91B6F5" w14:textId="5AF2DF99" w:rsidR="00574E33" w:rsidRPr="0026162D" w:rsidRDefault="00574E33" w:rsidP="00351D09">
      <w:pPr>
        <w:pStyle w:val="CETAddress"/>
        <w:rPr>
          <w:lang w:val="it-IT"/>
        </w:rPr>
      </w:pPr>
      <w:r w:rsidRPr="005C3F1B">
        <w:rPr>
          <w:vertAlign w:val="superscript"/>
          <w:lang w:val="it-IT"/>
        </w:rPr>
        <w:t>b</w:t>
      </w:r>
      <w:r w:rsidRPr="0026162D">
        <w:rPr>
          <w:lang w:val="it-IT"/>
        </w:rPr>
        <w:t xml:space="preserve"> </w:t>
      </w:r>
      <w:r w:rsidR="0026162D">
        <w:rPr>
          <w:lang w:val="it-IT"/>
        </w:rPr>
        <w:t xml:space="preserve">Agenzia Regionale per </w:t>
      </w:r>
      <w:r w:rsidR="00D00385">
        <w:rPr>
          <w:lang w:val="it-IT"/>
        </w:rPr>
        <w:t>la Protezione dell’ Ambiente</w:t>
      </w:r>
      <w:r w:rsidR="005C3F1B">
        <w:rPr>
          <w:lang w:val="it-IT"/>
        </w:rPr>
        <w:t xml:space="preserve">, </w:t>
      </w:r>
      <w:r w:rsidR="0026162D" w:rsidRPr="0026162D">
        <w:rPr>
          <w:lang w:val="it-IT"/>
        </w:rPr>
        <w:t>Lungomare Cristoforo Colombo snc</w:t>
      </w:r>
      <w:r w:rsidR="005C3F1B">
        <w:rPr>
          <w:lang w:val="it-IT"/>
        </w:rPr>
        <w:t xml:space="preserve">, </w:t>
      </w:r>
      <w:r w:rsidR="0026162D" w:rsidRPr="0026162D">
        <w:rPr>
          <w:lang w:val="it-IT"/>
        </w:rPr>
        <w:t>90149 Palermo</w:t>
      </w:r>
      <w:r w:rsidR="005C3F1B">
        <w:rPr>
          <w:lang w:val="it-IT"/>
        </w:rPr>
        <w:t>, Italy</w:t>
      </w:r>
    </w:p>
    <w:p w14:paraId="6B2D21B3" w14:textId="0BFF447B" w:rsidR="00B57E6F" w:rsidRPr="00574E33" w:rsidRDefault="00574E33" w:rsidP="00B57E6F">
      <w:pPr>
        <w:pStyle w:val="CETAddress"/>
      </w:pPr>
      <w:r w:rsidRPr="00574E33">
        <w:rPr>
          <w:vertAlign w:val="superscript"/>
        </w:rPr>
        <w:t>c</w:t>
      </w:r>
      <w:r w:rsidR="00AA099D">
        <w:rPr>
          <w:vertAlign w:val="superscript"/>
        </w:rPr>
        <w:t xml:space="preserve"> </w:t>
      </w:r>
      <w:r w:rsidR="00F01C5C">
        <w:rPr>
          <w:vertAlign w:val="superscript"/>
        </w:rPr>
        <w:t xml:space="preserve"> </w:t>
      </w:r>
      <w:r w:rsidR="00E86F92" w:rsidRPr="00574E33">
        <w:t xml:space="preserve">Department of Engineering, Università Campus Biomedico, </w:t>
      </w:r>
      <w:r w:rsidR="00B92921" w:rsidRPr="00574E33">
        <w:t>via Álvaro del Portillo, 21, 00128 Roma,</w:t>
      </w:r>
      <w:r w:rsidR="00B57E6F" w:rsidRPr="00574E33">
        <w:t xml:space="preserve"> </w:t>
      </w:r>
      <w:r w:rsidR="00B92921" w:rsidRPr="00574E33">
        <w:t>Italy</w:t>
      </w:r>
    </w:p>
    <w:p w14:paraId="73F1267A" w14:textId="1E45B6CC" w:rsidR="00B57E6F" w:rsidRPr="00A93653" w:rsidRDefault="00E86F92" w:rsidP="00B57E6F">
      <w:pPr>
        <w:pStyle w:val="CETemail"/>
      </w:pPr>
      <w:r w:rsidRPr="00A93653">
        <w:t>*</w:t>
      </w:r>
      <w:r w:rsidR="009D771B" w:rsidRPr="00A93653">
        <w:t>p.</w:t>
      </w:r>
      <w:r w:rsidRPr="00A93653">
        <w:t>bragatto</w:t>
      </w:r>
      <w:r w:rsidR="00B57E6F" w:rsidRPr="00A93653">
        <w:t>@</w:t>
      </w:r>
      <w:r w:rsidR="00195DFE" w:rsidRPr="00A93653">
        <w:t>unicampus.it</w:t>
      </w:r>
    </w:p>
    <w:p w14:paraId="690A3B2E" w14:textId="38F6848E" w:rsidR="00E86F92" w:rsidRPr="00A93653" w:rsidRDefault="00E86F92" w:rsidP="00600535">
      <w:pPr>
        <w:pStyle w:val="CETBodytext"/>
        <w:rPr>
          <w:lang w:val="en-GB"/>
        </w:rPr>
      </w:pPr>
      <w:bookmarkStart w:id="1" w:name="_Hlk495475023"/>
      <w:r w:rsidRPr="00A93653">
        <w:rPr>
          <w:lang w:val="en-GB"/>
        </w:rPr>
        <w:t>Sour crude oils, featuring high sulphur content and high acidity, have low costs and high availability. Although processing is more difficult, these oils represent a good opportunity for many refineries,</w:t>
      </w:r>
      <w:r w:rsidR="004805C4" w:rsidRPr="00A93653">
        <w:rPr>
          <w:lang w:val="en-GB"/>
        </w:rPr>
        <w:t xml:space="preserve"> but their treatment causes </w:t>
      </w:r>
      <w:r w:rsidRPr="00A93653">
        <w:rPr>
          <w:lang w:val="en-GB"/>
        </w:rPr>
        <w:t xml:space="preserve">accelerated equipment </w:t>
      </w:r>
      <w:r w:rsidR="004805C4" w:rsidRPr="00A93653">
        <w:rPr>
          <w:lang w:val="en-GB"/>
        </w:rPr>
        <w:t xml:space="preserve">deterioration due to </w:t>
      </w:r>
      <w:r w:rsidRPr="00A93653">
        <w:rPr>
          <w:lang w:val="en-GB"/>
        </w:rPr>
        <w:t xml:space="preserve">corrosion. This work focuses on the control of corrosion due to sulphur, which is one of the most important damage mechanisms triggering random ruptures. A Bayesian Belief Network (BBN) has been developed to control the risk of release due to random ruptures. The rules used in developing the BBN are the relationships amongst parameters </w:t>
      </w:r>
      <w:r w:rsidR="00976026" w:rsidRPr="00A93653">
        <w:rPr>
          <w:lang w:val="en-GB"/>
        </w:rPr>
        <w:t>described</w:t>
      </w:r>
      <w:r w:rsidRPr="00A93653">
        <w:rPr>
          <w:lang w:val="en-GB"/>
        </w:rPr>
        <w:t xml:space="preserve"> in the API guidelines for the calculation of the corrosion rate. The temperature, sulphur conte</w:t>
      </w:r>
      <w:r w:rsidR="004805C4" w:rsidRPr="00A93653">
        <w:rPr>
          <w:lang w:val="en-GB"/>
        </w:rPr>
        <w:t>nt and acidity for a set of online hangers have been measured for a</w:t>
      </w:r>
      <w:r w:rsidRPr="00A93653">
        <w:rPr>
          <w:lang w:val="en-GB"/>
        </w:rPr>
        <w:t xml:space="preserve"> month. The BBN provides a stress indicator for the equipment, which is updated by the last-minute changes, according to the characteristics of the feed and the operating parameters. The indicator allows updat</w:t>
      </w:r>
      <w:r w:rsidR="00976026" w:rsidRPr="00A93653">
        <w:rPr>
          <w:lang w:val="en-GB"/>
        </w:rPr>
        <w:t>ing</w:t>
      </w:r>
      <w:r w:rsidRPr="00A93653">
        <w:rPr>
          <w:lang w:val="en-GB"/>
        </w:rPr>
        <w:t xml:space="preserve"> the residual useful lifetime (RUL) and can be used for immediate choices to mitigate the effects of the aggressive feeds and is also essential to address decisions about inspections and maintenance in order to manage corrosion and prevent ruptures. The indicator </w:t>
      </w:r>
      <w:r w:rsidR="00976026" w:rsidRPr="00A93653">
        <w:rPr>
          <w:lang w:val="en-GB"/>
        </w:rPr>
        <w:t>could</w:t>
      </w:r>
      <w:r w:rsidRPr="00A93653">
        <w:rPr>
          <w:lang w:val="en-GB"/>
        </w:rPr>
        <w:t xml:space="preserve"> be, furthermore, used in the evaluation of the additional costs deriving from the choice of processing sour crude oils to a</w:t>
      </w:r>
      <w:r w:rsidR="004805C4" w:rsidRPr="00A93653">
        <w:rPr>
          <w:lang w:val="en-GB"/>
        </w:rPr>
        <w:t>dequately support the decision-making</w:t>
      </w:r>
      <w:r w:rsidRPr="00A93653">
        <w:rPr>
          <w:lang w:val="en-GB"/>
        </w:rPr>
        <w:t xml:space="preserve"> </w:t>
      </w:r>
      <w:r w:rsidR="004805C4" w:rsidRPr="00A93653">
        <w:rPr>
          <w:lang w:val="en-GB"/>
        </w:rPr>
        <w:t xml:space="preserve">of </w:t>
      </w:r>
      <w:r w:rsidRPr="00A93653">
        <w:rPr>
          <w:lang w:val="en-GB"/>
        </w:rPr>
        <w:t>the typologies of crude to be treated</w:t>
      </w:r>
      <w:r w:rsidR="003E520B" w:rsidRPr="00A93653">
        <w:rPr>
          <w:lang w:val="en-GB"/>
        </w:rPr>
        <w:t>.</w:t>
      </w:r>
    </w:p>
    <w:bookmarkEnd w:id="1"/>
    <w:p w14:paraId="476B2F2E" w14:textId="77777777" w:rsidR="00600535" w:rsidRPr="00A93653" w:rsidRDefault="00600535" w:rsidP="00600535">
      <w:pPr>
        <w:pStyle w:val="CETHeading1"/>
        <w:rPr>
          <w:lang w:val="en-GB"/>
        </w:rPr>
      </w:pPr>
      <w:r w:rsidRPr="00A93653">
        <w:rPr>
          <w:lang w:val="en-GB"/>
        </w:rPr>
        <w:t>Introduction</w:t>
      </w:r>
    </w:p>
    <w:p w14:paraId="5877633E" w14:textId="22DE30B8" w:rsidR="003E520B" w:rsidRPr="00A93653" w:rsidRDefault="00976026" w:rsidP="003E520B">
      <w:pPr>
        <w:rPr>
          <w:rFonts w:cs="Arial"/>
          <w:szCs w:val="18"/>
        </w:rPr>
      </w:pPr>
      <w:r w:rsidRPr="00A93653">
        <w:rPr>
          <w:rFonts w:cs="Arial"/>
          <w:szCs w:val="18"/>
        </w:rPr>
        <w:t xml:space="preserve">Sulphur is commonly found in crude oil and petroleum products. If its concentration is high, the formation of sulphur dioxide is possible. Therefore, the presence of sulphur in fossil fuels is harmful for the environment due to the release of </w:t>
      </w:r>
      <w:r w:rsidR="005F09F2" w:rsidRPr="00A93653">
        <w:rPr>
          <w:rFonts w:cs="Arial"/>
          <w:szCs w:val="18"/>
        </w:rPr>
        <w:t>its</w:t>
      </w:r>
      <w:r w:rsidRPr="00A93653">
        <w:rPr>
          <w:rFonts w:cs="Arial"/>
          <w:szCs w:val="18"/>
        </w:rPr>
        <w:t xml:space="preserve"> dioxide (</w:t>
      </w:r>
      <w:proofErr w:type="spellStart"/>
      <w:r w:rsidRPr="00A93653">
        <w:rPr>
          <w:rFonts w:cs="Arial"/>
          <w:szCs w:val="18"/>
        </w:rPr>
        <w:t>Tavan</w:t>
      </w:r>
      <w:proofErr w:type="spellEnd"/>
      <w:r w:rsidRPr="00A93653">
        <w:rPr>
          <w:rFonts w:cs="Arial"/>
          <w:szCs w:val="18"/>
        </w:rPr>
        <w:t xml:space="preserve"> et al., 2020)</w:t>
      </w:r>
      <w:r w:rsidR="005F09F2" w:rsidRPr="00A93653">
        <w:rPr>
          <w:rFonts w:cs="Arial"/>
          <w:szCs w:val="18"/>
        </w:rPr>
        <w:t>. Sulphur oxides are also</w:t>
      </w:r>
      <w:r w:rsidRPr="00A93653">
        <w:rPr>
          <w:rFonts w:cs="Arial"/>
          <w:szCs w:val="18"/>
        </w:rPr>
        <w:t xml:space="preserve"> undesired compounds in the products of crude oil distillation, as they poison the catalysts used in the refining units</w:t>
      </w:r>
      <w:r w:rsidR="005F09F2" w:rsidRPr="00A93653">
        <w:rPr>
          <w:rFonts w:cs="Arial"/>
          <w:szCs w:val="18"/>
        </w:rPr>
        <w:t xml:space="preserve"> and</w:t>
      </w:r>
      <w:r w:rsidRPr="00A93653">
        <w:rPr>
          <w:rFonts w:cs="Arial"/>
          <w:szCs w:val="18"/>
        </w:rPr>
        <w:t xml:space="preserve"> also cause equipment deterioration (Mohammadi et al., 2022). The deterioration can be more severe depending on the crude acidity due to the naphthenic acid (Speight, 1999; </w:t>
      </w:r>
      <w:proofErr w:type="spellStart"/>
      <w:r w:rsidRPr="00A93653">
        <w:rPr>
          <w:rFonts w:cs="Arial"/>
          <w:szCs w:val="18"/>
        </w:rPr>
        <w:t>Bamos</w:t>
      </w:r>
      <w:proofErr w:type="spellEnd"/>
      <w:r w:rsidRPr="00A93653">
        <w:rPr>
          <w:rFonts w:cs="Arial"/>
          <w:szCs w:val="18"/>
        </w:rPr>
        <w:t xml:space="preserve"> et al., 2009; </w:t>
      </w:r>
      <w:proofErr w:type="spellStart"/>
      <w:r w:rsidRPr="00A93653">
        <w:rPr>
          <w:rFonts w:cs="Arial"/>
          <w:szCs w:val="18"/>
        </w:rPr>
        <w:t>Afaf</w:t>
      </w:r>
      <w:proofErr w:type="spellEnd"/>
      <w:r w:rsidRPr="00A93653">
        <w:rPr>
          <w:rFonts w:cs="Arial"/>
          <w:szCs w:val="18"/>
        </w:rPr>
        <w:t xml:space="preserve"> et al., 2015). For these reasons, crude oil</w:t>
      </w:r>
      <w:r w:rsidR="005F09F2" w:rsidRPr="00A93653">
        <w:rPr>
          <w:rFonts w:cs="Arial"/>
          <w:szCs w:val="18"/>
        </w:rPr>
        <w:t>s</w:t>
      </w:r>
      <w:r w:rsidRPr="00A93653">
        <w:rPr>
          <w:rFonts w:cs="Arial"/>
          <w:szCs w:val="18"/>
        </w:rPr>
        <w:t xml:space="preserve"> with high sulphur content ha</w:t>
      </w:r>
      <w:r w:rsidR="005F09F2" w:rsidRPr="00A93653">
        <w:rPr>
          <w:rFonts w:cs="Arial"/>
          <w:szCs w:val="18"/>
        </w:rPr>
        <w:t>ve</w:t>
      </w:r>
      <w:r w:rsidRPr="00A93653">
        <w:rPr>
          <w:rFonts w:cs="Arial"/>
          <w:szCs w:val="18"/>
        </w:rPr>
        <w:t xml:space="preserve"> a lower economic value.</w:t>
      </w:r>
      <w:r w:rsidR="003E520B" w:rsidRPr="00A93653">
        <w:rPr>
          <w:rFonts w:cs="Arial"/>
          <w:szCs w:val="18"/>
        </w:rPr>
        <w:t xml:space="preserve"> </w:t>
      </w:r>
      <w:r w:rsidR="005F09F2" w:rsidRPr="00A93653">
        <w:rPr>
          <w:rFonts w:cs="Arial"/>
          <w:szCs w:val="18"/>
        </w:rPr>
        <w:t xml:space="preserve">Sour crude oils, featuring high sulphur content and high acidity, have lower costs and higher availability thus, in order to seize market opportunities, many refineries organise their processes to be able in treating even aggressive and variegate diverse crude oils. In some refineries, a cargo tanker can be processed in a couple of days, therefore the chemical characteristics of the feed change more times than once a week. </w:t>
      </w:r>
      <w:r w:rsidR="003E520B" w:rsidRPr="00A93653">
        <w:rPr>
          <w:rFonts w:cs="Arial"/>
          <w:szCs w:val="18"/>
        </w:rPr>
        <w:t>Although their processing is more difficult and has the drawbacks mentioned above, they represent a good economic opportunity for refineries.</w:t>
      </w:r>
    </w:p>
    <w:p w14:paraId="56370701" w14:textId="5AF786E0" w:rsidR="003E520B" w:rsidRPr="00A93653" w:rsidRDefault="003E520B" w:rsidP="003E520B">
      <w:pPr>
        <w:rPr>
          <w:rFonts w:cs="Arial"/>
          <w:szCs w:val="18"/>
        </w:rPr>
      </w:pPr>
      <w:r w:rsidRPr="00A93653">
        <w:rPr>
          <w:rFonts w:cs="Arial"/>
          <w:szCs w:val="18"/>
        </w:rPr>
        <w:t xml:space="preserve">Deterioration effects have been studied for decades, hence the law governing the chemical phenomenon is currently well-known (API, 2016; API, 2019). Equipment deterioration is the cause of random ruptures and </w:t>
      </w:r>
      <w:r w:rsidR="004805C4" w:rsidRPr="00A93653">
        <w:rPr>
          <w:rFonts w:cs="Arial"/>
          <w:szCs w:val="18"/>
        </w:rPr>
        <w:t>the release</w:t>
      </w:r>
      <w:r w:rsidRPr="00A93653">
        <w:rPr>
          <w:rFonts w:cs="Arial"/>
          <w:szCs w:val="18"/>
        </w:rPr>
        <w:t xml:space="preserve"> of hazardous substances, therefore it affects the risk and needs to be monitored to update the risk. Risk assessment and management tools are still inadequate, as the risk level is currently updated on a multi-annual basis. In many cases</w:t>
      </w:r>
      <w:r w:rsidR="004805C4" w:rsidRPr="00A93653">
        <w:rPr>
          <w:rFonts w:cs="Arial"/>
          <w:szCs w:val="18"/>
        </w:rPr>
        <w:t>,</w:t>
      </w:r>
      <w:r w:rsidRPr="00A93653">
        <w:rPr>
          <w:rFonts w:cs="Arial"/>
          <w:szCs w:val="18"/>
        </w:rPr>
        <w:t xml:space="preserve"> the risk of accidental rupture of critical equipment varies up to nearly two orders depending on the characteristics of the feed. A dynamic assessment is essential to manage risk every day, as well as to support strategic decisions. The use of Bayesian Belief Networks (BBN) is popular in different fields for the </w:t>
      </w:r>
      <w:r w:rsidRPr="00A93653">
        <w:rPr>
          <w:rFonts w:cs="Arial"/>
          <w:szCs w:val="18"/>
        </w:rPr>
        <w:lastRenderedPageBreak/>
        <w:t xml:space="preserve">modelling </w:t>
      </w:r>
      <w:r w:rsidR="004805C4" w:rsidRPr="00A93653">
        <w:rPr>
          <w:rFonts w:cs="Arial"/>
          <w:szCs w:val="18"/>
        </w:rPr>
        <w:t>dependencies</w:t>
      </w:r>
      <w:r w:rsidRPr="00A93653">
        <w:rPr>
          <w:rFonts w:cs="Arial"/>
          <w:szCs w:val="18"/>
        </w:rPr>
        <w:t xml:space="preserve"> amongst variables and conducting inferences (</w:t>
      </w:r>
      <w:proofErr w:type="spellStart"/>
      <w:r w:rsidRPr="00A93653">
        <w:rPr>
          <w:rFonts w:cs="Arial"/>
          <w:szCs w:val="18"/>
        </w:rPr>
        <w:t>Vairo</w:t>
      </w:r>
      <w:proofErr w:type="spellEnd"/>
      <w:r w:rsidRPr="00A93653">
        <w:rPr>
          <w:rFonts w:cs="Arial"/>
          <w:szCs w:val="18"/>
        </w:rPr>
        <w:t xml:space="preserve"> et al., 2019). Thus, a BBN can support in establishing the correlation between factors influencing corrosion and updating the information about the equipment conditions.</w:t>
      </w:r>
    </w:p>
    <w:p w14:paraId="6065E2A5" w14:textId="54F40777" w:rsidR="003E520B" w:rsidRPr="00A93653" w:rsidRDefault="003E520B" w:rsidP="00976026">
      <w:pPr>
        <w:rPr>
          <w:rFonts w:cs="Arial"/>
          <w:szCs w:val="18"/>
        </w:rPr>
      </w:pPr>
      <w:r w:rsidRPr="00A93653">
        <w:rPr>
          <w:rFonts w:cs="Arial"/>
          <w:szCs w:val="18"/>
        </w:rPr>
        <w:t xml:space="preserve">In this work, a BBN has been developed to control the risk of release due to random ruptures; its development is based on the corrosion law available in the literature and trained with monitoring data. The BBN provides a stress indicator for the equipment, which is updated by the last-minute changes (i.e. according to the characteristics of the feed and monitored operating parameters) to calculate the Residual Useful Lifetime (RUL) for the equipment. In the current practice, the RUL of critical equipment is calculated a priori during periodic shutdowns and internal inspections and accounts for the average equipment condition. The Integrated Operative Windows (IOW) introduced some flexibility into the working practice (API, 2014), nevertheless the proposed method is </w:t>
      </w:r>
      <w:r w:rsidR="004805C4" w:rsidRPr="00A93653">
        <w:rPr>
          <w:rFonts w:cs="Arial"/>
          <w:szCs w:val="18"/>
        </w:rPr>
        <w:t xml:space="preserve">an </w:t>
      </w:r>
      <w:r w:rsidRPr="00A93653">
        <w:rPr>
          <w:rFonts w:cs="Arial"/>
          <w:szCs w:val="18"/>
        </w:rPr>
        <w:t xml:space="preserve">even more dynamic approach. IOW basically take into account occasional breaches to safer operating parameters that occasionally occur during the plant’s </w:t>
      </w:r>
      <w:r w:rsidR="004805C4" w:rsidRPr="00A93653">
        <w:rPr>
          <w:rFonts w:cs="Arial"/>
          <w:szCs w:val="18"/>
        </w:rPr>
        <w:t>operation</w:t>
      </w:r>
      <w:r w:rsidRPr="00A93653">
        <w:rPr>
          <w:rFonts w:cs="Arial"/>
          <w:szCs w:val="18"/>
        </w:rPr>
        <w:t>. These variations may be due to the characteristics of the crudes processed and their effect is reflected in corrections of RUL expectations. The proposed approach tries to overcome the limits of this an approach</w:t>
      </w:r>
      <w:r w:rsidR="00352398" w:rsidRPr="00A93653">
        <w:rPr>
          <w:rFonts w:cs="Arial"/>
          <w:szCs w:val="18"/>
        </w:rPr>
        <w:t xml:space="preserve"> by</w:t>
      </w:r>
      <w:r w:rsidRPr="00A93653">
        <w:rPr>
          <w:rFonts w:cs="Arial"/>
          <w:szCs w:val="18"/>
        </w:rPr>
        <w:t xml:space="preserve"> exploiting the strength of </w:t>
      </w:r>
      <w:r w:rsidR="00352398" w:rsidRPr="00A93653">
        <w:rPr>
          <w:rFonts w:cs="Arial"/>
          <w:szCs w:val="18"/>
        </w:rPr>
        <w:t xml:space="preserve">the developed </w:t>
      </w:r>
      <w:r w:rsidRPr="00A93653">
        <w:rPr>
          <w:rFonts w:cs="Arial"/>
          <w:szCs w:val="18"/>
        </w:rPr>
        <w:t>BBN.</w:t>
      </w:r>
      <w:r w:rsidR="00352398" w:rsidRPr="00A93653">
        <w:rPr>
          <w:rFonts w:cs="Arial"/>
          <w:szCs w:val="18"/>
        </w:rPr>
        <w:t xml:space="preserve"> The BBN has been developed to monitor the effect of naphthenic acid and sulphide corrosion, which is one of the damage mechanisms mostly affecting heat exchangers. The paper is structured as follows: Section 2 presents the method proposed for the monitoring of equipment conditions; Section 3 describes the case-study where the method has been applied. Section 4 shows the results of the study. A few conclusions are given in Section 5.</w:t>
      </w:r>
    </w:p>
    <w:p w14:paraId="38E9FB82" w14:textId="5A578E51" w:rsidR="00352398" w:rsidRPr="00A93653" w:rsidRDefault="00352398" w:rsidP="00352398">
      <w:pPr>
        <w:pStyle w:val="CETHeading1"/>
        <w:tabs>
          <w:tab w:val="num" w:pos="360"/>
        </w:tabs>
        <w:rPr>
          <w:lang w:val="en-GB"/>
        </w:rPr>
      </w:pPr>
      <w:r w:rsidRPr="00A93653">
        <w:rPr>
          <w:lang w:val="en-GB"/>
        </w:rPr>
        <w:t>Methodology</w:t>
      </w:r>
    </w:p>
    <w:p w14:paraId="22409C95" w14:textId="35EA240B" w:rsidR="00352398" w:rsidRPr="00A93653" w:rsidRDefault="00352398" w:rsidP="00352398">
      <w:pPr>
        <w:rPr>
          <w:rFonts w:cs="Arial"/>
          <w:szCs w:val="18"/>
        </w:rPr>
      </w:pPr>
      <w:r w:rsidRPr="00A93653">
        <w:rPr>
          <w:rFonts w:cs="Arial"/>
          <w:szCs w:val="18"/>
        </w:rPr>
        <w:t xml:space="preserve">A Bayesian Belief Network has been developed to monitor the conditions of equipment affected by naphthenic acid and sulphide corrosion (Figure 1). The BBN has been built by taking into account the relationships between the process parameters (temperature, sulphur and acidity) and the corrosion rate as included, in the API 581 guidelines (API, 2016, i.e. Table 2.B.3.2M “High Temperature Sulfidic and Naphthenic Acid Corrosion – Estimated Corrosion Rates for Carbon Steel”). </w:t>
      </w:r>
      <w:r w:rsidR="004805C4" w:rsidRPr="00A93653">
        <w:rPr>
          <w:rFonts w:cs="Arial"/>
          <w:szCs w:val="18"/>
        </w:rPr>
        <w:t>A further</w:t>
      </w:r>
      <w:r w:rsidRPr="00A93653">
        <w:rPr>
          <w:rFonts w:cs="Arial"/>
          <w:szCs w:val="18"/>
        </w:rPr>
        <w:t xml:space="preserve"> extension to the API’s table can be obtained by integrating the </w:t>
      </w:r>
      <w:proofErr w:type="spellStart"/>
      <w:r w:rsidRPr="00A93653">
        <w:rPr>
          <w:rFonts w:cs="Arial"/>
          <w:szCs w:val="18"/>
        </w:rPr>
        <w:t>McConomy</w:t>
      </w:r>
      <w:proofErr w:type="spellEnd"/>
      <w:r w:rsidRPr="00A93653">
        <w:rPr>
          <w:rFonts w:cs="Arial"/>
          <w:szCs w:val="18"/>
        </w:rPr>
        <w:t xml:space="preserve"> curves (Sharifi-Asl et al., 2017). Then, the knowledge that derives from the experimental works of scholars can be updated by means of periodically measured data.</w:t>
      </w:r>
    </w:p>
    <w:p w14:paraId="6207CF63" w14:textId="47995B3C" w:rsidR="00352398" w:rsidRPr="00A93653" w:rsidRDefault="00352398" w:rsidP="00352398">
      <w:pPr>
        <w:rPr>
          <w:rFonts w:cs="Arial"/>
          <w:szCs w:val="18"/>
        </w:rPr>
      </w:pPr>
      <w:r w:rsidRPr="00A93653">
        <w:rPr>
          <w:rFonts w:cs="Arial"/>
          <w:szCs w:val="18"/>
        </w:rPr>
        <w:t xml:space="preserve">Within the BBN, a set of variables that influence the corrosion represent the nodes, these are connected </w:t>
      </w:r>
      <w:r w:rsidR="004805C4" w:rsidRPr="00A93653">
        <w:rPr>
          <w:rFonts w:cs="Arial"/>
          <w:szCs w:val="18"/>
        </w:rPr>
        <w:t xml:space="preserve">to </w:t>
      </w:r>
      <w:r w:rsidRPr="00A93653">
        <w:rPr>
          <w:rFonts w:cs="Arial"/>
          <w:szCs w:val="18"/>
        </w:rPr>
        <w:t xml:space="preserve">each other through </w:t>
      </w:r>
      <w:r w:rsidR="00BC5FDF" w:rsidRPr="00A93653">
        <w:rPr>
          <w:rFonts w:cs="Arial"/>
          <w:szCs w:val="18"/>
        </w:rPr>
        <w:t xml:space="preserve">oriented </w:t>
      </w:r>
      <w:r w:rsidRPr="00A93653">
        <w:rPr>
          <w:rFonts w:cs="Arial"/>
          <w:szCs w:val="18"/>
        </w:rPr>
        <w:t xml:space="preserve">arcs creating a hierarchy between the parent and child nodes. The relationships highlight the dependencies between variables and allow </w:t>
      </w:r>
      <w:r w:rsidR="004805C4" w:rsidRPr="00A93653">
        <w:rPr>
          <w:rFonts w:cs="Arial"/>
          <w:szCs w:val="18"/>
        </w:rPr>
        <w:t>expression</w:t>
      </w:r>
      <w:r w:rsidRPr="00A93653">
        <w:rPr>
          <w:rFonts w:cs="Arial"/>
          <w:szCs w:val="18"/>
        </w:rPr>
        <w:t xml:space="preserve"> the joint probability distribution. The BBN describes the behaviour of a given variable as the state of a parent node varies. Each node of the network has discrete states and, once the relationships have been created, the criteria for attributing the conditioned probabilities to the various states are defined with the aim of updating a probability distribution for a stress indicator of the equipment (target node).</w:t>
      </w:r>
    </w:p>
    <w:p w14:paraId="02F3E794" w14:textId="77777777" w:rsidR="00352398" w:rsidRPr="00A93653" w:rsidRDefault="00352398" w:rsidP="00352398">
      <w:pPr>
        <w:rPr>
          <w:rFonts w:cs="Arial"/>
          <w:szCs w:val="18"/>
        </w:rPr>
      </w:pPr>
    </w:p>
    <w:p w14:paraId="26DF6FF5" w14:textId="7E9F8180" w:rsidR="00976026" w:rsidRPr="00A93653" w:rsidRDefault="006729BD" w:rsidP="00352398">
      <w:pPr>
        <w:pStyle w:val="CETBodytext"/>
        <w:jc w:val="center"/>
        <w:rPr>
          <w:lang w:val="en-GB"/>
        </w:rPr>
      </w:pPr>
      <w:r w:rsidRPr="00A93653">
        <w:rPr>
          <w:rFonts w:cs="Arial"/>
          <w:noProof/>
          <w:szCs w:val="18"/>
          <w:lang w:val="es-MX" w:eastAsia="es-MX"/>
        </w:rPr>
        <w:drawing>
          <wp:inline distT="0" distB="0" distL="0" distR="0" wp14:anchorId="551ECF81" wp14:editId="73431B37">
            <wp:extent cx="4093200" cy="1965600"/>
            <wp:effectExtent l="0" t="0" r="317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3200" cy="1965600"/>
                    </a:xfrm>
                    <a:prstGeom prst="rect">
                      <a:avLst/>
                    </a:prstGeom>
                    <a:noFill/>
                    <a:ln>
                      <a:noFill/>
                    </a:ln>
                  </pic:spPr>
                </pic:pic>
              </a:graphicData>
            </a:graphic>
          </wp:inline>
        </w:drawing>
      </w:r>
    </w:p>
    <w:p w14:paraId="551BBD07" w14:textId="407E1B5F" w:rsidR="00352398" w:rsidRPr="00A93653" w:rsidRDefault="00352398" w:rsidP="00352398">
      <w:pPr>
        <w:pStyle w:val="CETCaption"/>
      </w:pPr>
      <w:r w:rsidRPr="00A93653">
        <w:rPr>
          <w:rStyle w:val="CETCaptionCarattere"/>
          <w:i/>
        </w:rPr>
        <w:t xml:space="preserve">Figure 1: </w:t>
      </w:r>
      <w:r w:rsidRPr="00A93653">
        <w:rPr>
          <w:rFonts w:cs="Arial"/>
          <w:szCs w:val="18"/>
        </w:rPr>
        <w:t>Relationship amongst parameters affecting equipment condition and RUL updating.</w:t>
      </w:r>
    </w:p>
    <w:p w14:paraId="21C6724D" w14:textId="0341496D" w:rsidR="00352398" w:rsidRPr="00A93653" w:rsidRDefault="00352398" w:rsidP="00352398">
      <w:pPr>
        <w:pStyle w:val="CETHeading1"/>
        <w:tabs>
          <w:tab w:val="num" w:pos="360"/>
        </w:tabs>
        <w:rPr>
          <w:lang w:val="en-GB"/>
        </w:rPr>
      </w:pPr>
      <w:r w:rsidRPr="00A93653">
        <w:rPr>
          <w:lang w:val="en-GB"/>
        </w:rPr>
        <w:t>Case-study</w:t>
      </w:r>
    </w:p>
    <w:p w14:paraId="481785D3" w14:textId="18ADF9B0" w:rsidR="00352398" w:rsidRPr="00A93653" w:rsidRDefault="00352398" w:rsidP="00352398">
      <w:pPr>
        <w:rPr>
          <w:rFonts w:cs="Arial"/>
          <w:szCs w:val="18"/>
        </w:rPr>
      </w:pPr>
      <w:r w:rsidRPr="00A93653">
        <w:rPr>
          <w:rFonts w:cs="Arial"/>
          <w:szCs w:val="18"/>
        </w:rPr>
        <w:t xml:space="preserve">The BBN has been developed </w:t>
      </w:r>
      <w:r w:rsidR="00B018F9" w:rsidRPr="00A93653">
        <w:rPr>
          <w:rFonts w:cs="Arial"/>
          <w:szCs w:val="18"/>
        </w:rPr>
        <w:t>with respect to a</w:t>
      </w:r>
      <w:r w:rsidRPr="00A93653">
        <w:rPr>
          <w:rFonts w:cs="Arial"/>
          <w:szCs w:val="18"/>
        </w:rPr>
        <w:t xml:space="preserve"> </w:t>
      </w:r>
      <w:r w:rsidR="004805C4" w:rsidRPr="00A93653">
        <w:rPr>
          <w:rFonts w:cs="Arial"/>
          <w:szCs w:val="18"/>
        </w:rPr>
        <w:t>case study</w:t>
      </w:r>
      <w:r w:rsidR="00B018F9" w:rsidRPr="00A93653">
        <w:rPr>
          <w:rFonts w:cs="Arial"/>
          <w:szCs w:val="18"/>
        </w:rPr>
        <w:t>, which</w:t>
      </w:r>
      <w:r w:rsidR="00A3368B" w:rsidRPr="00A93653">
        <w:rPr>
          <w:rFonts w:cs="Arial"/>
          <w:szCs w:val="18"/>
        </w:rPr>
        <w:t xml:space="preserve"> is </w:t>
      </w:r>
      <w:r w:rsidRPr="00A93653">
        <w:rPr>
          <w:rFonts w:cs="Arial"/>
          <w:szCs w:val="18"/>
        </w:rPr>
        <w:t xml:space="preserve">the preheating unit of a topping distillation </w:t>
      </w:r>
      <w:r w:rsidR="00A3368B" w:rsidRPr="00A93653">
        <w:rPr>
          <w:rFonts w:cs="Arial"/>
          <w:szCs w:val="18"/>
        </w:rPr>
        <w:t>reconstructed in order to contain the essential items</w:t>
      </w:r>
      <w:r w:rsidRPr="00A93653">
        <w:rPr>
          <w:rFonts w:cs="Arial"/>
          <w:szCs w:val="18"/>
        </w:rPr>
        <w:t xml:space="preserve"> (Figure 2).</w:t>
      </w:r>
      <w:r w:rsidR="00B018F9" w:rsidRPr="00A93653">
        <w:rPr>
          <w:rFonts w:cs="Arial"/>
          <w:szCs w:val="18"/>
        </w:rPr>
        <w:t xml:space="preserve"> </w:t>
      </w:r>
      <w:r w:rsidRPr="00A93653">
        <w:rPr>
          <w:rFonts w:cs="Arial"/>
          <w:szCs w:val="18"/>
        </w:rPr>
        <w:t xml:space="preserve">Within the unit, the crude oil (feed) leaves the flashing and desalting </w:t>
      </w:r>
      <w:r w:rsidR="00A3368B" w:rsidRPr="00A93653">
        <w:rPr>
          <w:rFonts w:cs="Arial"/>
          <w:szCs w:val="18"/>
        </w:rPr>
        <w:t>equipment</w:t>
      </w:r>
      <w:r w:rsidRPr="00A93653">
        <w:rPr>
          <w:rFonts w:cs="Arial"/>
          <w:szCs w:val="18"/>
        </w:rPr>
        <w:t xml:space="preserve"> and enters the preheating unit at 150°C</w:t>
      </w:r>
      <w:r w:rsidR="00A3368B" w:rsidRPr="00A93653">
        <w:rPr>
          <w:rFonts w:cs="Arial"/>
          <w:szCs w:val="18"/>
        </w:rPr>
        <w:t xml:space="preserve">. It </w:t>
      </w:r>
      <w:r w:rsidRPr="00A93653">
        <w:rPr>
          <w:rFonts w:cs="Arial"/>
          <w:szCs w:val="18"/>
        </w:rPr>
        <w:t xml:space="preserve">passes through some of </w:t>
      </w:r>
      <w:r w:rsidR="004805C4" w:rsidRPr="00A93653">
        <w:rPr>
          <w:rFonts w:cs="Arial"/>
          <w:szCs w:val="18"/>
        </w:rPr>
        <w:t xml:space="preserve">the </w:t>
      </w:r>
      <w:r w:rsidRPr="00A93653">
        <w:rPr>
          <w:rFonts w:cs="Arial"/>
          <w:szCs w:val="18"/>
        </w:rPr>
        <w:t>exchangers (E1-E2</w:t>
      </w:r>
      <w:r w:rsidR="00A3368B" w:rsidRPr="00A93653">
        <w:rPr>
          <w:rFonts w:cs="Arial"/>
          <w:szCs w:val="18"/>
        </w:rPr>
        <w:t>) and t</w:t>
      </w:r>
      <w:r w:rsidRPr="00A93653">
        <w:rPr>
          <w:rFonts w:cs="Arial"/>
          <w:szCs w:val="18"/>
        </w:rPr>
        <w:t xml:space="preserve">he temperature of the crude oil increases about a hundred degrees. Before </w:t>
      </w:r>
      <w:r w:rsidR="004805C4" w:rsidRPr="00A93653">
        <w:rPr>
          <w:rFonts w:cs="Arial"/>
          <w:szCs w:val="18"/>
        </w:rPr>
        <w:t>being</w:t>
      </w:r>
      <w:r w:rsidRPr="00A93653">
        <w:rPr>
          <w:rFonts w:cs="Arial"/>
          <w:szCs w:val="18"/>
        </w:rPr>
        <w:t xml:space="preserve"> sent </w:t>
      </w:r>
      <w:r w:rsidRPr="00A93653">
        <w:rPr>
          <w:rFonts w:cs="Arial"/>
          <w:szCs w:val="18"/>
        </w:rPr>
        <w:lastRenderedPageBreak/>
        <w:t xml:space="preserve">to the distillation unit, the feed enters </w:t>
      </w:r>
      <w:r w:rsidR="00A3368B" w:rsidRPr="00A93653">
        <w:rPr>
          <w:rFonts w:cs="Arial"/>
          <w:szCs w:val="18"/>
        </w:rPr>
        <w:t>the furnace</w:t>
      </w:r>
      <w:r w:rsidRPr="00A93653">
        <w:rPr>
          <w:rFonts w:cs="Arial"/>
          <w:szCs w:val="18"/>
        </w:rPr>
        <w:t xml:space="preserve"> (F1) and its temperature reaches </w:t>
      </w:r>
      <w:r w:rsidR="00A3368B" w:rsidRPr="00A93653">
        <w:rPr>
          <w:rFonts w:cs="Arial"/>
          <w:szCs w:val="18"/>
        </w:rPr>
        <w:t>a</w:t>
      </w:r>
      <w:r w:rsidRPr="00A93653">
        <w:rPr>
          <w:rFonts w:cs="Arial"/>
          <w:szCs w:val="18"/>
        </w:rPr>
        <w:t xml:space="preserve"> value up to 350°C. The heat exchangers are made by carbon steel, as well as the</w:t>
      </w:r>
      <w:r w:rsidR="00A3368B" w:rsidRPr="00A93653">
        <w:rPr>
          <w:rFonts w:cs="Arial"/>
          <w:szCs w:val="18"/>
        </w:rPr>
        <w:t xml:space="preserve"> connecting</w:t>
      </w:r>
      <w:r w:rsidRPr="00A93653">
        <w:rPr>
          <w:rFonts w:cs="Arial"/>
          <w:szCs w:val="18"/>
        </w:rPr>
        <w:t xml:space="preserve"> lines, the oven and the column. Sulfidic and </w:t>
      </w:r>
      <w:r w:rsidR="00A3368B" w:rsidRPr="00A93653">
        <w:rPr>
          <w:rFonts w:cs="Arial"/>
          <w:szCs w:val="18"/>
        </w:rPr>
        <w:t>naphthenic</w:t>
      </w:r>
      <w:r w:rsidRPr="00A93653">
        <w:rPr>
          <w:rFonts w:cs="Arial"/>
          <w:szCs w:val="18"/>
        </w:rPr>
        <w:t xml:space="preserve"> </w:t>
      </w:r>
      <w:r w:rsidR="00A3368B" w:rsidRPr="00A93653">
        <w:rPr>
          <w:rFonts w:cs="Arial"/>
          <w:szCs w:val="18"/>
        </w:rPr>
        <w:t>a</w:t>
      </w:r>
      <w:r w:rsidRPr="00A93653">
        <w:rPr>
          <w:rFonts w:cs="Arial"/>
          <w:szCs w:val="18"/>
        </w:rPr>
        <w:t xml:space="preserve">cid corrosion is the dominant damage mechanism. The process parameters have been monitored </w:t>
      </w:r>
      <w:r w:rsidR="00A3368B" w:rsidRPr="00A93653">
        <w:rPr>
          <w:rFonts w:cs="Arial"/>
          <w:szCs w:val="18"/>
        </w:rPr>
        <w:t>in</w:t>
      </w:r>
      <w:r w:rsidRPr="00A93653">
        <w:rPr>
          <w:rFonts w:cs="Arial"/>
          <w:szCs w:val="18"/>
        </w:rPr>
        <w:t xml:space="preserve"> the last heat exchanger E2 </w:t>
      </w:r>
      <w:r w:rsidR="00A3368B" w:rsidRPr="00A93653">
        <w:rPr>
          <w:rFonts w:cs="Arial"/>
          <w:szCs w:val="18"/>
        </w:rPr>
        <w:t xml:space="preserve">(location M1) </w:t>
      </w:r>
      <w:r w:rsidRPr="00A93653">
        <w:rPr>
          <w:rFonts w:cs="Arial"/>
          <w:szCs w:val="18"/>
        </w:rPr>
        <w:t xml:space="preserve">of the pre-heating zone and </w:t>
      </w:r>
      <w:r w:rsidR="00A3368B" w:rsidRPr="00A93653">
        <w:rPr>
          <w:rFonts w:cs="Arial"/>
          <w:szCs w:val="18"/>
        </w:rPr>
        <w:t xml:space="preserve">in </w:t>
      </w:r>
      <w:r w:rsidRPr="00A93653">
        <w:rPr>
          <w:rFonts w:cs="Arial"/>
          <w:szCs w:val="18"/>
        </w:rPr>
        <w:t>the piping at the exit of the furnace F1 (</w:t>
      </w:r>
      <w:r w:rsidR="00A3368B" w:rsidRPr="00A93653">
        <w:rPr>
          <w:rFonts w:cs="Arial"/>
          <w:szCs w:val="18"/>
        </w:rPr>
        <w:t xml:space="preserve">location </w:t>
      </w:r>
      <w:r w:rsidRPr="00A93653">
        <w:rPr>
          <w:rFonts w:cs="Arial"/>
          <w:szCs w:val="18"/>
        </w:rPr>
        <w:t>M2) because the inlet and outlet of the oven and related piping are the most critical points</w:t>
      </w:r>
      <w:r w:rsidR="00A3368B" w:rsidRPr="00A93653">
        <w:rPr>
          <w:rFonts w:cs="Arial"/>
          <w:szCs w:val="18"/>
        </w:rPr>
        <w:t xml:space="preserve">, given that </w:t>
      </w:r>
      <w:r w:rsidRPr="00A93653">
        <w:rPr>
          <w:rFonts w:cs="Arial"/>
          <w:szCs w:val="18"/>
        </w:rPr>
        <w:t>the corrosion rate highly depends on the temperature.</w:t>
      </w:r>
    </w:p>
    <w:p w14:paraId="2E573482" w14:textId="4C6A3729" w:rsidR="004E097E" w:rsidRPr="00A93653" w:rsidRDefault="004E097E" w:rsidP="004E097E">
      <w:pPr>
        <w:rPr>
          <w:rFonts w:cs="Arial"/>
          <w:szCs w:val="18"/>
        </w:rPr>
      </w:pPr>
      <w:r w:rsidRPr="00A93653">
        <w:rPr>
          <w:rFonts w:cs="Arial"/>
          <w:szCs w:val="18"/>
        </w:rPr>
        <w:t>The construction materials in the monitoring points are different as the temperature is about 280°C in M1 and 350°C in M2. The carbon steel and low alloy steel 5g are respectively used for lower and higher temperatures. Therefore, the relationships extracted from the API 581 (API, 2019) to learn the BBN are different. In M1 and M2, the temperature, sulphur content and acidity have been measured on an hourly basis over one month; monitoring data have been used to fine-tune the BBN. Table 1 shows the typical classes used in the API standard for sulphur, acidity (TAN)</w:t>
      </w:r>
      <w:r w:rsidR="00BC6EA5" w:rsidRPr="00A93653">
        <w:rPr>
          <w:rFonts w:cs="Arial"/>
          <w:szCs w:val="18"/>
        </w:rPr>
        <w:t>,</w:t>
      </w:r>
      <w:r w:rsidRPr="00A93653">
        <w:rPr>
          <w:rFonts w:cs="Arial"/>
          <w:szCs w:val="18"/>
        </w:rPr>
        <w:t xml:space="preserve"> temperatures </w:t>
      </w:r>
      <w:r w:rsidR="00BC6EA5" w:rsidRPr="00A93653">
        <w:rPr>
          <w:rFonts w:cs="Arial"/>
          <w:szCs w:val="18"/>
        </w:rPr>
        <w:t xml:space="preserve">and corrosion rate </w:t>
      </w:r>
      <w:r w:rsidRPr="00A93653">
        <w:rPr>
          <w:rFonts w:cs="Arial"/>
          <w:szCs w:val="18"/>
        </w:rPr>
        <w:t>and the state defined in this work for the nodes of the BBN.</w:t>
      </w:r>
      <w:r w:rsidR="00BC6EA5" w:rsidRPr="00A93653">
        <w:rPr>
          <w:rFonts w:cs="Arial"/>
          <w:szCs w:val="18"/>
        </w:rPr>
        <w:t xml:space="preserve"> There are two further nodes, the initial condition and the stress factor, which are defined by expert judgments. The former represents an initial qualitative evaluation of the equipment, the latter gives a qualitative combination of the </w:t>
      </w:r>
      <w:r w:rsidR="004805C4" w:rsidRPr="00A93653">
        <w:rPr>
          <w:rFonts w:cs="Arial"/>
          <w:szCs w:val="18"/>
        </w:rPr>
        <w:t>equipment’s</w:t>
      </w:r>
      <w:r w:rsidR="00BC6EA5" w:rsidRPr="00A93653">
        <w:rPr>
          <w:rFonts w:cs="Arial"/>
          <w:szCs w:val="18"/>
        </w:rPr>
        <w:t xml:space="preserve"> initial condition and the corrosion rate (when the initial conditions are good and the corrosion rate is low, the equipment has low stress and vice versa.</w:t>
      </w:r>
    </w:p>
    <w:p w14:paraId="378CF175" w14:textId="77777777" w:rsidR="00B12383" w:rsidRPr="00A93653" w:rsidRDefault="00B12383" w:rsidP="004E097E">
      <w:pPr>
        <w:rPr>
          <w:rFonts w:cs="Arial"/>
          <w:szCs w:val="18"/>
        </w:rPr>
      </w:pPr>
    </w:p>
    <w:p w14:paraId="74259105" w14:textId="1FAADA83" w:rsidR="00352398" w:rsidRPr="00A93653" w:rsidRDefault="00A3368B" w:rsidP="00A3368B">
      <w:pPr>
        <w:pStyle w:val="CETBodytext"/>
        <w:jc w:val="center"/>
        <w:rPr>
          <w:lang w:val="en-GB"/>
        </w:rPr>
      </w:pPr>
      <w:r w:rsidRPr="00A93653">
        <w:rPr>
          <w:noProof/>
          <w:lang w:val="es-MX" w:eastAsia="es-MX"/>
        </w:rPr>
        <w:drawing>
          <wp:inline distT="0" distB="0" distL="0" distR="0" wp14:anchorId="2BC689AD" wp14:editId="4237D715">
            <wp:extent cx="3531600" cy="2505600"/>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1600" cy="2505600"/>
                    </a:xfrm>
                    <a:prstGeom prst="rect">
                      <a:avLst/>
                    </a:prstGeom>
                    <a:noFill/>
                  </pic:spPr>
                </pic:pic>
              </a:graphicData>
            </a:graphic>
          </wp:inline>
        </w:drawing>
      </w:r>
    </w:p>
    <w:p w14:paraId="40F26F84" w14:textId="7288190D" w:rsidR="00A3368B" w:rsidRPr="00A93653" w:rsidRDefault="00A3368B" w:rsidP="00A3368B">
      <w:pPr>
        <w:pStyle w:val="CETCaption"/>
      </w:pPr>
      <w:r w:rsidRPr="00A93653">
        <w:rPr>
          <w:rStyle w:val="CETCaptionCarattere"/>
          <w:i/>
        </w:rPr>
        <w:t xml:space="preserve">Figure 2: </w:t>
      </w:r>
      <w:r w:rsidR="004E097E" w:rsidRPr="00A93653">
        <w:rPr>
          <w:rFonts w:cs="Arial"/>
          <w:szCs w:val="18"/>
        </w:rPr>
        <w:t>Simplified scheme of the preheating unit of a topping in a refinery</w:t>
      </w:r>
      <w:r w:rsidRPr="00A93653">
        <w:rPr>
          <w:rFonts w:cs="Arial"/>
          <w:szCs w:val="18"/>
        </w:rPr>
        <w:t>.</w:t>
      </w:r>
    </w:p>
    <w:p w14:paraId="246335F0" w14:textId="0545C63A" w:rsidR="00B035DC" w:rsidRPr="00A93653" w:rsidRDefault="004E097E" w:rsidP="004E097E">
      <w:pPr>
        <w:pStyle w:val="CETTabletitle"/>
        <w:rPr>
          <w:rFonts w:cs="Arial"/>
          <w:szCs w:val="18"/>
        </w:rPr>
      </w:pPr>
      <w:r w:rsidRPr="00A93653">
        <w:t xml:space="preserve">Table 1: </w:t>
      </w:r>
      <w:r w:rsidRPr="00A93653">
        <w:rPr>
          <w:rFonts w:cs="Arial"/>
          <w:szCs w:val="18"/>
          <w:lang w:val="en-US"/>
        </w:rPr>
        <w:t>Classes</w:t>
      </w:r>
      <w:r w:rsidRPr="00A93653">
        <w:rPr>
          <w:rFonts w:cs="Arial"/>
          <w:szCs w:val="18"/>
        </w:rPr>
        <w:t xml:space="preserve"> for sulphur, </w:t>
      </w:r>
      <w:r w:rsidR="000D6294" w:rsidRPr="00A93653">
        <w:rPr>
          <w:rFonts w:cs="Arial"/>
          <w:szCs w:val="18"/>
        </w:rPr>
        <w:t>acidity</w:t>
      </w:r>
      <w:r w:rsidR="00B035DC" w:rsidRPr="00A93653">
        <w:rPr>
          <w:rFonts w:cs="Arial"/>
          <w:szCs w:val="18"/>
        </w:rPr>
        <w:t xml:space="preserve"> (TAN)</w:t>
      </w:r>
      <w:r w:rsidR="000D6294" w:rsidRPr="00A93653">
        <w:rPr>
          <w:rFonts w:cs="Arial"/>
          <w:szCs w:val="18"/>
        </w:rPr>
        <w:t>,</w:t>
      </w:r>
      <w:r w:rsidRPr="00A93653">
        <w:rPr>
          <w:rFonts w:cs="Arial"/>
          <w:szCs w:val="18"/>
        </w:rPr>
        <w:t xml:space="preserve"> and temperature.</w:t>
      </w:r>
    </w:p>
    <w:tbl>
      <w:tblPr>
        <w:tblW w:w="8798" w:type="dxa"/>
        <w:tblLayout w:type="fixed"/>
        <w:tblCellMar>
          <w:left w:w="70" w:type="dxa"/>
          <w:right w:w="70" w:type="dxa"/>
        </w:tblCellMar>
        <w:tblLook w:val="04A0" w:firstRow="1" w:lastRow="0" w:firstColumn="1" w:lastColumn="0" w:noHBand="0" w:noVBand="1"/>
      </w:tblPr>
      <w:tblGrid>
        <w:gridCol w:w="591"/>
        <w:gridCol w:w="1035"/>
        <w:gridCol w:w="75"/>
        <w:gridCol w:w="851"/>
        <w:gridCol w:w="1134"/>
        <w:gridCol w:w="1134"/>
        <w:gridCol w:w="911"/>
        <w:gridCol w:w="1035"/>
        <w:gridCol w:w="889"/>
        <w:gridCol w:w="1143"/>
      </w:tblGrid>
      <w:tr w:rsidR="00B035DC" w:rsidRPr="00A93653" w14:paraId="48DE8554" w14:textId="77777777" w:rsidTr="007E30F5">
        <w:trPr>
          <w:trHeight w:val="239"/>
        </w:trPr>
        <w:tc>
          <w:tcPr>
            <w:tcW w:w="1626" w:type="dxa"/>
            <w:gridSpan w:val="2"/>
            <w:tcBorders>
              <w:top w:val="single" w:sz="12" w:space="0" w:color="008000"/>
              <w:left w:val="nil"/>
              <w:right w:val="nil"/>
            </w:tcBorders>
            <w:shd w:val="clear" w:color="auto" w:fill="auto"/>
            <w:noWrap/>
            <w:vAlign w:val="center"/>
            <w:hideMark/>
          </w:tcPr>
          <w:p w14:paraId="78F920CB" w14:textId="1EEF2D10"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b/>
                <w:bCs/>
                <w:color w:val="000000"/>
                <w:szCs w:val="18"/>
                <w:lang w:eastAsia="it-IT"/>
              </w:rPr>
              <w:t>Temperature(°C)</w:t>
            </w:r>
          </w:p>
        </w:tc>
        <w:tc>
          <w:tcPr>
            <w:tcW w:w="3194" w:type="dxa"/>
            <w:gridSpan w:val="4"/>
            <w:tcBorders>
              <w:top w:val="single" w:sz="12" w:space="0" w:color="008000"/>
              <w:left w:val="nil"/>
              <w:right w:val="nil"/>
            </w:tcBorders>
            <w:shd w:val="clear" w:color="auto" w:fill="auto"/>
            <w:noWrap/>
            <w:vAlign w:val="center"/>
            <w:hideMark/>
          </w:tcPr>
          <w:p w14:paraId="086BF8C5" w14:textId="61078BE0" w:rsidR="00B035DC" w:rsidRPr="00A93653" w:rsidRDefault="00B035DC" w:rsidP="00B035DC">
            <w:pPr>
              <w:tabs>
                <w:tab w:val="clear" w:pos="7100"/>
              </w:tabs>
              <w:spacing w:line="240" w:lineRule="auto"/>
              <w:jc w:val="center"/>
              <w:rPr>
                <w:rFonts w:cs="Arial"/>
                <w:b/>
                <w:bCs/>
                <w:color w:val="000000"/>
                <w:szCs w:val="18"/>
                <w:lang w:eastAsia="it-IT"/>
              </w:rPr>
            </w:pPr>
            <w:r w:rsidRPr="00A93653">
              <w:rPr>
                <w:rFonts w:cs="Arial"/>
                <w:b/>
                <w:bCs/>
                <w:color w:val="000000"/>
                <w:szCs w:val="18"/>
                <w:lang w:eastAsia="it-IT"/>
              </w:rPr>
              <w:t>TAN</w:t>
            </w:r>
            <w:r w:rsidR="00DA4399" w:rsidRPr="00A93653">
              <w:rPr>
                <w:rFonts w:cs="Arial"/>
                <w:b/>
                <w:bCs/>
                <w:color w:val="000000"/>
                <w:szCs w:val="18"/>
                <w:lang w:eastAsia="it-IT"/>
              </w:rPr>
              <w:t xml:space="preserve"> (mg KOH/g)</w:t>
            </w:r>
          </w:p>
        </w:tc>
        <w:tc>
          <w:tcPr>
            <w:tcW w:w="1946" w:type="dxa"/>
            <w:gridSpan w:val="2"/>
            <w:tcBorders>
              <w:top w:val="single" w:sz="12" w:space="0" w:color="008000"/>
              <w:left w:val="nil"/>
              <w:right w:val="nil"/>
            </w:tcBorders>
            <w:shd w:val="clear" w:color="auto" w:fill="auto"/>
            <w:noWrap/>
            <w:vAlign w:val="center"/>
          </w:tcPr>
          <w:p w14:paraId="31335C22" w14:textId="3CA82B1A"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b/>
                <w:bCs/>
                <w:color w:val="000000"/>
                <w:szCs w:val="18"/>
                <w:lang w:eastAsia="it-IT"/>
              </w:rPr>
              <w:t>Sulphur</w:t>
            </w:r>
            <w:r w:rsidR="00DA4399" w:rsidRPr="00A93653">
              <w:rPr>
                <w:rFonts w:cs="Arial"/>
                <w:b/>
                <w:bCs/>
                <w:color w:val="000000"/>
                <w:szCs w:val="18"/>
                <w:lang w:eastAsia="it-IT"/>
              </w:rPr>
              <w:t xml:space="preserve"> (%</w:t>
            </w:r>
            <w:proofErr w:type="spellStart"/>
            <w:r w:rsidR="00DA4399" w:rsidRPr="00A93653">
              <w:rPr>
                <w:rFonts w:cs="Arial"/>
                <w:b/>
                <w:bCs/>
                <w:color w:val="000000"/>
                <w:szCs w:val="18"/>
                <w:lang w:eastAsia="it-IT"/>
              </w:rPr>
              <w:t>wt</w:t>
            </w:r>
            <w:proofErr w:type="spellEnd"/>
            <w:r w:rsidR="00DA4399" w:rsidRPr="00A93653">
              <w:rPr>
                <w:rFonts w:cs="Arial"/>
                <w:b/>
                <w:bCs/>
                <w:color w:val="000000"/>
                <w:szCs w:val="18"/>
                <w:lang w:eastAsia="it-IT"/>
              </w:rPr>
              <w:t>)</w:t>
            </w:r>
          </w:p>
        </w:tc>
        <w:tc>
          <w:tcPr>
            <w:tcW w:w="2032" w:type="dxa"/>
            <w:gridSpan w:val="2"/>
            <w:tcBorders>
              <w:top w:val="single" w:sz="12" w:space="0" w:color="008000"/>
              <w:left w:val="nil"/>
              <w:right w:val="nil"/>
            </w:tcBorders>
            <w:shd w:val="clear" w:color="auto" w:fill="auto"/>
            <w:noWrap/>
            <w:vAlign w:val="center"/>
          </w:tcPr>
          <w:p w14:paraId="1A625188" w14:textId="22DE06E5"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b/>
                <w:bCs/>
                <w:color w:val="000000"/>
                <w:szCs w:val="18"/>
                <w:lang w:eastAsia="it-IT"/>
              </w:rPr>
              <w:t>Corrosion rate</w:t>
            </w:r>
            <w:r w:rsidR="00DA4399" w:rsidRPr="00A93653">
              <w:rPr>
                <w:rFonts w:cs="Arial"/>
                <w:b/>
                <w:bCs/>
                <w:color w:val="000000"/>
                <w:szCs w:val="18"/>
                <w:lang w:eastAsia="it-IT"/>
              </w:rPr>
              <w:t xml:space="preserve"> (mm/y)</w:t>
            </w:r>
          </w:p>
        </w:tc>
      </w:tr>
      <w:tr w:rsidR="00B035DC" w:rsidRPr="00A93653" w14:paraId="4496E60A" w14:textId="77777777" w:rsidTr="007E30F5">
        <w:trPr>
          <w:trHeight w:val="288"/>
        </w:trPr>
        <w:tc>
          <w:tcPr>
            <w:tcW w:w="591" w:type="dxa"/>
            <w:tcBorders>
              <w:top w:val="single" w:sz="6" w:space="0" w:color="008000"/>
              <w:left w:val="nil"/>
              <w:bottom w:val="nil"/>
              <w:right w:val="nil"/>
            </w:tcBorders>
            <w:shd w:val="clear" w:color="auto" w:fill="auto"/>
            <w:noWrap/>
            <w:vAlign w:val="center"/>
          </w:tcPr>
          <w:p w14:paraId="1BADC6D4" w14:textId="77777777" w:rsidR="00B035DC"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val="it-IT" w:eastAsia="it-IT"/>
              </w:rPr>
              <w:t>State name</w:t>
            </w:r>
          </w:p>
        </w:tc>
        <w:tc>
          <w:tcPr>
            <w:tcW w:w="1110" w:type="dxa"/>
            <w:gridSpan w:val="2"/>
            <w:tcBorders>
              <w:top w:val="single" w:sz="6" w:space="0" w:color="008000"/>
              <w:left w:val="nil"/>
              <w:bottom w:val="nil"/>
              <w:right w:val="nil"/>
            </w:tcBorders>
            <w:shd w:val="clear" w:color="auto" w:fill="auto"/>
            <w:noWrap/>
            <w:vAlign w:val="center"/>
          </w:tcPr>
          <w:p w14:paraId="74B16849" w14:textId="77777777" w:rsidR="00B035DC"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val="it-IT" w:eastAsia="it-IT"/>
              </w:rPr>
              <w:t>Range</w:t>
            </w:r>
          </w:p>
        </w:tc>
        <w:tc>
          <w:tcPr>
            <w:tcW w:w="851" w:type="dxa"/>
            <w:tcBorders>
              <w:top w:val="single" w:sz="6" w:space="0" w:color="008000"/>
              <w:left w:val="nil"/>
              <w:bottom w:val="nil"/>
              <w:right w:val="nil"/>
            </w:tcBorders>
            <w:shd w:val="clear" w:color="auto" w:fill="auto"/>
            <w:noWrap/>
            <w:vAlign w:val="center"/>
          </w:tcPr>
          <w:p w14:paraId="54FABE57"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State name</w:t>
            </w:r>
          </w:p>
        </w:tc>
        <w:tc>
          <w:tcPr>
            <w:tcW w:w="1134" w:type="dxa"/>
            <w:tcBorders>
              <w:top w:val="single" w:sz="6" w:space="0" w:color="008000"/>
              <w:left w:val="nil"/>
              <w:bottom w:val="nil"/>
              <w:right w:val="nil"/>
            </w:tcBorders>
            <w:shd w:val="clear" w:color="auto" w:fill="auto"/>
            <w:noWrap/>
            <w:vAlign w:val="center"/>
          </w:tcPr>
          <w:p w14:paraId="3264F955"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Range</w:t>
            </w:r>
          </w:p>
          <w:p w14:paraId="66BDF0AB" w14:textId="77777777" w:rsidR="00B035DC"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val="it-IT" w:eastAsia="it-IT"/>
              </w:rPr>
              <w:t xml:space="preserve">carbon </w:t>
            </w:r>
            <w:proofErr w:type="spellStart"/>
            <w:r w:rsidRPr="00A93653">
              <w:rPr>
                <w:rFonts w:cs="Arial"/>
                <w:color w:val="000000"/>
                <w:szCs w:val="18"/>
                <w:lang w:val="it-IT" w:eastAsia="it-IT"/>
              </w:rPr>
              <w:t>steel</w:t>
            </w:r>
            <w:proofErr w:type="spellEnd"/>
          </w:p>
        </w:tc>
        <w:tc>
          <w:tcPr>
            <w:tcW w:w="1134" w:type="dxa"/>
            <w:tcBorders>
              <w:top w:val="single" w:sz="6" w:space="0" w:color="008000"/>
              <w:left w:val="nil"/>
              <w:bottom w:val="nil"/>
              <w:right w:val="nil"/>
            </w:tcBorders>
            <w:shd w:val="clear" w:color="auto" w:fill="auto"/>
            <w:noWrap/>
            <w:vAlign w:val="center"/>
          </w:tcPr>
          <w:p w14:paraId="24AF45D1" w14:textId="486D1310" w:rsidR="00B035DC" w:rsidRPr="00A93653" w:rsidRDefault="00B035DC" w:rsidP="00071E84">
            <w:pPr>
              <w:tabs>
                <w:tab w:val="clear" w:pos="7100"/>
              </w:tabs>
              <w:spacing w:line="240" w:lineRule="auto"/>
              <w:jc w:val="center"/>
              <w:rPr>
                <w:rFonts w:cs="Arial"/>
                <w:color w:val="000000"/>
                <w:szCs w:val="18"/>
                <w:lang w:val="en-US" w:eastAsia="it-IT"/>
              </w:rPr>
            </w:pPr>
            <w:r w:rsidRPr="00A93653">
              <w:rPr>
                <w:rFonts w:cs="Arial"/>
                <w:color w:val="000000"/>
                <w:szCs w:val="18"/>
                <w:lang w:val="en-US" w:eastAsia="it-IT"/>
              </w:rPr>
              <w:t>Range</w:t>
            </w:r>
            <w:r w:rsidR="00071E84" w:rsidRPr="00A93653">
              <w:rPr>
                <w:rFonts w:cs="Arial"/>
                <w:color w:val="000000"/>
                <w:szCs w:val="18"/>
                <w:lang w:val="en-US" w:eastAsia="it-IT"/>
              </w:rPr>
              <w:t xml:space="preserve"> </w:t>
            </w:r>
            <w:r w:rsidRPr="00A93653">
              <w:rPr>
                <w:rFonts w:cs="Arial"/>
                <w:color w:val="000000"/>
                <w:szCs w:val="18"/>
                <w:lang w:val="en-US" w:eastAsia="it-IT"/>
              </w:rPr>
              <w:t>low alloy steel 5g</w:t>
            </w:r>
          </w:p>
        </w:tc>
        <w:tc>
          <w:tcPr>
            <w:tcW w:w="911" w:type="dxa"/>
            <w:tcBorders>
              <w:top w:val="single" w:sz="6" w:space="0" w:color="008000"/>
              <w:left w:val="nil"/>
              <w:bottom w:val="nil"/>
              <w:right w:val="nil"/>
            </w:tcBorders>
            <w:shd w:val="clear" w:color="auto" w:fill="auto"/>
            <w:noWrap/>
            <w:vAlign w:val="center"/>
          </w:tcPr>
          <w:p w14:paraId="73161CFE" w14:textId="77777777" w:rsidR="00B035DC" w:rsidRPr="00A93653" w:rsidRDefault="00B035DC" w:rsidP="00A61DD1">
            <w:pPr>
              <w:tabs>
                <w:tab w:val="clear" w:pos="7100"/>
              </w:tabs>
              <w:spacing w:line="240" w:lineRule="auto"/>
              <w:jc w:val="center"/>
              <w:rPr>
                <w:rFonts w:cs="Arial"/>
                <w:color w:val="000000"/>
                <w:szCs w:val="18"/>
                <w:lang w:val="en-US" w:eastAsia="it-IT"/>
              </w:rPr>
            </w:pPr>
            <w:r w:rsidRPr="00A93653">
              <w:rPr>
                <w:rFonts w:cs="Arial"/>
                <w:color w:val="000000"/>
                <w:szCs w:val="18"/>
                <w:lang w:val="it-IT" w:eastAsia="it-IT"/>
              </w:rPr>
              <w:t>State name</w:t>
            </w:r>
          </w:p>
        </w:tc>
        <w:tc>
          <w:tcPr>
            <w:tcW w:w="1035" w:type="dxa"/>
            <w:tcBorders>
              <w:top w:val="single" w:sz="6" w:space="0" w:color="008000"/>
              <w:left w:val="nil"/>
              <w:bottom w:val="nil"/>
              <w:right w:val="nil"/>
            </w:tcBorders>
            <w:shd w:val="clear" w:color="auto" w:fill="auto"/>
            <w:noWrap/>
            <w:vAlign w:val="center"/>
          </w:tcPr>
          <w:p w14:paraId="326333B6" w14:textId="77777777" w:rsidR="00B035DC"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val="it-IT" w:eastAsia="it-IT"/>
              </w:rPr>
              <w:t>Range</w:t>
            </w:r>
          </w:p>
        </w:tc>
        <w:tc>
          <w:tcPr>
            <w:tcW w:w="889" w:type="dxa"/>
            <w:tcBorders>
              <w:top w:val="single" w:sz="6" w:space="0" w:color="008000"/>
              <w:left w:val="nil"/>
              <w:bottom w:val="nil"/>
              <w:right w:val="nil"/>
            </w:tcBorders>
            <w:shd w:val="clear" w:color="auto" w:fill="auto"/>
            <w:noWrap/>
            <w:vAlign w:val="center"/>
          </w:tcPr>
          <w:p w14:paraId="22C39546" w14:textId="77777777" w:rsidR="00B035DC" w:rsidRPr="00A93653" w:rsidRDefault="00B035DC" w:rsidP="00A61DD1">
            <w:pPr>
              <w:tabs>
                <w:tab w:val="clear" w:pos="7100"/>
              </w:tabs>
              <w:spacing w:line="240" w:lineRule="auto"/>
              <w:jc w:val="center"/>
              <w:rPr>
                <w:rFonts w:cs="Arial"/>
                <w:color w:val="000000"/>
                <w:szCs w:val="18"/>
                <w:lang w:val="en-US" w:eastAsia="it-IT"/>
              </w:rPr>
            </w:pPr>
            <w:r w:rsidRPr="00A93653">
              <w:rPr>
                <w:rFonts w:cs="Arial"/>
                <w:color w:val="000000"/>
                <w:szCs w:val="18"/>
                <w:lang w:val="it-IT" w:eastAsia="it-IT"/>
              </w:rPr>
              <w:t>State name</w:t>
            </w:r>
          </w:p>
        </w:tc>
        <w:tc>
          <w:tcPr>
            <w:tcW w:w="1143" w:type="dxa"/>
            <w:tcBorders>
              <w:top w:val="single" w:sz="6" w:space="0" w:color="008000"/>
              <w:left w:val="nil"/>
              <w:bottom w:val="nil"/>
              <w:right w:val="nil"/>
            </w:tcBorders>
            <w:shd w:val="clear" w:color="auto" w:fill="auto"/>
            <w:noWrap/>
            <w:vAlign w:val="center"/>
          </w:tcPr>
          <w:p w14:paraId="44427532" w14:textId="77777777" w:rsidR="00B035DC"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val="it-IT" w:eastAsia="it-IT"/>
              </w:rPr>
              <w:t>Range</w:t>
            </w:r>
          </w:p>
        </w:tc>
      </w:tr>
      <w:tr w:rsidR="00B035DC" w:rsidRPr="00A93653" w14:paraId="29212B65" w14:textId="77777777" w:rsidTr="007E30F5">
        <w:trPr>
          <w:trHeight w:val="288"/>
        </w:trPr>
        <w:tc>
          <w:tcPr>
            <w:tcW w:w="591" w:type="dxa"/>
            <w:tcBorders>
              <w:top w:val="single" w:sz="6" w:space="0" w:color="008000"/>
              <w:left w:val="nil"/>
              <w:bottom w:val="nil"/>
              <w:right w:val="nil"/>
            </w:tcBorders>
            <w:shd w:val="clear" w:color="auto" w:fill="auto"/>
            <w:noWrap/>
            <w:vAlign w:val="center"/>
          </w:tcPr>
          <w:p w14:paraId="6C03F688" w14:textId="77777777" w:rsidR="00B035DC"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1</w:t>
            </w:r>
          </w:p>
        </w:tc>
        <w:tc>
          <w:tcPr>
            <w:tcW w:w="1110" w:type="dxa"/>
            <w:gridSpan w:val="2"/>
            <w:tcBorders>
              <w:top w:val="single" w:sz="6" w:space="0" w:color="008000"/>
              <w:left w:val="nil"/>
              <w:bottom w:val="nil"/>
              <w:right w:val="nil"/>
            </w:tcBorders>
            <w:shd w:val="clear" w:color="auto" w:fill="auto"/>
            <w:noWrap/>
            <w:vAlign w:val="center"/>
          </w:tcPr>
          <w:p w14:paraId="6F15A4A2" w14:textId="12756E00" w:rsidR="00B035DC" w:rsidRPr="00A93653" w:rsidRDefault="003D56FF" w:rsidP="00A61DD1">
            <w:pPr>
              <w:tabs>
                <w:tab w:val="clear" w:pos="7100"/>
              </w:tabs>
              <w:spacing w:line="240" w:lineRule="auto"/>
              <w:jc w:val="center"/>
              <w:rPr>
                <w:rFonts w:cs="Arial"/>
                <w:color w:val="000000"/>
                <w:szCs w:val="18"/>
                <w:lang w:eastAsia="it-IT"/>
              </w:rPr>
            </w:pPr>
            <w:r w:rsidRPr="00A93653">
              <w:rPr>
                <w:rFonts w:ascii="Times New Roman" w:hAnsi="Times New Roman"/>
                <w:i/>
                <w:iCs/>
                <w:color w:val="000000"/>
                <w:szCs w:val="18"/>
                <w:lang w:eastAsia="it-IT"/>
              </w:rPr>
              <w:t>T</w:t>
            </w:r>
            <w:r w:rsidR="00B035DC" w:rsidRPr="00A93653">
              <w:rPr>
                <w:rFonts w:cs="Arial"/>
                <w:color w:val="000000"/>
                <w:szCs w:val="18"/>
                <w:lang w:eastAsia="it-IT"/>
              </w:rPr>
              <w:t>&lt;232</w:t>
            </w:r>
          </w:p>
        </w:tc>
        <w:tc>
          <w:tcPr>
            <w:tcW w:w="851" w:type="dxa"/>
            <w:tcBorders>
              <w:top w:val="single" w:sz="6" w:space="0" w:color="008000"/>
              <w:left w:val="nil"/>
              <w:bottom w:val="nil"/>
              <w:right w:val="nil"/>
            </w:tcBorders>
            <w:shd w:val="clear" w:color="auto" w:fill="auto"/>
            <w:noWrap/>
            <w:vAlign w:val="center"/>
          </w:tcPr>
          <w:p w14:paraId="2C59C3FA"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ultra low</w:t>
            </w:r>
          </w:p>
        </w:tc>
        <w:tc>
          <w:tcPr>
            <w:tcW w:w="1134" w:type="dxa"/>
            <w:tcBorders>
              <w:top w:val="single" w:sz="6" w:space="0" w:color="008000"/>
              <w:left w:val="nil"/>
              <w:bottom w:val="nil"/>
              <w:right w:val="nil"/>
            </w:tcBorders>
            <w:shd w:val="clear" w:color="auto" w:fill="auto"/>
            <w:noWrap/>
            <w:vAlign w:val="center"/>
          </w:tcPr>
          <w:p w14:paraId="0AC021AB" w14:textId="576D3A07" w:rsidR="00B035DC" w:rsidRPr="00A93653" w:rsidRDefault="003D56FF"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TAN</w:t>
            </w:r>
            <w:r w:rsidR="00B035DC" w:rsidRPr="00A93653">
              <w:rPr>
                <w:rFonts w:cs="Arial"/>
                <w:color w:val="000000"/>
                <w:szCs w:val="18"/>
                <w:lang w:eastAsia="it-IT"/>
              </w:rPr>
              <w:t>&lt;0.48</w:t>
            </w:r>
          </w:p>
        </w:tc>
        <w:tc>
          <w:tcPr>
            <w:tcW w:w="1134" w:type="dxa"/>
            <w:tcBorders>
              <w:top w:val="single" w:sz="6" w:space="0" w:color="008000"/>
              <w:left w:val="nil"/>
              <w:bottom w:val="nil"/>
              <w:right w:val="nil"/>
            </w:tcBorders>
            <w:shd w:val="clear" w:color="auto" w:fill="auto"/>
            <w:noWrap/>
            <w:vAlign w:val="center"/>
          </w:tcPr>
          <w:p w14:paraId="07D85A6B" w14:textId="69F21884" w:rsidR="00B035DC" w:rsidRPr="00A93653" w:rsidRDefault="003D56FF"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TAN</w:t>
            </w:r>
            <w:r w:rsidR="00B035DC" w:rsidRPr="00A93653">
              <w:rPr>
                <w:rFonts w:cs="Arial"/>
                <w:color w:val="000000"/>
                <w:szCs w:val="18"/>
                <w:lang w:eastAsia="it-IT"/>
              </w:rPr>
              <w:t>&lt;0.9</w:t>
            </w:r>
          </w:p>
        </w:tc>
        <w:tc>
          <w:tcPr>
            <w:tcW w:w="911" w:type="dxa"/>
            <w:tcBorders>
              <w:top w:val="single" w:sz="6" w:space="0" w:color="008000"/>
              <w:left w:val="nil"/>
              <w:bottom w:val="nil"/>
              <w:right w:val="nil"/>
            </w:tcBorders>
            <w:shd w:val="clear" w:color="auto" w:fill="auto"/>
            <w:noWrap/>
            <w:vAlign w:val="center"/>
          </w:tcPr>
          <w:p w14:paraId="12115E51"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very low</w:t>
            </w:r>
          </w:p>
        </w:tc>
        <w:tc>
          <w:tcPr>
            <w:tcW w:w="1035" w:type="dxa"/>
            <w:tcBorders>
              <w:top w:val="single" w:sz="6" w:space="0" w:color="008000"/>
              <w:left w:val="nil"/>
              <w:bottom w:val="nil"/>
              <w:right w:val="nil"/>
            </w:tcBorders>
            <w:shd w:val="clear" w:color="auto" w:fill="auto"/>
            <w:noWrap/>
            <w:vAlign w:val="center"/>
          </w:tcPr>
          <w:p w14:paraId="3F5BF9AE" w14:textId="1BB6DFAF" w:rsidR="00B035DC" w:rsidRPr="00A93653" w:rsidRDefault="003D56FF"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S</w:t>
            </w:r>
            <w:r w:rsidR="00B035DC" w:rsidRPr="00A93653">
              <w:rPr>
                <w:rFonts w:cs="Arial"/>
                <w:color w:val="000000"/>
                <w:szCs w:val="18"/>
                <w:lang w:eastAsia="it-IT"/>
              </w:rPr>
              <w:t>&lt;0.3</w:t>
            </w:r>
          </w:p>
        </w:tc>
        <w:tc>
          <w:tcPr>
            <w:tcW w:w="889" w:type="dxa"/>
            <w:tcBorders>
              <w:top w:val="single" w:sz="6" w:space="0" w:color="008000"/>
              <w:left w:val="nil"/>
              <w:bottom w:val="nil"/>
              <w:right w:val="nil"/>
            </w:tcBorders>
            <w:shd w:val="clear" w:color="auto" w:fill="auto"/>
            <w:noWrap/>
            <w:vAlign w:val="center"/>
          </w:tcPr>
          <w:p w14:paraId="46866127"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very low</w:t>
            </w:r>
          </w:p>
        </w:tc>
        <w:tc>
          <w:tcPr>
            <w:tcW w:w="1143" w:type="dxa"/>
            <w:tcBorders>
              <w:top w:val="single" w:sz="6" w:space="0" w:color="008000"/>
              <w:left w:val="nil"/>
              <w:bottom w:val="nil"/>
              <w:right w:val="nil"/>
            </w:tcBorders>
            <w:shd w:val="clear" w:color="auto" w:fill="auto"/>
            <w:noWrap/>
            <w:vAlign w:val="center"/>
          </w:tcPr>
          <w:p w14:paraId="2C49DFF3" w14:textId="72291CCC" w:rsidR="00B035DC" w:rsidRPr="00A93653" w:rsidRDefault="003D56FF" w:rsidP="00A61DD1">
            <w:pPr>
              <w:tabs>
                <w:tab w:val="clear" w:pos="7100"/>
              </w:tabs>
              <w:spacing w:line="240" w:lineRule="auto"/>
              <w:jc w:val="center"/>
              <w:rPr>
                <w:rFonts w:cs="Arial"/>
                <w:color w:val="000000"/>
                <w:szCs w:val="18"/>
                <w:lang w:eastAsia="it-IT"/>
              </w:rPr>
            </w:pPr>
            <w:r w:rsidRPr="00A93653">
              <w:rPr>
                <w:rFonts w:ascii="Times New Roman" w:hAnsi="Times New Roman"/>
                <w:i/>
                <w:iCs/>
                <w:color w:val="000000"/>
                <w:szCs w:val="18"/>
                <w:lang w:eastAsia="it-IT"/>
              </w:rPr>
              <w:t>r</w:t>
            </w:r>
            <w:r w:rsidR="00B035DC" w:rsidRPr="00A93653">
              <w:rPr>
                <w:rFonts w:cs="Arial"/>
                <w:color w:val="000000"/>
                <w:szCs w:val="18"/>
                <w:lang w:eastAsia="it-IT"/>
              </w:rPr>
              <w:t>&lt;0.08</w:t>
            </w:r>
          </w:p>
        </w:tc>
      </w:tr>
      <w:tr w:rsidR="00B035DC" w:rsidRPr="00A93653" w14:paraId="1B88B8F3" w14:textId="77777777" w:rsidTr="007E30F5">
        <w:trPr>
          <w:trHeight w:val="312"/>
        </w:trPr>
        <w:tc>
          <w:tcPr>
            <w:tcW w:w="591" w:type="dxa"/>
            <w:tcBorders>
              <w:top w:val="nil"/>
              <w:left w:val="nil"/>
              <w:bottom w:val="nil"/>
              <w:right w:val="nil"/>
            </w:tcBorders>
            <w:shd w:val="clear" w:color="auto" w:fill="auto"/>
            <w:noWrap/>
            <w:vAlign w:val="center"/>
            <w:hideMark/>
          </w:tcPr>
          <w:p w14:paraId="788A8B6B"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2</w:t>
            </w:r>
          </w:p>
        </w:tc>
        <w:tc>
          <w:tcPr>
            <w:tcW w:w="1110" w:type="dxa"/>
            <w:gridSpan w:val="2"/>
            <w:tcBorders>
              <w:top w:val="nil"/>
              <w:left w:val="nil"/>
              <w:bottom w:val="nil"/>
              <w:right w:val="nil"/>
            </w:tcBorders>
            <w:shd w:val="clear" w:color="auto" w:fill="auto"/>
            <w:vAlign w:val="center"/>
            <w:hideMark/>
          </w:tcPr>
          <w:p w14:paraId="76137DE1" w14:textId="176EF430"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232≤</w:t>
            </w:r>
            <w:r w:rsidR="003D56FF" w:rsidRPr="00A93653">
              <w:rPr>
                <w:rFonts w:ascii="Times New Roman" w:hAnsi="Times New Roman"/>
                <w:i/>
                <w:iCs/>
                <w:color w:val="000000"/>
                <w:szCs w:val="18"/>
                <w:lang w:eastAsia="it-IT"/>
              </w:rPr>
              <w:t>T</w:t>
            </w:r>
            <w:r w:rsidRPr="00A93653">
              <w:rPr>
                <w:rFonts w:cs="Arial"/>
                <w:color w:val="000000"/>
                <w:szCs w:val="18"/>
                <w:lang w:eastAsia="it-IT"/>
              </w:rPr>
              <w:t>&lt;260</w:t>
            </w:r>
          </w:p>
        </w:tc>
        <w:tc>
          <w:tcPr>
            <w:tcW w:w="851" w:type="dxa"/>
            <w:tcBorders>
              <w:top w:val="nil"/>
              <w:left w:val="nil"/>
              <w:bottom w:val="nil"/>
              <w:right w:val="nil"/>
            </w:tcBorders>
            <w:shd w:val="clear" w:color="auto" w:fill="auto"/>
            <w:vAlign w:val="center"/>
            <w:hideMark/>
          </w:tcPr>
          <w:p w14:paraId="64D1243C"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low</w:t>
            </w:r>
          </w:p>
        </w:tc>
        <w:tc>
          <w:tcPr>
            <w:tcW w:w="1134" w:type="dxa"/>
            <w:tcBorders>
              <w:top w:val="nil"/>
              <w:left w:val="nil"/>
              <w:bottom w:val="nil"/>
              <w:right w:val="nil"/>
            </w:tcBorders>
            <w:shd w:val="clear" w:color="auto" w:fill="auto"/>
            <w:vAlign w:val="center"/>
            <w:hideMark/>
          </w:tcPr>
          <w:p w14:paraId="4668099B" w14:textId="445882C6"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0.48≤</w:t>
            </w:r>
            <w:r w:rsidR="003D56FF" w:rsidRPr="00A93653">
              <w:rPr>
                <w:rFonts w:cs="Arial"/>
                <w:color w:val="000000"/>
                <w:szCs w:val="18"/>
                <w:lang w:eastAsia="it-IT"/>
              </w:rPr>
              <w:t>TAN</w:t>
            </w:r>
            <w:r w:rsidR="00382DA7" w:rsidRPr="00A93653">
              <w:rPr>
                <w:rFonts w:cs="Arial"/>
                <w:color w:val="000000"/>
                <w:szCs w:val="18"/>
                <w:lang w:eastAsia="it-IT"/>
              </w:rPr>
              <w:t xml:space="preserve"> </w:t>
            </w:r>
            <w:r w:rsidRPr="00A93653">
              <w:rPr>
                <w:rFonts w:cs="Arial"/>
                <w:color w:val="000000"/>
                <w:szCs w:val="18"/>
                <w:lang w:eastAsia="it-IT"/>
              </w:rPr>
              <w:t>&lt;1.08</w:t>
            </w:r>
          </w:p>
        </w:tc>
        <w:tc>
          <w:tcPr>
            <w:tcW w:w="1134" w:type="dxa"/>
            <w:tcBorders>
              <w:top w:val="nil"/>
              <w:left w:val="nil"/>
              <w:bottom w:val="nil"/>
              <w:right w:val="nil"/>
            </w:tcBorders>
            <w:shd w:val="clear" w:color="auto" w:fill="auto"/>
            <w:vAlign w:val="center"/>
            <w:hideMark/>
          </w:tcPr>
          <w:p w14:paraId="20456A29" w14:textId="0F990FA5"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0.9≤</w:t>
            </w:r>
            <w:r w:rsidR="003D56FF" w:rsidRPr="00A93653">
              <w:rPr>
                <w:rFonts w:cs="Arial"/>
                <w:color w:val="000000"/>
                <w:szCs w:val="18"/>
                <w:lang w:eastAsia="it-IT"/>
              </w:rPr>
              <w:t>TAN</w:t>
            </w:r>
            <w:r w:rsidR="00050A14" w:rsidRPr="00A93653">
              <w:rPr>
                <w:rFonts w:cs="Arial"/>
                <w:color w:val="000000"/>
                <w:szCs w:val="18"/>
                <w:lang w:eastAsia="it-IT"/>
              </w:rPr>
              <w:t xml:space="preserve"> </w:t>
            </w:r>
            <w:r w:rsidRPr="00A93653">
              <w:rPr>
                <w:rFonts w:cs="Arial"/>
                <w:color w:val="000000"/>
                <w:szCs w:val="18"/>
                <w:lang w:eastAsia="it-IT"/>
              </w:rPr>
              <w:t>&lt;1.42</w:t>
            </w:r>
          </w:p>
        </w:tc>
        <w:tc>
          <w:tcPr>
            <w:tcW w:w="911" w:type="dxa"/>
            <w:tcBorders>
              <w:top w:val="nil"/>
              <w:left w:val="nil"/>
              <w:bottom w:val="nil"/>
              <w:right w:val="nil"/>
            </w:tcBorders>
            <w:shd w:val="clear" w:color="auto" w:fill="auto"/>
            <w:vAlign w:val="center"/>
            <w:hideMark/>
          </w:tcPr>
          <w:p w14:paraId="22065B1F"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low</w:t>
            </w:r>
          </w:p>
        </w:tc>
        <w:tc>
          <w:tcPr>
            <w:tcW w:w="1035" w:type="dxa"/>
            <w:tcBorders>
              <w:top w:val="nil"/>
              <w:left w:val="nil"/>
              <w:bottom w:val="nil"/>
              <w:right w:val="nil"/>
            </w:tcBorders>
            <w:shd w:val="clear" w:color="auto" w:fill="auto"/>
            <w:vAlign w:val="center"/>
            <w:hideMark/>
          </w:tcPr>
          <w:p w14:paraId="68E27EE3" w14:textId="671D02EF"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0.3≤</w:t>
            </w:r>
            <w:r w:rsidR="003D56FF" w:rsidRPr="00A93653">
              <w:rPr>
                <w:rFonts w:cs="Arial"/>
                <w:color w:val="000000"/>
                <w:szCs w:val="18"/>
                <w:lang w:eastAsia="it-IT"/>
              </w:rPr>
              <w:t>S</w:t>
            </w:r>
            <w:r w:rsidRPr="00A93653">
              <w:rPr>
                <w:rFonts w:cs="Arial"/>
                <w:color w:val="000000"/>
                <w:szCs w:val="18"/>
                <w:lang w:eastAsia="it-IT"/>
              </w:rPr>
              <w:t>&lt;0.5</w:t>
            </w:r>
          </w:p>
        </w:tc>
        <w:tc>
          <w:tcPr>
            <w:tcW w:w="889" w:type="dxa"/>
            <w:tcBorders>
              <w:top w:val="nil"/>
              <w:left w:val="nil"/>
              <w:bottom w:val="nil"/>
              <w:right w:val="nil"/>
            </w:tcBorders>
            <w:shd w:val="clear" w:color="auto" w:fill="auto"/>
            <w:vAlign w:val="center"/>
            <w:hideMark/>
          </w:tcPr>
          <w:p w14:paraId="542AC75F"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low</w:t>
            </w:r>
          </w:p>
        </w:tc>
        <w:tc>
          <w:tcPr>
            <w:tcW w:w="1143" w:type="dxa"/>
            <w:tcBorders>
              <w:top w:val="nil"/>
              <w:left w:val="nil"/>
              <w:bottom w:val="nil"/>
              <w:right w:val="nil"/>
            </w:tcBorders>
            <w:shd w:val="clear" w:color="auto" w:fill="auto"/>
            <w:vAlign w:val="center"/>
            <w:hideMark/>
          </w:tcPr>
          <w:p w14:paraId="082F597D" w14:textId="7DD4174C"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0.08≤</w:t>
            </w:r>
            <w:r w:rsidR="003D56FF" w:rsidRPr="00A93653">
              <w:rPr>
                <w:rFonts w:ascii="Times New Roman" w:hAnsi="Times New Roman"/>
                <w:i/>
                <w:iCs/>
                <w:color w:val="000000"/>
                <w:szCs w:val="18"/>
                <w:lang w:eastAsia="it-IT"/>
              </w:rPr>
              <w:t>r</w:t>
            </w:r>
            <w:r w:rsidRPr="00A93653">
              <w:rPr>
                <w:rFonts w:cs="Arial"/>
                <w:color w:val="000000"/>
                <w:szCs w:val="18"/>
                <w:lang w:eastAsia="it-IT"/>
              </w:rPr>
              <w:t>&lt;0.16</w:t>
            </w:r>
          </w:p>
        </w:tc>
      </w:tr>
      <w:tr w:rsidR="00B035DC" w:rsidRPr="00A93653" w14:paraId="68D805D7" w14:textId="77777777" w:rsidTr="007E30F5">
        <w:trPr>
          <w:trHeight w:val="312"/>
        </w:trPr>
        <w:tc>
          <w:tcPr>
            <w:tcW w:w="591" w:type="dxa"/>
            <w:tcBorders>
              <w:top w:val="nil"/>
              <w:left w:val="nil"/>
              <w:bottom w:val="nil"/>
              <w:right w:val="nil"/>
            </w:tcBorders>
            <w:shd w:val="clear" w:color="auto" w:fill="auto"/>
            <w:noWrap/>
            <w:vAlign w:val="center"/>
            <w:hideMark/>
          </w:tcPr>
          <w:p w14:paraId="672C0004"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3</w:t>
            </w:r>
          </w:p>
        </w:tc>
        <w:tc>
          <w:tcPr>
            <w:tcW w:w="1110" w:type="dxa"/>
            <w:gridSpan w:val="2"/>
            <w:tcBorders>
              <w:top w:val="nil"/>
              <w:left w:val="nil"/>
              <w:bottom w:val="nil"/>
              <w:right w:val="nil"/>
            </w:tcBorders>
            <w:shd w:val="clear" w:color="auto" w:fill="auto"/>
            <w:vAlign w:val="center"/>
            <w:hideMark/>
          </w:tcPr>
          <w:p w14:paraId="1E098D12" w14:textId="43FE8E19"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260≤</w:t>
            </w:r>
            <w:r w:rsidR="003D56FF" w:rsidRPr="00A93653">
              <w:rPr>
                <w:rFonts w:ascii="Times New Roman" w:hAnsi="Times New Roman"/>
                <w:i/>
                <w:iCs/>
                <w:color w:val="000000"/>
                <w:szCs w:val="18"/>
                <w:lang w:eastAsia="it-IT"/>
              </w:rPr>
              <w:t>T</w:t>
            </w:r>
            <w:r w:rsidRPr="00A93653">
              <w:rPr>
                <w:rFonts w:cs="Arial"/>
                <w:color w:val="000000"/>
                <w:szCs w:val="18"/>
                <w:lang w:eastAsia="it-IT"/>
              </w:rPr>
              <w:t>&lt;288</w:t>
            </w:r>
          </w:p>
        </w:tc>
        <w:tc>
          <w:tcPr>
            <w:tcW w:w="851" w:type="dxa"/>
            <w:tcBorders>
              <w:top w:val="nil"/>
              <w:left w:val="nil"/>
              <w:bottom w:val="nil"/>
              <w:right w:val="nil"/>
            </w:tcBorders>
            <w:shd w:val="clear" w:color="auto" w:fill="auto"/>
            <w:vAlign w:val="center"/>
            <w:hideMark/>
          </w:tcPr>
          <w:p w14:paraId="6F75A96D"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medium</w:t>
            </w:r>
          </w:p>
        </w:tc>
        <w:tc>
          <w:tcPr>
            <w:tcW w:w="1134" w:type="dxa"/>
            <w:tcBorders>
              <w:top w:val="nil"/>
              <w:left w:val="nil"/>
              <w:bottom w:val="nil"/>
              <w:right w:val="nil"/>
            </w:tcBorders>
            <w:shd w:val="clear" w:color="auto" w:fill="auto"/>
            <w:vAlign w:val="center"/>
            <w:hideMark/>
          </w:tcPr>
          <w:p w14:paraId="4806A36C" w14:textId="77777777" w:rsidR="00382DA7"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1.08≤</w:t>
            </w:r>
            <w:r w:rsidR="003D56FF" w:rsidRPr="00A93653">
              <w:rPr>
                <w:rFonts w:cs="Arial"/>
                <w:color w:val="000000"/>
                <w:szCs w:val="18"/>
                <w:lang w:eastAsia="it-IT"/>
              </w:rPr>
              <w:t>TAN</w:t>
            </w:r>
          </w:p>
          <w:p w14:paraId="0FF1BC27" w14:textId="129DBA74"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&lt;2.25</w:t>
            </w:r>
            <w:r w:rsidR="00382DA7" w:rsidRPr="00A93653">
              <w:rPr>
                <w:rFonts w:cs="Arial"/>
                <w:color w:val="000000"/>
                <w:szCs w:val="18"/>
                <w:lang w:eastAsia="it-IT"/>
              </w:rPr>
              <w:t xml:space="preserve"> </w:t>
            </w:r>
          </w:p>
        </w:tc>
        <w:tc>
          <w:tcPr>
            <w:tcW w:w="1134" w:type="dxa"/>
            <w:tcBorders>
              <w:top w:val="nil"/>
              <w:left w:val="nil"/>
              <w:bottom w:val="nil"/>
              <w:right w:val="nil"/>
            </w:tcBorders>
            <w:shd w:val="clear" w:color="auto" w:fill="auto"/>
            <w:vAlign w:val="center"/>
            <w:hideMark/>
          </w:tcPr>
          <w:p w14:paraId="073ECF08" w14:textId="77777777" w:rsidR="00050A14"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1.42≤</w:t>
            </w:r>
            <w:r w:rsidR="003D56FF" w:rsidRPr="00A93653">
              <w:rPr>
                <w:rFonts w:cs="Arial"/>
                <w:color w:val="000000"/>
                <w:szCs w:val="18"/>
                <w:lang w:eastAsia="it-IT"/>
              </w:rPr>
              <w:t>TAN</w:t>
            </w:r>
          </w:p>
          <w:p w14:paraId="47CBD9E4" w14:textId="59395355"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&lt;2.37</w:t>
            </w:r>
          </w:p>
        </w:tc>
        <w:tc>
          <w:tcPr>
            <w:tcW w:w="911" w:type="dxa"/>
            <w:tcBorders>
              <w:top w:val="nil"/>
              <w:left w:val="nil"/>
              <w:bottom w:val="nil"/>
              <w:right w:val="nil"/>
            </w:tcBorders>
            <w:shd w:val="clear" w:color="auto" w:fill="auto"/>
            <w:vAlign w:val="center"/>
            <w:hideMark/>
          </w:tcPr>
          <w:p w14:paraId="7272E2BB"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medium low</w:t>
            </w:r>
          </w:p>
        </w:tc>
        <w:tc>
          <w:tcPr>
            <w:tcW w:w="1035" w:type="dxa"/>
            <w:tcBorders>
              <w:top w:val="nil"/>
              <w:left w:val="nil"/>
              <w:bottom w:val="nil"/>
              <w:right w:val="nil"/>
            </w:tcBorders>
            <w:shd w:val="clear" w:color="auto" w:fill="auto"/>
            <w:vAlign w:val="center"/>
            <w:hideMark/>
          </w:tcPr>
          <w:p w14:paraId="3C711725" w14:textId="161C5F3B"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0.5≤</w:t>
            </w:r>
            <w:r w:rsidR="003D56FF" w:rsidRPr="00A93653">
              <w:rPr>
                <w:rFonts w:cs="Arial"/>
                <w:color w:val="000000"/>
                <w:szCs w:val="18"/>
                <w:lang w:eastAsia="it-IT"/>
              </w:rPr>
              <w:t>S</w:t>
            </w:r>
            <w:r w:rsidRPr="00A93653">
              <w:rPr>
                <w:rFonts w:cs="Arial"/>
                <w:color w:val="000000"/>
                <w:szCs w:val="18"/>
                <w:lang w:eastAsia="it-IT"/>
              </w:rPr>
              <w:t>&lt;1.05</w:t>
            </w:r>
          </w:p>
        </w:tc>
        <w:tc>
          <w:tcPr>
            <w:tcW w:w="889" w:type="dxa"/>
            <w:tcBorders>
              <w:top w:val="nil"/>
              <w:left w:val="nil"/>
              <w:bottom w:val="nil"/>
              <w:right w:val="nil"/>
            </w:tcBorders>
            <w:shd w:val="clear" w:color="auto" w:fill="auto"/>
            <w:vAlign w:val="center"/>
            <w:hideMark/>
          </w:tcPr>
          <w:p w14:paraId="5991BFFB"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medium low</w:t>
            </w:r>
          </w:p>
        </w:tc>
        <w:tc>
          <w:tcPr>
            <w:tcW w:w="1143" w:type="dxa"/>
            <w:tcBorders>
              <w:top w:val="nil"/>
              <w:left w:val="nil"/>
              <w:bottom w:val="nil"/>
              <w:right w:val="nil"/>
            </w:tcBorders>
            <w:shd w:val="clear" w:color="auto" w:fill="auto"/>
            <w:vAlign w:val="center"/>
            <w:hideMark/>
          </w:tcPr>
          <w:p w14:paraId="477EDC58" w14:textId="1C7FD49F"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0.16≤</w:t>
            </w:r>
            <w:r w:rsidR="003D56FF" w:rsidRPr="00A93653">
              <w:rPr>
                <w:rFonts w:ascii="Times New Roman" w:hAnsi="Times New Roman"/>
                <w:i/>
                <w:iCs/>
                <w:color w:val="000000"/>
                <w:szCs w:val="18"/>
                <w:lang w:eastAsia="it-IT"/>
              </w:rPr>
              <w:t>r</w:t>
            </w:r>
            <w:r w:rsidRPr="00A93653">
              <w:rPr>
                <w:rFonts w:cs="Arial"/>
                <w:color w:val="000000"/>
                <w:szCs w:val="18"/>
                <w:lang w:eastAsia="it-IT"/>
              </w:rPr>
              <w:t>&lt;0.32</w:t>
            </w:r>
          </w:p>
        </w:tc>
      </w:tr>
      <w:tr w:rsidR="00B035DC" w:rsidRPr="00A93653" w14:paraId="68EBD4FB" w14:textId="77777777" w:rsidTr="007E30F5">
        <w:trPr>
          <w:trHeight w:val="312"/>
        </w:trPr>
        <w:tc>
          <w:tcPr>
            <w:tcW w:w="591" w:type="dxa"/>
            <w:tcBorders>
              <w:top w:val="nil"/>
              <w:left w:val="nil"/>
              <w:bottom w:val="nil"/>
              <w:right w:val="nil"/>
            </w:tcBorders>
            <w:shd w:val="clear" w:color="auto" w:fill="auto"/>
            <w:noWrap/>
            <w:vAlign w:val="center"/>
            <w:hideMark/>
          </w:tcPr>
          <w:p w14:paraId="4264FC32"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4</w:t>
            </w:r>
          </w:p>
        </w:tc>
        <w:tc>
          <w:tcPr>
            <w:tcW w:w="1110" w:type="dxa"/>
            <w:gridSpan w:val="2"/>
            <w:tcBorders>
              <w:top w:val="nil"/>
              <w:left w:val="nil"/>
              <w:bottom w:val="nil"/>
              <w:right w:val="nil"/>
            </w:tcBorders>
            <w:shd w:val="clear" w:color="auto" w:fill="auto"/>
            <w:vAlign w:val="center"/>
            <w:hideMark/>
          </w:tcPr>
          <w:p w14:paraId="372BE401" w14:textId="404C4FF6"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288≤</w:t>
            </w:r>
            <w:r w:rsidR="003D56FF" w:rsidRPr="00A93653">
              <w:rPr>
                <w:rFonts w:ascii="Times New Roman" w:hAnsi="Times New Roman"/>
                <w:i/>
                <w:iCs/>
                <w:color w:val="000000"/>
                <w:szCs w:val="18"/>
                <w:lang w:eastAsia="it-IT"/>
              </w:rPr>
              <w:t>T</w:t>
            </w:r>
            <w:r w:rsidRPr="00A93653">
              <w:rPr>
                <w:rFonts w:cs="Arial"/>
                <w:color w:val="000000"/>
                <w:szCs w:val="18"/>
                <w:lang w:eastAsia="it-IT"/>
              </w:rPr>
              <w:t>&lt;315</w:t>
            </w:r>
          </w:p>
        </w:tc>
        <w:tc>
          <w:tcPr>
            <w:tcW w:w="851" w:type="dxa"/>
            <w:tcBorders>
              <w:top w:val="nil"/>
              <w:left w:val="nil"/>
              <w:bottom w:val="nil"/>
              <w:right w:val="nil"/>
            </w:tcBorders>
            <w:shd w:val="clear" w:color="auto" w:fill="auto"/>
            <w:vAlign w:val="center"/>
            <w:hideMark/>
          </w:tcPr>
          <w:p w14:paraId="29D6CC09"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high</w:t>
            </w:r>
          </w:p>
        </w:tc>
        <w:tc>
          <w:tcPr>
            <w:tcW w:w="1134" w:type="dxa"/>
            <w:tcBorders>
              <w:top w:val="nil"/>
              <w:left w:val="nil"/>
              <w:bottom w:val="nil"/>
              <w:right w:val="nil"/>
            </w:tcBorders>
            <w:shd w:val="clear" w:color="auto" w:fill="auto"/>
            <w:vAlign w:val="center"/>
            <w:hideMark/>
          </w:tcPr>
          <w:p w14:paraId="5248A40D" w14:textId="77777777" w:rsidR="00382DA7"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2.25≤</w:t>
            </w:r>
            <w:r w:rsidR="003D56FF" w:rsidRPr="00A93653">
              <w:rPr>
                <w:rFonts w:cs="Arial"/>
                <w:color w:val="000000"/>
                <w:szCs w:val="18"/>
                <w:lang w:eastAsia="it-IT"/>
              </w:rPr>
              <w:t>TAN</w:t>
            </w:r>
          </w:p>
          <w:p w14:paraId="305E4EA9" w14:textId="41B83150"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&lt;3.5</w:t>
            </w:r>
          </w:p>
        </w:tc>
        <w:tc>
          <w:tcPr>
            <w:tcW w:w="1134" w:type="dxa"/>
            <w:tcBorders>
              <w:top w:val="nil"/>
              <w:left w:val="nil"/>
              <w:bottom w:val="nil"/>
              <w:right w:val="nil"/>
            </w:tcBorders>
            <w:shd w:val="clear" w:color="auto" w:fill="auto"/>
            <w:vAlign w:val="center"/>
            <w:hideMark/>
          </w:tcPr>
          <w:p w14:paraId="3AE408FB" w14:textId="77777777" w:rsidR="00050A14" w:rsidRPr="00A93653" w:rsidRDefault="00B035DC" w:rsidP="00A61DD1">
            <w:pPr>
              <w:tabs>
                <w:tab w:val="clear" w:pos="7100"/>
              </w:tabs>
              <w:spacing w:line="240" w:lineRule="auto"/>
              <w:jc w:val="center"/>
              <w:rPr>
                <w:rFonts w:cs="Arial"/>
                <w:color w:val="000000"/>
                <w:szCs w:val="18"/>
                <w:lang w:eastAsia="it-IT"/>
              </w:rPr>
            </w:pPr>
            <w:r w:rsidRPr="00A93653">
              <w:rPr>
                <w:rFonts w:cs="Arial"/>
                <w:color w:val="000000"/>
                <w:szCs w:val="18"/>
                <w:lang w:eastAsia="it-IT"/>
              </w:rPr>
              <w:t>2.37≤</w:t>
            </w:r>
            <w:r w:rsidR="003D56FF" w:rsidRPr="00A93653">
              <w:rPr>
                <w:rFonts w:cs="Arial"/>
                <w:color w:val="000000"/>
                <w:szCs w:val="18"/>
                <w:lang w:eastAsia="it-IT"/>
              </w:rPr>
              <w:t>TAN</w:t>
            </w:r>
          </w:p>
          <w:p w14:paraId="2CFC779F" w14:textId="6292F594"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&lt;3.5</w:t>
            </w:r>
          </w:p>
        </w:tc>
        <w:tc>
          <w:tcPr>
            <w:tcW w:w="911" w:type="dxa"/>
            <w:tcBorders>
              <w:top w:val="nil"/>
              <w:left w:val="nil"/>
              <w:bottom w:val="nil"/>
              <w:right w:val="nil"/>
            </w:tcBorders>
            <w:shd w:val="clear" w:color="auto" w:fill="auto"/>
            <w:vAlign w:val="center"/>
            <w:hideMark/>
          </w:tcPr>
          <w:p w14:paraId="6C85DA83"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medium high</w:t>
            </w:r>
          </w:p>
        </w:tc>
        <w:tc>
          <w:tcPr>
            <w:tcW w:w="1035" w:type="dxa"/>
            <w:tcBorders>
              <w:top w:val="nil"/>
              <w:left w:val="nil"/>
              <w:bottom w:val="nil"/>
              <w:right w:val="nil"/>
            </w:tcBorders>
            <w:shd w:val="clear" w:color="auto" w:fill="auto"/>
            <w:vAlign w:val="center"/>
            <w:hideMark/>
          </w:tcPr>
          <w:p w14:paraId="661CC5EE" w14:textId="554A0569"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1.5≤</w:t>
            </w:r>
            <w:r w:rsidR="003D56FF" w:rsidRPr="00A93653">
              <w:rPr>
                <w:rFonts w:cs="Arial"/>
                <w:color w:val="000000"/>
                <w:szCs w:val="18"/>
                <w:lang w:eastAsia="it-IT"/>
              </w:rPr>
              <w:t>S</w:t>
            </w:r>
            <w:r w:rsidRPr="00A93653">
              <w:rPr>
                <w:rFonts w:cs="Arial"/>
                <w:color w:val="000000"/>
                <w:szCs w:val="18"/>
                <w:lang w:eastAsia="it-IT"/>
              </w:rPr>
              <w:t>&lt;2</w:t>
            </w:r>
          </w:p>
        </w:tc>
        <w:tc>
          <w:tcPr>
            <w:tcW w:w="889" w:type="dxa"/>
            <w:tcBorders>
              <w:top w:val="nil"/>
              <w:left w:val="nil"/>
              <w:bottom w:val="nil"/>
              <w:right w:val="nil"/>
            </w:tcBorders>
            <w:shd w:val="clear" w:color="auto" w:fill="auto"/>
            <w:vAlign w:val="center"/>
            <w:hideMark/>
          </w:tcPr>
          <w:p w14:paraId="78E21C7D"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medium</w:t>
            </w:r>
          </w:p>
        </w:tc>
        <w:tc>
          <w:tcPr>
            <w:tcW w:w="1143" w:type="dxa"/>
            <w:tcBorders>
              <w:top w:val="nil"/>
              <w:left w:val="nil"/>
              <w:bottom w:val="nil"/>
              <w:right w:val="nil"/>
            </w:tcBorders>
            <w:shd w:val="clear" w:color="auto" w:fill="auto"/>
            <w:vAlign w:val="center"/>
            <w:hideMark/>
          </w:tcPr>
          <w:p w14:paraId="156BF03B" w14:textId="5428DC93"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0.32≤</w:t>
            </w:r>
            <w:r w:rsidR="003D56FF" w:rsidRPr="00A93653">
              <w:rPr>
                <w:rFonts w:ascii="Times New Roman" w:hAnsi="Times New Roman"/>
                <w:i/>
                <w:iCs/>
                <w:color w:val="000000"/>
                <w:szCs w:val="18"/>
                <w:lang w:eastAsia="it-IT"/>
              </w:rPr>
              <w:t>r</w:t>
            </w:r>
            <w:r w:rsidRPr="00A93653">
              <w:rPr>
                <w:rFonts w:cs="Arial"/>
                <w:color w:val="000000"/>
                <w:szCs w:val="18"/>
                <w:lang w:eastAsia="it-IT"/>
              </w:rPr>
              <w:t>&lt;0.64</w:t>
            </w:r>
          </w:p>
        </w:tc>
      </w:tr>
      <w:tr w:rsidR="00B035DC" w:rsidRPr="00A93653" w14:paraId="6DC563D2" w14:textId="77777777" w:rsidTr="007E30F5">
        <w:trPr>
          <w:trHeight w:val="312"/>
        </w:trPr>
        <w:tc>
          <w:tcPr>
            <w:tcW w:w="591" w:type="dxa"/>
            <w:tcBorders>
              <w:top w:val="nil"/>
              <w:left w:val="nil"/>
              <w:bottom w:val="nil"/>
              <w:right w:val="nil"/>
            </w:tcBorders>
            <w:shd w:val="clear" w:color="auto" w:fill="auto"/>
            <w:noWrap/>
            <w:vAlign w:val="center"/>
            <w:hideMark/>
          </w:tcPr>
          <w:p w14:paraId="3A56A150"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5</w:t>
            </w:r>
          </w:p>
        </w:tc>
        <w:tc>
          <w:tcPr>
            <w:tcW w:w="1110" w:type="dxa"/>
            <w:gridSpan w:val="2"/>
            <w:tcBorders>
              <w:top w:val="nil"/>
              <w:left w:val="nil"/>
              <w:bottom w:val="nil"/>
              <w:right w:val="nil"/>
            </w:tcBorders>
            <w:shd w:val="clear" w:color="auto" w:fill="auto"/>
            <w:vAlign w:val="center"/>
            <w:hideMark/>
          </w:tcPr>
          <w:p w14:paraId="287744C5" w14:textId="2068C67B"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315≤</w:t>
            </w:r>
            <w:r w:rsidR="003D56FF" w:rsidRPr="00A93653">
              <w:rPr>
                <w:rFonts w:ascii="Times New Roman" w:hAnsi="Times New Roman"/>
                <w:i/>
                <w:iCs/>
                <w:color w:val="000000"/>
                <w:szCs w:val="18"/>
                <w:lang w:eastAsia="it-IT"/>
              </w:rPr>
              <w:t>T</w:t>
            </w:r>
            <w:r w:rsidRPr="00A93653">
              <w:rPr>
                <w:rFonts w:cs="Arial"/>
                <w:color w:val="000000"/>
                <w:szCs w:val="18"/>
                <w:lang w:eastAsia="it-IT"/>
              </w:rPr>
              <w:t>&lt;343</w:t>
            </w:r>
          </w:p>
        </w:tc>
        <w:tc>
          <w:tcPr>
            <w:tcW w:w="851" w:type="dxa"/>
            <w:tcBorders>
              <w:top w:val="nil"/>
              <w:left w:val="nil"/>
              <w:bottom w:val="nil"/>
              <w:right w:val="nil"/>
            </w:tcBorders>
            <w:shd w:val="clear" w:color="auto" w:fill="auto"/>
            <w:vAlign w:val="center"/>
            <w:hideMark/>
          </w:tcPr>
          <w:p w14:paraId="0295F0B8"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very high</w:t>
            </w:r>
          </w:p>
        </w:tc>
        <w:tc>
          <w:tcPr>
            <w:tcW w:w="1134" w:type="dxa"/>
            <w:tcBorders>
              <w:top w:val="nil"/>
              <w:left w:val="nil"/>
              <w:bottom w:val="nil"/>
              <w:right w:val="nil"/>
            </w:tcBorders>
            <w:shd w:val="clear" w:color="auto" w:fill="auto"/>
            <w:vAlign w:val="center"/>
            <w:hideMark/>
          </w:tcPr>
          <w:p w14:paraId="4D406A55" w14:textId="2F942155" w:rsidR="00B035DC" w:rsidRPr="00A93653" w:rsidRDefault="003D56FF"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TAN</w:t>
            </w:r>
            <w:r w:rsidR="00B035DC" w:rsidRPr="00A93653">
              <w:rPr>
                <w:rFonts w:cs="Arial"/>
                <w:color w:val="000000"/>
                <w:szCs w:val="18"/>
                <w:lang w:eastAsia="it-IT"/>
              </w:rPr>
              <w:t>&gt;3.5</w:t>
            </w:r>
          </w:p>
        </w:tc>
        <w:tc>
          <w:tcPr>
            <w:tcW w:w="1134" w:type="dxa"/>
            <w:tcBorders>
              <w:top w:val="nil"/>
              <w:left w:val="nil"/>
              <w:bottom w:val="nil"/>
              <w:right w:val="nil"/>
            </w:tcBorders>
            <w:shd w:val="clear" w:color="auto" w:fill="auto"/>
            <w:vAlign w:val="center"/>
            <w:hideMark/>
          </w:tcPr>
          <w:p w14:paraId="3B3C0E28" w14:textId="58014B4E" w:rsidR="00B035DC" w:rsidRPr="00A93653" w:rsidRDefault="003D56FF"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TAN</w:t>
            </w:r>
            <w:r w:rsidR="00B035DC" w:rsidRPr="00A93653">
              <w:rPr>
                <w:rFonts w:cs="Arial"/>
                <w:color w:val="000000"/>
                <w:szCs w:val="18"/>
                <w:lang w:eastAsia="it-IT"/>
              </w:rPr>
              <w:t>&gt;3.5</w:t>
            </w:r>
          </w:p>
        </w:tc>
        <w:tc>
          <w:tcPr>
            <w:tcW w:w="911" w:type="dxa"/>
            <w:tcBorders>
              <w:top w:val="nil"/>
              <w:left w:val="nil"/>
              <w:bottom w:val="nil"/>
              <w:right w:val="nil"/>
            </w:tcBorders>
            <w:shd w:val="clear" w:color="auto" w:fill="auto"/>
            <w:vAlign w:val="center"/>
            <w:hideMark/>
          </w:tcPr>
          <w:p w14:paraId="09F7E5C2"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high</w:t>
            </w:r>
          </w:p>
        </w:tc>
        <w:tc>
          <w:tcPr>
            <w:tcW w:w="1035" w:type="dxa"/>
            <w:tcBorders>
              <w:top w:val="nil"/>
              <w:left w:val="nil"/>
              <w:bottom w:val="nil"/>
              <w:right w:val="nil"/>
            </w:tcBorders>
            <w:shd w:val="clear" w:color="auto" w:fill="auto"/>
            <w:vAlign w:val="center"/>
            <w:hideMark/>
          </w:tcPr>
          <w:p w14:paraId="0635F30F" w14:textId="09371218"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2≤</w:t>
            </w:r>
            <w:r w:rsidR="003D56FF" w:rsidRPr="00A93653">
              <w:rPr>
                <w:rFonts w:cs="Arial"/>
                <w:color w:val="000000"/>
                <w:szCs w:val="18"/>
                <w:lang w:eastAsia="it-IT"/>
              </w:rPr>
              <w:t>S</w:t>
            </w:r>
            <w:r w:rsidRPr="00A93653">
              <w:rPr>
                <w:rFonts w:cs="Arial"/>
                <w:color w:val="000000"/>
                <w:szCs w:val="18"/>
                <w:lang w:eastAsia="it-IT"/>
              </w:rPr>
              <w:t>&lt;2.75</w:t>
            </w:r>
          </w:p>
        </w:tc>
        <w:tc>
          <w:tcPr>
            <w:tcW w:w="889" w:type="dxa"/>
            <w:tcBorders>
              <w:top w:val="nil"/>
              <w:left w:val="nil"/>
              <w:bottom w:val="nil"/>
              <w:right w:val="nil"/>
            </w:tcBorders>
            <w:shd w:val="clear" w:color="auto" w:fill="auto"/>
            <w:vAlign w:val="center"/>
            <w:hideMark/>
          </w:tcPr>
          <w:p w14:paraId="5EBA4709"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medium high</w:t>
            </w:r>
          </w:p>
        </w:tc>
        <w:tc>
          <w:tcPr>
            <w:tcW w:w="1143" w:type="dxa"/>
            <w:tcBorders>
              <w:top w:val="nil"/>
              <w:left w:val="nil"/>
              <w:bottom w:val="nil"/>
              <w:right w:val="nil"/>
            </w:tcBorders>
            <w:shd w:val="clear" w:color="auto" w:fill="auto"/>
            <w:vAlign w:val="center"/>
            <w:hideMark/>
          </w:tcPr>
          <w:p w14:paraId="2B441424" w14:textId="0829C3DF"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0.64≤</w:t>
            </w:r>
            <w:r w:rsidR="003D56FF" w:rsidRPr="00A93653">
              <w:rPr>
                <w:rFonts w:ascii="Times New Roman" w:hAnsi="Times New Roman"/>
                <w:i/>
                <w:iCs/>
                <w:color w:val="000000"/>
                <w:szCs w:val="18"/>
                <w:lang w:eastAsia="it-IT"/>
              </w:rPr>
              <w:t>r</w:t>
            </w:r>
            <w:r w:rsidRPr="00A93653">
              <w:rPr>
                <w:rFonts w:cs="Arial"/>
                <w:color w:val="000000"/>
                <w:szCs w:val="18"/>
                <w:lang w:eastAsia="it-IT"/>
              </w:rPr>
              <w:t>&lt;1.28</w:t>
            </w:r>
          </w:p>
        </w:tc>
      </w:tr>
      <w:tr w:rsidR="00B035DC" w:rsidRPr="00A93653" w14:paraId="2292B5FA" w14:textId="77777777" w:rsidTr="007E30F5">
        <w:trPr>
          <w:trHeight w:val="312"/>
        </w:trPr>
        <w:tc>
          <w:tcPr>
            <w:tcW w:w="591" w:type="dxa"/>
            <w:tcBorders>
              <w:top w:val="nil"/>
              <w:left w:val="nil"/>
              <w:bottom w:val="nil"/>
              <w:right w:val="nil"/>
            </w:tcBorders>
            <w:shd w:val="clear" w:color="auto" w:fill="auto"/>
            <w:noWrap/>
            <w:vAlign w:val="center"/>
            <w:hideMark/>
          </w:tcPr>
          <w:p w14:paraId="489358B7"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6</w:t>
            </w:r>
          </w:p>
        </w:tc>
        <w:tc>
          <w:tcPr>
            <w:tcW w:w="1110" w:type="dxa"/>
            <w:gridSpan w:val="2"/>
            <w:tcBorders>
              <w:top w:val="nil"/>
              <w:left w:val="nil"/>
              <w:bottom w:val="nil"/>
              <w:right w:val="nil"/>
            </w:tcBorders>
            <w:shd w:val="clear" w:color="auto" w:fill="auto"/>
            <w:vAlign w:val="center"/>
            <w:hideMark/>
          </w:tcPr>
          <w:p w14:paraId="57BF2DD6" w14:textId="1C77F434"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343≤</w:t>
            </w:r>
            <w:r w:rsidR="003D56FF" w:rsidRPr="00A93653">
              <w:rPr>
                <w:rFonts w:ascii="Times New Roman" w:hAnsi="Times New Roman"/>
                <w:i/>
                <w:iCs/>
                <w:color w:val="000000"/>
                <w:szCs w:val="18"/>
                <w:lang w:eastAsia="it-IT"/>
              </w:rPr>
              <w:t>T</w:t>
            </w:r>
            <w:r w:rsidRPr="00A93653">
              <w:rPr>
                <w:rFonts w:cs="Arial"/>
                <w:color w:val="000000"/>
                <w:szCs w:val="18"/>
                <w:lang w:eastAsia="it-IT"/>
              </w:rPr>
              <w:t>&lt;371</w:t>
            </w:r>
          </w:p>
        </w:tc>
        <w:tc>
          <w:tcPr>
            <w:tcW w:w="851" w:type="dxa"/>
            <w:tcBorders>
              <w:top w:val="nil"/>
              <w:left w:val="nil"/>
              <w:bottom w:val="nil"/>
              <w:right w:val="nil"/>
            </w:tcBorders>
            <w:shd w:val="clear" w:color="auto" w:fill="auto"/>
            <w:vAlign w:val="center"/>
            <w:hideMark/>
          </w:tcPr>
          <w:p w14:paraId="5C4E3DE9" w14:textId="77777777" w:rsidR="00B035DC" w:rsidRPr="00A93653" w:rsidRDefault="00B035DC" w:rsidP="00A61DD1">
            <w:pPr>
              <w:tabs>
                <w:tab w:val="clear" w:pos="7100"/>
              </w:tabs>
              <w:spacing w:line="240" w:lineRule="auto"/>
              <w:jc w:val="center"/>
              <w:rPr>
                <w:rFonts w:cs="Arial"/>
                <w:color w:val="000000"/>
                <w:szCs w:val="18"/>
                <w:lang w:val="it-IT" w:eastAsia="it-IT"/>
              </w:rPr>
            </w:pPr>
          </w:p>
        </w:tc>
        <w:tc>
          <w:tcPr>
            <w:tcW w:w="1134" w:type="dxa"/>
            <w:tcBorders>
              <w:top w:val="nil"/>
              <w:left w:val="nil"/>
              <w:bottom w:val="nil"/>
              <w:right w:val="nil"/>
            </w:tcBorders>
            <w:shd w:val="clear" w:color="auto" w:fill="auto"/>
            <w:vAlign w:val="center"/>
            <w:hideMark/>
          </w:tcPr>
          <w:p w14:paraId="40AA0550" w14:textId="77777777" w:rsidR="00B035DC" w:rsidRPr="00A93653" w:rsidRDefault="00B035DC" w:rsidP="00A61DD1">
            <w:pPr>
              <w:tabs>
                <w:tab w:val="clear" w:pos="7100"/>
              </w:tabs>
              <w:spacing w:line="240" w:lineRule="auto"/>
              <w:jc w:val="center"/>
              <w:rPr>
                <w:rFonts w:ascii="Times New Roman" w:hAnsi="Times New Roman"/>
                <w:sz w:val="20"/>
                <w:lang w:val="it-IT" w:eastAsia="it-IT"/>
              </w:rPr>
            </w:pPr>
          </w:p>
        </w:tc>
        <w:tc>
          <w:tcPr>
            <w:tcW w:w="1134" w:type="dxa"/>
            <w:tcBorders>
              <w:top w:val="nil"/>
              <w:left w:val="nil"/>
              <w:bottom w:val="nil"/>
              <w:right w:val="nil"/>
            </w:tcBorders>
            <w:shd w:val="clear" w:color="auto" w:fill="auto"/>
            <w:vAlign w:val="center"/>
            <w:hideMark/>
          </w:tcPr>
          <w:p w14:paraId="559A9698" w14:textId="77777777" w:rsidR="00B035DC" w:rsidRPr="00A93653" w:rsidRDefault="00B035DC" w:rsidP="00A61DD1">
            <w:pPr>
              <w:tabs>
                <w:tab w:val="clear" w:pos="7100"/>
              </w:tabs>
              <w:spacing w:line="240" w:lineRule="auto"/>
              <w:jc w:val="center"/>
              <w:rPr>
                <w:rFonts w:ascii="Times New Roman" w:hAnsi="Times New Roman"/>
                <w:sz w:val="20"/>
                <w:lang w:val="it-IT" w:eastAsia="it-IT"/>
              </w:rPr>
            </w:pPr>
          </w:p>
        </w:tc>
        <w:tc>
          <w:tcPr>
            <w:tcW w:w="911" w:type="dxa"/>
            <w:tcBorders>
              <w:top w:val="nil"/>
              <w:left w:val="nil"/>
              <w:bottom w:val="nil"/>
              <w:right w:val="nil"/>
            </w:tcBorders>
            <w:shd w:val="clear" w:color="auto" w:fill="auto"/>
            <w:vAlign w:val="center"/>
            <w:hideMark/>
          </w:tcPr>
          <w:p w14:paraId="26901877"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very high</w:t>
            </w:r>
          </w:p>
        </w:tc>
        <w:tc>
          <w:tcPr>
            <w:tcW w:w="1035" w:type="dxa"/>
            <w:tcBorders>
              <w:top w:val="nil"/>
              <w:left w:val="nil"/>
              <w:bottom w:val="nil"/>
              <w:right w:val="nil"/>
            </w:tcBorders>
            <w:shd w:val="clear" w:color="auto" w:fill="auto"/>
            <w:vAlign w:val="center"/>
            <w:hideMark/>
          </w:tcPr>
          <w:p w14:paraId="01075F82" w14:textId="2FC61735" w:rsidR="00B035DC" w:rsidRPr="00A93653" w:rsidRDefault="003D56FF"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S</w:t>
            </w:r>
            <w:r w:rsidR="00B035DC" w:rsidRPr="00A93653">
              <w:rPr>
                <w:rFonts w:cs="Arial"/>
                <w:color w:val="000000"/>
                <w:szCs w:val="18"/>
                <w:lang w:eastAsia="it-IT"/>
              </w:rPr>
              <w:t>&gt;2.75</w:t>
            </w:r>
          </w:p>
        </w:tc>
        <w:tc>
          <w:tcPr>
            <w:tcW w:w="889" w:type="dxa"/>
            <w:tcBorders>
              <w:top w:val="nil"/>
              <w:left w:val="nil"/>
              <w:bottom w:val="nil"/>
              <w:right w:val="nil"/>
            </w:tcBorders>
            <w:shd w:val="clear" w:color="auto" w:fill="auto"/>
            <w:vAlign w:val="center"/>
            <w:hideMark/>
          </w:tcPr>
          <w:p w14:paraId="12E79C47"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high</w:t>
            </w:r>
          </w:p>
        </w:tc>
        <w:tc>
          <w:tcPr>
            <w:tcW w:w="1143" w:type="dxa"/>
            <w:tcBorders>
              <w:top w:val="nil"/>
              <w:left w:val="nil"/>
              <w:bottom w:val="nil"/>
              <w:right w:val="nil"/>
            </w:tcBorders>
            <w:shd w:val="clear" w:color="auto" w:fill="auto"/>
            <w:vAlign w:val="center"/>
            <w:hideMark/>
          </w:tcPr>
          <w:p w14:paraId="5A62FD0D" w14:textId="0BBFA8FC"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1.28≤</w:t>
            </w:r>
            <w:r w:rsidR="003D56FF" w:rsidRPr="00A93653">
              <w:rPr>
                <w:rFonts w:ascii="Times New Roman" w:hAnsi="Times New Roman"/>
                <w:i/>
                <w:iCs/>
                <w:color w:val="000000"/>
                <w:szCs w:val="18"/>
                <w:lang w:eastAsia="it-IT"/>
              </w:rPr>
              <w:t>r</w:t>
            </w:r>
            <w:r w:rsidRPr="00A93653">
              <w:rPr>
                <w:rFonts w:cs="Arial"/>
                <w:color w:val="000000"/>
                <w:szCs w:val="18"/>
                <w:lang w:eastAsia="it-IT"/>
              </w:rPr>
              <w:t>&lt;2.56</w:t>
            </w:r>
          </w:p>
        </w:tc>
      </w:tr>
      <w:tr w:rsidR="00B035DC" w:rsidRPr="00A93653" w14:paraId="7A570F9E" w14:textId="77777777" w:rsidTr="007E30F5">
        <w:trPr>
          <w:trHeight w:val="312"/>
        </w:trPr>
        <w:tc>
          <w:tcPr>
            <w:tcW w:w="591" w:type="dxa"/>
            <w:tcBorders>
              <w:top w:val="nil"/>
              <w:left w:val="nil"/>
              <w:bottom w:val="nil"/>
              <w:right w:val="nil"/>
            </w:tcBorders>
            <w:shd w:val="clear" w:color="auto" w:fill="auto"/>
            <w:vAlign w:val="center"/>
            <w:hideMark/>
          </w:tcPr>
          <w:p w14:paraId="715BF64F"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7</w:t>
            </w:r>
          </w:p>
        </w:tc>
        <w:tc>
          <w:tcPr>
            <w:tcW w:w="1110" w:type="dxa"/>
            <w:gridSpan w:val="2"/>
            <w:tcBorders>
              <w:top w:val="nil"/>
              <w:left w:val="nil"/>
              <w:bottom w:val="nil"/>
              <w:right w:val="nil"/>
            </w:tcBorders>
            <w:shd w:val="clear" w:color="auto" w:fill="auto"/>
            <w:vAlign w:val="center"/>
            <w:hideMark/>
          </w:tcPr>
          <w:p w14:paraId="70052145" w14:textId="75CC1131"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371≤</w:t>
            </w:r>
            <w:r w:rsidR="003D56FF" w:rsidRPr="00A93653">
              <w:rPr>
                <w:rFonts w:ascii="Times New Roman" w:hAnsi="Times New Roman"/>
                <w:i/>
                <w:iCs/>
                <w:color w:val="000000"/>
                <w:szCs w:val="18"/>
                <w:lang w:eastAsia="it-IT"/>
              </w:rPr>
              <w:t>T</w:t>
            </w:r>
            <w:r w:rsidRPr="00A93653">
              <w:rPr>
                <w:rFonts w:cs="Arial"/>
                <w:color w:val="000000"/>
                <w:szCs w:val="18"/>
                <w:lang w:eastAsia="it-IT"/>
              </w:rPr>
              <w:t>&lt;392</w:t>
            </w:r>
          </w:p>
        </w:tc>
        <w:tc>
          <w:tcPr>
            <w:tcW w:w="851" w:type="dxa"/>
            <w:tcBorders>
              <w:top w:val="nil"/>
              <w:left w:val="nil"/>
              <w:bottom w:val="nil"/>
              <w:right w:val="nil"/>
            </w:tcBorders>
            <w:shd w:val="clear" w:color="auto" w:fill="auto"/>
            <w:vAlign w:val="center"/>
            <w:hideMark/>
          </w:tcPr>
          <w:p w14:paraId="0FDA358D" w14:textId="77777777" w:rsidR="00B035DC" w:rsidRPr="00A93653" w:rsidRDefault="00B035DC" w:rsidP="00A61DD1">
            <w:pPr>
              <w:tabs>
                <w:tab w:val="clear" w:pos="7100"/>
              </w:tabs>
              <w:spacing w:line="240" w:lineRule="auto"/>
              <w:jc w:val="center"/>
              <w:rPr>
                <w:rFonts w:cs="Arial"/>
                <w:color w:val="000000"/>
                <w:szCs w:val="18"/>
                <w:lang w:val="it-IT" w:eastAsia="it-IT"/>
              </w:rPr>
            </w:pPr>
          </w:p>
        </w:tc>
        <w:tc>
          <w:tcPr>
            <w:tcW w:w="1134" w:type="dxa"/>
            <w:tcBorders>
              <w:top w:val="nil"/>
              <w:left w:val="nil"/>
              <w:bottom w:val="nil"/>
              <w:right w:val="nil"/>
            </w:tcBorders>
            <w:shd w:val="clear" w:color="auto" w:fill="auto"/>
            <w:vAlign w:val="center"/>
            <w:hideMark/>
          </w:tcPr>
          <w:p w14:paraId="414521D6" w14:textId="77777777" w:rsidR="00B035DC" w:rsidRPr="00A93653" w:rsidRDefault="00B035DC" w:rsidP="00A61DD1">
            <w:pPr>
              <w:tabs>
                <w:tab w:val="clear" w:pos="7100"/>
              </w:tabs>
              <w:spacing w:line="240" w:lineRule="auto"/>
              <w:jc w:val="center"/>
              <w:rPr>
                <w:rFonts w:ascii="Times New Roman" w:hAnsi="Times New Roman"/>
                <w:sz w:val="20"/>
                <w:lang w:val="it-IT" w:eastAsia="it-IT"/>
              </w:rPr>
            </w:pPr>
          </w:p>
        </w:tc>
        <w:tc>
          <w:tcPr>
            <w:tcW w:w="1134" w:type="dxa"/>
            <w:tcBorders>
              <w:top w:val="nil"/>
              <w:left w:val="nil"/>
              <w:bottom w:val="nil"/>
              <w:right w:val="nil"/>
            </w:tcBorders>
            <w:shd w:val="clear" w:color="auto" w:fill="auto"/>
            <w:vAlign w:val="center"/>
            <w:hideMark/>
          </w:tcPr>
          <w:p w14:paraId="142FF0C0" w14:textId="77777777" w:rsidR="00B035DC" w:rsidRPr="00A93653" w:rsidRDefault="00B035DC" w:rsidP="00A61DD1">
            <w:pPr>
              <w:tabs>
                <w:tab w:val="clear" w:pos="7100"/>
              </w:tabs>
              <w:spacing w:line="240" w:lineRule="auto"/>
              <w:jc w:val="center"/>
              <w:rPr>
                <w:rFonts w:ascii="Times New Roman" w:hAnsi="Times New Roman"/>
                <w:sz w:val="20"/>
                <w:lang w:val="it-IT" w:eastAsia="it-IT"/>
              </w:rPr>
            </w:pPr>
          </w:p>
        </w:tc>
        <w:tc>
          <w:tcPr>
            <w:tcW w:w="911" w:type="dxa"/>
            <w:tcBorders>
              <w:top w:val="nil"/>
              <w:left w:val="nil"/>
              <w:bottom w:val="nil"/>
              <w:right w:val="nil"/>
            </w:tcBorders>
            <w:shd w:val="clear" w:color="auto" w:fill="auto"/>
            <w:vAlign w:val="center"/>
            <w:hideMark/>
          </w:tcPr>
          <w:p w14:paraId="0E33BFB5" w14:textId="77777777" w:rsidR="00B035DC" w:rsidRPr="00A93653" w:rsidRDefault="00B035DC" w:rsidP="00A61DD1">
            <w:pPr>
              <w:tabs>
                <w:tab w:val="clear" w:pos="7100"/>
              </w:tabs>
              <w:spacing w:line="240" w:lineRule="auto"/>
              <w:jc w:val="center"/>
              <w:rPr>
                <w:rFonts w:ascii="Times New Roman" w:hAnsi="Times New Roman"/>
                <w:sz w:val="20"/>
                <w:lang w:val="it-IT" w:eastAsia="it-IT"/>
              </w:rPr>
            </w:pPr>
          </w:p>
        </w:tc>
        <w:tc>
          <w:tcPr>
            <w:tcW w:w="1035" w:type="dxa"/>
            <w:tcBorders>
              <w:top w:val="nil"/>
              <w:left w:val="nil"/>
              <w:bottom w:val="nil"/>
              <w:right w:val="nil"/>
            </w:tcBorders>
            <w:shd w:val="clear" w:color="auto" w:fill="auto"/>
            <w:vAlign w:val="center"/>
            <w:hideMark/>
          </w:tcPr>
          <w:p w14:paraId="724E40F1" w14:textId="77777777" w:rsidR="00B035DC" w:rsidRPr="00A93653" w:rsidRDefault="00B035DC" w:rsidP="00A61DD1">
            <w:pPr>
              <w:tabs>
                <w:tab w:val="clear" w:pos="7100"/>
              </w:tabs>
              <w:spacing w:line="240" w:lineRule="auto"/>
              <w:jc w:val="center"/>
              <w:rPr>
                <w:rFonts w:ascii="Times New Roman" w:hAnsi="Times New Roman"/>
                <w:sz w:val="20"/>
                <w:lang w:val="it-IT" w:eastAsia="it-IT"/>
              </w:rPr>
            </w:pPr>
          </w:p>
        </w:tc>
        <w:tc>
          <w:tcPr>
            <w:tcW w:w="889" w:type="dxa"/>
            <w:tcBorders>
              <w:top w:val="nil"/>
              <w:left w:val="nil"/>
              <w:bottom w:val="nil"/>
              <w:right w:val="nil"/>
            </w:tcBorders>
            <w:shd w:val="clear" w:color="auto" w:fill="auto"/>
            <w:vAlign w:val="center"/>
            <w:hideMark/>
          </w:tcPr>
          <w:p w14:paraId="3F1E549D"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very high</w:t>
            </w:r>
          </w:p>
        </w:tc>
        <w:tc>
          <w:tcPr>
            <w:tcW w:w="1143" w:type="dxa"/>
            <w:tcBorders>
              <w:top w:val="nil"/>
              <w:left w:val="nil"/>
              <w:bottom w:val="nil"/>
              <w:right w:val="nil"/>
            </w:tcBorders>
            <w:shd w:val="clear" w:color="auto" w:fill="auto"/>
            <w:vAlign w:val="center"/>
            <w:hideMark/>
          </w:tcPr>
          <w:p w14:paraId="09A0D6A4" w14:textId="0C7884DF"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2.56≤</w:t>
            </w:r>
            <w:r w:rsidR="003D56FF" w:rsidRPr="00A93653">
              <w:rPr>
                <w:rFonts w:ascii="Times New Roman" w:hAnsi="Times New Roman"/>
                <w:i/>
                <w:iCs/>
                <w:color w:val="000000"/>
                <w:szCs w:val="18"/>
                <w:lang w:eastAsia="it-IT"/>
              </w:rPr>
              <w:t>r</w:t>
            </w:r>
            <w:r w:rsidRPr="00A93653">
              <w:rPr>
                <w:rFonts w:cs="Arial"/>
                <w:color w:val="000000"/>
                <w:szCs w:val="18"/>
                <w:lang w:eastAsia="it-IT"/>
              </w:rPr>
              <w:t>&lt;5.12</w:t>
            </w:r>
          </w:p>
        </w:tc>
      </w:tr>
      <w:tr w:rsidR="00B035DC" w:rsidRPr="00A93653" w14:paraId="1C3A0079" w14:textId="77777777" w:rsidTr="007E30F5">
        <w:trPr>
          <w:trHeight w:val="312"/>
        </w:trPr>
        <w:tc>
          <w:tcPr>
            <w:tcW w:w="591" w:type="dxa"/>
            <w:tcBorders>
              <w:top w:val="nil"/>
              <w:left w:val="nil"/>
              <w:bottom w:val="single" w:sz="8" w:space="0" w:color="00B050"/>
              <w:right w:val="nil"/>
            </w:tcBorders>
            <w:shd w:val="clear" w:color="auto" w:fill="auto"/>
            <w:noWrap/>
            <w:vAlign w:val="center"/>
            <w:hideMark/>
          </w:tcPr>
          <w:p w14:paraId="78FF0985"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eastAsia="it-IT"/>
              </w:rPr>
              <w:t>8</w:t>
            </w:r>
          </w:p>
        </w:tc>
        <w:tc>
          <w:tcPr>
            <w:tcW w:w="1110" w:type="dxa"/>
            <w:gridSpan w:val="2"/>
            <w:tcBorders>
              <w:top w:val="nil"/>
              <w:left w:val="nil"/>
              <w:bottom w:val="single" w:sz="8" w:space="0" w:color="00B050"/>
              <w:right w:val="nil"/>
            </w:tcBorders>
            <w:shd w:val="clear" w:color="auto" w:fill="auto"/>
            <w:noWrap/>
            <w:vAlign w:val="center"/>
            <w:hideMark/>
          </w:tcPr>
          <w:p w14:paraId="6B1D2D86" w14:textId="48F723C0" w:rsidR="00B035DC" w:rsidRPr="00A93653" w:rsidRDefault="003D56FF" w:rsidP="00A61DD1">
            <w:pPr>
              <w:tabs>
                <w:tab w:val="clear" w:pos="7100"/>
              </w:tabs>
              <w:spacing w:line="240" w:lineRule="auto"/>
              <w:jc w:val="center"/>
              <w:rPr>
                <w:rFonts w:cs="Arial"/>
                <w:color w:val="000000"/>
                <w:szCs w:val="18"/>
                <w:lang w:val="it-IT" w:eastAsia="it-IT"/>
              </w:rPr>
            </w:pPr>
            <w:r w:rsidRPr="00A93653">
              <w:rPr>
                <w:rFonts w:ascii="Times New Roman" w:hAnsi="Times New Roman"/>
                <w:i/>
                <w:iCs/>
                <w:color w:val="000000"/>
                <w:szCs w:val="18"/>
                <w:lang w:eastAsia="it-IT"/>
              </w:rPr>
              <w:t>T</w:t>
            </w:r>
            <w:r w:rsidR="00B035DC" w:rsidRPr="00A93653">
              <w:rPr>
                <w:rFonts w:cs="Arial"/>
                <w:color w:val="000000"/>
                <w:szCs w:val="18"/>
                <w:lang w:eastAsia="it-IT"/>
              </w:rPr>
              <w:t>&gt;392</w:t>
            </w:r>
          </w:p>
        </w:tc>
        <w:tc>
          <w:tcPr>
            <w:tcW w:w="851" w:type="dxa"/>
            <w:tcBorders>
              <w:top w:val="nil"/>
              <w:left w:val="nil"/>
              <w:bottom w:val="single" w:sz="8" w:space="0" w:color="00B050"/>
              <w:right w:val="nil"/>
            </w:tcBorders>
            <w:shd w:val="clear" w:color="auto" w:fill="auto"/>
            <w:noWrap/>
            <w:vAlign w:val="center"/>
            <w:hideMark/>
          </w:tcPr>
          <w:p w14:paraId="59685168"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 </w:t>
            </w:r>
          </w:p>
        </w:tc>
        <w:tc>
          <w:tcPr>
            <w:tcW w:w="1134" w:type="dxa"/>
            <w:tcBorders>
              <w:top w:val="nil"/>
              <w:left w:val="nil"/>
              <w:bottom w:val="single" w:sz="8" w:space="0" w:color="00B050"/>
              <w:right w:val="nil"/>
            </w:tcBorders>
            <w:shd w:val="clear" w:color="auto" w:fill="auto"/>
            <w:noWrap/>
            <w:vAlign w:val="center"/>
            <w:hideMark/>
          </w:tcPr>
          <w:p w14:paraId="1207F9FF"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 </w:t>
            </w:r>
          </w:p>
        </w:tc>
        <w:tc>
          <w:tcPr>
            <w:tcW w:w="1134" w:type="dxa"/>
            <w:tcBorders>
              <w:top w:val="nil"/>
              <w:left w:val="nil"/>
              <w:bottom w:val="single" w:sz="8" w:space="0" w:color="00B050"/>
              <w:right w:val="nil"/>
            </w:tcBorders>
            <w:shd w:val="clear" w:color="auto" w:fill="auto"/>
            <w:noWrap/>
            <w:vAlign w:val="center"/>
            <w:hideMark/>
          </w:tcPr>
          <w:p w14:paraId="570E5EBD"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 </w:t>
            </w:r>
          </w:p>
        </w:tc>
        <w:tc>
          <w:tcPr>
            <w:tcW w:w="911" w:type="dxa"/>
            <w:tcBorders>
              <w:top w:val="nil"/>
              <w:left w:val="nil"/>
              <w:bottom w:val="single" w:sz="8" w:space="0" w:color="00B050"/>
              <w:right w:val="nil"/>
            </w:tcBorders>
            <w:shd w:val="clear" w:color="auto" w:fill="auto"/>
            <w:noWrap/>
            <w:vAlign w:val="center"/>
            <w:hideMark/>
          </w:tcPr>
          <w:p w14:paraId="5D554DDA"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 </w:t>
            </w:r>
          </w:p>
        </w:tc>
        <w:tc>
          <w:tcPr>
            <w:tcW w:w="1035" w:type="dxa"/>
            <w:tcBorders>
              <w:top w:val="nil"/>
              <w:left w:val="nil"/>
              <w:bottom w:val="single" w:sz="8" w:space="0" w:color="00B050"/>
              <w:right w:val="nil"/>
            </w:tcBorders>
            <w:shd w:val="clear" w:color="auto" w:fill="auto"/>
            <w:noWrap/>
            <w:vAlign w:val="center"/>
            <w:hideMark/>
          </w:tcPr>
          <w:p w14:paraId="2C989231"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 </w:t>
            </w:r>
          </w:p>
        </w:tc>
        <w:tc>
          <w:tcPr>
            <w:tcW w:w="889" w:type="dxa"/>
            <w:tcBorders>
              <w:top w:val="nil"/>
              <w:left w:val="nil"/>
              <w:bottom w:val="single" w:sz="8" w:space="0" w:color="00B050"/>
              <w:right w:val="nil"/>
            </w:tcBorders>
            <w:shd w:val="clear" w:color="auto" w:fill="auto"/>
            <w:noWrap/>
            <w:vAlign w:val="center"/>
            <w:hideMark/>
          </w:tcPr>
          <w:p w14:paraId="742D2E26" w14:textId="77777777" w:rsidR="00B035DC" w:rsidRPr="00A93653" w:rsidRDefault="00B035DC" w:rsidP="00A61DD1">
            <w:pPr>
              <w:tabs>
                <w:tab w:val="clear" w:pos="7100"/>
              </w:tabs>
              <w:spacing w:line="240" w:lineRule="auto"/>
              <w:jc w:val="center"/>
              <w:rPr>
                <w:rFonts w:cs="Arial"/>
                <w:color w:val="000000"/>
                <w:szCs w:val="18"/>
                <w:lang w:val="it-IT" w:eastAsia="it-IT"/>
              </w:rPr>
            </w:pPr>
            <w:r w:rsidRPr="00A93653">
              <w:rPr>
                <w:rFonts w:cs="Arial"/>
                <w:color w:val="000000"/>
                <w:szCs w:val="18"/>
                <w:lang w:val="it-IT" w:eastAsia="it-IT"/>
              </w:rPr>
              <w:t>ultra high</w:t>
            </w:r>
          </w:p>
        </w:tc>
        <w:tc>
          <w:tcPr>
            <w:tcW w:w="1143" w:type="dxa"/>
            <w:tcBorders>
              <w:top w:val="nil"/>
              <w:left w:val="nil"/>
              <w:bottom w:val="single" w:sz="8" w:space="0" w:color="00B050"/>
              <w:right w:val="nil"/>
            </w:tcBorders>
            <w:shd w:val="clear" w:color="auto" w:fill="auto"/>
            <w:noWrap/>
            <w:vAlign w:val="center"/>
            <w:hideMark/>
          </w:tcPr>
          <w:p w14:paraId="04506B88" w14:textId="11D5A931" w:rsidR="00B035DC" w:rsidRPr="00A93653" w:rsidRDefault="003D56FF" w:rsidP="00A61DD1">
            <w:pPr>
              <w:tabs>
                <w:tab w:val="clear" w:pos="7100"/>
              </w:tabs>
              <w:spacing w:line="240" w:lineRule="auto"/>
              <w:jc w:val="center"/>
              <w:rPr>
                <w:rFonts w:cs="Arial"/>
                <w:color w:val="000000"/>
                <w:szCs w:val="18"/>
                <w:lang w:val="it-IT" w:eastAsia="it-IT"/>
              </w:rPr>
            </w:pPr>
            <w:r w:rsidRPr="00A93653">
              <w:rPr>
                <w:rFonts w:ascii="Times New Roman" w:hAnsi="Times New Roman"/>
                <w:i/>
                <w:iCs/>
                <w:color w:val="000000"/>
                <w:szCs w:val="18"/>
                <w:lang w:eastAsia="it-IT"/>
              </w:rPr>
              <w:t>r</w:t>
            </w:r>
            <w:r w:rsidR="00B035DC" w:rsidRPr="00A93653">
              <w:rPr>
                <w:rFonts w:cs="Arial"/>
                <w:color w:val="000000"/>
                <w:szCs w:val="18"/>
                <w:lang w:eastAsia="it-IT"/>
              </w:rPr>
              <w:t>&gt;5.12</w:t>
            </w:r>
          </w:p>
        </w:tc>
      </w:tr>
    </w:tbl>
    <w:p w14:paraId="14F2F7C2" w14:textId="1F63E5EC" w:rsidR="00352398" w:rsidRPr="00A93653" w:rsidRDefault="004E097E" w:rsidP="004E097E">
      <w:pPr>
        <w:pStyle w:val="CETHeading1"/>
        <w:tabs>
          <w:tab w:val="num" w:pos="360"/>
        </w:tabs>
        <w:rPr>
          <w:lang w:val="en-GB"/>
        </w:rPr>
      </w:pPr>
      <w:r w:rsidRPr="00A93653">
        <w:rPr>
          <w:lang w:val="en-GB"/>
        </w:rPr>
        <w:lastRenderedPageBreak/>
        <w:t>Results</w:t>
      </w:r>
    </w:p>
    <w:p w14:paraId="42A3FA4E" w14:textId="2CC5E71D" w:rsidR="004E097E" w:rsidRPr="00A93653" w:rsidRDefault="004E097E" w:rsidP="004E097E">
      <w:pPr>
        <w:rPr>
          <w:rFonts w:cs="Arial"/>
          <w:szCs w:val="18"/>
        </w:rPr>
      </w:pPr>
      <w:r w:rsidRPr="00A93653">
        <w:rPr>
          <w:rFonts w:cs="Arial"/>
          <w:szCs w:val="18"/>
        </w:rPr>
        <w:t xml:space="preserve">The BBN includes three parent nodes, representing the input data </w:t>
      </w:r>
      <w:r w:rsidR="00B035DC" w:rsidRPr="00A93653">
        <w:rPr>
          <w:rFonts w:cs="Arial"/>
          <w:szCs w:val="18"/>
        </w:rPr>
        <w:t xml:space="preserve">(temperature, sulphur and TAN) </w:t>
      </w:r>
      <w:r w:rsidRPr="00A93653">
        <w:rPr>
          <w:rFonts w:cs="Arial"/>
          <w:szCs w:val="18"/>
        </w:rPr>
        <w:t xml:space="preserve">collected on an hourly basis. An intermediate node </w:t>
      </w:r>
      <w:r w:rsidR="00B035DC" w:rsidRPr="00A93653">
        <w:rPr>
          <w:rFonts w:cs="Arial"/>
          <w:szCs w:val="18"/>
        </w:rPr>
        <w:t>represents</w:t>
      </w:r>
      <w:r w:rsidR="00B36817" w:rsidRPr="00A93653">
        <w:rPr>
          <w:rFonts w:cs="Arial"/>
          <w:szCs w:val="18"/>
        </w:rPr>
        <w:t xml:space="preserve"> </w:t>
      </w:r>
      <w:r w:rsidRPr="00A93653">
        <w:rPr>
          <w:rFonts w:cs="Arial"/>
          <w:szCs w:val="18"/>
        </w:rPr>
        <w:t xml:space="preserve">the corrosion rate, which depends on the three input nodes and </w:t>
      </w:r>
      <w:r w:rsidR="00B36817" w:rsidRPr="00A93653">
        <w:rPr>
          <w:rFonts w:cs="Arial"/>
          <w:szCs w:val="18"/>
        </w:rPr>
        <w:t>is</w:t>
      </w:r>
      <w:r w:rsidRPr="00A93653">
        <w:rPr>
          <w:rFonts w:cs="Arial"/>
          <w:szCs w:val="18"/>
        </w:rPr>
        <w:t xml:space="preserve"> a deterministic function. The states of the input and intermediate</w:t>
      </w:r>
      <w:r w:rsidR="00B36817" w:rsidRPr="00A93653">
        <w:rPr>
          <w:rFonts w:cs="Arial"/>
          <w:szCs w:val="18"/>
        </w:rPr>
        <w:t xml:space="preserve"> </w:t>
      </w:r>
      <w:r w:rsidR="00B035DC" w:rsidRPr="00A93653">
        <w:rPr>
          <w:rFonts w:cs="Arial"/>
          <w:szCs w:val="18"/>
        </w:rPr>
        <w:t>nodes</w:t>
      </w:r>
      <w:r w:rsidRPr="00A93653">
        <w:rPr>
          <w:rFonts w:cs="Arial"/>
          <w:szCs w:val="18"/>
        </w:rPr>
        <w:t xml:space="preserve"> </w:t>
      </w:r>
      <w:r w:rsidR="00B36817" w:rsidRPr="00A93653">
        <w:rPr>
          <w:rFonts w:cs="Arial"/>
          <w:szCs w:val="18"/>
        </w:rPr>
        <w:t>have been</w:t>
      </w:r>
      <w:r w:rsidRPr="00A93653">
        <w:rPr>
          <w:rFonts w:cs="Arial"/>
          <w:szCs w:val="18"/>
        </w:rPr>
        <w:t xml:space="preserve"> established to exactly match API </w:t>
      </w:r>
      <w:r w:rsidR="00B36817" w:rsidRPr="00A93653">
        <w:rPr>
          <w:rFonts w:cs="Arial"/>
          <w:szCs w:val="18"/>
        </w:rPr>
        <w:t xml:space="preserve">581 </w:t>
      </w:r>
      <w:r w:rsidRPr="00A93653">
        <w:rPr>
          <w:rFonts w:cs="Arial"/>
          <w:szCs w:val="18"/>
        </w:rPr>
        <w:t>tables</w:t>
      </w:r>
      <w:r w:rsidR="00B035DC" w:rsidRPr="00A93653">
        <w:rPr>
          <w:rFonts w:cs="Arial"/>
          <w:szCs w:val="18"/>
        </w:rPr>
        <w:t xml:space="preserve"> (Table 1)</w:t>
      </w:r>
      <w:r w:rsidRPr="00A93653">
        <w:rPr>
          <w:rFonts w:cs="Arial"/>
          <w:szCs w:val="18"/>
        </w:rPr>
        <w:t xml:space="preserve">. </w:t>
      </w:r>
      <w:r w:rsidR="00B36817" w:rsidRPr="00A93653">
        <w:rPr>
          <w:rFonts w:cs="Arial"/>
          <w:szCs w:val="18"/>
        </w:rPr>
        <w:t xml:space="preserve">A critical discussion of the API is not the focus of this research, as they are used only to introduce the </w:t>
      </w:r>
      <w:proofErr w:type="spellStart"/>
      <w:r w:rsidR="00B36817" w:rsidRPr="00A93653">
        <w:rPr>
          <w:rFonts w:cs="Arial"/>
          <w:szCs w:val="18"/>
        </w:rPr>
        <w:t>McConomy</w:t>
      </w:r>
      <w:proofErr w:type="spellEnd"/>
      <w:r w:rsidR="00B36817" w:rsidRPr="00A93653">
        <w:rPr>
          <w:rFonts w:cs="Arial"/>
          <w:szCs w:val="18"/>
        </w:rPr>
        <w:t xml:space="preserve"> curves into the network. </w:t>
      </w:r>
      <w:r w:rsidR="00B035DC" w:rsidRPr="00A93653">
        <w:rPr>
          <w:rFonts w:cs="Arial"/>
          <w:szCs w:val="18"/>
        </w:rPr>
        <w:t>T</w:t>
      </w:r>
      <w:r w:rsidRPr="00A93653">
        <w:rPr>
          <w:rFonts w:cs="Arial"/>
          <w:szCs w:val="18"/>
        </w:rPr>
        <w:t>he initial conditions of the equipment</w:t>
      </w:r>
      <w:r w:rsidR="00B035DC" w:rsidRPr="00A93653">
        <w:rPr>
          <w:rFonts w:cs="Arial"/>
          <w:szCs w:val="18"/>
        </w:rPr>
        <w:t xml:space="preserve"> are represented by another </w:t>
      </w:r>
      <w:r w:rsidR="004805C4" w:rsidRPr="00A93653">
        <w:rPr>
          <w:rFonts w:cs="Arial"/>
          <w:szCs w:val="18"/>
        </w:rPr>
        <w:t>node;</w:t>
      </w:r>
      <w:r w:rsidR="00B035DC" w:rsidRPr="00A93653">
        <w:rPr>
          <w:rFonts w:cs="Arial"/>
          <w:szCs w:val="18"/>
        </w:rPr>
        <w:t xml:space="preserve"> these are a priori assumed to be adequate or good</w:t>
      </w:r>
      <w:r w:rsidRPr="00A93653">
        <w:rPr>
          <w:rFonts w:cs="Arial"/>
          <w:szCs w:val="18"/>
        </w:rPr>
        <w:t xml:space="preserve">. </w:t>
      </w:r>
      <w:r w:rsidR="00753786" w:rsidRPr="00A93653">
        <w:rPr>
          <w:rFonts w:cs="Arial"/>
          <w:szCs w:val="18"/>
        </w:rPr>
        <w:t xml:space="preserve">The stress factor </w:t>
      </w:r>
      <w:r w:rsidR="00B035DC" w:rsidRPr="00A93653">
        <w:rPr>
          <w:rFonts w:cs="Arial"/>
          <w:szCs w:val="18"/>
        </w:rPr>
        <w:t>depends on the</w:t>
      </w:r>
      <w:r w:rsidR="00753786" w:rsidRPr="00A93653">
        <w:rPr>
          <w:rFonts w:cs="Arial"/>
          <w:szCs w:val="18"/>
        </w:rPr>
        <w:t xml:space="preserve"> initial conditions and the corrosion over the monitoring period. Finally, the rules </w:t>
      </w:r>
      <w:r w:rsidR="00B035DC" w:rsidRPr="00A93653">
        <w:rPr>
          <w:rFonts w:cs="Arial"/>
          <w:szCs w:val="18"/>
        </w:rPr>
        <w:t>matching</w:t>
      </w:r>
      <w:r w:rsidR="00753786" w:rsidRPr="00A93653">
        <w:rPr>
          <w:rFonts w:cs="Arial"/>
          <w:szCs w:val="18"/>
        </w:rPr>
        <w:t xml:space="preserve"> the corrosion rate and the </w:t>
      </w:r>
      <w:r w:rsidR="004805C4" w:rsidRPr="00A93653">
        <w:rPr>
          <w:rFonts w:cs="Arial"/>
          <w:szCs w:val="18"/>
        </w:rPr>
        <w:t>equipment’s</w:t>
      </w:r>
      <w:r w:rsidR="00753786" w:rsidRPr="00A93653">
        <w:rPr>
          <w:rFonts w:cs="Arial"/>
          <w:szCs w:val="18"/>
        </w:rPr>
        <w:t xml:space="preserve"> initial conditions to the stress factor are probabilistic and based on expert opinions as gathered within this work.</w:t>
      </w:r>
      <w:r w:rsidR="00B035DC" w:rsidRPr="00A93653">
        <w:rPr>
          <w:rFonts w:cs="Arial"/>
          <w:szCs w:val="18"/>
        </w:rPr>
        <w:t xml:space="preserve"> </w:t>
      </w:r>
      <w:r w:rsidR="00753786" w:rsidRPr="00A93653">
        <w:rPr>
          <w:rFonts w:cs="Arial"/>
          <w:szCs w:val="18"/>
        </w:rPr>
        <w:t xml:space="preserve">It must be </w:t>
      </w:r>
      <w:r w:rsidR="004805C4" w:rsidRPr="00A93653">
        <w:rPr>
          <w:rFonts w:cs="Arial"/>
          <w:szCs w:val="18"/>
        </w:rPr>
        <w:t>pointed</w:t>
      </w:r>
      <w:r w:rsidR="00753786" w:rsidRPr="00A93653">
        <w:rPr>
          <w:rFonts w:cs="Arial"/>
          <w:szCs w:val="18"/>
        </w:rPr>
        <w:t xml:space="preserve"> t</w:t>
      </w:r>
      <w:r w:rsidRPr="00A93653">
        <w:rPr>
          <w:rFonts w:cs="Arial"/>
          <w:szCs w:val="18"/>
        </w:rPr>
        <w:t>he network</w:t>
      </w:r>
      <w:r w:rsidR="00B36817" w:rsidRPr="00A93653">
        <w:rPr>
          <w:rFonts w:cs="Arial"/>
          <w:szCs w:val="18"/>
        </w:rPr>
        <w:t xml:space="preserve"> learns by</w:t>
      </w:r>
      <w:r w:rsidRPr="00A93653">
        <w:rPr>
          <w:rFonts w:cs="Arial"/>
          <w:szCs w:val="18"/>
        </w:rPr>
        <w:t xml:space="preserve"> different </w:t>
      </w:r>
      <w:r w:rsidR="00B36817" w:rsidRPr="00A93653">
        <w:rPr>
          <w:rFonts w:cs="Arial"/>
          <w:szCs w:val="18"/>
        </w:rPr>
        <w:t xml:space="preserve">API </w:t>
      </w:r>
      <w:r w:rsidRPr="00A93653">
        <w:rPr>
          <w:rFonts w:cs="Arial"/>
          <w:szCs w:val="18"/>
        </w:rPr>
        <w:t>tables being the two critical elements made of different materials</w:t>
      </w:r>
      <w:r w:rsidR="00753786" w:rsidRPr="00A93653">
        <w:rPr>
          <w:rFonts w:cs="Arial"/>
          <w:szCs w:val="18"/>
        </w:rPr>
        <w:t>, i.e. carbon steel and low alloyed steel 5g</w:t>
      </w:r>
      <w:r w:rsidRPr="00A93653">
        <w:rPr>
          <w:rFonts w:cs="Arial"/>
          <w:szCs w:val="18"/>
        </w:rPr>
        <w:t>. Temperatures are also different, wh</w:t>
      </w:r>
      <w:r w:rsidR="00753786" w:rsidRPr="00A93653">
        <w:rPr>
          <w:rFonts w:cs="Arial"/>
          <w:szCs w:val="18"/>
        </w:rPr>
        <w:t>er</w:t>
      </w:r>
      <w:r w:rsidR="000D6294" w:rsidRPr="00A93653">
        <w:rPr>
          <w:rFonts w:cs="Arial"/>
          <w:szCs w:val="18"/>
        </w:rPr>
        <w:t>e</w:t>
      </w:r>
      <w:r w:rsidR="00753786" w:rsidRPr="00A93653">
        <w:rPr>
          <w:rFonts w:cs="Arial"/>
          <w:szCs w:val="18"/>
        </w:rPr>
        <w:t>as</w:t>
      </w:r>
      <w:r w:rsidRPr="00A93653">
        <w:rPr>
          <w:rFonts w:cs="Arial"/>
          <w:szCs w:val="18"/>
        </w:rPr>
        <w:t xml:space="preserve"> TAN and sulphur are the same.</w:t>
      </w:r>
    </w:p>
    <w:p w14:paraId="45DCEE6D" w14:textId="45F6525B" w:rsidR="000D6294" w:rsidRPr="00A93653" w:rsidRDefault="00B035DC" w:rsidP="000D6294">
      <w:pPr>
        <w:rPr>
          <w:rFonts w:cs="Arial"/>
          <w:szCs w:val="18"/>
        </w:rPr>
      </w:pPr>
      <w:r w:rsidRPr="00A93653">
        <w:rPr>
          <w:rFonts w:cs="Arial"/>
          <w:szCs w:val="18"/>
        </w:rPr>
        <w:t>A</w:t>
      </w:r>
      <w:r w:rsidR="000D6294" w:rsidRPr="00A93653">
        <w:rPr>
          <w:rFonts w:cs="Arial"/>
          <w:szCs w:val="18"/>
        </w:rPr>
        <w:t xml:space="preserve">t </w:t>
      </w:r>
      <w:r w:rsidRPr="00A93653">
        <w:rPr>
          <w:rFonts w:cs="Arial"/>
          <w:szCs w:val="18"/>
        </w:rPr>
        <w:t>the begin (</w:t>
      </w:r>
      <w:r w:rsidRPr="00A93653">
        <w:rPr>
          <w:rFonts w:ascii="Times New Roman" w:hAnsi="Times New Roman"/>
          <w:i/>
          <w:iCs/>
          <w:szCs w:val="18"/>
        </w:rPr>
        <w:t>t</w:t>
      </w:r>
      <w:r w:rsidRPr="00A93653">
        <w:rPr>
          <w:rFonts w:ascii="Times New Roman" w:hAnsi="Times New Roman"/>
          <w:szCs w:val="18"/>
          <w:vertAlign w:val="subscript"/>
        </w:rPr>
        <w:t>o</w:t>
      </w:r>
      <w:r w:rsidRPr="00A93653">
        <w:rPr>
          <w:rFonts w:cs="Arial"/>
          <w:szCs w:val="18"/>
        </w:rPr>
        <w:t xml:space="preserve">) </w:t>
      </w:r>
      <w:r w:rsidR="000D6294" w:rsidRPr="00A93653">
        <w:rPr>
          <w:rFonts w:cs="Arial"/>
          <w:szCs w:val="18"/>
        </w:rPr>
        <w:t>the RUL is calculated with conventional methods and the initial conditions are the best. After a certain observation period, the stress factor is calculated by the BBN and is used to update the RUL and the "initial condition" data to be used as input for the following update.</w:t>
      </w:r>
    </w:p>
    <w:p w14:paraId="0FB158D6" w14:textId="2662AF5E" w:rsidR="000D6294" w:rsidRPr="00A93653" w:rsidRDefault="000D6294" w:rsidP="000D6294">
      <w:pPr>
        <w:rPr>
          <w:rFonts w:cs="Arial"/>
          <w:szCs w:val="18"/>
        </w:rPr>
      </w:pPr>
      <w:r w:rsidRPr="00A93653">
        <w:rPr>
          <w:rFonts w:cs="Arial"/>
          <w:szCs w:val="18"/>
        </w:rPr>
        <w:t xml:space="preserve">Available hourly temperature data covers four weeks and allows the network training. To have </w:t>
      </w:r>
      <w:r w:rsidR="00523208" w:rsidRPr="00A93653">
        <w:rPr>
          <w:rFonts w:cs="Arial"/>
          <w:szCs w:val="18"/>
        </w:rPr>
        <w:t xml:space="preserve">a proper </w:t>
      </w:r>
      <w:r w:rsidRPr="00A93653">
        <w:rPr>
          <w:rFonts w:cs="Arial"/>
          <w:szCs w:val="18"/>
        </w:rPr>
        <w:t xml:space="preserve">dataset for </w:t>
      </w:r>
      <w:r w:rsidR="00BA71EC" w:rsidRPr="00A93653">
        <w:rPr>
          <w:rFonts w:cs="Arial"/>
          <w:szCs w:val="18"/>
        </w:rPr>
        <w:t xml:space="preserve">the </w:t>
      </w:r>
      <w:r w:rsidRPr="00A93653">
        <w:rPr>
          <w:rFonts w:cs="Arial"/>
          <w:szCs w:val="18"/>
        </w:rPr>
        <w:t>validation of the network, some sequences of credible TAN, sulphur and temperatures have been generated, suitable for covering long periods and thus obtaining subsequent confirmations of the results. The variation of the characteristics of the feed (sulphur and TAN) have been generated with a fairly simple random algorithm, which permits a draw among a number of different crude oils. The period of treatment of a crude oil is also subject to randomness, starting from a minimum of 48 hours with variable extensions up to 100 hours, depending on the size of the tankers. In the detail, 15 different types of crude oil (available on the market) have been considered, each one characterised by a specific TAN and sulphur content. Table 2 shows the simulated data for each crude oil, over an entire year, these are indicated with a numerical identifier and the characteristics of acidity and sulphur content are reported.</w:t>
      </w:r>
    </w:p>
    <w:p w14:paraId="3A9ABB61" w14:textId="779C8E77" w:rsidR="000D6294" w:rsidRPr="00A93653" w:rsidRDefault="000D6294" w:rsidP="000D6294">
      <w:pPr>
        <w:pStyle w:val="CETTabletitle"/>
        <w:rPr>
          <w:rFonts w:cs="Arial"/>
          <w:szCs w:val="18"/>
        </w:rPr>
      </w:pPr>
      <w:r w:rsidRPr="00A93653">
        <w:t xml:space="preserve">Table 2: </w:t>
      </w:r>
      <w:r w:rsidR="003D56FF" w:rsidRPr="00A93653">
        <w:rPr>
          <w:rFonts w:cs="Arial"/>
          <w:szCs w:val="18"/>
          <w:lang w:val="en-US"/>
        </w:rPr>
        <w:t>Characteristics of the c</w:t>
      </w:r>
      <w:r w:rsidRPr="00A93653">
        <w:rPr>
          <w:rFonts w:cs="Arial"/>
          <w:szCs w:val="18"/>
          <w:lang w:val="en-US"/>
        </w:rPr>
        <w:t>rude oil</w:t>
      </w:r>
      <w:r w:rsidR="003D56FF" w:rsidRPr="00A93653">
        <w:rPr>
          <w:rFonts w:cs="Arial"/>
          <w:szCs w:val="18"/>
          <w:lang w:val="en-US"/>
        </w:rPr>
        <w:t xml:space="preserve"> treated in the establishment</w:t>
      </w:r>
      <w:r w:rsidRPr="00A93653">
        <w:rPr>
          <w:rFonts w:cs="Arial"/>
          <w:szCs w:val="18"/>
        </w:rPr>
        <w:t>.</w:t>
      </w:r>
    </w:p>
    <w:tbl>
      <w:tblPr>
        <w:tblW w:w="5000" w:type="pct"/>
        <w:tblLayout w:type="fixed"/>
        <w:tblCellMar>
          <w:left w:w="70" w:type="dxa"/>
          <w:right w:w="70" w:type="dxa"/>
        </w:tblCellMar>
        <w:tblLook w:val="04A0" w:firstRow="1" w:lastRow="0" w:firstColumn="1" w:lastColumn="0" w:noHBand="0" w:noVBand="1"/>
      </w:tblPr>
      <w:tblGrid>
        <w:gridCol w:w="1084"/>
        <w:gridCol w:w="514"/>
        <w:gridCol w:w="514"/>
        <w:gridCol w:w="514"/>
        <w:gridCol w:w="514"/>
        <w:gridCol w:w="514"/>
        <w:gridCol w:w="514"/>
        <w:gridCol w:w="514"/>
        <w:gridCol w:w="514"/>
        <w:gridCol w:w="513"/>
        <w:gridCol w:w="513"/>
        <w:gridCol w:w="513"/>
        <w:gridCol w:w="513"/>
        <w:gridCol w:w="513"/>
        <w:gridCol w:w="513"/>
        <w:gridCol w:w="513"/>
      </w:tblGrid>
      <w:tr w:rsidR="0064352F" w:rsidRPr="00A93653" w14:paraId="71A43AFF" w14:textId="77777777" w:rsidTr="00EC1938">
        <w:trPr>
          <w:trHeight w:val="300"/>
        </w:trPr>
        <w:tc>
          <w:tcPr>
            <w:tcW w:w="616" w:type="pct"/>
            <w:tcBorders>
              <w:top w:val="single" w:sz="12" w:space="0" w:color="008000"/>
              <w:bottom w:val="single" w:sz="6" w:space="0" w:color="008000"/>
            </w:tcBorders>
            <w:shd w:val="clear" w:color="auto" w:fill="auto"/>
            <w:noWrap/>
            <w:vAlign w:val="center"/>
            <w:hideMark/>
          </w:tcPr>
          <w:p w14:paraId="79265947"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Crude oil</w:t>
            </w:r>
          </w:p>
        </w:tc>
        <w:tc>
          <w:tcPr>
            <w:tcW w:w="292" w:type="pct"/>
            <w:tcBorders>
              <w:top w:val="single" w:sz="12" w:space="0" w:color="008000"/>
              <w:bottom w:val="single" w:sz="6" w:space="0" w:color="008000"/>
            </w:tcBorders>
            <w:shd w:val="clear" w:color="auto" w:fill="auto"/>
            <w:noWrap/>
            <w:vAlign w:val="center"/>
            <w:hideMark/>
          </w:tcPr>
          <w:p w14:paraId="4F3BDF25"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w:t>
            </w:r>
          </w:p>
        </w:tc>
        <w:tc>
          <w:tcPr>
            <w:tcW w:w="292" w:type="pct"/>
            <w:tcBorders>
              <w:top w:val="single" w:sz="12" w:space="0" w:color="008000"/>
              <w:bottom w:val="single" w:sz="6" w:space="0" w:color="008000"/>
            </w:tcBorders>
            <w:shd w:val="clear" w:color="auto" w:fill="auto"/>
            <w:noWrap/>
            <w:vAlign w:val="center"/>
            <w:hideMark/>
          </w:tcPr>
          <w:p w14:paraId="46EC6D13" w14:textId="77777777" w:rsidR="0064352F" w:rsidRPr="00A93653" w:rsidRDefault="0064352F" w:rsidP="00A61DD1">
            <w:pPr>
              <w:tabs>
                <w:tab w:val="clear" w:pos="7100"/>
              </w:tabs>
              <w:spacing w:line="240" w:lineRule="auto"/>
              <w:ind w:left="-69" w:firstLine="34"/>
              <w:rPr>
                <w:rFonts w:cs="Arial"/>
                <w:color w:val="000000"/>
                <w:szCs w:val="18"/>
                <w:lang w:val="it-IT" w:eastAsia="it-IT"/>
              </w:rPr>
            </w:pPr>
            <w:r w:rsidRPr="00A93653">
              <w:rPr>
                <w:rFonts w:cs="Arial"/>
                <w:color w:val="000000"/>
                <w:szCs w:val="18"/>
                <w:lang w:val="it-IT" w:eastAsia="it-IT"/>
              </w:rPr>
              <w:t>#2</w:t>
            </w:r>
          </w:p>
        </w:tc>
        <w:tc>
          <w:tcPr>
            <w:tcW w:w="292" w:type="pct"/>
            <w:tcBorders>
              <w:top w:val="single" w:sz="12" w:space="0" w:color="008000"/>
              <w:bottom w:val="single" w:sz="6" w:space="0" w:color="008000"/>
            </w:tcBorders>
            <w:shd w:val="clear" w:color="auto" w:fill="auto"/>
            <w:noWrap/>
            <w:vAlign w:val="center"/>
            <w:hideMark/>
          </w:tcPr>
          <w:p w14:paraId="77215B8C"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#3</w:t>
            </w:r>
          </w:p>
        </w:tc>
        <w:tc>
          <w:tcPr>
            <w:tcW w:w="292" w:type="pct"/>
            <w:tcBorders>
              <w:top w:val="single" w:sz="12" w:space="0" w:color="008000"/>
              <w:bottom w:val="single" w:sz="6" w:space="0" w:color="008000"/>
            </w:tcBorders>
            <w:shd w:val="clear" w:color="auto" w:fill="auto"/>
            <w:noWrap/>
            <w:vAlign w:val="center"/>
            <w:hideMark/>
          </w:tcPr>
          <w:p w14:paraId="55C20E68"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#4</w:t>
            </w:r>
          </w:p>
        </w:tc>
        <w:tc>
          <w:tcPr>
            <w:tcW w:w="292" w:type="pct"/>
            <w:tcBorders>
              <w:top w:val="single" w:sz="12" w:space="0" w:color="008000"/>
              <w:bottom w:val="single" w:sz="6" w:space="0" w:color="008000"/>
            </w:tcBorders>
            <w:shd w:val="clear" w:color="auto" w:fill="auto"/>
            <w:noWrap/>
            <w:vAlign w:val="center"/>
            <w:hideMark/>
          </w:tcPr>
          <w:p w14:paraId="10AF9210"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#5</w:t>
            </w:r>
          </w:p>
        </w:tc>
        <w:tc>
          <w:tcPr>
            <w:tcW w:w="292" w:type="pct"/>
            <w:tcBorders>
              <w:top w:val="single" w:sz="12" w:space="0" w:color="008000"/>
              <w:bottom w:val="single" w:sz="6" w:space="0" w:color="008000"/>
            </w:tcBorders>
            <w:shd w:val="clear" w:color="auto" w:fill="auto"/>
            <w:noWrap/>
            <w:vAlign w:val="center"/>
            <w:hideMark/>
          </w:tcPr>
          <w:p w14:paraId="3A8320F7"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#6</w:t>
            </w:r>
          </w:p>
        </w:tc>
        <w:tc>
          <w:tcPr>
            <w:tcW w:w="292" w:type="pct"/>
            <w:tcBorders>
              <w:top w:val="single" w:sz="12" w:space="0" w:color="008000"/>
              <w:bottom w:val="single" w:sz="6" w:space="0" w:color="008000"/>
            </w:tcBorders>
            <w:shd w:val="clear" w:color="auto" w:fill="auto"/>
            <w:noWrap/>
            <w:vAlign w:val="center"/>
            <w:hideMark/>
          </w:tcPr>
          <w:p w14:paraId="53948390"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#7</w:t>
            </w:r>
          </w:p>
        </w:tc>
        <w:tc>
          <w:tcPr>
            <w:tcW w:w="292" w:type="pct"/>
            <w:tcBorders>
              <w:top w:val="single" w:sz="12" w:space="0" w:color="008000"/>
              <w:bottom w:val="single" w:sz="6" w:space="0" w:color="008000"/>
            </w:tcBorders>
            <w:shd w:val="clear" w:color="auto" w:fill="auto"/>
            <w:noWrap/>
            <w:vAlign w:val="center"/>
            <w:hideMark/>
          </w:tcPr>
          <w:p w14:paraId="0388115E"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#8</w:t>
            </w:r>
          </w:p>
        </w:tc>
        <w:tc>
          <w:tcPr>
            <w:tcW w:w="292" w:type="pct"/>
            <w:tcBorders>
              <w:top w:val="single" w:sz="12" w:space="0" w:color="008000"/>
              <w:bottom w:val="single" w:sz="6" w:space="0" w:color="008000"/>
            </w:tcBorders>
            <w:shd w:val="clear" w:color="auto" w:fill="auto"/>
            <w:noWrap/>
            <w:vAlign w:val="center"/>
            <w:hideMark/>
          </w:tcPr>
          <w:p w14:paraId="160F05C3"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#9</w:t>
            </w:r>
          </w:p>
        </w:tc>
        <w:tc>
          <w:tcPr>
            <w:tcW w:w="292" w:type="pct"/>
            <w:tcBorders>
              <w:top w:val="single" w:sz="12" w:space="0" w:color="008000"/>
              <w:bottom w:val="single" w:sz="6" w:space="0" w:color="008000"/>
            </w:tcBorders>
            <w:shd w:val="clear" w:color="auto" w:fill="auto"/>
            <w:noWrap/>
            <w:vAlign w:val="center"/>
            <w:hideMark/>
          </w:tcPr>
          <w:p w14:paraId="595CCFAC"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#10</w:t>
            </w:r>
          </w:p>
        </w:tc>
        <w:tc>
          <w:tcPr>
            <w:tcW w:w="292" w:type="pct"/>
            <w:tcBorders>
              <w:top w:val="single" w:sz="12" w:space="0" w:color="008000"/>
              <w:bottom w:val="single" w:sz="6" w:space="0" w:color="008000"/>
            </w:tcBorders>
            <w:shd w:val="clear" w:color="auto" w:fill="auto"/>
            <w:noWrap/>
            <w:vAlign w:val="center"/>
            <w:hideMark/>
          </w:tcPr>
          <w:p w14:paraId="5897DE69"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#11</w:t>
            </w:r>
          </w:p>
        </w:tc>
        <w:tc>
          <w:tcPr>
            <w:tcW w:w="292" w:type="pct"/>
            <w:tcBorders>
              <w:top w:val="single" w:sz="12" w:space="0" w:color="008000"/>
              <w:bottom w:val="single" w:sz="6" w:space="0" w:color="008000"/>
            </w:tcBorders>
            <w:shd w:val="clear" w:color="auto" w:fill="auto"/>
            <w:noWrap/>
            <w:vAlign w:val="center"/>
            <w:hideMark/>
          </w:tcPr>
          <w:p w14:paraId="553C55AF"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#12</w:t>
            </w:r>
          </w:p>
        </w:tc>
        <w:tc>
          <w:tcPr>
            <w:tcW w:w="292" w:type="pct"/>
            <w:tcBorders>
              <w:top w:val="single" w:sz="12" w:space="0" w:color="008000"/>
              <w:bottom w:val="single" w:sz="6" w:space="0" w:color="008000"/>
            </w:tcBorders>
            <w:shd w:val="clear" w:color="auto" w:fill="auto"/>
            <w:noWrap/>
            <w:vAlign w:val="center"/>
            <w:hideMark/>
          </w:tcPr>
          <w:p w14:paraId="06AFF7DD"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#13</w:t>
            </w:r>
          </w:p>
        </w:tc>
        <w:tc>
          <w:tcPr>
            <w:tcW w:w="292" w:type="pct"/>
            <w:tcBorders>
              <w:top w:val="single" w:sz="12" w:space="0" w:color="008000"/>
              <w:bottom w:val="single" w:sz="6" w:space="0" w:color="008000"/>
            </w:tcBorders>
            <w:shd w:val="clear" w:color="auto" w:fill="auto"/>
            <w:noWrap/>
            <w:vAlign w:val="center"/>
            <w:hideMark/>
          </w:tcPr>
          <w:p w14:paraId="27C4923C"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#14</w:t>
            </w:r>
          </w:p>
        </w:tc>
        <w:tc>
          <w:tcPr>
            <w:tcW w:w="292" w:type="pct"/>
            <w:tcBorders>
              <w:top w:val="single" w:sz="12" w:space="0" w:color="008000"/>
              <w:bottom w:val="single" w:sz="6" w:space="0" w:color="008000"/>
            </w:tcBorders>
            <w:shd w:val="clear" w:color="auto" w:fill="auto"/>
            <w:noWrap/>
            <w:vAlign w:val="center"/>
            <w:hideMark/>
          </w:tcPr>
          <w:p w14:paraId="3B2ABD12"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#15</w:t>
            </w:r>
          </w:p>
        </w:tc>
      </w:tr>
      <w:tr w:rsidR="0064352F" w:rsidRPr="00A93653" w14:paraId="263B06F0" w14:textId="77777777" w:rsidTr="00EC1938">
        <w:trPr>
          <w:trHeight w:val="300"/>
        </w:trPr>
        <w:tc>
          <w:tcPr>
            <w:tcW w:w="616" w:type="pct"/>
            <w:tcBorders>
              <w:top w:val="single" w:sz="6" w:space="0" w:color="008000"/>
            </w:tcBorders>
            <w:shd w:val="clear" w:color="auto" w:fill="auto"/>
            <w:vAlign w:val="center"/>
            <w:hideMark/>
          </w:tcPr>
          <w:p w14:paraId="44783236" w14:textId="77777777" w:rsidR="0064352F" w:rsidRPr="00A93653" w:rsidRDefault="0064352F" w:rsidP="00A61DD1">
            <w:pPr>
              <w:tabs>
                <w:tab w:val="clear" w:pos="7100"/>
              </w:tabs>
              <w:spacing w:line="240" w:lineRule="auto"/>
              <w:rPr>
                <w:rFonts w:cs="Arial"/>
                <w:color w:val="000000"/>
                <w:szCs w:val="18"/>
                <w:lang w:val="it-IT" w:eastAsia="it-IT"/>
              </w:rPr>
            </w:pPr>
            <w:proofErr w:type="spellStart"/>
            <w:r w:rsidRPr="00A93653">
              <w:rPr>
                <w:rFonts w:cs="Arial"/>
                <w:color w:val="000000"/>
                <w:szCs w:val="18"/>
                <w:lang w:val="it-IT" w:eastAsia="it-IT"/>
              </w:rPr>
              <w:t>Sulphur</w:t>
            </w:r>
            <w:proofErr w:type="spellEnd"/>
          </w:p>
        </w:tc>
        <w:tc>
          <w:tcPr>
            <w:tcW w:w="292" w:type="pct"/>
            <w:tcBorders>
              <w:top w:val="single" w:sz="6" w:space="0" w:color="008000"/>
            </w:tcBorders>
            <w:shd w:val="clear" w:color="auto" w:fill="auto"/>
            <w:noWrap/>
            <w:vAlign w:val="center"/>
            <w:hideMark/>
          </w:tcPr>
          <w:p w14:paraId="522B18E8"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0.2</w:t>
            </w:r>
          </w:p>
        </w:tc>
        <w:tc>
          <w:tcPr>
            <w:tcW w:w="292" w:type="pct"/>
            <w:tcBorders>
              <w:top w:val="single" w:sz="6" w:space="0" w:color="008000"/>
            </w:tcBorders>
            <w:shd w:val="clear" w:color="auto" w:fill="auto"/>
            <w:noWrap/>
            <w:vAlign w:val="center"/>
          </w:tcPr>
          <w:p w14:paraId="5A676D92"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2.6</w:t>
            </w:r>
          </w:p>
        </w:tc>
        <w:tc>
          <w:tcPr>
            <w:tcW w:w="292" w:type="pct"/>
            <w:tcBorders>
              <w:top w:val="single" w:sz="6" w:space="0" w:color="008000"/>
            </w:tcBorders>
            <w:shd w:val="clear" w:color="auto" w:fill="auto"/>
            <w:noWrap/>
            <w:vAlign w:val="center"/>
            <w:hideMark/>
          </w:tcPr>
          <w:p w14:paraId="4CE36C74"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4.1</w:t>
            </w:r>
          </w:p>
        </w:tc>
        <w:tc>
          <w:tcPr>
            <w:tcW w:w="292" w:type="pct"/>
            <w:tcBorders>
              <w:top w:val="single" w:sz="6" w:space="0" w:color="008000"/>
            </w:tcBorders>
            <w:shd w:val="clear" w:color="auto" w:fill="auto"/>
            <w:noWrap/>
            <w:vAlign w:val="center"/>
            <w:hideMark/>
          </w:tcPr>
          <w:p w14:paraId="4BC485FE"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5.5</w:t>
            </w:r>
          </w:p>
        </w:tc>
        <w:tc>
          <w:tcPr>
            <w:tcW w:w="292" w:type="pct"/>
            <w:tcBorders>
              <w:top w:val="single" w:sz="6" w:space="0" w:color="008000"/>
            </w:tcBorders>
            <w:shd w:val="clear" w:color="auto" w:fill="auto"/>
            <w:noWrap/>
            <w:vAlign w:val="center"/>
            <w:hideMark/>
          </w:tcPr>
          <w:p w14:paraId="4D5531AC"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0.5</w:t>
            </w:r>
          </w:p>
        </w:tc>
        <w:tc>
          <w:tcPr>
            <w:tcW w:w="292" w:type="pct"/>
            <w:tcBorders>
              <w:top w:val="single" w:sz="6" w:space="0" w:color="008000"/>
            </w:tcBorders>
            <w:shd w:val="clear" w:color="auto" w:fill="auto"/>
            <w:noWrap/>
            <w:vAlign w:val="center"/>
            <w:hideMark/>
          </w:tcPr>
          <w:p w14:paraId="585F6980"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0.5</w:t>
            </w:r>
          </w:p>
        </w:tc>
        <w:tc>
          <w:tcPr>
            <w:tcW w:w="292" w:type="pct"/>
            <w:tcBorders>
              <w:top w:val="single" w:sz="6" w:space="0" w:color="008000"/>
            </w:tcBorders>
            <w:shd w:val="clear" w:color="auto" w:fill="auto"/>
            <w:noWrap/>
            <w:vAlign w:val="center"/>
            <w:hideMark/>
          </w:tcPr>
          <w:p w14:paraId="5F5F416B"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3.2</w:t>
            </w:r>
          </w:p>
        </w:tc>
        <w:tc>
          <w:tcPr>
            <w:tcW w:w="292" w:type="pct"/>
            <w:tcBorders>
              <w:top w:val="single" w:sz="6" w:space="0" w:color="008000"/>
            </w:tcBorders>
            <w:shd w:val="clear" w:color="auto" w:fill="auto"/>
            <w:noWrap/>
            <w:vAlign w:val="center"/>
            <w:hideMark/>
          </w:tcPr>
          <w:p w14:paraId="645D919E"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0.1</w:t>
            </w:r>
          </w:p>
        </w:tc>
        <w:tc>
          <w:tcPr>
            <w:tcW w:w="292" w:type="pct"/>
            <w:tcBorders>
              <w:top w:val="single" w:sz="6" w:space="0" w:color="008000"/>
            </w:tcBorders>
            <w:shd w:val="clear" w:color="auto" w:fill="auto"/>
            <w:noWrap/>
            <w:vAlign w:val="center"/>
            <w:hideMark/>
          </w:tcPr>
          <w:p w14:paraId="74A83BE1"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2.3</w:t>
            </w:r>
          </w:p>
        </w:tc>
        <w:tc>
          <w:tcPr>
            <w:tcW w:w="292" w:type="pct"/>
            <w:tcBorders>
              <w:top w:val="single" w:sz="6" w:space="0" w:color="008000"/>
            </w:tcBorders>
            <w:shd w:val="clear" w:color="auto" w:fill="auto"/>
            <w:noWrap/>
            <w:vAlign w:val="center"/>
            <w:hideMark/>
          </w:tcPr>
          <w:p w14:paraId="750E0CA3"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2</w:t>
            </w:r>
          </w:p>
        </w:tc>
        <w:tc>
          <w:tcPr>
            <w:tcW w:w="292" w:type="pct"/>
            <w:tcBorders>
              <w:top w:val="single" w:sz="6" w:space="0" w:color="008000"/>
            </w:tcBorders>
            <w:shd w:val="clear" w:color="auto" w:fill="auto"/>
            <w:noWrap/>
            <w:vAlign w:val="center"/>
            <w:hideMark/>
          </w:tcPr>
          <w:p w14:paraId="3707CA9E"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2.7</w:t>
            </w:r>
          </w:p>
        </w:tc>
        <w:tc>
          <w:tcPr>
            <w:tcW w:w="292" w:type="pct"/>
            <w:tcBorders>
              <w:top w:val="single" w:sz="6" w:space="0" w:color="008000"/>
            </w:tcBorders>
            <w:shd w:val="clear" w:color="auto" w:fill="auto"/>
            <w:noWrap/>
            <w:vAlign w:val="center"/>
            <w:hideMark/>
          </w:tcPr>
          <w:p w14:paraId="40F4DD8D"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2.4</w:t>
            </w:r>
          </w:p>
        </w:tc>
        <w:tc>
          <w:tcPr>
            <w:tcW w:w="292" w:type="pct"/>
            <w:tcBorders>
              <w:top w:val="single" w:sz="6" w:space="0" w:color="008000"/>
            </w:tcBorders>
            <w:shd w:val="clear" w:color="auto" w:fill="auto"/>
            <w:noWrap/>
            <w:vAlign w:val="center"/>
            <w:hideMark/>
          </w:tcPr>
          <w:p w14:paraId="0CE42F03"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1.4</w:t>
            </w:r>
          </w:p>
        </w:tc>
        <w:tc>
          <w:tcPr>
            <w:tcW w:w="292" w:type="pct"/>
            <w:tcBorders>
              <w:top w:val="single" w:sz="6" w:space="0" w:color="008000"/>
            </w:tcBorders>
            <w:shd w:val="clear" w:color="auto" w:fill="auto"/>
            <w:noWrap/>
            <w:vAlign w:val="center"/>
            <w:hideMark/>
          </w:tcPr>
          <w:p w14:paraId="28EC2FD4"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3.2</w:t>
            </w:r>
          </w:p>
        </w:tc>
        <w:tc>
          <w:tcPr>
            <w:tcW w:w="292" w:type="pct"/>
            <w:tcBorders>
              <w:top w:val="single" w:sz="6" w:space="0" w:color="008000"/>
            </w:tcBorders>
            <w:shd w:val="clear" w:color="auto" w:fill="auto"/>
            <w:noWrap/>
            <w:vAlign w:val="center"/>
            <w:hideMark/>
          </w:tcPr>
          <w:p w14:paraId="07F3922A"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0.3</w:t>
            </w:r>
          </w:p>
        </w:tc>
      </w:tr>
      <w:tr w:rsidR="0064352F" w:rsidRPr="00A93653" w14:paraId="0C5B16CB" w14:textId="77777777" w:rsidTr="00EC1938">
        <w:trPr>
          <w:trHeight w:val="300"/>
        </w:trPr>
        <w:tc>
          <w:tcPr>
            <w:tcW w:w="616" w:type="pct"/>
            <w:tcBorders>
              <w:bottom w:val="single" w:sz="12" w:space="0" w:color="008000"/>
            </w:tcBorders>
            <w:shd w:val="clear" w:color="auto" w:fill="auto"/>
            <w:vAlign w:val="center"/>
            <w:hideMark/>
          </w:tcPr>
          <w:p w14:paraId="4185E913"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TAN</w:t>
            </w:r>
          </w:p>
        </w:tc>
        <w:tc>
          <w:tcPr>
            <w:tcW w:w="292" w:type="pct"/>
            <w:tcBorders>
              <w:bottom w:val="single" w:sz="12" w:space="0" w:color="008000"/>
            </w:tcBorders>
            <w:shd w:val="clear" w:color="auto" w:fill="auto"/>
            <w:noWrap/>
            <w:vAlign w:val="center"/>
            <w:hideMark/>
          </w:tcPr>
          <w:p w14:paraId="494B471B"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0.3</w:t>
            </w:r>
          </w:p>
        </w:tc>
        <w:tc>
          <w:tcPr>
            <w:tcW w:w="292" w:type="pct"/>
            <w:tcBorders>
              <w:bottom w:val="single" w:sz="12" w:space="0" w:color="008000"/>
            </w:tcBorders>
            <w:shd w:val="clear" w:color="auto" w:fill="auto"/>
            <w:noWrap/>
            <w:vAlign w:val="center"/>
          </w:tcPr>
          <w:p w14:paraId="67F3C267"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3.4</w:t>
            </w:r>
          </w:p>
        </w:tc>
        <w:tc>
          <w:tcPr>
            <w:tcW w:w="292" w:type="pct"/>
            <w:tcBorders>
              <w:bottom w:val="single" w:sz="12" w:space="0" w:color="008000"/>
            </w:tcBorders>
            <w:shd w:val="clear" w:color="auto" w:fill="auto"/>
            <w:noWrap/>
            <w:vAlign w:val="center"/>
            <w:hideMark/>
          </w:tcPr>
          <w:p w14:paraId="0D75E354"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0.2</w:t>
            </w:r>
          </w:p>
        </w:tc>
        <w:tc>
          <w:tcPr>
            <w:tcW w:w="292" w:type="pct"/>
            <w:tcBorders>
              <w:bottom w:val="single" w:sz="12" w:space="0" w:color="008000"/>
            </w:tcBorders>
            <w:shd w:val="clear" w:color="auto" w:fill="auto"/>
            <w:noWrap/>
            <w:vAlign w:val="center"/>
            <w:hideMark/>
          </w:tcPr>
          <w:p w14:paraId="7E9ED54B"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1.2</w:t>
            </w:r>
          </w:p>
        </w:tc>
        <w:tc>
          <w:tcPr>
            <w:tcW w:w="292" w:type="pct"/>
            <w:tcBorders>
              <w:bottom w:val="single" w:sz="12" w:space="0" w:color="008000"/>
            </w:tcBorders>
            <w:shd w:val="clear" w:color="auto" w:fill="auto"/>
            <w:noWrap/>
            <w:vAlign w:val="center"/>
            <w:hideMark/>
          </w:tcPr>
          <w:p w14:paraId="2E699EE6"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w:t>
            </w:r>
          </w:p>
        </w:tc>
        <w:tc>
          <w:tcPr>
            <w:tcW w:w="292" w:type="pct"/>
            <w:tcBorders>
              <w:bottom w:val="single" w:sz="12" w:space="0" w:color="008000"/>
            </w:tcBorders>
            <w:shd w:val="clear" w:color="auto" w:fill="auto"/>
            <w:noWrap/>
            <w:vAlign w:val="center"/>
            <w:hideMark/>
          </w:tcPr>
          <w:p w14:paraId="2501B2C0"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1.6</w:t>
            </w:r>
          </w:p>
        </w:tc>
        <w:tc>
          <w:tcPr>
            <w:tcW w:w="292" w:type="pct"/>
            <w:tcBorders>
              <w:bottom w:val="single" w:sz="12" w:space="0" w:color="008000"/>
            </w:tcBorders>
            <w:shd w:val="clear" w:color="auto" w:fill="auto"/>
            <w:noWrap/>
            <w:vAlign w:val="center"/>
            <w:hideMark/>
          </w:tcPr>
          <w:p w14:paraId="4D333762"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2.5</w:t>
            </w:r>
          </w:p>
        </w:tc>
        <w:tc>
          <w:tcPr>
            <w:tcW w:w="292" w:type="pct"/>
            <w:tcBorders>
              <w:bottom w:val="single" w:sz="12" w:space="0" w:color="008000"/>
            </w:tcBorders>
            <w:shd w:val="clear" w:color="auto" w:fill="auto"/>
            <w:noWrap/>
            <w:vAlign w:val="center"/>
            <w:hideMark/>
          </w:tcPr>
          <w:p w14:paraId="40E076F4"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0.4</w:t>
            </w:r>
          </w:p>
        </w:tc>
        <w:tc>
          <w:tcPr>
            <w:tcW w:w="292" w:type="pct"/>
            <w:tcBorders>
              <w:bottom w:val="single" w:sz="12" w:space="0" w:color="008000"/>
            </w:tcBorders>
            <w:shd w:val="clear" w:color="auto" w:fill="auto"/>
            <w:noWrap/>
            <w:vAlign w:val="center"/>
            <w:hideMark/>
          </w:tcPr>
          <w:p w14:paraId="7E404BFF"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1.6</w:t>
            </w:r>
          </w:p>
        </w:tc>
        <w:tc>
          <w:tcPr>
            <w:tcW w:w="292" w:type="pct"/>
            <w:tcBorders>
              <w:bottom w:val="single" w:sz="12" w:space="0" w:color="008000"/>
            </w:tcBorders>
            <w:shd w:val="clear" w:color="auto" w:fill="auto"/>
            <w:noWrap/>
            <w:vAlign w:val="center"/>
            <w:hideMark/>
          </w:tcPr>
          <w:p w14:paraId="03B08248"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0.1</w:t>
            </w:r>
          </w:p>
        </w:tc>
        <w:tc>
          <w:tcPr>
            <w:tcW w:w="292" w:type="pct"/>
            <w:tcBorders>
              <w:bottom w:val="single" w:sz="12" w:space="0" w:color="008000"/>
            </w:tcBorders>
            <w:shd w:val="clear" w:color="auto" w:fill="auto"/>
            <w:noWrap/>
            <w:vAlign w:val="center"/>
            <w:hideMark/>
          </w:tcPr>
          <w:p w14:paraId="2582B563"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3.7</w:t>
            </w:r>
          </w:p>
        </w:tc>
        <w:tc>
          <w:tcPr>
            <w:tcW w:w="292" w:type="pct"/>
            <w:tcBorders>
              <w:bottom w:val="single" w:sz="12" w:space="0" w:color="008000"/>
            </w:tcBorders>
            <w:shd w:val="clear" w:color="auto" w:fill="auto"/>
            <w:noWrap/>
            <w:vAlign w:val="center"/>
            <w:hideMark/>
          </w:tcPr>
          <w:p w14:paraId="22755768"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0.1</w:t>
            </w:r>
          </w:p>
        </w:tc>
        <w:tc>
          <w:tcPr>
            <w:tcW w:w="292" w:type="pct"/>
            <w:tcBorders>
              <w:bottom w:val="single" w:sz="12" w:space="0" w:color="008000"/>
            </w:tcBorders>
            <w:shd w:val="clear" w:color="auto" w:fill="auto"/>
            <w:noWrap/>
            <w:vAlign w:val="center"/>
            <w:hideMark/>
          </w:tcPr>
          <w:p w14:paraId="0AA6EC5A"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0.1</w:t>
            </w:r>
          </w:p>
        </w:tc>
        <w:tc>
          <w:tcPr>
            <w:tcW w:w="292" w:type="pct"/>
            <w:tcBorders>
              <w:bottom w:val="single" w:sz="12" w:space="0" w:color="008000"/>
            </w:tcBorders>
            <w:shd w:val="clear" w:color="auto" w:fill="auto"/>
            <w:noWrap/>
            <w:vAlign w:val="center"/>
            <w:hideMark/>
          </w:tcPr>
          <w:p w14:paraId="40C5FBAE"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0.6</w:t>
            </w:r>
          </w:p>
        </w:tc>
        <w:tc>
          <w:tcPr>
            <w:tcW w:w="292" w:type="pct"/>
            <w:tcBorders>
              <w:bottom w:val="single" w:sz="12" w:space="0" w:color="008000"/>
            </w:tcBorders>
            <w:shd w:val="clear" w:color="auto" w:fill="auto"/>
            <w:noWrap/>
            <w:vAlign w:val="center"/>
            <w:hideMark/>
          </w:tcPr>
          <w:p w14:paraId="06552AE4" w14:textId="77777777" w:rsidR="0064352F" w:rsidRPr="00A93653" w:rsidRDefault="0064352F" w:rsidP="00A61DD1">
            <w:pPr>
              <w:tabs>
                <w:tab w:val="clear" w:pos="7100"/>
              </w:tabs>
              <w:spacing w:line="240" w:lineRule="auto"/>
              <w:rPr>
                <w:rFonts w:cs="Arial"/>
                <w:color w:val="000000"/>
                <w:szCs w:val="18"/>
                <w:lang w:val="it-IT" w:eastAsia="it-IT"/>
              </w:rPr>
            </w:pPr>
            <w:r w:rsidRPr="00A93653">
              <w:rPr>
                <w:rFonts w:cs="Arial"/>
                <w:color w:val="000000"/>
                <w:szCs w:val="18"/>
                <w:lang w:val="it-IT" w:eastAsia="it-IT"/>
              </w:rPr>
              <w:t>0.9</w:t>
            </w:r>
          </w:p>
        </w:tc>
      </w:tr>
    </w:tbl>
    <w:p w14:paraId="1D86126F" w14:textId="77777777" w:rsidR="0064352F" w:rsidRPr="00A93653" w:rsidRDefault="0064352F" w:rsidP="0064352F">
      <w:pPr>
        <w:pStyle w:val="CETBodytext"/>
        <w:rPr>
          <w:lang w:val="en-GB"/>
        </w:rPr>
      </w:pPr>
    </w:p>
    <w:p w14:paraId="0A11FF4D" w14:textId="337046BF" w:rsidR="00E34D94" w:rsidRPr="00A93653" w:rsidRDefault="00E34D94" w:rsidP="001E3F4D">
      <w:pPr>
        <w:spacing w:after="180"/>
        <w:rPr>
          <w:rFonts w:cs="Arial"/>
          <w:szCs w:val="18"/>
        </w:rPr>
      </w:pPr>
      <w:r w:rsidRPr="00A93653">
        <w:rPr>
          <w:rFonts w:cs="Arial"/>
          <w:szCs w:val="18"/>
        </w:rPr>
        <w:t>The temperature simulation uses Markov chains. By monitoring the real data in M1 and M2, it has been observed that the temperatures detected are distributed between two states, corresponding to two temperature classes of the API tables. The transition probabilities between the two states have been calculated based on real data. The same transition probabilities are used for the generation of the sequences, adding a little random disturbance. Finally, a simulated year has been obtained</w:t>
      </w:r>
      <w:r w:rsidR="0064352F" w:rsidRPr="00A93653">
        <w:rPr>
          <w:rFonts w:cs="Arial"/>
          <w:szCs w:val="18"/>
        </w:rPr>
        <w:t xml:space="preserve"> with data is generated on an hourly basis.</w:t>
      </w:r>
    </w:p>
    <w:p w14:paraId="2C2CFA2E" w14:textId="65D47586" w:rsidR="00787488" w:rsidRPr="00A93653" w:rsidRDefault="003562F0" w:rsidP="00684A3A">
      <w:pPr>
        <w:pStyle w:val="CETBodytext"/>
        <w:jc w:val="center"/>
        <w:rPr>
          <w:i/>
          <w:iCs/>
          <w:color w:val="808080" w:themeColor="background1" w:themeShade="80"/>
          <w:lang w:val="en-GB"/>
        </w:rPr>
      </w:pPr>
      <w:r w:rsidRPr="00A93653">
        <w:rPr>
          <w:noProof/>
          <w:lang w:val="en-GB"/>
        </w:rPr>
        <w:drawing>
          <wp:inline distT="0" distB="0" distL="0" distR="0" wp14:anchorId="1B92309E" wp14:editId="55170CA1">
            <wp:extent cx="2740412" cy="2335297"/>
            <wp:effectExtent l="19050" t="19050" r="22225" b="27305"/>
            <wp:docPr id="1" name="Immagine 1"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diagramma&#10;&#10;Descrizione generata automaticamente"/>
                    <pic:cNvPicPr/>
                  </pic:nvPicPr>
                  <pic:blipFill rotWithShape="1">
                    <a:blip r:embed="rId12"/>
                    <a:srcRect t="3717"/>
                    <a:stretch/>
                  </pic:blipFill>
                  <pic:spPr bwMode="auto">
                    <a:xfrm>
                      <a:off x="0" y="0"/>
                      <a:ext cx="2770216" cy="2360695"/>
                    </a:xfrm>
                    <a:prstGeom prst="rect">
                      <a:avLst/>
                    </a:prstGeom>
                    <a:ln w="3175" cap="flat" cmpd="sng" algn="ctr">
                      <a:solidFill>
                        <a:schemeClr val="bg1">
                          <a:lumMod val="8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A93653">
        <w:rPr>
          <w:noProof/>
          <w:lang w:val="en-GB"/>
        </w:rPr>
        <w:drawing>
          <wp:inline distT="0" distB="0" distL="0" distR="0" wp14:anchorId="44FEC374" wp14:editId="1FE302D9">
            <wp:extent cx="2742243" cy="2341721"/>
            <wp:effectExtent l="19050" t="19050" r="20320" b="20955"/>
            <wp:docPr id="2" name="Immagine 2"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diagramma&#10;&#10;Descrizione generata automaticamente"/>
                    <pic:cNvPicPr/>
                  </pic:nvPicPr>
                  <pic:blipFill>
                    <a:blip r:embed="rId13"/>
                    <a:stretch>
                      <a:fillRect/>
                    </a:stretch>
                  </pic:blipFill>
                  <pic:spPr>
                    <a:xfrm>
                      <a:off x="0" y="0"/>
                      <a:ext cx="2745117" cy="2344175"/>
                    </a:xfrm>
                    <a:prstGeom prst="rect">
                      <a:avLst/>
                    </a:prstGeom>
                    <a:ln w="3175">
                      <a:solidFill>
                        <a:schemeClr val="bg1">
                          <a:lumMod val="85000"/>
                        </a:schemeClr>
                      </a:solidFill>
                    </a:ln>
                  </pic:spPr>
                </pic:pic>
              </a:graphicData>
            </a:graphic>
          </wp:inline>
        </w:drawing>
      </w:r>
      <w:r w:rsidRPr="00A93653">
        <w:rPr>
          <w:lang w:val="en-GB"/>
        </w:rPr>
        <w:t xml:space="preserve"> </w:t>
      </w:r>
      <w:r w:rsidR="00684A3A" w:rsidRPr="00A93653">
        <w:rPr>
          <w:lang w:val="en-GB"/>
        </w:rPr>
        <w:t xml:space="preserve">           </w:t>
      </w:r>
      <w:r w:rsidR="00684A3A" w:rsidRPr="00A93653">
        <w:rPr>
          <w:i/>
          <w:iCs/>
          <w:color w:val="595959" w:themeColor="text1" w:themeTint="A6"/>
          <w:lang w:val="en-GB"/>
        </w:rPr>
        <w:t xml:space="preserve">(a)                                                                                   </w:t>
      </w:r>
      <w:r w:rsidRPr="00A93653">
        <w:rPr>
          <w:i/>
          <w:iCs/>
          <w:color w:val="595959" w:themeColor="text1" w:themeTint="A6"/>
          <w:lang w:val="en-GB"/>
        </w:rPr>
        <w:t>(b)</w:t>
      </w:r>
    </w:p>
    <w:p w14:paraId="7386F5D7" w14:textId="1D0B902A" w:rsidR="003562F0" w:rsidRPr="00A93653" w:rsidRDefault="003562F0" w:rsidP="00787488">
      <w:pPr>
        <w:pStyle w:val="CETBodytext"/>
        <w:rPr>
          <w:lang w:val="en-GB"/>
        </w:rPr>
      </w:pPr>
      <w:r w:rsidRPr="00A93653">
        <w:rPr>
          <w:rStyle w:val="CETCaptionCarattere"/>
        </w:rPr>
        <w:t xml:space="preserve">Figure 3: </w:t>
      </w:r>
      <w:r w:rsidRPr="00A93653">
        <w:rPr>
          <w:rFonts w:cs="Arial"/>
          <w:szCs w:val="18"/>
        </w:rPr>
        <w:t xml:space="preserve">BBN </w:t>
      </w:r>
      <w:r w:rsidR="009E53D8" w:rsidRPr="00A93653">
        <w:rPr>
          <w:rFonts w:cs="Arial"/>
          <w:szCs w:val="18"/>
        </w:rPr>
        <w:t xml:space="preserve">stress factor calculation </w:t>
      </w:r>
      <w:r w:rsidRPr="00A93653">
        <w:rPr>
          <w:rFonts w:cs="Arial"/>
          <w:szCs w:val="18"/>
        </w:rPr>
        <w:t xml:space="preserve">(a) </w:t>
      </w:r>
      <w:r w:rsidR="003959C1" w:rsidRPr="00A93653">
        <w:rPr>
          <w:rFonts w:cs="Arial"/>
          <w:szCs w:val="18"/>
        </w:rPr>
        <w:t xml:space="preserve">for </w:t>
      </w:r>
      <w:r w:rsidR="00852491" w:rsidRPr="00A93653">
        <w:rPr>
          <w:rFonts w:cs="Arial"/>
          <w:szCs w:val="18"/>
        </w:rPr>
        <w:t xml:space="preserve">item </w:t>
      </w:r>
      <w:r w:rsidR="003959C1" w:rsidRPr="00A93653">
        <w:rPr>
          <w:rFonts w:cs="Arial"/>
          <w:szCs w:val="18"/>
        </w:rPr>
        <w:t>M1</w:t>
      </w:r>
      <w:r w:rsidR="009E53D8" w:rsidRPr="00A93653">
        <w:rPr>
          <w:rFonts w:cs="Arial"/>
          <w:szCs w:val="18"/>
        </w:rPr>
        <w:t xml:space="preserve"> </w:t>
      </w:r>
      <w:r w:rsidR="003959C1" w:rsidRPr="00A93653">
        <w:rPr>
          <w:rFonts w:cs="Arial"/>
          <w:szCs w:val="18"/>
        </w:rPr>
        <w:t>(</w:t>
      </w:r>
      <w:r w:rsidRPr="00A93653">
        <w:rPr>
          <w:rFonts w:cs="Arial"/>
          <w:szCs w:val="18"/>
        </w:rPr>
        <w:t>carbon steel</w:t>
      </w:r>
      <w:r w:rsidR="009E53D8" w:rsidRPr="00A93653">
        <w:rPr>
          <w:rFonts w:cs="Arial"/>
          <w:szCs w:val="18"/>
        </w:rPr>
        <w:t>)</w:t>
      </w:r>
      <w:r w:rsidRPr="00A93653">
        <w:rPr>
          <w:rFonts w:cs="Arial"/>
          <w:szCs w:val="18"/>
        </w:rPr>
        <w:t xml:space="preserve">; (b) </w:t>
      </w:r>
      <w:r w:rsidR="009E53D8" w:rsidRPr="00A93653">
        <w:rPr>
          <w:rFonts w:cs="Arial"/>
          <w:szCs w:val="18"/>
        </w:rPr>
        <w:t xml:space="preserve">for </w:t>
      </w:r>
      <w:r w:rsidR="00852491" w:rsidRPr="00A93653">
        <w:rPr>
          <w:rFonts w:cs="Arial"/>
          <w:szCs w:val="18"/>
        </w:rPr>
        <w:t>item M2</w:t>
      </w:r>
      <w:r w:rsidR="009E53D8" w:rsidRPr="00A93653">
        <w:rPr>
          <w:rFonts w:cs="Arial"/>
          <w:szCs w:val="18"/>
        </w:rPr>
        <w:t xml:space="preserve"> </w:t>
      </w:r>
      <w:r w:rsidRPr="00A93653">
        <w:rPr>
          <w:rFonts w:cs="Arial"/>
          <w:szCs w:val="18"/>
        </w:rPr>
        <w:t>low alloy steel 5g.</w:t>
      </w:r>
    </w:p>
    <w:p w14:paraId="1EDBAC42" w14:textId="77777777" w:rsidR="00E03B6A" w:rsidRDefault="00E03B6A" w:rsidP="00D253F1">
      <w:pPr>
        <w:rPr>
          <w:rFonts w:cs="Arial"/>
          <w:szCs w:val="18"/>
          <w:lang w:val="en-US"/>
        </w:rPr>
      </w:pPr>
    </w:p>
    <w:p w14:paraId="6C6C24FC" w14:textId="77777777" w:rsidR="00E03B6A" w:rsidRPr="00A93653" w:rsidRDefault="00E03B6A" w:rsidP="00E03B6A">
      <w:pPr>
        <w:rPr>
          <w:rFonts w:cs="Arial"/>
          <w:szCs w:val="18"/>
          <w:lang w:val="en-US"/>
        </w:rPr>
      </w:pPr>
      <w:r w:rsidRPr="00A93653">
        <w:rPr>
          <w:rFonts w:cs="Arial"/>
          <w:szCs w:val="18"/>
          <w:lang w:val="en-US"/>
        </w:rPr>
        <w:lastRenderedPageBreak/>
        <w:t xml:space="preserve">At the beginning of the year, the RUL a priori is assumed to be 10 years. The experimental data of the first four weeks has been exploited to train the network both for item 1 and item 2. Figure 3 gives the stress factor calculation for the first quarter in M1 and M2. For the following quarters the initial conditions are those obtained from the previous quarter. The calculated stress factor has been used to update the RUL taking into account the elapsed time. This procedure is repeated for each quarter until the end of the year. The comparison with the experts has allowed the subsequent adjustment of the tables that relate initial conditions and stress factors. </w:t>
      </w:r>
    </w:p>
    <w:p w14:paraId="347DB466" w14:textId="1AF0B1A4" w:rsidR="00D253F1" w:rsidRPr="00A93653" w:rsidRDefault="00D253F1" w:rsidP="00D253F1">
      <w:pPr>
        <w:rPr>
          <w:rFonts w:cs="Arial"/>
          <w:szCs w:val="18"/>
          <w:lang w:val="en-US"/>
        </w:rPr>
      </w:pPr>
      <w:r w:rsidRPr="00A93653">
        <w:rPr>
          <w:rFonts w:cs="Arial"/>
          <w:szCs w:val="18"/>
          <w:lang w:val="en-US"/>
        </w:rPr>
        <w:t xml:space="preserve">The stress factor node represents the condition of the equipment, accounting for the cumulative effects of corrosion, and is defined by two states, i.e. high and low. The high stress state indicates a worsening of the conditions compared to the norm, while the low state indicates a limited worsening. Information about the equipment status can be used to change the RUL. The RUL that is updated based on the simple subtraction of the passing years is the so-called RUL a priori (Equation 1); the dynamic update considers that the years to be subtracted can be more than the actual ones depending on the percentage of high stress </w:t>
      </w:r>
      <w:proofErr w:type="spellStart"/>
      <w:r w:rsidRPr="00A93653">
        <w:rPr>
          <w:rFonts w:ascii="Times New Roman" w:hAnsi="Times New Roman"/>
          <w:szCs w:val="18"/>
          <w:lang w:val="en-US"/>
        </w:rPr>
        <w:t>S</w:t>
      </w:r>
      <w:r w:rsidRPr="00A93653">
        <w:rPr>
          <w:rFonts w:ascii="Times New Roman" w:hAnsi="Times New Roman"/>
          <w:szCs w:val="18"/>
          <w:vertAlign w:val="subscript"/>
          <w:lang w:val="en-US"/>
        </w:rPr>
        <w:t>high</w:t>
      </w:r>
      <w:proofErr w:type="spellEnd"/>
      <w:r w:rsidRPr="00A93653">
        <w:rPr>
          <w:rFonts w:cs="Arial"/>
          <w:szCs w:val="18"/>
          <w:lang w:val="en-US"/>
        </w:rPr>
        <w:t>, this means that the RUL at a given time becomes lower than that calculated a priori (Equation 2):</w:t>
      </w:r>
    </w:p>
    <w:p w14:paraId="16CD1FD7" w14:textId="77777777" w:rsidR="00A93653" w:rsidRPr="00A93653" w:rsidRDefault="00A93653" w:rsidP="00D253F1">
      <w:pPr>
        <w:rPr>
          <w:rFonts w:cs="Arial"/>
          <w:szCs w:val="18"/>
          <w:lang w:val="en-US"/>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976"/>
        <w:gridCol w:w="801"/>
      </w:tblGrid>
      <w:tr w:rsidR="00D253F1" w:rsidRPr="00A93653" w14:paraId="7B463DB3" w14:textId="77777777" w:rsidTr="007320F4">
        <w:tc>
          <w:tcPr>
            <w:tcW w:w="7985" w:type="dxa"/>
            <w:shd w:val="clear" w:color="auto" w:fill="auto"/>
            <w:vAlign w:val="center"/>
          </w:tcPr>
          <w:p w14:paraId="7E1D1CE8" w14:textId="77777777" w:rsidR="00D253F1" w:rsidRPr="00A93653" w:rsidRDefault="00D253F1" w:rsidP="00A61DD1">
            <w:pPr>
              <w:pStyle w:val="CETEquation"/>
            </w:pPr>
            <w:r w:rsidRPr="00A93653">
              <w:rPr>
                <w:position w:val="-12"/>
              </w:rPr>
              <w:object w:dxaOrig="2780" w:dyaOrig="360" w14:anchorId="4EB63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5pt;height:17.95pt" o:ole="">
                  <v:imagedata r:id="rId14" o:title=""/>
                </v:shape>
                <o:OLEObject Type="Embed" ProgID="Equation.DSMT4" ShapeID="_x0000_i1025" DrawAspect="Content" ObjectID="_1742986774" r:id="rId15"/>
              </w:object>
            </w:r>
          </w:p>
        </w:tc>
        <w:tc>
          <w:tcPr>
            <w:tcW w:w="802" w:type="dxa"/>
            <w:shd w:val="clear" w:color="auto" w:fill="auto"/>
            <w:vAlign w:val="center"/>
          </w:tcPr>
          <w:p w14:paraId="3DEAFF05" w14:textId="77777777" w:rsidR="00D253F1" w:rsidRPr="00A93653" w:rsidRDefault="00D253F1" w:rsidP="00A61DD1">
            <w:pPr>
              <w:pStyle w:val="CETEquation"/>
              <w:jc w:val="right"/>
            </w:pPr>
            <w:r w:rsidRPr="00A93653">
              <w:t>(1)</w:t>
            </w:r>
          </w:p>
        </w:tc>
      </w:tr>
      <w:tr w:rsidR="00D253F1" w:rsidRPr="00A93653" w14:paraId="2A940DB9" w14:textId="77777777" w:rsidTr="007320F4">
        <w:tc>
          <w:tcPr>
            <w:tcW w:w="7985" w:type="dxa"/>
            <w:shd w:val="clear" w:color="auto" w:fill="auto"/>
            <w:vAlign w:val="center"/>
          </w:tcPr>
          <w:p w14:paraId="50BA08E4" w14:textId="77777777" w:rsidR="00D253F1" w:rsidRPr="00A93653" w:rsidRDefault="00D253F1" w:rsidP="00A61DD1">
            <w:pPr>
              <w:pStyle w:val="CETEquation"/>
            </w:pPr>
            <w:r w:rsidRPr="00A93653">
              <w:rPr>
                <w:position w:val="-14"/>
              </w:rPr>
              <w:object w:dxaOrig="3720" w:dyaOrig="380" w14:anchorId="3FECE515">
                <v:shape id="_x0000_i1026" type="#_x0000_t75" style="width:185.7pt;height:19.05pt" o:ole="">
                  <v:imagedata r:id="rId16" o:title=""/>
                </v:shape>
                <o:OLEObject Type="Embed" ProgID="Equation.DSMT4" ShapeID="_x0000_i1026" DrawAspect="Content" ObjectID="_1742986775" r:id="rId17"/>
              </w:object>
            </w:r>
          </w:p>
        </w:tc>
        <w:tc>
          <w:tcPr>
            <w:tcW w:w="802" w:type="dxa"/>
            <w:shd w:val="clear" w:color="auto" w:fill="auto"/>
            <w:vAlign w:val="center"/>
          </w:tcPr>
          <w:p w14:paraId="0BF3FF41" w14:textId="77777777" w:rsidR="00D253F1" w:rsidRPr="00A93653" w:rsidRDefault="00D253F1" w:rsidP="00A61DD1">
            <w:pPr>
              <w:pStyle w:val="CETEquation"/>
              <w:jc w:val="right"/>
            </w:pPr>
            <w:r w:rsidRPr="00A93653">
              <w:t>(2)</w:t>
            </w:r>
          </w:p>
        </w:tc>
      </w:tr>
    </w:tbl>
    <w:p w14:paraId="60C5D44B" w14:textId="77777777" w:rsidR="002D0246" w:rsidRPr="00A93653" w:rsidRDefault="002D0246" w:rsidP="00D253F1">
      <w:pPr>
        <w:rPr>
          <w:rFonts w:cs="Arial"/>
          <w:szCs w:val="18"/>
          <w:lang w:val="en-US"/>
        </w:rPr>
      </w:pPr>
    </w:p>
    <w:p w14:paraId="6B2D1A84" w14:textId="7461A362" w:rsidR="00D253F1" w:rsidRPr="00A93653" w:rsidRDefault="00D253F1" w:rsidP="00D253F1">
      <w:pPr>
        <w:rPr>
          <w:rFonts w:cs="Arial"/>
          <w:szCs w:val="18"/>
          <w:lang w:val="en-US"/>
        </w:rPr>
      </w:pPr>
      <w:r w:rsidRPr="00A93653">
        <w:rPr>
          <w:rFonts w:cs="Arial"/>
          <w:szCs w:val="18"/>
          <w:lang w:val="en-US"/>
        </w:rPr>
        <w:t>By using Equation 2, the trend of the RUL(</w:t>
      </w:r>
      <w:r w:rsidRPr="00A93653">
        <w:rPr>
          <w:rFonts w:ascii="Times New Roman" w:hAnsi="Times New Roman"/>
          <w:i/>
          <w:iCs/>
          <w:szCs w:val="18"/>
          <w:lang w:val="en-US"/>
        </w:rPr>
        <w:t>t</w:t>
      </w:r>
      <w:r w:rsidRPr="00A93653">
        <w:rPr>
          <w:rFonts w:ascii="Times New Roman" w:hAnsi="Times New Roman"/>
          <w:szCs w:val="18"/>
          <w:vertAlign w:val="subscript"/>
          <w:lang w:val="en-US"/>
        </w:rPr>
        <w:t>o</w:t>
      </w:r>
      <w:r w:rsidRPr="00A93653">
        <w:rPr>
          <w:rFonts w:ascii="Times New Roman" w:hAnsi="Times New Roman"/>
          <w:szCs w:val="18"/>
          <w:lang w:val="en-US"/>
        </w:rPr>
        <w:t xml:space="preserve"> + </w:t>
      </w:r>
      <w:r w:rsidRPr="00A93653">
        <w:rPr>
          <w:rFonts w:ascii="Times New Roman" w:hAnsi="Times New Roman"/>
          <w:szCs w:val="18"/>
          <w:lang w:val="en-US"/>
        </w:rPr>
        <w:sym w:font="Symbol" w:char="F044"/>
      </w:r>
      <w:r w:rsidRPr="00A93653">
        <w:rPr>
          <w:rFonts w:ascii="Times New Roman" w:hAnsi="Times New Roman"/>
          <w:i/>
          <w:iCs/>
          <w:szCs w:val="18"/>
          <w:lang w:val="en-US"/>
        </w:rPr>
        <w:t>t</w:t>
      </w:r>
      <w:r w:rsidRPr="00A93653">
        <w:rPr>
          <w:rFonts w:cs="Arial"/>
          <w:szCs w:val="18"/>
          <w:lang w:val="en-US"/>
        </w:rPr>
        <w:t>) is clearly understood. The formula shows that if the high stress probability is 0 then the RUL(</w:t>
      </w:r>
      <w:r w:rsidRPr="00A93653">
        <w:rPr>
          <w:rFonts w:ascii="Times New Roman" w:hAnsi="Times New Roman"/>
          <w:i/>
          <w:iCs/>
          <w:szCs w:val="18"/>
          <w:lang w:val="en-US"/>
        </w:rPr>
        <w:t>t</w:t>
      </w:r>
      <w:r w:rsidRPr="00A93653">
        <w:rPr>
          <w:rFonts w:ascii="Times New Roman" w:hAnsi="Times New Roman"/>
          <w:szCs w:val="18"/>
          <w:vertAlign w:val="subscript"/>
          <w:lang w:val="en-US"/>
        </w:rPr>
        <w:t>o</w:t>
      </w:r>
      <w:r w:rsidRPr="00A93653">
        <w:rPr>
          <w:rFonts w:ascii="Times New Roman" w:hAnsi="Times New Roman"/>
          <w:szCs w:val="18"/>
          <w:lang w:val="en-US"/>
        </w:rPr>
        <w:t xml:space="preserve"> + </w:t>
      </w:r>
      <w:r w:rsidRPr="00A93653">
        <w:rPr>
          <w:rFonts w:ascii="Times New Roman" w:hAnsi="Times New Roman"/>
          <w:szCs w:val="18"/>
          <w:lang w:val="en-US"/>
        </w:rPr>
        <w:sym w:font="Symbol" w:char="F044"/>
      </w:r>
      <w:r w:rsidRPr="00A93653">
        <w:rPr>
          <w:rFonts w:ascii="Times New Roman" w:hAnsi="Times New Roman"/>
          <w:i/>
          <w:iCs/>
          <w:szCs w:val="18"/>
          <w:lang w:val="en-US"/>
        </w:rPr>
        <w:t>t</w:t>
      </w:r>
      <w:r w:rsidRPr="00A93653">
        <w:rPr>
          <w:rFonts w:cs="Arial"/>
          <w:szCs w:val="18"/>
          <w:lang w:val="en-US"/>
        </w:rPr>
        <w:t>) would coincide with the value calculated a priori, since the high stress value is different from 0 there will be a penalty in terms of reduction of the RUL. Currently the formula needs of validation, which can be done using field experiences or taking into account the opinion of experts. The validation could lead to the introduction of an appropriate correction factor in Equation 2, alternatively, in the absence of such information, a penalty factor can be used which would provide conservative estimates.</w:t>
      </w:r>
    </w:p>
    <w:p w14:paraId="672334FB" w14:textId="3F9DBDC0" w:rsidR="00920F37" w:rsidRDefault="00C75100" w:rsidP="00743391">
      <w:pPr>
        <w:spacing w:after="120"/>
        <w:rPr>
          <w:rStyle w:val="CETCaptionCarattere"/>
          <w:i w:val="0"/>
          <w:color w:val="595959" w:themeColor="text1" w:themeTint="A6"/>
        </w:rPr>
      </w:pPr>
      <w:r>
        <w:rPr>
          <w:rFonts w:cs="Arial"/>
          <w:noProof/>
          <w:color w:val="595959" w:themeColor="text1" w:themeTint="A6"/>
          <w:szCs w:val="18"/>
          <w:lang w:val="en-US"/>
        </w:rPr>
        <w:drawing>
          <wp:inline distT="0" distB="0" distL="0" distR="0" wp14:anchorId="0B0D2B1C" wp14:editId="17AE5414">
            <wp:extent cx="3679648" cy="2051999"/>
            <wp:effectExtent l="0" t="0" r="0" b="5715"/>
            <wp:docPr id="91892509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9511" cy="2096536"/>
                    </a:xfrm>
                    <a:prstGeom prst="rect">
                      <a:avLst/>
                    </a:prstGeom>
                    <a:noFill/>
                  </pic:spPr>
                </pic:pic>
              </a:graphicData>
            </a:graphic>
          </wp:inline>
        </w:drawing>
      </w:r>
      <w:r w:rsidR="00B12167" w:rsidRPr="00151F57">
        <w:rPr>
          <w:rFonts w:cs="Arial"/>
          <w:color w:val="595959" w:themeColor="text1" w:themeTint="A6"/>
          <w:szCs w:val="18"/>
          <w:lang w:val="en-US"/>
        </w:rPr>
        <w:t xml:space="preserve">      </w:t>
      </w:r>
      <w:r w:rsidR="00A02194">
        <w:rPr>
          <w:rFonts w:cs="Arial"/>
          <w:color w:val="595959" w:themeColor="text1" w:themeTint="A6"/>
          <w:szCs w:val="18"/>
          <w:lang w:val="en-US"/>
        </w:rPr>
        <w:t xml:space="preserve">  </w:t>
      </w:r>
      <w:r w:rsidR="00E959E1">
        <w:rPr>
          <w:rFonts w:cs="Arial"/>
          <w:color w:val="595959" w:themeColor="text1" w:themeTint="A6"/>
          <w:szCs w:val="18"/>
          <w:lang w:val="en-US"/>
        </w:rPr>
        <w:t xml:space="preserve">   </w:t>
      </w:r>
      <w:r w:rsidR="00A02194">
        <w:rPr>
          <w:rFonts w:cs="Arial"/>
          <w:color w:val="595959" w:themeColor="text1" w:themeTint="A6"/>
          <w:szCs w:val="18"/>
          <w:lang w:val="en-US"/>
        </w:rPr>
        <w:t xml:space="preserve"> </w:t>
      </w:r>
      <w:r w:rsidR="00375C26" w:rsidRPr="00BF4102">
        <w:rPr>
          <w:rFonts w:cs="Arial"/>
          <w:color w:val="595959" w:themeColor="text1" w:themeTint="A6"/>
          <w:position w:val="80"/>
          <w:szCs w:val="18"/>
          <w:lang w:val="en-US"/>
        </w:rPr>
        <w:t>(a)</w:t>
      </w:r>
      <w:r w:rsidR="00A02194">
        <w:rPr>
          <w:rStyle w:val="CETCaptionCarattere"/>
          <w:i w:val="0"/>
          <w:color w:val="595959" w:themeColor="text1" w:themeTint="A6"/>
        </w:rPr>
        <w:t xml:space="preserve">   </w:t>
      </w:r>
    </w:p>
    <w:p w14:paraId="323E76FB" w14:textId="2B256F27" w:rsidR="004C612C" w:rsidRPr="00743391" w:rsidRDefault="00E959E1" w:rsidP="00743391">
      <w:pPr>
        <w:spacing w:after="120"/>
        <w:rPr>
          <w:rFonts w:cs="Arial"/>
          <w:szCs w:val="18"/>
          <w:lang w:val="en-US"/>
        </w:rPr>
      </w:pPr>
      <w:r>
        <w:rPr>
          <w:rStyle w:val="CETCaptionCarattere"/>
          <w:i w:val="0"/>
          <w:noProof/>
          <w:color w:val="595959" w:themeColor="text1" w:themeTint="A6"/>
        </w:rPr>
        <w:drawing>
          <wp:inline distT="0" distB="0" distL="0" distR="0" wp14:anchorId="6AB2426A" wp14:editId="53AABF7D">
            <wp:extent cx="3665379" cy="2029379"/>
            <wp:effectExtent l="0" t="0" r="0" b="9525"/>
            <wp:docPr id="750311351" name="Immagine 6"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11351" name="Immagine 6" descr="Immagine che contiene grafico&#10;&#10;Descrizione generat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5462" cy="2073718"/>
                    </a:xfrm>
                    <a:prstGeom prst="rect">
                      <a:avLst/>
                    </a:prstGeom>
                    <a:noFill/>
                  </pic:spPr>
                </pic:pic>
              </a:graphicData>
            </a:graphic>
          </wp:inline>
        </w:drawing>
      </w:r>
      <w:r w:rsidRPr="00151F57">
        <w:rPr>
          <w:rFonts w:cs="Arial"/>
          <w:color w:val="595959" w:themeColor="text1" w:themeTint="A6"/>
          <w:szCs w:val="18"/>
          <w:lang w:val="en-US"/>
        </w:rPr>
        <w:t xml:space="preserve">      </w:t>
      </w:r>
      <w:r>
        <w:rPr>
          <w:rFonts w:cs="Arial"/>
          <w:color w:val="595959" w:themeColor="text1" w:themeTint="A6"/>
          <w:szCs w:val="18"/>
          <w:lang w:val="en-US"/>
        </w:rPr>
        <w:t xml:space="preserve">      </w:t>
      </w:r>
      <w:r w:rsidR="00B12167" w:rsidRPr="00BF4102">
        <w:rPr>
          <w:rStyle w:val="CETCaptionCarattere"/>
          <w:i w:val="0"/>
          <w:color w:val="595959" w:themeColor="text1" w:themeTint="A6"/>
          <w:position w:val="80"/>
        </w:rPr>
        <w:t>(</w:t>
      </w:r>
      <w:r w:rsidR="00375C26" w:rsidRPr="00BF4102">
        <w:rPr>
          <w:rStyle w:val="CETCaptionCarattere"/>
          <w:i w:val="0"/>
          <w:color w:val="595959" w:themeColor="text1" w:themeTint="A6"/>
          <w:position w:val="80"/>
        </w:rPr>
        <w:t>b)</w:t>
      </w:r>
    </w:p>
    <w:p w14:paraId="02AE4783" w14:textId="0F7215C1" w:rsidR="0064352F" w:rsidRPr="00317DE5" w:rsidRDefault="0064352F" w:rsidP="00317DE5">
      <w:pPr>
        <w:rPr>
          <w:color w:val="595959" w:themeColor="text1" w:themeTint="A6"/>
        </w:rPr>
      </w:pPr>
      <w:r w:rsidRPr="00A93653">
        <w:rPr>
          <w:rStyle w:val="CETCaptionCarattere"/>
        </w:rPr>
        <w:t xml:space="preserve">Figure </w:t>
      </w:r>
      <w:r w:rsidR="00A82D7A" w:rsidRPr="00A93653">
        <w:rPr>
          <w:rStyle w:val="CETCaptionCarattere"/>
        </w:rPr>
        <w:t>4</w:t>
      </w:r>
      <w:r w:rsidRPr="00A93653">
        <w:rPr>
          <w:rStyle w:val="CETCaptionCarattere"/>
        </w:rPr>
        <w:t xml:space="preserve">: </w:t>
      </w:r>
      <w:r w:rsidRPr="00A93653">
        <w:rPr>
          <w:rStyle w:val="CETCaptionCarattere"/>
          <w:iCs/>
        </w:rPr>
        <w:t>A</w:t>
      </w:r>
      <w:r w:rsidRPr="00A93653">
        <w:rPr>
          <w:rStyle w:val="CETCaptionCarattere"/>
        </w:rPr>
        <w:t xml:space="preserve"> </w:t>
      </w:r>
      <w:r w:rsidRPr="00A93653">
        <w:rPr>
          <w:rFonts w:cs="Arial"/>
          <w:szCs w:val="18"/>
          <w:lang w:val="en-US"/>
        </w:rPr>
        <w:t>priori and dynamic estimates of expected RU</w:t>
      </w:r>
      <w:r w:rsidR="008D2B1E">
        <w:rPr>
          <w:rFonts w:cs="Arial"/>
          <w:szCs w:val="18"/>
          <w:lang w:val="en-US"/>
        </w:rPr>
        <w:t>L</w:t>
      </w:r>
      <w:r w:rsidR="00C61F11" w:rsidRPr="00A93653">
        <w:rPr>
          <w:rFonts w:cs="Arial"/>
          <w:szCs w:val="18"/>
          <w:lang w:val="en-US"/>
        </w:rPr>
        <w:t xml:space="preserve"> after one year of operation </w:t>
      </w:r>
      <w:r w:rsidR="008378E3" w:rsidRPr="00A93653">
        <w:rPr>
          <w:rFonts w:cs="Arial"/>
          <w:szCs w:val="18"/>
          <w:lang w:val="en-US"/>
        </w:rPr>
        <w:t>for</w:t>
      </w:r>
      <w:r w:rsidRPr="00A93653">
        <w:rPr>
          <w:rFonts w:cs="Arial"/>
          <w:szCs w:val="18"/>
          <w:lang w:val="en-US"/>
        </w:rPr>
        <w:t xml:space="preserve"> M1</w:t>
      </w:r>
      <w:r w:rsidR="00C61F11" w:rsidRPr="00A93653">
        <w:rPr>
          <w:rFonts w:cs="Arial"/>
          <w:szCs w:val="18"/>
          <w:lang w:val="en-US"/>
        </w:rPr>
        <w:t xml:space="preserve"> (a) </w:t>
      </w:r>
      <w:r w:rsidRPr="00A93653">
        <w:rPr>
          <w:rFonts w:cs="Arial"/>
          <w:szCs w:val="18"/>
          <w:lang w:val="en-US"/>
        </w:rPr>
        <w:t xml:space="preserve"> and M2</w:t>
      </w:r>
      <w:r w:rsidR="00C61F11" w:rsidRPr="00A93653">
        <w:rPr>
          <w:rFonts w:cs="Arial"/>
          <w:szCs w:val="18"/>
          <w:lang w:val="en-US"/>
        </w:rPr>
        <w:t xml:space="preserve"> (b)</w:t>
      </w:r>
      <w:r w:rsidRPr="00A93653">
        <w:rPr>
          <w:rFonts w:cs="Arial"/>
          <w:szCs w:val="18"/>
        </w:rPr>
        <w:t>.</w:t>
      </w:r>
    </w:p>
    <w:p w14:paraId="5452EE9E" w14:textId="7675DEFA" w:rsidR="00D728B3" w:rsidRDefault="00D728B3" w:rsidP="00D728B3">
      <w:pPr>
        <w:spacing w:after="120"/>
        <w:rPr>
          <w:rFonts w:cs="Arial"/>
          <w:szCs w:val="18"/>
          <w:lang w:val="en-US"/>
        </w:rPr>
      </w:pPr>
      <w:r w:rsidRPr="00A93653">
        <w:rPr>
          <w:rFonts w:cs="Arial"/>
          <w:szCs w:val="18"/>
          <w:lang w:val="en-US"/>
        </w:rPr>
        <w:lastRenderedPageBreak/>
        <w:t>Figure 4 shows the trend of the dynamic RUL, updated every quarter and compared with the previous one for the two critical items</w:t>
      </w:r>
      <w:r w:rsidR="00096EDC">
        <w:rPr>
          <w:rFonts w:cs="Arial"/>
          <w:szCs w:val="18"/>
          <w:lang w:val="en-US"/>
        </w:rPr>
        <w:t xml:space="preserve"> </w:t>
      </w:r>
      <w:r w:rsidR="00225063">
        <w:rPr>
          <w:rFonts w:cs="Arial"/>
          <w:szCs w:val="18"/>
          <w:lang w:val="en-US"/>
        </w:rPr>
        <w:t>M1</w:t>
      </w:r>
      <w:r w:rsidR="00096EDC">
        <w:rPr>
          <w:rFonts w:cs="Arial"/>
          <w:szCs w:val="18"/>
          <w:lang w:val="en-US"/>
        </w:rPr>
        <w:t xml:space="preserve"> (</w:t>
      </w:r>
      <w:r w:rsidR="008D2B1E">
        <w:rPr>
          <w:rFonts w:cs="Arial"/>
          <w:szCs w:val="18"/>
          <w:lang w:val="en-US"/>
        </w:rPr>
        <w:t>Heath E</w:t>
      </w:r>
      <w:r w:rsidR="00096EDC">
        <w:rPr>
          <w:rFonts w:cs="Arial"/>
          <w:szCs w:val="18"/>
          <w:lang w:val="en-US"/>
        </w:rPr>
        <w:t xml:space="preserve">xchanger </w:t>
      </w:r>
      <w:r w:rsidR="00D25579">
        <w:rPr>
          <w:rFonts w:cs="Arial"/>
          <w:szCs w:val="18"/>
          <w:lang w:val="en-US"/>
        </w:rPr>
        <w:t>– Carbon Steel) and M2 (</w:t>
      </w:r>
      <w:r w:rsidR="008D2B1E">
        <w:rPr>
          <w:rFonts w:cs="Arial"/>
          <w:szCs w:val="18"/>
          <w:lang w:val="en-US"/>
        </w:rPr>
        <w:t>P</w:t>
      </w:r>
      <w:r w:rsidR="00D25579">
        <w:rPr>
          <w:rFonts w:cs="Arial"/>
          <w:szCs w:val="18"/>
          <w:lang w:val="en-US"/>
        </w:rPr>
        <w:t xml:space="preserve">ipe </w:t>
      </w:r>
      <w:r w:rsidR="00A72168">
        <w:rPr>
          <w:rFonts w:cs="Arial"/>
          <w:szCs w:val="18"/>
          <w:lang w:val="en-US"/>
        </w:rPr>
        <w:t>–</w:t>
      </w:r>
      <w:r w:rsidR="00D25579">
        <w:rPr>
          <w:rFonts w:cs="Arial"/>
          <w:szCs w:val="18"/>
          <w:lang w:val="en-US"/>
        </w:rPr>
        <w:t xml:space="preserve"> </w:t>
      </w:r>
      <w:r w:rsidR="00A72168">
        <w:rPr>
          <w:rFonts w:cs="Arial"/>
          <w:szCs w:val="18"/>
          <w:lang w:val="en-US"/>
        </w:rPr>
        <w:t>Low Alloy Steel 5g)</w:t>
      </w:r>
    </w:p>
    <w:p w14:paraId="68D26B83" w14:textId="608651B6" w:rsidR="00600535" w:rsidRPr="00A93653" w:rsidRDefault="00600535" w:rsidP="00600535">
      <w:pPr>
        <w:pStyle w:val="CETHeading1"/>
        <w:rPr>
          <w:lang w:val="en-GB"/>
        </w:rPr>
      </w:pPr>
      <w:r w:rsidRPr="00A93653">
        <w:rPr>
          <w:lang w:val="en-GB"/>
        </w:rPr>
        <w:t>Conclusions</w:t>
      </w:r>
    </w:p>
    <w:p w14:paraId="5BE04793" w14:textId="1247D7BC" w:rsidR="00D740BA" w:rsidRPr="00A93653" w:rsidRDefault="00D740BA" w:rsidP="00D740BA">
      <w:pPr>
        <w:rPr>
          <w:rFonts w:cs="Arial"/>
          <w:szCs w:val="18"/>
        </w:rPr>
      </w:pPr>
      <w:r w:rsidRPr="00A93653">
        <w:rPr>
          <w:rFonts w:cs="Arial"/>
          <w:szCs w:val="18"/>
        </w:rPr>
        <w:t xml:space="preserve">The developed method makes </w:t>
      </w:r>
      <w:r w:rsidR="00211E9A" w:rsidRPr="00A93653">
        <w:rPr>
          <w:rFonts w:cs="Arial"/>
          <w:szCs w:val="18"/>
        </w:rPr>
        <w:t xml:space="preserve">it </w:t>
      </w:r>
      <w:r w:rsidRPr="00A93653">
        <w:rPr>
          <w:rFonts w:cs="Arial"/>
          <w:szCs w:val="18"/>
        </w:rPr>
        <w:t xml:space="preserve">possible to manage the RUL of critical equipment, even for systems subject to </w:t>
      </w:r>
      <w:r w:rsidR="00211E9A" w:rsidRPr="00A93653">
        <w:rPr>
          <w:rFonts w:cs="Arial"/>
          <w:szCs w:val="18"/>
        </w:rPr>
        <w:t xml:space="preserve">the </w:t>
      </w:r>
      <w:r w:rsidRPr="00A93653">
        <w:rPr>
          <w:rFonts w:cs="Arial"/>
          <w:szCs w:val="18"/>
        </w:rPr>
        <w:t>great variability of feeds. The method has been tested for two different equipment using both real and simulated data. While the API documents provide adequate information about the dependences of the corrosion rate on the temperature, acidity and sulphur content, the relationship between the corrosion rate, the initial conditions and the stress factor have been defined by the experience of the authors, which can be made less subjective by extending the audience of experts to establishment operators. By comparing the approach with the use of IOW, the advantage is the greater flexibility and versatility which truly allows handling any type of crude oil, which is different from facing a few deviation</w:t>
      </w:r>
      <w:r w:rsidR="002F0199" w:rsidRPr="00A93653">
        <w:rPr>
          <w:rFonts w:cs="Arial"/>
          <w:szCs w:val="18"/>
        </w:rPr>
        <w:t>s</w:t>
      </w:r>
      <w:r w:rsidRPr="00A93653">
        <w:rPr>
          <w:rFonts w:cs="Arial"/>
          <w:szCs w:val="18"/>
        </w:rPr>
        <w:t xml:space="preserve"> from normal processing</w:t>
      </w:r>
      <w:r w:rsidRPr="00A93653">
        <w:t xml:space="preserve"> </w:t>
      </w:r>
      <w:r w:rsidRPr="00A93653">
        <w:rPr>
          <w:rFonts w:cs="Arial"/>
          <w:szCs w:val="18"/>
        </w:rPr>
        <w:t>The Bayesian method has shown all its strength in this application because it also allows capitalizing on the experience and competence of the operators.</w:t>
      </w:r>
    </w:p>
    <w:p w14:paraId="4626A7BF" w14:textId="171D91BC" w:rsidR="00D740BA" w:rsidRPr="00A93653" w:rsidRDefault="00D740BA" w:rsidP="00D740BA">
      <w:pPr>
        <w:rPr>
          <w:rFonts w:cs="Arial"/>
          <w:szCs w:val="18"/>
        </w:rPr>
      </w:pPr>
      <w:r w:rsidRPr="00A93653">
        <w:rPr>
          <w:rFonts w:cs="Arial"/>
          <w:szCs w:val="18"/>
        </w:rPr>
        <w:t xml:space="preserve">The petroleum sector currently </w:t>
      </w:r>
      <w:r w:rsidR="002867FD" w:rsidRPr="00A93653">
        <w:rPr>
          <w:rFonts w:cs="Arial"/>
          <w:szCs w:val="18"/>
        </w:rPr>
        <w:t>must</w:t>
      </w:r>
      <w:r w:rsidRPr="00A93653">
        <w:rPr>
          <w:rFonts w:cs="Arial"/>
          <w:szCs w:val="18"/>
        </w:rPr>
        <w:t xml:space="preserve"> face great challenges and to be able to safely process aggressive crude oils is a great advantage for the refineries. The ecological transition will soon pose further challenges to the refineries themselves, in particular, the processing of oils and by-products </w:t>
      </w:r>
      <w:r w:rsidR="00E311A4" w:rsidRPr="00A93653">
        <w:rPr>
          <w:rFonts w:cs="Arial"/>
          <w:szCs w:val="18"/>
        </w:rPr>
        <w:t>having a</w:t>
      </w:r>
      <w:r w:rsidRPr="00A93653">
        <w:rPr>
          <w:rFonts w:cs="Arial"/>
          <w:szCs w:val="18"/>
        </w:rPr>
        <w:t xml:space="preserve"> biologic</w:t>
      </w:r>
      <w:r w:rsidR="00E311A4" w:rsidRPr="00A93653">
        <w:rPr>
          <w:rFonts w:cs="Arial"/>
          <w:szCs w:val="18"/>
        </w:rPr>
        <w:t>al</w:t>
      </w:r>
      <w:r w:rsidRPr="00A93653">
        <w:rPr>
          <w:rFonts w:cs="Arial"/>
          <w:szCs w:val="18"/>
        </w:rPr>
        <w:t xml:space="preserve"> origin. </w:t>
      </w:r>
      <w:r w:rsidR="00E311A4" w:rsidRPr="00A93653">
        <w:rPr>
          <w:rFonts w:cs="Arial"/>
          <w:szCs w:val="18"/>
        </w:rPr>
        <w:t xml:space="preserve">For </w:t>
      </w:r>
      <w:r w:rsidR="002867FD" w:rsidRPr="00A93653">
        <w:rPr>
          <w:rFonts w:cs="Arial"/>
          <w:szCs w:val="18"/>
        </w:rPr>
        <w:t>these cases</w:t>
      </w:r>
      <w:r w:rsidR="00E311A4" w:rsidRPr="00A93653">
        <w:rPr>
          <w:rFonts w:cs="Arial"/>
          <w:szCs w:val="18"/>
        </w:rPr>
        <w:t xml:space="preserve">, </w:t>
      </w:r>
      <w:r w:rsidRPr="00A93653">
        <w:rPr>
          <w:rFonts w:cs="Arial"/>
          <w:szCs w:val="18"/>
        </w:rPr>
        <w:t>the variability and difficulty could be even greater.</w:t>
      </w:r>
    </w:p>
    <w:p w14:paraId="07A6D20F" w14:textId="0ECF229E" w:rsidR="00280FAF" w:rsidRPr="00A93653" w:rsidRDefault="00280FAF" w:rsidP="00280FAF">
      <w:pPr>
        <w:pStyle w:val="CETHeadingxx"/>
        <w:rPr>
          <w:lang w:val="en-GB"/>
        </w:rPr>
        <w:sectPr w:rsidR="00280FAF" w:rsidRPr="00A93653" w:rsidSect="007D0951">
          <w:type w:val="continuous"/>
          <w:pgSz w:w="11906" w:h="16838" w:code="9"/>
          <w:pgMar w:top="1701" w:right="1418" w:bottom="1701" w:left="1701" w:header="1701" w:footer="0" w:gutter="0"/>
          <w:cols w:space="708"/>
          <w:formProt w:val="0"/>
          <w:titlePg/>
          <w:docGrid w:linePitch="360"/>
        </w:sectPr>
      </w:pPr>
      <w:r w:rsidRPr="00A93653">
        <w:t>Nomenclature</w:t>
      </w:r>
    </w:p>
    <w:p w14:paraId="40B063A8" w14:textId="34F999C2" w:rsidR="003D56FF" w:rsidRPr="00A93653" w:rsidRDefault="003D56FF" w:rsidP="00280FAF">
      <w:pPr>
        <w:pStyle w:val="CETBodytext"/>
        <w:jc w:val="left"/>
        <w:rPr>
          <w:rFonts w:eastAsia="SimSun"/>
        </w:rPr>
      </w:pPr>
      <w:r w:rsidRPr="00A93653">
        <w:rPr>
          <w:rFonts w:ascii="Times New Roman" w:eastAsia="SimSun" w:hAnsi="Times New Roman"/>
          <w:i/>
          <w:iCs/>
        </w:rPr>
        <w:t>r</w:t>
      </w:r>
      <w:r w:rsidRPr="00A93653">
        <w:rPr>
          <w:rFonts w:eastAsia="SimSun"/>
        </w:rPr>
        <w:t xml:space="preserve"> – Corrosion rate, mm/y</w:t>
      </w:r>
    </w:p>
    <w:p w14:paraId="376970AD" w14:textId="77777777" w:rsidR="003D56FF" w:rsidRPr="00A93653" w:rsidRDefault="003D56FF" w:rsidP="00280FAF">
      <w:pPr>
        <w:pStyle w:val="CETBodytext"/>
        <w:jc w:val="left"/>
        <w:rPr>
          <w:rFonts w:eastAsia="SimSun"/>
        </w:rPr>
      </w:pPr>
      <w:r w:rsidRPr="00A93653">
        <w:rPr>
          <w:rFonts w:eastAsia="SimSun"/>
        </w:rPr>
        <w:t>RUL – Residual Useful Lifetime</w:t>
      </w:r>
      <w:r w:rsidR="00280FAF" w:rsidRPr="00A93653">
        <w:rPr>
          <w:rFonts w:eastAsia="SimSun"/>
        </w:rPr>
        <w:t xml:space="preserve">, </w:t>
      </w:r>
      <w:r w:rsidRPr="00A93653">
        <w:rPr>
          <w:rFonts w:eastAsia="SimSun"/>
        </w:rPr>
        <w:t>d</w:t>
      </w:r>
    </w:p>
    <w:p w14:paraId="27E3B945" w14:textId="668C8223" w:rsidR="003D56FF" w:rsidRPr="00A93653" w:rsidRDefault="003D56FF" w:rsidP="00280FAF">
      <w:pPr>
        <w:pStyle w:val="CETBodytext"/>
        <w:jc w:val="left"/>
        <w:rPr>
          <w:rFonts w:eastAsia="SimSun"/>
        </w:rPr>
      </w:pPr>
      <w:r w:rsidRPr="00A93653">
        <w:rPr>
          <w:rFonts w:ascii="Times New Roman" w:eastAsia="SimSun" w:hAnsi="Times New Roman"/>
          <w:i/>
          <w:iCs/>
        </w:rPr>
        <w:t>s</w:t>
      </w:r>
      <w:r w:rsidR="00280FAF" w:rsidRPr="00A93653">
        <w:rPr>
          <w:rFonts w:eastAsia="SimSun"/>
        </w:rPr>
        <w:t xml:space="preserve"> – </w:t>
      </w:r>
      <w:r w:rsidRPr="00A93653">
        <w:rPr>
          <w:rFonts w:eastAsia="SimSun"/>
        </w:rPr>
        <w:t>stress factor</w:t>
      </w:r>
      <w:r w:rsidR="00280FAF" w:rsidRPr="00A93653">
        <w:rPr>
          <w:rFonts w:eastAsia="SimSun"/>
        </w:rPr>
        <w:t xml:space="preserve">, </w:t>
      </w:r>
      <w:r w:rsidRPr="00A93653">
        <w:rPr>
          <w:rFonts w:eastAsia="SimSun"/>
        </w:rPr>
        <w:t>dimensionless</w:t>
      </w:r>
    </w:p>
    <w:p w14:paraId="69673766" w14:textId="13A67D09" w:rsidR="003D56FF" w:rsidRPr="00A93653" w:rsidRDefault="003D56FF" w:rsidP="00280FAF">
      <w:pPr>
        <w:pStyle w:val="CETBodytext"/>
        <w:jc w:val="left"/>
        <w:rPr>
          <w:rFonts w:eastAsia="SimSun"/>
        </w:rPr>
      </w:pPr>
      <w:r w:rsidRPr="00A93653">
        <w:rPr>
          <w:rFonts w:eastAsia="SimSun"/>
        </w:rPr>
        <w:t xml:space="preserve">S – </w:t>
      </w:r>
      <w:proofErr w:type="spellStart"/>
      <w:r w:rsidRPr="00A93653">
        <w:rPr>
          <w:rFonts w:eastAsia="SimSun"/>
        </w:rPr>
        <w:t>sulphur</w:t>
      </w:r>
      <w:proofErr w:type="spellEnd"/>
      <w:r w:rsidRPr="00A93653">
        <w:rPr>
          <w:rFonts w:eastAsia="SimSun"/>
        </w:rPr>
        <w:t xml:space="preserve"> content – %</w:t>
      </w:r>
      <w:proofErr w:type="spellStart"/>
      <w:r w:rsidRPr="00A93653">
        <w:rPr>
          <w:rFonts w:eastAsia="SimSun"/>
        </w:rPr>
        <w:t>wt</w:t>
      </w:r>
      <w:proofErr w:type="spellEnd"/>
    </w:p>
    <w:p w14:paraId="6AEAF3F9" w14:textId="529E79FD" w:rsidR="003D56FF" w:rsidRPr="00A93653" w:rsidRDefault="003D56FF" w:rsidP="003D56FF">
      <w:pPr>
        <w:pStyle w:val="CETBodytext"/>
        <w:jc w:val="left"/>
        <w:rPr>
          <w:rFonts w:eastAsia="SimSun"/>
        </w:rPr>
      </w:pPr>
      <w:r w:rsidRPr="00A93653">
        <w:rPr>
          <w:rFonts w:ascii="Times New Roman" w:eastAsia="SimSun" w:hAnsi="Times New Roman"/>
          <w:i/>
          <w:iCs/>
        </w:rPr>
        <w:t>t</w:t>
      </w:r>
      <w:r w:rsidRPr="00A93653">
        <w:rPr>
          <w:rFonts w:eastAsia="SimSun"/>
        </w:rPr>
        <w:t xml:space="preserve"> – time, d</w:t>
      </w:r>
    </w:p>
    <w:p w14:paraId="24BAB35B" w14:textId="152ECFDC" w:rsidR="003D56FF" w:rsidRPr="00A93653" w:rsidRDefault="003D56FF" w:rsidP="003D56FF">
      <w:pPr>
        <w:pStyle w:val="CETBodytext"/>
        <w:jc w:val="left"/>
        <w:rPr>
          <w:rFonts w:eastAsia="SimSun"/>
        </w:rPr>
      </w:pPr>
      <w:r w:rsidRPr="00A93653">
        <w:rPr>
          <w:rFonts w:eastAsia="SimSun"/>
        </w:rPr>
        <w:t>T – temperature – °C</w:t>
      </w:r>
    </w:p>
    <w:p w14:paraId="7517858D" w14:textId="25FEC239" w:rsidR="003D56FF" w:rsidRPr="00A93653" w:rsidRDefault="003D56FF" w:rsidP="00280FAF">
      <w:pPr>
        <w:pStyle w:val="CETBodytext"/>
        <w:jc w:val="left"/>
        <w:rPr>
          <w:rFonts w:eastAsia="SimSun"/>
        </w:rPr>
      </w:pPr>
      <w:r w:rsidRPr="00A93653">
        <w:rPr>
          <w:rFonts w:eastAsia="SimSun"/>
        </w:rPr>
        <w:t>TAN – crude acidity – mg KOH/g</w:t>
      </w:r>
    </w:p>
    <w:p w14:paraId="38BFE636" w14:textId="62BFEB33" w:rsidR="00280FAF" w:rsidRPr="00A93653" w:rsidRDefault="00280FAF" w:rsidP="00280FAF">
      <w:pPr>
        <w:pStyle w:val="CETBodytext"/>
        <w:jc w:val="left"/>
        <w:rPr>
          <w:rFonts w:eastAsia="SimSun"/>
        </w:rPr>
        <w:sectPr w:rsidR="00280FAF" w:rsidRPr="00A93653"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A93653" w:rsidRDefault="00600535" w:rsidP="00600535">
      <w:pPr>
        <w:pStyle w:val="CETAcknowledgementstitle"/>
      </w:pPr>
      <w:r w:rsidRPr="00A93653">
        <w:t>Acknowledgments</w:t>
      </w:r>
    </w:p>
    <w:p w14:paraId="33F8138F" w14:textId="085E6712" w:rsidR="00600535" w:rsidRPr="00A93653" w:rsidRDefault="00E34D94" w:rsidP="00600535">
      <w:pPr>
        <w:pStyle w:val="CETBodytext"/>
        <w:rPr>
          <w:lang w:val="en-GB"/>
        </w:rPr>
      </w:pPr>
      <w:r w:rsidRPr="00A93653">
        <w:rPr>
          <w:rFonts w:cs="Arial"/>
          <w:szCs w:val="18"/>
          <w:lang w:val="en-GB"/>
        </w:rPr>
        <w:t>This research is funded by INAIL within the framework of the call BRIC/2019/ID2 (Project DYN-RISK)</w:t>
      </w:r>
      <w:r w:rsidRPr="00A93653">
        <w:rPr>
          <w:lang w:val="en-GB"/>
        </w:rPr>
        <w:t>.</w:t>
      </w:r>
      <w:r w:rsidR="00297868" w:rsidRPr="00A93653">
        <w:rPr>
          <w:lang w:val="en-GB"/>
        </w:rPr>
        <w:t xml:space="preserve"> The authors would like to thank the company </w:t>
      </w:r>
      <w:r w:rsidR="00287D34" w:rsidRPr="00A93653">
        <w:rPr>
          <w:lang w:val="en-GB"/>
        </w:rPr>
        <w:t>ISAB</w:t>
      </w:r>
      <w:r w:rsidR="00E6308E" w:rsidRPr="00A93653">
        <w:rPr>
          <w:lang w:val="en-GB"/>
        </w:rPr>
        <w:t xml:space="preserve"> </w:t>
      </w:r>
      <w:proofErr w:type="spellStart"/>
      <w:r w:rsidR="00E6308E" w:rsidRPr="00A93653">
        <w:rPr>
          <w:lang w:val="en-GB"/>
        </w:rPr>
        <w:t>s.r.l</w:t>
      </w:r>
      <w:proofErr w:type="spellEnd"/>
      <w:r w:rsidR="00E6308E" w:rsidRPr="00A93653">
        <w:rPr>
          <w:lang w:val="en-GB"/>
        </w:rPr>
        <w:t>.</w:t>
      </w:r>
      <w:r w:rsidR="00680C34" w:rsidRPr="00A93653">
        <w:rPr>
          <w:lang w:val="en-GB"/>
        </w:rPr>
        <w:t xml:space="preserve"> for the useful discussion</w:t>
      </w:r>
      <w:r w:rsidR="00287D34" w:rsidRPr="00A93653">
        <w:rPr>
          <w:lang w:val="en-GB"/>
        </w:rPr>
        <w:t>s</w:t>
      </w:r>
      <w:r w:rsidR="00680C34" w:rsidRPr="00A93653">
        <w:rPr>
          <w:lang w:val="en-GB"/>
        </w:rPr>
        <w:t xml:space="preserve"> supporting this work.</w:t>
      </w:r>
    </w:p>
    <w:p w14:paraId="4F1327F8" w14:textId="77777777" w:rsidR="00600535" w:rsidRPr="00A93653" w:rsidRDefault="00600535" w:rsidP="00600535">
      <w:pPr>
        <w:pStyle w:val="CETReference"/>
      </w:pPr>
      <w:r w:rsidRPr="00A93653">
        <w:t>References</w:t>
      </w:r>
    </w:p>
    <w:p w14:paraId="58DE2801" w14:textId="64F2CB32" w:rsidR="00E34D94" w:rsidRPr="00A93653" w:rsidRDefault="00E34D94" w:rsidP="00E34D94">
      <w:pPr>
        <w:pStyle w:val="CETReferencetext"/>
      </w:pPr>
      <w:proofErr w:type="spellStart"/>
      <w:r w:rsidRPr="00A93653">
        <w:t>Afaf</w:t>
      </w:r>
      <w:proofErr w:type="spellEnd"/>
      <w:r w:rsidRPr="00A93653">
        <w:t xml:space="preserve"> G.A., </w:t>
      </w:r>
      <w:proofErr w:type="spellStart"/>
      <w:r w:rsidRPr="00A93653">
        <w:t>Badia</w:t>
      </w:r>
      <w:proofErr w:type="spellEnd"/>
      <w:r w:rsidRPr="00A93653">
        <w:t xml:space="preserve"> H.A., Hassan E.E., 2015, Corrosion management methods of high TAN crude case study: (</w:t>
      </w:r>
      <w:proofErr w:type="spellStart"/>
      <w:r w:rsidRPr="00A93653">
        <w:t>fula</w:t>
      </w:r>
      <w:proofErr w:type="spellEnd"/>
      <w:r w:rsidRPr="00A93653">
        <w:t xml:space="preserve"> crude oil-</w:t>
      </w:r>
      <w:proofErr w:type="spellStart"/>
      <w:r w:rsidRPr="00A93653">
        <w:t>sudan</w:t>
      </w:r>
      <w:proofErr w:type="spellEnd"/>
      <w:r w:rsidRPr="00A93653">
        <w:t>), American scientific research journal for engineering, technology, and sciences (ASRJETS), 11(1), 1-7.</w:t>
      </w:r>
    </w:p>
    <w:p w14:paraId="522789A4" w14:textId="3049A0D8" w:rsidR="00E34D94" w:rsidRPr="00A93653" w:rsidRDefault="00E34D94" w:rsidP="00E34D94">
      <w:pPr>
        <w:pStyle w:val="CETReferencetext"/>
      </w:pPr>
      <w:r w:rsidRPr="00A93653">
        <w:t>API (American Petroleum Institute), 2014, Integrity Operating Windows, API RP 584, API Publishing Services, Washington.</w:t>
      </w:r>
    </w:p>
    <w:p w14:paraId="516A289C" w14:textId="41DCF198" w:rsidR="00E34D94" w:rsidRPr="00A93653" w:rsidRDefault="00E34D94" w:rsidP="00E34D94">
      <w:pPr>
        <w:pStyle w:val="CETReferencetext"/>
      </w:pPr>
      <w:r w:rsidRPr="00A93653">
        <w:t>API (American Petroleum Institute), 2016, Risk-Based Inspection Methodology, API RP 581, 3rd ed. API Publishing Services, Washington</w:t>
      </w:r>
      <w:r w:rsidR="0061280A" w:rsidRPr="00A93653">
        <w:t>.</w:t>
      </w:r>
    </w:p>
    <w:p w14:paraId="691FA9C5" w14:textId="646CED6A" w:rsidR="0061280A" w:rsidRPr="00A93653" w:rsidRDefault="00E34D94" w:rsidP="0061280A">
      <w:pPr>
        <w:pStyle w:val="CETReferencetext"/>
      </w:pPr>
      <w:r w:rsidRPr="00A93653">
        <w:t>API (American Petroleum Institute), 2019, Guidelines for Avoiding Sulfidation Corrosion Failures in Oil Refinery. API RP 939-C</w:t>
      </w:r>
      <w:r w:rsidR="0061280A" w:rsidRPr="00A93653">
        <w:t>,</w:t>
      </w:r>
      <w:r w:rsidRPr="00A93653">
        <w:t xml:space="preserve"> 2nd </w:t>
      </w:r>
      <w:r w:rsidR="0061280A" w:rsidRPr="00A93653">
        <w:t>ed. Publishing Services, Washington.</w:t>
      </w:r>
    </w:p>
    <w:p w14:paraId="4523871B" w14:textId="7A392D19" w:rsidR="00E34D94" w:rsidRPr="00A93653" w:rsidRDefault="00E34D94" w:rsidP="00E34D94">
      <w:pPr>
        <w:pStyle w:val="CETReferencetext"/>
      </w:pPr>
      <w:proofErr w:type="spellStart"/>
      <w:r w:rsidRPr="00A93653">
        <w:t>Badmos</w:t>
      </w:r>
      <w:proofErr w:type="spellEnd"/>
      <w:r w:rsidRPr="00A93653">
        <w:t xml:space="preserve"> A.Y., </w:t>
      </w:r>
      <w:proofErr w:type="spellStart"/>
      <w:r w:rsidRPr="00A93653">
        <w:t>Ajimotakan</w:t>
      </w:r>
      <w:proofErr w:type="spellEnd"/>
      <w:r w:rsidRPr="00A93653">
        <w:t xml:space="preserve"> H.A., Emmanuel E.O.</w:t>
      </w:r>
      <w:r w:rsidR="0061280A" w:rsidRPr="00A93653">
        <w:t>,</w:t>
      </w:r>
      <w:r w:rsidRPr="00A93653">
        <w:t xml:space="preserve"> 2009</w:t>
      </w:r>
      <w:r w:rsidR="0061280A" w:rsidRPr="00A93653">
        <w:t>,</w:t>
      </w:r>
      <w:r w:rsidRPr="00A93653">
        <w:t xml:space="preserve"> Corrosion in petroleum pipelines</w:t>
      </w:r>
      <w:r w:rsidR="0061280A" w:rsidRPr="00A93653">
        <w:t>,</w:t>
      </w:r>
      <w:r w:rsidRPr="00A93653">
        <w:t xml:space="preserve"> New York science journal, 2(5), 36-40.</w:t>
      </w:r>
    </w:p>
    <w:p w14:paraId="7F02F37E" w14:textId="7E840E3E" w:rsidR="00E34D94" w:rsidRPr="00A93653" w:rsidRDefault="00E34D94" w:rsidP="00E34D94">
      <w:pPr>
        <w:pStyle w:val="CETReferencetext"/>
      </w:pPr>
      <w:r w:rsidRPr="00A93653">
        <w:t xml:space="preserve">Mohammadi M., </w:t>
      </w:r>
      <w:proofErr w:type="spellStart"/>
      <w:r w:rsidRPr="00A93653">
        <w:t>Khorrami</w:t>
      </w:r>
      <w:proofErr w:type="spellEnd"/>
      <w:r w:rsidRPr="00A93653">
        <w:t xml:space="preserve"> M.K., </w:t>
      </w:r>
      <w:proofErr w:type="spellStart"/>
      <w:r w:rsidRPr="00A93653">
        <w:t>Vatanparast</w:t>
      </w:r>
      <w:proofErr w:type="spellEnd"/>
      <w:r w:rsidRPr="00A93653">
        <w:t xml:space="preserve"> H., Karimi A., </w:t>
      </w:r>
      <w:proofErr w:type="spellStart"/>
      <w:r w:rsidRPr="00A93653">
        <w:t>Sadrara</w:t>
      </w:r>
      <w:proofErr w:type="spellEnd"/>
      <w:r w:rsidRPr="00A93653">
        <w:t xml:space="preserve"> M., 2022, Classification and determination of </w:t>
      </w:r>
      <w:proofErr w:type="spellStart"/>
      <w:r w:rsidRPr="00A93653">
        <w:t>sulfur</w:t>
      </w:r>
      <w:proofErr w:type="spellEnd"/>
      <w:r w:rsidRPr="00A93653">
        <w:t xml:space="preserve"> content in crude oil samples by infrared spectrometry, Infrared Physics &amp; Technology, 127, 104382</w:t>
      </w:r>
      <w:r w:rsidR="0061280A" w:rsidRPr="00A93653">
        <w:t>.</w:t>
      </w:r>
    </w:p>
    <w:p w14:paraId="2F441D10" w14:textId="4B9DF333" w:rsidR="00E34D94" w:rsidRPr="00A93653" w:rsidRDefault="00E34D94" w:rsidP="00E34D94">
      <w:pPr>
        <w:pStyle w:val="CETReferencetext"/>
      </w:pPr>
      <w:r w:rsidRPr="00A93653">
        <w:t xml:space="preserve">Sharifi-Asl S., Liang A., Cooke D., Chapman D.R., </w:t>
      </w:r>
      <w:proofErr w:type="spellStart"/>
      <w:r w:rsidRPr="00A93653">
        <w:t>Chaloner</w:t>
      </w:r>
      <w:proofErr w:type="spellEnd"/>
      <w:r w:rsidRPr="00A93653">
        <w:t xml:space="preserve">-Gill B., </w:t>
      </w:r>
      <w:proofErr w:type="spellStart"/>
      <w:r w:rsidRPr="00A93653">
        <w:t>Kuperman</w:t>
      </w:r>
      <w:proofErr w:type="spellEnd"/>
      <w:r w:rsidRPr="00A93653">
        <w:t xml:space="preserve"> A.E.</w:t>
      </w:r>
      <w:r w:rsidR="0061280A" w:rsidRPr="00A93653">
        <w:t xml:space="preserve">, </w:t>
      </w:r>
      <w:r w:rsidRPr="00A93653">
        <w:t>2017, High-temperature sulfidic corrosion of carbon steel in model oil/</w:t>
      </w:r>
      <w:proofErr w:type="spellStart"/>
      <w:r w:rsidRPr="00A93653">
        <w:t>sulfur</w:t>
      </w:r>
      <w:proofErr w:type="spellEnd"/>
      <w:r w:rsidRPr="00A93653">
        <w:t xml:space="preserve"> compound blends</w:t>
      </w:r>
      <w:r w:rsidR="0061280A" w:rsidRPr="00A93653">
        <w:t>, Corrosion,</w:t>
      </w:r>
      <w:r w:rsidRPr="00A93653">
        <w:t xml:space="preserve"> </w:t>
      </w:r>
      <w:proofErr w:type="spellStart"/>
      <w:r w:rsidRPr="00A93653">
        <w:t>OnePetro</w:t>
      </w:r>
      <w:proofErr w:type="spellEnd"/>
      <w:r w:rsidRPr="00A93653">
        <w:t>.</w:t>
      </w:r>
    </w:p>
    <w:p w14:paraId="631BC50E" w14:textId="467E3952" w:rsidR="00E34D94" w:rsidRPr="00A93653" w:rsidRDefault="00E34D94" w:rsidP="00E34D94">
      <w:pPr>
        <w:pStyle w:val="CETReferencetext"/>
      </w:pPr>
      <w:r w:rsidRPr="00A93653">
        <w:t>Speight J.G.</w:t>
      </w:r>
      <w:r w:rsidR="0061280A" w:rsidRPr="00A93653">
        <w:t xml:space="preserve">, </w:t>
      </w:r>
      <w:r w:rsidRPr="00A93653">
        <w:t>1999</w:t>
      </w:r>
      <w:r w:rsidR="0061280A" w:rsidRPr="00A93653">
        <w:t xml:space="preserve">, </w:t>
      </w:r>
      <w:r w:rsidRPr="00A93653">
        <w:t xml:space="preserve">The chemistry and technology of petroleum, 3rd </w:t>
      </w:r>
      <w:r w:rsidR="0061280A" w:rsidRPr="00A93653">
        <w:t>e</w:t>
      </w:r>
      <w:r w:rsidRPr="00A93653">
        <w:t xml:space="preserve">d. New York: Marcel Dekker. </w:t>
      </w:r>
    </w:p>
    <w:p w14:paraId="3B63868C" w14:textId="53C05D53" w:rsidR="00E34D94" w:rsidRPr="00A93653" w:rsidRDefault="00E34D94" w:rsidP="00E34D94">
      <w:pPr>
        <w:pStyle w:val="CETReferencetext"/>
      </w:pPr>
      <w:proofErr w:type="spellStart"/>
      <w:r w:rsidRPr="00A93653">
        <w:t>Tavan</w:t>
      </w:r>
      <w:proofErr w:type="spellEnd"/>
      <w:r w:rsidRPr="00A93653">
        <w:t xml:space="preserve"> Y., Shahrokhi M., Farhadi F., 2020, Electrochemical oxidative desulfurization for high </w:t>
      </w:r>
      <w:proofErr w:type="spellStart"/>
      <w:r w:rsidRPr="00A93653">
        <w:t>sulfur</w:t>
      </w:r>
      <w:proofErr w:type="spellEnd"/>
      <w:r w:rsidRPr="00A93653">
        <w:t xml:space="preserve"> content crude gas-oil</w:t>
      </w:r>
      <w:r w:rsidR="0061280A" w:rsidRPr="00A93653">
        <w:t>,</w:t>
      </w:r>
      <w:r w:rsidRPr="00A93653">
        <w:t xml:space="preserve"> Separation and Purification Technology, 248, 117117</w:t>
      </w:r>
      <w:r w:rsidR="0061280A" w:rsidRPr="00A93653">
        <w:t>.</w:t>
      </w:r>
    </w:p>
    <w:p w14:paraId="03CEA04C" w14:textId="7416AEE9" w:rsidR="00C52C3C" w:rsidRDefault="00E34D94" w:rsidP="00E34D94">
      <w:pPr>
        <w:pStyle w:val="CETReferencetext"/>
      </w:pPr>
      <w:proofErr w:type="spellStart"/>
      <w:r w:rsidRPr="00A93653">
        <w:rPr>
          <w:lang w:val="en-US"/>
        </w:rPr>
        <w:t>Vairo</w:t>
      </w:r>
      <w:proofErr w:type="spellEnd"/>
      <w:r w:rsidRPr="00A93653">
        <w:rPr>
          <w:lang w:val="en-US"/>
        </w:rPr>
        <w:t xml:space="preserve"> T., Milazzo M.F., Bragatto P., Fabiano B., 2019</w:t>
      </w:r>
      <w:r w:rsidR="0061280A" w:rsidRPr="00A93653">
        <w:rPr>
          <w:lang w:val="en-US"/>
        </w:rPr>
        <w:t>,</w:t>
      </w:r>
      <w:r w:rsidRPr="00A93653">
        <w:rPr>
          <w:lang w:val="en-US"/>
        </w:rPr>
        <w:t xml:space="preserve"> </w:t>
      </w:r>
      <w:r w:rsidRPr="00A93653">
        <w:t>A Dynamic Approach to Fault Tree Analysis based on Bayesian Beliefs Networks</w:t>
      </w:r>
      <w:r w:rsidR="0061280A" w:rsidRPr="00A93653">
        <w:t>,</w:t>
      </w:r>
      <w:r w:rsidRPr="00A93653">
        <w:t xml:space="preserve"> Chemical Engineering Transactions, 77, 829–834.</w:t>
      </w:r>
    </w:p>
    <w:sectPr w:rsidR="00C52C3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FEB7" w14:textId="77777777" w:rsidR="006923E3" w:rsidRDefault="006923E3" w:rsidP="004F5E36">
      <w:r>
        <w:separator/>
      </w:r>
    </w:p>
  </w:endnote>
  <w:endnote w:type="continuationSeparator" w:id="0">
    <w:p w14:paraId="355222F9" w14:textId="77777777" w:rsidR="006923E3" w:rsidRDefault="006923E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03C6" w14:textId="77777777" w:rsidR="006923E3" w:rsidRDefault="006923E3" w:rsidP="004F5E36">
      <w:r>
        <w:separator/>
      </w:r>
    </w:p>
  </w:footnote>
  <w:footnote w:type="continuationSeparator" w:id="0">
    <w:p w14:paraId="75508A2B" w14:textId="77777777" w:rsidR="006923E3" w:rsidRDefault="006923E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360030">
    <w:abstractNumId w:val="10"/>
  </w:num>
  <w:num w:numId="2" w16cid:durableId="1504515923">
    <w:abstractNumId w:val="8"/>
  </w:num>
  <w:num w:numId="3" w16cid:durableId="2082285073">
    <w:abstractNumId w:val="3"/>
  </w:num>
  <w:num w:numId="4" w16cid:durableId="1918975488">
    <w:abstractNumId w:val="2"/>
  </w:num>
  <w:num w:numId="5" w16cid:durableId="1640724637">
    <w:abstractNumId w:val="1"/>
  </w:num>
  <w:num w:numId="6" w16cid:durableId="1951742942">
    <w:abstractNumId w:val="0"/>
  </w:num>
  <w:num w:numId="7" w16cid:durableId="125046971">
    <w:abstractNumId w:val="9"/>
  </w:num>
  <w:num w:numId="8" w16cid:durableId="1771974174">
    <w:abstractNumId w:val="7"/>
  </w:num>
  <w:num w:numId="9" w16cid:durableId="1936090321">
    <w:abstractNumId w:val="6"/>
  </w:num>
  <w:num w:numId="10" w16cid:durableId="2039232316">
    <w:abstractNumId w:val="5"/>
  </w:num>
  <w:num w:numId="11" w16cid:durableId="844633082">
    <w:abstractNumId w:val="4"/>
  </w:num>
  <w:num w:numId="12" w16cid:durableId="1481384237">
    <w:abstractNumId w:val="17"/>
  </w:num>
  <w:num w:numId="13" w16cid:durableId="297611404">
    <w:abstractNumId w:val="12"/>
  </w:num>
  <w:num w:numId="14" w16cid:durableId="1370716533">
    <w:abstractNumId w:val="18"/>
  </w:num>
  <w:num w:numId="15" w16cid:durableId="519858319">
    <w:abstractNumId w:val="20"/>
  </w:num>
  <w:num w:numId="16" w16cid:durableId="744956421">
    <w:abstractNumId w:val="19"/>
  </w:num>
  <w:num w:numId="17" w16cid:durableId="1297569215">
    <w:abstractNumId w:val="11"/>
  </w:num>
  <w:num w:numId="18" w16cid:durableId="633602223">
    <w:abstractNumId w:val="12"/>
    <w:lvlOverride w:ilvl="0">
      <w:startOverride w:val="1"/>
    </w:lvlOverride>
  </w:num>
  <w:num w:numId="19" w16cid:durableId="1096318469">
    <w:abstractNumId w:val="16"/>
  </w:num>
  <w:num w:numId="20" w16cid:durableId="237986347">
    <w:abstractNumId w:val="15"/>
  </w:num>
  <w:num w:numId="21" w16cid:durableId="1262101475">
    <w:abstractNumId w:val="14"/>
  </w:num>
  <w:num w:numId="22" w16cid:durableId="884953158">
    <w:abstractNumId w:val="13"/>
  </w:num>
  <w:num w:numId="23" w16cid:durableId="1087310560">
    <w:abstractNumId w:val="10"/>
  </w:num>
  <w:num w:numId="24" w16cid:durableId="781807370">
    <w:abstractNumId w:val="10"/>
  </w:num>
  <w:num w:numId="25" w16cid:durableId="76488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E6C"/>
    <w:rsid w:val="0003148D"/>
    <w:rsid w:val="00031EEC"/>
    <w:rsid w:val="00050A14"/>
    <w:rsid w:val="00051566"/>
    <w:rsid w:val="000562A9"/>
    <w:rsid w:val="00056920"/>
    <w:rsid w:val="00062A9A"/>
    <w:rsid w:val="00065058"/>
    <w:rsid w:val="00071E84"/>
    <w:rsid w:val="00086C39"/>
    <w:rsid w:val="00096EDC"/>
    <w:rsid w:val="000A03B2"/>
    <w:rsid w:val="000D0268"/>
    <w:rsid w:val="000D34BE"/>
    <w:rsid w:val="000D6294"/>
    <w:rsid w:val="000E102F"/>
    <w:rsid w:val="000E36F1"/>
    <w:rsid w:val="000E3A73"/>
    <w:rsid w:val="000E414A"/>
    <w:rsid w:val="000F093C"/>
    <w:rsid w:val="000F787B"/>
    <w:rsid w:val="000F7A46"/>
    <w:rsid w:val="0012091F"/>
    <w:rsid w:val="00126BC2"/>
    <w:rsid w:val="001308B6"/>
    <w:rsid w:val="0013121F"/>
    <w:rsid w:val="00131FE6"/>
    <w:rsid w:val="0013263F"/>
    <w:rsid w:val="001331DF"/>
    <w:rsid w:val="00134DE4"/>
    <w:rsid w:val="00137BF6"/>
    <w:rsid w:val="0014034D"/>
    <w:rsid w:val="00144D16"/>
    <w:rsid w:val="001472B0"/>
    <w:rsid w:val="00150E59"/>
    <w:rsid w:val="00151F57"/>
    <w:rsid w:val="00152DE3"/>
    <w:rsid w:val="00164CF9"/>
    <w:rsid w:val="00165725"/>
    <w:rsid w:val="001667A6"/>
    <w:rsid w:val="00184AD6"/>
    <w:rsid w:val="0019128C"/>
    <w:rsid w:val="00195DFE"/>
    <w:rsid w:val="001A4AF7"/>
    <w:rsid w:val="001B0349"/>
    <w:rsid w:val="001B11A6"/>
    <w:rsid w:val="001B1E93"/>
    <w:rsid w:val="001B65C1"/>
    <w:rsid w:val="001C2F52"/>
    <w:rsid w:val="001C684B"/>
    <w:rsid w:val="001D0CFB"/>
    <w:rsid w:val="001D21AF"/>
    <w:rsid w:val="001D53FC"/>
    <w:rsid w:val="001E3F4D"/>
    <w:rsid w:val="001F42A5"/>
    <w:rsid w:val="001F7B9D"/>
    <w:rsid w:val="00201C93"/>
    <w:rsid w:val="00211E9A"/>
    <w:rsid w:val="002224B4"/>
    <w:rsid w:val="00224940"/>
    <w:rsid w:val="00225063"/>
    <w:rsid w:val="00243552"/>
    <w:rsid w:val="002447EF"/>
    <w:rsid w:val="00251550"/>
    <w:rsid w:val="0026162D"/>
    <w:rsid w:val="00263B05"/>
    <w:rsid w:val="0027221A"/>
    <w:rsid w:val="00275B61"/>
    <w:rsid w:val="00280FAF"/>
    <w:rsid w:val="00282656"/>
    <w:rsid w:val="002867FD"/>
    <w:rsid w:val="00287D34"/>
    <w:rsid w:val="00294F52"/>
    <w:rsid w:val="00296B83"/>
    <w:rsid w:val="00297868"/>
    <w:rsid w:val="002B310B"/>
    <w:rsid w:val="002B4015"/>
    <w:rsid w:val="002B78CE"/>
    <w:rsid w:val="002C2FB6"/>
    <w:rsid w:val="002C7A17"/>
    <w:rsid w:val="002D0246"/>
    <w:rsid w:val="002E2899"/>
    <w:rsid w:val="002E5FA7"/>
    <w:rsid w:val="002F0199"/>
    <w:rsid w:val="002F3309"/>
    <w:rsid w:val="003008CE"/>
    <w:rsid w:val="003009B7"/>
    <w:rsid w:val="00300E56"/>
    <w:rsid w:val="0030152C"/>
    <w:rsid w:val="0030469C"/>
    <w:rsid w:val="00304DE6"/>
    <w:rsid w:val="00312BB1"/>
    <w:rsid w:val="00317DE5"/>
    <w:rsid w:val="00321CA6"/>
    <w:rsid w:val="00323763"/>
    <w:rsid w:val="00323C5F"/>
    <w:rsid w:val="00334C09"/>
    <w:rsid w:val="00351D09"/>
    <w:rsid w:val="00352398"/>
    <w:rsid w:val="00355AEF"/>
    <w:rsid w:val="003562F0"/>
    <w:rsid w:val="003678E9"/>
    <w:rsid w:val="003723D4"/>
    <w:rsid w:val="00375C26"/>
    <w:rsid w:val="00381905"/>
    <w:rsid w:val="00382DA7"/>
    <w:rsid w:val="00384CC8"/>
    <w:rsid w:val="003871FD"/>
    <w:rsid w:val="00390F18"/>
    <w:rsid w:val="003959C1"/>
    <w:rsid w:val="00397381"/>
    <w:rsid w:val="003A0D58"/>
    <w:rsid w:val="003A1E30"/>
    <w:rsid w:val="003A2829"/>
    <w:rsid w:val="003A7D1C"/>
    <w:rsid w:val="003B304B"/>
    <w:rsid w:val="003B3146"/>
    <w:rsid w:val="003C4E3C"/>
    <w:rsid w:val="003C7661"/>
    <w:rsid w:val="003D56FF"/>
    <w:rsid w:val="003E0EB6"/>
    <w:rsid w:val="003E3A7F"/>
    <w:rsid w:val="003E520B"/>
    <w:rsid w:val="003F015E"/>
    <w:rsid w:val="00400414"/>
    <w:rsid w:val="0041446B"/>
    <w:rsid w:val="0044071E"/>
    <w:rsid w:val="00441688"/>
    <w:rsid w:val="0044329C"/>
    <w:rsid w:val="00453E24"/>
    <w:rsid w:val="00457456"/>
    <w:rsid w:val="004577FE"/>
    <w:rsid w:val="00457B9C"/>
    <w:rsid w:val="0046164A"/>
    <w:rsid w:val="004628D2"/>
    <w:rsid w:val="00462DCD"/>
    <w:rsid w:val="0046343F"/>
    <w:rsid w:val="004648AD"/>
    <w:rsid w:val="00467B9B"/>
    <w:rsid w:val="004703A9"/>
    <w:rsid w:val="004760DE"/>
    <w:rsid w:val="004763D7"/>
    <w:rsid w:val="004805C4"/>
    <w:rsid w:val="004922A5"/>
    <w:rsid w:val="004A004E"/>
    <w:rsid w:val="004A24CF"/>
    <w:rsid w:val="004C39C1"/>
    <w:rsid w:val="004C3D1D"/>
    <w:rsid w:val="004C3D84"/>
    <w:rsid w:val="004C4601"/>
    <w:rsid w:val="004C612C"/>
    <w:rsid w:val="004C7913"/>
    <w:rsid w:val="004E097E"/>
    <w:rsid w:val="004E4DD6"/>
    <w:rsid w:val="004E52DD"/>
    <w:rsid w:val="004F5E36"/>
    <w:rsid w:val="00507B47"/>
    <w:rsid w:val="00507BEF"/>
    <w:rsid w:val="00507CC9"/>
    <w:rsid w:val="005119A5"/>
    <w:rsid w:val="005161F4"/>
    <w:rsid w:val="00523208"/>
    <w:rsid w:val="005278B7"/>
    <w:rsid w:val="00532016"/>
    <w:rsid w:val="005346C8"/>
    <w:rsid w:val="00543E7D"/>
    <w:rsid w:val="00547A68"/>
    <w:rsid w:val="005531C9"/>
    <w:rsid w:val="0055515E"/>
    <w:rsid w:val="00561AFC"/>
    <w:rsid w:val="00570C43"/>
    <w:rsid w:val="00574E33"/>
    <w:rsid w:val="005937FE"/>
    <w:rsid w:val="005A4408"/>
    <w:rsid w:val="005B2110"/>
    <w:rsid w:val="005B61E6"/>
    <w:rsid w:val="005C3F1B"/>
    <w:rsid w:val="005C3FCC"/>
    <w:rsid w:val="005C77E1"/>
    <w:rsid w:val="005D668A"/>
    <w:rsid w:val="005D6A2F"/>
    <w:rsid w:val="005E1A82"/>
    <w:rsid w:val="005E794C"/>
    <w:rsid w:val="005F09F2"/>
    <w:rsid w:val="005F0A28"/>
    <w:rsid w:val="005F0E5E"/>
    <w:rsid w:val="005F3E03"/>
    <w:rsid w:val="00600535"/>
    <w:rsid w:val="006028D7"/>
    <w:rsid w:val="00610CD6"/>
    <w:rsid w:val="0061280A"/>
    <w:rsid w:val="006169EC"/>
    <w:rsid w:val="00620DEE"/>
    <w:rsid w:val="00621F92"/>
    <w:rsid w:val="0062280A"/>
    <w:rsid w:val="00625639"/>
    <w:rsid w:val="00631B33"/>
    <w:rsid w:val="0064184D"/>
    <w:rsid w:val="006422CC"/>
    <w:rsid w:val="0064352F"/>
    <w:rsid w:val="00660E3E"/>
    <w:rsid w:val="00661F4B"/>
    <w:rsid w:val="00662E74"/>
    <w:rsid w:val="006729BD"/>
    <w:rsid w:val="00680C23"/>
    <w:rsid w:val="00680C34"/>
    <w:rsid w:val="00684A3A"/>
    <w:rsid w:val="006923E3"/>
    <w:rsid w:val="00693766"/>
    <w:rsid w:val="006937F8"/>
    <w:rsid w:val="006952AA"/>
    <w:rsid w:val="006A3281"/>
    <w:rsid w:val="006B4888"/>
    <w:rsid w:val="006C2E45"/>
    <w:rsid w:val="006C359C"/>
    <w:rsid w:val="006C5579"/>
    <w:rsid w:val="006D6E8B"/>
    <w:rsid w:val="006E737D"/>
    <w:rsid w:val="00705D31"/>
    <w:rsid w:val="00706E8E"/>
    <w:rsid w:val="00713973"/>
    <w:rsid w:val="00720A24"/>
    <w:rsid w:val="007255CE"/>
    <w:rsid w:val="007320F4"/>
    <w:rsid w:val="00732386"/>
    <w:rsid w:val="0073514D"/>
    <w:rsid w:val="00743391"/>
    <w:rsid w:val="007447F3"/>
    <w:rsid w:val="00753786"/>
    <w:rsid w:val="0075499F"/>
    <w:rsid w:val="007661C8"/>
    <w:rsid w:val="0077098D"/>
    <w:rsid w:val="00787488"/>
    <w:rsid w:val="007931FA"/>
    <w:rsid w:val="007A11A3"/>
    <w:rsid w:val="007A348C"/>
    <w:rsid w:val="007A4861"/>
    <w:rsid w:val="007A7BBA"/>
    <w:rsid w:val="007B0C50"/>
    <w:rsid w:val="007B48F9"/>
    <w:rsid w:val="007B4F1E"/>
    <w:rsid w:val="007C1A43"/>
    <w:rsid w:val="007D0951"/>
    <w:rsid w:val="007E30F5"/>
    <w:rsid w:val="007F3529"/>
    <w:rsid w:val="007F3C79"/>
    <w:rsid w:val="007F7D50"/>
    <w:rsid w:val="0080013E"/>
    <w:rsid w:val="00813288"/>
    <w:rsid w:val="008168FC"/>
    <w:rsid w:val="008258C2"/>
    <w:rsid w:val="00830996"/>
    <w:rsid w:val="008345F1"/>
    <w:rsid w:val="008378E3"/>
    <w:rsid w:val="00852491"/>
    <w:rsid w:val="00865B07"/>
    <w:rsid w:val="008667EA"/>
    <w:rsid w:val="0087637F"/>
    <w:rsid w:val="00892AD5"/>
    <w:rsid w:val="008A1512"/>
    <w:rsid w:val="008D2B1E"/>
    <w:rsid w:val="008D32B9"/>
    <w:rsid w:val="008D433B"/>
    <w:rsid w:val="008D4A16"/>
    <w:rsid w:val="008E566E"/>
    <w:rsid w:val="0090161A"/>
    <w:rsid w:val="00901EB6"/>
    <w:rsid w:val="00904C62"/>
    <w:rsid w:val="00920F37"/>
    <w:rsid w:val="00922BA8"/>
    <w:rsid w:val="00924DAC"/>
    <w:rsid w:val="00927058"/>
    <w:rsid w:val="0093592B"/>
    <w:rsid w:val="00942750"/>
    <w:rsid w:val="009450CE"/>
    <w:rsid w:val="009459BB"/>
    <w:rsid w:val="00947179"/>
    <w:rsid w:val="0095164B"/>
    <w:rsid w:val="00954090"/>
    <w:rsid w:val="009573E7"/>
    <w:rsid w:val="00963E05"/>
    <w:rsid w:val="00964A45"/>
    <w:rsid w:val="00967843"/>
    <w:rsid w:val="00967D54"/>
    <w:rsid w:val="00971028"/>
    <w:rsid w:val="00976026"/>
    <w:rsid w:val="00993B84"/>
    <w:rsid w:val="00996483"/>
    <w:rsid w:val="00996F5A"/>
    <w:rsid w:val="009B041A"/>
    <w:rsid w:val="009C0F3E"/>
    <w:rsid w:val="009C37C3"/>
    <w:rsid w:val="009C7C86"/>
    <w:rsid w:val="009D2FF7"/>
    <w:rsid w:val="009D771B"/>
    <w:rsid w:val="009E53D8"/>
    <w:rsid w:val="009E7884"/>
    <w:rsid w:val="009E788A"/>
    <w:rsid w:val="009F0E08"/>
    <w:rsid w:val="009F1339"/>
    <w:rsid w:val="009F1398"/>
    <w:rsid w:val="009F58C5"/>
    <w:rsid w:val="00A02194"/>
    <w:rsid w:val="00A07981"/>
    <w:rsid w:val="00A07D38"/>
    <w:rsid w:val="00A07EA5"/>
    <w:rsid w:val="00A146CB"/>
    <w:rsid w:val="00A1763D"/>
    <w:rsid w:val="00A17CEC"/>
    <w:rsid w:val="00A27EF0"/>
    <w:rsid w:val="00A3368B"/>
    <w:rsid w:val="00A42361"/>
    <w:rsid w:val="00A442DC"/>
    <w:rsid w:val="00A50B20"/>
    <w:rsid w:val="00A51390"/>
    <w:rsid w:val="00A51F9F"/>
    <w:rsid w:val="00A60D13"/>
    <w:rsid w:val="00A72168"/>
    <w:rsid w:val="00A7223D"/>
    <w:rsid w:val="00A72745"/>
    <w:rsid w:val="00A76EFC"/>
    <w:rsid w:val="00A82D7A"/>
    <w:rsid w:val="00A87D50"/>
    <w:rsid w:val="00A91010"/>
    <w:rsid w:val="00A93653"/>
    <w:rsid w:val="00A97F29"/>
    <w:rsid w:val="00AA099D"/>
    <w:rsid w:val="00AA702E"/>
    <w:rsid w:val="00AA7D26"/>
    <w:rsid w:val="00AB0964"/>
    <w:rsid w:val="00AB26B3"/>
    <w:rsid w:val="00AB5011"/>
    <w:rsid w:val="00AC7368"/>
    <w:rsid w:val="00AD16B9"/>
    <w:rsid w:val="00AE1CAC"/>
    <w:rsid w:val="00AE377D"/>
    <w:rsid w:val="00AF0EBA"/>
    <w:rsid w:val="00B018F9"/>
    <w:rsid w:val="00B02C8A"/>
    <w:rsid w:val="00B035DC"/>
    <w:rsid w:val="00B12167"/>
    <w:rsid w:val="00B12383"/>
    <w:rsid w:val="00B17FBD"/>
    <w:rsid w:val="00B271B6"/>
    <w:rsid w:val="00B315A6"/>
    <w:rsid w:val="00B31813"/>
    <w:rsid w:val="00B33365"/>
    <w:rsid w:val="00B334C4"/>
    <w:rsid w:val="00B36817"/>
    <w:rsid w:val="00B57A80"/>
    <w:rsid w:val="00B57B36"/>
    <w:rsid w:val="00B57E6F"/>
    <w:rsid w:val="00B60637"/>
    <w:rsid w:val="00B73BA9"/>
    <w:rsid w:val="00B8686D"/>
    <w:rsid w:val="00B92921"/>
    <w:rsid w:val="00B93F69"/>
    <w:rsid w:val="00BA146E"/>
    <w:rsid w:val="00BA4B07"/>
    <w:rsid w:val="00BA4B2D"/>
    <w:rsid w:val="00BA71EC"/>
    <w:rsid w:val="00BB1DDC"/>
    <w:rsid w:val="00BB6B48"/>
    <w:rsid w:val="00BC30C9"/>
    <w:rsid w:val="00BC5FDF"/>
    <w:rsid w:val="00BC6EA5"/>
    <w:rsid w:val="00BD077D"/>
    <w:rsid w:val="00BE3E58"/>
    <w:rsid w:val="00BF4102"/>
    <w:rsid w:val="00C01616"/>
    <w:rsid w:val="00C0162B"/>
    <w:rsid w:val="00C05DE0"/>
    <w:rsid w:val="00C05DFF"/>
    <w:rsid w:val="00C068ED"/>
    <w:rsid w:val="00C22E0C"/>
    <w:rsid w:val="00C345B1"/>
    <w:rsid w:val="00C40142"/>
    <w:rsid w:val="00C42B73"/>
    <w:rsid w:val="00C52C3C"/>
    <w:rsid w:val="00C57182"/>
    <w:rsid w:val="00C57863"/>
    <w:rsid w:val="00C61F11"/>
    <w:rsid w:val="00C640AF"/>
    <w:rsid w:val="00C655FD"/>
    <w:rsid w:val="00C75100"/>
    <w:rsid w:val="00C75407"/>
    <w:rsid w:val="00C84FEB"/>
    <w:rsid w:val="00C870A8"/>
    <w:rsid w:val="00C94434"/>
    <w:rsid w:val="00CA0D75"/>
    <w:rsid w:val="00CA1C95"/>
    <w:rsid w:val="00CA5A9C"/>
    <w:rsid w:val="00CC36B7"/>
    <w:rsid w:val="00CC4C20"/>
    <w:rsid w:val="00CD3517"/>
    <w:rsid w:val="00CD5FE2"/>
    <w:rsid w:val="00CE66D3"/>
    <w:rsid w:val="00CE7C68"/>
    <w:rsid w:val="00CF4311"/>
    <w:rsid w:val="00D00385"/>
    <w:rsid w:val="00D02B4C"/>
    <w:rsid w:val="00D040C4"/>
    <w:rsid w:val="00D11A2A"/>
    <w:rsid w:val="00D20AD1"/>
    <w:rsid w:val="00D253F1"/>
    <w:rsid w:val="00D25579"/>
    <w:rsid w:val="00D40E15"/>
    <w:rsid w:val="00D46B7E"/>
    <w:rsid w:val="00D57C84"/>
    <w:rsid w:val="00D6057D"/>
    <w:rsid w:val="00D71640"/>
    <w:rsid w:val="00D728B3"/>
    <w:rsid w:val="00D740BA"/>
    <w:rsid w:val="00D761C9"/>
    <w:rsid w:val="00D836C5"/>
    <w:rsid w:val="00D84576"/>
    <w:rsid w:val="00DA1399"/>
    <w:rsid w:val="00DA24C6"/>
    <w:rsid w:val="00DA4399"/>
    <w:rsid w:val="00DA4D7B"/>
    <w:rsid w:val="00DB5D78"/>
    <w:rsid w:val="00DC3F9B"/>
    <w:rsid w:val="00DD271C"/>
    <w:rsid w:val="00DE264A"/>
    <w:rsid w:val="00DF5072"/>
    <w:rsid w:val="00E02D18"/>
    <w:rsid w:val="00E03B6A"/>
    <w:rsid w:val="00E041E7"/>
    <w:rsid w:val="00E23CA1"/>
    <w:rsid w:val="00E311A4"/>
    <w:rsid w:val="00E34D94"/>
    <w:rsid w:val="00E409A8"/>
    <w:rsid w:val="00E46802"/>
    <w:rsid w:val="00E50C12"/>
    <w:rsid w:val="00E6308E"/>
    <w:rsid w:val="00E65B91"/>
    <w:rsid w:val="00E7209D"/>
    <w:rsid w:val="00E72EAD"/>
    <w:rsid w:val="00E77223"/>
    <w:rsid w:val="00E8528B"/>
    <w:rsid w:val="00E85457"/>
    <w:rsid w:val="00E85B94"/>
    <w:rsid w:val="00E86B78"/>
    <w:rsid w:val="00E86F92"/>
    <w:rsid w:val="00E959E1"/>
    <w:rsid w:val="00E978D0"/>
    <w:rsid w:val="00EA41F1"/>
    <w:rsid w:val="00EA4613"/>
    <w:rsid w:val="00EA5419"/>
    <w:rsid w:val="00EA7F91"/>
    <w:rsid w:val="00EB1523"/>
    <w:rsid w:val="00EC0E49"/>
    <w:rsid w:val="00EC101F"/>
    <w:rsid w:val="00EC1938"/>
    <w:rsid w:val="00EC1D9F"/>
    <w:rsid w:val="00ED5525"/>
    <w:rsid w:val="00EE0131"/>
    <w:rsid w:val="00EE17B0"/>
    <w:rsid w:val="00EF06D9"/>
    <w:rsid w:val="00F001BE"/>
    <w:rsid w:val="00F01C5C"/>
    <w:rsid w:val="00F3049E"/>
    <w:rsid w:val="00F30C64"/>
    <w:rsid w:val="00F32BA2"/>
    <w:rsid w:val="00F32CDB"/>
    <w:rsid w:val="00F37963"/>
    <w:rsid w:val="00F4737F"/>
    <w:rsid w:val="00F565FE"/>
    <w:rsid w:val="00F63A70"/>
    <w:rsid w:val="00F63D8C"/>
    <w:rsid w:val="00F7534E"/>
    <w:rsid w:val="00F912B1"/>
    <w:rsid w:val="00F93EDF"/>
    <w:rsid w:val="00FA1802"/>
    <w:rsid w:val="00FA21D0"/>
    <w:rsid w:val="00FA583A"/>
    <w:rsid w:val="00FA5F5F"/>
    <w:rsid w:val="00FB730C"/>
    <w:rsid w:val="00FC2695"/>
    <w:rsid w:val="00FC3E03"/>
    <w:rsid w:val="00FC3FC1"/>
    <w:rsid w:val="00FF5D0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9BAF0-6C73-4692-A6EC-38AC6502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3007</Words>
  <Characters>17142</Characters>
  <Application>Microsoft Office Word</Application>
  <DocSecurity>0</DocSecurity>
  <Lines>142</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paolo bragatto</cp:lastModifiedBy>
  <cp:revision>117</cp:revision>
  <cp:lastPrinted>2023-04-11T07:22:00Z</cp:lastPrinted>
  <dcterms:created xsi:type="dcterms:W3CDTF">2023-03-22T16:24:00Z</dcterms:created>
  <dcterms:modified xsi:type="dcterms:W3CDTF">2023-04-14T12:13:00Z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a8e311e9a5f6d57968da148f3970eaa3b846cb6f334063cadab3849a6ee52540</vt:lpwstr>
  </property>
</Properties>
</file>