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530285EB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1D8DD3C9" w14:textId="77777777" w:rsidR="00AA7D26" w:rsidRPr="00F93EDF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F93ED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Editors:</w:t>
            </w:r>
            <w:r w:rsidRPr="00F93ED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</w:rPr>
              <w:t>Sauro</w:t>
            </w:r>
            <w:proofErr w:type="spellEnd"/>
            <w:r w:rsidRPr="00293D18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</w:rPr>
              <w:t>Pierucci</w:t>
            </w:r>
            <w:proofErr w:type="spellEnd"/>
            <w:r w:rsidRPr="00293D1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Jiří</w:t>
            </w:r>
            <w:proofErr w:type="spellEnd"/>
            <w:r w:rsidRPr="00293D18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 xml:space="preserve"> Jaromír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Klemeš</w:t>
            </w:r>
            <w:proofErr w:type="spellEnd"/>
          </w:p>
          <w:p w14:paraId="1B0F1814" w14:textId="650290B9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2023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0562A9">
              <w:rPr>
                <w:rFonts w:ascii="Tahoma" w:hAnsi="Tahoma" w:cs="Tahoma"/>
                <w:sz w:val="14"/>
                <w:szCs w:val="14"/>
              </w:rPr>
              <w:t>97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88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95608-98-3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58AE8AF2" w:rsidR="00E978D0" w:rsidRPr="00B57B36" w:rsidRDefault="00287F8A" w:rsidP="00287F8A">
      <w:pPr>
        <w:pStyle w:val="CETTitle"/>
      </w:pPr>
      <w:r>
        <w:t>A Thermodynamic/Kinetic study of Ammonia-based Flue Gas Desulfurization Processes</w:t>
      </w:r>
    </w:p>
    <w:p w14:paraId="0488FED2" w14:textId="5AD3771A" w:rsidR="00B57E6F" w:rsidRPr="0078269B" w:rsidRDefault="0078269B" w:rsidP="00B57E6F">
      <w:pPr>
        <w:pStyle w:val="CETAuthors"/>
        <w:rPr>
          <w:lang w:val="it-IT"/>
        </w:rPr>
      </w:pPr>
      <w:r w:rsidRPr="0078269B">
        <w:rPr>
          <w:lang w:val="it-IT"/>
        </w:rPr>
        <w:t>Domenico Flagiello</w:t>
      </w:r>
      <w:r w:rsidRPr="0078269B">
        <w:rPr>
          <w:vertAlign w:val="superscript"/>
          <w:lang w:val="it-IT"/>
        </w:rPr>
        <w:t>a</w:t>
      </w:r>
      <w:r w:rsidRPr="0078269B">
        <w:rPr>
          <w:lang w:val="it-IT"/>
        </w:rPr>
        <w:t>, Francesco Di Natale</w:t>
      </w:r>
      <w:r w:rsidRPr="0078269B">
        <w:rPr>
          <w:vertAlign w:val="superscript"/>
          <w:lang w:val="it-IT"/>
        </w:rPr>
        <w:t>a</w:t>
      </w:r>
      <w:r w:rsidRPr="0078269B">
        <w:rPr>
          <w:lang w:val="it-IT"/>
        </w:rPr>
        <w:t>, Amedeo Lancia</w:t>
      </w:r>
      <w:r w:rsidRPr="0078269B">
        <w:rPr>
          <w:vertAlign w:val="superscript"/>
          <w:lang w:val="it-IT"/>
        </w:rPr>
        <w:t>a</w:t>
      </w:r>
      <w:r w:rsidRPr="0078269B">
        <w:rPr>
          <w:lang w:val="it-IT"/>
        </w:rPr>
        <w:t>, Ilio Sebastiani</w:t>
      </w:r>
      <w:r w:rsidRPr="0078269B">
        <w:rPr>
          <w:vertAlign w:val="superscript"/>
          <w:lang w:val="it-IT"/>
        </w:rPr>
        <w:t>b</w:t>
      </w:r>
      <w:r w:rsidRPr="0078269B">
        <w:rPr>
          <w:lang w:val="it-IT"/>
        </w:rPr>
        <w:t>, Fabrizio Nava</w:t>
      </w:r>
      <w:r w:rsidRPr="0078269B">
        <w:rPr>
          <w:vertAlign w:val="superscript"/>
          <w:lang w:val="it-IT"/>
        </w:rPr>
        <w:t>b</w:t>
      </w:r>
      <w:r w:rsidR="00B378E9">
        <w:rPr>
          <w:lang w:val="it-IT"/>
        </w:rPr>
        <w:t xml:space="preserve">, </w:t>
      </w:r>
      <w:r w:rsidRPr="0078269B">
        <w:rPr>
          <w:lang w:val="it-IT"/>
        </w:rPr>
        <w:t>Antonino Milicia</w:t>
      </w:r>
      <w:r w:rsidRPr="0078269B">
        <w:rPr>
          <w:vertAlign w:val="superscript"/>
          <w:lang w:val="it-IT"/>
        </w:rPr>
        <w:t>b</w:t>
      </w:r>
      <w:r w:rsidRPr="0078269B">
        <w:rPr>
          <w:lang w:val="it-IT"/>
        </w:rPr>
        <w:t>, Alessandro Erto</w:t>
      </w:r>
      <w:r w:rsidRPr="0078269B">
        <w:rPr>
          <w:vertAlign w:val="superscript"/>
          <w:lang w:val="it-IT"/>
        </w:rPr>
        <w:t>a</w:t>
      </w:r>
      <w:r w:rsidRPr="0078269B">
        <w:rPr>
          <w:lang w:val="it-IT"/>
        </w:rPr>
        <w:t xml:space="preserve"> </w:t>
      </w:r>
    </w:p>
    <w:p w14:paraId="6B2D21B3" w14:textId="4B160880" w:rsidR="00B57E6F" w:rsidRPr="00B57B36" w:rsidRDefault="00B57E6F" w:rsidP="00B57E6F">
      <w:pPr>
        <w:pStyle w:val="CETAddress"/>
      </w:pPr>
      <w:r w:rsidRPr="00B57B36">
        <w:rPr>
          <w:vertAlign w:val="superscript"/>
        </w:rPr>
        <w:t>a</w:t>
      </w:r>
      <w:r w:rsidR="00DE31DE" w:rsidRPr="00DE31DE">
        <w:t>Department of Chemical, Materials and Production Engineering, University of Naples Federico II – P.le Tecchio 80, 80125 Naples, Italy</w:t>
      </w:r>
      <w:r w:rsidR="0013673C">
        <w:t>.</w:t>
      </w:r>
    </w:p>
    <w:p w14:paraId="3D72B0B0" w14:textId="5AECD78C" w:rsidR="00B57E6F" w:rsidRPr="0013673C" w:rsidRDefault="00B57E6F" w:rsidP="00B57E6F">
      <w:pPr>
        <w:pStyle w:val="CETAddress"/>
        <w:rPr>
          <w:lang w:val="it-IT"/>
        </w:rPr>
      </w:pPr>
      <w:r w:rsidRPr="0013673C">
        <w:rPr>
          <w:vertAlign w:val="superscript"/>
          <w:lang w:val="it-IT"/>
        </w:rPr>
        <w:t>b</w:t>
      </w:r>
      <w:r w:rsidR="0013673C" w:rsidRPr="0013673C">
        <w:rPr>
          <w:lang w:val="it-IT"/>
        </w:rPr>
        <w:t xml:space="preserve">Desmet Ballestra SpA – Via Piero Portaluppi 17 - 20138 Milan, Italy. </w:t>
      </w:r>
      <w:r w:rsidRPr="0013673C">
        <w:rPr>
          <w:lang w:val="it-IT"/>
        </w:rPr>
        <w:t xml:space="preserve"> </w:t>
      </w:r>
    </w:p>
    <w:p w14:paraId="73F1267A" w14:textId="4E65113E" w:rsidR="00B57E6F" w:rsidRPr="00F04835" w:rsidRDefault="00B57E6F" w:rsidP="00B57E6F">
      <w:pPr>
        <w:pStyle w:val="CETemail"/>
        <w:rPr>
          <w:lang w:val="en-US"/>
        </w:rPr>
      </w:pPr>
      <w:r w:rsidRPr="0013673C">
        <w:rPr>
          <w:lang w:val="it-IT"/>
        </w:rPr>
        <w:t xml:space="preserve"> </w:t>
      </w:r>
      <w:r w:rsidR="00F03A05" w:rsidRPr="00F04835">
        <w:rPr>
          <w:lang w:val="en-US"/>
        </w:rPr>
        <w:t>domenico.flagiello</w:t>
      </w:r>
      <w:r w:rsidRPr="00F04835">
        <w:rPr>
          <w:lang w:val="en-US"/>
        </w:rPr>
        <w:t>@</w:t>
      </w:r>
      <w:r w:rsidR="00F03A05" w:rsidRPr="00F04835">
        <w:rPr>
          <w:lang w:val="en-US"/>
        </w:rPr>
        <w:t>unina.it</w:t>
      </w:r>
    </w:p>
    <w:p w14:paraId="2F0D0BC6" w14:textId="7B213193" w:rsidR="00820178" w:rsidRPr="009E0259" w:rsidRDefault="00F04835" w:rsidP="009E0259">
      <w:pPr>
        <w:rPr>
          <w:lang w:val="en-US"/>
        </w:rPr>
      </w:pPr>
      <w:r w:rsidRPr="00FB5F84">
        <w:t xml:space="preserve">In this work, we </w:t>
      </w:r>
      <w:r w:rsidRPr="00906C19">
        <w:t xml:space="preserve">propose </w:t>
      </w:r>
      <w:r w:rsidR="00906C19" w:rsidRPr="00906C19">
        <w:t>a</w:t>
      </w:r>
      <w:r w:rsidRPr="00906C19">
        <w:t xml:space="preserve"> study of the SO</w:t>
      </w:r>
      <w:r w:rsidRPr="00906C19">
        <w:rPr>
          <w:vertAlign w:val="subscript"/>
        </w:rPr>
        <w:t>2</w:t>
      </w:r>
      <w:r w:rsidRPr="00906C19">
        <w:t xml:space="preserve"> mass-transfer rate in </w:t>
      </w:r>
      <w:r w:rsidR="006D1512" w:rsidRPr="00906C19">
        <w:t xml:space="preserve">an absorption process </w:t>
      </w:r>
      <w:r w:rsidRPr="00906C19">
        <w:t xml:space="preserve">based on the use of an aqueous solution of </w:t>
      </w:r>
      <w:r w:rsidR="00881B4B" w:rsidRPr="00906C19">
        <w:t>ammonia</w:t>
      </w:r>
      <w:r w:rsidRPr="00906C19">
        <w:t xml:space="preserve"> (</w:t>
      </w:r>
      <w:r w:rsidR="00881B4B" w:rsidRPr="00906C19">
        <w:t>NH</w:t>
      </w:r>
      <w:r w:rsidR="00881B4B" w:rsidRPr="00906C19">
        <w:rPr>
          <w:vertAlign w:val="subscript"/>
        </w:rPr>
        <w:t>3</w:t>
      </w:r>
      <w:r w:rsidRPr="00906C19">
        <w:t>),</w:t>
      </w:r>
      <w:r w:rsidRPr="00FB5F84">
        <w:t xml:space="preserve"> which </w:t>
      </w:r>
      <w:r w:rsidR="009D701E">
        <w:t>reacts with</w:t>
      </w:r>
      <w:r w:rsidRPr="00FB5F84">
        <w:t xml:space="preserve"> SO</w:t>
      </w:r>
      <w:r w:rsidRPr="00FB5F84">
        <w:rPr>
          <w:vertAlign w:val="subscript"/>
        </w:rPr>
        <w:t>2</w:t>
      </w:r>
      <w:r w:rsidRPr="00FB5F84">
        <w:t xml:space="preserve"> to </w:t>
      </w:r>
      <w:r w:rsidR="009D701E">
        <w:t xml:space="preserve">give </w:t>
      </w:r>
      <w:r w:rsidR="00883E33">
        <w:t xml:space="preserve">ammonium </w:t>
      </w:r>
      <w:proofErr w:type="spellStart"/>
      <w:r w:rsidR="00883E33">
        <w:t>sulfite</w:t>
      </w:r>
      <w:proofErr w:type="spellEnd"/>
      <w:r w:rsidR="009E0259">
        <w:t xml:space="preserve"> according to follow overall reaction </w:t>
      </w:r>
      <w:r w:rsidR="009E0259" w:rsidRPr="00FB5F84">
        <w:t>SO</w:t>
      </w:r>
      <w:r w:rsidR="009E0259" w:rsidRPr="00FB5F84">
        <w:rPr>
          <w:vertAlign w:val="subscript"/>
        </w:rPr>
        <w:t>2</w:t>
      </w:r>
      <w:r w:rsidR="009E0259" w:rsidRPr="00FB5F84">
        <w:t xml:space="preserve"> + </w:t>
      </w:r>
      <w:r w:rsidR="009E0259">
        <w:t>2NH</w:t>
      </w:r>
      <w:r w:rsidR="009E0259">
        <w:rPr>
          <w:vertAlign w:val="subscript"/>
        </w:rPr>
        <w:t>3</w:t>
      </w:r>
      <w:r w:rsidR="009E0259" w:rsidRPr="00FB5F84">
        <w:t xml:space="preserve"> </w:t>
      </w:r>
      <w:r w:rsidR="009E0259">
        <w:t>+ H</w:t>
      </w:r>
      <w:r w:rsidR="009E0259" w:rsidRPr="00B4502E">
        <w:rPr>
          <w:vertAlign w:val="subscript"/>
        </w:rPr>
        <w:t>2</w:t>
      </w:r>
      <w:r w:rsidR="009E0259">
        <w:t xml:space="preserve">O </w:t>
      </w:r>
      <w:r w:rsidR="009E0259" w:rsidRPr="00FB5F84">
        <w:t xml:space="preserve">→ </w:t>
      </w:r>
      <w:r w:rsidR="009E0259">
        <w:t>(NH</w:t>
      </w:r>
      <w:r w:rsidR="009E0259" w:rsidRPr="005A2ED9">
        <w:rPr>
          <w:vertAlign w:val="subscript"/>
        </w:rPr>
        <w:t>4</w:t>
      </w:r>
      <w:r w:rsidR="009E0259">
        <w:t>)</w:t>
      </w:r>
      <w:r w:rsidR="009E0259" w:rsidRPr="0081012B">
        <w:rPr>
          <w:vertAlign w:val="subscript"/>
        </w:rPr>
        <w:t>2</w:t>
      </w:r>
      <w:r w:rsidR="009E0259">
        <w:t>SO</w:t>
      </w:r>
      <w:r w:rsidR="009E0259" w:rsidRPr="005A2ED9">
        <w:rPr>
          <w:vertAlign w:val="subscript"/>
        </w:rPr>
        <w:t>3</w:t>
      </w:r>
      <w:r w:rsidRPr="00FB5F84">
        <w:t>. A</w:t>
      </w:r>
      <w:r>
        <w:t xml:space="preserve">n experimental and modelling </w:t>
      </w:r>
      <w:r w:rsidRPr="00FB5F84">
        <w:t xml:space="preserve">study </w:t>
      </w:r>
      <w:r>
        <w:t>i</w:t>
      </w:r>
      <w:r w:rsidRPr="00FB5F84">
        <w:t xml:space="preserve">s carried out to define </w:t>
      </w:r>
      <w:r w:rsidR="00D5761B">
        <w:t xml:space="preserve">the </w:t>
      </w:r>
      <w:r w:rsidR="009E0259">
        <w:t>thermodynamic</w:t>
      </w:r>
      <w:r>
        <w:t xml:space="preserve"> and </w:t>
      </w:r>
      <w:r w:rsidRPr="00FB5F84">
        <w:t xml:space="preserve">kinetic aspects of the </w:t>
      </w:r>
      <w:r w:rsidR="00E51777">
        <w:t>ammonia-based</w:t>
      </w:r>
      <w:r>
        <w:t xml:space="preserve"> </w:t>
      </w:r>
      <w:r w:rsidR="00D5761B">
        <w:t>Flue Gas Desulfurization (</w:t>
      </w:r>
      <w:r w:rsidR="00E51777">
        <w:t>FGD</w:t>
      </w:r>
      <w:r w:rsidR="00D5761B">
        <w:t>)</w:t>
      </w:r>
      <w:r w:rsidR="00E51777">
        <w:t xml:space="preserve"> </w:t>
      </w:r>
      <w:r w:rsidRPr="00FB5F84">
        <w:t xml:space="preserve">process. </w:t>
      </w:r>
      <w:r w:rsidR="009E0259" w:rsidRPr="009E0259">
        <w:rPr>
          <w:lang w:val="en-US"/>
        </w:rPr>
        <w:t>A dataset of SO</w:t>
      </w:r>
      <w:r w:rsidR="009E0259" w:rsidRPr="009E0259">
        <w:rPr>
          <w:vertAlign w:val="subscript"/>
          <w:lang w:val="en-US"/>
        </w:rPr>
        <w:t>2</w:t>
      </w:r>
      <w:r w:rsidR="009E0259" w:rsidRPr="009E0259">
        <w:rPr>
          <w:lang w:val="en-US"/>
        </w:rPr>
        <w:t xml:space="preserve"> solubility in aqueous ammoni</w:t>
      </w:r>
      <w:r w:rsidR="00EC7589">
        <w:rPr>
          <w:lang w:val="en-US"/>
        </w:rPr>
        <w:t>a</w:t>
      </w:r>
      <w:r w:rsidR="009E0259" w:rsidRPr="009E0259">
        <w:rPr>
          <w:lang w:val="en-US"/>
        </w:rPr>
        <w:t xml:space="preserve"> solutions was </w:t>
      </w:r>
      <w:r w:rsidR="00316AB6">
        <w:rPr>
          <w:lang w:val="en-US"/>
        </w:rPr>
        <w:t>estimated</w:t>
      </w:r>
      <w:r w:rsidR="009E0259" w:rsidRPr="009E0259">
        <w:rPr>
          <w:lang w:val="en-US"/>
        </w:rPr>
        <w:t xml:space="preserve"> by simulations in ASPEN PLUS using an equilibrium model based on data provided in the relevant literature. </w:t>
      </w:r>
      <w:r w:rsidR="00045DB5">
        <w:t>T</w:t>
      </w:r>
      <w:r w:rsidRPr="00FB5F84">
        <w:t xml:space="preserve">he Enhancement </w:t>
      </w:r>
      <w:r w:rsidR="00045DB5">
        <w:t>f</w:t>
      </w:r>
      <w:r w:rsidRPr="00FB5F84">
        <w:t>actor</w:t>
      </w:r>
      <w:r w:rsidR="009E0259">
        <w:t>s</w:t>
      </w:r>
      <w:r w:rsidRPr="00FB5F84">
        <w:t xml:space="preserve"> (E</w:t>
      </w:r>
      <w:r w:rsidRPr="00FB5F84">
        <w:rPr>
          <w:vertAlign w:val="subscript"/>
        </w:rPr>
        <w:t>L</w:t>
      </w:r>
      <w:r w:rsidRPr="00FB5F84">
        <w:t>) for the SO</w:t>
      </w:r>
      <w:r w:rsidRPr="00FB5F84">
        <w:rPr>
          <w:vertAlign w:val="subscript"/>
        </w:rPr>
        <w:t>2</w:t>
      </w:r>
      <w:r w:rsidRPr="00FB5F84">
        <w:t xml:space="preserve"> </w:t>
      </w:r>
      <w:r w:rsidR="009E0259">
        <w:t xml:space="preserve">ammonia-based </w:t>
      </w:r>
      <w:r w:rsidRPr="00FB5F84">
        <w:t xml:space="preserve">absorption </w:t>
      </w:r>
      <w:r w:rsidR="00F17924">
        <w:t>are</w:t>
      </w:r>
      <w:r w:rsidRPr="00FB5F84">
        <w:t xml:space="preserve"> </w:t>
      </w:r>
      <w:r w:rsidR="003E6E0F">
        <w:t>determined</w:t>
      </w:r>
      <w:r w:rsidRPr="00FB5F84">
        <w:t xml:space="preserve"> under the explored experimental conditions</w:t>
      </w:r>
      <w:r w:rsidR="009E0259">
        <w:t xml:space="preserve">: different gas and liquid flow rates, and </w:t>
      </w:r>
      <w:r w:rsidR="009E0259" w:rsidRPr="00BD28AD">
        <w:rPr>
          <w:rFonts w:cs="Arial"/>
          <w:szCs w:val="18"/>
        </w:rPr>
        <w:t xml:space="preserve">feed molar </w:t>
      </w:r>
      <w:r w:rsidR="009E0259">
        <w:rPr>
          <w:rFonts w:cs="Arial"/>
          <w:szCs w:val="18"/>
        </w:rPr>
        <w:t>NH</w:t>
      </w:r>
      <w:r w:rsidR="009E0259">
        <w:rPr>
          <w:rFonts w:cs="Arial"/>
          <w:szCs w:val="18"/>
          <w:vertAlign w:val="subscript"/>
        </w:rPr>
        <w:t>3</w:t>
      </w:r>
      <w:r w:rsidR="009E0259" w:rsidRPr="00BD28AD">
        <w:rPr>
          <w:rFonts w:cs="Arial"/>
          <w:szCs w:val="18"/>
          <w:vertAlign w:val="subscript"/>
        </w:rPr>
        <w:t>(</w:t>
      </w:r>
      <w:proofErr w:type="spellStart"/>
      <w:r w:rsidR="009E0259" w:rsidRPr="00BD28AD">
        <w:rPr>
          <w:rFonts w:cs="Arial"/>
          <w:szCs w:val="18"/>
          <w:vertAlign w:val="subscript"/>
        </w:rPr>
        <w:t>aq</w:t>
      </w:r>
      <w:proofErr w:type="spellEnd"/>
      <w:r w:rsidR="009E0259" w:rsidRPr="00BD28AD">
        <w:rPr>
          <w:rFonts w:cs="Arial"/>
          <w:szCs w:val="18"/>
          <w:vertAlign w:val="subscript"/>
        </w:rPr>
        <w:t>)</w:t>
      </w:r>
      <w:r w:rsidR="009E0259" w:rsidRPr="00BD28AD">
        <w:rPr>
          <w:rFonts w:cs="Arial"/>
          <w:szCs w:val="18"/>
        </w:rPr>
        <w:t>/SO</w:t>
      </w:r>
      <w:r w:rsidR="009E0259" w:rsidRPr="00BD28AD">
        <w:rPr>
          <w:rFonts w:cs="Arial"/>
          <w:szCs w:val="18"/>
          <w:vertAlign w:val="subscript"/>
        </w:rPr>
        <w:t>2(g)</w:t>
      </w:r>
      <w:r w:rsidR="009E0259" w:rsidRPr="00BD28AD">
        <w:rPr>
          <w:rFonts w:cs="Arial"/>
          <w:szCs w:val="18"/>
        </w:rPr>
        <w:t xml:space="preserve"> ratio</w:t>
      </w:r>
      <w:r w:rsidR="009E0259">
        <w:rPr>
          <w:rFonts w:cs="Arial"/>
          <w:szCs w:val="18"/>
        </w:rPr>
        <w:t>s</w:t>
      </w:r>
      <w:r w:rsidR="009E0259">
        <w:t xml:space="preserve">, varying both concentrations of ammonia in the liquid and </w:t>
      </w:r>
      <w:proofErr w:type="spellStart"/>
      <w:r w:rsidR="009E0259">
        <w:t>sulfur</w:t>
      </w:r>
      <w:proofErr w:type="spellEnd"/>
      <w:r w:rsidR="009E0259">
        <w:t xml:space="preserve"> dioxide in the gas streams.</w:t>
      </w:r>
      <w:r w:rsidR="001067BC" w:rsidRPr="001067BC">
        <w:t xml:space="preserve"> </w:t>
      </w:r>
    </w:p>
    <w:p w14:paraId="68BD8D53" w14:textId="77777777" w:rsidR="00A966C5" w:rsidRPr="00B57B36" w:rsidRDefault="00A966C5" w:rsidP="00A966C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10A25C35" w14:textId="0124FEAF" w:rsidR="00855859" w:rsidRPr="00AB68EE" w:rsidRDefault="00C176B7" w:rsidP="00C176B7">
      <w:pPr>
        <w:pStyle w:val="Abstract"/>
        <w:spacing w:before="0"/>
        <w:rPr>
          <w:rFonts w:ascii="Arial" w:hAnsi="Arial" w:cs="Arial"/>
          <w:sz w:val="18"/>
          <w:szCs w:val="18"/>
        </w:rPr>
      </w:pPr>
      <w:r w:rsidRPr="00AB68EE">
        <w:rPr>
          <w:rFonts w:ascii="Arial" w:hAnsi="Arial" w:cs="Arial"/>
          <w:sz w:val="18"/>
          <w:szCs w:val="18"/>
        </w:rPr>
        <w:t>The growing energy demand and the need for more sustainable processes make</w:t>
      </w:r>
      <w:r w:rsidR="00CA00C1">
        <w:rPr>
          <w:rFonts w:ascii="Arial" w:hAnsi="Arial" w:cs="Arial"/>
          <w:sz w:val="18"/>
          <w:szCs w:val="18"/>
        </w:rPr>
        <w:t xml:space="preserve"> Flue Gas Desulfurization</w:t>
      </w:r>
      <w:r w:rsidRPr="00AB68EE">
        <w:rPr>
          <w:rFonts w:ascii="Arial" w:hAnsi="Arial" w:cs="Arial"/>
          <w:sz w:val="18"/>
          <w:szCs w:val="18"/>
        </w:rPr>
        <w:t xml:space="preserve"> </w:t>
      </w:r>
      <w:r w:rsidR="00CA00C1">
        <w:rPr>
          <w:rFonts w:ascii="Arial" w:hAnsi="Arial" w:cs="Arial"/>
          <w:sz w:val="18"/>
          <w:szCs w:val="18"/>
        </w:rPr>
        <w:t>(</w:t>
      </w:r>
      <w:r w:rsidR="00442842" w:rsidRPr="00AB68EE">
        <w:rPr>
          <w:rFonts w:ascii="Arial" w:hAnsi="Arial" w:cs="Arial"/>
          <w:sz w:val="18"/>
          <w:szCs w:val="18"/>
        </w:rPr>
        <w:t>FGD</w:t>
      </w:r>
      <w:r w:rsidR="00CA00C1">
        <w:rPr>
          <w:rFonts w:ascii="Arial" w:hAnsi="Arial" w:cs="Arial"/>
          <w:sz w:val="18"/>
          <w:szCs w:val="18"/>
        </w:rPr>
        <w:t>)</w:t>
      </w:r>
      <w:r w:rsidR="00442842" w:rsidRPr="00AB68EE">
        <w:rPr>
          <w:rFonts w:ascii="Arial" w:hAnsi="Arial" w:cs="Arial"/>
          <w:sz w:val="18"/>
          <w:szCs w:val="18"/>
        </w:rPr>
        <w:t xml:space="preserve"> </w:t>
      </w:r>
      <w:r w:rsidRPr="00AB68EE">
        <w:rPr>
          <w:rFonts w:ascii="Arial" w:hAnsi="Arial" w:cs="Arial"/>
          <w:sz w:val="18"/>
          <w:szCs w:val="18"/>
        </w:rPr>
        <w:t xml:space="preserve">processes </w:t>
      </w:r>
      <w:r w:rsidR="00464016" w:rsidRPr="00AB68EE">
        <w:rPr>
          <w:rFonts w:ascii="Arial" w:hAnsi="Arial" w:cs="Arial"/>
          <w:sz w:val="18"/>
          <w:szCs w:val="18"/>
        </w:rPr>
        <w:t>still</w:t>
      </w:r>
      <w:r w:rsidRPr="00AB68EE">
        <w:rPr>
          <w:rFonts w:ascii="Arial" w:hAnsi="Arial" w:cs="Arial"/>
          <w:sz w:val="18"/>
          <w:szCs w:val="18"/>
        </w:rPr>
        <w:t xml:space="preserve"> </w:t>
      </w:r>
      <w:r w:rsidR="00D5761B" w:rsidRPr="00AB68EE">
        <w:rPr>
          <w:rFonts w:ascii="Arial" w:hAnsi="Arial" w:cs="Arial"/>
          <w:sz w:val="18"/>
          <w:szCs w:val="18"/>
        </w:rPr>
        <w:t xml:space="preserve">a </w:t>
      </w:r>
      <w:r w:rsidRPr="00AB68EE">
        <w:rPr>
          <w:rFonts w:ascii="Arial" w:hAnsi="Arial" w:cs="Arial"/>
          <w:sz w:val="18"/>
          <w:szCs w:val="18"/>
        </w:rPr>
        <w:t xml:space="preserve">hot topic for Chemical and Environmental Engineering. Nowadays, most of the power generation, industrial activities and </w:t>
      </w:r>
      <w:r w:rsidR="004B3B24" w:rsidRPr="00AB68EE">
        <w:rPr>
          <w:rFonts w:ascii="Arial" w:hAnsi="Arial" w:cs="Arial"/>
          <w:sz w:val="18"/>
          <w:szCs w:val="18"/>
        </w:rPr>
        <w:t xml:space="preserve">marine </w:t>
      </w:r>
      <w:r w:rsidRPr="00AB68EE">
        <w:rPr>
          <w:rFonts w:ascii="Arial" w:hAnsi="Arial" w:cs="Arial"/>
          <w:sz w:val="18"/>
          <w:szCs w:val="18"/>
        </w:rPr>
        <w:t>transportation sector still use fossil fuels</w:t>
      </w:r>
      <w:r w:rsidR="00D5761B" w:rsidRPr="00AB68EE">
        <w:rPr>
          <w:rFonts w:ascii="Arial" w:hAnsi="Arial" w:cs="Arial"/>
          <w:sz w:val="18"/>
          <w:szCs w:val="18"/>
        </w:rPr>
        <w:t xml:space="preserve"> for power generation</w:t>
      </w:r>
      <w:r w:rsidRPr="00AB68EE">
        <w:rPr>
          <w:rFonts w:ascii="Arial" w:hAnsi="Arial" w:cs="Arial"/>
          <w:sz w:val="18"/>
          <w:szCs w:val="18"/>
        </w:rPr>
        <w:t>.</w:t>
      </w:r>
      <w:r w:rsidR="005E1AF5" w:rsidRPr="00AB68EE">
        <w:t xml:space="preserve"> </w:t>
      </w:r>
      <w:r w:rsidR="005E1AF5" w:rsidRPr="00AB68EE">
        <w:rPr>
          <w:rFonts w:ascii="Arial" w:hAnsi="Arial" w:cs="Arial"/>
          <w:sz w:val="18"/>
          <w:szCs w:val="18"/>
        </w:rPr>
        <w:t xml:space="preserve">Even if </w:t>
      </w:r>
      <w:proofErr w:type="spellStart"/>
      <w:r w:rsidR="005E1AF5" w:rsidRPr="00AB68EE">
        <w:rPr>
          <w:rFonts w:ascii="Arial" w:hAnsi="Arial" w:cs="Arial"/>
          <w:sz w:val="18"/>
          <w:szCs w:val="18"/>
        </w:rPr>
        <w:t>SO</w:t>
      </w:r>
      <w:r w:rsidR="005E1AF5" w:rsidRPr="00AB68EE">
        <w:rPr>
          <w:rFonts w:ascii="Arial" w:hAnsi="Arial" w:cs="Arial"/>
          <w:sz w:val="18"/>
          <w:szCs w:val="18"/>
          <w:vertAlign w:val="subscript"/>
        </w:rPr>
        <w:t>x</w:t>
      </w:r>
      <w:proofErr w:type="spellEnd"/>
      <w:r w:rsidR="0065236B" w:rsidRPr="00AB68EE">
        <w:rPr>
          <w:rFonts w:ascii="Arial" w:hAnsi="Arial" w:cs="Arial"/>
          <w:sz w:val="18"/>
          <w:szCs w:val="18"/>
        </w:rPr>
        <w:t xml:space="preserve"> </w:t>
      </w:r>
      <w:r w:rsidR="005E1AF5" w:rsidRPr="00AB68EE">
        <w:rPr>
          <w:rFonts w:ascii="Arial" w:hAnsi="Arial" w:cs="Arial"/>
          <w:sz w:val="18"/>
          <w:szCs w:val="18"/>
        </w:rPr>
        <w:t>emissions can be limited by using low-</w:t>
      </w:r>
      <w:proofErr w:type="spellStart"/>
      <w:r w:rsidR="005E1AF5" w:rsidRPr="00AB68EE">
        <w:rPr>
          <w:rFonts w:ascii="Arial" w:hAnsi="Arial" w:cs="Arial"/>
          <w:sz w:val="18"/>
          <w:szCs w:val="18"/>
        </w:rPr>
        <w:t>sulphur</w:t>
      </w:r>
      <w:proofErr w:type="spellEnd"/>
      <w:r w:rsidR="005E1AF5" w:rsidRPr="00AB68EE">
        <w:rPr>
          <w:rFonts w:ascii="Arial" w:hAnsi="Arial" w:cs="Arial"/>
          <w:sz w:val="18"/>
          <w:szCs w:val="18"/>
        </w:rPr>
        <w:t xml:space="preserve"> fossil-fuels, for several applications after-treatment processes are the only suitable options to comply with the increasingly stringent regulations. These technologies include dry and semi-</w:t>
      </w:r>
      <w:r w:rsidR="005B2E76" w:rsidRPr="00AB68EE">
        <w:rPr>
          <w:rFonts w:ascii="Arial" w:hAnsi="Arial" w:cs="Arial"/>
          <w:sz w:val="18"/>
          <w:szCs w:val="18"/>
        </w:rPr>
        <w:t>scrubbers (</w:t>
      </w:r>
      <w:r w:rsidR="00260CE0" w:rsidRPr="00AB68EE">
        <w:rPr>
          <w:rFonts w:ascii="Arial" w:hAnsi="Arial" w:cs="Arial"/>
          <w:sz w:val="18"/>
          <w:szCs w:val="18"/>
        </w:rPr>
        <w:t xml:space="preserve">Ma et al., 2000; </w:t>
      </w:r>
      <w:proofErr w:type="spellStart"/>
      <w:r w:rsidR="005B2E76" w:rsidRPr="00AB68EE">
        <w:rPr>
          <w:rFonts w:ascii="Arial" w:hAnsi="Arial" w:cs="Arial"/>
          <w:sz w:val="18"/>
          <w:szCs w:val="18"/>
        </w:rPr>
        <w:t>Koech</w:t>
      </w:r>
      <w:proofErr w:type="spellEnd"/>
      <w:r w:rsidR="005B2E76" w:rsidRPr="00AB68EE">
        <w:rPr>
          <w:rFonts w:ascii="Arial" w:hAnsi="Arial" w:cs="Arial"/>
          <w:sz w:val="18"/>
          <w:szCs w:val="18"/>
        </w:rPr>
        <w:t xml:space="preserve"> et al.</w:t>
      </w:r>
      <w:r w:rsidR="00260CE0" w:rsidRPr="00AB68EE">
        <w:rPr>
          <w:rFonts w:ascii="Arial" w:hAnsi="Arial" w:cs="Arial"/>
          <w:sz w:val="18"/>
          <w:szCs w:val="18"/>
        </w:rPr>
        <w:t>, 2021</w:t>
      </w:r>
      <w:r w:rsidR="005B2E76" w:rsidRPr="00AB68EE">
        <w:rPr>
          <w:rFonts w:ascii="Arial" w:hAnsi="Arial" w:cs="Arial"/>
          <w:sz w:val="18"/>
          <w:szCs w:val="18"/>
        </w:rPr>
        <w:t>)</w:t>
      </w:r>
      <w:r w:rsidR="005E1AF5" w:rsidRPr="00AB68EE">
        <w:rPr>
          <w:rFonts w:ascii="Arial" w:hAnsi="Arial" w:cs="Arial"/>
          <w:sz w:val="18"/>
          <w:szCs w:val="18"/>
        </w:rPr>
        <w:t xml:space="preserve"> or wet scrubbing</w:t>
      </w:r>
      <w:r w:rsidR="008F5192" w:rsidRPr="00AB68EE">
        <w:rPr>
          <w:rFonts w:ascii="Arial" w:hAnsi="Arial" w:cs="Arial"/>
          <w:sz w:val="18"/>
          <w:szCs w:val="18"/>
        </w:rPr>
        <w:t xml:space="preserve"> </w:t>
      </w:r>
      <w:r w:rsidR="005E1AF5" w:rsidRPr="00AB68EE">
        <w:rPr>
          <w:rFonts w:ascii="Arial" w:hAnsi="Arial" w:cs="Arial"/>
          <w:sz w:val="18"/>
          <w:szCs w:val="18"/>
        </w:rPr>
        <w:t>columns</w:t>
      </w:r>
      <w:r w:rsidR="00DD5DAC" w:rsidRPr="00AB68EE">
        <w:rPr>
          <w:rFonts w:ascii="Arial" w:hAnsi="Arial" w:cs="Arial"/>
          <w:sz w:val="18"/>
          <w:szCs w:val="18"/>
        </w:rPr>
        <w:t xml:space="preserve"> (</w:t>
      </w:r>
      <w:r w:rsidR="00260CE0" w:rsidRPr="00AB68EE">
        <w:rPr>
          <w:rFonts w:ascii="Arial" w:hAnsi="Arial" w:cs="Arial"/>
          <w:sz w:val="18"/>
          <w:szCs w:val="18"/>
        </w:rPr>
        <w:t>Flagiello et al., 2020</w:t>
      </w:r>
      <w:r w:rsidR="00A34F16" w:rsidRPr="00AB68EE">
        <w:rPr>
          <w:rFonts w:ascii="Arial" w:hAnsi="Arial" w:cs="Arial"/>
          <w:sz w:val="18"/>
          <w:szCs w:val="18"/>
        </w:rPr>
        <w:t>a</w:t>
      </w:r>
      <w:r w:rsidR="00260CE0" w:rsidRPr="00AB68EE">
        <w:rPr>
          <w:rFonts w:ascii="Arial" w:hAnsi="Arial" w:cs="Arial"/>
          <w:sz w:val="18"/>
          <w:szCs w:val="18"/>
        </w:rPr>
        <w:t>;</w:t>
      </w:r>
      <w:r w:rsidR="00A34F16" w:rsidRPr="00AB68EE">
        <w:rPr>
          <w:rFonts w:ascii="Arial" w:hAnsi="Arial" w:cs="Arial"/>
          <w:sz w:val="18"/>
          <w:szCs w:val="18"/>
        </w:rPr>
        <w:t xml:space="preserve"> Flagiello et al., </w:t>
      </w:r>
      <w:r w:rsidR="00260CE0" w:rsidRPr="00AB68EE">
        <w:rPr>
          <w:rFonts w:ascii="Arial" w:hAnsi="Arial" w:cs="Arial"/>
          <w:sz w:val="18"/>
          <w:szCs w:val="18"/>
        </w:rPr>
        <w:t>2021</w:t>
      </w:r>
      <w:r w:rsidR="00A34F16" w:rsidRPr="00AB68EE">
        <w:rPr>
          <w:rFonts w:ascii="Arial" w:hAnsi="Arial" w:cs="Arial"/>
          <w:sz w:val="18"/>
          <w:szCs w:val="18"/>
        </w:rPr>
        <w:t>a</w:t>
      </w:r>
      <w:r w:rsidR="00DD5DAC" w:rsidRPr="00AB68EE">
        <w:rPr>
          <w:rFonts w:ascii="Arial" w:hAnsi="Arial" w:cs="Arial"/>
          <w:sz w:val="18"/>
          <w:szCs w:val="18"/>
        </w:rPr>
        <w:t>)</w:t>
      </w:r>
      <w:r w:rsidR="005E1AF5" w:rsidRPr="00AB68EE">
        <w:rPr>
          <w:rFonts w:ascii="Arial" w:hAnsi="Arial" w:cs="Arial"/>
          <w:sz w:val="18"/>
          <w:szCs w:val="18"/>
        </w:rPr>
        <w:t xml:space="preserve"> the latter option being the most effective and well-established.</w:t>
      </w:r>
      <w:r w:rsidRPr="00AB68EE">
        <w:rPr>
          <w:rFonts w:ascii="Arial" w:hAnsi="Arial" w:cs="Arial"/>
          <w:sz w:val="18"/>
          <w:szCs w:val="18"/>
        </w:rPr>
        <w:t xml:space="preserve"> </w:t>
      </w:r>
      <w:r w:rsidR="00D5761B" w:rsidRPr="00AB68EE">
        <w:rPr>
          <w:rFonts w:ascii="Arial" w:hAnsi="Arial" w:cs="Arial"/>
          <w:sz w:val="18"/>
          <w:szCs w:val="18"/>
        </w:rPr>
        <w:t>S</w:t>
      </w:r>
      <w:r w:rsidR="008775A0" w:rsidRPr="00AB68EE">
        <w:rPr>
          <w:rFonts w:ascii="Arial" w:hAnsi="Arial" w:cs="Arial"/>
          <w:sz w:val="18"/>
          <w:szCs w:val="18"/>
        </w:rPr>
        <w:t xml:space="preserve">ulfur dioxide is very soluble in </w:t>
      </w:r>
      <w:r w:rsidR="0065236B" w:rsidRPr="00AB68EE">
        <w:rPr>
          <w:rFonts w:ascii="Arial" w:hAnsi="Arial" w:cs="Arial"/>
          <w:sz w:val="18"/>
          <w:szCs w:val="18"/>
        </w:rPr>
        <w:t>water,</w:t>
      </w:r>
      <w:r w:rsidR="008775A0" w:rsidRPr="00AB68EE">
        <w:rPr>
          <w:rFonts w:ascii="Arial" w:hAnsi="Arial" w:cs="Arial"/>
          <w:sz w:val="18"/>
          <w:szCs w:val="18"/>
        </w:rPr>
        <w:t xml:space="preserve"> </w:t>
      </w:r>
      <w:r w:rsidR="00D5761B" w:rsidRPr="00AB68EE">
        <w:rPr>
          <w:rFonts w:ascii="Arial" w:hAnsi="Arial" w:cs="Arial"/>
          <w:sz w:val="18"/>
          <w:szCs w:val="18"/>
        </w:rPr>
        <w:t xml:space="preserve">but it can </w:t>
      </w:r>
      <w:r w:rsidR="008775A0" w:rsidRPr="00AB68EE">
        <w:rPr>
          <w:rFonts w:ascii="Arial" w:hAnsi="Arial" w:cs="Arial"/>
          <w:sz w:val="18"/>
          <w:szCs w:val="18"/>
        </w:rPr>
        <w:t>be more efficiently removed from flue-gas using reactive</w:t>
      </w:r>
      <w:r w:rsidR="008B7373" w:rsidRPr="00AB68EE">
        <w:rPr>
          <w:rFonts w:ascii="Arial" w:hAnsi="Arial" w:cs="Arial"/>
          <w:sz w:val="18"/>
          <w:szCs w:val="18"/>
        </w:rPr>
        <w:t>-</w:t>
      </w:r>
      <w:r w:rsidR="008775A0" w:rsidRPr="00AB68EE">
        <w:rPr>
          <w:rFonts w:ascii="Arial" w:hAnsi="Arial" w:cs="Arial"/>
          <w:sz w:val="18"/>
          <w:szCs w:val="18"/>
        </w:rPr>
        <w:t>absorption</w:t>
      </w:r>
      <w:r w:rsidR="00D5761B" w:rsidRPr="00AB68EE">
        <w:rPr>
          <w:rFonts w:ascii="Arial" w:hAnsi="Arial" w:cs="Arial"/>
          <w:sz w:val="18"/>
          <w:szCs w:val="18"/>
        </w:rPr>
        <w:t xml:space="preserve"> processes</w:t>
      </w:r>
      <w:r w:rsidR="008775A0" w:rsidRPr="00AB68EE">
        <w:rPr>
          <w:rFonts w:ascii="Arial" w:hAnsi="Arial" w:cs="Arial"/>
          <w:sz w:val="18"/>
          <w:szCs w:val="18"/>
        </w:rPr>
        <w:t xml:space="preserve"> in wet scrubbers. </w:t>
      </w:r>
      <w:r w:rsidR="00B60E5A" w:rsidRPr="00AB68EE">
        <w:rPr>
          <w:rFonts w:ascii="Arial" w:hAnsi="Arial" w:cs="Arial"/>
          <w:sz w:val="18"/>
          <w:szCs w:val="18"/>
        </w:rPr>
        <w:t>Meanwhile,</w:t>
      </w:r>
      <w:r w:rsidRPr="00AB68EE">
        <w:rPr>
          <w:rFonts w:ascii="Arial" w:hAnsi="Arial" w:cs="Arial"/>
          <w:sz w:val="18"/>
          <w:szCs w:val="18"/>
        </w:rPr>
        <w:t xml:space="preserve"> European Community</w:t>
      </w:r>
      <w:r w:rsidR="005863EF" w:rsidRPr="00AB68EE">
        <w:rPr>
          <w:rFonts w:ascii="Arial" w:hAnsi="Arial" w:cs="Arial"/>
          <w:sz w:val="18"/>
          <w:szCs w:val="18"/>
        </w:rPr>
        <w:t xml:space="preserve"> </w:t>
      </w:r>
      <w:r w:rsidRPr="00AB68EE">
        <w:rPr>
          <w:rFonts w:ascii="Arial" w:hAnsi="Arial" w:cs="Arial"/>
          <w:sz w:val="18"/>
          <w:szCs w:val="18"/>
        </w:rPr>
        <w:t>has set a</w:t>
      </w:r>
      <w:r w:rsidR="00B60E5A" w:rsidRPr="00AB68EE">
        <w:rPr>
          <w:rFonts w:ascii="Arial" w:hAnsi="Arial" w:cs="Arial"/>
          <w:sz w:val="18"/>
          <w:szCs w:val="18"/>
        </w:rPr>
        <w:t xml:space="preserve"> drastic</w:t>
      </w:r>
      <w:r w:rsidRPr="00AB68EE">
        <w:rPr>
          <w:rFonts w:ascii="Arial" w:hAnsi="Arial" w:cs="Arial"/>
          <w:sz w:val="18"/>
          <w:szCs w:val="18"/>
        </w:rPr>
        <w:t xml:space="preserve"> cut in global </w:t>
      </w:r>
      <w:proofErr w:type="spellStart"/>
      <w:r w:rsidRPr="00AB68EE">
        <w:rPr>
          <w:rFonts w:ascii="Arial" w:hAnsi="Arial" w:cs="Arial"/>
          <w:sz w:val="18"/>
          <w:szCs w:val="18"/>
        </w:rPr>
        <w:t>SO</w:t>
      </w:r>
      <w:r w:rsidRPr="00AB68EE">
        <w:rPr>
          <w:rFonts w:ascii="Arial" w:hAnsi="Arial" w:cs="Arial"/>
          <w:sz w:val="18"/>
          <w:szCs w:val="18"/>
          <w:vertAlign w:val="subscript"/>
        </w:rPr>
        <w:t>x</w:t>
      </w:r>
      <w:proofErr w:type="spellEnd"/>
      <w:r w:rsidRPr="00AB68EE">
        <w:rPr>
          <w:rFonts w:ascii="Arial" w:hAnsi="Arial" w:cs="Arial"/>
          <w:sz w:val="18"/>
          <w:szCs w:val="18"/>
        </w:rPr>
        <w:t xml:space="preserve"> emissions of about 70% </w:t>
      </w:r>
      <w:r w:rsidR="000227FA" w:rsidRPr="00AB68EE">
        <w:rPr>
          <w:rFonts w:ascii="Arial" w:hAnsi="Arial" w:cs="Arial"/>
          <w:sz w:val="18"/>
          <w:szCs w:val="18"/>
        </w:rPr>
        <w:t>to achieve in</w:t>
      </w:r>
      <w:r w:rsidRPr="00AB68EE">
        <w:rPr>
          <w:rFonts w:ascii="Arial" w:hAnsi="Arial" w:cs="Arial"/>
          <w:sz w:val="18"/>
          <w:szCs w:val="18"/>
        </w:rPr>
        <w:t xml:space="preserve"> 2030</w:t>
      </w:r>
      <w:r w:rsidR="00A23369" w:rsidRPr="00AB68EE">
        <w:rPr>
          <w:rFonts w:ascii="Arial" w:hAnsi="Arial" w:cs="Arial"/>
          <w:sz w:val="18"/>
          <w:szCs w:val="18"/>
        </w:rPr>
        <w:t xml:space="preserve"> (2016/2284/UE)</w:t>
      </w:r>
      <w:r w:rsidRPr="00AB68EE">
        <w:rPr>
          <w:rFonts w:ascii="Arial" w:hAnsi="Arial" w:cs="Arial"/>
          <w:sz w:val="18"/>
          <w:szCs w:val="18"/>
        </w:rPr>
        <w:t xml:space="preserve"> and similar measures have been planned in other countries worldwide</w:t>
      </w:r>
      <w:r w:rsidR="00B72DA8" w:rsidRPr="00AB68EE">
        <w:rPr>
          <w:rFonts w:ascii="Arial" w:hAnsi="Arial" w:cs="Arial"/>
          <w:sz w:val="18"/>
          <w:szCs w:val="18"/>
        </w:rPr>
        <w:t xml:space="preserve"> (</w:t>
      </w:r>
      <w:r w:rsidR="00AD3D5E" w:rsidRPr="00AB68EE">
        <w:rPr>
          <w:rFonts w:ascii="Arial" w:hAnsi="Arial" w:cs="Arial"/>
          <w:sz w:val="18"/>
          <w:szCs w:val="18"/>
        </w:rPr>
        <w:t xml:space="preserve">Wynn and </w:t>
      </w:r>
      <w:proofErr w:type="spellStart"/>
      <w:r w:rsidR="00AD3D5E" w:rsidRPr="00AB68EE">
        <w:rPr>
          <w:rFonts w:ascii="Arial" w:hAnsi="Arial" w:cs="Arial"/>
          <w:sz w:val="18"/>
          <w:szCs w:val="18"/>
        </w:rPr>
        <w:t>Coghe</w:t>
      </w:r>
      <w:proofErr w:type="spellEnd"/>
      <w:r w:rsidR="00AD3D5E" w:rsidRPr="00AB68EE">
        <w:rPr>
          <w:rFonts w:ascii="Arial" w:hAnsi="Arial" w:cs="Arial"/>
          <w:sz w:val="18"/>
          <w:szCs w:val="18"/>
        </w:rPr>
        <w:t xml:space="preserve">, 2017; </w:t>
      </w:r>
      <w:r w:rsidR="00B72DA8" w:rsidRPr="00AB68EE">
        <w:rPr>
          <w:rFonts w:ascii="Arial" w:hAnsi="Arial" w:cs="Arial"/>
          <w:sz w:val="18"/>
          <w:szCs w:val="18"/>
        </w:rPr>
        <w:t>Zhang, 2016)</w:t>
      </w:r>
      <w:r w:rsidR="00E841A1" w:rsidRPr="00AB68EE">
        <w:rPr>
          <w:rFonts w:ascii="Arial" w:hAnsi="Arial" w:cs="Arial"/>
          <w:sz w:val="18"/>
          <w:szCs w:val="18"/>
        </w:rPr>
        <w:t>.</w:t>
      </w:r>
      <w:r w:rsidR="006423E6" w:rsidRPr="00AB68EE">
        <w:rPr>
          <w:rFonts w:ascii="Arial" w:hAnsi="Arial" w:cs="Arial"/>
          <w:sz w:val="18"/>
          <w:szCs w:val="18"/>
        </w:rPr>
        <w:t xml:space="preserve"> </w:t>
      </w:r>
      <w:r w:rsidR="00D5761B" w:rsidRPr="00AB68EE">
        <w:rPr>
          <w:rFonts w:ascii="Arial" w:hAnsi="Arial" w:cs="Arial"/>
          <w:sz w:val="18"/>
          <w:szCs w:val="18"/>
        </w:rPr>
        <w:t>D</w:t>
      </w:r>
      <w:r w:rsidR="006423E6" w:rsidRPr="00AB68EE">
        <w:rPr>
          <w:rFonts w:ascii="Arial" w:hAnsi="Arial" w:cs="Arial"/>
          <w:sz w:val="18"/>
          <w:szCs w:val="18"/>
        </w:rPr>
        <w:t>espite</w:t>
      </w:r>
      <w:r w:rsidR="006567CE" w:rsidRPr="00AB68EE">
        <w:rPr>
          <w:rFonts w:ascii="Arial" w:hAnsi="Arial" w:cs="Arial"/>
          <w:sz w:val="18"/>
          <w:szCs w:val="18"/>
        </w:rPr>
        <w:t xml:space="preserve"> the maturity of </w:t>
      </w:r>
      <w:r w:rsidR="00CF77DE" w:rsidRPr="00AB68EE">
        <w:rPr>
          <w:rFonts w:ascii="Arial" w:hAnsi="Arial" w:cs="Arial"/>
          <w:sz w:val="18"/>
          <w:szCs w:val="18"/>
        </w:rPr>
        <w:t>wet-FGD</w:t>
      </w:r>
      <w:r w:rsidR="006567CE" w:rsidRPr="00AB68EE">
        <w:rPr>
          <w:rFonts w:ascii="Arial" w:hAnsi="Arial" w:cs="Arial"/>
          <w:sz w:val="18"/>
          <w:szCs w:val="18"/>
        </w:rPr>
        <w:t xml:space="preserve"> technologies and the progress achieved to date, an extensive study of the key parameters of traditional or non-traditional </w:t>
      </w:r>
      <w:r w:rsidR="002D2092" w:rsidRPr="00AB68EE">
        <w:rPr>
          <w:rFonts w:ascii="Arial" w:hAnsi="Arial" w:cs="Arial"/>
          <w:sz w:val="18"/>
          <w:szCs w:val="18"/>
        </w:rPr>
        <w:t xml:space="preserve">FGD </w:t>
      </w:r>
      <w:r w:rsidR="006567CE" w:rsidRPr="00AB68EE">
        <w:rPr>
          <w:rFonts w:ascii="Arial" w:hAnsi="Arial" w:cs="Arial"/>
          <w:sz w:val="18"/>
          <w:szCs w:val="18"/>
        </w:rPr>
        <w:t xml:space="preserve">processes must be </w:t>
      </w:r>
      <w:r w:rsidR="00D5761B" w:rsidRPr="00AB68EE">
        <w:rPr>
          <w:rFonts w:ascii="Arial" w:hAnsi="Arial" w:cs="Arial"/>
          <w:sz w:val="18"/>
          <w:szCs w:val="18"/>
        </w:rPr>
        <w:t xml:space="preserve">carried out </w:t>
      </w:r>
      <w:r w:rsidR="006567CE" w:rsidRPr="00AB68EE">
        <w:rPr>
          <w:rFonts w:ascii="Arial" w:hAnsi="Arial" w:cs="Arial"/>
          <w:sz w:val="18"/>
          <w:szCs w:val="18"/>
        </w:rPr>
        <w:t>to</w:t>
      </w:r>
      <w:r w:rsidR="00F64301" w:rsidRPr="00AB68EE">
        <w:rPr>
          <w:rFonts w:ascii="Arial" w:hAnsi="Arial" w:cs="Arial"/>
          <w:sz w:val="18"/>
          <w:szCs w:val="18"/>
        </w:rPr>
        <w:t xml:space="preserve"> increase the efficiency and simultaneously</w:t>
      </w:r>
      <w:r w:rsidR="006567CE" w:rsidRPr="00AB68EE">
        <w:rPr>
          <w:rFonts w:ascii="Arial" w:hAnsi="Arial" w:cs="Arial"/>
          <w:sz w:val="18"/>
          <w:szCs w:val="18"/>
        </w:rPr>
        <w:t xml:space="preserve"> optimize the consumption of chemicals, reduce the footprint of plants and water flow required, and consequently reduce the volume of waste effluent.</w:t>
      </w:r>
    </w:p>
    <w:p w14:paraId="7B9E7361" w14:textId="77777777" w:rsidR="000A0382" w:rsidRDefault="008B1834" w:rsidP="00C176B7">
      <w:pPr>
        <w:pStyle w:val="Abstract"/>
        <w:spacing w:before="0"/>
        <w:rPr>
          <w:rFonts w:ascii="Arial" w:hAnsi="Arial" w:cs="Arial"/>
          <w:sz w:val="18"/>
          <w:szCs w:val="18"/>
        </w:rPr>
      </w:pPr>
      <w:r w:rsidRPr="00AB68EE">
        <w:rPr>
          <w:rFonts w:ascii="Arial" w:hAnsi="Arial" w:cs="Arial"/>
          <w:sz w:val="18"/>
          <w:szCs w:val="18"/>
        </w:rPr>
        <w:t>To date</w:t>
      </w:r>
      <w:r w:rsidR="00C176B7" w:rsidRPr="00AB68EE">
        <w:rPr>
          <w:rFonts w:ascii="Arial" w:hAnsi="Arial" w:cs="Arial"/>
          <w:sz w:val="18"/>
          <w:szCs w:val="18"/>
        </w:rPr>
        <w:t xml:space="preserve">, several </w:t>
      </w:r>
      <w:r w:rsidR="00C27806" w:rsidRPr="00AB68EE">
        <w:rPr>
          <w:rFonts w:ascii="Arial" w:hAnsi="Arial" w:cs="Arial"/>
          <w:sz w:val="18"/>
          <w:szCs w:val="18"/>
        </w:rPr>
        <w:t xml:space="preserve">traditional </w:t>
      </w:r>
      <w:r w:rsidR="00094E56" w:rsidRPr="00AB68EE">
        <w:rPr>
          <w:rFonts w:ascii="Arial" w:hAnsi="Arial" w:cs="Arial"/>
          <w:sz w:val="18"/>
          <w:szCs w:val="18"/>
        </w:rPr>
        <w:t>chemicals</w:t>
      </w:r>
      <w:r w:rsidR="00C176B7" w:rsidRPr="00AB68EE">
        <w:rPr>
          <w:rFonts w:ascii="Arial" w:hAnsi="Arial" w:cs="Arial"/>
          <w:sz w:val="18"/>
          <w:szCs w:val="18"/>
        </w:rPr>
        <w:t xml:space="preserve"> have been adopted</w:t>
      </w:r>
      <w:r w:rsidR="00C176B7" w:rsidRPr="00AB68EE">
        <w:rPr>
          <w:rFonts w:ascii="Arial" w:hAnsi="Arial" w:cs="Arial"/>
          <w:color w:val="FF0000"/>
          <w:sz w:val="18"/>
          <w:szCs w:val="18"/>
        </w:rPr>
        <w:t xml:space="preserve"> </w:t>
      </w:r>
      <w:r w:rsidR="007116BF" w:rsidRPr="00AB68EE">
        <w:rPr>
          <w:rFonts w:ascii="Arial" w:hAnsi="Arial" w:cs="Arial"/>
          <w:sz w:val="18"/>
          <w:szCs w:val="18"/>
        </w:rPr>
        <w:t>(</w:t>
      </w:r>
      <w:proofErr w:type="spellStart"/>
      <w:r w:rsidR="007116BF" w:rsidRPr="00AB68EE">
        <w:rPr>
          <w:rFonts w:ascii="Arial" w:hAnsi="Arial" w:cs="Arial"/>
          <w:sz w:val="18"/>
          <w:szCs w:val="18"/>
        </w:rPr>
        <w:t>Adewuyi</w:t>
      </w:r>
      <w:proofErr w:type="spellEnd"/>
      <w:r w:rsidR="007116BF" w:rsidRPr="00AB68EE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7116BF" w:rsidRPr="00AB68EE">
        <w:rPr>
          <w:rFonts w:ascii="Arial" w:hAnsi="Arial" w:cs="Arial"/>
          <w:sz w:val="18"/>
          <w:szCs w:val="18"/>
        </w:rPr>
        <w:t>Sakyi</w:t>
      </w:r>
      <w:proofErr w:type="spellEnd"/>
      <w:r w:rsidR="007116BF" w:rsidRPr="00AB68EE">
        <w:rPr>
          <w:rFonts w:ascii="Arial" w:hAnsi="Arial" w:cs="Arial"/>
          <w:sz w:val="18"/>
          <w:szCs w:val="18"/>
        </w:rPr>
        <w:t>, 2013; Colle et al., 2004; Flagiello et al., 2021b; Flagiello et al., 2022</w:t>
      </w:r>
      <w:r w:rsidR="00294007" w:rsidRPr="00AB68EE">
        <w:rPr>
          <w:rFonts w:ascii="Arial" w:hAnsi="Arial" w:cs="Arial"/>
          <w:sz w:val="18"/>
          <w:szCs w:val="18"/>
        </w:rPr>
        <w:t>a</w:t>
      </w:r>
      <w:r w:rsidR="007116BF" w:rsidRPr="00AB68EE">
        <w:rPr>
          <w:rFonts w:ascii="Arial" w:hAnsi="Arial" w:cs="Arial"/>
          <w:sz w:val="18"/>
          <w:szCs w:val="18"/>
        </w:rPr>
        <w:t>; Gutiérrez Ortiz et al., 2006)</w:t>
      </w:r>
      <w:r w:rsidR="00C176B7" w:rsidRPr="00AB68EE">
        <w:rPr>
          <w:rFonts w:ascii="Arial" w:hAnsi="Arial" w:cs="Arial"/>
          <w:sz w:val="18"/>
          <w:szCs w:val="18"/>
        </w:rPr>
        <w:t xml:space="preserve"> to improve </w:t>
      </w:r>
      <w:proofErr w:type="spellStart"/>
      <w:r w:rsidR="00C176B7" w:rsidRPr="00AB68EE">
        <w:rPr>
          <w:rFonts w:ascii="Arial" w:hAnsi="Arial" w:cs="Arial"/>
          <w:sz w:val="18"/>
          <w:szCs w:val="18"/>
        </w:rPr>
        <w:t>SO</w:t>
      </w:r>
      <w:r w:rsidR="00C176B7" w:rsidRPr="00AB68EE">
        <w:rPr>
          <w:rFonts w:ascii="Arial" w:hAnsi="Arial" w:cs="Arial"/>
          <w:sz w:val="18"/>
          <w:szCs w:val="18"/>
          <w:vertAlign w:val="subscript"/>
        </w:rPr>
        <w:t>x</w:t>
      </w:r>
      <w:proofErr w:type="spellEnd"/>
      <w:r w:rsidR="00C176B7" w:rsidRPr="00AB68EE">
        <w:rPr>
          <w:rFonts w:ascii="Arial" w:hAnsi="Arial" w:cs="Arial"/>
          <w:sz w:val="18"/>
          <w:szCs w:val="18"/>
        </w:rPr>
        <w:t xml:space="preserve"> removal from flue-gas</w:t>
      </w:r>
      <w:r w:rsidR="00BB2870" w:rsidRPr="00AB68EE">
        <w:rPr>
          <w:rFonts w:ascii="Arial" w:hAnsi="Arial" w:cs="Arial"/>
          <w:sz w:val="18"/>
          <w:szCs w:val="18"/>
        </w:rPr>
        <w:t>, including ammonia-based scrubbing</w:t>
      </w:r>
      <w:r w:rsidR="00D5761B" w:rsidRPr="00AB68EE">
        <w:rPr>
          <w:rFonts w:ascii="Arial" w:hAnsi="Arial" w:cs="Arial"/>
          <w:sz w:val="18"/>
          <w:szCs w:val="18"/>
        </w:rPr>
        <w:t>,</w:t>
      </w:r>
      <w:r w:rsidR="00BB2870" w:rsidRPr="00AB68EE">
        <w:rPr>
          <w:rFonts w:ascii="Arial" w:hAnsi="Arial" w:cs="Arial"/>
          <w:sz w:val="18"/>
          <w:szCs w:val="18"/>
        </w:rPr>
        <w:t xml:space="preserve"> which is widely adopted </w:t>
      </w:r>
      <w:r w:rsidR="00044AB6" w:rsidRPr="00AB68EE">
        <w:rPr>
          <w:rFonts w:ascii="Arial" w:hAnsi="Arial" w:cs="Arial"/>
          <w:sz w:val="18"/>
          <w:szCs w:val="18"/>
        </w:rPr>
        <w:t>for</w:t>
      </w:r>
      <w:r w:rsidR="00BB2870" w:rsidRPr="00AB68EE">
        <w:rPr>
          <w:rFonts w:ascii="Arial" w:hAnsi="Arial" w:cs="Arial"/>
          <w:sz w:val="18"/>
          <w:szCs w:val="18"/>
        </w:rPr>
        <w:t xml:space="preserve"> FGD </w:t>
      </w:r>
      <w:r w:rsidR="00044AB6" w:rsidRPr="00AB68EE">
        <w:rPr>
          <w:rFonts w:ascii="Arial" w:hAnsi="Arial" w:cs="Arial"/>
          <w:sz w:val="18"/>
          <w:szCs w:val="18"/>
        </w:rPr>
        <w:t>in coal-fired power plants</w:t>
      </w:r>
      <w:r w:rsidR="00BB2870" w:rsidRPr="00AB68EE">
        <w:rPr>
          <w:rFonts w:ascii="Arial" w:hAnsi="Arial" w:cs="Arial"/>
          <w:sz w:val="18"/>
          <w:szCs w:val="18"/>
        </w:rPr>
        <w:t xml:space="preserve"> </w:t>
      </w:r>
      <w:r w:rsidR="00BC6BF5" w:rsidRPr="00AB68EE">
        <w:rPr>
          <w:rFonts w:ascii="Arial" w:hAnsi="Arial" w:cs="Arial"/>
          <w:sz w:val="18"/>
          <w:szCs w:val="18"/>
        </w:rPr>
        <w:t>operating with</w:t>
      </w:r>
      <w:r w:rsidR="00BB2870" w:rsidRPr="00AB68EE">
        <w:rPr>
          <w:rFonts w:ascii="Arial" w:hAnsi="Arial" w:cs="Arial"/>
          <w:sz w:val="18"/>
          <w:szCs w:val="18"/>
        </w:rPr>
        <w:t xml:space="preserve"> high-sulfur</w:t>
      </w:r>
      <w:r w:rsidR="00792BFC" w:rsidRPr="00AB68EE">
        <w:rPr>
          <w:rFonts w:ascii="Arial" w:hAnsi="Arial" w:cs="Arial"/>
          <w:sz w:val="18"/>
          <w:szCs w:val="18"/>
        </w:rPr>
        <w:t xml:space="preserve"> content</w:t>
      </w:r>
      <w:r w:rsidR="009F473A" w:rsidRPr="00AB68EE">
        <w:rPr>
          <w:rFonts w:ascii="Arial" w:hAnsi="Arial" w:cs="Arial"/>
          <w:sz w:val="18"/>
          <w:szCs w:val="18"/>
        </w:rPr>
        <w:t xml:space="preserve"> (Gao et al., 2010; Jia et al., 2010; Tang et al., 2017).</w:t>
      </w:r>
      <w:r w:rsidR="00D5761B" w:rsidRPr="00AB68EE">
        <w:rPr>
          <w:rFonts w:ascii="Arial" w:hAnsi="Arial" w:cs="Arial"/>
          <w:sz w:val="18"/>
          <w:szCs w:val="18"/>
        </w:rPr>
        <w:t xml:space="preserve"> F</w:t>
      </w:r>
      <w:r w:rsidR="003759BC" w:rsidRPr="00AB68EE">
        <w:rPr>
          <w:rFonts w:ascii="Arial" w:hAnsi="Arial" w:cs="Arial"/>
          <w:sz w:val="18"/>
          <w:szCs w:val="18"/>
        </w:rPr>
        <w:t>urther interest in this process is given by the formation of (NH</w:t>
      </w:r>
      <w:r w:rsidR="003759BC" w:rsidRPr="00AB68EE">
        <w:rPr>
          <w:rFonts w:ascii="Arial" w:hAnsi="Arial" w:cs="Arial"/>
          <w:sz w:val="18"/>
          <w:szCs w:val="18"/>
          <w:vertAlign w:val="subscript"/>
        </w:rPr>
        <w:t>4</w:t>
      </w:r>
      <w:r w:rsidR="003759BC" w:rsidRPr="00AB68EE">
        <w:rPr>
          <w:rFonts w:ascii="Arial" w:hAnsi="Arial" w:cs="Arial"/>
          <w:sz w:val="18"/>
          <w:szCs w:val="18"/>
        </w:rPr>
        <w:t>)</w:t>
      </w:r>
      <w:r w:rsidR="003759BC" w:rsidRPr="00AB68EE">
        <w:rPr>
          <w:rFonts w:ascii="Arial" w:hAnsi="Arial" w:cs="Arial"/>
          <w:sz w:val="18"/>
          <w:szCs w:val="18"/>
          <w:vertAlign w:val="subscript"/>
        </w:rPr>
        <w:t>2</w:t>
      </w:r>
      <w:r w:rsidR="003759BC" w:rsidRPr="00AB68EE">
        <w:rPr>
          <w:rFonts w:ascii="Arial" w:hAnsi="Arial" w:cs="Arial"/>
          <w:sz w:val="18"/>
          <w:szCs w:val="18"/>
        </w:rPr>
        <w:t>SO</w:t>
      </w:r>
      <w:r w:rsidR="003759BC" w:rsidRPr="00AB68EE">
        <w:rPr>
          <w:rFonts w:ascii="Arial" w:hAnsi="Arial" w:cs="Arial"/>
          <w:sz w:val="18"/>
          <w:szCs w:val="18"/>
          <w:vertAlign w:val="subscript"/>
        </w:rPr>
        <w:t>3</w:t>
      </w:r>
      <w:r w:rsidR="003759BC" w:rsidRPr="00AB68EE">
        <w:rPr>
          <w:rFonts w:ascii="Arial" w:hAnsi="Arial" w:cs="Arial"/>
          <w:sz w:val="18"/>
          <w:szCs w:val="18"/>
        </w:rPr>
        <w:t xml:space="preserve"> that</w:t>
      </w:r>
      <w:r w:rsidR="00D5761B" w:rsidRPr="00AB68EE">
        <w:rPr>
          <w:rFonts w:ascii="Arial" w:hAnsi="Arial" w:cs="Arial"/>
          <w:sz w:val="18"/>
          <w:szCs w:val="18"/>
        </w:rPr>
        <w:t>,</w:t>
      </w:r>
      <w:r w:rsidR="003759BC" w:rsidRPr="00AB68EE">
        <w:rPr>
          <w:rFonts w:ascii="Arial" w:hAnsi="Arial" w:cs="Arial"/>
          <w:sz w:val="18"/>
          <w:szCs w:val="18"/>
        </w:rPr>
        <w:t xml:space="preserve"> when further oxidized in the aqueous-phase and purified into other chemical units</w:t>
      </w:r>
      <w:r w:rsidR="00D5761B" w:rsidRPr="00AB68EE">
        <w:rPr>
          <w:rFonts w:ascii="Arial" w:hAnsi="Arial" w:cs="Arial"/>
          <w:sz w:val="18"/>
          <w:szCs w:val="18"/>
        </w:rPr>
        <w:t>,</w:t>
      </w:r>
      <w:r w:rsidR="003759BC" w:rsidRPr="00AB68EE">
        <w:rPr>
          <w:rFonts w:ascii="Arial" w:hAnsi="Arial" w:cs="Arial"/>
          <w:sz w:val="18"/>
          <w:szCs w:val="18"/>
        </w:rPr>
        <w:t xml:space="preserve"> lead</w:t>
      </w:r>
      <w:r w:rsidR="00D5761B" w:rsidRPr="00AB68EE">
        <w:rPr>
          <w:rFonts w:ascii="Arial" w:hAnsi="Arial" w:cs="Arial"/>
          <w:sz w:val="18"/>
          <w:szCs w:val="18"/>
        </w:rPr>
        <w:t>s</w:t>
      </w:r>
      <w:r w:rsidR="003759BC" w:rsidRPr="00AB68EE">
        <w:rPr>
          <w:rFonts w:ascii="Arial" w:hAnsi="Arial" w:cs="Arial"/>
          <w:sz w:val="18"/>
          <w:szCs w:val="18"/>
        </w:rPr>
        <w:t xml:space="preserve"> to ammonium sulfate (NH</w:t>
      </w:r>
      <w:r w:rsidR="003759BC" w:rsidRPr="00AB68EE">
        <w:rPr>
          <w:rFonts w:ascii="Arial" w:hAnsi="Arial" w:cs="Arial"/>
          <w:sz w:val="18"/>
          <w:szCs w:val="18"/>
          <w:vertAlign w:val="subscript"/>
        </w:rPr>
        <w:t>4</w:t>
      </w:r>
      <w:r w:rsidR="003759BC" w:rsidRPr="00AB68EE">
        <w:rPr>
          <w:rFonts w:ascii="Arial" w:hAnsi="Arial" w:cs="Arial"/>
          <w:sz w:val="18"/>
          <w:szCs w:val="18"/>
        </w:rPr>
        <w:t>)</w:t>
      </w:r>
      <w:r w:rsidR="003759BC" w:rsidRPr="00AB68EE">
        <w:rPr>
          <w:rFonts w:ascii="Arial" w:hAnsi="Arial" w:cs="Arial"/>
          <w:sz w:val="18"/>
          <w:szCs w:val="18"/>
          <w:vertAlign w:val="subscript"/>
        </w:rPr>
        <w:t>2</w:t>
      </w:r>
      <w:r w:rsidR="003759BC" w:rsidRPr="00AB68EE">
        <w:rPr>
          <w:rFonts w:ascii="Arial" w:hAnsi="Arial" w:cs="Arial"/>
          <w:sz w:val="18"/>
          <w:szCs w:val="18"/>
        </w:rPr>
        <w:t>SO</w:t>
      </w:r>
      <w:r w:rsidR="003759BC" w:rsidRPr="00AB68EE">
        <w:rPr>
          <w:rFonts w:ascii="Arial" w:hAnsi="Arial" w:cs="Arial"/>
          <w:sz w:val="18"/>
          <w:szCs w:val="18"/>
          <w:vertAlign w:val="subscript"/>
        </w:rPr>
        <w:t>4</w:t>
      </w:r>
      <w:r w:rsidR="00D5761B" w:rsidRPr="00AB68EE">
        <w:rPr>
          <w:rFonts w:ascii="Arial" w:hAnsi="Arial" w:cs="Arial"/>
          <w:sz w:val="18"/>
          <w:szCs w:val="18"/>
        </w:rPr>
        <w:t>,</w:t>
      </w:r>
      <w:r w:rsidR="003759BC" w:rsidRPr="00AB68EE">
        <w:rPr>
          <w:rFonts w:ascii="Arial" w:hAnsi="Arial" w:cs="Arial"/>
          <w:sz w:val="18"/>
          <w:szCs w:val="18"/>
        </w:rPr>
        <w:t xml:space="preserve"> which is an important precursor in nitrogen-based fertilizer manufacturing processes</w:t>
      </w:r>
      <w:r w:rsidR="007D56B2" w:rsidRPr="00AB68EE">
        <w:rPr>
          <w:rFonts w:ascii="Arial" w:hAnsi="Arial" w:cs="Arial"/>
          <w:sz w:val="18"/>
          <w:szCs w:val="18"/>
        </w:rPr>
        <w:t xml:space="preserve"> (Liu et al., 2011). </w:t>
      </w:r>
      <w:r w:rsidR="003759BC" w:rsidRPr="00AB68EE">
        <w:rPr>
          <w:rFonts w:ascii="Arial" w:hAnsi="Arial" w:cs="Arial"/>
          <w:sz w:val="18"/>
          <w:szCs w:val="18"/>
        </w:rPr>
        <w:t>H</w:t>
      </w:r>
      <w:r w:rsidR="00C176B7" w:rsidRPr="00AB68EE">
        <w:rPr>
          <w:rFonts w:ascii="Arial" w:hAnsi="Arial" w:cs="Arial"/>
          <w:sz w:val="18"/>
          <w:szCs w:val="18"/>
        </w:rPr>
        <w:t xml:space="preserve">owever, some fundamental aspects about the intrinsic kinetic of the process </w:t>
      </w:r>
      <w:r w:rsidR="00C12798" w:rsidRPr="00AB68EE">
        <w:rPr>
          <w:rFonts w:ascii="Arial" w:hAnsi="Arial" w:cs="Arial"/>
          <w:sz w:val="18"/>
          <w:szCs w:val="18"/>
        </w:rPr>
        <w:t>including</w:t>
      </w:r>
      <w:r w:rsidR="00D61F5A" w:rsidRPr="00AB68EE">
        <w:rPr>
          <w:rFonts w:ascii="Arial" w:hAnsi="Arial" w:cs="Arial"/>
          <w:sz w:val="18"/>
          <w:szCs w:val="18"/>
        </w:rPr>
        <w:t xml:space="preserve"> kinetic data on the gas-liquid reaction</w:t>
      </w:r>
      <w:r w:rsidR="00F54275" w:rsidRPr="00AB68EE">
        <w:rPr>
          <w:rFonts w:ascii="Arial" w:hAnsi="Arial" w:cs="Arial"/>
          <w:sz w:val="18"/>
          <w:szCs w:val="18"/>
        </w:rPr>
        <w:t>s</w:t>
      </w:r>
      <w:r w:rsidR="00D61F5A" w:rsidRPr="00AB68EE">
        <w:rPr>
          <w:rFonts w:ascii="Arial" w:hAnsi="Arial" w:cs="Arial"/>
          <w:sz w:val="18"/>
          <w:szCs w:val="18"/>
        </w:rPr>
        <w:t xml:space="preserve"> are limited </w:t>
      </w:r>
      <w:r w:rsidR="00C176B7" w:rsidRPr="00AB68EE">
        <w:rPr>
          <w:rFonts w:ascii="Arial" w:hAnsi="Arial" w:cs="Arial"/>
          <w:sz w:val="18"/>
          <w:szCs w:val="18"/>
        </w:rPr>
        <w:t>and deserve a dedicated study for process design and optimization on large-scale plants.</w:t>
      </w:r>
      <w:r w:rsidR="001807FF" w:rsidRPr="00AB68EE">
        <w:rPr>
          <w:rFonts w:ascii="Arial" w:hAnsi="Arial" w:cs="Arial"/>
          <w:sz w:val="18"/>
          <w:szCs w:val="18"/>
        </w:rPr>
        <w:t xml:space="preserve"> </w:t>
      </w:r>
    </w:p>
    <w:p w14:paraId="76ACB6AA" w14:textId="3323B333" w:rsidR="00C176B7" w:rsidRPr="00AB68EE" w:rsidRDefault="00C176B7" w:rsidP="00C176B7">
      <w:pPr>
        <w:pStyle w:val="Abstract"/>
        <w:spacing w:before="0"/>
        <w:rPr>
          <w:rFonts w:ascii="Arial" w:hAnsi="Arial" w:cs="Arial"/>
          <w:sz w:val="18"/>
          <w:szCs w:val="18"/>
        </w:rPr>
      </w:pPr>
      <w:r w:rsidRPr="00AB68EE">
        <w:rPr>
          <w:rFonts w:ascii="Arial" w:hAnsi="Arial" w:cs="Arial"/>
          <w:sz w:val="18"/>
          <w:szCs w:val="18"/>
        </w:rPr>
        <w:t xml:space="preserve">In the present work, we investigated the </w:t>
      </w:r>
      <w:r w:rsidR="00011F4B" w:rsidRPr="00AB68EE">
        <w:rPr>
          <w:rFonts w:ascii="Arial" w:hAnsi="Arial" w:cs="Arial"/>
          <w:sz w:val="18"/>
          <w:szCs w:val="18"/>
        </w:rPr>
        <w:t>wet</w:t>
      </w:r>
      <w:r w:rsidRPr="00AB68EE">
        <w:rPr>
          <w:rFonts w:ascii="Arial" w:hAnsi="Arial" w:cs="Arial"/>
          <w:sz w:val="18"/>
          <w:szCs w:val="18"/>
        </w:rPr>
        <w:t xml:space="preserve"> desulfurization of a model flue-gas</w:t>
      </w:r>
      <w:r w:rsidR="003D52D7" w:rsidRPr="00AB68EE">
        <w:rPr>
          <w:rFonts w:ascii="Arial" w:hAnsi="Arial" w:cs="Arial"/>
          <w:sz w:val="18"/>
          <w:szCs w:val="18"/>
        </w:rPr>
        <w:t xml:space="preserve"> at </w:t>
      </w:r>
      <w:r w:rsidR="0006069F" w:rsidRPr="00AB68EE">
        <w:rPr>
          <w:rFonts w:ascii="Arial" w:hAnsi="Arial" w:cs="Arial"/>
          <w:sz w:val="18"/>
          <w:szCs w:val="18"/>
        </w:rPr>
        <w:t xml:space="preserve">T = </w:t>
      </w:r>
      <w:r w:rsidR="003D52D7" w:rsidRPr="00AB68EE">
        <w:rPr>
          <w:rFonts w:ascii="Arial" w:hAnsi="Arial" w:cs="Arial"/>
          <w:sz w:val="18"/>
          <w:szCs w:val="18"/>
        </w:rPr>
        <w:t>20 °C</w:t>
      </w:r>
      <w:r w:rsidRPr="00AB68EE">
        <w:rPr>
          <w:rFonts w:ascii="Arial" w:hAnsi="Arial" w:cs="Arial"/>
          <w:sz w:val="18"/>
          <w:szCs w:val="18"/>
        </w:rPr>
        <w:t xml:space="preserve"> using aqueous solutions containing </w:t>
      </w:r>
      <w:r w:rsidR="00176A0B" w:rsidRPr="00AB68EE">
        <w:rPr>
          <w:rFonts w:ascii="Arial" w:hAnsi="Arial" w:cs="Arial"/>
          <w:sz w:val="18"/>
          <w:szCs w:val="18"/>
        </w:rPr>
        <w:t>ammonia</w:t>
      </w:r>
      <w:r w:rsidR="002133BE" w:rsidRPr="00AB68EE">
        <w:rPr>
          <w:rFonts w:ascii="Arial" w:hAnsi="Arial" w:cs="Arial"/>
          <w:sz w:val="18"/>
          <w:szCs w:val="18"/>
        </w:rPr>
        <w:t>,</w:t>
      </w:r>
      <w:r w:rsidR="00176A0B" w:rsidRPr="00AB68EE">
        <w:rPr>
          <w:rFonts w:ascii="Arial" w:hAnsi="Arial" w:cs="Arial"/>
          <w:sz w:val="18"/>
          <w:szCs w:val="18"/>
        </w:rPr>
        <w:t xml:space="preserve"> which promote</w:t>
      </w:r>
      <w:r w:rsidR="002133BE" w:rsidRPr="00AB68EE">
        <w:rPr>
          <w:rFonts w:ascii="Arial" w:hAnsi="Arial" w:cs="Arial"/>
          <w:sz w:val="18"/>
          <w:szCs w:val="18"/>
        </w:rPr>
        <w:t>s</w:t>
      </w:r>
      <w:r w:rsidR="00176A0B" w:rsidRPr="00AB68EE">
        <w:rPr>
          <w:rFonts w:ascii="Arial" w:hAnsi="Arial" w:cs="Arial"/>
          <w:sz w:val="18"/>
          <w:szCs w:val="18"/>
        </w:rPr>
        <w:t xml:space="preserve"> a fast reactive-absorption</w:t>
      </w:r>
      <w:r w:rsidR="007D56B2" w:rsidRPr="00AB68EE">
        <w:rPr>
          <w:rFonts w:ascii="Arial" w:hAnsi="Arial" w:cs="Arial"/>
          <w:sz w:val="18"/>
          <w:szCs w:val="18"/>
        </w:rPr>
        <w:t xml:space="preserve"> (Gao et al., 2010; Jia et al., 2010), </w:t>
      </w:r>
      <w:r w:rsidR="00176A0B" w:rsidRPr="00AB68EE">
        <w:rPr>
          <w:rFonts w:ascii="Arial" w:hAnsi="Arial" w:cs="Arial"/>
          <w:sz w:val="18"/>
          <w:szCs w:val="18"/>
        </w:rPr>
        <w:t>as reported in Eq. (1):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7"/>
        <w:gridCol w:w="800"/>
      </w:tblGrid>
      <w:tr w:rsidR="008B6753" w:rsidRPr="007B59A6" w14:paraId="65A6EBAA" w14:textId="77777777" w:rsidTr="00176A0B">
        <w:tc>
          <w:tcPr>
            <w:tcW w:w="7987" w:type="dxa"/>
            <w:shd w:val="clear" w:color="auto" w:fill="auto"/>
            <w:vAlign w:val="center"/>
          </w:tcPr>
          <w:p w14:paraId="5DD36409" w14:textId="22C30666" w:rsidR="008B6753" w:rsidRPr="007B59A6" w:rsidRDefault="002C7579" w:rsidP="00112A5F">
            <w:pPr>
              <w:pStyle w:val="CETEquation"/>
            </w:pPr>
            <w:r w:rsidRPr="007B59A6">
              <w:rPr>
                <w:rFonts w:cs="Arial"/>
                <w:noProof/>
                <w:position w:val="-12"/>
                <w:szCs w:val="18"/>
              </w:rPr>
              <w:object w:dxaOrig="2880" w:dyaOrig="320" w14:anchorId="2F7B5B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0.1pt;height:22.4pt" o:ole="">
                  <v:imagedata r:id="rId10" o:title=""/>
                </v:shape>
                <o:OLEObject Type="Embed" ProgID="Equation.DSMT4" ShapeID="_x0000_i1025" DrawAspect="Content" ObjectID="_1742022090" r:id="rId11"/>
              </w:objec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1B19B7E" w14:textId="77777777" w:rsidR="008B6753" w:rsidRPr="007B59A6" w:rsidRDefault="008B6753" w:rsidP="00112A5F">
            <w:pPr>
              <w:pStyle w:val="CETEquation"/>
              <w:jc w:val="right"/>
            </w:pPr>
            <w:r w:rsidRPr="007B59A6">
              <w:t>(1)</w:t>
            </w:r>
          </w:p>
        </w:tc>
      </w:tr>
    </w:tbl>
    <w:p w14:paraId="47F81BBC" w14:textId="52D0E81B" w:rsidR="00487CB5" w:rsidRPr="002528BE" w:rsidRDefault="00176A0B" w:rsidP="00487CB5">
      <w:pPr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r</w:t>
      </w:r>
      <w:r w:rsidRPr="00176A0B">
        <w:rPr>
          <w:rFonts w:cs="Arial"/>
          <w:szCs w:val="18"/>
          <w:lang w:val="en-US"/>
        </w:rPr>
        <w:t>epresenting the overall reaction for the SO</w:t>
      </w:r>
      <w:r w:rsidRPr="00176A0B">
        <w:rPr>
          <w:rFonts w:cs="Arial"/>
          <w:szCs w:val="18"/>
          <w:vertAlign w:val="subscript"/>
          <w:lang w:val="en-US"/>
        </w:rPr>
        <w:t>2</w:t>
      </w:r>
      <w:r w:rsidRPr="00176A0B">
        <w:rPr>
          <w:rFonts w:cs="Arial"/>
          <w:szCs w:val="18"/>
          <w:lang w:val="en-US"/>
        </w:rPr>
        <w:t>/NH</w:t>
      </w:r>
      <w:r w:rsidRPr="00176A0B">
        <w:rPr>
          <w:rFonts w:cs="Arial"/>
          <w:szCs w:val="18"/>
          <w:vertAlign w:val="subscript"/>
          <w:lang w:val="en-US"/>
        </w:rPr>
        <w:t>3</w:t>
      </w:r>
      <w:r w:rsidRPr="00176A0B">
        <w:rPr>
          <w:rFonts w:cs="Arial"/>
          <w:szCs w:val="18"/>
          <w:lang w:val="en-US"/>
        </w:rPr>
        <w:t xml:space="preserve"> absorption</w:t>
      </w:r>
      <w:r>
        <w:rPr>
          <w:rFonts w:cs="Arial"/>
          <w:szCs w:val="18"/>
          <w:lang w:val="en-US"/>
        </w:rPr>
        <w:t>-</w:t>
      </w:r>
      <w:r w:rsidRPr="00176A0B">
        <w:rPr>
          <w:rFonts w:cs="Arial"/>
          <w:szCs w:val="18"/>
          <w:lang w:val="en-US"/>
        </w:rPr>
        <w:t>system.</w:t>
      </w:r>
      <w:r w:rsidR="00487CB5">
        <w:rPr>
          <w:rFonts w:cs="Arial"/>
          <w:szCs w:val="18"/>
          <w:lang w:val="en-US"/>
        </w:rPr>
        <w:t xml:space="preserve"> </w:t>
      </w:r>
      <w:r w:rsidR="002133BE" w:rsidRPr="005C5F39">
        <w:rPr>
          <w:rFonts w:cs="Arial"/>
          <w:szCs w:val="18"/>
        </w:rPr>
        <w:t>The experiments aimed to evaluate the mass-transfer kinetics determining the Enhancement Factors (E</w:t>
      </w:r>
      <w:r w:rsidR="002133BE" w:rsidRPr="005C5F39">
        <w:rPr>
          <w:rFonts w:cs="Arial"/>
          <w:szCs w:val="18"/>
          <w:vertAlign w:val="subscript"/>
        </w:rPr>
        <w:t>L</w:t>
      </w:r>
      <w:r w:rsidR="002133BE" w:rsidRPr="005C5F39">
        <w:rPr>
          <w:rFonts w:cs="Arial"/>
          <w:szCs w:val="18"/>
        </w:rPr>
        <w:t>) of the SO</w:t>
      </w:r>
      <w:r w:rsidR="002133BE" w:rsidRPr="005C5F39">
        <w:rPr>
          <w:rFonts w:cs="Arial"/>
          <w:szCs w:val="18"/>
          <w:vertAlign w:val="subscript"/>
        </w:rPr>
        <w:t>2</w:t>
      </w:r>
      <w:r w:rsidR="002133BE" w:rsidRPr="005C5F39">
        <w:rPr>
          <w:rFonts w:cs="Arial"/>
          <w:szCs w:val="18"/>
        </w:rPr>
        <w:t>/NH</w:t>
      </w:r>
      <w:r w:rsidR="002133BE" w:rsidRPr="005C5F39">
        <w:rPr>
          <w:rFonts w:cs="Arial"/>
          <w:szCs w:val="18"/>
          <w:vertAlign w:val="subscript"/>
        </w:rPr>
        <w:t>3</w:t>
      </w:r>
      <w:r w:rsidR="002133BE" w:rsidRPr="005C5F39">
        <w:rPr>
          <w:rFonts w:cs="Arial"/>
          <w:szCs w:val="18"/>
        </w:rPr>
        <w:t xml:space="preserve"> absorption-system at 20 °C. </w:t>
      </w:r>
      <w:r w:rsidR="00487CB5" w:rsidRPr="002528BE">
        <w:rPr>
          <w:rFonts w:cs="Arial"/>
          <w:szCs w:val="18"/>
          <w:lang w:val="en-US"/>
        </w:rPr>
        <w:t>In chemical absorption processes, a gas-liquid reaction is fast when the Hatta number (Ha) is greater than 3</w:t>
      </w:r>
      <w:r w:rsidR="00DB0422" w:rsidRPr="002528BE">
        <w:rPr>
          <w:rFonts w:cs="Arial"/>
          <w:szCs w:val="18"/>
          <w:lang w:val="en-US"/>
        </w:rPr>
        <w:t xml:space="preserve"> and</w:t>
      </w:r>
      <w:r w:rsidR="007806C1" w:rsidRPr="002528BE">
        <w:rPr>
          <w:rFonts w:cs="Arial"/>
          <w:szCs w:val="18"/>
          <w:lang w:val="en-US"/>
        </w:rPr>
        <w:t xml:space="preserve"> the Enhancement factor can be written as: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746D83" w:rsidRPr="002528BE" w14:paraId="7CC3D6C1" w14:textId="77777777" w:rsidTr="00CC2195">
        <w:tc>
          <w:tcPr>
            <w:tcW w:w="8188" w:type="dxa"/>
            <w:shd w:val="clear" w:color="auto" w:fill="auto"/>
            <w:vAlign w:val="center"/>
          </w:tcPr>
          <w:p w14:paraId="35E28B80" w14:textId="23FD2191" w:rsidR="00746D83" w:rsidRPr="002528BE" w:rsidRDefault="009224BC" w:rsidP="00CC2195">
            <w:pPr>
              <w:pStyle w:val="CETEquation"/>
            </w:pPr>
            <w:r w:rsidRPr="002528BE">
              <w:rPr>
                <w:rFonts w:cs="Arial"/>
                <w:noProof/>
                <w:position w:val="-22"/>
                <w:szCs w:val="18"/>
              </w:rPr>
              <w:object w:dxaOrig="1359" w:dyaOrig="499" w14:anchorId="0DEF7184">
                <v:shape id="_x0000_i1026" type="#_x0000_t75" alt="" style="width:71.3pt;height:32.6pt" o:ole="">
                  <v:imagedata r:id="rId12" o:title=""/>
                </v:shape>
                <o:OLEObject Type="Embed" ProgID="Equation.DSMT4" ShapeID="_x0000_i1026" DrawAspect="Content" ObjectID="_1742022091" r:id="rId13"/>
              </w:objec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F0E9054" w14:textId="77777777" w:rsidR="00746D83" w:rsidRPr="002528BE" w:rsidRDefault="00746D83" w:rsidP="00CC2195">
            <w:pPr>
              <w:pStyle w:val="CETEquation"/>
              <w:jc w:val="right"/>
            </w:pPr>
            <w:r w:rsidRPr="002528BE">
              <w:t>(2)</w:t>
            </w:r>
          </w:p>
        </w:tc>
      </w:tr>
    </w:tbl>
    <w:p w14:paraId="6EAD7E4E" w14:textId="3073A61E" w:rsidR="00176A0B" w:rsidRPr="00AB68EE" w:rsidRDefault="00E52592" w:rsidP="00487CB5">
      <w:pPr>
        <w:rPr>
          <w:rFonts w:cs="Arial"/>
          <w:szCs w:val="18"/>
          <w:lang w:val="en-US"/>
        </w:rPr>
      </w:pPr>
      <w:r w:rsidRPr="002528BE">
        <w:rPr>
          <w:rFonts w:cs="Arial"/>
          <w:szCs w:val="18"/>
          <w:lang w:val="en-US"/>
        </w:rPr>
        <w:t>with</w:t>
      </w:r>
      <w:r w:rsidR="00487CB5" w:rsidRPr="002528BE">
        <w:rPr>
          <w:rFonts w:cs="Arial"/>
          <w:szCs w:val="18"/>
          <w:lang w:val="en-US"/>
        </w:rPr>
        <w:t xml:space="preserve"> E</w:t>
      </w:r>
      <w:r w:rsidR="00487CB5" w:rsidRPr="002528BE">
        <w:rPr>
          <w:rFonts w:cs="Arial"/>
          <w:szCs w:val="18"/>
          <w:vertAlign w:val="subscript"/>
          <w:lang w:val="en-US"/>
        </w:rPr>
        <w:t>L</w:t>
      </w:r>
      <w:r w:rsidR="00487CB5" w:rsidRPr="002528BE">
        <w:rPr>
          <w:rFonts w:cs="Arial"/>
          <w:szCs w:val="18"/>
          <w:lang w:val="en-US"/>
        </w:rPr>
        <w:t xml:space="preserve"> about equal to Ha</w:t>
      </w:r>
      <w:r w:rsidRPr="002528BE">
        <w:rPr>
          <w:rFonts w:cs="Arial"/>
          <w:szCs w:val="18"/>
          <w:lang w:val="en-US"/>
        </w:rPr>
        <w:t xml:space="preserve"> number</w:t>
      </w:r>
      <w:r w:rsidR="00321377" w:rsidRPr="002528BE">
        <w:rPr>
          <w:rFonts w:cs="Arial"/>
          <w:szCs w:val="18"/>
          <w:lang w:val="en-US"/>
        </w:rPr>
        <w:t xml:space="preserve"> (</w:t>
      </w:r>
      <w:proofErr w:type="spellStart"/>
      <w:r w:rsidR="00321377" w:rsidRPr="002528BE">
        <w:rPr>
          <w:rFonts w:cs="Arial"/>
          <w:szCs w:val="18"/>
          <w:lang w:val="en-US"/>
        </w:rPr>
        <w:t>Zarzycki</w:t>
      </w:r>
      <w:proofErr w:type="spellEnd"/>
      <w:r w:rsidR="00321377" w:rsidRPr="002528BE">
        <w:rPr>
          <w:rFonts w:cs="Arial"/>
          <w:szCs w:val="18"/>
          <w:lang w:val="en-US"/>
        </w:rPr>
        <w:t xml:space="preserve"> and </w:t>
      </w:r>
      <w:proofErr w:type="spellStart"/>
      <w:r w:rsidR="00321377" w:rsidRPr="002528BE">
        <w:rPr>
          <w:rFonts w:cs="Arial"/>
          <w:szCs w:val="18"/>
          <w:lang w:val="en-US"/>
        </w:rPr>
        <w:t>Chacuk</w:t>
      </w:r>
      <w:proofErr w:type="spellEnd"/>
      <w:r w:rsidR="00321377" w:rsidRPr="002528BE">
        <w:rPr>
          <w:rFonts w:cs="Arial"/>
          <w:szCs w:val="18"/>
          <w:lang w:val="en-US"/>
        </w:rPr>
        <w:t>, 1993)</w:t>
      </w:r>
      <w:r w:rsidRPr="002528BE">
        <w:rPr>
          <w:rFonts w:cs="Arial"/>
          <w:szCs w:val="18"/>
          <w:lang w:val="en-US"/>
        </w:rPr>
        <w:t>.</w:t>
      </w:r>
    </w:p>
    <w:p w14:paraId="534F44AC" w14:textId="72351CDC" w:rsidR="0092012D" w:rsidRDefault="001946AB" w:rsidP="00C176B7">
      <w:pPr>
        <w:pStyle w:val="Abstract"/>
        <w:spacing w:before="0"/>
        <w:rPr>
          <w:rFonts w:ascii="Arial" w:hAnsi="Arial" w:cs="Arial"/>
          <w:sz w:val="18"/>
          <w:szCs w:val="18"/>
          <w:lang w:val="en-GB"/>
        </w:rPr>
      </w:pPr>
      <w:r w:rsidRPr="00AB68EE">
        <w:rPr>
          <w:rFonts w:ascii="Arial" w:hAnsi="Arial" w:cs="Arial"/>
          <w:sz w:val="18"/>
          <w:szCs w:val="18"/>
        </w:rPr>
        <w:t xml:space="preserve">The main process parameters investigated </w:t>
      </w:r>
      <w:r w:rsidR="002133BE" w:rsidRPr="00AB68EE">
        <w:rPr>
          <w:rFonts w:ascii="Arial" w:hAnsi="Arial" w:cs="Arial"/>
          <w:sz w:val="18"/>
          <w:szCs w:val="18"/>
        </w:rPr>
        <w:t xml:space="preserve">during the experimental campaign include </w:t>
      </w:r>
      <w:r w:rsidRPr="00AB68EE">
        <w:rPr>
          <w:rFonts w:ascii="Arial" w:hAnsi="Arial" w:cs="Arial"/>
          <w:sz w:val="18"/>
          <w:szCs w:val="18"/>
        </w:rPr>
        <w:t>gas and liquid flow rates, concentrations of sulfur dioxide in the gas and ammonia in the liquid streams</w:t>
      </w:r>
      <w:r w:rsidR="002A45C2" w:rsidRPr="00AB68EE">
        <w:rPr>
          <w:rFonts w:ascii="Arial" w:hAnsi="Arial" w:cs="Arial"/>
          <w:sz w:val="18"/>
          <w:szCs w:val="18"/>
        </w:rPr>
        <w:t>, while the temperature was constant at 20 °C</w:t>
      </w:r>
      <w:r w:rsidRPr="00AB68EE">
        <w:rPr>
          <w:rFonts w:ascii="Arial" w:hAnsi="Arial" w:cs="Arial"/>
          <w:sz w:val="18"/>
          <w:szCs w:val="18"/>
        </w:rPr>
        <w:t>.</w:t>
      </w:r>
      <w:r w:rsidR="00380271" w:rsidRPr="00AB68EE">
        <w:rPr>
          <w:rFonts w:ascii="Arial" w:hAnsi="Arial" w:cs="Arial"/>
          <w:sz w:val="18"/>
          <w:szCs w:val="18"/>
          <w:lang w:val="en-GB"/>
        </w:rPr>
        <w:t xml:space="preserve"> </w:t>
      </w:r>
      <w:r w:rsidR="00906C19" w:rsidRPr="00AB68EE">
        <w:rPr>
          <w:rFonts w:ascii="Arial" w:hAnsi="Arial" w:cs="Arial"/>
          <w:sz w:val="18"/>
          <w:szCs w:val="18"/>
        </w:rPr>
        <w:t>The experiments were performed in</w:t>
      </w:r>
      <w:r w:rsidR="00176A0B" w:rsidRPr="00AB68EE">
        <w:rPr>
          <w:rFonts w:ascii="Arial" w:hAnsi="Arial" w:cs="Arial"/>
          <w:sz w:val="18"/>
          <w:szCs w:val="18"/>
        </w:rPr>
        <w:t xml:space="preserve"> a lab-scale falling-film absorber</w:t>
      </w:r>
      <w:r w:rsidR="002133BE" w:rsidRPr="00AB68EE">
        <w:rPr>
          <w:rFonts w:ascii="Arial" w:hAnsi="Arial" w:cs="Arial"/>
          <w:sz w:val="18"/>
          <w:szCs w:val="18"/>
        </w:rPr>
        <w:t xml:space="preserve"> </w:t>
      </w:r>
      <w:r w:rsidR="00176A0B" w:rsidRPr="00AB68EE">
        <w:rPr>
          <w:rFonts w:ascii="Arial" w:hAnsi="Arial" w:cs="Arial"/>
          <w:sz w:val="18"/>
          <w:szCs w:val="18"/>
        </w:rPr>
        <w:t>used to investigate SO</w:t>
      </w:r>
      <w:r w:rsidR="00176A0B" w:rsidRPr="00AB68EE">
        <w:rPr>
          <w:rFonts w:ascii="Arial" w:hAnsi="Arial" w:cs="Arial"/>
          <w:sz w:val="18"/>
          <w:szCs w:val="18"/>
          <w:vertAlign w:val="subscript"/>
        </w:rPr>
        <w:t>2</w:t>
      </w:r>
      <w:r w:rsidR="00176A0B" w:rsidRPr="00AB68EE">
        <w:rPr>
          <w:rFonts w:ascii="Arial" w:hAnsi="Arial" w:cs="Arial"/>
          <w:sz w:val="18"/>
          <w:szCs w:val="18"/>
        </w:rPr>
        <w:t xml:space="preserve"> mass-transfer rates, as it allows highly controlled mass-transfer conditions for a thorough assessment of the fundamental kinetic aspects of an absorption process with fast gas-liquid reaction.</w:t>
      </w:r>
      <w:r w:rsidR="00176A0B" w:rsidRPr="00AB68EE">
        <w:rPr>
          <w:rFonts w:ascii="Arial" w:hAnsi="Arial"/>
          <w:sz w:val="18"/>
          <w:lang w:val="en-GB"/>
        </w:rPr>
        <w:t xml:space="preserve"> </w:t>
      </w:r>
      <w:r w:rsidR="00906C19" w:rsidRPr="00AB68EE">
        <w:rPr>
          <w:rFonts w:ascii="Arial" w:hAnsi="Arial"/>
          <w:sz w:val="18"/>
          <w:lang w:val="en-GB"/>
        </w:rPr>
        <w:t>To this aim, the absorber</w:t>
      </w:r>
      <w:r w:rsidR="00176A0B" w:rsidRPr="00AB68EE">
        <w:rPr>
          <w:rFonts w:ascii="Arial" w:hAnsi="Arial"/>
          <w:sz w:val="18"/>
          <w:lang w:val="en-GB"/>
        </w:rPr>
        <w:t xml:space="preserve"> unit </w:t>
      </w:r>
      <w:r w:rsidR="00176A0B" w:rsidRPr="00AB68EE">
        <w:rPr>
          <w:rFonts w:ascii="Arial" w:hAnsi="Arial" w:cs="Arial"/>
          <w:sz w:val="18"/>
          <w:szCs w:val="18"/>
          <w:lang w:val="en-GB"/>
        </w:rPr>
        <w:t>allows a precise knowledge of the gas-liquid contact surface (a</w:t>
      </w:r>
      <w:r w:rsidR="00176A0B" w:rsidRPr="00AB68EE">
        <w:rPr>
          <w:rFonts w:ascii="Arial" w:hAnsi="Arial" w:cs="Arial"/>
          <w:sz w:val="18"/>
          <w:szCs w:val="18"/>
          <w:vertAlign w:val="subscript"/>
          <w:lang w:val="en-GB"/>
        </w:rPr>
        <w:t>e</w:t>
      </w:r>
      <w:r w:rsidR="00176A0B" w:rsidRPr="00AB68EE">
        <w:rPr>
          <w:rFonts w:ascii="Arial" w:hAnsi="Arial" w:cs="Arial"/>
          <w:sz w:val="18"/>
          <w:szCs w:val="18"/>
          <w:lang w:val="en-GB"/>
        </w:rPr>
        <w:t xml:space="preserve"> [m</w:t>
      </w:r>
      <w:r w:rsidR="00176A0B" w:rsidRPr="00AB68EE">
        <w:rPr>
          <w:rFonts w:ascii="Arial" w:hAnsi="Arial" w:cs="Arial"/>
          <w:sz w:val="18"/>
          <w:szCs w:val="18"/>
          <w:vertAlign w:val="superscript"/>
          <w:lang w:val="en-GB"/>
        </w:rPr>
        <w:t>2</w:t>
      </w:r>
      <w:r w:rsidR="00176A0B" w:rsidRPr="00AB68EE">
        <w:rPr>
          <w:rFonts w:ascii="Arial" w:hAnsi="Arial" w:cs="Arial"/>
          <w:sz w:val="18"/>
          <w:szCs w:val="18"/>
          <w:lang w:val="en-GB"/>
        </w:rPr>
        <w:t>/m</w:t>
      </w:r>
      <w:r w:rsidR="00176A0B" w:rsidRPr="00AB68EE">
        <w:rPr>
          <w:rFonts w:ascii="Arial" w:hAnsi="Arial" w:cs="Arial"/>
          <w:sz w:val="18"/>
          <w:szCs w:val="18"/>
          <w:vertAlign w:val="superscript"/>
          <w:lang w:val="en-GB"/>
        </w:rPr>
        <w:t>3</w:t>
      </w:r>
      <w:r w:rsidR="00176A0B" w:rsidRPr="00AB68EE">
        <w:rPr>
          <w:rFonts w:ascii="Arial" w:hAnsi="Arial" w:cs="Arial"/>
          <w:sz w:val="18"/>
          <w:szCs w:val="18"/>
          <w:lang w:val="en-GB"/>
        </w:rPr>
        <w:t>]) to accurately assess the mass-transfer rates</w:t>
      </w:r>
      <w:r w:rsidR="0092012D" w:rsidRPr="00AB68EE">
        <w:rPr>
          <w:rFonts w:ascii="Arial" w:hAnsi="Arial" w:cs="Arial"/>
          <w:sz w:val="18"/>
          <w:szCs w:val="18"/>
          <w:lang w:val="en-GB"/>
        </w:rPr>
        <w:t xml:space="preserve"> (</w:t>
      </w:r>
      <w:r w:rsidR="000C4BA6" w:rsidRPr="00AB68EE">
        <w:rPr>
          <w:rFonts w:ascii="Arial" w:hAnsi="Arial" w:cs="Arial"/>
          <w:sz w:val="18"/>
          <w:szCs w:val="18"/>
          <w:lang w:val="en-GB"/>
        </w:rPr>
        <w:t>Flagiello et al., 2022b</w:t>
      </w:r>
      <w:r w:rsidR="0092012D" w:rsidRPr="00AB68EE">
        <w:rPr>
          <w:rFonts w:ascii="Arial" w:hAnsi="Arial" w:cs="Arial"/>
          <w:sz w:val="18"/>
          <w:szCs w:val="18"/>
          <w:lang w:val="en-GB"/>
        </w:rPr>
        <w:t>)</w:t>
      </w:r>
      <w:r w:rsidR="00294007" w:rsidRPr="00AB68EE">
        <w:rPr>
          <w:rFonts w:ascii="Arial" w:hAnsi="Arial" w:cs="Arial"/>
          <w:sz w:val="18"/>
          <w:szCs w:val="18"/>
          <w:lang w:val="en-GB"/>
        </w:rPr>
        <w:t xml:space="preserve">. </w:t>
      </w:r>
      <w:r w:rsidR="00176A0B" w:rsidRPr="00AB68EE">
        <w:rPr>
          <w:rFonts w:ascii="Arial" w:hAnsi="Arial"/>
          <w:sz w:val="18"/>
          <w:lang w:val="en-GB"/>
        </w:rPr>
        <w:t>The physical contribution to the SO</w:t>
      </w:r>
      <w:r w:rsidR="00176A0B" w:rsidRPr="00AB68EE">
        <w:rPr>
          <w:rFonts w:ascii="Arial" w:hAnsi="Arial"/>
          <w:sz w:val="18"/>
          <w:vertAlign w:val="subscript"/>
          <w:lang w:val="en-GB"/>
        </w:rPr>
        <w:t>2</w:t>
      </w:r>
      <w:r w:rsidR="00176A0B" w:rsidRPr="00AB68EE">
        <w:rPr>
          <w:rFonts w:ascii="Arial" w:hAnsi="Arial"/>
          <w:sz w:val="18"/>
          <w:lang w:val="en-GB"/>
        </w:rPr>
        <w:t xml:space="preserve"> mass transfer rates are known from our previous work, which allowed determining gas-side (</w:t>
      </w:r>
      <w:proofErr w:type="gramStart"/>
      <w:r w:rsidR="00176A0B" w:rsidRPr="00AB68EE">
        <w:rPr>
          <w:rFonts w:ascii="Arial" w:hAnsi="Arial"/>
          <w:sz w:val="18"/>
          <w:lang w:val="en-GB"/>
        </w:rPr>
        <w:t>k</w:t>
      </w:r>
      <w:r w:rsidR="00176A0B" w:rsidRPr="00AB68EE">
        <w:rPr>
          <w:rFonts w:ascii="Arial" w:hAnsi="Arial"/>
          <w:sz w:val="18"/>
          <w:vertAlign w:val="subscript"/>
          <w:lang w:val="en-GB"/>
        </w:rPr>
        <w:t>G,SO</w:t>
      </w:r>
      <w:proofErr w:type="gramEnd"/>
      <w:r w:rsidR="00176A0B" w:rsidRPr="00AB68EE">
        <w:rPr>
          <w:rFonts w:ascii="Arial" w:hAnsi="Arial"/>
          <w:sz w:val="18"/>
          <w:vertAlign w:val="subscript"/>
          <w:lang w:val="en-GB"/>
        </w:rPr>
        <w:t>2</w:t>
      </w:r>
      <w:r w:rsidR="00176A0B" w:rsidRPr="00AB68EE">
        <w:rPr>
          <w:rFonts w:ascii="Arial" w:hAnsi="Arial"/>
          <w:sz w:val="18"/>
          <w:lang w:val="en-GB"/>
        </w:rPr>
        <w:t xml:space="preserve"> [m/s]) and liquid-side (k</w:t>
      </w:r>
      <w:r w:rsidR="00176A0B" w:rsidRPr="00AB68EE">
        <w:rPr>
          <w:rFonts w:ascii="Arial" w:hAnsi="Arial"/>
          <w:sz w:val="18"/>
          <w:vertAlign w:val="subscript"/>
          <w:lang w:val="en-GB"/>
        </w:rPr>
        <w:t>L</w:t>
      </w:r>
      <w:r w:rsidR="00176A0B" w:rsidRPr="00AB68EE">
        <w:rPr>
          <w:rFonts w:ascii="Arial" w:hAnsi="Arial"/>
          <w:sz w:val="18"/>
          <w:lang w:val="en-GB"/>
        </w:rPr>
        <w:t>,</w:t>
      </w:r>
      <w:r w:rsidR="00176A0B" w:rsidRPr="00AB68EE">
        <w:rPr>
          <w:rFonts w:ascii="Arial" w:hAnsi="Arial"/>
          <w:sz w:val="18"/>
          <w:vertAlign w:val="subscript"/>
          <w:lang w:val="en-GB"/>
        </w:rPr>
        <w:t>SO2</w:t>
      </w:r>
      <w:r w:rsidR="00176A0B" w:rsidRPr="00AB68EE">
        <w:rPr>
          <w:rFonts w:ascii="Arial" w:hAnsi="Arial"/>
          <w:sz w:val="18"/>
          <w:lang w:val="en-GB"/>
        </w:rPr>
        <w:t xml:space="preserve"> [m/s]) </w:t>
      </w:r>
      <w:r w:rsidR="00176A0B" w:rsidRPr="00AB68EE">
        <w:rPr>
          <w:rFonts w:ascii="Arial" w:hAnsi="Arial" w:cs="Arial"/>
          <w:sz w:val="18"/>
          <w:szCs w:val="18"/>
          <w:lang w:val="en-GB"/>
        </w:rPr>
        <w:t>volumetric coefficients</w:t>
      </w:r>
      <w:r w:rsidR="0092012D" w:rsidRPr="00AB68EE">
        <w:rPr>
          <w:rFonts w:ascii="Arial" w:hAnsi="Arial"/>
          <w:sz w:val="18"/>
          <w:lang w:val="en-GB"/>
        </w:rPr>
        <w:t xml:space="preserve"> (</w:t>
      </w:r>
      <w:r w:rsidR="0092012D" w:rsidRPr="00AB68EE">
        <w:rPr>
          <w:rFonts w:ascii="Arial" w:hAnsi="Arial" w:cs="Arial"/>
          <w:sz w:val="18"/>
          <w:szCs w:val="18"/>
          <w:lang w:val="en-GB"/>
        </w:rPr>
        <w:t>Flagiello et al., 2022b)</w:t>
      </w:r>
      <w:r w:rsidR="00176A0B" w:rsidRPr="00AB68EE">
        <w:rPr>
          <w:rFonts w:ascii="Arial" w:hAnsi="Arial" w:cs="Arial"/>
          <w:sz w:val="18"/>
          <w:szCs w:val="18"/>
          <w:lang w:val="en-GB"/>
        </w:rPr>
        <w:t>.</w:t>
      </w:r>
    </w:p>
    <w:p w14:paraId="7FD54D9C" w14:textId="01451BFC" w:rsidR="00C17ACA" w:rsidRPr="006505EA" w:rsidRDefault="00442842" w:rsidP="00C176B7">
      <w:pPr>
        <w:pStyle w:val="Abstract"/>
        <w:spacing w:before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Also, a</w:t>
      </w:r>
      <w:r w:rsidR="00C17ACA" w:rsidRPr="00C17ACA">
        <w:rPr>
          <w:rFonts w:ascii="Arial" w:hAnsi="Arial" w:cs="Arial"/>
          <w:sz w:val="18"/>
          <w:szCs w:val="18"/>
        </w:rPr>
        <w:t xml:space="preserve"> thermodynamic study of the </w:t>
      </w:r>
      <w:r w:rsidR="00C17ACA">
        <w:rPr>
          <w:rFonts w:ascii="Arial" w:hAnsi="Arial" w:cs="Arial"/>
          <w:sz w:val="18"/>
          <w:szCs w:val="18"/>
        </w:rPr>
        <w:t>SO</w:t>
      </w:r>
      <w:r w:rsidR="00C17ACA" w:rsidRPr="00C17ACA">
        <w:rPr>
          <w:rFonts w:ascii="Arial" w:hAnsi="Arial" w:cs="Arial"/>
          <w:sz w:val="18"/>
          <w:szCs w:val="18"/>
          <w:vertAlign w:val="subscript"/>
        </w:rPr>
        <w:t>2</w:t>
      </w:r>
      <w:r w:rsidR="00C17ACA">
        <w:rPr>
          <w:rFonts w:ascii="Arial" w:hAnsi="Arial" w:cs="Arial"/>
          <w:sz w:val="18"/>
          <w:szCs w:val="18"/>
        </w:rPr>
        <w:t xml:space="preserve"> </w:t>
      </w:r>
      <w:r w:rsidR="00C17ACA" w:rsidRPr="00C17ACA">
        <w:rPr>
          <w:rFonts w:ascii="Arial" w:hAnsi="Arial" w:cs="Arial"/>
          <w:sz w:val="18"/>
          <w:szCs w:val="18"/>
        </w:rPr>
        <w:t>absorption</w:t>
      </w:r>
      <w:r w:rsidR="00C17ACA">
        <w:rPr>
          <w:rFonts w:ascii="Arial" w:hAnsi="Arial" w:cs="Arial"/>
          <w:sz w:val="18"/>
          <w:szCs w:val="18"/>
        </w:rPr>
        <w:t xml:space="preserve"> </w:t>
      </w:r>
      <w:r w:rsidR="00C17ACA" w:rsidRPr="00C17ACA">
        <w:rPr>
          <w:rFonts w:ascii="Arial" w:hAnsi="Arial" w:cs="Arial"/>
          <w:sz w:val="18"/>
          <w:szCs w:val="18"/>
        </w:rPr>
        <w:t>process is preparatory to the calculation of Enhancement factors. For this purpose, an equilibrium model was developed in ASPEN PLUS</w:t>
      </w:r>
      <w:r w:rsidR="002133BE">
        <w:rPr>
          <w:rFonts w:ascii="Arial" w:hAnsi="Arial" w:cs="Arial"/>
          <w:sz w:val="18"/>
          <w:szCs w:val="18"/>
        </w:rPr>
        <w:t>,</w:t>
      </w:r>
      <w:r w:rsidR="00C17ACA" w:rsidRPr="00C17A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which</w:t>
      </w:r>
      <w:r w:rsidR="00C17ACA" w:rsidRPr="00C17ACA">
        <w:rPr>
          <w:rFonts w:ascii="Arial" w:hAnsi="Arial" w:cs="Arial"/>
          <w:sz w:val="18"/>
          <w:szCs w:val="18"/>
        </w:rPr>
        <w:t xml:space="preserve"> is based on gas-liquid phase equilibri</w:t>
      </w:r>
      <w:r>
        <w:rPr>
          <w:rFonts w:ascii="Arial" w:hAnsi="Arial" w:cs="Arial"/>
          <w:sz w:val="18"/>
          <w:szCs w:val="18"/>
        </w:rPr>
        <w:t>a</w:t>
      </w:r>
      <w:r w:rsidR="00C17ACA" w:rsidRPr="00C17ACA">
        <w:rPr>
          <w:rFonts w:ascii="Arial" w:hAnsi="Arial" w:cs="Arial"/>
          <w:sz w:val="18"/>
          <w:szCs w:val="18"/>
        </w:rPr>
        <w:t xml:space="preserve"> and liquid</w:t>
      </w:r>
      <w:r>
        <w:rPr>
          <w:rFonts w:ascii="Arial" w:hAnsi="Arial" w:cs="Arial"/>
          <w:sz w:val="18"/>
          <w:szCs w:val="18"/>
        </w:rPr>
        <w:t>-</w:t>
      </w:r>
      <w:r w:rsidR="00C17ACA" w:rsidRPr="00C17ACA">
        <w:rPr>
          <w:rFonts w:ascii="Arial" w:hAnsi="Arial" w:cs="Arial"/>
          <w:sz w:val="18"/>
          <w:szCs w:val="18"/>
        </w:rPr>
        <w:t>phase chemical equilibri</w:t>
      </w:r>
      <w:r>
        <w:rPr>
          <w:rFonts w:ascii="Arial" w:hAnsi="Arial" w:cs="Arial"/>
          <w:sz w:val="18"/>
          <w:szCs w:val="18"/>
        </w:rPr>
        <w:t>um equations</w:t>
      </w:r>
      <w:r w:rsidR="002133BE">
        <w:rPr>
          <w:rFonts w:ascii="Arial" w:hAnsi="Arial" w:cs="Arial"/>
          <w:sz w:val="18"/>
          <w:szCs w:val="18"/>
        </w:rPr>
        <w:t>,</w:t>
      </w:r>
      <w:r w:rsidR="00C17ACA" w:rsidRPr="00C17ACA">
        <w:rPr>
          <w:rFonts w:ascii="Arial" w:hAnsi="Arial" w:cs="Arial"/>
          <w:sz w:val="18"/>
          <w:szCs w:val="18"/>
        </w:rPr>
        <w:t xml:space="preserve"> </w:t>
      </w:r>
      <w:r w:rsidR="002133BE">
        <w:rPr>
          <w:rFonts w:ascii="Arial" w:hAnsi="Arial" w:cs="Arial"/>
          <w:sz w:val="18"/>
          <w:szCs w:val="18"/>
        </w:rPr>
        <w:t>both retrieved from</w:t>
      </w:r>
      <w:r w:rsidR="00C17ACA" w:rsidRPr="00C17ACA">
        <w:rPr>
          <w:rFonts w:ascii="Arial" w:hAnsi="Arial" w:cs="Arial"/>
          <w:sz w:val="18"/>
          <w:szCs w:val="18"/>
        </w:rPr>
        <w:t xml:space="preserve"> the relevant literature.</w:t>
      </w:r>
    </w:p>
    <w:p w14:paraId="526756E8" w14:textId="1D5AB45F" w:rsidR="005D2946" w:rsidRPr="00B57B36" w:rsidRDefault="00BA310A" w:rsidP="005D2946">
      <w:pPr>
        <w:pStyle w:val="CETHeading1"/>
        <w:rPr>
          <w:lang w:val="en-GB"/>
        </w:rPr>
      </w:pPr>
      <w:r w:rsidRPr="00BA310A">
        <w:rPr>
          <w:lang w:val="en-GB"/>
        </w:rPr>
        <w:t>Materials and Methods</w:t>
      </w:r>
    </w:p>
    <w:p w14:paraId="617DF1D9" w14:textId="0933F201" w:rsidR="005D2946" w:rsidRDefault="00DD7407" w:rsidP="005D2946">
      <w:pPr>
        <w:pStyle w:val="CETBodytext"/>
        <w:rPr>
          <w:lang w:val="en-GB"/>
        </w:rPr>
      </w:pPr>
      <w:r>
        <w:t>H</w:t>
      </w:r>
      <w:r w:rsidRPr="00FC29E2">
        <w:t xml:space="preserve">igh pressure cylinders </w:t>
      </w:r>
      <w:r>
        <w:t>of pure N</w:t>
      </w:r>
      <w:r w:rsidRPr="00EC366C">
        <w:rPr>
          <w:vertAlign w:val="subscript"/>
        </w:rPr>
        <w:t>2</w:t>
      </w:r>
      <w:r w:rsidRPr="00FC29E2">
        <w:t xml:space="preserve"> </w:t>
      </w:r>
      <w:r w:rsidR="00415905">
        <w:t xml:space="preserve">(5.0 technical grade) </w:t>
      </w:r>
      <w:r w:rsidRPr="00FC29E2">
        <w:t xml:space="preserve">and </w:t>
      </w:r>
      <w:r>
        <w:t>SO</w:t>
      </w:r>
      <w:r w:rsidRPr="00EC366C">
        <w:rPr>
          <w:vertAlign w:val="subscript"/>
        </w:rPr>
        <w:t>2</w:t>
      </w:r>
      <w:r w:rsidRPr="00FC29E2">
        <w:t xml:space="preserve"> at 3040 </w:t>
      </w:r>
      <w:proofErr w:type="spellStart"/>
      <w:r w:rsidRPr="00FC29E2">
        <w:t>ppm</w:t>
      </w:r>
      <w:r w:rsidRPr="00FC29E2">
        <w:rPr>
          <w:vertAlign w:val="subscript"/>
        </w:rPr>
        <w:t>v</w:t>
      </w:r>
      <w:proofErr w:type="spellEnd"/>
      <w:r w:rsidRPr="00FC29E2">
        <w:t xml:space="preserve"> in N</w:t>
      </w:r>
      <w:r w:rsidRPr="00FC29E2">
        <w:rPr>
          <w:vertAlign w:val="subscript"/>
        </w:rPr>
        <w:t>2</w:t>
      </w:r>
      <w:r w:rsidRPr="00FC29E2">
        <w:t xml:space="preserve"> </w:t>
      </w:r>
      <w:r w:rsidR="00EB5AA4">
        <w:t>(</w:t>
      </w:r>
      <w:proofErr w:type="spellStart"/>
      <w:r w:rsidRPr="00FC29E2">
        <w:t>Rivoira</w:t>
      </w:r>
      <w:proofErr w:type="spellEnd"/>
      <w:r w:rsidRPr="00FC29E2">
        <w:t xml:space="preserve"> Gas</w:t>
      </w:r>
      <w:r>
        <w:t xml:space="preserve">, </w:t>
      </w:r>
      <w:r w:rsidRPr="00FC29E2">
        <w:t>Italy</w:t>
      </w:r>
      <w:r w:rsidR="00EB5AA4">
        <w:t xml:space="preserve">), </w:t>
      </w:r>
      <w:r w:rsidR="00A27040">
        <w:t xml:space="preserve">distilled water and </w:t>
      </w:r>
      <w:r w:rsidR="001676B8">
        <w:t>ammonia aqueous</w:t>
      </w:r>
      <w:r w:rsidRPr="00CF0607">
        <w:t xml:space="preserve"> </w:t>
      </w:r>
      <w:r>
        <w:t xml:space="preserve">solution </w:t>
      </w:r>
      <w:r w:rsidRPr="00CF0607">
        <w:t xml:space="preserve">at </w:t>
      </w:r>
      <w:r w:rsidR="001676B8">
        <w:t>30</w:t>
      </w:r>
      <w:r w:rsidRPr="00CF0607">
        <w:t>%</w:t>
      </w:r>
      <w:r w:rsidRPr="00FC29E2">
        <w:t xml:space="preserve"> w/w</w:t>
      </w:r>
      <w:r w:rsidR="00EB5AA4">
        <w:t xml:space="preserve"> </w:t>
      </w:r>
      <w:r>
        <w:t>(</w:t>
      </w:r>
      <w:r w:rsidRPr="00FC29E2">
        <w:t>Sigma Aldrich</w:t>
      </w:r>
      <w:r>
        <w:t>,</w:t>
      </w:r>
      <w:r w:rsidRPr="00FC29E2">
        <w:t xml:space="preserve"> Italy) were used</w:t>
      </w:r>
      <w:r>
        <w:t xml:space="preserve"> in the experiments.</w:t>
      </w:r>
      <w:r w:rsidR="005D2946" w:rsidRPr="00FA5F5F">
        <w:rPr>
          <w:lang w:val="en-GB"/>
        </w:rPr>
        <w:t xml:space="preserve"> </w:t>
      </w:r>
    </w:p>
    <w:p w14:paraId="51A68E2E" w14:textId="07FC2AD4" w:rsidR="00C075C9" w:rsidRPr="00053887" w:rsidRDefault="00440D63" w:rsidP="00053887">
      <w:pPr>
        <w:pStyle w:val="CETheadingx"/>
      </w:pPr>
      <w:r w:rsidRPr="00053887">
        <w:t>Experimental section</w:t>
      </w:r>
    </w:p>
    <w:p w14:paraId="62C40559" w14:textId="77777777" w:rsidR="00BD28AD" w:rsidRPr="00AB68EE" w:rsidRDefault="00BD28AD" w:rsidP="00BD28AD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 w:rsidRPr="00BD28AD">
        <w:rPr>
          <w:rFonts w:ascii="Arial" w:hAnsi="Arial" w:cs="Arial"/>
          <w:sz w:val="18"/>
          <w:szCs w:val="18"/>
        </w:rPr>
        <w:t xml:space="preserve">The experimental unit is a continuous liquid-film contactor and consists of a Pyrex glass column (effective gas-liquid contact height, Z = 0.155 m) with 0.018 m internal diameter, and 2 mm thickness. The column also has a Pyrex glass chamber at the top to overflow the liquid from the top to the bottom chamber, in which the liquid is collected. The specific surface </w:t>
      </w:r>
      <w:r w:rsidRPr="00AB68EE">
        <w:rPr>
          <w:rFonts w:ascii="Arial" w:hAnsi="Arial" w:cs="Arial"/>
          <w:sz w:val="18"/>
          <w:szCs w:val="18"/>
        </w:rPr>
        <w:t>area wetted by the liquid-film (a</w:t>
      </w:r>
      <w:r w:rsidRPr="00AB68EE">
        <w:rPr>
          <w:rFonts w:ascii="Arial" w:hAnsi="Arial" w:cs="Arial"/>
          <w:sz w:val="18"/>
          <w:szCs w:val="18"/>
          <w:vertAlign w:val="subscript"/>
        </w:rPr>
        <w:t>e</w:t>
      </w:r>
      <w:r w:rsidRPr="00AB68EE">
        <w:rPr>
          <w:rFonts w:ascii="Arial" w:hAnsi="Arial" w:cs="Arial"/>
          <w:sz w:val="18"/>
          <w:szCs w:val="18"/>
        </w:rPr>
        <w:t>) during the experiments is 222 m</w:t>
      </w:r>
      <w:r w:rsidRPr="00AB68EE">
        <w:rPr>
          <w:rFonts w:ascii="Arial" w:hAnsi="Arial" w:cs="Arial"/>
          <w:sz w:val="18"/>
          <w:szCs w:val="18"/>
          <w:vertAlign w:val="superscript"/>
        </w:rPr>
        <w:t>2</w:t>
      </w:r>
      <w:r w:rsidRPr="00AB68EE">
        <w:rPr>
          <w:rFonts w:ascii="Arial" w:hAnsi="Arial" w:cs="Arial"/>
          <w:sz w:val="18"/>
          <w:szCs w:val="18"/>
        </w:rPr>
        <w:t>/m</w:t>
      </w:r>
      <w:r w:rsidRPr="00AB68EE">
        <w:rPr>
          <w:rFonts w:ascii="Arial" w:hAnsi="Arial" w:cs="Arial"/>
          <w:sz w:val="18"/>
          <w:szCs w:val="18"/>
          <w:vertAlign w:val="superscript"/>
        </w:rPr>
        <w:t>3</w:t>
      </w:r>
      <w:r w:rsidRPr="00AB68EE">
        <w:rPr>
          <w:rFonts w:ascii="Arial" w:hAnsi="Arial" w:cs="Arial"/>
          <w:sz w:val="18"/>
          <w:szCs w:val="18"/>
        </w:rPr>
        <w:t>.</w:t>
      </w:r>
    </w:p>
    <w:p w14:paraId="0E08554D" w14:textId="558B6AF5" w:rsidR="00A94CBF" w:rsidRDefault="00BD28AD" w:rsidP="00BD28AD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 w:rsidRPr="00AB68EE">
        <w:rPr>
          <w:rFonts w:ascii="Arial" w:hAnsi="Arial" w:cs="Arial"/>
          <w:sz w:val="18"/>
          <w:szCs w:val="18"/>
        </w:rPr>
        <w:t>The model flue-gas</w:t>
      </w:r>
      <w:r w:rsidR="00906C19" w:rsidRPr="00AB68EE">
        <w:rPr>
          <w:rFonts w:ascii="Arial" w:hAnsi="Arial" w:cs="Arial"/>
          <w:sz w:val="18"/>
          <w:szCs w:val="18"/>
        </w:rPr>
        <w:t xml:space="preserve"> at 20 °C</w:t>
      </w:r>
      <w:r w:rsidRPr="00AB68EE">
        <w:rPr>
          <w:rFonts w:ascii="Arial" w:hAnsi="Arial" w:cs="Arial"/>
          <w:sz w:val="18"/>
          <w:szCs w:val="18"/>
        </w:rPr>
        <w:t xml:space="preserve"> is prepared by mixing a pure nitrogen stream with a sulfur dioxide stream </w:t>
      </w:r>
      <w:r w:rsidR="00C44712" w:rsidRPr="00AB68EE">
        <w:rPr>
          <w:rFonts w:ascii="Arial" w:hAnsi="Arial" w:cs="Arial"/>
          <w:sz w:val="18"/>
          <w:szCs w:val="18"/>
        </w:rPr>
        <w:t xml:space="preserve">available </w:t>
      </w:r>
      <w:r w:rsidRPr="00AB68EE">
        <w:rPr>
          <w:rFonts w:ascii="Arial" w:hAnsi="Arial" w:cs="Arial"/>
          <w:sz w:val="18"/>
          <w:szCs w:val="18"/>
        </w:rPr>
        <w:t xml:space="preserve">at 3040 </w:t>
      </w:r>
      <w:proofErr w:type="spellStart"/>
      <w:r w:rsidRPr="00AB68EE">
        <w:rPr>
          <w:rFonts w:ascii="Arial" w:hAnsi="Arial" w:cs="Arial"/>
          <w:sz w:val="18"/>
          <w:szCs w:val="18"/>
        </w:rPr>
        <w:t>ppm</w:t>
      </w:r>
      <w:r w:rsidRPr="00AB68EE">
        <w:rPr>
          <w:rFonts w:ascii="Arial" w:hAnsi="Arial" w:cs="Arial"/>
          <w:sz w:val="18"/>
          <w:szCs w:val="18"/>
          <w:vertAlign w:val="subscript"/>
        </w:rPr>
        <w:t>v</w:t>
      </w:r>
      <w:proofErr w:type="spellEnd"/>
      <w:r w:rsidRPr="00AB68EE">
        <w:rPr>
          <w:rFonts w:ascii="Arial" w:hAnsi="Arial" w:cs="Arial"/>
          <w:sz w:val="18"/>
          <w:szCs w:val="18"/>
        </w:rPr>
        <w:t xml:space="preserve"> </w:t>
      </w:r>
      <w:r w:rsidR="00C44712" w:rsidRPr="00AB68EE">
        <w:rPr>
          <w:rFonts w:ascii="Arial" w:hAnsi="Arial" w:cs="Arial"/>
          <w:sz w:val="18"/>
          <w:szCs w:val="18"/>
        </w:rPr>
        <w:t xml:space="preserve">and </w:t>
      </w:r>
      <w:r w:rsidRPr="00AB68EE">
        <w:rPr>
          <w:rFonts w:ascii="Arial" w:hAnsi="Arial" w:cs="Arial"/>
          <w:sz w:val="18"/>
          <w:szCs w:val="18"/>
        </w:rPr>
        <w:t>using two digital flow meters to regulate flow rates for both gas lines</w:t>
      </w:r>
      <w:r w:rsidR="00667C11" w:rsidRPr="00AB68EE">
        <w:rPr>
          <w:rFonts w:ascii="Arial" w:hAnsi="Arial" w:cs="Arial"/>
          <w:sz w:val="18"/>
          <w:szCs w:val="18"/>
        </w:rPr>
        <w:t xml:space="preserve">, in order to obtain the desired </w:t>
      </w:r>
      <w:r w:rsidR="00FF3214" w:rsidRPr="00AB68EE">
        <w:rPr>
          <w:rFonts w:ascii="Arial" w:hAnsi="Arial" w:cs="Arial"/>
          <w:sz w:val="18"/>
          <w:szCs w:val="18"/>
        </w:rPr>
        <w:t xml:space="preserve">inlet </w:t>
      </w:r>
      <w:r w:rsidR="00667C11" w:rsidRPr="00AB68EE">
        <w:rPr>
          <w:rFonts w:ascii="Arial" w:hAnsi="Arial" w:cs="Arial"/>
          <w:sz w:val="18"/>
          <w:szCs w:val="18"/>
        </w:rPr>
        <w:t>concentration of SO</w:t>
      </w:r>
      <w:r w:rsidR="00667C11" w:rsidRPr="00AB68EE">
        <w:rPr>
          <w:rFonts w:ascii="Arial" w:hAnsi="Arial" w:cs="Arial"/>
          <w:sz w:val="18"/>
          <w:szCs w:val="18"/>
          <w:vertAlign w:val="subscript"/>
        </w:rPr>
        <w:t>2</w:t>
      </w:r>
      <w:r w:rsidR="00FF3214" w:rsidRPr="00AB68EE">
        <w:rPr>
          <w:rFonts w:ascii="Arial" w:hAnsi="Arial" w:cs="Arial"/>
          <w:sz w:val="18"/>
          <w:szCs w:val="18"/>
        </w:rPr>
        <w:t xml:space="preserve"> (C</w:t>
      </w:r>
      <w:r w:rsidR="00FF3214" w:rsidRPr="00AB68EE">
        <w:rPr>
          <w:rFonts w:ascii="Arial" w:hAnsi="Arial" w:cs="Arial"/>
          <w:sz w:val="18"/>
          <w:szCs w:val="18"/>
          <w:vertAlign w:val="subscript"/>
        </w:rPr>
        <w:t>SO2(g</w:t>
      </w:r>
      <w:proofErr w:type="gramStart"/>
      <w:r w:rsidR="00FF3214" w:rsidRPr="00AB68EE">
        <w:rPr>
          <w:rFonts w:ascii="Arial" w:hAnsi="Arial" w:cs="Arial"/>
          <w:sz w:val="18"/>
          <w:szCs w:val="18"/>
          <w:vertAlign w:val="subscript"/>
        </w:rPr>
        <w:t>),in</w:t>
      </w:r>
      <w:proofErr w:type="gramEnd"/>
      <w:r w:rsidR="00FF3214" w:rsidRPr="00AB68EE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FF3214" w:rsidRPr="00AB68EE">
        <w:rPr>
          <w:rFonts w:ascii="Arial" w:hAnsi="Arial" w:cs="Arial"/>
          <w:sz w:val="18"/>
          <w:szCs w:val="18"/>
        </w:rPr>
        <w:t>ppm</w:t>
      </w:r>
      <w:r w:rsidR="00FF3214" w:rsidRPr="00AB68EE">
        <w:rPr>
          <w:rFonts w:ascii="Arial" w:hAnsi="Arial" w:cs="Arial"/>
          <w:sz w:val="18"/>
          <w:szCs w:val="18"/>
          <w:vertAlign w:val="subscript"/>
        </w:rPr>
        <w:t>v</w:t>
      </w:r>
      <w:proofErr w:type="spellEnd"/>
      <w:r w:rsidR="00FF3214" w:rsidRPr="00AB68EE">
        <w:rPr>
          <w:rFonts w:ascii="Arial" w:hAnsi="Arial" w:cs="Arial"/>
          <w:sz w:val="18"/>
          <w:szCs w:val="18"/>
        </w:rPr>
        <w:t>])</w:t>
      </w:r>
      <w:r w:rsidRPr="00AB68EE">
        <w:rPr>
          <w:rFonts w:ascii="Arial" w:hAnsi="Arial" w:cs="Arial"/>
          <w:sz w:val="18"/>
          <w:szCs w:val="18"/>
        </w:rPr>
        <w:t>. The experimental apparatus</w:t>
      </w:r>
      <w:r w:rsidR="00FA6AA4" w:rsidRPr="00AB68EE">
        <w:rPr>
          <w:rFonts w:ascii="Arial" w:hAnsi="Arial" w:cs="Arial"/>
          <w:sz w:val="18"/>
          <w:szCs w:val="18"/>
        </w:rPr>
        <w:t xml:space="preserve"> (Figure 1)</w:t>
      </w:r>
      <w:r w:rsidRPr="00BD28AD">
        <w:rPr>
          <w:rFonts w:ascii="Arial" w:hAnsi="Arial" w:cs="Arial"/>
          <w:sz w:val="18"/>
          <w:szCs w:val="18"/>
        </w:rPr>
        <w:t xml:space="preserve"> is also equipped with a gas heat exchanger with electrical resistance and measuring instruments to record gas temperature and pressure during the experiments, at different sampling points.</w:t>
      </w:r>
    </w:p>
    <w:p w14:paraId="0BE302B0" w14:textId="6D92097F" w:rsidR="00385FA4" w:rsidRDefault="00CB1A19" w:rsidP="00CB1A19">
      <w:pPr>
        <w:pStyle w:val="StyleFigureCaptionCent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42363DC" wp14:editId="2712CB39">
            <wp:extent cx="4716000" cy="2936833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6000" cy="293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67C93" w14:textId="4DFFBD8E" w:rsidR="002133BE" w:rsidRDefault="00FC0539" w:rsidP="00CB1A19">
      <w:pPr>
        <w:pStyle w:val="StyleFigureCaptionCentr"/>
        <w:rPr>
          <w:rStyle w:val="CETCaptionCarattere"/>
          <w:i w:val="0"/>
        </w:rPr>
      </w:pPr>
      <w:r w:rsidRPr="00A2421D">
        <w:rPr>
          <w:rStyle w:val="CETCaptionCarattere"/>
        </w:rPr>
        <w:t xml:space="preserve">Figure </w:t>
      </w:r>
      <w:r>
        <w:rPr>
          <w:rStyle w:val="CETCaptionCarattere"/>
        </w:rPr>
        <w:t>1</w:t>
      </w:r>
      <w:r w:rsidRPr="00A2421D">
        <w:rPr>
          <w:rStyle w:val="CETCaptionCarattere"/>
        </w:rPr>
        <w:t xml:space="preserve">: </w:t>
      </w:r>
      <w:r w:rsidRPr="00FC0539">
        <w:rPr>
          <w:rStyle w:val="CETCaptionCarattere"/>
        </w:rPr>
        <w:t>Process Flow Diagram (PFD) of the falling-film absorber unit.</w:t>
      </w:r>
    </w:p>
    <w:p w14:paraId="3062194D" w14:textId="77777777" w:rsidR="005B4CE4" w:rsidRPr="000F0574" w:rsidRDefault="005B4CE4" w:rsidP="005B4CE4">
      <w:pPr>
        <w:tabs>
          <w:tab w:val="clear" w:pos="7100"/>
        </w:tabs>
        <w:spacing w:line="240" w:lineRule="auto"/>
        <w:rPr>
          <w:rFonts w:cs="Arial"/>
          <w:szCs w:val="18"/>
          <w:lang w:val="en-US"/>
        </w:rPr>
      </w:pPr>
      <w:r w:rsidRPr="005B4CE4">
        <w:rPr>
          <w:rFonts w:cs="Arial"/>
          <w:szCs w:val="18"/>
          <w:lang w:val="en-US"/>
        </w:rPr>
        <w:lastRenderedPageBreak/>
        <w:t>The absorbing liquid at 20 °C is prepared with the desired concentration of ammonia (C</w:t>
      </w:r>
      <w:r w:rsidRPr="005B4CE4">
        <w:rPr>
          <w:rFonts w:cs="Arial"/>
          <w:szCs w:val="18"/>
          <w:vertAlign w:val="subscript"/>
          <w:lang w:val="en-US"/>
        </w:rPr>
        <w:t>NH3(</w:t>
      </w:r>
      <w:proofErr w:type="spellStart"/>
      <w:r w:rsidRPr="005B4CE4">
        <w:rPr>
          <w:rFonts w:cs="Arial"/>
          <w:szCs w:val="18"/>
          <w:vertAlign w:val="subscript"/>
          <w:lang w:val="en-US"/>
        </w:rPr>
        <w:t>aq</w:t>
      </w:r>
      <w:proofErr w:type="spellEnd"/>
      <w:proofErr w:type="gramStart"/>
      <w:r w:rsidRPr="005B4CE4">
        <w:rPr>
          <w:rFonts w:cs="Arial"/>
          <w:szCs w:val="18"/>
          <w:vertAlign w:val="subscript"/>
          <w:lang w:val="en-US"/>
        </w:rPr>
        <w:t>),in</w:t>
      </w:r>
      <w:proofErr w:type="gramEnd"/>
      <w:r w:rsidRPr="005B4CE4">
        <w:rPr>
          <w:rFonts w:cs="Arial"/>
          <w:szCs w:val="18"/>
          <w:lang w:val="en-US"/>
        </w:rPr>
        <w:t xml:space="preserve"> [w/w]) and stored in a vessel with a maximum capacity of 15 liters. An immersion pump with a maximum power of 30 W placed </w:t>
      </w:r>
      <w:r w:rsidRPr="000F0574">
        <w:rPr>
          <w:rFonts w:cs="Arial"/>
          <w:szCs w:val="18"/>
          <w:lang w:val="en-US"/>
        </w:rPr>
        <w:t>inside the tank feeds the liquid to the column that falls on the walls from the top to the bottom. Liquid flow rate (</w:t>
      </w:r>
      <w:proofErr w:type="spellStart"/>
      <w:proofErr w:type="gramStart"/>
      <w:r w:rsidRPr="000F0574">
        <w:rPr>
          <w:rFonts w:cs="Arial"/>
          <w:szCs w:val="18"/>
          <w:lang w:val="en-US"/>
        </w:rPr>
        <w:t>L</w:t>
      </w:r>
      <w:r w:rsidRPr="000F0574">
        <w:rPr>
          <w:rFonts w:cs="Arial"/>
          <w:szCs w:val="18"/>
          <w:vertAlign w:val="subscript"/>
          <w:lang w:val="en-US"/>
        </w:rPr>
        <w:t>v,in</w:t>
      </w:r>
      <w:proofErr w:type="spellEnd"/>
      <w:proofErr w:type="gramEnd"/>
      <w:r w:rsidRPr="000F0574">
        <w:rPr>
          <w:rFonts w:cs="Arial"/>
          <w:szCs w:val="18"/>
          <w:lang w:val="en-US"/>
        </w:rPr>
        <w:t xml:space="preserve"> [L/h]) is controlled by a digital flow meter and the gas flow rate (</w:t>
      </w:r>
      <w:proofErr w:type="spellStart"/>
      <w:r w:rsidRPr="000F0574">
        <w:rPr>
          <w:rFonts w:cs="Arial"/>
          <w:szCs w:val="18"/>
          <w:lang w:val="en-US"/>
        </w:rPr>
        <w:t>G</w:t>
      </w:r>
      <w:r w:rsidRPr="000F0574">
        <w:rPr>
          <w:rFonts w:cs="Arial"/>
          <w:szCs w:val="18"/>
          <w:vertAlign w:val="subscript"/>
          <w:lang w:val="en-US"/>
        </w:rPr>
        <w:t>v,in</w:t>
      </w:r>
      <w:proofErr w:type="spellEnd"/>
      <w:r w:rsidRPr="000F0574">
        <w:rPr>
          <w:rFonts w:cs="Arial"/>
          <w:szCs w:val="18"/>
          <w:lang w:val="en-US"/>
        </w:rPr>
        <w:t xml:space="preserve"> [L/h]) is fed in countercurrent to the liquid. The liquid flowing out the column is discharged into another tank with a maximum capacity of 20 liters. The concentration of SO</w:t>
      </w:r>
      <w:r w:rsidRPr="000F0574">
        <w:rPr>
          <w:rFonts w:cs="Arial"/>
          <w:szCs w:val="18"/>
          <w:vertAlign w:val="subscript"/>
          <w:lang w:val="en-US"/>
        </w:rPr>
        <w:t>2</w:t>
      </w:r>
      <w:r w:rsidRPr="000F0574">
        <w:rPr>
          <w:rFonts w:cs="Arial"/>
          <w:szCs w:val="18"/>
          <w:lang w:val="en-US"/>
        </w:rPr>
        <w:t xml:space="preserve"> in the gas stream at the column outlet (C</w:t>
      </w:r>
      <w:r w:rsidRPr="000F0574">
        <w:rPr>
          <w:rFonts w:cs="Arial"/>
          <w:szCs w:val="18"/>
          <w:vertAlign w:val="subscript"/>
          <w:lang w:val="en-US"/>
        </w:rPr>
        <w:t>SO2(g</w:t>
      </w:r>
      <w:proofErr w:type="gramStart"/>
      <w:r w:rsidRPr="000F0574">
        <w:rPr>
          <w:rFonts w:cs="Arial"/>
          <w:szCs w:val="18"/>
          <w:vertAlign w:val="subscript"/>
          <w:lang w:val="en-US"/>
        </w:rPr>
        <w:t>),out</w:t>
      </w:r>
      <w:proofErr w:type="gramEnd"/>
      <w:r w:rsidRPr="000F0574">
        <w:rPr>
          <w:rFonts w:cs="Arial"/>
          <w:szCs w:val="18"/>
          <w:lang w:val="en-US"/>
        </w:rPr>
        <w:t xml:space="preserve"> [</w:t>
      </w:r>
      <w:proofErr w:type="spellStart"/>
      <w:r w:rsidRPr="000F0574">
        <w:rPr>
          <w:rFonts w:cs="Arial"/>
          <w:szCs w:val="18"/>
          <w:lang w:val="en-US"/>
        </w:rPr>
        <w:t>ppm</w:t>
      </w:r>
      <w:r w:rsidRPr="000F0574">
        <w:rPr>
          <w:rFonts w:cs="Arial"/>
          <w:szCs w:val="18"/>
          <w:vertAlign w:val="subscript"/>
          <w:lang w:val="en-US"/>
        </w:rPr>
        <w:t>v</w:t>
      </w:r>
      <w:proofErr w:type="spellEnd"/>
      <w:r w:rsidRPr="000F0574">
        <w:rPr>
          <w:rFonts w:cs="Arial"/>
          <w:szCs w:val="18"/>
          <w:lang w:val="en-US"/>
        </w:rPr>
        <w:t xml:space="preserve">]) is monitored over time using a </w:t>
      </w:r>
      <w:proofErr w:type="spellStart"/>
      <w:r w:rsidRPr="000F0574">
        <w:rPr>
          <w:rFonts w:cs="Arial"/>
          <w:szCs w:val="18"/>
          <w:lang w:val="en-US"/>
        </w:rPr>
        <w:t>Pollutek</w:t>
      </w:r>
      <w:proofErr w:type="spellEnd"/>
      <w:r w:rsidRPr="000F0574">
        <w:rPr>
          <w:rFonts w:cs="Arial"/>
          <w:szCs w:val="18"/>
          <w:lang w:val="en-US"/>
        </w:rPr>
        <w:t xml:space="preserve"> Gas Analysis system with dual range 0 - 600 and 0 - 3000 </w:t>
      </w:r>
      <w:proofErr w:type="spellStart"/>
      <w:r w:rsidRPr="000F0574">
        <w:rPr>
          <w:rFonts w:cs="Arial"/>
          <w:szCs w:val="18"/>
          <w:lang w:val="en-US"/>
        </w:rPr>
        <w:t>ppm</w:t>
      </w:r>
      <w:r w:rsidRPr="000F0574">
        <w:rPr>
          <w:rFonts w:cs="Arial"/>
          <w:szCs w:val="18"/>
          <w:vertAlign w:val="subscript"/>
          <w:lang w:val="en-US"/>
        </w:rPr>
        <w:t>v</w:t>
      </w:r>
      <w:proofErr w:type="spellEnd"/>
      <w:r w:rsidRPr="000F0574">
        <w:rPr>
          <w:rFonts w:cs="Arial"/>
          <w:szCs w:val="18"/>
          <w:lang w:val="en-US"/>
        </w:rPr>
        <w:t xml:space="preserve"> with accuracy 0.1 </w:t>
      </w:r>
      <w:proofErr w:type="spellStart"/>
      <w:r w:rsidRPr="000F0574">
        <w:rPr>
          <w:rFonts w:cs="Arial"/>
          <w:szCs w:val="18"/>
          <w:lang w:val="en-US"/>
        </w:rPr>
        <w:t>ppm</w:t>
      </w:r>
      <w:r w:rsidRPr="000F0574">
        <w:rPr>
          <w:rFonts w:cs="Arial"/>
          <w:szCs w:val="18"/>
          <w:vertAlign w:val="subscript"/>
          <w:lang w:val="en-US"/>
        </w:rPr>
        <w:t>v</w:t>
      </w:r>
      <w:proofErr w:type="spellEnd"/>
      <w:r w:rsidRPr="000F0574">
        <w:rPr>
          <w:rFonts w:cs="Arial"/>
          <w:szCs w:val="18"/>
          <w:lang w:val="en-US"/>
        </w:rPr>
        <w:t xml:space="preserve"> and providing 0.1% deviation from the full scale.</w:t>
      </w:r>
    </w:p>
    <w:p w14:paraId="341F508E" w14:textId="55D29DD6" w:rsidR="005B4CE4" w:rsidRPr="005B4CE4" w:rsidRDefault="005B4CE4" w:rsidP="005B4CE4">
      <w:pPr>
        <w:tabs>
          <w:tab w:val="clear" w:pos="7100"/>
        </w:tabs>
        <w:spacing w:line="240" w:lineRule="auto"/>
        <w:rPr>
          <w:rFonts w:cs="Arial"/>
          <w:szCs w:val="18"/>
          <w:lang w:val="en-US"/>
        </w:rPr>
      </w:pPr>
      <w:r w:rsidRPr="000F0574">
        <w:rPr>
          <w:rFonts w:cs="Arial"/>
          <w:szCs w:val="18"/>
          <w:lang w:val="en-US"/>
        </w:rPr>
        <w:t>The ammonia concentrations used in the experiments were selected based on the investigated gas and liquid flow rates, including SO</w:t>
      </w:r>
      <w:r w:rsidRPr="000F0574">
        <w:rPr>
          <w:rFonts w:cs="Arial"/>
          <w:szCs w:val="18"/>
          <w:vertAlign w:val="subscript"/>
          <w:lang w:val="en-US"/>
        </w:rPr>
        <w:t>2</w:t>
      </w:r>
      <w:r w:rsidRPr="000F0574">
        <w:rPr>
          <w:rFonts w:cs="Arial"/>
          <w:szCs w:val="18"/>
          <w:lang w:val="en-US"/>
        </w:rPr>
        <w:t xml:space="preserve"> inlet concentrations to explore a broad range of the feed molar NH</w:t>
      </w:r>
      <w:r w:rsidRPr="000F0574">
        <w:rPr>
          <w:rFonts w:cs="Arial"/>
          <w:szCs w:val="18"/>
          <w:vertAlign w:val="subscript"/>
          <w:lang w:val="en-US"/>
        </w:rPr>
        <w:t>3(</w:t>
      </w:r>
      <w:proofErr w:type="spellStart"/>
      <w:r w:rsidRPr="000F0574">
        <w:rPr>
          <w:rFonts w:cs="Arial"/>
          <w:szCs w:val="18"/>
          <w:vertAlign w:val="subscript"/>
          <w:lang w:val="en-US"/>
        </w:rPr>
        <w:t>aq</w:t>
      </w:r>
      <w:proofErr w:type="spellEnd"/>
      <w:r w:rsidRPr="000F0574">
        <w:rPr>
          <w:rFonts w:cs="Arial"/>
          <w:szCs w:val="18"/>
          <w:vertAlign w:val="subscript"/>
          <w:lang w:val="en-US"/>
        </w:rPr>
        <w:t>)</w:t>
      </w:r>
      <w:r w:rsidRPr="000F0574">
        <w:rPr>
          <w:rFonts w:cs="Arial"/>
          <w:szCs w:val="18"/>
          <w:lang w:val="en-US"/>
        </w:rPr>
        <w:t>/SO</w:t>
      </w:r>
      <w:r w:rsidRPr="000F0574">
        <w:rPr>
          <w:rFonts w:cs="Arial"/>
          <w:szCs w:val="18"/>
          <w:vertAlign w:val="subscript"/>
          <w:lang w:val="en-US"/>
        </w:rPr>
        <w:t>2(g)</w:t>
      </w:r>
      <w:r w:rsidRPr="000F0574">
        <w:rPr>
          <w:rFonts w:cs="Arial"/>
          <w:szCs w:val="18"/>
          <w:lang w:val="en-US"/>
        </w:rPr>
        <w:t xml:space="preserve"> ratio (</w:t>
      </w:r>
      <w:proofErr w:type="spellStart"/>
      <w:r w:rsidRPr="000F0574">
        <w:rPr>
          <w:rFonts w:cs="Arial"/>
          <w:szCs w:val="18"/>
          <w:lang w:val="en-US"/>
        </w:rPr>
        <w:t>r</w:t>
      </w:r>
      <w:r w:rsidRPr="000F0574">
        <w:rPr>
          <w:rFonts w:cs="Arial"/>
          <w:szCs w:val="18"/>
          <w:vertAlign w:val="subscript"/>
          <w:lang w:val="en-US"/>
        </w:rPr>
        <w:t>op</w:t>
      </w:r>
      <w:proofErr w:type="spellEnd"/>
      <w:r w:rsidRPr="000F0574">
        <w:rPr>
          <w:rFonts w:cs="Arial"/>
          <w:szCs w:val="18"/>
          <w:lang w:val="en-US"/>
        </w:rPr>
        <w:t xml:space="preserve">), </w:t>
      </w:r>
      <w:proofErr w:type="gramStart"/>
      <w:r w:rsidRPr="000F0574">
        <w:rPr>
          <w:rFonts w:cs="Arial"/>
          <w:szCs w:val="18"/>
          <w:lang w:val="en-US"/>
        </w:rPr>
        <w:t>i.e.</w:t>
      </w:r>
      <w:proofErr w:type="gramEnd"/>
      <w:r w:rsidRPr="000F0574">
        <w:rPr>
          <w:rFonts w:cs="Arial"/>
          <w:szCs w:val="18"/>
          <w:lang w:val="en-US"/>
        </w:rPr>
        <w:t xml:space="preserve"> with NH</w:t>
      </w:r>
      <w:r w:rsidRPr="000F0574">
        <w:rPr>
          <w:rFonts w:cs="Arial"/>
          <w:szCs w:val="18"/>
          <w:vertAlign w:val="subscript"/>
          <w:lang w:val="en-US"/>
        </w:rPr>
        <w:t>3</w:t>
      </w:r>
      <w:r w:rsidRPr="000F0574">
        <w:rPr>
          <w:rFonts w:cs="Arial"/>
          <w:szCs w:val="18"/>
          <w:lang w:val="en-US"/>
        </w:rPr>
        <w:t xml:space="preserve"> strongly in defect or in excess respect to SO</w:t>
      </w:r>
      <w:r w:rsidRPr="000F0574">
        <w:rPr>
          <w:rFonts w:cs="Arial"/>
          <w:szCs w:val="18"/>
          <w:vertAlign w:val="subscript"/>
          <w:lang w:val="en-US"/>
        </w:rPr>
        <w:t>2</w:t>
      </w:r>
      <w:r w:rsidRPr="000F0574">
        <w:rPr>
          <w:rFonts w:cs="Arial"/>
          <w:szCs w:val="18"/>
          <w:lang w:val="en-US"/>
        </w:rPr>
        <w:t>, up to values close to the stoichiometric one (equal to 2, see Eq. (1)). The main process parameters in the experiments are summarized in Table 1, including the gas-side (</w:t>
      </w:r>
      <w:proofErr w:type="gramStart"/>
      <w:r w:rsidRPr="000F0574">
        <w:rPr>
          <w:rFonts w:cs="Arial"/>
          <w:szCs w:val="18"/>
          <w:lang w:val="en-US"/>
        </w:rPr>
        <w:t>k</w:t>
      </w:r>
      <w:r w:rsidRPr="000F0574">
        <w:rPr>
          <w:rFonts w:cs="Arial"/>
          <w:szCs w:val="18"/>
          <w:vertAlign w:val="subscript"/>
          <w:lang w:val="en-US"/>
        </w:rPr>
        <w:t>G,SO</w:t>
      </w:r>
      <w:proofErr w:type="gramEnd"/>
      <w:r w:rsidRPr="000F0574">
        <w:rPr>
          <w:rFonts w:cs="Arial"/>
          <w:szCs w:val="18"/>
          <w:vertAlign w:val="subscript"/>
          <w:lang w:val="en-US"/>
        </w:rPr>
        <w:t>2</w:t>
      </w:r>
      <w:r w:rsidRPr="000F0574">
        <w:rPr>
          <w:rFonts w:cs="Arial"/>
          <w:szCs w:val="18"/>
          <w:lang w:val="en-US"/>
        </w:rPr>
        <w:t xml:space="preserve"> [m/s]) and liquid-side (k</w:t>
      </w:r>
      <w:r w:rsidRPr="000F0574">
        <w:rPr>
          <w:rFonts w:cs="Arial"/>
          <w:szCs w:val="18"/>
          <w:vertAlign w:val="subscript"/>
          <w:lang w:val="en-US"/>
        </w:rPr>
        <w:t>L,SO2</w:t>
      </w:r>
      <w:r w:rsidRPr="000F0574">
        <w:rPr>
          <w:rFonts w:cs="Arial"/>
          <w:szCs w:val="18"/>
          <w:lang w:val="en-US"/>
        </w:rPr>
        <w:t xml:space="preserve"> [m/s]) volumetric coefficients calculated by </w:t>
      </w:r>
      <w:r w:rsidR="005D2E99" w:rsidRPr="000F0574">
        <w:rPr>
          <w:rFonts w:cs="Arial"/>
          <w:szCs w:val="18"/>
        </w:rPr>
        <w:t>Flagiello et al. (2022b)</w:t>
      </w:r>
      <w:r w:rsidR="005D2E99">
        <w:rPr>
          <w:rFonts w:cs="Arial"/>
          <w:szCs w:val="18"/>
          <w:lang w:val="en-US"/>
        </w:rPr>
        <w:t xml:space="preserve"> </w:t>
      </w:r>
      <w:r w:rsidRPr="005B4CE4">
        <w:rPr>
          <w:rFonts w:cs="Arial"/>
          <w:szCs w:val="18"/>
          <w:lang w:val="en-US"/>
        </w:rPr>
        <w:t>using the same operating conditions and experimental set-up of the present work.</w:t>
      </w:r>
    </w:p>
    <w:p w14:paraId="02A60469" w14:textId="77777777" w:rsidR="0094206B" w:rsidRPr="00295317" w:rsidRDefault="0094206B" w:rsidP="0094206B">
      <w:pPr>
        <w:pStyle w:val="CETTabletitle"/>
      </w:pPr>
      <w:r w:rsidRPr="00295317">
        <w:t xml:space="preserve">Table 1: Main process parameters in the absorption experiments </w:t>
      </w:r>
      <w:r>
        <w:t>with</w:t>
      </w:r>
      <w:r w:rsidRPr="00295317">
        <w:t xml:space="preserve"> falling-film absorber unit. </w:t>
      </w:r>
    </w:p>
    <w:tbl>
      <w:tblPr>
        <w:tblW w:w="5002" w:type="pct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2"/>
        <w:gridCol w:w="879"/>
        <w:gridCol w:w="879"/>
        <w:gridCol w:w="879"/>
        <w:gridCol w:w="879"/>
        <w:gridCol w:w="879"/>
        <w:gridCol w:w="879"/>
        <w:gridCol w:w="879"/>
        <w:gridCol w:w="879"/>
        <w:gridCol w:w="877"/>
      </w:tblGrid>
      <w:tr w:rsidR="00BD4428" w:rsidRPr="00295317" w14:paraId="5CE5A86A" w14:textId="77777777" w:rsidTr="00512350">
        <w:trPr>
          <w:jc w:val="center"/>
        </w:trPr>
        <w:tc>
          <w:tcPr>
            <w:tcW w:w="50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603EEC9" w14:textId="77777777" w:rsidR="0094206B" w:rsidRPr="00295317" w:rsidRDefault="0094206B" w:rsidP="00CC2195">
            <w:pPr>
              <w:pStyle w:val="CETBodytext"/>
              <w:jc w:val="center"/>
              <w:rPr>
                <w:lang w:val="en-GB"/>
              </w:rPr>
            </w:pPr>
            <w:r w:rsidRPr="00295317">
              <w:rPr>
                <w:lang w:val="en-GB"/>
              </w:rPr>
              <w:t>T</w:t>
            </w:r>
          </w:p>
          <w:p w14:paraId="4FEC692A" w14:textId="77777777" w:rsidR="0094206B" w:rsidRPr="00295317" w:rsidRDefault="0094206B" w:rsidP="00CC2195">
            <w:pPr>
              <w:pStyle w:val="CETBodytext"/>
              <w:jc w:val="center"/>
              <w:rPr>
                <w:lang w:val="en-GB"/>
              </w:rPr>
            </w:pPr>
            <w:r w:rsidRPr="00295317">
              <w:rPr>
                <w:lang w:val="en-GB"/>
              </w:rPr>
              <w:t>[°C]</w:t>
            </w:r>
          </w:p>
        </w:tc>
        <w:tc>
          <w:tcPr>
            <w:tcW w:w="50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B8B606D" w14:textId="77777777" w:rsidR="0094206B" w:rsidRPr="00000262" w:rsidRDefault="0094206B" w:rsidP="00CC2195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  <w:p w14:paraId="6CFF0C36" w14:textId="77777777" w:rsidR="0094206B" w:rsidRPr="00295317" w:rsidRDefault="0094206B" w:rsidP="00CC2195">
            <w:pPr>
              <w:pStyle w:val="CETBodytext"/>
              <w:jc w:val="center"/>
              <w:rPr>
                <w:lang w:val="en-GB"/>
              </w:rPr>
            </w:pPr>
            <w:r w:rsidRPr="00295317">
              <w:rPr>
                <w:lang w:val="en-GB"/>
              </w:rPr>
              <w:t>[</w:t>
            </w:r>
            <w:proofErr w:type="spellStart"/>
            <w:r>
              <w:rPr>
                <w:lang w:val="en-GB"/>
              </w:rPr>
              <w:t>atm</w:t>
            </w:r>
            <w:proofErr w:type="spellEnd"/>
            <w:r w:rsidRPr="00295317">
              <w:rPr>
                <w:lang w:val="en-GB"/>
              </w:rPr>
              <w:t>]</w:t>
            </w:r>
          </w:p>
        </w:tc>
        <w:tc>
          <w:tcPr>
            <w:tcW w:w="50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0F8472EC" w14:textId="77777777" w:rsidR="0094206B" w:rsidRPr="00295317" w:rsidRDefault="0094206B" w:rsidP="00CC2195">
            <w:pPr>
              <w:pStyle w:val="CETBodytext"/>
              <w:jc w:val="center"/>
              <w:rPr>
                <w:vertAlign w:val="subscript"/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G</w:t>
            </w:r>
            <w:r w:rsidRPr="00295317">
              <w:rPr>
                <w:vertAlign w:val="subscript"/>
                <w:lang w:val="en-GB"/>
              </w:rPr>
              <w:t>v,in</w:t>
            </w:r>
            <w:proofErr w:type="spellEnd"/>
            <w:proofErr w:type="gramEnd"/>
          </w:p>
          <w:p w14:paraId="67399296" w14:textId="77777777" w:rsidR="0094206B" w:rsidRPr="003A48AD" w:rsidRDefault="0094206B" w:rsidP="00CC2195">
            <w:pPr>
              <w:pStyle w:val="CETBodytext"/>
              <w:jc w:val="center"/>
              <w:rPr>
                <w:vertAlign w:val="subscript"/>
                <w:lang w:val="en-GB"/>
              </w:rPr>
            </w:pPr>
            <w:r w:rsidRPr="00295317">
              <w:rPr>
                <w:lang w:val="en-GB"/>
              </w:rPr>
              <w:t>[L/h]</w:t>
            </w:r>
          </w:p>
        </w:tc>
        <w:tc>
          <w:tcPr>
            <w:tcW w:w="50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6B96FF1" w14:textId="77777777" w:rsidR="0094206B" w:rsidRPr="00295317" w:rsidRDefault="0094206B" w:rsidP="00CC2195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bscript"/>
                <w:lang w:val="en-GB"/>
              </w:rPr>
            </w:pPr>
            <w:proofErr w:type="spellStart"/>
            <w:proofErr w:type="gramStart"/>
            <w:r w:rsidRPr="00295317">
              <w:rPr>
                <w:rFonts w:cs="Arial"/>
                <w:szCs w:val="18"/>
                <w:lang w:val="en-GB"/>
              </w:rPr>
              <w:t>L</w:t>
            </w:r>
            <w:r w:rsidRPr="00295317">
              <w:rPr>
                <w:rFonts w:cs="Arial"/>
                <w:szCs w:val="18"/>
                <w:vertAlign w:val="subscript"/>
                <w:lang w:val="en-GB"/>
              </w:rPr>
              <w:t>v,in</w:t>
            </w:r>
            <w:proofErr w:type="spellEnd"/>
            <w:proofErr w:type="gramEnd"/>
          </w:p>
          <w:p w14:paraId="33083629" w14:textId="77777777" w:rsidR="0094206B" w:rsidRPr="00295317" w:rsidRDefault="0094206B" w:rsidP="00CC219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lang w:val="en-GB"/>
              </w:rPr>
              <w:t>[L/h]</w:t>
            </w:r>
          </w:p>
        </w:tc>
        <w:tc>
          <w:tcPr>
            <w:tcW w:w="50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D1292EB" w14:textId="77777777" w:rsidR="0094206B" w:rsidRPr="00295317" w:rsidRDefault="0094206B" w:rsidP="00CC2195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bscript"/>
                <w:lang w:val="it-IT"/>
              </w:rPr>
            </w:pPr>
            <w:r w:rsidRPr="00295317">
              <w:rPr>
                <w:rFonts w:cs="Arial"/>
                <w:szCs w:val="18"/>
                <w:lang w:val="it-IT"/>
              </w:rPr>
              <w:t>L/G</w:t>
            </w:r>
          </w:p>
          <w:p w14:paraId="2C9B1AE9" w14:textId="77777777" w:rsidR="0094206B" w:rsidRPr="00295317" w:rsidRDefault="0094206B" w:rsidP="00CC2195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295317">
              <w:rPr>
                <w:lang w:val="it-IT"/>
              </w:rPr>
              <w:t>[L/m</w:t>
            </w:r>
            <w:r w:rsidRPr="00295317">
              <w:rPr>
                <w:vertAlign w:val="superscript"/>
                <w:lang w:val="it-IT"/>
              </w:rPr>
              <w:t>3</w:t>
            </w:r>
            <w:r w:rsidRPr="00295317">
              <w:rPr>
                <w:lang w:val="it-IT"/>
              </w:rPr>
              <w:t>]</w:t>
            </w:r>
          </w:p>
        </w:tc>
        <w:tc>
          <w:tcPr>
            <w:tcW w:w="50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5F8892E" w14:textId="7A1D9A34" w:rsidR="0094206B" w:rsidRPr="00295317" w:rsidRDefault="0094206B" w:rsidP="0094206B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bscript"/>
                <w:lang w:val="en-GB"/>
              </w:rPr>
            </w:pPr>
            <w:proofErr w:type="gramStart"/>
            <w:r>
              <w:rPr>
                <w:rFonts w:cs="Arial"/>
                <w:szCs w:val="18"/>
                <w:lang w:val="en-GB"/>
              </w:rPr>
              <w:t>k</w:t>
            </w:r>
            <w:r>
              <w:rPr>
                <w:rFonts w:cs="Arial"/>
                <w:szCs w:val="18"/>
                <w:vertAlign w:val="subscript"/>
                <w:lang w:val="en-GB"/>
              </w:rPr>
              <w:t>G</w:t>
            </w:r>
            <w:r w:rsidRPr="00295317">
              <w:rPr>
                <w:rFonts w:cs="Arial"/>
                <w:szCs w:val="18"/>
                <w:vertAlign w:val="subscript"/>
                <w:lang w:val="en-GB"/>
              </w:rPr>
              <w:t>,</w:t>
            </w:r>
            <w:r>
              <w:rPr>
                <w:rFonts w:cs="Arial"/>
                <w:szCs w:val="18"/>
                <w:vertAlign w:val="subscript"/>
                <w:lang w:val="en-GB"/>
              </w:rPr>
              <w:t>SO</w:t>
            </w:r>
            <w:proofErr w:type="gramEnd"/>
            <w:r>
              <w:rPr>
                <w:rFonts w:cs="Arial"/>
                <w:szCs w:val="18"/>
                <w:vertAlign w:val="subscript"/>
                <w:lang w:val="en-GB"/>
              </w:rPr>
              <w:t>2</w:t>
            </w:r>
          </w:p>
          <w:p w14:paraId="0471D728" w14:textId="779BED0C" w:rsidR="0094206B" w:rsidRPr="00295317" w:rsidRDefault="0094206B" w:rsidP="0094206B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lang w:val="en-GB"/>
              </w:rPr>
              <w:t>[</w:t>
            </w:r>
            <w:r>
              <w:rPr>
                <w:lang w:val="en-GB"/>
              </w:rPr>
              <w:t>m/s</w:t>
            </w:r>
            <w:r w:rsidRPr="00295317">
              <w:rPr>
                <w:lang w:val="en-GB"/>
              </w:rPr>
              <w:t>]</w:t>
            </w:r>
          </w:p>
        </w:tc>
        <w:tc>
          <w:tcPr>
            <w:tcW w:w="50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808BB9A" w14:textId="5D351FBD" w:rsidR="0094206B" w:rsidRPr="00295317" w:rsidRDefault="0039675C" w:rsidP="0094206B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bscript"/>
                <w:lang w:val="en-GB"/>
              </w:rPr>
            </w:pPr>
            <w:proofErr w:type="gramStart"/>
            <w:r w:rsidRPr="0039675C">
              <w:rPr>
                <w:rFonts w:cs="Arial"/>
                <w:szCs w:val="18"/>
                <w:lang w:val="en-GB"/>
              </w:rPr>
              <w:t>k</w:t>
            </w:r>
            <w:r w:rsidR="0094206B">
              <w:rPr>
                <w:rFonts w:cs="Arial"/>
                <w:szCs w:val="18"/>
                <w:vertAlign w:val="subscript"/>
                <w:lang w:val="en-GB"/>
              </w:rPr>
              <w:t>L</w:t>
            </w:r>
            <w:r w:rsidR="0094206B" w:rsidRPr="00295317">
              <w:rPr>
                <w:rFonts w:cs="Arial"/>
                <w:szCs w:val="18"/>
                <w:vertAlign w:val="subscript"/>
                <w:lang w:val="en-GB"/>
              </w:rPr>
              <w:t>,</w:t>
            </w:r>
            <w:r w:rsidR="0094206B">
              <w:rPr>
                <w:rFonts w:cs="Arial"/>
                <w:szCs w:val="18"/>
                <w:vertAlign w:val="subscript"/>
                <w:lang w:val="en-GB"/>
              </w:rPr>
              <w:t>SO</w:t>
            </w:r>
            <w:proofErr w:type="gramEnd"/>
            <w:r w:rsidR="0094206B">
              <w:rPr>
                <w:rFonts w:cs="Arial"/>
                <w:szCs w:val="18"/>
                <w:vertAlign w:val="subscript"/>
                <w:lang w:val="en-GB"/>
              </w:rPr>
              <w:t>2</w:t>
            </w:r>
          </w:p>
          <w:p w14:paraId="065B8685" w14:textId="5211C63B" w:rsidR="0094206B" w:rsidRPr="00295317" w:rsidRDefault="0094206B" w:rsidP="0094206B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lang w:val="en-GB"/>
              </w:rPr>
              <w:t>[</w:t>
            </w:r>
            <w:r>
              <w:rPr>
                <w:lang w:val="en-GB"/>
              </w:rPr>
              <w:t>m/s</w:t>
            </w:r>
            <w:r w:rsidRPr="00295317">
              <w:rPr>
                <w:lang w:val="en-GB"/>
              </w:rPr>
              <w:t>]</w:t>
            </w:r>
          </w:p>
        </w:tc>
        <w:tc>
          <w:tcPr>
            <w:tcW w:w="50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56438CE" w14:textId="42B72036" w:rsidR="0094206B" w:rsidRPr="00295317" w:rsidRDefault="0094206B" w:rsidP="00CC2195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bscript"/>
                <w:lang w:val="en-GB"/>
              </w:rPr>
            </w:pPr>
            <w:r w:rsidRPr="00295317">
              <w:rPr>
                <w:rFonts w:cs="Arial"/>
                <w:szCs w:val="18"/>
                <w:lang w:val="en-GB"/>
              </w:rPr>
              <w:t>C</w:t>
            </w:r>
            <w:r w:rsidRPr="00295317">
              <w:rPr>
                <w:rFonts w:cs="Arial"/>
                <w:szCs w:val="18"/>
                <w:vertAlign w:val="subscript"/>
                <w:lang w:val="en-GB"/>
              </w:rPr>
              <w:t>SO2(g</w:t>
            </w:r>
            <w:proofErr w:type="gramStart"/>
            <w:r w:rsidRPr="00295317">
              <w:rPr>
                <w:rFonts w:cs="Arial"/>
                <w:szCs w:val="18"/>
                <w:vertAlign w:val="subscript"/>
                <w:lang w:val="en-GB"/>
              </w:rPr>
              <w:t>),in</w:t>
            </w:r>
            <w:proofErr w:type="gramEnd"/>
          </w:p>
          <w:p w14:paraId="00E420B7" w14:textId="77777777" w:rsidR="0094206B" w:rsidRPr="00295317" w:rsidRDefault="0094206B" w:rsidP="00CC219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lang w:val="en-GB"/>
              </w:rPr>
              <w:t>[</w:t>
            </w:r>
            <w:proofErr w:type="spellStart"/>
            <w:r w:rsidRPr="00295317">
              <w:rPr>
                <w:lang w:val="en-GB"/>
              </w:rPr>
              <w:t>ppm</w:t>
            </w:r>
            <w:r w:rsidRPr="00295317">
              <w:rPr>
                <w:vertAlign w:val="subscript"/>
                <w:lang w:val="en-GB"/>
              </w:rPr>
              <w:t>v</w:t>
            </w:r>
            <w:proofErr w:type="spellEnd"/>
            <w:r w:rsidRPr="00295317">
              <w:rPr>
                <w:lang w:val="en-GB"/>
              </w:rPr>
              <w:t>]</w:t>
            </w:r>
          </w:p>
        </w:tc>
        <w:tc>
          <w:tcPr>
            <w:tcW w:w="50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AC7B2D8" w14:textId="77777777" w:rsidR="0094206B" w:rsidRPr="00295317" w:rsidRDefault="0094206B" w:rsidP="00CC2195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bscript"/>
                <w:lang w:val="en-GB"/>
              </w:rPr>
            </w:pPr>
            <w:r w:rsidRPr="00295317">
              <w:rPr>
                <w:rFonts w:cs="Arial"/>
                <w:szCs w:val="18"/>
                <w:lang w:val="en-GB"/>
              </w:rPr>
              <w:t>C</w:t>
            </w:r>
            <w:r w:rsidRPr="00295317">
              <w:rPr>
                <w:rFonts w:cs="Arial"/>
                <w:szCs w:val="18"/>
                <w:vertAlign w:val="subscript"/>
                <w:lang w:val="en-GB"/>
              </w:rPr>
              <w:t>NH3(</w:t>
            </w:r>
            <w:proofErr w:type="spellStart"/>
            <w:r w:rsidRPr="00295317">
              <w:rPr>
                <w:rFonts w:cs="Arial"/>
                <w:szCs w:val="18"/>
                <w:vertAlign w:val="subscript"/>
                <w:lang w:val="en-GB"/>
              </w:rPr>
              <w:t>aq</w:t>
            </w:r>
            <w:proofErr w:type="spellEnd"/>
            <w:proofErr w:type="gramStart"/>
            <w:r w:rsidRPr="00295317">
              <w:rPr>
                <w:rFonts w:cs="Arial"/>
                <w:szCs w:val="18"/>
                <w:vertAlign w:val="subscript"/>
                <w:lang w:val="en-GB"/>
              </w:rPr>
              <w:t>),in</w:t>
            </w:r>
            <w:proofErr w:type="gramEnd"/>
          </w:p>
          <w:p w14:paraId="6A24E24F" w14:textId="77777777" w:rsidR="0094206B" w:rsidRPr="00295317" w:rsidRDefault="0094206B" w:rsidP="00CC219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lang w:val="en-GB"/>
              </w:rPr>
              <w:t>[</w:t>
            </w:r>
            <w:r>
              <w:rPr>
                <w:lang w:val="en-GB"/>
              </w:rPr>
              <w:t>% w/w</w:t>
            </w:r>
            <w:r w:rsidRPr="00295317">
              <w:rPr>
                <w:lang w:val="en-GB"/>
              </w:rPr>
              <w:t>]</w:t>
            </w:r>
          </w:p>
        </w:tc>
        <w:tc>
          <w:tcPr>
            <w:tcW w:w="50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40ACDD6" w14:textId="77777777" w:rsidR="0094206B" w:rsidRPr="00295317" w:rsidRDefault="0094206B" w:rsidP="00CC2195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bscript"/>
                <w:lang w:val="en-GB"/>
              </w:rPr>
            </w:pPr>
            <w:proofErr w:type="spellStart"/>
            <w:r w:rsidRPr="00295317">
              <w:rPr>
                <w:rFonts w:cs="Arial"/>
                <w:szCs w:val="18"/>
                <w:lang w:val="en-GB"/>
              </w:rPr>
              <w:t>r</w:t>
            </w:r>
            <w:r w:rsidRPr="00295317">
              <w:rPr>
                <w:rFonts w:cs="Arial"/>
                <w:szCs w:val="18"/>
                <w:vertAlign w:val="subscript"/>
                <w:lang w:val="en-GB"/>
              </w:rPr>
              <w:t>op</w:t>
            </w:r>
            <w:proofErr w:type="spellEnd"/>
          </w:p>
          <w:p w14:paraId="4D875C1D" w14:textId="77777777" w:rsidR="0094206B" w:rsidRPr="00295317" w:rsidRDefault="0094206B" w:rsidP="00CC219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lang w:val="en-GB"/>
              </w:rPr>
              <w:t>[mol/mol]</w:t>
            </w:r>
          </w:p>
        </w:tc>
      </w:tr>
      <w:tr w:rsidR="00AC5E64" w:rsidRPr="00295317" w14:paraId="0A85F151" w14:textId="77777777" w:rsidTr="00512350">
        <w:trPr>
          <w:trHeight w:val="170"/>
          <w:jc w:val="center"/>
        </w:trPr>
        <w:tc>
          <w:tcPr>
            <w:tcW w:w="501" w:type="pct"/>
            <w:vMerge w:val="restart"/>
            <w:shd w:val="clear" w:color="auto" w:fill="FFFFFF"/>
            <w:vAlign w:val="center"/>
          </w:tcPr>
          <w:p w14:paraId="717AC937" w14:textId="77777777" w:rsidR="00AC5E64" w:rsidRPr="00295317" w:rsidRDefault="00AC5E64" w:rsidP="00ED236A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E86339A" w14:textId="77777777" w:rsidR="00AC5E64" w:rsidRPr="00295317" w:rsidRDefault="00AC5E64" w:rsidP="00ED236A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1.13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D764EB8" w14:textId="77777777" w:rsidR="00AC5E64" w:rsidRPr="00295317" w:rsidRDefault="00AC5E64" w:rsidP="00ED236A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503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EB6D663" w14:textId="77777777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rFonts w:cs="Arial"/>
                <w:szCs w:val="18"/>
                <w:lang w:val="en-GB"/>
              </w:rPr>
              <w:t>1</w:t>
            </w:r>
            <w:r>
              <w:rPr>
                <w:rFonts w:cs="Arial"/>
                <w:szCs w:val="18"/>
                <w:lang w:val="en-GB"/>
              </w:rPr>
              <w:t>8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74B833B" w14:textId="77777777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rFonts w:cs="Arial"/>
                <w:szCs w:val="18"/>
                <w:lang w:val="en-GB"/>
              </w:rPr>
              <w:t>3</w:t>
            </w:r>
            <w:r>
              <w:rPr>
                <w:rFonts w:cs="Arial"/>
                <w:szCs w:val="18"/>
                <w:lang w:val="en-GB"/>
              </w:rPr>
              <w:t>6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168A69D" w14:textId="3470069A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Calibri"/>
                <w:szCs w:val="18"/>
                <w:lang w:val="en-GB"/>
              </w:rPr>
              <w:t>1.79</w:t>
            </w:r>
            <w:r w:rsidRPr="00F61D56">
              <w:rPr>
                <w:rFonts w:ascii="Calibri" w:hAnsi="Calibri" w:cs="Calibri"/>
                <w:szCs w:val="18"/>
                <w:lang w:val="en-GB"/>
              </w:rPr>
              <w:t>∙</w:t>
            </w:r>
            <w:r>
              <w:rPr>
                <w:rFonts w:cs="Calibri"/>
                <w:szCs w:val="18"/>
                <w:lang w:val="en-GB"/>
              </w:rPr>
              <w:t>10</w:t>
            </w:r>
            <w:r w:rsidRPr="00F61D56">
              <w:rPr>
                <w:rFonts w:cs="Arial"/>
                <w:szCs w:val="18"/>
                <w:vertAlign w:val="superscript"/>
                <w:lang w:val="en-GB"/>
              </w:rPr>
              <w:t>-</w:t>
            </w:r>
            <w:r>
              <w:rPr>
                <w:rFonts w:cs="Arial"/>
                <w:szCs w:val="18"/>
                <w:vertAlign w:val="superscript"/>
                <w:lang w:val="en-GB"/>
              </w:rPr>
              <w:t>2</w:t>
            </w:r>
            <w:r w:rsidRPr="00F61D56">
              <w:rPr>
                <w:rFonts w:cs="Arial"/>
                <w:szCs w:val="18"/>
                <w:lang w:val="en-GB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2015CBB" w14:textId="586F3A6D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Calibri"/>
                <w:szCs w:val="18"/>
                <w:lang w:val="en-GB"/>
              </w:rPr>
              <w:t>2.06</w:t>
            </w:r>
            <w:r w:rsidRPr="00F61D56">
              <w:rPr>
                <w:rFonts w:ascii="Calibri" w:hAnsi="Calibri" w:cs="Calibri"/>
                <w:szCs w:val="18"/>
                <w:lang w:val="en-GB"/>
              </w:rPr>
              <w:t>∙</w:t>
            </w:r>
            <w:r>
              <w:rPr>
                <w:rFonts w:cs="Calibri"/>
                <w:szCs w:val="18"/>
                <w:lang w:val="en-GB"/>
              </w:rPr>
              <w:t>10</w:t>
            </w:r>
            <w:r w:rsidRPr="00F61D56">
              <w:rPr>
                <w:rFonts w:cs="Arial"/>
                <w:szCs w:val="18"/>
                <w:vertAlign w:val="superscript"/>
                <w:lang w:val="en-GB"/>
              </w:rPr>
              <w:t>-</w:t>
            </w:r>
            <w:r>
              <w:rPr>
                <w:rFonts w:cs="Arial"/>
                <w:szCs w:val="18"/>
                <w:vertAlign w:val="superscript"/>
                <w:lang w:val="en-GB"/>
              </w:rPr>
              <w:t>4</w:t>
            </w:r>
            <w:r w:rsidRPr="00F61D56">
              <w:rPr>
                <w:rFonts w:cs="Arial"/>
                <w:szCs w:val="18"/>
                <w:lang w:val="en-GB"/>
              </w:rPr>
              <w:t xml:space="preserve"> 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14:paraId="06F66486" w14:textId="455EC6D1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rFonts w:cs="Arial"/>
                <w:szCs w:val="18"/>
                <w:lang w:val="en-GB"/>
              </w:rPr>
              <w:t>from 395</w:t>
            </w:r>
          </w:p>
          <w:p w14:paraId="357B2659" w14:textId="77777777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rFonts w:cs="Arial"/>
                <w:szCs w:val="18"/>
                <w:lang w:val="en-GB"/>
              </w:rPr>
              <w:t xml:space="preserve">to </w:t>
            </w:r>
            <w:r>
              <w:rPr>
                <w:rFonts w:cs="Arial"/>
                <w:szCs w:val="18"/>
                <w:lang w:val="en-GB"/>
              </w:rPr>
              <w:t>2960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14:paraId="507AEA9D" w14:textId="5FFE0B60" w:rsidR="00AC5E64" w:rsidRPr="00F61D56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F61D56">
              <w:rPr>
                <w:rFonts w:cs="Arial"/>
                <w:szCs w:val="18"/>
                <w:lang w:val="en-GB"/>
              </w:rPr>
              <w:t>4</w:t>
            </w:r>
            <w:r w:rsidRPr="00F61D56">
              <w:rPr>
                <w:rFonts w:ascii="Calibri" w:hAnsi="Calibri" w:cs="Calibri"/>
                <w:szCs w:val="18"/>
                <w:lang w:val="en-GB"/>
              </w:rPr>
              <w:t>∙</w:t>
            </w:r>
            <w:r w:rsidRPr="00F61D56">
              <w:rPr>
                <w:rFonts w:cs="Arial"/>
                <w:szCs w:val="18"/>
                <w:lang w:val="en-GB"/>
              </w:rPr>
              <w:t>10</w:t>
            </w:r>
            <w:r w:rsidRPr="00F61D56">
              <w:rPr>
                <w:rFonts w:cs="Arial"/>
                <w:szCs w:val="18"/>
                <w:vertAlign w:val="superscript"/>
                <w:lang w:val="en-GB"/>
              </w:rPr>
              <w:t>-</w:t>
            </w:r>
            <w:r>
              <w:rPr>
                <w:rFonts w:cs="Arial"/>
                <w:szCs w:val="18"/>
                <w:vertAlign w:val="superscript"/>
                <w:lang w:val="en-GB"/>
              </w:rPr>
              <w:t>3</w:t>
            </w:r>
          </w:p>
          <w:p w14:paraId="1687716A" w14:textId="30075EB5" w:rsidR="00AC5E64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and</w:t>
            </w:r>
          </w:p>
          <w:p w14:paraId="6516A3F5" w14:textId="77777777" w:rsidR="00AC5E64" w:rsidRPr="00F61D56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F61D56">
              <w:rPr>
                <w:rFonts w:cs="Arial"/>
                <w:szCs w:val="18"/>
                <w:lang w:val="en-GB"/>
              </w:rPr>
              <w:t>1.6</w:t>
            </w:r>
            <w:r w:rsidRPr="00F61D56">
              <w:rPr>
                <w:rFonts w:ascii="Calibri" w:hAnsi="Calibri" w:cs="Calibri"/>
                <w:szCs w:val="18"/>
                <w:lang w:val="en-GB"/>
              </w:rPr>
              <w:t>∙</w:t>
            </w:r>
            <w:r w:rsidRPr="00F61D56">
              <w:rPr>
                <w:rFonts w:cs="Arial"/>
                <w:szCs w:val="18"/>
                <w:lang w:val="en-GB"/>
              </w:rPr>
              <w:t>10</w:t>
            </w:r>
            <w:r w:rsidRPr="00F61D56">
              <w:rPr>
                <w:rFonts w:cs="Arial"/>
                <w:szCs w:val="18"/>
                <w:vertAlign w:val="superscript"/>
                <w:lang w:val="en-GB"/>
              </w:rPr>
              <w:t>-</w:t>
            </w:r>
            <w:r>
              <w:rPr>
                <w:rFonts w:cs="Arial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14:paraId="2AF8544F" w14:textId="77777777" w:rsidR="00AC5E64" w:rsidRPr="00F61D56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F61D56">
              <w:rPr>
                <w:rFonts w:cs="Arial"/>
                <w:szCs w:val="18"/>
                <w:lang w:val="en-GB"/>
              </w:rPr>
              <w:t>from 0.62</w:t>
            </w:r>
          </w:p>
          <w:p w14:paraId="309CCD8A" w14:textId="13C71346" w:rsidR="00AC5E64" w:rsidRPr="00F61D56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F61D56">
              <w:rPr>
                <w:rFonts w:cs="Arial"/>
                <w:szCs w:val="18"/>
                <w:lang w:val="en-GB"/>
              </w:rPr>
              <w:t>to 46</w:t>
            </w:r>
          </w:p>
        </w:tc>
      </w:tr>
      <w:tr w:rsidR="00AC5E64" w:rsidRPr="00B57B36" w14:paraId="727261AE" w14:textId="77777777" w:rsidTr="00512350">
        <w:trPr>
          <w:trHeight w:val="170"/>
          <w:jc w:val="center"/>
        </w:trPr>
        <w:tc>
          <w:tcPr>
            <w:tcW w:w="501" w:type="pct"/>
            <w:vMerge/>
            <w:shd w:val="clear" w:color="auto" w:fill="FFFFFF"/>
            <w:vAlign w:val="center"/>
          </w:tcPr>
          <w:p w14:paraId="4F875D28" w14:textId="77777777" w:rsidR="00AC5E64" w:rsidRPr="00295317" w:rsidRDefault="00AC5E64" w:rsidP="00ED236A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14:paraId="170DB23B" w14:textId="77777777" w:rsidR="00AC5E64" w:rsidRPr="00295317" w:rsidRDefault="00AC5E64" w:rsidP="00ED236A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1.08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37B4E17" w14:textId="77777777" w:rsidR="00AC5E64" w:rsidRPr="00295317" w:rsidRDefault="00AC5E64" w:rsidP="00ED236A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408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C6F74DD" w14:textId="77777777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rFonts w:cs="Arial"/>
                <w:szCs w:val="18"/>
                <w:lang w:val="en-GB"/>
              </w:rPr>
              <w:t>22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AE31814" w14:textId="77777777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rFonts w:cs="Arial"/>
                <w:szCs w:val="18"/>
                <w:lang w:val="en-GB"/>
              </w:rPr>
              <w:t>54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4146FA6" w14:textId="2367869F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1.55</w:t>
            </w:r>
            <w:r w:rsidRPr="00F61D56">
              <w:rPr>
                <w:rFonts w:ascii="Calibri" w:hAnsi="Calibri" w:cs="Calibri"/>
                <w:szCs w:val="18"/>
                <w:lang w:val="en-GB"/>
              </w:rPr>
              <w:t>∙</w:t>
            </w:r>
            <w:r>
              <w:rPr>
                <w:rFonts w:cs="Calibri"/>
                <w:szCs w:val="18"/>
                <w:lang w:val="en-GB"/>
              </w:rPr>
              <w:t>10</w:t>
            </w:r>
            <w:r w:rsidRPr="00F61D56">
              <w:rPr>
                <w:rFonts w:cs="Arial"/>
                <w:szCs w:val="18"/>
                <w:vertAlign w:val="superscript"/>
                <w:lang w:val="en-GB"/>
              </w:rPr>
              <w:t>-</w:t>
            </w:r>
            <w:r>
              <w:rPr>
                <w:rFonts w:cs="Arial"/>
                <w:szCs w:val="18"/>
                <w:vertAlign w:val="superscript"/>
                <w:lang w:val="en-GB"/>
              </w:rPr>
              <w:t>2</w:t>
            </w:r>
            <w:r w:rsidRPr="00F61D56">
              <w:rPr>
                <w:rFonts w:cs="Arial"/>
                <w:szCs w:val="18"/>
                <w:lang w:val="en-GB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3FBBF94" w14:textId="15169AF5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1.93</w:t>
            </w:r>
            <w:r w:rsidRPr="00F61D56">
              <w:rPr>
                <w:rFonts w:ascii="Calibri" w:hAnsi="Calibri" w:cs="Calibri"/>
                <w:szCs w:val="18"/>
                <w:lang w:val="en-GB"/>
              </w:rPr>
              <w:t>∙</w:t>
            </w:r>
            <w:r>
              <w:rPr>
                <w:rFonts w:cs="Calibri"/>
                <w:szCs w:val="18"/>
                <w:lang w:val="en-GB"/>
              </w:rPr>
              <w:t>10</w:t>
            </w:r>
            <w:r w:rsidRPr="00F61D56">
              <w:rPr>
                <w:rFonts w:cs="Arial"/>
                <w:szCs w:val="18"/>
                <w:vertAlign w:val="superscript"/>
                <w:lang w:val="en-GB"/>
              </w:rPr>
              <w:t>-</w:t>
            </w:r>
            <w:r>
              <w:rPr>
                <w:rFonts w:cs="Arial"/>
                <w:szCs w:val="18"/>
                <w:vertAlign w:val="superscript"/>
                <w:lang w:val="en-GB"/>
              </w:rPr>
              <w:t>4</w:t>
            </w:r>
            <w:r w:rsidRPr="00F61D56">
              <w:rPr>
                <w:rFonts w:cs="Arial"/>
                <w:szCs w:val="18"/>
                <w:lang w:val="en-GB"/>
              </w:rPr>
              <w:t xml:space="preserve"> 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14:paraId="051F9049" w14:textId="3168290E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500" w:type="pct"/>
            <w:vMerge/>
            <w:shd w:val="clear" w:color="auto" w:fill="FFFFFF"/>
            <w:vAlign w:val="center"/>
          </w:tcPr>
          <w:p w14:paraId="26EEEBE8" w14:textId="77777777" w:rsidR="00AC5E64" w:rsidRPr="00F61D56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500" w:type="pct"/>
            <w:vMerge/>
            <w:shd w:val="clear" w:color="auto" w:fill="FFFFFF"/>
            <w:vAlign w:val="center"/>
          </w:tcPr>
          <w:p w14:paraId="5221B6E5" w14:textId="49617A8A" w:rsidR="00AC5E64" w:rsidRPr="00F61D56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</w:tr>
      <w:tr w:rsidR="00AC5E64" w:rsidRPr="00B57B36" w14:paraId="7C3D229E" w14:textId="77777777" w:rsidTr="00512350">
        <w:trPr>
          <w:trHeight w:val="170"/>
          <w:jc w:val="center"/>
        </w:trPr>
        <w:tc>
          <w:tcPr>
            <w:tcW w:w="501" w:type="pct"/>
            <w:vMerge/>
            <w:shd w:val="clear" w:color="auto" w:fill="FFFFFF"/>
            <w:vAlign w:val="center"/>
          </w:tcPr>
          <w:p w14:paraId="291A3F08" w14:textId="77777777" w:rsidR="00AC5E64" w:rsidRPr="008013CF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14:paraId="6EF0E241" w14:textId="77777777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1.05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A24DB57" w14:textId="77777777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314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2FF58AB" w14:textId="77777777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rFonts w:cs="Arial"/>
                <w:szCs w:val="18"/>
                <w:lang w:val="en-GB"/>
              </w:rPr>
              <w:t>24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8F97D92" w14:textId="77777777" w:rsidR="00AC5E64" w:rsidRPr="00295317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95317">
              <w:rPr>
                <w:rFonts w:cs="Arial"/>
                <w:szCs w:val="18"/>
                <w:lang w:val="en-GB"/>
              </w:rPr>
              <w:t>76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4ABCF19" w14:textId="1975817F" w:rsidR="00AC5E64" w:rsidRPr="00FB5234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Calibri"/>
                <w:szCs w:val="18"/>
                <w:lang w:val="en-GB"/>
              </w:rPr>
              <w:t>1.29</w:t>
            </w:r>
            <w:r w:rsidRPr="00F61D56">
              <w:rPr>
                <w:rFonts w:ascii="Calibri" w:hAnsi="Calibri" w:cs="Calibri"/>
                <w:szCs w:val="18"/>
                <w:lang w:val="en-GB"/>
              </w:rPr>
              <w:t>∙</w:t>
            </w:r>
            <w:r>
              <w:rPr>
                <w:rFonts w:cs="Arial"/>
                <w:szCs w:val="18"/>
                <w:lang w:val="en-GB"/>
              </w:rPr>
              <w:t>10</w:t>
            </w:r>
            <w:r w:rsidRPr="00F61D56">
              <w:rPr>
                <w:rFonts w:cs="Arial"/>
                <w:szCs w:val="18"/>
                <w:vertAlign w:val="superscript"/>
                <w:lang w:val="en-GB"/>
              </w:rPr>
              <w:t>-</w:t>
            </w:r>
            <w:r>
              <w:rPr>
                <w:rFonts w:cs="Arial"/>
                <w:szCs w:val="18"/>
                <w:vertAlign w:val="superscript"/>
                <w:lang w:val="en-GB"/>
              </w:rPr>
              <w:t>2</w:t>
            </w:r>
            <w:r w:rsidRPr="00F61D56">
              <w:rPr>
                <w:rFonts w:cs="Arial"/>
                <w:szCs w:val="18"/>
                <w:lang w:val="en-GB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B459561" w14:textId="1B516716" w:rsidR="00AC5E64" w:rsidRPr="00FB5234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Calibri"/>
                <w:szCs w:val="18"/>
                <w:lang w:val="en-GB"/>
              </w:rPr>
              <w:t>1.66</w:t>
            </w:r>
            <w:r w:rsidRPr="00F61D56">
              <w:rPr>
                <w:rFonts w:ascii="Calibri" w:hAnsi="Calibri" w:cs="Calibri"/>
                <w:szCs w:val="18"/>
                <w:lang w:val="en-GB"/>
              </w:rPr>
              <w:t>∙</w:t>
            </w:r>
            <w:r>
              <w:rPr>
                <w:rFonts w:cs="Arial"/>
                <w:szCs w:val="18"/>
                <w:lang w:val="en-GB"/>
              </w:rPr>
              <w:t>10</w:t>
            </w:r>
            <w:r w:rsidRPr="00F61D56">
              <w:rPr>
                <w:rFonts w:cs="Arial"/>
                <w:szCs w:val="18"/>
                <w:vertAlign w:val="superscript"/>
                <w:lang w:val="en-GB"/>
              </w:rPr>
              <w:t>-</w:t>
            </w:r>
            <w:r>
              <w:rPr>
                <w:rFonts w:cs="Arial"/>
                <w:szCs w:val="18"/>
                <w:vertAlign w:val="superscript"/>
                <w:lang w:val="en-GB"/>
              </w:rPr>
              <w:t>4</w:t>
            </w:r>
            <w:r w:rsidRPr="00F61D56">
              <w:rPr>
                <w:rFonts w:cs="Arial"/>
                <w:szCs w:val="18"/>
                <w:lang w:val="en-GB"/>
              </w:rPr>
              <w:t xml:space="preserve"> 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14:paraId="165347FF" w14:textId="4DAFC5D7" w:rsidR="00AC5E64" w:rsidRPr="008013CF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</w:p>
        </w:tc>
        <w:tc>
          <w:tcPr>
            <w:tcW w:w="500" w:type="pct"/>
            <w:vMerge/>
            <w:shd w:val="clear" w:color="auto" w:fill="FFFFFF"/>
            <w:vAlign w:val="center"/>
          </w:tcPr>
          <w:p w14:paraId="13FDC227" w14:textId="77777777" w:rsidR="00AC5E64" w:rsidRPr="008013CF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</w:p>
        </w:tc>
        <w:tc>
          <w:tcPr>
            <w:tcW w:w="500" w:type="pct"/>
            <w:vMerge/>
            <w:shd w:val="clear" w:color="auto" w:fill="FFFFFF"/>
            <w:vAlign w:val="center"/>
          </w:tcPr>
          <w:p w14:paraId="090E14B5" w14:textId="77777777" w:rsidR="00AC5E64" w:rsidRPr="008013CF" w:rsidRDefault="00AC5E64" w:rsidP="00ED236A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</w:p>
        </w:tc>
      </w:tr>
    </w:tbl>
    <w:p w14:paraId="6D20C96D" w14:textId="49083484" w:rsidR="009547D4" w:rsidRPr="00B57B36" w:rsidRDefault="00B8211F" w:rsidP="00053887">
      <w:pPr>
        <w:pStyle w:val="CETheadingx"/>
      </w:pPr>
      <w:r w:rsidRPr="00B8211F">
        <w:t>Data Analysis</w:t>
      </w:r>
    </w:p>
    <w:p w14:paraId="354E439B" w14:textId="4661CE46" w:rsidR="00956ADA" w:rsidRPr="009E7FA6" w:rsidRDefault="00956ADA" w:rsidP="00956ADA">
      <w:pPr>
        <w:pStyle w:val="StyleFigureCaptionCentr"/>
        <w:jc w:val="both"/>
        <w:rPr>
          <w:rFonts w:ascii="Arial" w:hAnsi="Arial" w:cs="Arial"/>
          <w:sz w:val="18"/>
          <w:szCs w:val="18"/>
          <w:lang w:val="en-GB"/>
        </w:rPr>
      </w:pPr>
      <w:r w:rsidRPr="00956ADA">
        <w:rPr>
          <w:rFonts w:ascii="Arial" w:hAnsi="Arial" w:cs="Arial"/>
          <w:sz w:val="18"/>
          <w:szCs w:val="18"/>
        </w:rPr>
        <w:t xml:space="preserve">The experimental </w:t>
      </w:r>
      <w:r w:rsidR="002A45C2">
        <w:rPr>
          <w:rFonts w:ascii="Arial" w:hAnsi="Arial" w:cs="Arial"/>
          <w:sz w:val="18"/>
          <w:szCs w:val="18"/>
        </w:rPr>
        <w:t>absorption results</w:t>
      </w:r>
      <w:r w:rsidRPr="00956ADA">
        <w:rPr>
          <w:rFonts w:ascii="Arial" w:hAnsi="Arial" w:cs="Arial"/>
          <w:sz w:val="18"/>
          <w:szCs w:val="18"/>
        </w:rPr>
        <w:t xml:space="preserve"> were interpreted according to the classic absorber design equation deriving from the two-film theory for </w:t>
      </w:r>
      <w:r w:rsidRPr="000F0574">
        <w:rPr>
          <w:rFonts w:ascii="Arial" w:hAnsi="Arial" w:cs="Arial"/>
          <w:sz w:val="18"/>
          <w:szCs w:val="18"/>
        </w:rPr>
        <w:t>mass-transfer in gas-liquid systems, valid for dilute absorption</w:t>
      </w:r>
      <w:r w:rsidR="00864CF2" w:rsidRPr="000F0574">
        <w:rPr>
          <w:rFonts w:ascii="Arial" w:hAnsi="Arial" w:cs="Arial"/>
          <w:sz w:val="18"/>
          <w:szCs w:val="18"/>
        </w:rPr>
        <w:t xml:space="preserve"> case</w:t>
      </w:r>
      <w:r w:rsidR="00374B2C" w:rsidRPr="000F0574">
        <w:rPr>
          <w:rFonts w:ascii="Arial" w:hAnsi="Arial" w:cs="Arial"/>
          <w:sz w:val="18"/>
          <w:szCs w:val="18"/>
        </w:rPr>
        <w:t xml:space="preserve"> with con</w:t>
      </w:r>
      <w:r w:rsidR="00864CF2" w:rsidRPr="000F0574">
        <w:rPr>
          <w:rFonts w:ascii="Arial" w:hAnsi="Arial" w:cs="Arial"/>
          <w:sz w:val="18"/>
          <w:szCs w:val="18"/>
        </w:rPr>
        <w:t xml:space="preserve">stant temperature and pressure, </w:t>
      </w:r>
      <w:r w:rsidRPr="000F0574">
        <w:rPr>
          <w:rFonts w:ascii="Arial" w:hAnsi="Arial" w:cs="Arial"/>
          <w:sz w:val="18"/>
          <w:szCs w:val="18"/>
        </w:rPr>
        <w:t>a</w:t>
      </w:r>
      <w:r w:rsidR="00602ED2" w:rsidRPr="000F0574">
        <w:rPr>
          <w:rFonts w:ascii="Arial" w:hAnsi="Arial" w:cs="Arial"/>
          <w:sz w:val="18"/>
          <w:szCs w:val="18"/>
        </w:rPr>
        <w:t>nd</w:t>
      </w:r>
      <w:r w:rsidRPr="000F0574">
        <w:rPr>
          <w:rFonts w:ascii="Arial" w:hAnsi="Arial" w:cs="Arial"/>
          <w:sz w:val="18"/>
          <w:szCs w:val="18"/>
        </w:rPr>
        <w:t xml:space="preserve"> written in a generalized canonical form</w:t>
      </w:r>
      <w:r w:rsidR="00C44712" w:rsidRPr="000F0574">
        <w:rPr>
          <w:rFonts w:ascii="Arial" w:hAnsi="Arial" w:cs="Arial"/>
          <w:sz w:val="18"/>
          <w:szCs w:val="18"/>
        </w:rPr>
        <w:t xml:space="preserve"> as</w:t>
      </w:r>
      <w:r w:rsidR="009E7FA6" w:rsidRPr="000F0574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9E7FA6" w:rsidRPr="000F0574">
        <w:rPr>
          <w:rFonts w:ascii="Arial" w:hAnsi="Arial" w:cs="Arial"/>
          <w:sz w:val="18"/>
          <w:szCs w:val="18"/>
        </w:rPr>
        <w:t>Zarzycki</w:t>
      </w:r>
      <w:proofErr w:type="spellEnd"/>
      <w:r w:rsidR="009E7FA6" w:rsidRPr="000F0574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9E7FA6" w:rsidRPr="000F0574">
        <w:rPr>
          <w:rFonts w:ascii="Arial" w:hAnsi="Arial" w:cs="Arial"/>
          <w:sz w:val="18"/>
          <w:szCs w:val="18"/>
        </w:rPr>
        <w:t>Chacuk</w:t>
      </w:r>
      <w:proofErr w:type="spellEnd"/>
      <w:r w:rsidR="009E7FA6" w:rsidRPr="000F0574">
        <w:rPr>
          <w:rFonts w:ascii="Arial" w:hAnsi="Arial" w:cs="Arial"/>
          <w:sz w:val="18"/>
          <w:szCs w:val="18"/>
        </w:rPr>
        <w:t>, 1993):</w:t>
      </w:r>
    </w:p>
    <w:p w14:paraId="1684689A" w14:textId="47ED17C3" w:rsidR="00956ADA" w:rsidRPr="00956ADA" w:rsidRDefault="004113A1" w:rsidP="00956ADA">
      <w:pPr>
        <w:pStyle w:val="StyleFigureCaptionCentr"/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4113A1">
        <w:rPr>
          <w:rFonts w:ascii="Arial" w:hAnsi="Arial" w:cs="Arial"/>
          <w:noProof/>
          <w:position w:val="-28"/>
          <w:sz w:val="18"/>
          <w:szCs w:val="18"/>
          <w:lang w:val="en-GB"/>
        </w:rPr>
        <w:object w:dxaOrig="5260" w:dyaOrig="620" w14:anchorId="1D14F4FF">
          <v:shape id="_x0000_i1027" type="#_x0000_t75" alt="" style="width:276.45pt;height:42.8pt" o:ole="">
            <v:imagedata r:id="rId15" o:title=""/>
          </v:shape>
          <o:OLEObject Type="Embed" ProgID="Equation.DSMT4" ShapeID="_x0000_i1027" DrawAspect="Content" ObjectID="_1742022092" r:id="rId16"/>
        </w:object>
      </w:r>
      <w:r w:rsidR="00956ADA" w:rsidRPr="00956ADA">
        <w:rPr>
          <w:rFonts w:ascii="Arial" w:hAnsi="Arial" w:cs="Arial"/>
          <w:noProof/>
          <w:sz w:val="18"/>
          <w:szCs w:val="18"/>
          <w:lang w:val="en-GB"/>
        </w:rPr>
        <w:t xml:space="preserve">                                                            (</w:t>
      </w:r>
      <w:r w:rsidR="00AE6922">
        <w:rPr>
          <w:rFonts w:ascii="Arial" w:hAnsi="Arial" w:cs="Arial"/>
          <w:noProof/>
          <w:sz w:val="18"/>
          <w:szCs w:val="18"/>
          <w:lang w:val="en-GB"/>
        </w:rPr>
        <w:t>3</w:t>
      </w:r>
      <w:r w:rsidR="00956ADA" w:rsidRPr="00956ADA">
        <w:rPr>
          <w:rFonts w:ascii="Arial" w:hAnsi="Arial" w:cs="Arial"/>
          <w:noProof/>
          <w:sz w:val="18"/>
          <w:szCs w:val="18"/>
          <w:lang w:val="en-GB"/>
        </w:rPr>
        <w:t>)</w:t>
      </w:r>
    </w:p>
    <w:p w14:paraId="544A01A6" w14:textId="671D5CC6" w:rsidR="00DB7C59" w:rsidRPr="000F0574" w:rsidRDefault="00956ADA" w:rsidP="0038698C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 w:rsidRPr="000F0574">
        <w:rPr>
          <w:rFonts w:ascii="Arial" w:hAnsi="Arial" w:cs="Arial"/>
          <w:sz w:val="18"/>
          <w:szCs w:val="18"/>
        </w:rPr>
        <w:t>where HTU</w:t>
      </w:r>
      <w:r w:rsidRPr="000F0574">
        <w:rPr>
          <w:rFonts w:ascii="Arial" w:hAnsi="Arial" w:cs="Arial"/>
          <w:sz w:val="18"/>
          <w:szCs w:val="18"/>
          <w:vertAlign w:val="subscript"/>
        </w:rPr>
        <w:t>OG</w:t>
      </w:r>
      <w:r w:rsidRPr="000F0574">
        <w:rPr>
          <w:rFonts w:ascii="Arial" w:hAnsi="Arial" w:cs="Arial"/>
          <w:sz w:val="18"/>
          <w:szCs w:val="18"/>
        </w:rPr>
        <w:t xml:space="preserve"> is the Height Transfer Unit representing the overall resistance to mass transfer referred to the gas-phase and is calculated as the </w:t>
      </w:r>
      <w:r w:rsidR="00807EC1" w:rsidRPr="000F0574">
        <w:rPr>
          <w:rFonts w:ascii="Arial" w:hAnsi="Arial" w:cs="Arial"/>
          <w:sz w:val="18"/>
          <w:szCs w:val="18"/>
        </w:rPr>
        <w:t>logarithmic mean</w:t>
      </w:r>
      <w:r w:rsidRPr="000F0574">
        <w:rPr>
          <w:rFonts w:ascii="Arial" w:hAnsi="Arial" w:cs="Arial"/>
          <w:sz w:val="18"/>
          <w:szCs w:val="18"/>
        </w:rPr>
        <w:t xml:space="preserve"> value between the top and bottom of the column, while NTU</w:t>
      </w:r>
      <w:r w:rsidRPr="000F0574">
        <w:rPr>
          <w:rFonts w:ascii="Arial" w:hAnsi="Arial" w:cs="Arial"/>
          <w:sz w:val="18"/>
          <w:szCs w:val="18"/>
          <w:vertAlign w:val="subscript"/>
        </w:rPr>
        <w:t>OG</w:t>
      </w:r>
      <w:r w:rsidRPr="000F0574">
        <w:rPr>
          <w:rFonts w:ascii="Arial" w:hAnsi="Arial" w:cs="Arial"/>
          <w:sz w:val="18"/>
          <w:szCs w:val="18"/>
        </w:rPr>
        <w:t xml:space="preserve"> is the Number Transfer Units, written as a function of the gas mole fraction of SO</w:t>
      </w:r>
      <w:r w:rsidRPr="000F0574">
        <w:rPr>
          <w:rFonts w:ascii="Arial" w:hAnsi="Arial" w:cs="Arial"/>
          <w:sz w:val="18"/>
          <w:szCs w:val="18"/>
          <w:vertAlign w:val="subscript"/>
        </w:rPr>
        <w:t>2</w:t>
      </w:r>
      <w:r w:rsidRPr="000F0574">
        <w:rPr>
          <w:rFonts w:ascii="Arial" w:hAnsi="Arial" w:cs="Arial"/>
          <w:sz w:val="18"/>
          <w:szCs w:val="18"/>
        </w:rPr>
        <w:t xml:space="preserve"> (y</w:t>
      </w:r>
      <w:r w:rsidRPr="000F0574">
        <w:rPr>
          <w:rFonts w:ascii="Arial" w:hAnsi="Arial" w:cs="Arial"/>
          <w:sz w:val="18"/>
          <w:szCs w:val="18"/>
          <w:vertAlign w:val="subscript"/>
        </w:rPr>
        <w:t>SO2</w:t>
      </w:r>
      <w:r w:rsidRPr="000F0574">
        <w:rPr>
          <w:rFonts w:ascii="Arial" w:hAnsi="Arial" w:cs="Arial"/>
          <w:sz w:val="18"/>
          <w:szCs w:val="18"/>
        </w:rPr>
        <w:t xml:space="preserve"> [mol/mol])</w:t>
      </w:r>
      <w:r w:rsidR="00B52D4F" w:rsidRPr="000F0574">
        <w:rPr>
          <w:rFonts w:ascii="Arial" w:hAnsi="Arial" w:cs="Arial"/>
          <w:sz w:val="18"/>
          <w:szCs w:val="18"/>
        </w:rPr>
        <w:t xml:space="preserve"> along the column</w:t>
      </w:r>
      <w:r w:rsidRPr="000F0574">
        <w:rPr>
          <w:rFonts w:ascii="Arial" w:hAnsi="Arial" w:cs="Arial"/>
          <w:sz w:val="18"/>
          <w:szCs w:val="18"/>
        </w:rPr>
        <w:t>.</w:t>
      </w:r>
      <w:r w:rsidRPr="000F0574">
        <w:rPr>
          <w:rFonts w:ascii="Arial" w:hAnsi="Arial" w:cs="Arial"/>
          <w:noProof/>
          <w:sz w:val="18"/>
          <w:szCs w:val="18"/>
          <w:lang w:val="en-GB"/>
        </w:rPr>
        <w:t xml:space="preserve"> </w:t>
      </w:r>
      <w:r w:rsidRPr="000F0574">
        <w:rPr>
          <w:rFonts w:ascii="Arial" w:hAnsi="Arial" w:cs="Arial"/>
          <w:sz w:val="18"/>
          <w:szCs w:val="18"/>
          <w:lang w:val="en-GB"/>
        </w:rPr>
        <w:t>In Eq. (</w:t>
      </w:r>
      <w:r w:rsidR="00AE6922" w:rsidRPr="000F0574">
        <w:rPr>
          <w:rFonts w:ascii="Arial" w:hAnsi="Arial" w:cs="Arial"/>
          <w:sz w:val="18"/>
          <w:szCs w:val="18"/>
          <w:lang w:val="en-GB"/>
        </w:rPr>
        <w:t>3</w:t>
      </w:r>
      <w:r w:rsidRPr="000F0574">
        <w:rPr>
          <w:rFonts w:ascii="Arial" w:hAnsi="Arial" w:cs="Arial"/>
          <w:sz w:val="18"/>
          <w:szCs w:val="18"/>
          <w:lang w:val="en-GB"/>
        </w:rPr>
        <w:t xml:space="preserve">), </w:t>
      </w:r>
      <w:r w:rsidRPr="000F0574">
        <w:rPr>
          <w:rFonts w:ascii="Arial" w:hAnsi="Arial" w:cs="Arial"/>
          <w:sz w:val="18"/>
          <w:szCs w:val="18"/>
        </w:rPr>
        <w:t>Z [m] is the column height, S [m</w:t>
      </w:r>
      <w:r w:rsidRPr="000F0574">
        <w:rPr>
          <w:rFonts w:ascii="Arial" w:hAnsi="Arial" w:cs="Arial"/>
          <w:sz w:val="18"/>
          <w:szCs w:val="18"/>
          <w:vertAlign w:val="superscript"/>
        </w:rPr>
        <w:t>2</w:t>
      </w:r>
      <w:r w:rsidRPr="000F0574">
        <w:rPr>
          <w:rFonts w:ascii="Arial" w:hAnsi="Arial" w:cs="Arial"/>
          <w:sz w:val="18"/>
          <w:szCs w:val="18"/>
        </w:rPr>
        <w:t>] is the column cross section, G</w:t>
      </w:r>
      <w:r w:rsidRPr="000F0574">
        <w:rPr>
          <w:rFonts w:ascii="Arial" w:hAnsi="Arial" w:cs="Arial"/>
          <w:sz w:val="18"/>
          <w:szCs w:val="18"/>
          <w:vertAlign w:val="subscript"/>
        </w:rPr>
        <w:t>m</w:t>
      </w:r>
      <w:r w:rsidRPr="000F0574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F0574">
        <w:rPr>
          <w:rFonts w:ascii="Arial" w:hAnsi="Arial" w:cs="Arial"/>
          <w:sz w:val="18"/>
          <w:szCs w:val="18"/>
        </w:rPr>
        <w:t>kmol</w:t>
      </w:r>
      <w:proofErr w:type="spellEnd"/>
      <w:r w:rsidRPr="000F0574">
        <w:rPr>
          <w:rFonts w:ascii="Arial" w:hAnsi="Arial" w:cs="Arial"/>
          <w:sz w:val="18"/>
          <w:szCs w:val="18"/>
        </w:rPr>
        <w:t>/s] is the molar flow rate of the gas,</w:t>
      </w:r>
      <w:r w:rsidR="00A37CDD" w:rsidRPr="000F057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37CDD" w:rsidRPr="000F0574">
        <w:rPr>
          <w:rFonts w:ascii="Arial" w:hAnsi="Arial" w:cs="Arial"/>
          <w:sz w:val="18"/>
          <w:szCs w:val="18"/>
        </w:rPr>
        <w:t>ρ</w:t>
      </w:r>
      <w:r w:rsidR="00A37CDD" w:rsidRPr="000F0574">
        <w:rPr>
          <w:rFonts w:ascii="Arial" w:hAnsi="Arial" w:cs="Arial"/>
          <w:sz w:val="18"/>
          <w:szCs w:val="18"/>
          <w:vertAlign w:val="subscript"/>
        </w:rPr>
        <w:t>G</w:t>
      </w:r>
      <w:proofErr w:type="spellEnd"/>
      <w:r w:rsidR="00A37CDD" w:rsidRPr="000F0574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A37CDD" w:rsidRPr="000F0574">
        <w:rPr>
          <w:rFonts w:ascii="Arial" w:hAnsi="Arial" w:cs="Arial"/>
          <w:sz w:val="18"/>
          <w:szCs w:val="18"/>
        </w:rPr>
        <w:t>kmol</w:t>
      </w:r>
      <w:proofErr w:type="spellEnd"/>
      <w:r w:rsidR="00A37CDD" w:rsidRPr="000F0574">
        <w:rPr>
          <w:rFonts w:ascii="Arial" w:hAnsi="Arial" w:cs="Arial"/>
          <w:sz w:val="18"/>
          <w:szCs w:val="18"/>
        </w:rPr>
        <w:t>/m</w:t>
      </w:r>
      <w:r w:rsidR="00A37CDD" w:rsidRPr="000F0574">
        <w:rPr>
          <w:rFonts w:ascii="Arial" w:hAnsi="Arial" w:cs="Arial"/>
          <w:sz w:val="18"/>
          <w:szCs w:val="18"/>
          <w:vertAlign w:val="superscript"/>
        </w:rPr>
        <w:t>3</w:t>
      </w:r>
      <w:r w:rsidR="00A37CDD" w:rsidRPr="000F0574">
        <w:rPr>
          <w:rFonts w:ascii="Arial" w:hAnsi="Arial" w:cs="Arial"/>
          <w:sz w:val="18"/>
          <w:szCs w:val="18"/>
        </w:rPr>
        <w:t>] is the molar density of the gas,</w:t>
      </w:r>
      <w:r w:rsidR="002C3575" w:rsidRPr="000F057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3575" w:rsidRPr="000F0574">
        <w:rPr>
          <w:rFonts w:ascii="Arial" w:hAnsi="Arial" w:cs="Arial"/>
          <w:sz w:val="18"/>
          <w:szCs w:val="18"/>
        </w:rPr>
        <w:t>ρ</w:t>
      </w:r>
      <w:r w:rsidR="002C3575" w:rsidRPr="000F0574">
        <w:rPr>
          <w:rFonts w:ascii="Arial" w:hAnsi="Arial" w:cs="Arial"/>
          <w:sz w:val="18"/>
          <w:szCs w:val="18"/>
          <w:vertAlign w:val="subscript"/>
        </w:rPr>
        <w:t>L</w:t>
      </w:r>
      <w:proofErr w:type="spellEnd"/>
      <w:r w:rsidR="002C3575" w:rsidRPr="000F0574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2C3575" w:rsidRPr="000F0574">
        <w:rPr>
          <w:rFonts w:ascii="Arial" w:hAnsi="Arial" w:cs="Arial"/>
          <w:sz w:val="18"/>
          <w:szCs w:val="18"/>
        </w:rPr>
        <w:t>kmol</w:t>
      </w:r>
      <w:proofErr w:type="spellEnd"/>
      <w:r w:rsidR="002C3575" w:rsidRPr="000F0574">
        <w:rPr>
          <w:rFonts w:ascii="Arial" w:hAnsi="Arial" w:cs="Arial"/>
          <w:sz w:val="18"/>
          <w:szCs w:val="18"/>
        </w:rPr>
        <w:t>/m</w:t>
      </w:r>
      <w:r w:rsidR="002C3575" w:rsidRPr="000F0574">
        <w:rPr>
          <w:rFonts w:ascii="Arial" w:hAnsi="Arial" w:cs="Arial"/>
          <w:sz w:val="18"/>
          <w:szCs w:val="18"/>
          <w:vertAlign w:val="superscript"/>
        </w:rPr>
        <w:t>3</w:t>
      </w:r>
      <w:r w:rsidR="002C3575" w:rsidRPr="000F0574">
        <w:rPr>
          <w:rFonts w:ascii="Arial" w:hAnsi="Arial" w:cs="Arial"/>
          <w:sz w:val="18"/>
          <w:szCs w:val="18"/>
        </w:rPr>
        <w:t>] is the molar density of the liquid</w:t>
      </w:r>
      <w:r w:rsidR="00143409" w:rsidRPr="000F0574">
        <w:rPr>
          <w:rFonts w:ascii="Arial" w:hAnsi="Arial" w:cs="Arial"/>
          <w:sz w:val="18"/>
          <w:szCs w:val="18"/>
        </w:rPr>
        <w:t xml:space="preserve">, </w:t>
      </w:r>
      <w:r w:rsidRPr="000F0574">
        <w:rPr>
          <w:rFonts w:ascii="Arial" w:hAnsi="Arial" w:cs="Arial"/>
          <w:sz w:val="18"/>
          <w:szCs w:val="18"/>
        </w:rPr>
        <w:t>y</w:t>
      </w:r>
      <w:r w:rsidRPr="000F0574">
        <w:rPr>
          <w:rFonts w:ascii="Arial" w:hAnsi="Arial" w:cs="Arial"/>
          <w:sz w:val="18"/>
          <w:szCs w:val="18"/>
          <w:vertAlign w:val="subscript"/>
        </w:rPr>
        <w:t>SO2,in</w:t>
      </w:r>
      <w:r w:rsidRPr="000F0574">
        <w:rPr>
          <w:rFonts w:ascii="Arial" w:hAnsi="Arial" w:cs="Arial"/>
          <w:sz w:val="18"/>
          <w:szCs w:val="18"/>
        </w:rPr>
        <w:t xml:space="preserve"> [mol/mol] is the inlet mole fraction of SO</w:t>
      </w:r>
      <w:r w:rsidRPr="000F0574">
        <w:rPr>
          <w:rFonts w:ascii="Arial" w:hAnsi="Arial" w:cs="Arial"/>
          <w:sz w:val="18"/>
          <w:szCs w:val="18"/>
          <w:vertAlign w:val="subscript"/>
        </w:rPr>
        <w:t>2</w:t>
      </w:r>
      <w:r w:rsidRPr="000F0574">
        <w:rPr>
          <w:rFonts w:ascii="Arial" w:hAnsi="Arial" w:cs="Arial"/>
          <w:sz w:val="18"/>
          <w:szCs w:val="18"/>
        </w:rPr>
        <w:t xml:space="preserve"> at the bottom of column, y</w:t>
      </w:r>
      <w:r w:rsidRPr="000F0574">
        <w:rPr>
          <w:rFonts w:ascii="Arial" w:hAnsi="Arial" w:cs="Arial"/>
          <w:sz w:val="18"/>
          <w:szCs w:val="18"/>
          <w:vertAlign w:val="subscript"/>
        </w:rPr>
        <w:t>SO2,out</w:t>
      </w:r>
      <w:r w:rsidRPr="000F0574">
        <w:rPr>
          <w:rFonts w:ascii="Arial" w:hAnsi="Arial" w:cs="Arial"/>
          <w:sz w:val="18"/>
          <w:szCs w:val="18"/>
        </w:rPr>
        <w:t xml:space="preserve"> [mol/mol] is the outlet mole fraction of SO</w:t>
      </w:r>
      <w:r w:rsidRPr="000F0574">
        <w:rPr>
          <w:rFonts w:ascii="Arial" w:hAnsi="Arial" w:cs="Arial"/>
          <w:sz w:val="18"/>
          <w:szCs w:val="18"/>
          <w:vertAlign w:val="subscript"/>
        </w:rPr>
        <w:t>2</w:t>
      </w:r>
      <w:r w:rsidRPr="000F0574">
        <w:rPr>
          <w:rFonts w:ascii="Arial" w:hAnsi="Arial" w:cs="Arial"/>
          <w:sz w:val="18"/>
          <w:szCs w:val="18"/>
        </w:rPr>
        <w:t xml:space="preserve"> at the top of column, y</w:t>
      </w:r>
      <w:r w:rsidRPr="000F0574">
        <w:rPr>
          <w:rFonts w:ascii="Arial" w:hAnsi="Arial" w:cs="Arial"/>
          <w:sz w:val="18"/>
          <w:szCs w:val="18"/>
          <w:vertAlign w:val="subscript"/>
        </w:rPr>
        <w:t>SO2(</w:t>
      </w:r>
      <w:r w:rsidR="00394DA0" w:rsidRPr="000F0574">
        <w:rPr>
          <w:rFonts w:ascii="Arial" w:hAnsi="Arial" w:cs="Arial"/>
          <w:sz w:val="18"/>
          <w:szCs w:val="18"/>
          <w:vertAlign w:val="subscript"/>
        </w:rPr>
        <w:t>eq</w:t>
      </w:r>
      <w:r w:rsidRPr="000F0574">
        <w:rPr>
          <w:rFonts w:ascii="Arial" w:hAnsi="Arial" w:cs="Arial"/>
          <w:sz w:val="18"/>
          <w:szCs w:val="18"/>
          <w:vertAlign w:val="subscript"/>
        </w:rPr>
        <w:t>)</w:t>
      </w:r>
      <w:r w:rsidRPr="000F0574">
        <w:rPr>
          <w:rFonts w:ascii="Arial" w:hAnsi="Arial" w:cs="Arial"/>
          <w:sz w:val="18"/>
          <w:szCs w:val="18"/>
        </w:rPr>
        <w:t xml:space="preserve"> [mol/mol] is the mole fraction of SO</w:t>
      </w:r>
      <w:r w:rsidRPr="000F0574">
        <w:rPr>
          <w:rFonts w:ascii="Arial" w:hAnsi="Arial" w:cs="Arial"/>
          <w:sz w:val="18"/>
          <w:szCs w:val="18"/>
          <w:vertAlign w:val="subscript"/>
        </w:rPr>
        <w:t>2</w:t>
      </w:r>
      <w:r w:rsidRPr="000F0574">
        <w:rPr>
          <w:rFonts w:ascii="Arial" w:hAnsi="Arial" w:cs="Arial"/>
          <w:sz w:val="18"/>
          <w:szCs w:val="18"/>
        </w:rPr>
        <w:t xml:space="preserve"> in the gas-phase in equilibrium with </w:t>
      </w:r>
      <w:r w:rsidR="006E20AF" w:rsidRPr="000F0574">
        <w:rPr>
          <w:rFonts w:ascii="Arial" w:hAnsi="Arial" w:cs="Arial"/>
          <w:sz w:val="18"/>
          <w:szCs w:val="18"/>
        </w:rPr>
        <w:t>total sulfur</w:t>
      </w:r>
      <w:r w:rsidRPr="000F0574">
        <w:rPr>
          <w:rFonts w:ascii="Arial" w:hAnsi="Arial" w:cs="Arial"/>
          <w:sz w:val="18"/>
          <w:szCs w:val="18"/>
        </w:rPr>
        <w:t xml:space="preserve"> in the liquid-phase</w:t>
      </w:r>
      <w:r w:rsidR="00FF7517" w:rsidRPr="000F0574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FF7517" w:rsidRPr="000F0574">
        <w:rPr>
          <w:rFonts w:ascii="Arial" w:hAnsi="Arial" w:cs="Arial"/>
          <w:sz w:val="18"/>
          <w:szCs w:val="18"/>
        </w:rPr>
        <w:t>x</w:t>
      </w:r>
      <w:r w:rsidR="00FF7517" w:rsidRPr="000F0574">
        <w:rPr>
          <w:rFonts w:ascii="Arial" w:hAnsi="Arial" w:cs="Arial"/>
          <w:sz w:val="18"/>
          <w:szCs w:val="18"/>
          <w:vertAlign w:val="subscript"/>
        </w:rPr>
        <w:t>S</w:t>
      </w:r>
      <w:proofErr w:type="spellEnd"/>
      <w:r w:rsidR="00FF7517" w:rsidRPr="000F0574">
        <w:rPr>
          <w:rFonts w:ascii="Arial" w:hAnsi="Arial" w:cs="Arial"/>
          <w:sz w:val="18"/>
          <w:szCs w:val="18"/>
          <w:vertAlign w:val="subscript"/>
        </w:rPr>
        <w:t>(eq)</w:t>
      </w:r>
      <w:r w:rsidR="00FF7517" w:rsidRPr="000F0574">
        <w:rPr>
          <w:rFonts w:ascii="Arial" w:hAnsi="Arial" w:cs="Arial"/>
          <w:sz w:val="18"/>
          <w:szCs w:val="18"/>
        </w:rPr>
        <w:t>)</w:t>
      </w:r>
      <w:r w:rsidRPr="000F0574">
        <w:rPr>
          <w:rFonts w:ascii="Arial" w:hAnsi="Arial" w:cs="Arial"/>
          <w:sz w:val="18"/>
          <w:szCs w:val="18"/>
        </w:rPr>
        <w:t xml:space="preserve">, which represents the gas solubility in a given aqueous solution. </w:t>
      </w:r>
    </w:p>
    <w:p w14:paraId="5F65300C" w14:textId="4A399C35" w:rsidR="00A5233A" w:rsidRPr="000F0574" w:rsidRDefault="00956ADA" w:rsidP="00956ADA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 w:rsidRPr="000F0574">
        <w:rPr>
          <w:rFonts w:ascii="Arial" w:hAnsi="Arial" w:cs="Arial"/>
          <w:sz w:val="18"/>
          <w:szCs w:val="18"/>
        </w:rPr>
        <w:t xml:space="preserve">It is worth noting that the value of the Enhancement </w:t>
      </w:r>
      <w:r w:rsidR="0057266D" w:rsidRPr="000F0574">
        <w:rPr>
          <w:rFonts w:ascii="Arial" w:hAnsi="Arial" w:cs="Arial"/>
          <w:sz w:val="18"/>
          <w:szCs w:val="18"/>
        </w:rPr>
        <w:t>f</w:t>
      </w:r>
      <w:r w:rsidRPr="000F0574">
        <w:rPr>
          <w:rFonts w:ascii="Arial" w:hAnsi="Arial" w:cs="Arial"/>
          <w:sz w:val="18"/>
          <w:szCs w:val="18"/>
        </w:rPr>
        <w:t>actor (E</w:t>
      </w:r>
      <w:r w:rsidRPr="000F0574">
        <w:rPr>
          <w:rFonts w:ascii="Arial" w:hAnsi="Arial" w:cs="Arial"/>
          <w:sz w:val="18"/>
          <w:szCs w:val="18"/>
          <w:vertAlign w:val="subscript"/>
        </w:rPr>
        <w:t>L</w:t>
      </w:r>
      <w:r w:rsidRPr="000F0574">
        <w:rPr>
          <w:rFonts w:ascii="Arial" w:hAnsi="Arial" w:cs="Arial"/>
          <w:sz w:val="18"/>
          <w:szCs w:val="18"/>
        </w:rPr>
        <w:t>) is E</w:t>
      </w:r>
      <w:r w:rsidRPr="000F0574">
        <w:rPr>
          <w:rFonts w:ascii="Arial" w:hAnsi="Arial" w:cs="Arial"/>
          <w:sz w:val="18"/>
          <w:szCs w:val="18"/>
          <w:vertAlign w:val="subscript"/>
        </w:rPr>
        <w:t>L</w:t>
      </w:r>
      <w:r w:rsidRPr="000F0574">
        <w:rPr>
          <w:rFonts w:ascii="Arial" w:hAnsi="Arial" w:cs="Arial"/>
          <w:sz w:val="18"/>
          <w:szCs w:val="18"/>
        </w:rPr>
        <w:t xml:space="preserve"> &gt; 1 for chemical absorption with chemical reaction in the liquid-phase</w:t>
      </w:r>
      <w:r w:rsidR="0038698C" w:rsidRPr="000F0574">
        <w:rPr>
          <w:rFonts w:ascii="Arial" w:hAnsi="Arial" w:cs="Arial"/>
          <w:sz w:val="18"/>
          <w:szCs w:val="18"/>
        </w:rPr>
        <w:t xml:space="preserve">, while </w:t>
      </w:r>
      <w:proofErr w:type="spellStart"/>
      <w:r w:rsidR="0038698C" w:rsidRPr="000F0574">
        <w:rPr>
          <w:rFonts w:ascii="Arial" w:hAnsi="Arial" w:cs="Arial"/>
          <w:sz w:val="18"/>
          <w:szCs w:val="18"/>
        </w:rPr>
        <w:t>F</w:t>
      </w:r>
      <w:r w:rsidR="0038698C" w:rsidRPr="000F0574">
        <w:rPr>
          <w:rFonts w:ascii="Arial" w:hAnsi="Arial" w:cs="Arial"/>
          <w:sz w:val="18"/>
          <w:szCs w:val="18"/>
          <w:vertAlign w:val="subscript"/>
        </w:rPr>
        <w:t>eq,i</w:t>
      </w:r>
      <w:proofErr w:type="spellEnd"/>
      <w:r w:rsidR="0038698C" w:rsidRPr="000F0574">
        <w:rPr>
          <w:rFonts w:ascii="Arial" w:hAnsi="Arial" w:cs="Arial"/>
          <w:sz w:val="18"/>
          <w:szCs w:val="18"/>
        </w:rPr>
        <w:t xml:space="preserve"> represents the derivative of the equilibrium function that coincides with the gas-liquid interfacial conditions and corresponds to the dimensionless Henry's constant given by the ratio between K</w:t>
      </w:r>
      <w:r w:rsidR="0038698C" w:rsidRPr="000F0574">
        <w:rPr>
          <w:rFonts w:ascii="Arial" w:hAnsi="Arial" w:cs="Arial"/>
          <w:sz w:val="18"/>
          <w:szCs w:val="18"/>
          <w:vertAlign w:val="subscript"/>
        </w:rPr>
        <w:t>H,SO2</w:t>
      </w:r>
      <w:r w:rsidR="0038698C" w:rsidRPr="000F0574">
        <w:rPr>
          <w:rFonts w:ascii="Arial" w:hAnsi="Arial" w:cs="Arial"/>
          <w:sz w:val="18"/>
          <w:szCs w:val="18"/>
        </w:rPr>
        <w:t>/P, where the Henry's constant for SO</w:t>
      </w:r>
      <w:r w:rsidR="0038698C" w:rsidRPr="000F0574">
        <w:rPr>
          <w:rFonts w:ascii="Arial" w:hAnsi="Arial" w:cs="Arial"/>
          <w:sz w:val="18"/>
          <w:szCs w:val="18"/>
          <w:vertAlign w:val="subscript"/>
        </w:rPr>
        <w:t>2</w:t>
      </w:r>
      <w:r w:rsidR="0038698C" w:rsidRPr="000F0574">
        <w:rPr>
          <w:rFonts w:ascii="Arial" w:hAnsi="Arial" w:cs="Arial"/>
          <w:sz w:val="18"/>
          <w:szCs w:val="18"/>
        </w:rPr>
        <w:t xml:space="preserve"> in water (K</w:t>
      </w:r>
      <w:r w:rsidR="0038698C" w:rsidRPr="000F0574">
        <w:rPr>
          <w:rFonts w:ascii="Arial" w:hAnsi="Arial" w:cs="Arial"/>
          <w:sz w:val="18"/>
          <w:szCs w:val="18"/>
          <w:vertAlign w:val="subscript"/>
        </w:rPr>
        <w:t>H,SO2</w:t>
      </w:r>
      <w:r w:rsidR="0038698C" w:rsidRPr="000F0574">
        <w:rPr>
          <w:rFonts w:ascii="Arial" w:hAnsi="Arial" w:cs="Arial"/>
          <w:sz w:val="18"/>
          <w:szCs w:val="18"/>
        </w:rPr>
        <w:t xml:space="preserve"> [atm]) can be found in Flagiello et al.</w:t>
      </w:r>
      <w:r w:rsidR="005C3BA4" w:rsidRPr="000F0574">
        <w:rPr>
          <w:rFonts w:ascii="Arial" w:hAnsi="Arial" w:cs="Arial"/>
          <w:sz w:val="18"/>
          <w:szCs w:val="18"/>
        </w:rPr>
        <w:t xml:space="preserve"> (2018)</w:t>
      </w:r>
      <w:r w:rsidR="0038698C" w:rsidRPr="000F0574">
        <w:rPr>
          <w:rFonts w:ascii="Arial" w:hAnsi="Arial" w:cs="Arial"/>
          <w:sz w:val="18"/>
          <w:szCs w:val="18"/>
        </w:rPr>
        <w:t>.</w:t>
      </w:r>
      <w:r w:rsidR="005D2E99" w:rsidRPr="000F0574">
        <w:rPr>
          <w:rFonts w:ascii="Arial" w:hAnsi="Arial" w:cs="Arial"/>
          <w:sz w:val="18"/>
          <w:szCs w:val="18"/>
        </w:rPr>
        <w:t xml:space="preserve"> </w:t>
      </w:r>
      <w:r w:rsidR="005C3BA4" w:rsidRPr="000F0574">
        <w:rPr>
          <w:rFonts w:ascii="Arial" w:hAnsi="Arial" w:cs="Arial"/>
          <w:sz w:val="18"/>
          <w:szCs w:val="18"/>
        </w:rPr>
        <w:t>T</w:t>
      </w:r>
      <w:r w:rsidR="009A40C3" w:rsidRPr="000F0574">
        <w:rPr>
          <w:rFonts w:ascii="Arial" w:hAnsi="Arial" w:cs="Arial"/>
          <w:sz w:val="18"/>
          <w:szCs w:val="18"/>
        </w:rPr>
        <w:t>he NTU</w:t>
      </w:r>
      <w:r w:rsidR="009A40C3" w:rsidRPr="000F0574">
        <w:rPr>
          <w:rFonts w:ascii="Arial" w:hAnsi="Arial" w:cs="Arial"/>
          <w:sz w:val="18"/>
          <w:szCs w:val="18"/>
          <w:vertAlign w:val="subscript"/>
        </w:rPr>
        <w:t>OG</w:t>
      </w:r>
      <w:r w:rsidR="009A40C3" w:rsidRPr="000F0574">
        <w:rPr>
          <w:rFonts w:ascii="Arial" w:hAnsi="Arial" w:cs="Arial"/>
          <w:sz w:val="18"/>
          <w:szCs w:val="18"/>
        </w:rPr>
        <w:t xml:space="preserve"> can be calculated</w:t>
      </w:r>
      <w:r w:rsidR="00E84A26" w:rsidRPr="000F0574">
        <w:t xml:space="preserve"> </w:t>
      </w:r>
      <w:r w:rsidR="00E84A26" w:rsidRPr="000F0574">
        <w:rPr>
          <w:rFonts w:ascii="Arial" w:hAnsi="Arial" w:cs="Arial"/>
          <w:sz w:val="18"/>
          <w:szCs w:val="18"/>
        </w:rPr>
        <w:t>from the experimental absorption results (y</w:t>
      </w:r>
      <w:r w:rsidR="00E84A26" w:rsidRPr="000F0574">
        <w:rPr>
          <w:rFonts w:ascii="Arial" w:hAnsi="Arial" w:cs="Arial"/>
          <w:sz w:val="18"/>
          <w:szCs w:val="18"/>
          <w:vertAlign w:val="subscript"/>
        </w:rPr>
        <w:t>SO</w:t>
      </w:r>
      <w:proofErr w:type="gramStart"/>
      <w:r w:rsidR="00E84A26" w:rsidRPr="000F0574">
        <w:rPr>
          <w:rFonts w:ascii="Arial" w:hAnsi="Arial" w:cs="Arial"/>
          <w:sz w:val="18"/>
          <w:szCs w:val="18"/>
          <w:vertAlign w:val="subscript"/>
        </w:rPr>
        <w:t>2,out</w:t>
      </w:r>
      <w:proofErr w:type="gramEnd"/>
      <w:r w:rsidR="00E84A26" w:rsidRPr="000F0574">
        <w:rPr>
          <w:rFonts w:ascii="Arial" w:hAnsi="Arial" w:cs="Arial"/>
          <w:sz w:val="18"/>
          <w:szCs w:val="18"/>
        </w:rPr>
        <w:t xml:space="preserve"> = C</w:t>
      </w:r>
      <w:r w:rsidR="00E84A26" w:rsidRPr="000F0574">
        <w:rPr>
          <w:rFonts w:ascii="Arial" w:hAnsi="Arial" w:cs="Arial"/>
          <w:sz w:val="18"/>
          <w:szCs w:val="18"/>
          <w:vertAlign w:val="subscript"/>
        </w:rPr>
        <w:t>SO2(g),out</w:t>
      </w:r>
      <w:r w:rsidR="00A113F4" w:rsidRPr="000F0574">
        <w:rPr>
          <w:rFonts w:ascii="Arial" w:hAnsi="Arial" w:cs="Arial"/>
          <w:sz w:val="18"/>
          <w:szCs w:val="18"/>
        </w:rPr>
        <w:t>·10</w:t>
      </w:r>
      <w:r w:rsidR="00A113F4" w:rsidRPr="000F0574">
        <w:rPr>
          <w:rFonts w:ascii="Arial" w:hAnsi="Arial" w:cs="Arial"/>
          <w:sz w:val="18"/>
          <w:szCs w:val="18"/>
          <w:vertAlign w:val="superscript"/>
        </w:rPr>
        <w:t>-6</w:t>
      </w:r>
      <w:r w:rsidR="00A113F4" w:rsidRPr="000F0574">
        <w:rPr>
          <w:rFonts w:ascii="Arial" w:hAnsi="Arial" w:cs="Arial"/>
          <w:sz w:val="18"/>
          <w:szCs w:val="18"/>
        </w:rPr>
        <w:t xml:space="preserve"> </w:t>
      </w:r>
      <w:r w:rsidR="00E84A26" w:rsidRPr="000F0574">
        <w:rPr>
          <w:rFonts w:ascii="Arial" w:hAnsi="Arial" w:cs="Arial"/>
          <w:sz w:val="18"/>
          <w:szCs w:val="18"/>
        </w:rPr>
        <w:t>mol/mol) and</w:t>
      </w:r>
      <w:r w:rsidR="009A40C3" w:rsidRPr="000F0574">
        <w:rPr>
          <w:rFonts w:ascii="Arial" w:hAnsi="Arial" w:cs="Arial"/>
          <w:sz w:val="18"/>
          <w:szCs w:val="18"/>
        </w:rPr>
        <w:t xml:space="preserve"> if the equilibrium data</w:t>
      </w:r>
      <w:r w:rsidR="00E0322C" w:rsidRPr="000F0574">
        <w:rPr>
          <w:rFonts w:ascii="Arial" w:hAnsi="Arial" w:cs="Arial"/>
          <w:sz w:val="18"/>
          <w:szCs w:val="18"/>
        </w:rPr>
        <w:t>set</w:t>
      </w:r>
      <w:r w:rsidR="00A113F4" w:rsidRPr="000F0574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8C677B" w:rsidRPr="000F0574">
        <w:rPr>
          <w:rFonts w:ascii="Arial" w:hAnsi="Arial" w:cs="Arial"/>
          <w:sz w:val="18"/>
          <w:szCs w:val="18"/>
        </w:rPr>
        <w:t>x</w:t>
      </w:r>
      <w:r w:rsidR="00E0322C" w:rsidRPr="000F0574">
        <w:rPr>
          <w:rFonts w:ascii="Arial" w:hAnsi="Arial" w:cs="Arial"/>
          <w:sz w:val="18"/>
          <w:szCs w:val="18"/>
          <w:vertAlign w:val="subscript"/>
        </w:rPr>
        <w:t>S</w:t>
      </w:r>
      <w:proofErr w:type="spellEnd"/>
      <w:r w:rsidR="008C677B" w:rsidRPr="000F0574">
        <w:rPr>
          <w:rFonts w:ascii="Arial" w:hAnsi="Arial" w:cs="Arial"/>
          <w:sz w:val="18"/>
          <w:szCs w:val="18"/>
          <w:vertAlign w:val="subscript"/>
        </w:rPr>
        <w:t>(eq)</w:t>
      </w:r>
      <w:r w:rsidR="00E0322C" w:rsidRPr="000F0574">
        <w:rPr>
          <w:rFonts w:ascii="Arial" w:hAnsi="Arial" w:cs="Arial"/>
          <w:sz w:val="18"/>
          <w:szCs w:val="18"/>
          <w:vertAlign w:val="subscript"/>
        </w:rPr>
        <w:t xml:space="preserve"> </w:t>
      </w:r>
      <w:r w:rsidR="008C677B" w:rsidRPr="000F0574">
        <w:rPr>
          <w:rFonts w:ascii="Arial" w:hAnsi="Arial" w:cs="Arial"/>
          <w:sz w:val="18"/>
          <w:szCs w:val="18"/>
        </w:rPr>
        <w:t>-</w:t>
      </w:r>
      <w:r w:rsidR="00E0322C" w:rsidRPr="000F0574">
        <w:rPr>
          <w:rFonts w:ascii="Arial" w:hAnsi="Arial" w:cs="Arial"/>
          <w:sz w:val="18"/>
          <w:szCs w:val="18"/>
        </w:rPr>
        <w:t xml:space="preserve"> </w:t>
      </w:r>
      <w:r w:rsidR="008C677B" w:rsidRPr="000F0574">
        <w:rPr>
          <w:rFonts w:ascii="Arial" w:hAnsi="Arial" w:cs="Arial"/>
          <w:sz w:val="18"/>
          <w:szCs w:val="18"/>
        </w:rPr>
        <w:t>y</w:t>
      </w:r>
      <w:r w:rsidR="00E0322C" w:rsidRPr="000F0574">
        <w:rPr>
          <w:rFonts w:ascii="Arial" w:hAnsi="Arial" w:cs="Arial"/>
          <w:sz w:val="18"/>
          <w:szCs w:val="18"/>
          <w:vertAlign w:val="subscript"/>
        </w:rPr>
        <w:t>SO2</w:t>
      </w:r>
      <w:r w:rsidR="008C677B" w:rsidRPr="000F0574">
        <w:rPr>
          <w:rFonts w:ascii="Arial" w:hAnsi="Arial" w:cs="Arial"/>
          <w:sz w:val="18"/>
          <w:szCs w:val="18"/>
          <w:vertAlign w:val="subscript"/>
        </w:rPr>
        <w:t>(eq)</w:t>
      </w:r>
      <w:r w:rsidR="008C677B" w:rsidRPr="000F0574">
        <w:rPr>
          <w:rFonts w:ascii="Arial" w:hAnsi="Arial" w:cs="Arial"/>
          <w:sz w:val="18"/>
          <w:szCs w:val="18"/>
        </w:rPr>
        <w:t>)</w:t>
      </w:r>
      <w:r w:rsidR="009A40C3" w:rsidRPr="000F0574">
        <w:rPr>
          <w:rFonts w:ascii="Arial" w:hAnsi="Arial" w:cs="Arial"/>
          <w:sz w:val="18"/>
          <w:szCs w:val="18"/>
        </w:rPr>
        <w:t xml:space="preserve"> for SO</w:t>
      </w:r>
      <w:r w:rsidR="009A40C3" w:rsidRPr="000F0574">
        <w:rPr>
          <w:rFonts w:ascii="Arial" w:hAnsi="Arial" w:cs="Arial"/>
          <w:sz w:val="18"/>
          <w:szCs w:val="18"/>
          <w:vertAlign w:val="subscript"/>
        </w:rPr>
        <w:t>2</w:t>
      </w:r>
      <w:r w:rsidR="009A40C3" w:rsidRPr="000F0574">
        <w:rPr>
          <w:rFonts w:ascii="Arial" w:hAnsi="Arial" w:cs="Arial"/>
          <w:sz w:val="18"/>
          <w:szCs w:val="18"/>
        </w:rPr>
        <w:t xml:space="preserve"> absorption in NH</w:t>
      </w:r>
      <w:r w:rsidR="009A40C3" w:rsidRPr="000F0574">
        <w:rPr>
          <w:rFonts w:ascii="Arial" w:hAnsi="Arial" w:cs="Arial"/>
          <w:sz w:val="18"/>
          <w:szCs w:val="18"/>
          <w:vertAlign w:val="subscript"/>
        </w:rPr>
        <w:t>3</w:t>
      </w:r>
      <w:r w:rsidR="009A40C3" w:rsidRPr="000F0574">
        <w:rPr>
          <w:rFonts w:ascii="Arial" w:hAnsi="Arial" w:cs="Arial"/>
          <w:sz w:val="18"/>
          <w:szCs w:val="18"/>
        </w:rPr>
        <w:t xml:space="preserve"> solutions </w:t>
      </w:r>
      <w:r w:rsidR="00C44712" w:rsidRPr="000F0574">
        <w:rPr>
          <w:rFonts w:ascii="Arial" w:hAnsi="Arial" w:cs="Arial"/>
          <w:sz w:val="18"/>
          <w:szCs w:val="18"/>
        </w:rPr>
        <w:t xml:space="preserve">is </w:t>
      </w:r>
      <w:r w:rsidR="00A113F4" w:rsidRPr="000F0574">
        <w:rPr>
          <w:rFonts w:ascii="Arial" w:hAnsi="Arial" w:cs="Arial"/>
          <w:sz w:val="18"/>
          <w:szCs w:val="18"/>
        </w:rPr>
        <w:t>available</w:t>
      </w:r>
      <w:r w:rsidR="009A40C3" w:rsidRPr="000F0574">
        <w:rPr>
          <w:rFonts w:ascii="Arial" w:hAnsi="Arial" w:cs="Arial"/>
          <w:sz w:val="18"/>
          <w:szCs w:val="18"/>
        </w:rPr>
        <w:t>. Th</w:t>
      </w:r>
      <w:r w:rsidR="00425B07" w:rsidRPr="000F0574">
        <w:rPr>
          <w:rFonts w:ascii="Arial" w:hAnsi="Arial" w:cs="Arial"/>
          <w:sz w:val="18"/>
          <w:szCs w:val="18"/>
        </w:rPr>
        <w:t>is</w:t>
      </w:r>
      <w:r w:rsidR="009A40C3" w:rsidRPr="000F0574">
        <w:rPr>
          <w:rFonts w:ascii="Arial" w:hAnsi="Arial" w:cs="Arial"/>
          <w:sz w:val="18"/>
          <w:szCs w:val="18"/>
        </w:rPr>
        <w:t xml:space="preserve"> dataset was obtained by simulations using a computational code developed in ASPEN PLUS based on our previous works</w:t>
      </w:r>
      <w:r w:rsidR="00805FE5" w:rsidRPr="000F0574">
        <w:rPr>
          <w:rFonts w:ascii="Arial" w:hAnsi="Arial" w:cs="Arial"/>
          <w:sz w:val="18"/>
          <w:szCs w:val="18"/>
        </w:rPr>
        <w:t xml:space="preserve"> (Flagiello et al., 2018; Flagiello et al., 2020</w:t>
      </w:r>
      <w:r w:rsidR="00960FD6" w:rsidRPr="000F0574">
        <w:rPr>
          <w:rFonts w:ascii="Arial" w:hAnsi="Arial" w:cs="Arial"/>
          <w:sz w:val="18"/>
          <w:szCs w:val="18"/>
        </w:rPr>
        <w:t>b</w:t>
      </w:r>
      <w:r w:rsidR="00805FE5" w:rsidRPr="000F0574">
        <w:rPr>
          <w:rFonts w:ascii="Arial" w:hAnsi="Arial" w:cs="Arial"/>
          <w:sz w:val="18"/>
          <w:szCs w:val="18"/>
        </w:rPr>
        <w:t>)</w:t>
      </w:r>
      <w:r w:rsidR="008C5352" w:rsidRPr="000F0574">
        <w:rPr>
          <w:rFonts w:ascii="Arial" w:hAnsi="Arial" w:cs="Arial"/>
          <w:sz w:val="18"/>
          <w:szCs w:val="18"/>
        </w:rPr>
        <w:t xml:space="preserve"> </w:t>
      </w:r>
      <w:r w:rsidR="00805FE5" w:rsidRPr="000F0574">
        <w:rPr>
          <w:rFonts w:ascii="Arial" w:hAnsi="Arial" w:cs="Arial"/>
          <w:sz w:val="18"/>
          <w:szCs w:val="18"/>
        </w:rPr>
        <w:t>a</w:t>
      </w:r>
      <w:r w:rsidR="009A40C3" w:rsidRPr="000F0574">
        <w:rPr>
          <w:rFonts w:ascii="Arial" w:hAnsi="Arial" w:cs="Arial"/>
          <w:sz w:val="18"/>
          <w:szCs w:val="18"/>
        </w:rPr>
        <w:t xml:space="preserve">nd suitably adapted to the case study of the present work. </w:t>
      </w:r>
    </w:p>
    <w:p w14:paraId="26465EFF" w14:textId="7D01198F" w:rsidR="00956ADA" w:rsidRPr="000F0574" w:rsidRDefault="00956ADA" w:rsidP="0039029C">
      <w:pPr>
        <w:pStyle w:val="StyleFigureCaptionCentr"/>
        <w:spacing w:after="240"/>
        <w:jc w:val="both"/>
        <w:rPr>
          <w:rFonts w:ascii="Arial" w:hAnsi="Arial" w:cs="Arial"/>
          <w:sz w:val="18"/>
          <w:szCs w:val="18"/>
        </w:rPr>
      </w:pPr>
      <w:r w:rsidRPr="000F0574">
        <w:rPr>
          <w:rFonts w:ascii="Arial" w:hAnsi="Arial" w:cs="Arial"/>
          <w:sz w:val="18"/>
          <w:szCs w:val="18"/>
        </w:rPr>
        <w:t xml:space="preserve">Given the </w:t>
      </w:r>
      <w:proofErr w:type="gramStart"/>
      <w:r w:rsidRPr="000F0574">
        <w:rPr>
          <w:rFonts w:ascii="Arial" w:hAnsi="Arial" w:cs="Arial"/>
          <w:sz w:val="18"/>
          <w:szCs w:val="18"/>
        </w:rPr>
        <w:t>k</w:t>
      </w:r>
      <w:r w:rsidRPr="000F0574">
        <w:rPr>
          <w:rFonts w:ascii="Arial" w:hAnsi="Arial" w:cs="Arial"/>
          <w:sz w:val="18"/>
          <w:szCs w:val="18"/>
          <w:vertAlign w:val="subscript"/>
        </w:rPr>
        <w:t>G,SO</w:t>
      </w:r>
      <w:proofErr w:type="gramEnd"/>
      <w:r w:rsidRPr="000F0574">
        <w:rPr>
          <w:rFonts w:ascii="Arial" w:hAnsi="Arial" w:cs="Arial"/>
          <w:sz w:val="18"/>
          <w:szCs w:val="18"/>
          <w:vertAlign w:val="subscript"/>
        </w:rPr>
        <w:t>2</w:t>
      </w:r>
      <w:r w:rsidRPr="000F0574">
        <w:rPr>
          <w:rFonts w:ascii="Arial" w:hAnsi="Arial" w:cs="Arial"/>
          <w:sz w:val="18"/>
          <w:szCs w:val="18"/>
        </w:rPr>
        <w:t>a</w:t>
      </w:r>
      <w:r w:rsidRPr="000F0574">
        <w:rPr>
          <w:rFonts w:ascii="Arial" w:hAnsi="Arial" w:cs="Arial"/>
          <w:sz w:val="18"/>
          <w:szCs w:val="18"/>
          <w:vertAlign w:val="subscript"/>
        </w:rPr>
        <w:t>e</w:t>
      </w:r>
      <w:r w:rsidRPr="000F0574">
        <w:rPr>
          <w:rFonts w:ascii="Arial" w:hAnsi="Arial" w:cs="Arial"/>
          <w:sz w:val="18"/>
          <w:szCs w:val="18"/>
        </w:rPr>
        <w:t xml:space="preserve"> and k</w:t>
      </w:r>
      <w:r w:rsidRPr="000F0574">
        <w:rPr>
          <w:rFonts w:ascii="Arial" w:hAnsi="Arial" w:cs="Arial"/>
          <w:sz w:val="18"/>
          <w:szCs w:val="18"/>
          <w:vertAlign w:val="subscript"/>
        </w:rPr>
        <w:t>L,SO2</w:t>
      </w:r>
      <w:r w:rsidRPr="000F0574">
        <w:rPr>
          <w:rFonts w:ascii="Arial" w:hAnsi="Arial" w:cs="Arial"/>
          <w:sz w:val="18"/>
          <w:szCs w:val="18"/>
        </w:rPr>
        <w:t>a</w:t>
      </w:r>
      <w:r w:rsidRPr="000F0574">
        <w:rPr>
          <w:rFonts w:ascii="Arial" w:hAnsi="Arial" w:cs="Arial"/>
          <w:sz w:val="18"/>
          <w:szCs w:val="18"/>
          <w:vertAlign w:val="subscript"/>
        </w:rPr>
        <w:t>e</w:t>
      </w:r>
      <w:r w:rsidRPr="000F0574">
        <w:rPr>
          <w:rFonts w:ascii="Arial" w:hAnsi="Arial" w:cs="Arial"/>
          <w:sz w:val="18"/>
          <w:szCs w:val="18"/>
        </w:rPr>
        <w:t xml:space="preserve"> coefficients</w:t>
      </w:r>
      <w:r w:rsidR="00435C40" w:rsidRPr="000F0574">
        <w:rPr>
          <w:rFonts w:ascii="Arial" w:hAnsi="Arial" w:cs="Arial"/>
          <w:sz w:val="18"/>
          <w:szCs w:val="18"/>
        </w:rPr>
        <w:t>,</w:t>
      </w:r>
      <w:r w:rsidR="00A5233A" w:rsidRPr="000F0574">
        <w:rPr>
          <w:rFonts w:ascii="Arial" w:hAnsi="Arial" w:cs="Arial"/>
          <w:sz w:val="18"/>
          <w:szCs w:val="18"/>
        </w:rPr>
        <w:t xml:space="preserve"> evaluated </w:t>
      </w:r>
      <w:r w:rsidR="00D562BC" w:rsidRPr="000F0574">
        <w:rPr>
          <w:rFonts w:ascii="Arial" w:hAnsi="Arial" w:cs="Arial"/>
          <w:sz w:val="18"/>
          <w:szCs w:val="18"/>
        </w:rPr>
        <w:t xml:space="preserve">in the same </w:t>
      </w:r>
      <w:r w:rsidR="003B0F3F" w:rsidRPr="000F0574">
        <w:rPr>
          <w:rFonts w:ascii="Arial" w:hAnsi="Arial" w:cs="Arial"/>
          <w:sz w:val="18"/>
          <w:szCs w:val="18"/>
        </w:rPr>
        <w:t>operating</w:t>
      </w:r>
      <w:r w:rsidR="00D562BC" w:rsidRPr="000F0574">
        <w:rPr>
          <w:rFonts w:ascii="Arial" w:hAnsi="Arial" w:cs="Arial"/>
          <w:sz w:val="18"/>
          <w:szCs w:val="18"/>
        </w:rPr>
        <w:t xml:space="preserve"> conditions and experimental set-up </w:t>
      </w:r>
      <w:r w:rsidR="00371706" w:rsidRPr="000F0574">
        <w:rPr>
          <w:rFonts w:ascii="Arial" w:hAnsi="Arial" w:cs="Arial"/>
          <w:sz w:val="18"/>
          <w:szCs w:val="18"/>
        </w:rPr>
        <w:t>from</w:t>
      </w:r>
      <w:r w:rsidR="00D562BC" w:rsidRPr="000F0574">
        <w:rPr>
          <w:rFonts w:ascii="Arial" w:hAnsi="Arial" w:cs="Arial"/>
          <w:sz w:val="18"/>
          <w:szCs w:val="18"/>
        </w:rPr>
        <w:t xml:space="preserve"> our previous work</w:t>
      </w:r>
      <w:r w:rsidR="008C5352" w:rsidRPr="000F0574">
        <w:rPr>
          <w:rFonts w:ascii="Arial" w:hAnsi="Arial" w:cs="Arial"/>
          <w:sz w:val="18"/>
          <w:szCs w:val="18"/>
        </w:rPr>
        <w:t>, th</w:t>
      </w:r>
      <w:r w:rsidRPr="000F0574">
        <w:rPr>
          <w:rFonts w:ascii="Arial" w:hAnsi="Arial" w:cs="Arial"/>
          <w:sz w:val="18"/>
          <w:szCs w:val="18"/>
        </w:rPr>
        <w:t xml:space="preserve">e chemical contribution due to the reaction indicated in Eq. (1) is concentrated in the Enhancement </w:t>
      </w:r>
      <w:r w:rsidR="00435C40" w:rsidRPr="000F0574">
        <w:rPr>
          <w:rFonts w:ascii="Arial" w:hAnsi="Arial" w:cs="Arial"/>
          <w:sz w:val="18"/>
          <w:szCs w:val="18"/>
        </w:rPr>
        <w:t>f</w:t>
      </w:r>
      <w:r w:rsidRPr="000F0574">
        <w:rPr>
          <w:rFonts w:ascii="Arial" w:hAnsi="Arial" w:cs="Arial"/>
          <w:sz w:val="18"/>
          <w:szCs w:val="18"/>
        </w:rPr>
        <w:t>actor (E</w:t>
      </w:r>
      <w:r w:rsidRPr="000F0574">
        <w:rPr>
          <w:rFonts w:ascii="Arial" w:hAnsi="Arial" w:cs="Arial"/>
          <w:sz w:val="18"/>
          <w:szCs w:val="18"/>
          <w:vertAlign w:val="subscript"/>
        </w:rPr>
        <w:t>L</w:t>
      </w:r>
      <w:r w:rsidRPr="000F0574">
        <w:rPr>
          <w:rFonts w:ascii="Arial" w:hAnsi="Arial" w:cs="Arial"/>
          <w:sz w:val="18"/>
          <w:szCs w:val="18"/>
        </w:rPr>
        <w:t>)</w:t>
      </w:r>
      <w:r w:rsidR="00210C65" w:rsidRPr="000F0574">
        <w:rPr>
          <w:rFonts w:ascii="Arial" w:hAnsi="Arial" w:cs="Arial"/>
          <w:sz w:val="18"/>
          <w:szCs w:val="18"/>
        </w:rPr>
        <w:t>, which can be</w:t>
      </w:r>
      <w:r w:rsidRPr="000F0574">
        <w:rPr>
          <w:rFonts w:ascii="Arial" w:hAnsi="Arial" w:cs="Arial"/>
          <w:sz w:val="18"/>
          <w:szCs w:val="18"/>
        </w:rPr>
        <w:t xml:space="preserve"> calculated for each experiment from Eq. (</w:t>
      </w:r>
      <w:r w:rsidR="00AE6922" w:rsidRPr="000F0574">
        <w:rPr>
          <w:rFonts w:ascii="Arial" w:hAnsi="Arial" w:cs="Arial"/>
          <w:sz w:val="18"/>
          <w:szCs w:val="18"/>
        </w:rPr>
        <w:t>3</w:t>
      </w:r>
      <w:r w:rsidRPr="000F0574">
        <w:rPr>
          <w:rFonts w:ascii="Arial" w:hAnsi="Arial" w:cs="Arial"/>
          <w:sz w:val="18"/>
          <w:szCs w:val="18"/>
        </w:rPr>
        <w:t xml:space="preserve">). </w:t>
      </w:r>
      <w:r w:rsidR="00210C65" w:rsidRPr="000F0574">
        <w:rPr>
          <w:rFonts w:ascii="Arial" w:hAnsi="Arial" w:cs="Arial"/>
          <w:sz w:val="18"/>
          <w:szCs w:val="18"/>
        </w:rPr>
        <w:t>I</w:t>
      </w:r>
      <w:r w:rsidRPr="000F0574">
        <w:rPr>
          <w:rFonts w:ascii="Arial" w:hAnsi="Arial" w:cs="Arial"/>
          <w:sz w:val="18"/>
          <w:szCs w:val="18"/>
        </w:rPr>
        <w:t xml:space="preserve">t is worth </w:t>
      </w:r>
      <w:r w:rsidR="00210C65" w:rsidRPr="000F0574">
        <w:rPr>
          <w:rFonts w:ascii="Arial" w:hAnsi="Arial" w:cs="Arial"/>
          <w:sz w:val="18"/>
          <w:szCs w:val="18"/>
        </w:rPr>
        <w:t xml:space="preserve">underlining </w:t>
      </w:r>
      <w:r w:rsidRPr="000F0574">
        <w:rPr>
          <w:rFonts w:ascii="Arial" w:hAnsi="Arial" w:cs="Arial"/>
          <w:sz w:val="18"/>
          <w:szCs w:val="18"/>
        </w:rPr>
        <w:t>that, since the experimental unit does not allow gas or liquid sampling at intermediate column heights, it is assumed that</w:t>
      </w:r>
      <w:r w:rsidR="00210C65" w:rsidRPr="000F0574">
        <w:rPr>
          <w:rFonts w:ascii="Arial" w:hAnsi="Arial" w:cs="Arial"/>
          <w:sz w:val="18"/>
          <w:szCs w:val="18"/>
        </w:rPr>
        <w:t xml:space="preserve"> the</w:t>
      </w:r>
      <w:r w:rsidRPr="000F0574">
        <w:rPr>
          <w:rFonts w:ascii="Arial" w:hAnsi="Arial" w:cs="Arial"/>
          <w:sz w:val="18"/>
          <w:szCs w:val="18"/>
        </w:rPr>
        <w:t xml:space="preserve"> E</w:t>
      </w:r>
      <w:r w:rsidRPr="000F0574">
        <w:rPr>
          <w:rFonts w:ascii="Arial" w:hAnsi="Arial" w:cs="Arial"/>
          <w:sz w:val="18"/>
          <w:szCs w:val="18"/>
          <w:vertAlign w:val="subscript"/>
        </w:rPr>
        <w:t>L</w:t>
      </w:r>
      <w:r w:rsidRPr="000F0574">
        <w:rPr>
          <w:rFonts w:ascii="Arial" w:hAnsi="Arial" w:cs="Arial"/>
          <w:sz w:val="18"/>
          <w:szCs w:val="18"/>
        </w:rPr>
        <w:t xml:space="preserve"> calculated from Eq. (</w:t>
      </w:r>
      <w:r w:rsidR="00AE6922" w:rsidRPr="000F0574">
        <w:rPr>
          <w:rFonts w:ascii="Arial" w:hAnsi="Arial" w:cs="Arial"/>
          <w:sz w:val="18"/>
          <w:szCs w:val="18"/>
        </w:rPr>
        <w:t>3</w:t>
      </w:r>
      <w:r w:rsidRPr="000F0574">
        <w:rPr>
          <w:rFonts w:ascii="Arial" w:hAnsi="Arial" w:cs="Arial"/>
          <w:sz w:val="18"/>
          <w:szCs w:val="18"/>
        </w:rPr>
        <w:t>) represents an average value of the experiment. In general, E</w:t>
      </w:r>
      <w:r w:rsidRPr="000F0574">
        <w:rPr>
          <w:rFonts w:ascii="Arial" w:hAnsi="Arial" w:cs="Arial"/>
          <w:sz w:val="18"/>
          <w:szCs w:val="18"/>
          <w:vertAlign w:val="subscript"/>
        </w:rPr>
        <w:t>L</w:t>
      </w:r>
      <w:r w:rsidRPr="000F0574">
        <w:rPr>
          <w:rFonts w:ascii="Arial" w:hAnsi="Arial" w:cs="Arial"/>
          <w:sz w:val="18"/>
          <w:szCs w:val="18"/>
        </w:rPr>
        <w:t xml:space="preserve"> can vary along the column </w:t>
      </w:r>
      <w:r w:rsidR="0041782E" w:rsidRPr="000F0574">
        <w:rPr>
          <w:rFonts w:ascii="Arial" w:hAnsi="Arial" w:cs="Arial"/>
          <w:sz w:val="18"/>
          <w:szCs w:val="18"/>
        </w:rPr>
        <w:t>but</w:t>
      </w:r>
      <w:r w:rsidRPr="000F0574">
        <w:rPr>
          <w:rFonts w:ascii="Arial" w:hAnsi="Arial" w:cs="Arial"/>
          <w:sz w:val="18"/>
          <w:szCs w:val="18"/>
        </w:rPr>
        <w:t xml:space="preserve"> it is possible to assume a constant value of HTU</w:t>
      </w:r>
      <w:r w:rsidRPr="000F0574">
        <w:rPr>
          <w:rFonts w:ascii="Arial" w:hAnsi="Arial" w:cs="Arial"/>
          <w:sz w:val="18"/>
          <w:szCs w:val="18"/>
          <w:vertAlign w:val="subscript"/>
        </w:rPr>
        <w:t>OG</w:t>
      </w:r>
      <w:r w:rsidRPr="000F0574">
        <w:rPr>
          <w:rFonts w:ascii="Arial" w:hAnsi="Arial" w:cs="Arial"/>
          <w:sz w:val="18"/>
          <w:szCs w:val="18"/>
        </w:rPr>
        <w:t xml:space="preserve"> as the average between the column top/bottom in case of fast chemical reaction, because in most cases the liquid-side resistance can be considered as negligible</w:t>
      </w:r>
      <w:r w:rsidR="008C5352" w:rsidRPr="000F0574">
        <w:rPr>
          <w:rFonts w:ascii="Arial" w:hAnsi="Arial" w:cs="Arial"/>
          <w:sz w:val="18"/>
          <w:szCs w:val="18"/>
        </w:rPr>
        <w:t xml:space="preserve"> (</w:t>
      </w:r>
      <w:r w:rsidR="0046627A" w:rsidRPr="000F0574">
        <w:rPr>
          <w:rFonts w:ascii="Arial" w:hAnsi="Arial" w:cs="Arial"/>
          <w:sz w:val="18"/>
          <w:szCs w:val="18"/>
          <w:lang w:val="en-GB"/>
        </w:rPr>
        <w:t>Flagiello et al.</w:t>
      </w:r>
      <w:r w:rsidR="00377FBC" w:rsidRPr="000F0574">
        <w:rPr>
          <w:rFonts w:cs="Arial"/>
          <w:szCs w:val="18"/>
          <w:lang w:val="en-GB"/>
        </w:rPr>
        <w:t xml:space="preserve">, </w:t>
      </w:r>
      <w:r w:rsidR="0046627A" w:rsidRPr="000F0574">
        <w:rPr>
          <w:rFonts w:ascii="Arial" w:hAnsi="Arial" w:cs="Arial"/>
          <w:sz w:val="18"/>
          <w:szCs w:val="18"/>
          <w:lang w:val="en-GB"/>
        </w:rPr>
        <w:t>2022b</w:t>
      </w:r>
      <w:r w:rsidR="008C5352" w:rsidRPr="000F0574">
        <w:rPr>
          <w:rFonts w:ascii="Arial" w:hAnsi="Arial" w:cs="Arial"/>
          <w:sz w:val="18"/>
          <w:szCs w:val="18"/>
        </w:rPr>
        <w:t>).</w:t>
      </w:r>
    </w:p>
    <w:p w14:paraId="5686C53F" w14:textId="6685BEDF" w:rsidR="00B8431F" w:rsidRPr="00B57B36" w:rsidRDefault="005E74B4" w:rsidP="00053887">
      <w:pPr>
        <w:pStyle w:val="CETheadingx"/>
      </w:pPr>
      <w:r w:rsidRPr="005E74B4">
        <w:t>Equilibrium model for SO</w:t>
      </w:r>
      <w:r w:rsidRPr="006313C1">
        <w:rPr>
          <w:vertAlign w:val="subscript"/>
        </w:rPr>
        <w:t>2</w:t>
      </w:r>
      <w:r w:rsidRPr="005E74B4">
        <w:t xml:space="preserve"> absorption in </w:t>
      </w:r>
      <w:r w:rsidR="006313C1">
        <w:t>NH</w:t>
      </w:r>
      <w:r w:rsidR="006313C1" w:rsidRPr="006313C1">
        <w:rPr>
          <w:vertAlign w:val="subscript"/>
        </w:rPr>
        <w:t>3</w:t>
      </w:r>
      <w:r w:rsidRPr="005E74B4">
        <w:t xml:space="preserve"> implemented in ASPEN PLUS </w:t>
      </w:r>
      <w:proofErr w:type="gramStart"/>
      <w:r w:rsidRPr="005E74B4">
        <w:t>simulator</w:t>
      </w:r>
      <w:proofErr w:type="gramEnd"/>
    </w:p>
    <w:p w14:paraId="36FD3FEB" w14:textId="38FEC02B" w:rsidR="00516F35" w:rsidRPr="00AD74BA" w:rsidRDefault="00185B14" w:rsidP="0039029C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 w:rsidRPr="00185B14">
        <w:rPr>
          <w:rFonts w:ascii="Arial" w:hAnsi="Arial" w:cs="Arial"/>
          <w:sz w:val="18"/>
          <w:szCs w:val="18"/>
        </w:rPr>
        <w:t>The computational code developed is a predictive equilibrium model for SO</w:t>
      </w:r>
      <w:r w:rsidRPr="00185B14">
        <w:rPr>
          <w:rFonts w:ascii="Arial" w:hAnsi="Arial" w:cs="Arial"/>
          <w:sz w:val="18"/>
          <w:szCs w:val="18"/>
          <w:vertAlign w:val="subscript"/>
        </w:rPr>
        <w:t>2</w:t>
      </w:r>
      <w:r w:rsidRPr="00185B14">
        <w:rPr>
          <w:rFonts w:ascii="Arial" w:hAnsi="Arial" w:cs="Arial"/>
          <w:sz w:val="18"/>
          <w:szCs w:val="18"/>
        </w:rPr>
        <w:t xml:space="preserve"> absorption in </w:t>
      </w:r>
      <w:r w:rsidR="00EE1267">
        <w:rPr>
          <w:rFonts w:ascii="Arial" w:hAnsi="Arial" w:cs="Arial"/>
          <w:sz w:val="18"/>
          <w:szCs w:val="18"/>
        </w:rPr>
        <w:t>NH</w:t>
      </w:r>
      <w:r w:rsidR="00EE1267">
        <w:rPr>
          <w:rFonts w:ascii="Arial" w:hAnsi="Arial" w:cs="Arial"/>
          <w:sz w:val="18"/>
          <w:szCs w:val="18"/>
          <w:vertAlign w:val="subscript"/>
        </w:rPr>
        <w:t>3</w:t>
      </w:r>
      <w:r w:rsidRPr="00185B14">
        <w:rPr>
          <w:rFonts w:ascii="Arial" w:hAnsi="Arial" w:cs="Arial"/>
          <w:sz w:val="18"/>
          <w:szCs w:val="18"/>
        </w:rPr>
        <w:t xml:space="preserve"> aqueous solutions, based on a set of thermodynamic equilibrium equations (phase equilibria and chemical equilibria). </w:t>
      </w:r>
      <w:r w:rsidR="00516F35" w:rsidRPr="00DB7C59">
        <w:rPr>
          <w:rFonts w:ascii="Arial" w:hAnsi="Arial" w:cs="Arial"/>
          <w:sz w:val="18"/>
          <w:szCs w:val="18"/>
        </w:rPr>
        <w:t>The</w:t>
      </w:r>
      <w:r w:rsidR="00AD74BA">
        <w:rPr>
          <w:rFonts w:ascii="Arial" w:hAnsi="Arial" w:cs="Arial"/>
          <w:sz w:val="18"/>
          <w:szCs w:val="18"/>
        </w:rPr>
        <w:t>se</w:t>
      </w:r>
      <w:r w:rsidR="00516F35" w:rsidRPr="00DB7C59">
        <w:rPr>
          <w:rFonts w:ascii="Arial" w:hAnsi="Arial" w:cs="Arial"/>
          <w:sz w:val="18"/>
          <w:szCs w:val="18"/>
        </w:rPr>
        <w:t xml:space="preserve"> equations were implemented </w:t>
      </w:r>
      <w:r w:rsidR="003B52EB">
        <w:rPr>
          <w:rFonts w:ascii="Arial" w:hAnsi="Arial" w:cs="Arial"/>
          <w:sz w:val="18"/>
          <w:szCs w:val="18"/>
        </w:rPr>
        <w:t>in t</w:t>
      </w:r>
      <w:r w:rsidR="00516F35" w:rsidRPr="00DB7C59">
        <w:rPr>
          <w:rFonts w:ascii="Arial" w:hAnsi="Arial" w:cs="Arial"/>
          <w:sz w:val="18"/>
          <w:szCs w:val="18"/>
        </w:rPr>
        <w:t>he Flash block of ASPEN PLUS</w:t>
      </w:r>
      <w:r w:rsidR="0063548D">
        <w:rPr>
          <w:rFonts w:ascii="Arial" w:hAnsi="Arial" w:cs="Arial"/>
          <w:sz w:val="18"/>
          <w:szCs w:val="18"/>
        </w:rPr>
        <w:t xml:space="preserve"> </w:t>
      </w:r>
      <w:r w:rsidR="005A7373">
        <w:rPr>
          <w:rFonts w:ascii="Arial" w:hAnsi="Arial" w:cs="Arial"/>
          <w:sz w:val="18"/>
          <w:szCs w:val="18"/>
        </w:rPr>
        <w:t>(</w:t>
      </w:r>
      <w:r w:rsidR="0063548D">
        <w:rPr>
          <w:rFonts w:ascii="Arial" w:hAnsi="Arial" w:cs="Arial"/>
          <w:sz w:val="18"/>
          <w:szCs w:val="18"/>
        </w:rPr>
        <w:t xml:space="preserve">using </w:t>
      </w:r>
      <w:r w:rsidR="0063548D" w:rsidRPr="0063548D">
        <w:rPr>
          <w:rFonts w:ascii="Arial" w:hAnsi="Arial" w:cs="Arial"/>
          <w:sz w:val="18"/>
          <w:szCs w:val="18"/>
        </w:rPr>
        <w:t>Elec-NRTL</w:t>
      </w:r>
      <w:r w:rsidR="0063548D">
        <w:rPr>
          <w:rFonts w:ascii="Arial" w:hAnsi="Arial" w:cs="Arial"/>
          <w:sz w:val="18"/>
          <w:szCs w:val="18"/>
        </w:rPr>
        <w:t xml:space="preserve"> </w:t>
      </w:r>
      <w:r w:rsidR="005A7373">
        <w:rPr>
          <w:rFonts w:ascii="Arial" w:hAnsi="Arial" w:cs="Arial"/>
          <w:sz w:val="18"/>
          <w:szCs w:val="18"/>
        </w:rPr>
        <w:t>property method)</w:t>
      </w:r>
      <w:r w:rsidR="00832637">
        <w:rPr>
          <w:rFonts w:ascii="Arial" w:hAnsi="Arial" w:cs="Arial"/>
          <w:sz w:val="18"/>
          <w:szCs w:val="18"/>
        </w:rPr>
        <w:t xml:space="preserve"> </w:t>
      </w:r>
      <w:r w:rsidR="00832637" w:rsidRPr="00832637">
        <w:rPr>
          <w:rFonts w:ascii="Arial" w:hAnsi="Arial" w:cs="Arial"/>
          <w:sz w:val="18"/>
          <w:szCs w:val="18"/>
        </w:rPr>
        <w:t xml:space="preserve">and the values of the related </w:t>
      </w:r>
      <w:r w:rsidR="00832637" w:rsidRPr="000F0574">
        <w:rPr>
          <w:rFonts w:ascii="Arial" w:hAnsi="Arial" w:cs="Arial"/>
          <w:sz w:val="18"/>
          <w:szCs w:val="18"/>
        </w:rPr>
        <w:t>constants are given in Table 2</w:t>
      </w:r>
      <w:r w:rsidR="002D458D" w:rsidRPr="000F0574">
        <w:rPr>
          <w:rFonts w:ascii="Arial" w:hAnsi="Arial" w:cs="Arial"/>
          <w:sz w:val="18"/>
          <w:szCs w:val="18"/>
        </w:rPr>
        <w:t>. The Flash block</w:t>
      </w:r>
      <w:r w:rsidR="00516F35" w:rsidRPr="000F0574">
        <w:rPr>
          <w:rFonts w:ascii="Arial" w:hAnsi="Arial" w:cs="Arial"/>
          <w:sz w:val="18"/>
          <w:szCs w:val="18"/>
        </w:rPr>
        <w:t xml:space="preserve"> is a continuous unit working</w:t>
      </w:r>
      <w:r w:rsidR="00516F35" w:rsidRPr="00DB7C59">
        <w:rPr>
          <w:rFonts w:ascii="Arial" w:hAnsi="Arial" w:cs="Arial"/>
          <w:sz w:val="18"/>
          <w:szCs w:val="18"/>
        </w:rPr>
        <w:t xml:space="preserve"> at </w:t>
      </w:r>
      <w:r w:rsidR="007521BD">
        <w:rPr>
          <w:rFonts w:ascii="Arial" w:hAnsi="Arial" w:cs="Arial"/>
          <w:sz w:val="18"/>
          <w:szCs w:val="18"/>
        </w:rPr>
        <w:t>constant</w:t>
      </w:r>
      <w:r w:rsidR="007521BD" w:rsidRPr="00DB7C59">
        <w:rPr>
          <w:rFonts w:ascii="Arial" w:hAnsi="Arial" w:cs="Arial"/>
          <w:sz w:val="18"/>
          <w:szCs w:val="18"/>
        </w:rPr>
        <w:t xml:space="preserve"> </w:t>
      </w:r>
      <w:r w:rsidR="00516F35" w:rsidRPr="00DB7C59">
        <w:rPr>
          <w:rFonts w:ascii="Arial" w:hAnsi="Arial" w:cs="Arial"/>
          <w:sz w:val="18"/>
          <w:szCs w:val="18"/>
        </w:rPr>
        <w:t>pressure and temperature (</w:t>
      </w:r>
      <w:proofErr w:type="gramStart"/>
      <w:r w:rsidR="00516F35" w:rsidRPr="00DB7C59">
        <w:rPr>
          <w:rFonts w:ascii="Arial" w:hAnsi="Arial" w:cs="Arial"/>
          <w:sz w:val="18"/>
          <w:szCs w:val="18"/>
        </w:rPr>
        <w:t>i.e.</w:t>
      </w:r>
      <w:proofErr w:type="gramEnd"/>
      <w:r w:rsidR="00516F35" w:rsidRPr="00DB7C59">
        <w:rPr>
          <w:rFonts w:ascii="Arial" w:hAnsi="Arial" w:cs="Arial"/>
          <w:sz w:val="18"/>
          <w:szCs w:val="18"/>
        </w:rPr>
        <w:t xml:space="preserve"> an ideal equilibrium stage) fed by a gaseous stream (nitrogen and sulfur dioxide at the desired concentration) and a liquid stream (water and </w:t>
      </w:r>
      <w:r w:rsidR="007521BD">
        <w:rPr>
          <w:rFonts w:ascii="Arial" w:hAnsi="Arial" w:cs="Arial"/>
          <w:sz w:val="18"/>
          <w:szCs w:val="18"/>
        </w:rPr>
        <w:t>ammonia</w:t>
      </w:r>
      <w:r w:rsidR="00516F35" w:rsidRPr="00DB7C59">
        <w:rPr>
          <w:rFonts w:ascii="Arial" w:hAnsi="Arial" w:cs="Arial"/>
          <w:sz w:val="18"/>
          <w:szCs w:val="18"/>
        </w:rPr>
        <w:t xml:space="preserve"> at the investigated concentration) </w:t>
      </w:r>
      <w:r w:rsidR="00516F35" w:rsidRPr="00DB7C59">
        <w:rPr>
          <w:rFonts w:ascii="Arial" w:hAnsi="Arial" w:cs="Arial"/>
          <w:sz w:val="18"/>
          <w:szCs w:val="18"/>
        </w:rPr>
        <w:lastRenderedPageBreak/>
        <w:t xml:space="preserve">and allows to simultaneously </w:t>
      </w:r>
      <w:r w:rsidR="002B04F9" w:rsidRPr="00DB7C59">
        <w:rPr>
          <w:rFonts w:ascii="Arial" w:hAnsi="Arial" w:cs="Arial"/>
          <w:sz w:val="18"/>
          <w:szCs w:val="18"/>
        </w:rPr>
        <w:t xml:space="preserve">solve </w:t>
      </w:r>
      <w:r w:rsidR="00516F35" w:rsidRPr="00DB7C59">
        <w:rPr>
          <w:rFonts w:ascii="Arial" w:hAnsi="Arial" w:cs="Arial"/>
          <w:sz w:val="18"/>
          <w:szCs w:val="18"/>
        </w:rPr>
        <w:t xml:space="preserve">the mass, energy and charge balance </w:t>
      </w:r>
      <w:r w:rsidR="00516F35" w:rsidRPr="00DB7C59">
        <w:rPr>
          <w:rFonts w:ascii="Arial" w:hAnsi="Arial" w:cs="Arial"/>
          <w:color w:val="000000" w:themeColor="text1"/>
          <w:sz w:val="18"/>
          <w:szCs w:val="18"/>
        </w:rPr>
        <w:t xml:space="preserve">equations. At the Flash block output, two streams (gas and a liquid) are obtained at thermodynamic equilibrium. By using the sensitivity analysis tool of the process and varying </w:t>
      </w:r>
      <w:proofErr w:type="gramStart"/>
      <w:r w:rsidR="00516F35" w:rsidRPr="00DB7C59">
        <w:rPr>
          <w:rFonts w:ascii="Arial" w:hAnsi="Arial" w:cs="Arial"/>
          <w:color w:val="000000" w:themeColor="text1"/>
          <w:sz w:val="18"/>
          <w:szCs w:val="18"/>
        </w:rPr>
        <w:t>e.g.</w:t>
      </w:r>
      <w:proofErr w:type="gramEnd"/>
      <w:r w:rsidR="00516F35" w:rsidRPr="00DB7C59">
        <w:rPr>
          <w:rFonts w:ascii="Arial" w:hAnsi="Arial" w:cs="Arial"/>
          <w:color w:val="000000" w:themeColor="text1"/>
          <w:sz w:val="18"/>
          <w:szCs w:val="18"/>
        </w:rPr>
        <w:t xml:space="preserve"> the liquid flow rate to the Flash block, equilibrium data can be obtained at the fixed </w:t>
      </w:r>
      <w:r w:rsidR="007521BD">
        <w:rPr>
          <w:rFonts w:ascii="Arial" w:hAnsi="Arial" w:cs="Arial"/>
          <w:color w:val="000000" w:themeColor="text1"/>
          <w:sz w:val="18"/>
          <w:szCs w:val="18"/>
        </w:rPr>
        <w:t>NH</w:t>
      </w:r>
      <w:r w:rsidR="007521BD">
        <w:rPr>
          <w:rFonts w:ascii="Arial" w:hAnsi="Arial" w:cs="Arial"/>
          <w:color w:val="000000" w:themeColor="text1"/>
          <w:sz w:val="18"/>
          <w:szCs w:val="18"/>
          <w:vertAlign w:val="subscript"/>
        </w:rPr>
        <w:t>3</w:t>
      </w:r>
      <w:r w:rsidR="007521BD" w:rsidRPr="00DB7C5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16F35" w:rsidRPr="00DB7C59">
        <w:rPr>
          <w:rFonts w:ascii="Arial" w:hAnsi="Arial" w:cs="Arial"/>
          <w:color w:val="000000" w:themeColor="text1"/>
          <w:sz w:val="18"/>
          <w:szCs w:val="18"/>
        </w:rPr>
        <w:t>concentration.</w:t>
      </w:r>
    </w:p>
    <w:p w14:paraId="1027BF98" w14:textId="675569D2" w:rsidR="00145D39" w:rsidRPr="00B57B36" w:rsidRDefault="00145D39" w:rsidP="00A76EAB">
      <w:pPr>
        <w:pStyle w:val="CETTabletitle"/>
      </w:pPr>
      <w:r w:rsidRPr="00B57B36">
        <w:t xml:space="preserve">Table </w:t>
      </w:r>
      <w:r>
        <w:t>2</w:t>
      </w:r>
      <w:r w:rsidRPr="00B57B36">
        <w:t xml:space="preserve">: </w:t>
      </w:r>
      <w:r w:rsidR="00B065C0" w:rsidRPr="00B065C0">
        <w:t>Set of equations for the SO</w:t>
      </w:r>
      <w:r w:rsidR="00B065C0" w:rsidRPr="00FA4397">
        <w:rPr>
          <w:vertAlign w:val="subscript"/>
        </w:rPr>
        <w:t>2</w:t>
      </w:r>
      <w:r w:rsidR="00B065C0" w:rsidRPr="00B065C0">
        <w:t xml:space="preserve"> absorption model in </w:t>
      </w:r>
      <w:r w:rsidR="00FA4397">
        <w:t>NH</w:t>
      </w:r>
      <w:r w:rsidR="00FA4397" w:rsidRPr="00156C27">
        <w:rPr>
          <w:vertAlign w:val="subscript"/>
        </w:rPr>
        <w:t>3</w:t>
      </w:r>
      <w:r w:rsidR="00FA4397">
        <w:t xml:space="preserve"> aqueous solutions</w:t>
      </w:r>
      <w:r w:rsidR="00156C27">
        <w:t>,</w:t>
      </w:r>
      <w:r w:rsidR="00B065C0" w:rsidRPr="00B065C0">
        <w:t xml:space="preserve"> including the values of the constants of the phase (K</w:t>
      </w:r>
      <w:r w:rsidR="00B065C0" w:rsidRPr="00705DFD">
        <w:rPr>
          <w:vertAlign w:val="subscript"/>
        </w:rPr>
        <w:t>P°</w:t>
      </w:r>
      <w:r w:rsidR="00B065C0" w:rsidRPr="00B065C0">
        <w:t xml:space="preserve"> and K</w:t>
      </w:r>
      <w:r w:rsidR="00B065C0" w:rsidRPr="00705DFD">
        <w:rPr>
          <w:vertAlign w:val="subscript"/>
        </w:rPr>
        <w:t>H</w:t>
      </w:r>
      <w:r w:rsidR="00B065C0" w:rsidRPr="00B065C0">
        <w:t xml:space="preserve"> [</w:t>
      </w:r>
      <w:proofErr w:type="spellStart"/>
      <w:r w:rsidR="00B065C0" w:rsidRPr="00B065C0">
        <w:t>atm</w:t>
      </w:r>
      <w:proofErr w:type="spellEnd"/>
      <w:r w:rsidR="00B065C0" w:rsidRPr="00B065C0">
        <w:t>]) and chemical (K</w:t>
      </w:r>
      <w:r w:rsidR="00B065C0" w:rsidRPr="00705DFD">
        <w:rPr>
          <w:vertAlign w:val="subscript"/>
        </w:rPr>
        <w:t>eq</w:t>
      </w:r>
      <w:r w:rsidR="00B065C0" w:rsidRPr="00B065C0">
        <w:t xml:space="preserve"> [mol/mol]) equilibria at 20 </w:t>
      </w:r>
      <w:r w:rsidR="009477A9">
        <w:t>°C</w:t>
      </w:r>
      <w:r w:rsidR="00B065C0" w:rsidRPr="00B065C0">
        <w:t>.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2"/>
        <w:gridCol w:w="3617"/>
        <w:gridCol w:w="2044"/>
        <w:gridCol w:w="2074"/>
      </w:tblGrid>
      <w:tr w:rsidR="005E04C8" w:rsidRPr="00B57B36" w14:paraId="3D18CD61" w14:textId="77777777" w:rsidTr="005E04C8">
        <w:tc>
          <w:tcPr>
            <w:tcW w:w="599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77B5540" w14:textId="77777777" w:rsidR="005E04C8" w:rsidRDefault="005E04C8" w:rsidP="000A6B44">
            <w:pPr>
              <w:pStyle w:val="CETBodytext"/>
              <w:jc w:val="center"/>
              <w:rPr>
                <w:lang w:val="en-GB"/>
              </w:rPr>
            </w:pPr>
            <w:r w:rsidRPr="00026A21">
              <w:rPr>
                <w:lang w:val="en-GB"/>
              </w:rPr>
              <w:t xml:space="preserve">Number </w:t>
            </w:r>
          </w:p>
          <w:p w14:paraId="5FEDE6D6" w14:textId="56EEF008" w:rsidR="005E04C8" w:rsidRPr="00B57B36" w:rsidRDefault="005E04C8" w:rsidP="000A6B44">
            <w:pPr>
              <w:pStyle w:val="CETBodytext"/>
              <w:jc w:val="center"/>
              <w:rPr>
                <w:lang w:val="en-GB"/>
              </w:rPr>
            </w:pPr>
            <w:r w:rsidRPr="00026A21">
              <w:rPr>
                <w:lang w:val="en-GB"/>
              </w:rPr>
              <w:t>Equation</w:t>
            </w:r>
          </w:p>
        </w:tc>
        <w:tc>
          <w:tcPr>
            <w:tcW w:w="2058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5DFFDDF3" w14:textId="1D5B0D76" w:rsidR="005E04C8" w:rsidRPr="00712895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712895">
              <w:rPr>
                <w:lang w:val="en-GB"/>
              </w:rPr>
              <w:t>Equilibrium</w:t>
            </w:r>
          </w:p>
          <w:p w14:paraId="44BD778F" w14:textId="3BF2AA57" w:rsidR="005E04C8" w:rsidRPr="00B57B36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712895">
              <w:rPr>
                <w:lang w:val="en-GB"/>
              </w:rPr>
              <w:t>Equation</w:t>
            </w:r>
          </w:p>
        </w:tc>
        <w:tc>
          <w:tcPr>
            <w:tcW w:w="116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AE28416" w14:textId="77777777" w:rsidR="005E04C8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CF7B91">
              <w:rPr>
                <w:lang w:val="en-GB"/>
              </w:rPr>
              <w:t xml:space="preserve">Constant values </w:t>
            </w:r>
          </w:p>
          <w:p w14:paraId="33A07E4B" w14:textId="22F39968" w:rsidR="005E04C8" w:rsidRPr="00B57B36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CF7B91">
              <w:rPr>
                <w:lang w:val="en-GB"/>
              </w:rPr>
              <w:t>@</w:t>
            </w:r>
            <w:r>
              <w:rPr>
                <w:lang w:val="en-GB"/>
              </w:rPr>
              <w:t xml:space="preserve"> </w:t>
            </w:r>
            <w:r w:rsidRPr="00CF7B91">
              <w:rPr>
                <w:lang w:val="en-GB"/>
              </w:rPr>
              <w:t>T = 20 °C</w:t>
            </w:r>
          </w:p>
        </w:tc>
        <w:tc>
          <w:tcPr>
            <w:tcW w:w="118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31A400DD" w14:textId="2C59AAF5" w:rsidR="005E04C8" w:rsidRPr="00CF7B91" w:rsidRDefault="005E04C8" w:rsidP="005E04C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94164">
              <w:rPr>
                <w:rFonts w:cs="Arial"/>
                <w:szCs w:val="18"/>
                <w:lang w:val="en-GB"/>
              </w:rPr>
              <w:t>References</w:t>
            </w:r>
          </w:p>
        </w:tc>
      </w:tr>
      <w:tr w:rsidR="005E04C8" w:rsidRPr="00B57B36" w14:paraId="0068D532" w14:textId="77777777" w:rsidTr="00594164">
        <w:tc>
          <w:tcPr>
            <w:tcW w:w="599" w:type="pct"/>
            <w:shd w:val="clear" w:color="auto" w:fill="FFFFFF"/>
            <w:vAlign w:val="center"/>
          </w:tcPr>
          <w:p w14:paraId="7B8BE178" w14:textId="25921937" w:rsidR="005E04C8" w:rsidRPr="000A6B44" w:rsidRDefault="005E04C8" w:rsidP="000A6B44">
            <w:pPr>
              <w:pStyle w:val="CETBodytext"/>
              <w:jc w:val="center"/>
              <w:rPr>
                <w:lang w:val="en-GB"/>
              </w:rPr>
            </w:pPr>
            <w:r w:rsidRPr="000A6B44">
              <w:rPr>
                <w:lang w:val="en-GB"/>
              </w:rPr>
              <w:t>(</w:t>
            </w:r>
            <w:r w:rsidR="00FF19F7">
              <w:rPr>
                <w:lang w:val="en-GB"/>
              </w:rPr>
              <w:t>4</w:t>
            </w:r>
            <w:r w:rsidRPr="000A6B44">
              <w:rPr>
                <w:lang w:val="en-GB"/>
              </w:rPr>
              <w:t>)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4055B3A0" w14:textId="143FF9F9" w:rsidR="005E04C8" w:rsidRPr="000A6B44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0A6B44">
              <w:rPr>
                <w:rFonts w:cs="Arial"/>
                <w:noProof/>
                <w:position w:val="-12"/>
                <w:szCs w:val="18"/>
                <w:lang w:val="en-GB"/>
              </w:rPr>
              <w:object w:dxaOrig="1160" w:dyaOrig="300" w14:anchorId="35B083F8">
                <v:shape id="_x0000_i1028" type="#_x0000_t75" alt="" style="width:61.15pt;height:21.05pt" o:ole="">
                  <v:imagedata r:id="rId17" o:title=""/>
                </v:shape>
                <o:OLEObject Type="Embed" ProgID="Equation.DSMT4" ShapeID="_x0000_i1028" DrawAspect="Content" ObjectID="_1742022093" r:id="rId18"/>
              </w:objec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32D8E4DB" w14:textId="31D1052A" w:rsidR="005E04C8" w:rsidRPr="000A6B44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0A6B44">
              <w:rPr>
                <w:lang w:val="en-GB"/>
              </w:rPr>
              <w:t>K</w:t>
            </w:r>
            <w:r w:rsidRPr="000A6B44">
              <w:rPr>
                <w:vertAlign w:val="subscript"/>
                <w:lang w:val="en-GB"/>
              </w:rPr>
              <w:t>H</w:t>
            </w:r>
            <w:r w:rsidRPr="000A6B44">
              <w:rPr>
                <w:lang w:val="en-GB"/>
              </w:rPr>
              <w:t xml:space="preserve"> = </w:t>
            </w:r>
            <w:proofErr w:type="gramStart"/>
            <w:r w:rsidRPr="000A6B44">
              <w:rPr>
                <w:lang w:val="en-GB"/>
              </w:rPr>
              <w:t>exp(</w:t>
            </w:r>
            <w:proofErr w:type="gramEnd"/>
            <w:r w:rsidRPr="000A6B44">
              <w:rPr>
                <w:lang w:val="en-GB"/>
              </w:rPr>
              <w:t>3.65)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1C5D58D6" w14:textId="4F86B39E" w:rsidR="005E04C8" w:rsidRPr="00C4601E" w:rsidRDefault="00E87C41" w:rsidP="00594164">
            <w:pPr>
              <w:pStyle w:val="CETBodytext"/>
              <w:ind w:right="-1"/>
              <w:jc w:val="left"/>
              <w:rPr>
                <w:highlight w:val="yellow"/>
                <w:lang w:val="en-GB"/>
              </w:rPr>
            </w:pPr>
            <w:r w:rsidRPr="00E87C41">
              <w:rPr>
                <w:lang w:val="en-GB"/>
              </w:rPr>
              <w:t>Flagiello et al.</w:t>
            </w:r>
            <w:r>
              <w:rPr>
                <w:lang w:val="en-GB"/>
              </w:rPr>
              <w:t xml:space="preserve"> (</w:t>
            </w:r>
            <w:r w:rsidRPr="00E87C41">
              <w:rPr>
                <w:lang w:val="en-GB"/>
              </w:rPr>
              <w:t>2018</w:t>
            </w:r>
            <w:r>
              <w:rPr>
                <w:lang w:val="en-GB"/>
              </w:rPr>
              <w:t>)</w:t>
            </w:r>
          </w:p>
        </w:tc>
      </w:tr>
      <w:tr w:rsidR="005E04C8" w:rsidRPr="00B57B36" w14:paraId="71452D02" w14:textId="77777777" w:rsidTr="00594164">
        <w:tc>
          <w:tcPr>
            <w:tcW w:w="599" w:type="pct"/>
            <w:shd w:val="clear" w:color="auto" w:fill="FFFFFF"/>
            <w:vAlign w:val="center"/>
          </w:tcPr>
          <w:p w14:paraId="0DB3C662" w14:textId="161F8954" w:rsidR="005E04C8" w:rsidRPr="000A6B44" w:rsidRDefault="005E04C8" w:rsidP="000A6B44">
            <w:pPr>
              <w:pStyle w:val="CETBodytext"/>
              <w:jc w:val="center"/>
              <w:rPr>
                <w:lang w:val="en-GB"/>
              </w:rPr>
            </w:pPr>
            <w:r w:rsidRPr="000A6B44">
              <w:rPr>
                <w:lang w:val="en-GB"/>
              </w:rPr>
              <w:t>(</w:t>
            </w:r>
            <w:r w:rsidR="00FF19F7">
              <w:rPr>
                <w:lang w:val="en-GB"/>
              </w:rPr>
              <w:t>5</w:t>
            </w:r>
            <w:r w:rsidRPr="000A6B44">
              <w:rPr>
                <w:lang w:val="en-GB"/>
              </w:rPr>
              <w:t>)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44CE6742" w14:textId="0D9EE8F6" w:rsidR="005E04C8" w:rsidRPr="000A6B44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0A6B44">
              <w:rPr>
                <w:rFonts w:cs="Arial"/>
                <w:noProof/>
                <w:position w:val="-12"/>
                <w:szCs w:val="18"/>
                <w:lang w:val="en-GB"/>
              </w:rPr>
              <w:object w:dxaOrig="1240" w:dyaOrig="300" w14:anchorId="06F939FD">
                <v:shape id="_x0000_i1029" type="#_x0000_t75" alt="" style="width:64.55pt;height:21.05pt" o:ole="">
                  <v:imagedata r:id="rId19" o:title=""/>
                </v:shape>
                <o:OLEObject Type="Embed" ProgID="Equation.DSMT4" ShapeID="_x0000_i1029" DrawAspect="Content" ObjectID="_1742022094" r:id="rId20"/>
              </w:objec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3D5C17A8" w14:textId="42F71C52" w:rsidR="005E04C8" w:rsidRPr="000A6B44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0A6B44">
              <w:rPr>
                <w:lang w:val="en-GB"/>
              </w:rPr>
              <w:t>K</w:t>
            </w:r>
            <w:r w:rsidRPr="000A6B44">
              <w:rPr>
                <w:vertAlign w:val="subscript"/>
                <w:lang w:val="en-GB"/>
              </w:rPr>
              <w:t>P°</w:t>
            </w:r>
            <w:r w:rsidRPr="000A6B44">
              <w:rPr>
                <w:lang w:val="en-GB"/>
              </w:rPr>
              <w:t xml:space="preserve"> = </w:t>
            </w:r>
            <w:proofErr w:type="gramStart"/>
            <w:r w:rsidRPr="000A6B44">
              <w:rPr>
                <w:lang w:val="en-GB"/>
              </w:rPr>
              <w:t>exp(</w:t>
            </w:r>
            <w:proofErr w:type="gramEnd"/>
            <w:r w:rsidRPr="000A6B44">
              <w:rPr>
                <w:lang w:val="en-GB"/>
              </w:rPr>
              <w:t>-3.71)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26B02413" w14:textId="32C357A4" w:rsidR="005E04C8" w:rsidRPr="00C4601E" w:rsidRDefault="00E87C41" w:rsidP="00594164">
            <w:pPr>
              <w:pStyle w:val="CETBodytext"/>
              <w:ind w:right="-1"/>
              <w:jc w:val="left"/>
              <w:rPr>
                <w:highlight w:val="yellow"/>
                <w:lang w:val="en-GB"/>
              </w:rPr>
            </w:pPr>
            <w:r w:rsidRPr="00E87C41">
              <w:rPr>
                <w:lang w:val="en-GB"/>
              </w:rPr>
              <w:t>Flagiello et al.</w:t>
            </w:r>
            <w:r>
              <w:rPr>
                <w:lang w:val="en-GB"/>
              </w:rPr>
              <w:t xml:space="preserve"> (</w:t>
            </w:r>
            <w:r w:rsidRPr="00E87C41">
              <w:rPr>
                <w:lang w:val="en-GB"/>
              </w:rPr>
              <w:t>2018</w:t>
            </w:r>
            <w:r>
              <w:rPr>
                <w:lang w:val="en-GB"/>
              </w:rPr>
              <w:t>)</w:t>
            </w:r>
          </w:p>
        </w:tc>
      </w:tr>
      <w:tr w:rsidR="005E04C8" w:rsidRPr="00B57B36" w14:paraId="7D49E34A" w14:textId="77777777" w:rsidTr="00594164">
        <w:tc>
          <w:tcPr>
            <w:tcW w:w="599" w:type="pct"/>
            <w:shd w:val="clear" w:color="auto" w:fill="FFFFFF"/>
            <w:vAlign w:val="center"/>
          </w:tcPr>
          <w:p w14:paraId="39533EF5" w14:textId="10DE066F" w:rsidR="005E04C8" w:rsidRPr="000A6B44" w:rsidRDefault="005E04C8" w:rsidP="000A6B44">
            <w:pPr>
              <w:pStyle w:val="CETBodytext"/>
              <w:jc w:val="center"/>
              <w:rPr>
                <w:lang w:val="en-GB"/>
              </w:rPr>
            </w:pPr>
            <w:r w:rsidRPr="000A6B44">
              <w:rPr>
                <w:lang w:val="en-GB"/>
              </w:rPr>
              <w:t>(</w:t>
            </w:r>
            <w:r w:rsidR="00FF19F7">
              <w:rPr>
                <w:lang w:val="en-GB"/>
              </w:rPr>
              <w:t>6</w:t>
            </w:r>
            <w:r w:rsidRPr="000A6B44">
              <w:rPr>
                <w:lang w:val="en-GB"/>
              </w:rPr>
              <w:t>)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49A318DE" w14:textId="520FCC9F" w:rsidR="005E04C8" w:rsidRPr="00B8532F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B8532F">
              <w:rPr>
                <w:rFonts w:cs="Arial"/>
                <w:noProof/>
                <w:position w:val="-12"/>
                <w:szCs w:val="18"/>
                <w:lang w:val="en-GB"/>
              </w:rPr>
              <w:object w:dxaOrig="1240" w:dyaOrig="300" w14:anchorId="2DC88F48">
                <v:shape id="_x0000_i1030" type="#_x0000_t75" alt="" style="width:64.55pt;height:21.05pt" o:ole="">
                  <v:imagedata r:id="rId21" o:title=""/>
                </v:shape>
                <o:OLEObject Type="Embed" ProgID="Equation.DSMT4" ShapeID="_x0000_i1030" DrawAspect="Content" ObjectID="_1742022095" r:id="rId22"/>
              </w:objec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477CB35E" w14:textId="61C9A1F3" w:rsidR="005E04C8" w:rsidRPr="00B8532F" w:rsidRDefault="005E04C8" w:rsidP="000A6B44">
            <w:pPr>
              <w:pStyle w:val="CETBodytext"/>
              <w:ind w:right="-1"/>
              <w:jc w:val="left"/>
              <w:rPr>
                <w:lang w:val="en-GB"/>
              </w:rPr>
            </w:pPr>
            <w:r w:rsidRPr="00B8532F">
              <w:rPr>
                <w:lang w:val="en-GB"/>
              </w:rPr>
              <w:t>K</w:t>
            </w:r>
            <w:r w:rsidRPr="00B8532F">
              <w:rPr>
                <w:vertAlign w:val="subscript"/>
                <w:lang w:val="en-GB"/>
              </w:rPr>
              <w:t>H</w:t>
            </w:r>
            <w:r w:rsidRPr="00B8532F">
              <w:rPr>
                <w:lang w:val="en-GB"/>
              </w:rPr>
              <w:t xml:space="preserve"> = </w:t>
            </w:r>
            <w:proofErr w:type="gramStart"/>
            <w:r w:rsidRPr="00B8532F">
              <w:rPr>
                <w:lang w:val="en-GB"/>
              </w:rPr>
              <w:t>exp(</w:t>
            </w:r>
            <w:proofErr w:type="gramEnd"/>
            <w:r w:rsidRPr="00B8532F">
              <w:rPr>
                <w:lang w:val="en-GB"/>
              </w:rPr>
              <w:t>1.61)</w:t>
            </w:r>
          </w:p>
          <w:p w14:paraId="10FDCAA7" w14:textId="5717D6D8" w:rsidR="005E04C8" w:rsidRPr="00B8532F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B8532F">
              <w:rPr>
                <w:lang w:val="en-GB"/>
              </w:rPr>
              <w:t>K</w:t>
            </w:r>
            <w:r w:rsidRPr="00B8532F">
              <w:rPr>
                <w:vertAlign w:val="subscript"/>
                <w:lang w:val="en-GB"/>
              </w:rPr>
              <w:t>P°</w:t>
            </w:r>
            <w:r w:rsidRPr="00B8532F">
              <w:rPr>
                <w:lang w:val="en-GB"/>
              </w:rPr>
              <w:t xml:space="preserve"> = </w:t>
            </w:r>
            <w:proofErr w:type="gramStart"/>
            <w:r w:rsidRPr="00B8532F">
              <w:rPr>
                <w:lang w:val="en-GB"/>
              </w:rPr>
              <w:t>exp(</w:t>
            </w:r>
            <w:proofErr w:type="gramEnd"/>
            <w:r w:rsidRPr="00B8532F">
              <w:rPr>
                <w:lang w:val="en-GB"/>
              </w:rPr>
              <w:t>2.12)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71CA1FE8" w14:textId="520DC88B" w:rsidR="005E04C8" w:rsidRPr="00C4601E" w:rsidRDefault="00594164" w:rsidP="00594164">
            <w:pPr>
              <w:pStyle w:val="CETBodytext"/>
              <w:ind w:right="-1"/>
              <w:jc w:val="left"/>
              <w:rPr>
                <w:highlight w:val="yellow"/>
                <w:lang w:val="en-GB"/>
              </w:rPr>
            </w:pPr>
            <w:proofErr w:type="spellStart"/>
            <w:r w:rsidRPr="00594164">
              <w:rPr>
                <w:lang w:val="en-GB"/>
              </w:rPr>
              <w:t>Luckas</w:t>
            </w:r>
            <w:proofErr w:type="spellEnd"/>
            <w:r w:rsidR="00E87C41" w:rsidRPr="00E87C41">
              <w:rPr>
                <w:lang w:val="en-GB"/>
              </w:rPr>
              <w:t xml:space="preserve"> et al.</w:t>
            </w:r>
            <w:r w:rsidR="00E87C41">
              <w:rPr>
                <w:lang w:val="en-GB"/>
              </w:rPr>
              <w:t xml:space="preserve"> (</w:t>
            </w:r>
            <w:r>
              <w:rPr>
                <w:lang w:val="en-GB"/>
              </w:rPr>
              <w:t>1994</w:t>
            </w:r>
            <w:r w:rsidR="00E87C41">
              <w:rPr>
                <w:lang w:val="en-GB"/>
              </w:rPr>
              <w:t>)</w:t>
            </w:r>
          </w:p>
        </w:tc>
      </w:tr>
      <w:tr w:rsidR="005E04C8" w:rsidRPr="00B57B36" w14:paraId="348E433F" w14:textId="77777777" w:rsidTr="00594164">
        <w:tc>
          <w:tcPr>
            <w:tcW w:w="599" w:type="pct"/>
            <w:shd w:val="clear" w:color="auto" w:fill="FFFFFF"/>
            <w:vAlign w:val="center"/>
          </w:tcPr>
          <w:p w14:paraId="2936710B" w14:textId="724EDFD9" w:rsidR="005E04C8" w:rsidRPr="000A6B44" w:rsidRDefault="005E04C8" w:rsidP="000A6B44">
            <w:pPr>
              <w:pStyle w:val="CETBodytext"/>
              <w:jc w:val="center"/>
              <w:rPr>
                <w:lang w:val="en-GB"/>
              </w:rPr>
            </w:pPr>
            <w:r w:rsidRPr="000A6B44">
              <w:rPr>
                <w:lang w:val="en-GB"/>
              </w:rPr>
              <w:t>(</w:t>
            </w:r>
            <w:r w:rsidR="00FF19F7">
              <w:rPr>
                <w:lang w:val="en-GB"/>
              </w:rPr>
              <w:t>7</w:t>
            </w:r>
            <w:r w:rsidRPr="000A6B44">
              <w:rPr>
                <w:lang w:val="en-GB"/>
              </w:rPr>
              <w:t>)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289B83C5" w14:textId="60C2074A" w:rsidR="005E04C8" w:rsidRPr="000A6B44" w:rsidRDefault="005E04C8" w:rsidP="000A6B44">
            <w:pPr>
              <w:pStyle w:val="CETBodytext"/>
              <w:jc w:val="left"/>
              <w:rPr>
                <w:rFonts w:cs="Arial"/>
                <w:noProof/>
                <w:szCs w:val="18"/>
                <w:lang w:val="en-GB"/>
              </w:rPr>
            </w:pPr>
            <w:r w:rsidRPr="000A6B44">
              <w:rPr>
                <w:rFonts w:cs="Arial"/>
                <w:noProof/>
                <w:position w:val="-12"/>
                <w:szCs w:val="18"/>
                <w:lang w:val="en-GB"/>
              </w:rPr>
              <w:object w:dxaOrig="1579" w:dyaOrig="320" w14:anchorId="7CAF00E3">
                <v:shape id="_x0000_i1031" type="#_x0000_t75" alt="" style="width:82.85pt;height:22.4pt" o:ole="">
                  <v:imagedata r:id="rId23" o:title=""/>
                </v:shape>
                <o:OLEObject Type="Embed" ProgID="Equation.DSMT4" ShapeID="_x0000_i1031" DrawAspect="Content" ObjectID="_1742022096" r:id="rId24"/>
              </w:objec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711AEF0F" w14:textId="2A52817F" w:rsidR="005E04C8" w:rsidRPr="000A6B44" w:rsidRDefault="005E04C8" w:rsidP="000A6B44">
            <w:pPr>
              <w:pStyle w:val="CETBodytext"/>
              <w:ind w:right="-1"/>
              <w:jc w:val="left"/>
              <w:rPr>
                <w:lang w:val="en-GB"/>
              </w:rPr>
            </w:pPr>
            <w:r w:rsidRPr="000A6B44">
              <w:rPr>
                <w:lang w:val="en-GB"/>
              </w:rPr>
              <w:t>K</w:t>
            </w:r>
            <w:r w:rsidRPr="000A6B44">
              <w:rPr>
                <w:vertAlign w:val="subscript"/>
                <w:lang w:val="en-GB"/>
              </w:rPr>
              <w:t>eq</w:t>
            </w:r>
            <w:r w:rsidRPr="000A6B44">
              <w:rPr>
                <w:lang w:val="en-GB"/>
              </w:rPr>
              <w:t xml:space="preserve"> = </w:t>
            </w:r>
            <w:proofErr w:type="gramStart"/>
            <w:r w:rsidRPr="000A6B44">
              <w:rPr>
                <w:lang w:val="en-GB"/>
              </w:rPr>
              <w:t>exp(</w:t>
            </w:r>
            <w:proofErr w:type="gramEnd"/>
            <w:r w:rsidRPr="000A6B44">
              <w:rPr>
                <w:lang w:val="en-GB"/>
              </w:rPr>
              <w:t>-40.69)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0737DECC" w14:textId="26A1A0AC" w:rsidR="005E04C8" w:rsidRPr="00C4601E" w:rsidRDefault="00E87C41" w:rsidP="00594164">
            <w:pPr>
              <w:pStyle w:val="CETBodytext"/>
              <w:ind w:right="-1"/>
              <w:jc w:val="left"/>
              <w:rPr>
                <w:highlight w:val="yellow"/>
                <w:lang w:val="en-GB"/>
              </w:rPr>
            </w:pPr>
            <w:r w:rsidRPr="00E87C41">
              <w:rPr>
                <w:lang w:val="en-GB"/>
              </w:rPr>
              <w:t>Flagiello et al.</w:t>
            </w:r>
            <w:r>
              <w:rPr>
                <w:lang w:val="en-GB"/>
              </w:rPr>
              <w:t xml:space="preserve"> (</w:t>
            </w:r>
            <w:r w:rsidRPr="00E87C41">
              <w:rPr>
                <w:lang w:val="en-GB"/>
              </w:rPr>
              <w:t>2018</w:t>
            </w:r>
            <w:r>
              <w:rPr>
                <w:lang w:val="en-GB"/>
              </w:rPr>
              <w:t>)</w:t>
            </w:r>
          </w:p>
        </w:tc>
      </w:tr>
      <w:tr w:rsidR="005E04C8" w:rsidRPr="00B57B36" w14:paraId="0DB34439" w14:textId="77777777" w:rsidTr="00594164">
        <w:tc>
          <w:tcPr>
            <w:tcW w:w="599" w:type="pct"/>
            <w:shd w:val="clear" w:color="auto" w:fill="FFFFFF"/>
            <w:vAlign w:val="center"/>
          </w:tcPr>
          <w:p w14:paraId="02D4096B" w14:textId="176718B6" w:rsidR="005E04C8" w:rsidRPr="000A6B44" w:rsidRDefault="005E04C8" w:rsidP="000A6B44">
            <w:pPr>
              <w:pStyle w:val="CETBodytext"/>
              <w:jc w:val="center"/>
              <w:rPr>
                <w:lang w:val="en-GB"/>
              </w:rPr>
            </w:pPr>
            <w:r w:rsidRPr="000A6B44">
              <w:rPr>
                <w:lang w:val="en-GB"/>
              </w:rPr>
              <w:t>(</w:t>
            </w:r>
            <w:r w:rsidR="00FF19F7">
              <w:rPr>
                <w:lang w:val="en-GB"/>
              </w:rPr>
              <w:t>8</w:t>
            </w:r>
            <w:r w:rsidRPr="000A6B44">
              <w:rPr>
                <w:lang w:val="en-GB"/>
              </w:rPr>
              <w:t>)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1B79F61C" w14:textId="0DF50D4F" w:rsidR="005E04C8" w:rsidRPr="000A6B44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0A6B44">
              <w:rPr>
                <w:rFonts w:cs="Arial"/>
                <w:noProof/>
                <w:position w:val="-12"/>
                <w:szCs w:val="18"/>
                <w:lang w:val="en-GB"/>
              </w:rPr>
              <w:object w:dxaOrig="2320" w:dyaOrig="320" w14:anchorId="395D9B62">
                <v:shape id="_x0000_i1032" type="#_x0000_t75" alt="" style="width:122.25pt;height:22.4pt" o:ole="">
                  <v:imagedata r:id="rId25" o:title=""/>
                </v:shape>
                <o:OLEObject Type="Embed" ProgID="Equation.DSMT4" ShapeID="_x0000_i1032" DrawAspect="Content" ObjectID="_1742022097" r:id="rId26"/>
              </w:objec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30E35868" w14:textId="38F3758C" w:rsidR="005E04C8" w:rsidRPr="000A6B44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0A6B44">
              <w:rPr>
                <w:lang w:val="en-GB"/>
              </w:rPr>
              <w:t>K</w:t>
            </w:r>
            <w:r w:rsidRPr="000A6B44">
              <w:rPr>
                <w:vertAlign w:val="subscript"/>
                <w:lang w:val="en-GB"/>
              </w:rPr>
              <w:t>eq</w:t>
            </w:r>
            <w:r w:rsidRPr="000A6B44">
              <w:rPr>
                <w:lang w:val="en-GB"/>
              </w:rPr>
              <w:t xml:space="preserve"> = </w:t>
            </w:r>
            <w:proofErr w:type="gramStart"/>
            <w:r w:rsidRPr="000A6B44">
              <w:rPr>
                <w:lang w:val="en-GB"/>
              </w:rPr>
              <w:t>exp(</w:t>
            </w:r>
            <w:proofErr w:type="gramEnd"/>
            <w:r w:rsidRPr="000A6B44">
              <w:rPr>
                <w:lang w:val="en-GB"/>
              </w:rPr>
              <w:t>-8.11)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0B8C3B1A" w14:textId="5C56969F" w:rsidR="005E04C8" w:rsidRPr="00C4601E" w:rsidRDefault="00E87C41" w:rsidP="00594164">
            <w:pPr>
              <w:pStyle w:val="CETBodytext"/>
              <w:ind w:right="-1"/>
              <w:jc w:val="left"/>
              <w:rPr>
                <w:highlight w:val="yellow"/>
                <w:lang w:val="en-GB"/>
              </w:rPr>
            </w:pPr>
            <w:r w:rsidRPr="00E87C41">
              <w:rPr>
                <w:lang w:val="en-GB"/>
              </w:rPr>
              <w:t>Flagiello et al.</w:t>
            </w:r>
            <w:r>
              <w:rPr>
                <w:lang w:val="en-GB"/>
              </w:rPr>
              <w:t xml:space="preserve"> (</w:t>
            </w:r>
            <w:r w:rsidRPr="00E87C41">
              <w:rPr>
                <w:lang w:val="en-GB"/>
              </w:rPr>
              <w:t>2018</w:t>
            </w:r>
            <w:r>
              <w:rPr>
                <w:lang w:val="en-GB"/>
              </w:rPr>
              <w:t>)</w:t>
            </w:r>
          </w:p>
        </w:tc>
      </w:tr>
      <w:tr w:rsidR="005E04C8" w:rsidRPr="00B57B36" w14:paraId="3DBE9594" w14:textId="77777777" w:rsidTr="00594164">
        <w:tc>
          <w:tcPr>
            <w:tcW w:w="599" w:type="pct"/>
            <w:shd w:val="clear" w:color="auto" w:fill="FFFFFF"/>
            <w:vAlign w:val="center"/>
          </w:tcPr>
          <w:p w14:paraId="17BBB1C6" w14:textId="4BB08CBF" w:rsidR="005E04C8" w:rsidRPr="000A6B44" w:rsidRDefault="005E04C8" w:rsidP="000A6B44">
            <w:pPr>
              <w:pStyle w:val="CETBodytext"/>
              <w:jc w:val="center"/>
              <w:rPr>
                <w:lang w:val="en-GB"/>
              </w:rPr>
            </w:pPr>
            <w:r w:rsidRPr="000A6B44">
              <w:rPr>
                <w:lang w:val="en-GB"/>
              </w:rPr>
              <w:t>(</w:t>
            </w:r>
            <w:r w:rsidR="00FF19F7">
              <w:rPr>
                <w:lang w:val="en-GB"/>
              </w:rPr>
              <w:t>9</w:t>
            </w:r>
            <w:r w:rsidRPr="000A6B44">
              <w:rPr>
                <w:lang w:val="en-GB"/>
              </w:rPr>
              <w:t>)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169FAAE9" w14:textId="1F9AED91" w:rsidR="005E04C8" w:rsidRPr="000A6B44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0A6B44">
              <w:rPr>
                <w:rFonts w:cs="Arial"/>
                <w:noProof/>
                <w:position w:val="-12"/>
                <w:szCs w:val="18"/>
                <w:lang w:val="en-GB"/>
              </w:rPr>
              <w:object w:dxaOrig="2120" w:dyaOrig="320" w14:anchorId="54BE6018">
                <v:shape id="_x0000_i1033" type="#_x0000_t75" alt="" style="width:111.4pt;height:22.4pt" o:ole="">
                  <v:imagedata r:id="rId27" o:title=""/>
                </v:shape>
                <o:OLEObject Type="Embed" ProgID="Equation.DSMT4" ShapeID="_x0000_i1033" DrawAspect="Content" ObjectID="_1742022098" r:id="rId28"/>
              </w:objec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066C660B" w14:textId="33456C2E" w:rsidR="005E04C8" w:rsidRPr="000A6B44" w:rsidRDefault="005E04C8" w:rsidP="000A6B44">
            <w:pPr>
              <w:pStyle w:val="CETBodytext"/>
              <w:jc w:val="left"/>
              <w:rPr>
                <w:lang w:val="en-GB"/>
              </w:rPr>
            </w:pPr>
            <w:r w:rsidRPr="000A6B44">
              <w:rPr>
                <w:lang w:val="en-GB"/>
              </w:rPr>
              <w:t>K</w:t>
            </w:r>
            <w:r w:rsidRPr="000A6B44">
              <w:rPr>
                <w:vertAlign w:val="subscript"/>
                <w:lang w:val="en-GB"/>
              </w:rPr>
              <w:t>eq</w:t>
            </w:r>
            <w:r w:rsidRPr="000A6B44">
              <w:rPr>
                <w:lang w:val="en-GB"/>
              </w:rPr>
              <w:t xml:space="preserve"> = </w:t>
            </w:r>
            <w:proofErr w:type="gramStart"/>
            <w:r w:rsidRPr="000A6B44">
              <w:rPr>
                <w:lang w:val="en-GB"/>
              </w:rPr>
              <w:t>exp(</w:t>
            </w:r>
            <w:proofErr w:type="gramEnd"/>
            <w:r w:rsidRPr="000A6B44">
              <w:rPr>
                <w:lang w:val="en-GB"/>
              </w:rPr>
              <w:t>-20.74)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36873BEE" w14:textId="72A652A5" w:rsidR="005E04C8" w:rsidRPr="00C4601E" w:rsidRDefault="00E87C41" w:rsidP="00594164">
            <w:pPr>
              <w:pStyle w:val="CETBodytext"/>
              <w:ind w:right="-1"/>
              <w:jc w:val="left"/>
              <w:rPr>
                <w:highlight w:val="yellow"/>
                <w:lang w:val="en-GB"/>
              </w:rPr>
            </w:pPr>
            <w:r w:rsidRPr="00E87C41">
              <w:rPr>
                <w:lang w:val="en-GB"/>
              </w:rPr>
              <w:t>Flagiello et al.</w:t>
            </w:r>
            <w:r>
              <w:rPr>
                <w:lang w:val="en-GB"/>
              </w:rPr>
              <w:t xml:space="preserve"> (</w:t>
            </w:r>
            <w:r w:rsidRPr="00E87C41">
              <w:rPr>
                <w:lang w:val="en-GB"/>
              </w:rPr>
              <w:t>2018</w:t>
            </w:r>
            <w:r>
              <w:rPr>
                <w:lang w:val="en-GB"/>
              </w:rPr>
              <w:t>)</w:t>
            </w:r>
          </w:p>
        </w:tc>
      </w:tr>
      <w:tr w:rsidR="005E04C8" w:rsidRPr="00B57B36" w14:paraId="5B727CF7" w14:textId="77777777" w:rsidTr="00594164">
        <w:tc>
          <w:tcPr>
            <w:tcW w:w="599" w:type="pct"/>
            <w:shd w:val="clear" w:color="auto" w:fill="FFFFFF"/>
            <w:vAlign w:val="center"/>
          </w:tcPr>
          <w:p w14:paraId="50C7800F" w14:textId="7127DD3B" w:rsidR="005E04C8" w:rsidRPr="000A6B44" w:rsidRDefault="005E04C8" w:rsidP="000A6B4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A6B44">
              <w:rPr>
                <w:lang w:val="en-GB"/>
              </w:rPr>
              <w:t>(</w:t>
            </w:r>
            <w:r w:rsidR="00FF19F7">
              <w:rPr>
                <w:lang w:val="en-GB"/>
              </w:rPr>
              <w:t>10</w:t>
            </w:r>
            <w:r w:rsidRPr="000A6B44">
              <w:rPr>
                <w:lang w:val="en-GB"/>
              </w:rPr>
              <w:t>)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10888F54" w14:textId="0A9204F5" w:rsidR="005E04C8" w:rsidRPr="000A6B44" w:rsidRDefault="005E04C8" w:rsidP="000A6B44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0A6B44">
              <w:rPr>
                <w:rFonts w:cs="Arial"/>
                <w:noProof/>
                <w:position w:val="-12"/>
                <w:szCs w:val="18"/>
                <w:lang w:val="en-GB"/>
              </w:rPr>
              <w:object w:dxaOrig="2160" w:dyaOrig="320" w14:anchorId="455FE2F1">
                <v:shape id="_x0000_i1034" type="#_x0000_t75" alt="" style="width:112.75pt;height:22.4pt" o:ole="">
                  <v:imagedata r:id="rId29" o:title=""/>
                </v:shape>
                <o:OLEObject Type="Embed" ProgID="Equation.DSMT4" ShapeID="_x0000_i1034" DrawAspect="Content" ObjectID="_1742022099" r:id="rId30"/>
              </w:objec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61EF3D24" w14:textId="1ED4D078" w:rsidR="005E04C8" w:rsidRPr="000A6B44" w:rsidRDefault="005E04C8" w:rsidP="000A6B44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0A6B44">
              <w:rPr>
                <w:lang w:val="en-GB"/>
              </w:rPr>
              <w:t>K</w:t>
            </w:r>
            <w:r w:rsidRPr="000A6B44">
              <w:rPr>
                <w:vertAlign w:val="subscript"/>
                <w:lang w:val="en-GB"/>
              </w:rPr>
              <w:t>eq</w:t>
            </w:r>
            <w:r w:rsidRPr="000A6B44">
              <w:rPr>
                <w:lang w:val="en-GB"/>
              </w:rPr>
              <w:t xml:space="preserve"> = </w:t>
            </w:r>
            <w:proofErr w:type="gramStart"/>
            <w:r w:rsidRPr="000A6B44">
              <w:rPr>
                <w:lang w:val="en-GB"/>
              </w:rPr>
              <w:t>exp(</w:t>
            </w:r>
            <w:proofErr w:type="gramEnd"/>
            <w:r w:rsidRPr="000A6B44">
              <w:rPr>
                <w:lang w:val="en-GB"/>
              </w:rPr>
              <w:t>-14.99)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2A6AC368" w14:textId="2AC9D5C4" w:rsidR="005E04C8" w:rsidRPr="00C4601E" w:rsidRDefault="00594164" w:rsidP="00594164">
            <w:pPr>
              <w:pStyle w:val="CETBodytext"/>
              <w:ind w:right="-1"/>
              <w:jc w:val="left"/>
              <w:rPr>
                <w:highlight w:val="yellow"/>
                <w:lang w:val="en-GB"/>
              </w:rPr>
            </w:pPr>
            <w:proofErr w:type="spellStart"/>
            <w:r w:rsidRPr="00594164">
              <w:rPr>
                <w:lang w:val="en-GB"/>
              </w:rPr>
              <w:t>Luckas</w:t>
            </w:r>
            <w:proofErr w:type="spellEnd"/>
            <w:r w:rsidRPr="00594164">
              <w:rPr>
                <w:lang w:val="en-GB"/>
              </w:rPr>
              <w:t xml:space="preserve"> et al. (1994)</w:t>
            </w:r>
          </w:p>
        </w:tc>
      </w:tr>
    </w:tbl>
    <w:p w14:paraId="584E321B" w14:textId="0374EC65" w:rsidR="00ED0CAC" w:rsidRPr="00A2421D" w:rsidRDefault="00CC2DE8" w:rsidP="00A2421D">
      <w:pPr>
        <w:pStyle w:val="CETHeading1"/>
      </w:pPr>
      <w:r w:rsidRPr="00CC2DE8">
        <w:t>Results and Discussion</w:t>
      </w:r>
    </w:p>
    <w:p w14:paraId="5A6B6146" w14:textId="381E5CE6" w:rsidR="00A2421D" w:rsidRPr="00CC57F8" w:rsidRDefault="00A2421D" w:rsidP="00B65472">
      <w:pPr>
        <w:rPr>
          <w:rFonts w:cs="Arial"/>
          <w:szCs w:val="18"/>
          <w:lang w:val="en-US"/>
        </w:rPr>
      </w:pPr>
      <w:r w:rsidRPr="00CC57F8">
        <w:rPr>
          <w:rFonts w:cs="Arial"/>
          <w:szCs w:val="18"/>
          <w:lang w:val="en-US"/>
        </w:rPr>
        <w:t>Figure 2 shows SO</w:t>
      </w:r>
      <w:r w:rsidRPr="00CC57F8">
        <w:rPr>
          <w:rFonts w:cs="Arial"/>
          <w:szCs w:val="18"/>
          <w:vertAlign w:val="subscript"/>
          <w:lang w:val="en-US"/>
        </w:rPr>
        <w:t>2</w:t>
      </w:r>
      <w:r w:rsidRPr="00CC57F8">
        <w:rPr>
          <w:rFonts w:cs="Arial"/>
          <w:szCs w:val="18"/>
          <w:lang w:val="en-US"/>
        </w:rPr>
        <w:t xml:space="preserve"> outlet concentrations from the </w:t>
      </w:r>
      <w:r w:rsidR="002133BE" w:rsidRPr="00CC57F8">
        <w:rPr>
          <w:rFonts w:cs="Arial"/>
          <w:szCs w:val="18"/>
          <w:lang w:val="en-US"/>
        </w:rPr>
        <w:t>falling-</w:t>
      </w:r>
      <w:r w:rsidRPr="00CC57F8">
        <w:rPr>
          <w:rFonts w:cs="Arial"/>
          <w:szCs w:val="18"/>
          <w:lang w:val="en-US"/>
        </w:rPr>
        <w:t>film absorber (</w:t>
      </w:r>
      <w:r w:rsidRPr="00CC57F8">
        <w:rPr>
          <w:rFonts w:cs="Arial"/>
          <w:szCs w:val="18"/>
        </w:rPr>
        <w:t>C</w:t>
      </w:r>
      <w:r w:rsidRPr="00CC57F8">
        <w:rPr>
          <w:rFonts w:cs="Arial"/>
          <w:szCs w:val="18"/>
          <w:vertAlign w:val="subscript"/>
        </w:rPr>
        <w:t>SO2(g</w:t>
      </w:r>
      <w:proofErr w:type="gramStart"/>
      <w:r w:rsidRPr="00CC57F8">
        <w:rPr>
          <w:rFonts w:cs="Arial"/>
          <w:szCs w:val="18"/>
          <w:vertAlign w:val="subscript"/>
        </w:rPr>
        <w:t>),out</w:t>
      </w:r>
      <w:proofErr w:type="gramEnd"/>
      <w:r w:rsidRPr="00CC57F8">
        <w:rPr>
          <w:rFonts w:cs="Arial"/>
          <w:szCs w:val="18"/>
          <w:lang w:val="en-US"/>
        </w:rPr>
        <w:t xml:space="preserve">) </w:t>
      </w:r>
      <w:r w:rsidR="002133BE" w:rsidRPr="00CC57F8">
        <w:rPr>
          <w:rFonts w:cs="Arial"/>
          <w:i/>
          <w:iCs/>
          <w:szCs w:val="18"/>
          <w:lang w:val="en-US"/>
        </w:rPr>
        <w:t>vs</w:t>
      </w:r>
      <w:r w:rsidR="002133BE" w:rsidRPr="00CC57F8">
        <w:rPr>
          <w:rFonts w:cs="Arial"/>
          <w:szCs w:val="18"/>
          <w:lang w:val="en-US"/>
        </w:rPr>
        <w:t xml:space="preserve"> </w:t>
      </w:r>
      <w:r w:rsidRPr="00CC57F8">
        <w:rPr>
          <w:rFonts w:cs="Arial"/>
          <w:szCs w:val="18"/>
          <w:lang w:val="en-US"/>
        </w:rPr>
        <w:t>SO</w:t>
      </w:r>
      <w:r w:rsidRPr="00CC57F8">
        <w:rPr>
          <w:rFonts w:cs="Arial"/>
          <w:szCs w:val="18"/>
          <w:vertAlign w:val="subscript"/>
          <w:lang w:val="en-US"/>
        </w:rPr>
        <w:t>2</w:t>
      </w:r>
      <w:r w:rsidRPr="00CC57F8">
        <w:rPr>
          <w:rFonts w:cs="Arial"/>
          <w:szCs w:val="18"/>
          <w:lang w:val="en-US"/>
        </w:rPr>
        <w:t xml:space="preserve"> inlet concentrations (</w:t>
      </w:r>
      <w:r w:rsidRPr="00CC57F8">
        <w:rPr>
          <w:rFonts w:cs="Arial"/>
          <w:szCs w:val="18"/>
        </w:rPr>
        <w:t>C</w:t>
      </w:r>
      <w:r w:rsidRPr="00CC57F8">
        <w:rPr>
          <w:rFonts w:cs="Arial"/>
          <w:szCs w:val="18"/>
          <w:vertAlign w:val="subscript"/>
        </w:rPr>
        <w:t>SO2(g),in</w:t>
      </w:r>
      <w:r w:rsidRPr="00CC57F8">
        <w:rPr>
          <w:rFonts w:cs="Arial"/>
          <w:szCs w:val="18"/>
          <w:lang w:val="en-US"/>
        </w:rPr>
        <w:t xml:space="preserve">). The results include the influence of liquid-to-gas ratio (L/G) and the ammonia feed concentration: </w:t>
      </w:r>
      <w:r w:rsidRPr="00CC57F8">
        <w:rPr>
          <w:rFonts w:cs="Arial"/>
          <w:szCs w:val="18"/>
        </w:rPr>
        <w:t>C</w:t>
      </w:r>
      <w:r w:rsidRPr="00CC57F8">
        <w:rPr>
          <w:rFonts w:cs="Arial"/>
          <w:szCs w:val="18"/>
          <w:vertAlign w:val="subscript"/>
        </w:rPr>
        <w:t>NH3(</w:t>
      </w:r>
      <w:proofErr w:type="spellStart"/>
      <w:r w:rsidRPr="00CC57F8">
        <w:rPr>
          <w:rFonts w:cs="Arial"/>
          <w:szCs w:val="18"/>
          <w:vertAlign w:val="subscript"/>
        </w:rPr>
        <w:t>aq</w:t>
      </w:r>
      <w:proofErr w:type="spellEnd"/>
      <w:proofErr w:type="gramStart"/>
      <w:r w:rsidRPr="00CC57F8">
        <w:rPr>
          <w:rFonts w:cs="Arial"/>
          <w:szCs w:val="18"/>
          <w:vertAlign w:val="subscript"/>
        </w:rPr>
        <w:t>),in</w:t>
      </w:r>
      <w:proofErr w:type="gramEnd"/>
      <w:r w:rsidRPr="00CC57F8">
        <w:rPr>
          <w:rFonts w:cs="Arial"/>
          <w:szCs w:val="18"/>
        </w:rPr>
        <w:t xml:space="preserve"> = 4·10</w:t>
      </w:r>
      <w:r w:rsidRPr="00CC57F8">
        <w:rPr>
          <w:rFonts w:cs="Arial"/>
          <w:szCs w:val="18"/>
          <w:vertAlign w:val="superscript"/>
        </w:rPr>
        <w:t>-3</w:t>
      </w:r>
      <w:r w:rsidRPr="00CC57F8">
        <w:rPr>
          <w:rFonts w:cs="Arial"/>
          <w:szCs w:val="18"/>
        </w:rPr>
        <w:t xml:space="preserve"> % w/w in Figure 2a</w:t>
      </w:r>
      <w:r w:rsidRPr="00CC57F8">
        <w:rPr>
          <w:rFonts w:cs="Arial"/>
          <w:szCs w:val="18"/>
          <w:lang w:val="en-US"/>
        </w:rPr>
        <w:t xml:space="preserve"> and </w:t>
      </w:r>
      <w:r w:rsidRPr="00CC57F8">
        <w:rPr>
          <w:rFonts w:cs="Arial"/>
          <w:szCs w:val="18"/>
        </w:rPr>
        <w:t>C</w:t>
      </w:r>
      <w:r w:rsidRPr="00CC57F8">
        <w:rPr>
          <w:rFonts w:cs="Arial"/>
          <w:szCs w:val="18"/>
          <w:vertAlign w:val="subscript"/>
        </w:rPr>
        <w:t>NH3(</w:t>
      </w:r>
      <w:proofErr w:type="spellStart"/>
      <w:r w:rsidRPr="00CC57F8">
        <w:rPr>
          <w:rFonts w:cs="Arial"/>
          <w:szCs w:val="18"/>
          <w:vertAlign w:val="subscript"/>
        </w:rPr>
        <w:t>aq</w:t>
      </w:r>
      <w:proofErr w:type="spellEnd"/>
      <w:r w:rsidRPr="00CC57F8">
        <w:rPr>
          <w:rFonts w:cs="Arial"/>
          <w:szCs w:val="18"/>
          <w:vertAlign w:val="subscript"/>
        </w:rPr>
        <w:t>),in</w:t>
      </w:r>
      <w:r w:rsidRPr="00CC57F8">
        <w:rPr>
          <w:rFonts w:cs="Arial"/>
          <w:szCs w:val="18"/>
        </w:rPr>
        <w:t xml:space="preserve"> = 1.6·10</w:t>
      </w:r>
      <w:r w:rsidRPr="00CC57F8">
        <w:rPr>
          <w:rFonts w:cs="Arial"/>
          <w:szCs w:val="18"/>
          <w:vertAlign w:val="superscript"/>
        </w:rPr>
        <w:t>-2</w:t>
      </w:r>
      <w:r w:rsidRPr="00CC57F8">
        <w:rPr>
          <w:rFonts w:cs="Arial"/>
          <w:szCs w:val="18"/>
        </w:rPr>
        <w:t xml:space="preserve"> % w/w in Figure 2b.</w:t>
      </w:r>
    </w:p>
    <w:p w14:paraId="3C329336" w14:textId="11141B7D" w:rsidR="00FA63B0" w:rsidRDefault="00522930" w:rsidP="0009573A">
      <w:pPr>
        <w:pStyle w:val="StyleFigureCaptionCent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C1B95EE" wp14:editId="1BE14235">
            <wp:extent cx="2520000" cy="2511591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11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56168D3" wp14:editId="3689DAF3">
            <wp:extent cx="2520000" cy="2511590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1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4D52F" w14:textId="79DE23FC" w:rsidR="0009573A" w:rsidRDefault="0009573A" w:rsidP="0009573A">
      <w:pPr>
        <w:pStyle w:val="CETCaption"/>
      </w:pPr>
      <w:r w:rsidRPr="00A2421D">
        <w:rPr>
          <w:rStyle w:val="CETCaptionCarattere"/>
          <w:i/>
        </w:rPr>
        <w:t xml:space="preserve">Figure </w:t>
      </w:r>
      <w:r w:rsidR="00C45035" w:rsidRPr="00A2421D">
        <w:rPr>
          <w:rStyle w:val="CETCaptionCarattere"/>
          <w:i/>
        </w:rPr>
        <w:t>2</w:t>
      </w:r>
      <w:r w:rsidRPr="00A2421D">
        <w:rPr>
          <w:rStyle w:val="CETCaptionCarattere"/>
          <w:i/>
        </w:rPr>
        <w:t xml:space="preserve">: </w:t>
      </w:r>
      <w:r w:rsidR="00A2421D" w:rsidRPr="00A2421D">
        <w:rPr>
          <w:rStyle w:val="CETCaptionCarattere"/>
          <w:i/>
        </w:rPr>
        <w:t>Experimental</w:t>
      </w:r>
      <w:r w:rsidR="00A2421D" w:rsidRPr="00A42162">
        <w:rPr>
          <w:rStyle w:val="CETCaptionCarattere"/>
          <w:i/>
        </w:rPr>
        <w:t xml:space="preserve"> values of </w:t>
      </w:r>
      <w:r w:rsidR="00A2421D">
        <w:rPr>
          <w:rStyle w:val="CETCaptionCarattere"/>
          <w:i/>
        </w:rPr>
        <w:t>SO</w:t>
      </w:r>
      <w:r w:rsidR="00A2421D" w:rsidRPr="007C5073">
        <w:rPr>
          <w:rStyle w:val="CETCaptionCarattere"/>
          <w:i/>
          <w:vertAlign w:val="subscript"/>
        </w:rPr>
        <w:t>2</w:t>
      </w:r>
      <w:r w:rsidR="00A2421D">
        <w:rPr>
          <w:rStyle w:val="CETCaptionCarattere"/>
          <w:i/>
        </w:rPr>
        <w:t xml:space="preserve"> outlet concentration</w:t>
      </w:r>
      <w:r w:rsidR="00A2421D" w:rsidRPr="00A42162">
        <w:rPr>
          <w:rStyle w:val="CETCaptionCarattere"/>
          <w:i/>
        </w:rPr>
        <w:t xml:space="preserve"> in function of</w:t>
      </w:r>
      <w:r w:rsidR="00FB23BD">
        <w:rPr>
          <w:rStyle w:val="CETCaptionCarattere"/>
          <w:i/>
        </w:rPr>
        <w:t xml:space="preserve"> the</w:t>
      </w:r>
      <w:r w:rsidR="00A2421D" w:rsidRPr="00A42162">
        <w:rPr>
          <w:rStyle w:val="CETCaptionCarattere"/>
          <w:i/>
        </w:rPr>
        <w:t xml:space="preserve"> inlet concentration of SO</w:t>
      </w:r>
      <w:r w:rsidR="00A2421D" w:rsidRPr="00A42162">
        <w:rPr>
          <w:rStyle w:val="CETCaptionCarattere"/>
          <w:i/>
          <w:vertAlign w:val="subscript"/>
        </w:rPr>
        <w:t>2</w:t>
      </w:r>
      <w:r w:rsidR="00A2421D" w:rsidRPr="00A42162">
        <w:rPr>
          <w:rStyle w:val="CETCaptionCarattere"/>
          <w:i/>
        </w:rPr>
        <w:t xml:space="preserve"> and liquid-to-gas ratio, parametric with ammonia concentration C</w:t>
      </w:r>
      <w:r w:rsidR="00A2421D" w:rsidRPr="00A42162">
        <w:rPr>
          <w:rStyle w:val="CETCaptionCarattere"/>
          <w:i/>
          <w:vertAlign w:val="subscript"/>
        </w:rPr>
        <w:t>NH3(</w:t>
      </w:r>
      <w:proofErr w:type="spellStart"/>
      <w:r w:rsidR="00A2421D" w:rsidRPr="00A42162">
        <w:rPr>
          <w:rStyle w:val="CETCaptionCarattere"/>
          <w:i/>
          <w:vertAlign w:val="subscript"/>
        </w:rPr>
        <w:t>aq</w:t>
      </w:r>
      <w:proofErr w:type="spellEnd"/>
      <w:r w:rsidR="00A2421D" w:rsidRPr="00A42162">
        <w:rPr>
          <w:rStyle w:val="CETCaptionCarattere"/>
          <w:i/>
          <w:vertAlign w:val="subscript"/>
        </w:rPr>
        <w:t>)</w:t>
      </w:r>
      <w:r w:rsidR="00A2421D" w:rsidRPr="00A42162">
        <w:rPr>
          <w:rStyle w:val="CETCaptionCarattere"/>
          <w:i/>
        </w:rPr>
        <w:t xml:space="preserve"> = 4</w:t>
      </w:r>
      <w:r w:rsidR="00A2421D" w:rsidRPr="00A42162">
        <w:rPr>
          <w:rStyle w:val="CETCaptionCarattere"/>
          <w:rFonts w:cs="Arial"/>
          <w:i/>
        </w:rPr>
        <w:t>·</w:t>
      </w:r>
      <w:r w:rsidR="00A2421D" w:rsidRPr="00A42162">
        <w:rPr>
          <w:rStyle w:val="CETCaptionCarattere"/>
          <w:i/>
        </w:rPr>
        <w:t>10</w:t>
      </w:r>
      <w:r w:rsidR="00A2421D" w:rsidRPr="00A42162">
        <w:rPr>
          <w:rStyle w:val="CETCaptionCarattere"/>
          <w:i/>
          <w:vertAlign w:val="superscript"/>
        </w:rPr>
        <w:t>-3</w:t>
      </w:r>
      <w:r w:rsidR="00A2421D" w:rsidRPr="00A42162">
        <w:rPr>
          <w:rStyle w:val="CETCaptionCarattere"/>
          <w:i/>
        </w:rPr>
        <w:t xml:space="preserve"> % w/w (Figure </w:t>
      </w:r>
      <w:r w:rsidR="002133BE">
        <w:rPr>
          <w:rStyle w:val="CETCaptionCarattere"/>
          <w:i/>
        </w:rPr>
        <w:t>2</w:t>
      </w:r>
      <w:r w:rsidR="002133BE" w:rsidRPr="00A42162">
        <w:rPr>
          <w:rStyle w:val="CETCaptionCarattere"/>
          <w:i/>
        </w:rPr>
        <w:t>a</w:t>
      </w:r>
      <w:r w:rsidR="00A2421D" w:rsidRPr="00A42162">
        <w:rPr>
          <w:rStyle w:val="CETCaptionCarattere"/>
          <w:i/>
        </w:rPr>
        <w:t>) and C</w:t>
      </w:r>
      <w:r w:rsidR="00A2421D" w:rsidRPr="00A42162">
        <w:rPr>
          <w:rStyle w:val="CETCaptionCarattere"/>
          <w:i/>
          <w:vertAlign w:val="subscript"/>
        </w:rPr>
        <w:t>NH3(</w:t>
      </w:r>
      <w:proofErr w:type="spellStart"/>
      <w:r w:rsidR="00A2421D" w:rsidRPr="00A42162">
        <w:rPr>
          <w:rStyle w:val="CETCaptionCarattere"/>
          <w:i/>
          <w:vertAlign w:val="subscript"/>
        </w:rPr>
        <w:t>aq</w:t>
      </w:r>
      <w:proofErr w:type="spellEnd"/>
      <w:r w:rsidR="00A2421D" w:rsidRPr="00A42162">
        <w:rPr>
          <w:rStyle w:val="CETCaptionCarattere"/>
          <w:i/>
          <w:vertAlign w:val="subscript"/>
        </w:rPr>
        <w:t>)</w:t>
      </w:r>
      <w:r w:rsidR="00A2421D" w:rsidRPr="00A42162">
        <w:rPr>
          <w:rStyle w:val="CETCaptionCarattere"/>
          <w:i/>
        </w:rPr>
        <w:t xml:space="preserve"> = 1.6</w:t>
      </w:r>
      <w:r w:rsidR="00A2421D" w:rsidRPr="00A42162">
        <w:rPr>
          <w:rStyle w:val="CETCaptionCarattere"/>
          <w:rFonts w:cs="Arial"/>
          <w:i/>
        </w:rPr>
        <w:t>·</w:t>
      </w:r>
      <w:r w:rsidR="00A2421D" w:rsidRPr="00A42162">
        <w:rPr>
          <w:rStyle w:val="CETCaptionCarattere"/>
          <w:i/>
        </w:rPr>
        <w:t>10</w:t>
      </w:r>
      <w:r w:rsidR="00A2421D" w:rsidRPr="00A42162">
        <w:rPr>
          <w:rStyle w:val="CETCaptionCarattere"/>
          <w:i/>
          <w:vertAlign w:val="superscript"/>
        </w:rPr>
        <w:t>-2</w:t>
      </w:r>
      <w:r w:rsidR="00A2421D" w:rsidRPr="00A42162">
        <w:rPr>
          <w:rStyle w:val="CETCaptionCarattere"/>
          <w:i/>
        </w:rPr>
        <w:t xml:space="preserve"> % w/w (Figure </w:t>
      </w:r>
      <w:r w:rsidR="002133BE">
        <w:rPr>
          <w:rStyle w:val="CETCaptionCarattere"/>
          <w:i/>
        </w:rPr>
        <w:t>2</w:t>
      </w:r>
      <w:r w:rsidR="002133BE" w:rsidRPr="00A42162">
        <w:rPr>
          <w:rStyle w:val="CETCaptionCarattere"/>
          <w:i/>
        </w:rPr>
        <w:t>b</w:t>
      </w:r>
      <w:r w:rsidR="00A2421D" w:rsidRPr="00A42162">
        <w:rPr>
          <w:rStyle w:val="CETCaptionCarattere"/>
          <w:i/>
        </w:rPr>
        <w:t>).</w:t>
      </w:r>
    </w:p>
    <w:p w14:paraId="69904893" w14:textId="3A413F4D" w:rsidR="00C55A42" w:rsidRPr="00CC57F8" w:rsidRDefault="007A1587" w:rsidP="0009573A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 w:rsidRPr="00CC57F8">
        <w:rPr>
          <w:rFonts w:ascii="Arial" w:hAnsi="Arial" w:cs="Arial"/>
          <w:sz w:val="18"/>
          <w:szCs w:val="18"/>
        </w:rPr>
        <w:t xml:space="preserve">From Figure </w:t>
      </w:r>
      <w:r w:rsidR="00961C85" w:rsidRPr="00CC57F8">
        <w:rPr>
          <w:rFonts w:ascii="Arial" w:hAnsi="Arial" w:cs="Arial"/>
          <w:sz w:val="18"/>
          <w:szCs w:val="18"/>
        </w:rPr>
        <w:t xml:space="preserve">2, we can </w:t>
      </w:r>
      <w:r w:rsidR="00C96632" w:rsidRPr="00CC57F8">
        <w:rPr>
          <w:rFonts w:ascii="Arial" w:hAnsi="Arial" w:cs="Arial"/>
          <w:sz w:val="18"/>
          <w:szCs w:val="18"/>
        </w:rPr>
        <w:t>see</w:t>
      </w:r>
      <w:r w:rsidR="00961C85" w:rsidRPr="00CC57F8">
        <w:rPr>
          <w:rFonts w:ascii="Arial" w:hAnsi="Arial" w:cs="Arial"/>
          <w:sz w:val="18"/>
          <w:szCs w:val="18"/>
        </w:rPr>
        <w:t xml:space="preserve"> that t</w:t>
      </w:r>
      <w:r w:rsidR="00C24CD3" w:rsidRPr="00CC57F8">
        <w:rPr>
          <w:rFonts w:ascii="Arial" w:hAnsi="Arial" w:cs="Arial"/>
          <w:sz w:val="18"/>
          <w:szCs w:val="18"/>
        </w:rPr>
        <w:t>he outlet concentration of SO</w:t>
      </w:r>
      <w:r w:rsidR="00C24CD3" w:rsidRPr="00CC57F8">
        <w:rPr>
          <w:rFonts w:ascii="Arial" w:hAnsi="Arial" w:cs="Arial"/>
          <w:sz w:val="18"/>
          <w:szCs w:val="18"/>
          <w:vertAlign w:val="subscript"/>
        </w:rPr>
        <w:t>2</w:t>
      </w:r>
      <w:r w:rsidR="00C24CD3" w:rsidRPr="00CC57F8">
        <w:rPr>
          <w:rFonts w:ascii="Arial" w:hAnsi="Arial" w:cs="Arial"/>
          <w:sz w:val="18"/>
          <w:szCs w:val="18"/>
        </w:rPr>
        <w:t xml:space="preserve"> from the absorber (C</w:t>
      </w:r>
      <w:r w:rsidR="00C24CD3" w:rsidRPr="00CC57F8">
        <w:rPr>
          <w:rFonts w:ascii="Arial" w:hAnsi="Arial" w:cs="Arial"/>
          <w:sz w:val="18"/>
          <w:szCs w:val="18"/>
          <w:vertAlign w:val="subscript"/>
        </w:rPr>
        <w:t>SO2(g),out</w:t>
      </w:r>
      <w:r w:rsidR="00C24CD3" w:rsidRPr="00CC57F8">
        <w:rPr>
          <w:rFonts w:ascii="Arial" w:hAnsi="Arial" w:cs="Arial"/>
          <w:sz w:val="18"/>
          <w:szCs w:val="18"/>
        </w:rPr>
        <w:t>) decreases with decreasing SO</w:t>
      </w:r>
      <w:r w:rsidR="00C24CD3" w:rsidRPr="00CC57F8">
        <w:rPr>
          <w:rFonts w:ascii="Arial" w:hAnsi="Arial" w:cs="Arial"/>
          <w:sz w:val="18"/>
          <w:szCs w:val="18"/>
          <w:vertAlign w:val="subscript"/>
        </w:rPr>
        <w:t>2</w:t>
      </w:r>
      <w:r w:rsidR="00C24CD3" w:rsidRPr="00CC57F8">
        <w:rPr>
          <w:rFonts w:ascii="Arial" w:hAnsi="Arial" w:cs="Arial"/>
          <w:sz w:val="18"/>
          <w:szCs w:val="18"/>
        </w:rPr>
        <w:t xml:space="preserve"> feed concentration (C</w:t>
      </w:r>
      <w:r w:rsidR="00C24CD3" w:rsidRPr="00CC57F8">
        <w:rPr>
          <w:rFonts w:ascii="Arial" w:hAnsi="Arial" w:cs="Arial"/>
          <w:sz w:val="18"/>
          <w:szCs w:val="18"/>
          <w:vertAlign w:val="subscript"/>
        </w:rPr>
        <w:t>SO2(g),in</w:t>
      </w:r>
      <w:r w:rsidR="00C24CD3" w:rsidRPr="00CC57F8">
        <w:rPr>
          <w:rFonts w:ascii="Arial" w:hAnsi="Arial" w:cs="Arial"/>
          <w:sz w:val="18"/>
          <w:szCs w:val="18"/>
        </w:rPr>
        <w:t>)</w:t>
      </w:r>
      <w:r w:rsidR="00C24CD3" w:rsidRPr="00CC57F8">
        <w:rPr>
          <w:rFonts w:ascii="Arial" w:hAnsi="Arial" w:cs="Arial"/>
          <w:sz w:val="18"/>
          <w:szCs w:val="18"/>
          <w:vertAlign w:val="subscript"/>
        </w:rPr>
        <w:t xml:space="preserve"> </w:t>
      </w:r>
      <w:r w:rsidR="00C24CD3" w:rsidRPr="00CC57F8">
        <w:rPr>
          <w:rFonts w:ascii="Arial" w:hAnsi="Arial" w:cs="Arial"/>
          <w:sz w:val="18"/>
          <w:szCs w:val="18"/>
        </w:rPr>
        <w:t>and a marked effect of L/G ratio is observed only for high C</w:t>
      </w:r>
      <w:r w:rsidR="00C24CD3" w:rsidRPr="00CC57F8">
        <w:rPr>
          <w:rFonts w:ascii="Arial" w:hAnsi="Arial" w:cs="Arial"/>
          <w:sz w:val="18"/>
          <w:szCs w:val="18"/>
          <w:vertAlign w:val="subscript"/>
        </w:rPr>
        <w:t>SO2(g),out</w:t>
      </w:r>
      <w:r w:rsidR="00C24CD3" w:rsidRPr="00CC57F8">
        <w:rPr>
          <w:rFonts w:ascii="Arial" w:hAnsi="Arial" w:cs="Arial"/>
          <w:sz w:val="18"/>
          <w:szCs w:val="18"/>
        </w:rPr>
        <w:t xml:space="preserve"> values, while almost no differences were observed when it was very low. </w:t>
      </w:r>
      <w:r w:rsidRPr="00CC57F8">
        <w:rPr>
          <w:rFonts w:ascii="Arial" w:hAnsi="Arial" w:cs="Arial"/>
          <w:sz w:val="18"/>
          <w:szCs w:val="18"/>
        </w:rPr>
        <w:t>As expected, higher ammonia concentration C</w:t>
      </w:r>
      <w:r w:rsidRPr="00CC57F8">
        <w:rPr>
          <w:rFonts w:ascii="Arial" w:hAnsi="Arial" w:cs="Arial"/>
          <w:sz w:val="18"/>
          <w:szCs w:val="18"/>
          <w:vertAlign w:val="subscript"/>
        </w:rPr>
        <w:t>NH3(</w:t>
      </w:r>
      <w:proofErr w:type="spellStart"/>
      <w:r w:rsidRPr="00CC57F8">
        <w:rPr>
          <w:rFonts w:ascii="Arial" w:hAnsi="Arial" w:cs="Arial"/>
          <w:sz w:val="18"/>
          <w:szCs w:val="18"/>
          <w:vertAlign w:val="subscript"/>
        </w:rPr>
        <w:t>aq</w:t>
      </w:r>
      <w:proofErr w:type="spellEnd"/>
      <w:r w:rsidRPr="00CC57F8">
        <w:rPr>
          <w:rFonts w:ascii="Arial" w:hAnsi="Arial" w:cs="Arial"/>
          <w:sz w:val="18"/>
          <w:szCs w:val="18"/>
          <w:vertAlign w:val="subscript"/>
        </w:rPr>
        <w:t xml:space="preserve">),in </w:t>
      </w:r>
      <w:r w:rsidRPr="00CC57F8">
        <w:rPr>
          <w:rFonts w:ascii="Arial" w:hAnsi="Arial" w:cs="Arial"/>
          <w:sz w:val="18"/>
          <w:szCs w:val="18"/>
        </w:rPr>
        <w:t>= 1.6·10</w:t>
      </w:r>
      <w:r w:rsidRPr="00CC57F8">
        <w:rPr>
          <w:rFonts w:ascii="Arial" w:hAnsi="Arial" w:cs="Arial"/>
          <w:sz w:val="18"/>
          <w:szCs w:val="18"/>
          <w:vertAlign w:val="superscript"/>
        </w:rPr>
        <w:t>-2</w:t>
      </w:r>
      <w:r w:rsidRPr="00CC57F8">
        <w:rPr>
          <w:rFonts w:ascii="Arial" w:hAnsi="Arial" w:cs="Arial"/>
          <w:sz w:val="18"/>
          <w:szCs w:val="18"/>
        </w:rPr>
        <w:t xml:space="preserve"> % w/w (Figure 2b) allowed best desulfurization performances. However, this effect seems to be more pronounced for high C</w:t>
      </w:r>
      <w:r w:rsidRPr="00CC57F8">
        <w:rPr>
          <w:rFonts w:ascii="Arial" w:hAnsi="Arial" w:cs="Arial"/>
          <w:sz w:val="18"/>
          <w:szCs w:val="18"/>
          <w:vertAlign w:val="subscript"/>
        </w:rPr>
        <w:t xml:space="preserve">SO2(g),in </w:t>
      </w:r>
      <w:r w:rsidRPr="00CC57F8">
        <w:rPr>
          <w:rFonts w:ascii="Arial" w:hAnsi="Arial" w:cs="Arial"/>
          <w:sz w:val="18"/>
          <w:szCs w:val="18"/>
        </w:rPr>
        <w:t>values, while a smaller difference in performances were observed for lower C</w:t>
      </w:r>
      <w:r w:rsidRPr="00CC57F8">
        <w:rPr>
          <w:rFonts w:ascii="Arial" w:hAnsi="Arial" w:cs="Arial"/>
          <w:sz w:val="18"/>
          <w:szCs w:val="18"/>
          <w:vertAlign w:val="subscript"/>
        </w:rPr>
        <w:t>SO2(g),in</w:t>
      </w:r>
      <w:r w:rsidRPr="00CC57F8">
        <w:rPr>
          <w:rFonts w:ascii="Arial" w:hAnsi="Arial" w:cs="Arial"/>
          <w:sz w:val="18"/>
          <w:szCs w:val="18"/>
        </w:rPr>
        <w:t xml:space="preserve"> values</w:t>
      </w:r>
      <w:r w:rsidR="00CC1AAF" w:rsidRPr="00CC57F8">
        <w:rPr>
          <w:rFonts w:ascii="Arial" w:hAnsi="Arial" w:cs="Arial"/>
          <w:sz w:val="18"/>
          <w:szCs w:val="18"/>
        </w:rPr>
        <w:t xml:space="preserve">. </w:t>
      </w:r>
      <w:r w:rsidR="00C24CD3" w:rsidRPr="00CC57F8">
        <w:rPr>
          <w:rFonts w:ascii="Arial" w:hAnsi="Arial" w:cs="Arial"/>
          <w:sz w:val="18"/>
          <w:szCs w:val="18"/>
        </w:rPr>
        <w:t xml:space="preserve">This was probably due to the feed molar ratio </w:t>
      </w:r>
      <w:proofErr w:type="spellStart"/>
      <w:r w:rsidR="00C24CD3" w:rsidRPr="00CC57F8">
        <w:rPr>
          <w:rFonts w:ascii="Arial" w:hAnsi="Arial" w:cs="Arial"/>
          <w:sz w:val="18"/>
          <w:szCs w:val="18"/>
        </w:rPr>
        <w:t>r</w:t>
      </w:r>
      <w:r w:rsidR="00C24CD3" w:rsidRPr="00CC57F8">
        <w:rPr>
          <w:rFonts w:ascii="Arial" w:hAnsi="Arial" w:cs="Arial"/>
          <w:sz w:val="18"/>
          <w:szCs w:val="18"/>
          <w:vertAlign w:val="subscript"/>
        </w:rPr>
        <w:t>op</w:t>
      </w:r>
      <w:proofErr w:type="spellEnd"/>
      <w:r w:rsidR="00C24CD3" w:rsidRPr="00CC57F8">
        <w:rPr>
          <w:rFonts w:ascii="Arial" w:hAnsi="Arial" w:cs="Arial"/>
          <w:sz w:val="18"/>
          <w:szCs w:val="18"/>
        </w:rPr>
        <w:t xml:space="preserve"> which assumes an higher</w:t>
      </w:r>
      <w:r w:rsidR="00C24CD3" w:rsidRPr="00C24CD3">
        <w:rPr>
          <w:rFonts w:ascii="Arial" w:hAnsi="Arial" w:cs="Arial"/>
          <w:sz w:val="18"/>
          <w:szCs w:val="18"/>
        </w:rPr>
        <w:t xml:space="preserve"> </w:t>
      </w:r>
      <w:r w:rsidR="00C24CD3" w:rsidRPr="00CC57F8">
        <w:rPr>
          <w:rFonts w:ascii="Arial" w:hAnsi="Arial" w:cs="Arial"/>
          <w:sz w:val="18"/>
          <w:szCs w:val="18"/>
        </w:rPr>
        <w:t xml:space="preserve">value than stoichiometric dosage according to reaction in Eq. (1) </w:t>
      </w:r>
      <w:r w:rsidR="00462690" w:rsidRPr="00CC57F8">
        <w:rPr>
          <w:rFonts w:ascii="Arial" w:hAnsi="Arial" w:cs="Arial"/>
          <w:sz w:val="18"/>
          <w:szCs w:val="18"/>
        </w:rPr>
        <w:t>when C</w:t>
      </w:r>
      <w:r w:rsidR="00462690" w:rsidRPr="00CC57F8">
        <w:rPr>
          <w:rFonts w:ascii="Arial" w:hAnsi="Arial" w:cs="Arial"/>
          <w:sz w:val="18"/>
          <w:szCs w:val="18"/>
          <w:vertAlign w:val="subscript"/>
        </w:rPr>
        <w:t>SO2(g),in</w:t>
      </w:r>
      <w:r w:rsidR="00462690" w:rsidRPr="00CC57F8">
        <w:rPr>
          <w:rFonts w:ascii="Arial" w:hAnsi="Arial" w:cs="Arial"/>
          <w:sz w:val="18"/>
          <w:szCs w:val="18"/>
        </w:rPr>
        <w:t xml:space="preserve"> decrease</w:t>
      </w:r>
      <w:r w:rsidR="00F8081C" w:rsidRPr="00CC57F8">
        <w:rPr>
          <w:rFonts w:ascii="Arial" w:hAnsi="Arial" w:cs="Arial"/>
          <w:sz w:val="18"/>
          <w:szCs w:val="18"/>
        </w:rPr>
        <w:t>s,</w:t>
      </w:r>
      <w:r w:rsidR="000A6293" w:rsidRPr="00CC57F8">
        <w:rPr>
          <w:rFonts w:ascii="Arial" w:hAnsi="Arial" w:cs="Arial"/>
          <w:sz w:val="18"/>
          <w:szCs w:val="18"/>
        </w:rPr>
        <w:t xml:space="preserve"> thus</w:t>
      </w:r>
      <w:r w:rsidR="00994D0C" w:rsidRPr="00CC57F8">
        <w:rPr>
          <w:rFonts w:ascii="Arial" w:hAnsi="Arial" w:cs="Arial"/>
          <w:sz w:val="18"/>
          <w:szCs w:val="18"/>
        </w:rPr>
        <w:t xml:space="preserve"> making</w:t>
      </w:r>
      <w:r w:rsidR="00C24CD3" w:rsidRPr="00CC57F8">
        <w:rPr>
          <w:rFonts w:ascii="Arial" w:hAnsi="Arial" w:cs="Arial"/>
          <w:sz w:val="18"/>
          <w:szCs w:val="18"/>
        </w:rPr>
        <w:t xml:space="preserve"> the </w:t>
      </w:r>
      <w:r w:rsidR="00C24CD3" w:rsidRPr="00CC57F8">
        <w:rPr>
          <w:rFonts w:ascii="Arial" w:hAnsi="Arial" w:cs="Arial"/>
          <w:sz w:val="18"/>
          <w:szCs w:val="18"/>
        </w:rPr>
        <w:lastRenderedPageBreak/>
        <w:t>gas-liquid reaction more effective by flattening the desulfurization performance of the film absorber</w:t>
      </w:r>
      <w:r w:rsidR="00994D0C" w:rsidRPr="00CC57F8">
        <w:rPr>
          <w:rFonts w:ascii="Arial" w:hAnsi="Arial" w:cs="Arial"/>
          <w:sz w:val="18"/>
          <w:szCs w:val="18"/>
        </w:rPr>
        <w:t>: i</w:t>
      </w:r>
      <w:r w:rsidR="00772EF1" w:rsidRPr="00CC57F8">
        <w:rPr>
          <w:rFonts w:ascii="Arial" w:hAnsi="Arial" w:cs="Arial"/>
          <w:sz w:val="18"/>
          <w:szCs w:val="18"/>
        </w:rPr>
        <w:t>n th</w:t>
      </w:r>
      <w:r w:rsidR="00CB761E" w:rsidRPr="00CC57F8">
        <w:rPr>
          <w:rFonts w:ascii="Arial" w:hAnsi="Arial" w:cs="Arial"/>
          <w:sz w:val="18"/>
          <w:szCs w:val="18"/>
        </w:rPr>
        <w:t>ese</w:t>
      </w:r>
      <w:r w:rsidR="0052124B" w:rsidRPr="00CC57F8">
        <w:rPr>
          <w:rFonts w:ascii="Arial" w:hAnsi="Arial" w:cs="Arial"/>
          <w:sz w:val="18"/>
          <w:szCs w:val="18"/>
        </w:rPr>
        <w:t xml:space="preserve"> case, </w:t>
      </w:r>
      <w:r w:rsidR="00772EF1" w:rsidRPr="00CC57F8">
        <w:rPr>
          <w:rFonts w:ascii="Arial" w:hAnsi="Arial" w:cs="Arial"/>
          <w:sz w:val="18"/>
          <w:szCs w:val="18"/>
        </w:rPr>
        <w:t>we</w:t>
      </w:r>
      <w:r w:rsidR="0052124B" w:rsidRPr="00CC57F8">
        <w:rPr>
          <w:rFonts w:ascii="Arial" w:hAnsi="Arial" w:cs="Arial"/>
          <w:sz w:val="18"/>
          <w:szCs w:val="18"/>
        </w:rPr>
        <w:t xml:space="preserve"> can assume that the absorption is controlled only by the gas-side resistance.</w:t>
      </w:r>
    </w:p>
    <w:p w14:paraId="7CE9E0B4" w14:textId="28A9B1FD" w:rsidR="008B2D8B" w:rsidRPr="00CC57F8" w:rsidRDefault="008B2D8B" w:rsidP="008B2D8B">
      <w:pPr>
        <w:rPr>
          <w:rFonts w:cs="Arial"/>
          <w:szCs w:val="18"/>
          <w:lang w:val="en-US"/>
        </w:rPr>
      </w:pPr>
      <w:bookmarkStart w:id="0" w:name="_Hlk125630925"/>
      <w:r w:rsidRPr="00CC57F8">
        <w:rPr>
          <w:rFonts w:cs="Arial"/>
          <w:szCs w:val="18"/>
          <w:lang w:val="en-US"/>
        </w:rPr>
        <w:t xml:space="preserve">Figure </w:t>
      </w:r>
      <w:r w:rsidR="002A45C2" w:rsidRPr="00CC57F8">
        <w:rPr>
          <w:rFonts w:cs="Arial"/>
          <w:szCs w:val="18"/>
          <w:lang w:val="en-US"/>
        </w:rPr>
        <w:t>3</w:t>
      </w:r>
      <w:r w:rsidRPr="00CC57F8">
        <w:rPr>
          <w:rFonts w:cs="Arial"/>
          <w:szCs w:val="18"/>
          <w:lang w:val="en-US"/>
        </w:rPr>
        <w:t xml:space="preserve"> shows </w:t>
      </w:r>
      <w:r w:rsidR="003055EA" w:rsidRPr="00CC57F8">
        <w:rPr>
          <w:rFonts w:cs="Arial"/>
          <w:szCs w:val="18"/>
          <w:lang w:val="en-US"/>
        </w:rPr>
        <w:t>the Enhancement factors</w:t>
      </w:r>
      <w:r w:rsidR="00AE6922" w:rsidRPr="00CC57F8">
        <w:rPr>
          <w:rFonts w:cs="Arial"/>
          <w:szCs w:val="18"/>
          <w:lang w:val="en-US"/>
        </w:rPr>
        <w:t xml:space="preserve"> (E</w:t>
      </w:r>
      <w:r w:rsidR="00AE6922" w:rsidRPr="00CC57F8">
        <w:rPr>
          <w:rFonts w:cs="Arial"/>
          <w:szCs w:val="18"/>
          <w:vertAlign w:val="subscript"/>
          <w:lang w:val="en-US"/>
        </w:rPr>
        <w:t>L</w:t>
      </w:r>
      <w:r w:rsidR="00AE6922" w:rsidRPr="00CC57F8">
        <w:rPr>
          <w:rFonts w:cs="Arial"/>
          <w:szCs w:val="18"/>
          <w:lang w:val="en-US"/>
        </w:rPr>
        <w:t>)</w:t>
      </w:r>
      <w:r w:rsidR="00D408B3" w:rsidRPr="00CC57F8">
        <w:rPr>
          <w:rFonts w:cs="Arial"/>
          <w:szCs w:val="18"/>
          <w:lang w:val="en-US"/>
        </w:rPr>
        <w:t>,</w:t>
      </w:r>
      <w:r w:rsidR="003055EA" w:rsidRPr="00CC57F8">
        <w:rPr>
          <w:rFonts w:cs="Arial"/>
          <w:szCs w:val="18"/>
          <w:lang w:val="en-US"/>
        </w:rPr>
        <w:t xml:space="preserve"> calculated from the experiments using Eq. (</w:t>
      </w:r>
      <w:r w:rsidR="00AE6922" w:rsidRPr="00CC57F8">
        <w:rPr>
          <w:rFonts w:cs="Arial"/>
          <w:szCs w:val="18"/>
          <w:lang w:val="en-US"/>
        </w:rPr>
        <w:t>3</w:t>
      </w:r>
      <w:r w:rsidR="003055EA" w:rsidRPr="00CC57F8">
        <w:rPr>
          <w:rFonts w:cs="Arial"/>
          <w:szCs w:val="18"/>
          <w:lang w:val="en-US"/>
        </w:rPr>
        <w:t>)</w:t>
      </w:r>
      <w:r w:rsidR="00D408B3" w:rsidRPr="00CC57F8">
        <w:rPr>
          <w:rFonts w:cs="Arial"/>
          <w:szCs w:val="18"/>
          <w:lang w:val="en-US"/>
        </w:rPr>
        <w:t>,</w:t>
      </w:r>
      <w:r w:rsidR="00AE6922" w:rsidRPr="00CC57F8">
        <w:rPr>
          <w:rFonts w:cs="Arial"/>
          <w:szCs w:val="18"/>
          <w:lang w:val="en-US"/>
        </w:rPr>
        <w:t xml:space="preserve"> </w:t>
      </w:r>
      <w:r w:rsidR="00D408B3" w:rsidRPr="00CC57F8">
        <w:rPr>
          <w:rFonts w:cs="Arial"/>
          <w:szCs w:val="18"/>
          <w:lang w:val="en-US"/>
        </w:rPr>
        <w:t xml:space="preserve">as a function of </w:t>
      </w:r>
      <w:r w:rsidRPr="00CC57F8">
        <w:rPr>
          <w:rFonts w:cs="Arial"/>
          <w:szCs w:val="18"/>
          <w:lang w:val="en-US"/>
        </w:rPr>
        <w:t>SO</w:t>
      </w:r>
      <w:r w:rsidRPr="00CC57F8">
        <w:rPr>
          <w:rFonts w:cs="Arial"/>
          <w:szCs w:val="18"/>
          <w:vertAlign w:val="subscript"/>
          <w:lang w:val="en-US"/>
        </w:rPr>
        <w:t>2</w:t>
      </w:r>
      <w:r w:rsidRPr="00CC57F8">
        <w:rPr>
          <w:rFonts w:cs="Arial"/>
          <w:szCs w:val="18"/>
          <w:lang w:val="en-US"/>
        </w:rPr>
        <w:t xml:space="preserve"> </w:t>
      </w:r>
      <w:r w:rsidR="00AE6922" w:rsidRPr="00CC57F8">
        <w:rPr>
          <w:rFonts w:cs="Arial"/>
          <w:szCs w:val="18"/>
          <w:lang w:val="en-US"/>
        </w:rPr>
        <w:t>inlet</w:t>
      </w:r>
      <w:r w:rsidRPr="00CC57F8">
        <w:rPr>
          <w:rFonts w:cs="Arial"/>
          <w:szCs w:val="18"/>
          <w:lang w:val="en-US"/>
        </w:rPr>
        <w:t xml:space="preserve"> concentrations </w:t>
      </w:r>
      <w:r w:rsidR="00C83D9B" w:rsidRPr="00CC57F8">
        <w:rPr>
          <w:rFonts w:cs="Arial"/>
          <w:szCs w:val="18"/>
          <w:lang w:val="en-US"/>
        </w:rPr>
        <w:t>(</w:t>
      </w:r>
      <w:r w:rsidR="00C83D9B" w:rsidRPr="00CC57F8">
        <w:rPr>
          <w:rFonts w:cs="Arial"/>
          <w:szCs w:val="18"/>
        </w:rPr>
        <w:t>C</w:t>
      </w:r>
      <w:r w:rsidR="00C83D9B" w:rsidRPr="00CC57F8">
        <w:rPr>
          <w:rFonts w:cs="Arial"/>
          <w:szCs w:val="18"/>
          <w:vertAlign w:val="subscript"/>
        </w:rPr>
        <w:t>SO2(g),in</w:t>
      </w:r>
      <w:r w:rsidR="00C83D9B" w:rsidRPr="00CC57F8">
        <w:rPr>
          <w:rFonts w:cs="Arial"/>
          <w:szCs w:val="18"/>
          <w:lang w:val="en-US"/>
        </w:rPr>
        <w:t>)</w:t>
      </w:r>
      <w:r w:rsidRPr="00CC57F8">
        <w:rPr>
          <w:rFonts w:cs="Arial"/>
          <w:szCs w:val="18"/>
          <w:lang w:val="en-US"/>
        </w:rPr>
        <w:t xml:space="preserve">. The results include the influence of liquid-to-gas ratio (L/G) and the ammonia feed concentration: </w:t>
      </w:r>
      <w:r w:rsidR="00464259" w:rsidRPr="00CC57F8">
        <w:rPr>
          <w:rFonts w:cs="Arial"/>
          <w:szCs w:val="18"/>
        </w:rPr>
        <w:t>C</w:t>
      </w:r>
      <w:r w:rsidR="00464259" w:rsidRPr="00CC57F8">
        <w:rPr>
          <w:rFonts w:cs="Arial"/>
          <w:szCs w:val="18"/>
          <w:vertAlign w:val="subscript"/>
        </w:rPr>
        <w:t>NH3(</w:t>
      </w:r>
      <w:proofErr w:type="spellStart"/>
      <w:r w:rsidR="00464259" w:rsidRPr="00CC57F8">
        <w:rPr>
          <w:rFonts w:cs="Arial"/>
          <w:szCs w:val="18"/>
          <w:vertAlign w:val="subscript"/>
        </w:rPr>
        <w:t>aq</w:t>
      </w:r>
      <w:proofErr w:type="spellEnd"/>
      <w:r w:rsidR="00464259" w:rsidRPr="00CC57F8">
        <w:rPr>
          <w:rFonts w:cs="Arial"/>
          <w:szCs w:val="18"/>
          <w:vertAlign w:val="subscript"/>
        </w:rPr>
        <w:t>),in</w:t>
      </w:r>
      <w:r w:rsidR="00464259" w:rsidRPr="00CC57F8">
        <w:rPr>
          <w:rFonts w:cs="Arial"/>
          <w:szCs w:val="18"/>
        </w:rPr>
        <w:t xml:space="preserve"> = </w:t>
      </w:r>
      <w:r w:rsidR="00A2421D" w:rsidRPr="00CC57F8">
        <w:rPr>
          <w:rFonts w:cs="Arial"/>
          <w:szCs w:val="18"/>
        </w:rPr>
        <w:t>4</w:t>
      </w:r>
      <w:r w:rsidR="00464259" w:rsidRPr="00CC57F8">
        <w:rPr>
          <w:rFonts w:cs="Arial"/>
          <w:szCs w:val="18"/>
        </w:rPr>
        <w:t>·10</w:t>
      </w:r>
      <w:r w:rsidR="00464259" w:rsidRPr="00CC57F8">
        <w:rPr>
          <w:rFonts w:cs="Arial"/>
          <w:szCs w:val="18"/>
          <w:vertAlign w:val="superscript"/>
        </w:rPr>
        <w:t>-</w:t>
      </w:r>
      <w:r w:rsidR="00A2421D" w:rsidRPr="00CC57F8">
        <w:rPr>
          <w:rFonts w:cs="Arial"/>
          <w:szCs w:val="18"/>
          <w:vertAlign w:val="superscript"/>
        </w:rPr>
        <w:t>3</w:t>
      </w:r>
      <w:r w:rsidR="00464259" w:rsidRPr="00CC57F8">
        <w:rPr>
          <w:rFonts w:cs="Arial"/>
          <w:szCs w:val="18"/>
        </w:rPr>
        <w:t xml:space="preserve"> % w/w </w:t>
      </w:r>
      <w:r w:rsidR="00D408B3" w:rsidRPr="00CC57F8">
        <w:rPr>
          <w:rFonts w:cs="Arial"/>
          <w:szCs w:val="18"/>
        </w:rPr>
        <w:t>(</w:t>
      </w:r>
      <w:r w:rsidR="00464259" w:rsidRPr="00CC57F8">
        <w:rPr>
          <w:rFonts w:cs="Arial"/>
          <w:szCs w:val="18"/>
        </w:rPr>
        <w:t xml:space="preserve">Figure </w:t>
      </w:r>
      <w:r w:rsidR="0030580D" w:rsidRPr="00CC57F8">
        <w:rPr>
          <w:rFonts w:cs="Arial"/>
          <w:szCs w:val="18"/>
        </w:rPr>
        <w:t>3</w:t>
      </w:r>
      <w:r w:rsidR="00A2421D" w:rsidRPr="00CC57F8">
        <w:rPr>
          <w:rFonts w:cs="Arial"/>
          <w:szCs w:val="18"/>
        </w:rPr>
        <w:t>a</w:t>
      </w:r>
      <w:r w:rsidR="00D408B3" w:rsidRPr="00CC57F8">
        <w:rPr>
          <w:rFonts w:cs="Arial"/>
          <w:szCs w:val="18"/>
        </w:rPr>
        <w:t>)</w:t>
      </w:r>
      <w:r w:rsidR="00464259" w:rsidRPr="00CC57F8">
        <w:rPr>
          <w:rFonts w:cs="Arial"/>
          <w:szCs w:val="18"/>
          <w:lang w:val="en-US"/>
        </w:rPr>
        <w:t xml:space="preserve"> and </w:t>
      </w:r>
      <w:r w:rsidR="00464259" w:rsidRPr="00CC57F8">
        <w:rPr>
          <w:rFonts w:cs="Arial"/>
          <w:szCs w:val="18"/>
        </w:rPr>
        <w:t>C</w:t>
      </w:r>
      <w:r w:rsidR="00464259" w:rsidRPr="00CC57F8">
        <w:rPr>
          <w:rFonts w:cs="Arial"/>
          <w:szCs w:val="18"/>
          <w:vertAlign w:val="subscript"/>
        </w:rPr>
        <w:t>NH3(</w:t>
      </w:r>
      <w:proofErr w:type="spellStart"/>
      <w:r w:rsidR="00464259" w:rsidRPr="00CC57F8">
        <w:rPr>
          <w:rFonts w:cs="Arial"/>
          <w:szCs w:val="18"/>
          <w:vertAlign w:val="subscript"/>
        </w:rPr>
        <w:t>aq</w:t>
      </w:r>
      <w:proofErr w:type="spellEnd"/>
      <w:r w:rsidR="00464259" w:rsidRPr="00CC57F8">
        <w:rPr>
          <w:rFonts w:cs="Arial"/>
          <w:szCs w:val="18"/>
          <w:vertAlign w:val="subscript"/>
        </w:rPr>
        <w:t>),in</w:t>
      </w:r>
      <w:r w:rsidR="00464259" w:rsidRPr="00CC57F8">
        <w:rPr>
          <w:rFonts w:cs="Arial"/>
          <w:szCs w:val="18"/>
        </w:rPr>
        <w:t xml:space="preserve"> = 1.6·10</w:t>
      </w:r>
      <w:r w:rsidR="00464259" w:rsidRPr="00CC57F8">
        <w:rPr>
          <w:rFonts w:cs="Arial"/>
          <w:szCs w:val="18"/>
          <w:vertAlign w:val="superscript"/>
        </w:rPr>
        <w:t>-2</w:t>
      </w:r>
      <w:r w:rsidR="00464259" w:rsidRPr="00CC57F8">
        <w:rPr>
          <w:rFonts w:cs="Arial"/>
          <w:szCs w:val="18"/>
        </w:rPr>
        <w:t xml:space="preserve"> % w/w in </w:t>
      </w:r>
      <w:r w:rsidR="00D408B3" w:rsidRPr="00CC57F8">
        <w:rPr>
          <w:rFonts w:cs="Arial"/>
          <w:szCs w:val="18"/>
        </w:rPr>
        <w:t>(</w:t>
      </w:r>
      <w:r w:rsidR="00464259" w:rsidRPr="00CC57F8">
        <w:rPr>
          <w:rFonts w:cs="Arial"/>
          <w:szCs w:val="18"/>
        </w:rPr>
        <w:t xml:space="preserve">Figure </w:t>
      </w:r>
      <w:r w:rsidR="0030580D" w:rsidRPr="00CC57F8">
        <w:rPr>
          <w:rFonts w:cs="Arial"/>
          <w:szCs w:val="18"/>
        </w:rPr>
        <w:t>3</w:t>
      </w:r>
      <w:r w:rsidR="00464259" w:rsidRPr="00CC57F8">
        <w:rPr>
          <w:rFonts w:cs="Arial"/>
          <w:szCs w:val="18"/>
        </w:rPr>
        <w:t>b</w:t>
      </w:r>
      <w:r w:rsidR="00D408B3" w:rsidRPr="00CC57F8">
        <w:rPr>
          <w:rFonts w:cs="Arial"/>
          <w:szCs w:val="18"/>
        </w:rPr>
        <w:t>)</w:t>
      </w:r>
      <w:r w:rsidR="00464259" w:rsidRPr="00CC57F8">
        <w:rPr>
          <w:rFonts w:cs="Arial"/>
          <w:szCs w:val="18"/>
        </w:rPr>
        <w:t>.</w:t>
      </w:r>
    </w:p>
    <w:bookmarkEnd w:id="0"/>
    <w:p w14:paraId="4847F838" w14:textId="269BC7A0" w:rsidR="00FA63B0" w:rsidRDefault="00D656FD" w:rsidP="00F92FE0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4DBFBF5" wp14:editId="017F36B2">
            <wp:extent cx="2520000" cy="2507163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0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1DED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91FCA3" wp14:editId="089A240C">
            <wp:extent cx="2520000" cy="2507163"/>
            <wp:effectExtent l="0" t="0" r="0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0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64980" w14:textId="26CC46A9" w:rsidR="00B71DED" w:rsidRDefault="00B71DED" w:rsidP="00B71DED">
      <w:pPr>
        <w:pStyle w:val="CETCaption"/>
      </w:pPr>
      <w:r w:rsidRPr="00A42162">
        <w:rPr>
          <w:rStyle w:val="CETCaptionCarattere"/>
          <w:i/>
        </w:rPr>
        <w:t xml:space="preserve">Figure </w:t>
      </w:r>
      <w:r w:rsidR="005F309E" w:rsidRPr="00A42162">
        <w:rPr>
          <w:rStyle w:val="CETCaptionCarattere"/>
          <w:i/>
        </w:rPr>
        <w:t>3</w:t>
      </w:r>
      <w:r w:rsidRPr="00A42162">
        <w:rPr>
          <w:rStyle w:val="CETCaptionCarattere"/>
          <w:i/>
        </w:rPr>
        <w:t xml:space="preserve">: </w:t>
      </w:r>
      <w:r w:rsidR="005F309E" w:rsidRPr="00A42162">
        <w:rPr>
          <w:rStyle w:val="CETCaptionCarattere"/>
          <w:i/>
        </w:rPr>
        <w:t xml:space="preserve">Experimental values </w:t>
      </w:r>
      <w:r w:rsidRPr="00A42162">
        <w:rPr>
          <w:rStyle w:val="CETCaptionCarattere"/>
          <w:i/>
        </w:rPr>
        <w:t xml:space="preserve">of Enhancement Factors </w:t>
      </w:r>
      <w:r w:rsidR="00AB2F5F" w:rsidRPr="00A42162">
        <w:rPr>
          <w:rStyle w:val="CETCaptionCarattere"/>
          <w:i/>
        </w:rPr>
        <w:t xml:space="preserve">in function of </w:t>
      </w:r>
      <w:r w:rsidR="00972E60" w:rsidRPr="00A42162">
        <w:rPr>
          <w:rStyle w:val="CETCaptionCarattere"/>
          <w:i/>
        </w:rPr>
        <w:t xml:space="preserve">gas </w:t>
      </w:r>
      <w:r w:rsidR="00E2526D" w:rsidRPr="00A42162">
        <w:rPr>
          <w:rStyle w:val="CETCaptionCarattere"/>
          <w:i/>
        </w:rPr>
        <w:t xml:space="preserve">inlet </w:t>
      </w:r>
      <w:r w:rsidR="00AB2F5F" w:rsidRPr="00A42162">
        <w:rPr>
          <w:rStyle w:val="CETCaptionCarattere"/>
          <w:i/>
        </w:rPr>
        <w:t xml:space="preserve">concentration of </w:t>
      </w:r>
      <w:r w:rsidR="00E2526D" w:rsidRPr="00A42162">
        <w:rPr>
          <w:rStyle w:val="CETCaptionCarattere"/>
          <w:i/>
        </w:rPr>
        <w:t>SO</w:t>
      </w:r>
      <w:r w:rsidR="00E2526D" w:rsidRPr="00A42162">
        <w:rPr>
          <w:rStyle w:val="CETCaptionCarattere"/>
          <w:i/>
          <w:vertAlign w:val="subscript"/>
        </w:rPr>
        <w:t>2</w:t>
      </w:r>
      <w:r w:rsidR="00E2526D" w:rsidRPr="00A42162">
        <w:rPr>
          <w:rStyle w:val="CETCaptionCarattere"/>
          <w:i/>
        </w:rPr>
        <w:t xml:space="preserve"> and liquid-to-gas ratio</w:t>
      </w:r>
      <w:r w:rsidR="00A42162" w:rsidRPr="00A42162">
        <w:rPr>
          <w:rStyle w:val="CETCaptionCarattere"/>
          <w:i/>
        </w:rPr>
        <w:t>,</w:t>
      </w:r>
      <w:r w:rsidR="002241E0" w:rsidRPr="00A42162">
        <w:rPr>
          <w:rStyle w:val="CETCaptionCarattere"/>
          <w:i/>
        </w:rPr>
        <w:t xml:space="preserve"> parametric with ammonia concentration C</w:t>
      </w:r>
      <w:r w:rsidR="002241E0" w:rsidRPr="00A42162">
        <w:rPr>
          <w:rStyle w:val="CETCaptionCarattere"/>
          <w:i/>
          <w:vertAlign w:val="subscript"/>
        </w:rPr>
        <w:t>NH3(</w:t>
      </w:r>
      <w:proofErr w:type="spellStart"/>
      <w:r w:rsidR="002241E0" w:rsidRPr="00A42162">
        <w:rPr>
          <w:rStyle w:val="CETCaptionCarattere"/>
          <w:i/>
          <w:vertAlign w:val="subscript"/>
        </w:rPr>
        <w:t>aq</w:t>
      </w:r>
      <w:proofErr w:type="spellEnd"/>
      <w:r w:rsidR="002241E0" w:rsidRPr="00A42162">
        <w:rPr>
          <w:rStyle w:val="CETCaptionCarattere"/>
          <w:i/>
          <w:vertAlign w:val="subscript"/>
        </w:rPr>
        <w:t>)</w:t>
      </w:r>
      <w:r w:rsidR="000621B5" w:rsidRPr="00A42162">
        <w:rPr>
          <w:rStyle w:val="CETCaptionCarattere"/>
          <w:i/>
        </w:rPr>
        <w:t xml:space="preserve"> = 4</w:t>
      </w:r>
      <w:r w:rsidR="00A42162" w:rsidRPr="00A42162">
        <w:rPr>
          <w:rStyle w:val="CETCaptionCarattere"/>
          <w:rFonts w:cs="Arial"/>
          <w:i/>
        </w:rPr>
        <w:t>·</w:t>
      </w:r>
      <w:r w:rsidR="000621B5" w:rsidRPr="00A42162">
        <w:rPr>
          <w:rStyle w:val="CETCaptionCarattere"/>
          <w:i/>
        </w:rPr>
        <w:t>10</w:t>
      </w:r>
      <w:r w:rsidR="000621B5" w:rsidRPr="00A42162">
        <w:rPr>
          <w:rStyle w:val="CETCaptionCarattere"/>
          <w:i/>
          <w:vertAlign w:val="superscript"/>
        </w:rPr>
        <w:t>-3</w:t>
      </w:r>
      <w:r w:rsidR="000621B5" w:rsidRPr="00A42162">
        <w:rPr>
          <w:rStyle w:val="CETCaptionCarattere"/>
          <w:i/>
        </w:rPr>
        <w:t xml:space="preserve"> % w/w</w:t>
      </w:r>
      <w:r w:rsidR="007D0277" w:rsidRPr="00A42162">
        <w:rPr>
          <w:rStyle w:val="CETCaptionCarattere"/>
          <w:i/>
        </w:rPr>
        <w:t xml:space="preserve"> </w:t>
      </w:r>
      <w:r w:rsidR="002241E0" w:rsidRPr="00A42162">
        <w:rPr>
          <w:rStyle w:val="CETCaptionCarattere"/>
          <w:i/>
        </w:rPr>
        <w:t>(</w:t>
      </w:r>
      <w:r w:rsidR="007D0277" w:rsidRPr="00A42162">
        <w:rPr>
          <w:rStyle w:val="CETCaptionCarattere"/>
          <w:i/>
        </w:rPr>
        <w:t>Figure 3a</w:t>
      </w:r>
      <w:r w:rsidR="002241E0" w:rsidRPr="00A42162">
        <w:rPr>
          <w:rStyle w:val="CETCaptionCarattere"/>
          <w:i/>
        </w:rPr>
        <w:t>)</w:t>
      </w:r>
      <w:r w:rsidR="00A42162" w:rsidRPr="00A42162">
        <w:rPr>
          <w:rStyle w:val="CETCaptionCarattere"/>
          <w:i/>
        </w:rPr>
        <w:t xml:space="preserve"> and C</w:t>
      </w:r>
      <w:r w:rsidR="00A42162" w:rsidRPr="00A42162">
        <w:rPr>
          <w:rStyle w:val="CETCaptionCarattere"/>
          <w:i/>
          <w:vertAlign w:val="subscript"/>
        </w:rPr>
        <w:t>NH3(</w:t>
      </w:r>
      <w:proofErr w:type="spellStart"/>
      <w:r w:rsidR="00A42162" w:rsidRPr="00A42162">
        <w:rPr>
          <w:rStyle w:val="CETCaptionCarattere"/>
          <w:i/>
          <w:vertAlign w:val="subscript"/>
        </w:rPr>
        <w:t>aq</w:t>
      </w:r>
      <w:proofErr w:type="spellEnd"/>
      <w:r w:rsidR="00A42162" w:rsidRPr="00A42162">
        <w:rPr>
          <w:rStyle w:val="CETCaptionCarattere"/>
          <w:i/>
          <w:vertAlign w:val="subscript"/>
        </w:rPr>
        <w:t>)</w:t>
      </w:r>
      <w:r w:rsidR="00A42162" w:rsidRPr="00A42162">
        <w:rPr>
          <w:rStyle w:val="CETCaptionCarattere"/>
          <w:i/>
        </w:rPr>
        <w:t xml:space="preserve"> = 1.6</w:t>
      </w:r>
      <w:r w:rsidR="00A42162" w:rsidRPr="00A42162">
        <w:rPr>
          <w:rStyle w:val="CETCaptionCarattere"/>
          <w:rFonts w:cs="Arial"/>
          <w:i/>
        </w:rPr>
        <w:t>·</w:t>
      </w:r>
      <w:r w:rsidR="00A42162" w:rsidRPr="00A42162">
        <w:rPr>
          <w:rStyle w:val="CETCaptionCarattere"/>
          <w:i/>
        </w:rPr>
        <w:t>10</w:t>
      </w:r>
      <w:r w:rsidR="00A42162" w:rsidRPr="00A42162">
        <w:rPr>
          <w:rStyle w:val="CETCaptionCarattere"/>
          <w:i/>
          <w:vertAlign w:val="superscript"/>
        </w:rPr>
        <w:t>-2</w:t>
      </w:r>
      <w:r w:rsidR="00A42162" w:rsidRPr="00A42162">
        <w:rPr>
          <w:rStyle w:val="CETCaptionCarattere"/>
          <w:i/>
        </w:rPr>
        <w:t xml:space="preserve"> % w/w (Figure 3b).</w:t>
      </w:r>
    </w:p>
    <w:p w14:paraId="51601F44" w14:textId="613914A9" w:rsidR="001D17D0" w:rsidRPr="00CC57F8" w:rsidRDefault="001D17D0" w:rsidP="001D17D0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 w:rsidRPr="00CC57F8">
        <w:rPr>
          <w:rFonts w:ascii="Arial" w:hAnsi="Arial" w:cs="Arial"/>
          <w:sz w:val="18"/>
          <w:szCs w:val="18"/>
        </w:rPr>
        <w:t>The results show that most Enhancement factors are greater 3, confirming that the gas-liquid reaction follows a fast regime</w:t>
      </w:r>
      <w:r w:rsidR="004C1747" w:rsidRPr="00CC57F8">
        <w:rPr>
          <w:rFonts w:ascii="Arial" w:hAnsi="Arial" w:cs="Arial"/>
          <w:sz w:val="18"/>
          <w:szCs w:val="18"/>
        </w:rPr>
        <w:t xml:space="preserve"> (Eq. (2))</w:t>
      </w:r>
      <w:r w:rsidRPr="00CC57F8">
        <w:rPr>
          <w:rFonts w:ascii="Arial" w:hAnsi="Arial" w:cs="Arial"/>
          <w:sz w:val="18"/>
          <w:szCs w:val="18"/>
        </w:rPr>
        <w:t xml:space="preserve"> as observed by </w:t>
      </w:r>
      <w:r w:rsidR="008C6ADB" w:rsidRPr="00CC57F8">
        <w:rPr>
          <w:rFonts w:ascii="Arial" w:hAnsi="Arial" w:cs="Arial"/>
          <w:sz w:val="18"/>
          <w:szCs w:val="18"/>
        </w:rPr>
        <w:t xml:space="preserve">Gao et al. (2010) and Jia et al. (2010). </w:t>
      </w:r>
      <w:r w:rsidRPr="00CC57F8">
        <w:rPr>
          <w:rFonts w:ascii="Arial" w:hAnsi="Arial" w:cs="Arial"/>
          <w:sz w:val="18"/>
          <w:szCs w:val="18"/>
        </w:rPr>
        <w:t xml:space="preserve">Only </w:t>
      </w:r>
      <w:r w:rsidR="00D408B3" w:rsidRPr="00CC57F8">
        <w:rPr>
          <w:rFonts w:ascii="Arial" w:hAnsi="Arial" w:cs="Arial"/>
          <w:sz w:val="18"/>
          <w:szCs w:val="18"/>
        </w:rPr>
        <w:t xml:space="preserve">for </w:t>
      </w:r>
      <w:r w:rsidRPr="00CC57F8">
        <w:rPr>
          <w:rFonts w:ascii="Arial" w:hAnsi="Arial" w:cs="Arial"/>
          <w:sz w:val="18"/>
          <w:szCs w:val="18"/>
        </w:rPr>
        <w:t>few experiments a E</w:t>
      </w:r>
      <w:r w:rsidRPr="00CC57F8">
        <w:rPr>
          <w:rFonts w:ascii="Arial" w:hAnsi="Arial" w:cs="Arial"/>
          <w:sz w:val="18"/>
          <w:szCs w:val="18"/>
          <w:vertAlign w:val="subscript"/>
        </w:rPr>
        <w:t>L</w:t>
      </w:r>
      <w:r w:rsidRPr="00CC57F8">
        <w:rPr>
          <w:rFonts w:ascii="Arial" w:hAnsi="Arial" w:cs="Arial"/>
          <w:sz w:val="18"/>
          <w:szCs w:val="18"/>
        </w:rPr>
        <w:t xml:space="preserve"> value &lt; 3</w:t>
      </w:r>
      <w:r w:rsidR="00D408B3" w:rsidRPr="00CC57F8">
        <w:rPr>
          <w:rFonts w:ascii="Arial" w:hAnsi="Arial" w:cs="Arial"/>
          <w:sz w:val="18"/>
          <w:szCs w:val="18"/>
        </w:rPr>
        <w:t xml:space="preserve"> was retrieved</w:t>
      </w:r>
      <w:r w:rsidRPr="00CC57F8">
        <w:rPr>
          <w:rFonts w:ascii="Arial" w:hAnsi="Arial" w:cs="Arial"/>
          <w:sz w:val="18"/>
          <w:szCs w:val="18"/>
        </w:rPr>
        <w:t xml:space="preserve">: this was probably </w:t>
      </w:r>
      <w:r w:rsidR="00C566ED" w:rsidRPr="00CC57F8">
        <w:rPr>
          <w:rFonts w:ascii="Arial" w:hAnsi="Arial" w:cs="Arial"/>
          <w:sz w:val="18"/>
          <w:szCs w:val="18"/>
        </w:rPr>
        <w:t xml:space="preserve">ascribable </w:t>
      </w:r>
      <w:r w:rsidRPr="00CC57F8">
        <w:rPr>
          <w:rFonts w:ascii="Arial" w:hAnsi="Arial" w:cs="Arial"/>
          <w:sz w:val="18"/>
          <w:szCs w:val="18"/>
        </w:rPr>
        <w:t xml:space="preserve">to </w:t>
      </w:r>
      <w:r w:rsidR="00F660F1" w:rsidRPr="00CC57F8">
        <w:rPr>
          <w:rFonts w:ascii="Arial" w:hAnsi="Arial" w:cs="Arial"/>
          <w:sz w:val="18"/>
          <w:szCs w:val="18"/>
        </w:rPr>
        <w:t xml:space="preserve">feed molar ratio </w:t>
      </w:r>
      <w:r w:rsidRPr="00CC57F8">
        <w:rPr>
          <w:rFonts w:ascii="Arial" w:hAnsi="Arial" w:cs="Arial"/>
          <w:sz w:val="18"/>
          <w:szCs w:val="18"/>
        </w:rPr>
        <w:t>(</w:t>
      </w:r>
      <w:proofErr w:type="spellStart"/>
      <w:r w:rsidRPr="00CC57F8">
        <w:rPr>
          <w:rFonts w:ascii="Arial" w:hAnsi="Arial" w:cs="Arial"/>
          <w:sz w:val="18"/>
          <w:szCs w:val="18"/>
        </w:rPr>
        <w:t>r</w:t>
      </w:r>
      <w:r w:rsidRPr="00CC57F8">
        <w:rPr>
          <w:rFonts w:ascii="Arial" w:hAnsi="Arial" w:cs="Arial"/>
          <w:sz w:val="18"/>
          <w:szCs w:val="18"/>
          <w:vertAlign w:val="subscript"/>
        </w:rPr>
        <w:t>op</w:t>
      </w:r>
      <w:proofErr w:type="spellEnd"/>
      <w:r w:rsidRPr="00CC57F8">
        <w:rPr>
          <w:rFonts w:ascii="Arial" w:hAnsi="Arial" w:cs="Arial"/>
          <w:sz w:val="18"/>
          <w:szCs w:val="18"/>
        </w:rPr>
        <w:t>)</w:t>
      </w:r>
      <w:r w:rsidR="00C566ED" w:rsidRPr="00CC57F8">
        <w:rPr>
          <w:rFonts w:ascii="Arial" w:hAnsi="Arial" w:cs="Arial"/>
          <w:sz w:val="18"/>
          <w:szCs w:val="18"/>
        </w:rPr>
        <w:t>,</w:t>
      </w:r>
      <w:r w:rsidRPr="00CC57F8">
        <w:rPr>
          <w:rFonts w:ascii="Arial" w:hAnsi="Arial" w:cs="Arial"/>
          <w:sz w:val="18"/>
          <w:szCs w:val="18"/>
        </w:rPr>
        <w:t xml:space="preserve"> </w:t>
      </w:r>
      <w:r w:rsidR="004A1BEB" w:rsidRPr="00CC57F8">
        <w:rPr>
          <w:rFonts w:ascii="Arial" w:hAnsi="Arial" w:cs="Arial"/>
          <w:sz w:val="18"/>
          <w:szCs w:val="18"/>
        </w:rPr>
        <w:t xml:space="preserve">which </w:t>
      </w:r>
      <w:r w:rsidR="00C566ED" w:rsidRPr="00CC57F8">
        <w:rPr>
          <w:rFonts w:ascii="Arial" w:hAnsi="Arial" w:cs="Arial"/>
          <w:sz w:val="18"/>
          <w:szCs w:val="18"/>
        </w:rPr>
        <w:t xml:space="preserve">in those cases, assumed values </w:t>
      </w:r>
      <w:r w:rsidRPr="00CC57F8">
        <w:rPr>
          <w:rFonts w:ascii="Arial" w:hAnsi="Arial" w:cs="Arial"/>
          <w:sz w:val="18"/>
          <w:szCs w:val="18"/>
        </w:rPr>
        <w:t>more than 50% lower than the stoichiometric value of the overall</w:t>
      </w:r>
      <w:r w:rsidR="00513BD0" w:rsidRPr="00CC57F8">
        <w:rPr>
          <w:rFonts w:ascii="Arial" w:hAnsi="Arial" w:cs="Arial"/>
          <w:sz w:val="18"/>
          <w:szCs w:val="18"/>
        </w:rPr>
        <w:t xml:space="preserve"> </w:t>
      </w:r>
      <w:r w:rsidRPr="00CC57F8">
        <w:rPr>
          <w:rFonts w:ascii="Arial" w:hAnsi="Arial" w:cs="Arial"/>
          <w:sz w:val="18"/>
          <w:szCs w:val="18"/>
        </w:rPr>
        <w:t>reaction (Eq. (1)), and consequently a fast reactive</w:t>
      </w:r>
      <w:r w:rsidR="00A13409" w:rsidRPr="00CC57F8">
        <w:rPr>
          <w:rFonts w:ascii="Arial" w:hAnsi="Arial" w:cs="Arial"/>
          <w:sz w:val="18"/>
          <w:szCs w:val="18"/>
        </w:rPr>
        <w:t>-</w:t>
      </w:r>
      <w:r w:rsidRPr="00CC57F8">
        <w:rPr>
          <w:rFonts w:ascii="Arial" w:hAnsi="Arial" w:cs="Arial"/>
          <w:sz w:val="18"/>
          <w:szCs w:val="18"/>
        </w:rPr>
        <w:t>mechanism was not achieved.</w:t>
      </w:r>
    </w:p>
    <w:p w14:paraId="6D633137" w14:textId="4C9CC0B6" w:rsidR="00E72FA5" w:rsidRPr="00CC57F8" w:rsidRDefault="007A7C89" w:rsidP="001D17D0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 w:rsidRPr="00CC57F8">
        <w:rPr>
          <w:rFonts w:ascii="Arial" w:hAnsi="Arial" w:cs="Arial"/>
          <w:sz w:val="18"/>
          <w:szCs w:val="18"/>
        </w:rPr>
        <w:t xml:space="preserve">From Figure 3, </w:t>
      </w:r>
      <w:r w:rsidR="00C566ED" w:rsidRPr="00CC57F8">
        <w:rPr>
          <w:rFonts w:ascii="Arial" w:hAnsi="Arial" w:cs="Arial"/>
          <w:sz w:val="18"/>
          <w:szCs w:val="18"/>
        </w:rPr>
        <w:t xml:space="preserve">at fixed investigated ammonia concentration, </w:t>
      </w:r>
      <w:r w:rsidRPr="00CC57F8">
        <w:rPr>
          <w:rFonts w:ascii="Arial" w:hAnsi="Arial" w:cs="Arial"/>
          <w:sz w:val="18"/>
          <w:szCs w:val="18"/>
        </w:rPr>
        <w:t>it is observed that</w:t>
      </w:r>
      <w:r w:rsidR="00C566ED" w:rsidRPr="00CC57F8">
        <w:rPr>
          <w:rFonts w:ascii="Arial" w:hAnsi="Arial" w:cs="Arial"/>
          <w:sz w:val="18"/>
          <w:szCs w:val="18"/>
        </w:rPr>
        <w:t xml:space="preserve"> the</w:t>
      </w:r>
      <w:r w:rsidRPr="00CC57F8">
        <w:rPr>
          <w:rFonts w:ascii="Arial" w:hAnsi="Arial" w:cs="Arial"/>
          <w:sz w:val="18"/>
          <w:szCs w:val="18"/>
        </w:rPr>
        <w:t xml:space="preserve"> Enhancement factors increased as SO</w:t>
      </w:r>
      <w:r w:rsidRPr="00CC57F8">
        <w:rPr>
          <w:rFonts w:ascii="Arial" w:hAnsi="Arial" w:cs="Arial"/>
          <w:sz w:val="18"/>
          <w:szCs w:val="18"/>
          <w:vertAlign w:val="subscript"/>
        </w:rPr>
        <w:t>2</w:t>
      </w:r>
      <w:r w:rsidRPr="00CC57F8">
        <w:rPr>
          <w:rFonts w:ascii="Arial" w:hAnsi="Arial" w:cs="Arial"/>
          <w:sz w:val="18"/>
          <w:szCs w:val="18"/>
        </w:rPr>
        <w:t xml:space="preserve"> concentration decreased (C</w:t>
      </w:r>
      <w:r w:rsidRPr="00CC57F8">
        <w:rPr>
          <w:rFonts w:ascii="Arial" w:hAnsi="Arial" w:cs="Arial"/>
          <w:sz w:val="18"/>
          <w:szCs w:val="18"/>
          <w:vertAlign w:val="subscript"/>
        </w:rPr>
        <w:t>SO2</w:t>
      </w:r>
      <w:r w:rsidR="00F660F1" w:rsidRPr="00CC57F8">
        <w:rPr>
          <w:rFonts w:ascii="Arial" w:hAnsi="Arial" w:cs="Arial"/>
          <w:sz w:val="18"/>
          <w:szCs w:val="18"/>
          <w:vertAlign w:val="subscript"/>
        </w:rPr>
        <w:t>(g),in</w:t>
      </w:r>
      <w:r w:rsidRPr="00CC57F8">
        <w:rPr>
          <w:rFonts w:ascii="Arial" w:hAnsi="Arial" w:cs="Arial"/>
          <w:sz w:val="18"/>
          <w:szCs w:val="18"/>
        </w:rPr>
        <w:t>) ,</w:t>
      </w:r>
      <w:r w:rsidR="00F660F1" w:rsidRPr="00CC57F8">
        <w:rPr>
          <w:rFonts w:ascii="Arial" w:hAnsi="Arial" w:cs="Arial"/>
          <w:sz w:val="18"/>
          <w:szCs w:val="18"/>
        </w:rPr>
        <w:t xml:space="preserve"> </w:t>
      </w:r>
      <w:r w:rsidR="00C566ED" w:rsidRPr="00CC57F8">
        <w:rPr>
          <w:rFonts w:ascii="Arial" w:hAnsi="Arial" w:cs="Arial"/>
          <w:sz w:val="18"/>
          <w:szCs w:val="18"/>
        </w:rPr>
        <w:t xml:space="preserve">likely because </w:t>
      </w:r>
      <w:r w:rsidR="00F660F1" w:rsidRPr="00CC57F8">
        <w:rPr>
          <w:rFonts w:ascii="Arial" w:hAnsi="Arial" w:cs="Arial"/>
          <w:sz w:val="18"/>
          <w:szCs w:val="18"/>
        </w:rPr>
        <w:t>the</w:t>
      </w:r>
      <w:r w:rsidRPr="00CC57F8">
        <w:rPr>
          <w:rFonts w:ascii="Arial" w:hAnsi="Arial" w:cs="Arial"/>
          <w:sz w:val="18"/>
          <w:szCs w:val="18"/>
        </w:rPr>
        <w:t xml:space="preserve"> </w:t>
      </w:r>
      <w:r w:rsidR="00F660F1" w:rsidRPr="00CC57F8">
        <w:rPr>
          <w:rFonts w:ascii="Arial" w:hAnsi="Arial" w:cs="Arial"/>
          <w:sz w:val="18"/>
          <w:szCs w:val="18"/>
        </w:rPr>
        <w:t>feed molar ratio (</w:t>
      </w:r>
      <w:proofErr w:type="spellStart"/>
      <w:r w:rsidR="00F660F1" w:rsidRPr="00CC57F8">
        <w:rPr>
          <w:rFonts w:ascii="Arial" w:hAnsi="Arial" w:cs="Arial"/>
          <w:sz w:val="18"/>
          <w:szCs w:val="18"/>
        </w:rPr>
        <w:t>r</w:t>
      </w:r>
      <w:r w:rsidR="00F660F1" w:rsidRPr="00CC57F8">
        <w:rPr>
          <w:rFonts w:ascii="Arial" w:hAnsi="Arial" w:cs="Arial"/>
          <w:sz w:val="18"/>
          <w:szCs w:val="18"/>
          <w:vertAlign w:val="subscript"/>
        </w:rPr>
        <w:t>op</w:t>
      </w:r>
      <w:proofErr w:type="spellEnd"/>
      <w:r w:rsidR="00F660F1" w:rsidRPr="00CC57F8">
        <w:rPr>
          <w:rFonts w:ascii="Arial" w:hAnsi="Arial" w:cs="Arial"/>
          <w:sz w:val="18"/>
          <w:szCs w:val="18"/>
        </w:rPr>
        <w:t>)</w:t>
      </w:r>
      <w:r w:rsidR="00F17499" w:rsidRPr="00CC57F8">
        <w:rPr>
          <w:rFonts w:ascii="Arial" w:hAnsi="Arial" w:cs="Arial"/>
          <w:sz w:val="18"/>
          <w:szCs w:val="18"/>
        </w:rPr>
        <w:t xml:space="preserve"> </w:t>
      </w:r>
      <w:r w:rsidRPr="00CC57F8">
        <w:rPr>
          <w:rFonts w:ascii="Arial" w:hAnsi="Arial" w:cs="Arial"/>
          <w:sz w:val="18"/>
          <w:szCs w:val="18"/>
        </w:rPr>
        <w:t>increased and</w:t>
      </w:r>
      <w:r w:rsidR="00C566ED" w:rsidRPr="00CC57F8">
        <w:rPr>
          <w:rFonts w:ascii="Arial" w:hAnsi="Arial" w:cs="Arial"/>
          <w:sz w:val="18"/>
          <w:szCs w:val="18"/>
        </w:rPr>
        <w:t>,</w:t>
      </w:r>
      <w:r w:rsidRPr="00CC57F8">
        <w:rPr>
          <w:rFonts w:ascii="Arial" w:hAnsi="Arial" w:cs="Arial"/>
          <w:sz w:val="18"/>
          <w:szCs w:val="18"/>
        </w:rPr>
        <w:t xml:space="preserve"> consequently</w:t>
      </w:r>
      <w:r w:rsidR="00C566ED" w:rsidRPr="00CC57F8">
        <w:rPr>
          <w:rFonts w:ascii="Arial" w:hAnsi="Arial" w:cs="Arial"/>
          <w:sz w:val="18"/>
          <w:szCs w:val="18"/>
        </w:rPr>
        <w:t>,</w:t>
      </w:r>
      <w:r w:rsidRPr="00CC57F8">
        <w:rPr>
          <w:rFonts w:ascii="Arial" w:hAnsi="Arial" w:cs="Arial"/>
          <w:sz w:val="18"/>
          <w:szCs w:val="18"/>
        </w:rPr>
        <w:t xml:space="preserve"> the ammonia available for </w:t>
      </w:r>
      <w:r w:rsidR="00FB5D37" w:rsidRPr="00CC57F8">
        <w:rPr>
          <w:rFonts w:ascii="Arial" w:hAnsi="Arial" w:cs="Arial"/>
          <w:sz w:val="18"/>
          <w:szCs w:val="18"/>
        </w:rPr>
        <w:t>reactive gas-liquid mechanism</w:t>
      </w:r>
      <w:r w:rsidR="00C566ED" w:rsidRPr="00CC57F8">
        <w:rPr>
          <w:rFonts w:ascii="Arial" w:hAnsi="Arial" w:cs="Arial"/>
          <w:sz w:val="18"/>
          <w:szCs w:val="18"/>
        </w:rPr>
        <w:t xml:space="preserve"> increased</w:t>
      </w:r>
      <w:r w:rsidRPr="00CC57F8">
        <w:rPr>
          <w:rFonts w:ascii="Arial" w:hAnsi="Arial" w:cs="Arial"/>
          <w:sz w:val="18"/>
          <w:szCs w:val="18"/>
        </w:rPr>
        <w:t>.</w:t>
      </w:r>
      <w:r w:rsidR="00E72FA5" w:rsidRPr="00CC57F8">
        <w:rPr>
          <w:rFonts w:ascii="Arial" w:hAnsi="Arial" w:cs="Arial"/>
          <w:sz w:val="18"/>
          <w:szCs w:val="18"/>
        </w:rPr>
        <w:t xml:space="preserve"> </w:t>
      </w:r>
      <w:r w:rsidR="00EC6C6F" w:rsidRPr="00CC57F8">
        <w:rPr>
          <w:rFonts w:ascii="Arial" w:hAnsi="Arial" w:cs="Arial"/>
          <w:sz w:val="18"/>
          <w:szCs w:val="18"/>
        </w:rPr>
        <w:t>The E</w:t>
      </w:r>
      <w:r w:rsidR="00EC6C6F" w:rsidRPr="00CC57F8">
        <w:rPr>
          <w:rFonts w:ascii="Arial" w:hAnsi="Arial" w:cs="Arial"/>
          <w:sz w:val="18"/>
          <w:szCs w:val="18"/>
          <w:vertAlign w:val="subscript"/>
        </w:rPr>
        <w:t>L</w:t>
      </w:r>
      <w:r w:rsidR="00EC6C6F" w:rsidRPr="00CC57F8">
        <w:rPr>
          <w:rFonts w:ascii="Arial" w:hAnsi="Arial" w:cs="Arial"/>
          <w:sz w:val="18"/>
          <w:szCs w:val="18"/>
        </w:rPr>
        <w:t xml:space="preserve"> also increases as the </w:t>
      </w:r>
      <w:r w:rsidR="00C566ED" w:rsidRPr="00CC57F8">
        <w:rPr>
          <w:rFonts w:ascii="Arial" w:hAnsi="Arial" w:cs="Arial"/>
          <w:sz w:val="18"/>
          <w:szCs w:val="18"/>
        </w:rPr>
        <w:t xml:space="preserve">investigated </w:t>
      </w:r>
      <w:r w:rsidR="00B95AD6" w:rsidRPr="00CC57F8">
        <w:rPr>
          <w:rFonts w:ascii="Arial" w:hAnsi="Arial" w:cs="Arial"/>
          <w:sz w:val="18"/>
          <w:szCs w:val="18"/>
        </w:rPr>
        <w:t>L/G</w:t>
      </w:r>
      <w:r w:rsidR="00EC6C6F" w:rsidRPr="00CC57F8">
        <w:rPr>
          <w:rFonts w:ascii="Arial" w:hAnsi="Arial" w:cs="Arial"/>
          <w:sz w:val="18"/>
          <w:szCs w:val="18"/>
        </w:rPr>
        <w:t xml:space="preserve"> ratio increases, which is typical of purely physical absorption but is also a direct consequence of the simultaneous increase in </w:t>
      </w:r>
      <w:proofErr w:type="spellStart"/>
      <w:r w:rsidR="00EC6C6F" w:rsidRPr="00CC57F8">
        <w:rPr>
          <w:rFonts w:ascii="Arial" w:hAnsi="Arial" w:cs="Arial"/>
          <w:sz w:val="18"/>
          <w:szCs w:val="18"/>
        </w:rPr>
        <w:t>r</w:t>
      </w:r>
      <w:r w:rsidR="00EC6C6F" w:rsidRPr="00CC57F8">
        <w:rPr>
          <w:rFonts w:ascii="Arial" w:hAnsi="Arial" w:cs="Arial"/>
          <w:sz w:val="18"/>
          <w:szCs w:val="18"/>
          <w:vertAlign w:val="subscript"/>
        </w:rPr>
        <w:t>op</w:t>
      </w:r>
      <w:proofErr w:type="spellEnd"/>
      <w:r w:rsidR="00EC6C6F" w:rsidRPr="00CC57F8">
        <w:rPr>
          <w:rFonts w:ascii="Arial" w:hAnsi="Arial" w:cs="Arial"/>
          <w:sz w:val="18"/>
          <w:szCs w:val="18"/>
        </w:rPr>
        <w:t>.</w:t>
      </w:r>
      <w:r w:rsidR="006831A2" w:rsidRPr="00CC57F8">
        <w:rPr>
          <w:rFonts w:ascii="Arial" w:hAnsi="Arial" w:cs="Arial"/>
          <w:sz w:val="18"/>
          <w:szCs w:val="18"/>
        </w:rPr>
        <w:t xml:space="preserve"> </w:t>
      </w:r>
      <w:r w:rsidR="00E72FA5" w:rsidRPr="00CC57F8">
        <w:rPr>
          <w:rFonts w:ascii="Arial" w:hAnsi="Arial" w:cs="Arial"/>
          <w:sz w:val="18"/>
          <w:szCs w:val="18"/>
        </w:rPr>
        <w:t>As expected, E</w:t>
      </w:r>
      <w:r w:rsidR="00E72FA5" w:rsidRPr="00CC57F8">
        <w:rPr>
          <w:rFonts w:ascii="Arial" w:hAnsi="Arial" w:cs="Arial"/>
          <w:sz w:val="18"/>
          <w:szCs w:val="18"/>
          <w:vertAlign w:val="subscript"/>
        </w:rPr>
        <w:t>L</w:t>
      </w:r>
      <w:r w:rsidR="00E72FA5" w:rsidRPr="00CC57F8">
        <w:rPr>
          <w:rFonts w:ascii="Arial" w:hAnsi="Arial" w:cs="Arial"/>
          <w:sz w:val="18"/>
          <w:szCs w:val="18"/>
        </w:rPr>
        <w:t xml:space="preserve"> values were greater </w:t>
      </w:r>
      <w:r w:rsidR="00C566ED" w:rsidRPr="00CC57F8">
        <w:rPr>
          <w:rFonts w:ascii="Arial" w:hAnsi="Arial" w:cs="Arial"/>
          <w:sz w:val="18"/>
          <w:szCs w:val="18"/>
        </w:rPr>
        <w:t xml:space="preserve">for higher </w:t>
      </w:r>
      <w:r w:rsidR="00E72FA5" w:rsidRPr="00CC57F8">
        <w:rPr>
          <w:rFonts w:ascii="Arial" w:hAnsi="Arial" w:cs="Arial"/>
          <w:sz w:val="18"/>
          <w:szCs w:val="18"/>
        </w:rPr>
        <w:t>ammonia concentration (</w:t>
      </w:r>
      <w:bookmarkStart w:id="1" w:name="_Hlk125629309"/>
      <w:r w:rsidR="00E72FA5" w:rsidRPr="00CC57F8">
        <w:rPr>
          <w:rFonts w:ascii="Arial" w:hAnsi="Arial" w:cs="Arial"/>
          <w:sz w:val="18"/>
          <w:szCs w:val="18"/>
        </w:rPr>
        <w:t>C</w:t>
      </w:r>
      <w:r w:rsidR="00E72FA5" w:rsidRPr="00CC57F8">
        <w:rPr>
          <w:rFonts w:ascii="Arial" w:hAnsi="Arial" w:cs="Arial"/>
          <w:sz w:val="18"/>
          <w:szCs w:val="18"/>
          <w:vertAlign w:val="subscript"/>
        </w:rPr>
        <w:t>NH3(</w:t>
      </w:r>
      <w:proofErr w:type="spellStart"/>
      <w:r w:rsidR="00E72FA5" w:rsidRPr="00CC57F8">
        <w:rPr>
          <w:rFonts w:ascii="Arial" w:hAnsi="Arial" w:cs="Arial"/>
          <w:sz w:val="18"/>
          <w:szCs w:val="18"/>
          <w:vertAlign w:val="subscript"/>
        </w:rPr>
        <w:t>aq</w:t>
      </w:r>
      <w:proofErr w:type="spellEnd"/>
      <w:r w:rsidR="00E72FA5" w:rsidRPr="00CC57F8">
        <w:rPr>
          <w:rFonts w:ascii="Arial" w:hAnsi="Arial" w:cs="Arial"/>
          <w:sz w:val="18"/>
          <w:szCs w:val="18"/>
          <w:vertAlign w:val="subscript"/>
        </w:rPr>
        <w:t>),in</w:t>
      </w:r>
      <w:r w:rsidR="00E72FA5" w:rsidRPr="00CC57F8">
        <w:rPr>
          <w:rFonts w:ascii="Arial" w:hAnsi="Arial" w:cs="Arial"/>
          <w:sz w:val="18"/>
          <w:szCs w:val="18"/>
        </w:rPr>
        <w:t xml:space="preserve"> </w:t>
      </w:r>
      <w:bookmarkEnd w:id="1"/>
      <w:r w:rsidR="00E72FA5" w:rsidRPr="00CC57F8">
        <w:rPr>
          <w:rFonts w:ascii="Arial" w:hAnsi="Arial" w:cs="Arial"/>
          <w:sz w:val="18"/>
          <w:szCs w:val="18"/>
        </w:rPr>
        <w:t>= 1.</w:t>
      </w:r>
      <w:r w:rsidR="00EF1925" w:rsidRPr="00CC57F8">
        <w:rPr>
          <w:rFonts w:ascii="Arial" w:hAnsi="Arial" w:cs="Arial"/>
          <w:sz w:val="18"/>
          <w:szCs w:val="18"/>
        </w:rPr>
        <w:t>6</w:t>
      </w:r>
      <w:r w:rsidR="00E72FA5" w:rsidRPr="00CC57F8">
        <w:rPr>
          <w:rFonts w:ascii="Arial" w:hAnsi="Arial" w:cs="Arial"/>
          <w:sz w:val="18"/>
          <w:szCs w:val="18"/>
        </w:rPr>
        <w:t>·10</w:t>
      </w:r>
      <w:r w:rsidR="00E72FA5" w:rsidRPr="00CC57F8">
        <w:rPr>
          <w:rFonts w:ascii="Arial" w:hAnsi="Arial" w:cs="Arial"/>
          <w:sz w:val="18"/>
          <w:szCs w:val="18"/>
          <w:vertAlign w:val="superscript"/>
        </w:rPr>
        <w:t>-2</w:t>
      </w:r>
      <w:r w:rsidR="00E72FA5" w:rsidRPr="00CC57F8">
        <w:rPr>
          <w:rFonts w:ascii="Arial" w:hAnsi="Arial" w:cs="Arial"/>
          <w:sz w:val="18"/>
          <w:szCs w:val="18"/>
        </w:rPr>
        <w:t xml:space="preserve"> % w/w)</w:t>
      </w:r>
      <w:r w:rsidR="00C566ED" w:rsidRPr="00CC57F8">
        <w:rPr>
          <w:rFonts w:ascii="Arial" w:hAnsi="Arial" w:cs="Arial"/>
          <w:sz w:val="18"/>
          <w:szCs w:val="18"/>
        </w:rPr>
        <w:t>, as can be observed</w:t>
      </w:r>
      <w:r w:rsidR="00E72FA5" w:rsidRPr="00CC57F8">
        <w:rPr>
          <w:rFonts w:ascii="Arial" w:hAnsi="Arial" w:cs="Arial"/>
          <w:sz w:val="18"/>
          <w:szCs w:val="18"/>
        </w:rPr>
        <w:t xml:space="preserve"> in Figure 3b. In particular, a difference of </w:t>
      </w:r>
      <w:r w:rsidR="00C566ED" w:rsidRPr="00CC57F8">
        <w:rPr>
          <w:rFonts w:ascii="Arial" w:hAnsi="Arial" w:cs="Arial"/>
          <w:sz w:val="18"/>
          <w:szCs w:val="18"/>
        </w:rPr>
        <w:t xml:space="preserve">about </w:t>
      </w:r>
      <w:r w:rsidR="002F4BAF" w:rsidRPr="00CC57F8">
        <w:rPr>
          <w:rFonts w:ascii="Arial" w:hAnsi="Arial" w:cs="Arial"/>
          <w:sz w:val="18"/>
          <w:szCs w:val="18"/>
        </w:rPr>
        <w:t>75</w:t>
      </w:r>
      <w:r w:rsidR="00E72FA5" w:rsidRPr="00CC57F8">
        <w:rPr>
          <w:rFonts w:ascii="Arial" w:hAnsi="Arial" w:cs="Arial"/>
          <w:sz w:val="18"/>
          <w:szCs w:val="18"/>
        </w:rPr>
        <w:t>% between the two investigated ammonia concentrations</w:t>
      </w:r>
      <w:r w:rsidR="00C566ED" w:rsidRPr="00CC57F8">
        <w:rPr>
          <w:rFonts w:ascii="Arial" w:hAnsi="Arial" w:cs="Arial"/>
          <w:sz w:val="18"/>
          <w:szCs w:val="18"/>
        </w:rPr>
        <w:t xml:space="preserve"> results in 65% difference on average in </w:t>
      </w:r>
      <w:r w:rsidR="00E72FA5" w:rsidRPr="00CC57F8">
        <w:rPr>
          <w:rFonts w:ascii="Arial" w:hAnsi="Arial" w:cs="Arial"/>
          <w:sz w:val="18"/>
          <w:szCs w:val="18"/>
        </w:rPr>
        <w:t>E</w:t>
      </w:r>
      <w:r w:rsidR="00E72FA5" w:rsidRPr="00CC57F8">
        <w:rPr>
          <w:rFonts w:ascii="Arial" w:hAnsi="Arial" w:cs="Arial"/>
          <w:sz w:val="18"/>
          <w:szCs w:val="18"/>
          <w:vertAlign w:val="subscript"/>
        </w:rPr>
        <w:t>L</w:t>
      </w:r>
      <w:r w:rsidR="00E72FA5" w:rsidRPr="00CC57F8">
        <w:rPr>
          <w:rFonts w:ascii="Arial" w:hAnsi="Arial" w:cs="Arial"/>
          <w:sz w:val="18"/>
          <w:szCs w:val="18"/>
        </w:rPr>
        <w:t xml:space="preserve"> values</w:t>
      </w:r>
      <w:r w:rsidR="00C566ED" w:rsidRPr="00CC57F8">
        <w:rPr>
          <w:rFonts w:ascii="Arial" w:hAnsi="Arial" w:cs="Arial"/>
          <w:sz w:val="18"/>
          <w:szCs w:val="18"/>
        </w:rPr>
        <w:t>, being data reported</w:t>
      </w:r>
      <w:r w:rsidR="00E72FA5" w:rsidRPr="00CC57F8">
        <w:rPr>
          <w:rFonts w:ascii="Arial" w:hAnsi="Arial" w:cs="Arial"/>
          <w:sz w:val="18"/>
          <w:szCs w:val="18"/>
        </w:rPr>
        <w:t xml:space="preserve"> in Figure 3b </w:t>
      </w:r>
      <w:r w:rsidR="00C566ED" w:rsidRPr="00CC57F8">
        <w:rPr>
          <w:rFonts w:ascii="Arial" w:hAnsi="Arial" w:cs="Arial"/>
          <w:sz w:val="18"/>
          <w:szCs w:val="18"/>
        </w:rPr>
        <w:t>significantly</w:t>
      </w:r>
      <w:r w:rsidR="00E72FA5" w:rsidRPr="00CC57F8">
        <w:rPr>
          <w:rFonts w:ascii="Arial" w:hAnsi="Arial" w:cs="Arial"/>
          <w:sz w:val="18"/>
          <w:szCs w:val="18"/>
        </w:rPr>
        <w:t xml:space="preserve"> greater than</w:t>
      </w:r>
      <w:r w:rsidR="00C566ED" w:rsidRPr="00CC57F8">
        <w:rPr>
          <w:rFonts w:ascii="Arial" w:hAnsi="Arial" w:cs="Arial"/>
          <w:sz w:val="18"/>
          <w:szCs w:val="18"/>
        </w:rPr>
        <w:t xml:space="preserve"> those reported</w:t>
      </w:r>
      <w:r w:rsidR="00E72FA5" w:rsidRPr="00CC57F8">
        <w:rPr>
          <w:rFonts w:ascii="Arial" w:hAnsi="Arial" w:cs="Arial"/>
          <w:sz w:val="18"/>
          <w:szCs w:val="18"/>
        </w:rPr>
        <w:t xml:space="preserve"> in Figure 3a. The difference in ammonia concentration also influenced E</w:t>
      </w:r>
      <w:r w:rsidR="00E72FA5" w:rsidRPr="00CC57F8">
        <w:rPr>
          <w:rFonts w:ascii="Arial" w:hAnsi="Arial" w:cs="Arial"/>
          <w:sz w:val="18"/>
          <w:szCs w:val="18"/>
          <w:vertAlign w:val="subscript"/>
        </w:rPr>
        <w:t>L</w:t>
      </w:r>
      <w:r w:rsidR="00E72FA5" w:rsidRPr="00CC57F8">
        <w:rPr>
          <w:rFonts w:ascii="Arial" w:hAnsi="Arial" w:cs="Arial"/>
          <w:sz w:val="18"/>
          <w:szCs w:val="18"/>
        </w:rPr>
        <w:t xml:space="preserve"> trends, which grew much</w:t>
      </w:r>
      <w:r w:rsidR="00DC252C" w:rsidRPr="00CC57F8">
        <w:rPr>
          <w:rFonts w:ascii="Arial" w:hAnsi="Arial" w:cs="Arial"/>
          <w:sz w:val="18"/>
          <w:szCs w:val="18"/>
        </w:rPr>
        <w:t xml:space="preserve"> </w:t>
      </w:r>
      <w:r w:rsidR="00C566ED" w:rsidRPr="00CC57F8">
        <w:rPr>
          <w:rFonts w:ascii="Arial" w:hAnsi="Arial" w:cs="Arial"/>
          <w:sz w:val="18"/>
          <w:szCs w:val="18"/>
        </w:rPr>
        <w:t>faster</w:t>
      </w:r>
      <w:r w:rsidR="00E72FA5" w:rsidRPr="00CC57F8">
        <w:rPr>
          <w:rFonts w:ascii="Arial" w:hAnsi="Arial" w:cs="Arial"/>
          <w:sz w:val="18"/>
          <w:szCs w:val="18"/>
        </w:rPr>
        <w:t xml:space="preserve"> when the </w:t>
      </w:r>
      <w:r w:rsidR="00DC252C" w:rsidRPr="00CC57F8">
        <w:rPr>
          <w:rFonts w:ascii="Arial" w:hAnsi="Arial" w:cs="Arial"/>
          <w:sz w:val="18"/>
          <w:szCs w:val="18"/>
        </w:rPr>
        <w:t xml:space="preserve">reactive </w:t>
      </w:r>
      <w:r w:rsidR="00E72FA5" w:rsidRPr="00CC57F8">
        <w:rPr>
          <w:rFonts w:ascii="Arial" w:hAnsi="Arial" w:cs="Arial"/>
          <w:sz w:val="18"/>
          <w:szCs w:val="18"/>
        </w:rPr>
        <w:t>dosage was higher (Figures 3b).</w:t>
      </w:r>
    </w:p>
    <w:p w14:paraId="5738A3B0" w14:textId="1F56E10B" w:rsidR="00C553CB" w:rsidRPr="00B57B36" w:rsidRDefault="00C553CB" w:rsidP="00C553CB">
      <w:pPr>
        <w:pStyle w:val="CETHeading1"/>
      </w:pPr>
      <w:r>
        <w:t>Conclusions</w:t>
      </w:r>
    </w:p>
    <w:p w14:paraId="78C53531" w14:textId="091D5A54" w:rsidR="00434082" w:rsidRDefault="00434082" w:rsidP="00434082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 w:rsidRPr="00215F9C">
        <w:rPr>
          <w:rFonts w:ascii="Arial" w:hAnsi="Arial" w:cs="Arial"/>
          <w:sz w:val="18"/>
          <w:szCs w:val="18"/>
        </w:rPr>
        <w:t>This work reports an experimental and modelling study of the kinetics of SO</w:t>
      </w:r>
      <w:r w:rsidRPr="00215F9C">
        <w:rPr>
          <w:rFonts w:ascii="Arial" w:hAnsi="Arial" w:cs="Arial"/>
          <w:sz w:val="18"/>
          <w:szCs w:val="18"/>
          <w:vertAlign w:val="subscript"/>
        </w:rPr>
        <w:t>2</w:t>
      </w:r>
      <w:r w:rsidRPr="00215F9C">
        <w:rPr>
          <w:rFonts w:ascii="Arial" w:hAnsi="Arial" w:cs="Arial"/>
          <w:sz w:val="18"/>
          <w:szCs w:val="18"/>
        </w:rPr>
        <w:t xml:space="preserve"> </w:t>
      </w:r>
      <w:r w:rsidR="00A559A6">
        <w:rPr>
          <w:rFonts w:ascii="Arial" w:hAnsi="Arial" w:cs="Arial"/>
          <w:sz w:val="18"/>
          <w:szCs w:val="18"/>
        </w:rPr>
        <w:t>absorption</w:t>
      </w:r>
      <w:r w:rsidRPr="00215F9C">
        <w:rPr>
          <w:rFonts w:ascii="Arial" w:hAnsi="Arial" w:cs="Arial"/>
          <w:sz w:val="18"/>
          <w:szCs w:val="18"/>
        </w:rPr>
        <w:t xml:space="preserve"> in aqueous solutions </w:t>
      </w:r>
      <w:r w:rsidRPr="001D1156">
        <w:rPr>
          <w:rFonts w:ascii="Arial" w:hAnsi="Arial" w:cs="Arial"/>
          <w:sz w:val="18"/>
          <w:szCs w:val="18"/>
        </w:rPr>
        <w:t xml:space="preserve">containing </w:t>
      </w:r>
      <w:r w:rsidR="00F77FB8" w:rsidRPr="001D1156">
        <w:rPr>
          <w:rFonts w:ascii="Arial" w:hAnsi="Arial" w:cs="Arial"/>
          <w:sz w:val="18"/>
          <w:szCs w:val="18"/>
        </w:rPr>
        <w:t>ammonia</w:t>
      </w:r>
      <w:r w:rsidR="00860CD1" w:rsidRPr="001D1156">
        <w:rPr>
          <w:rFonts w:ascii="Arial" w:hAnsi="Arial" w:cs="Arial"/>
          <w:sz w:val="18"/>
          <w:szCs w:val="18"/>
        </w:rPr>
        <w:t xml:space="preserve"> </w:t>
      </w:r>
      <w:r w:rsidR="00A50AE0" w:rsidRPr="001D1156">
        <w:rPr>
          <w:rFonts w:ascii="Arial" w:hAnsi="Arial" w:cs="Arial"/>
          <w:sz w:val="18"/>
          <w:szCs w:val="18"/>
        </w:rPr>
        <w:t>in a</w:t>
      </w:r>
      <w:r w:rsidR="00860CD1" w:rsidRPr="001D1156">
        <w:rPr>
          <w:rFonts w:ascii="Arial" w:hAnsi="Arial" w:cs="Arial"/>
          <w:sz w:val="18"/>
          <w:szCs w:val="18"/>
        </w:rPr>
        <w:t xml:space="preserve"> </w:t>
      </w:r>
      <w:r w:rsidR="00EE6B93" w:rsidRPr="001D1156">
        <w:rPr>
          <w:rFonts w:ascii="Arial" w:hAnsi="Arial" w:cs="Arial"/>
          <w:sz w:val="18"/>
          <w:szCs w:val="18"/>
        </w:rPr>
        <w:t xml:space="preserve">wide range </w:t>
      </w:r>
      <w:r w:rsidR="00A50AE0" w:rsidRPr="001D1156">
        <w:rPr>
          <w:rFonts w:ascii="Arial" w:hAnsi="Arial" w:cs="Arial"/>
          <w:sz w:val="18"/>
          <w:szCs w:val="18"/>
        </w:rPr>
        <w:t xml:space="preserve">of </w:t>
      </w:r>
      <w:r w:rsidR="00E92F03" w:rsidRPr="001D1156">
        <w:rPr>
          <w:rFonts w:ascii="Arial" w:hAnsi="Arial" w:cs="Arial"/>
          <w:sz w:val="18"/>
          <w:szCs w:val="18"/>
        </w:rPr>
        <w:t xml:space="preserve">feed molar </w:t>
      </w:r>
      <w:r w:rsidR="00A50AE0" w:rsidRPr="001D1156">
        <w:rPr>
          <w:rFonts w:ascii="Arial" w:hAnsi="Arial" w:cs="Arial"/>
          <w:sz w:val="18"/>
          <w:szCs w:val="18"/>
        </w:rPr>
        <w:t>NH</w:t>
      </w:r>
      <w:r w:rsidR="00A50AE0" w:rsidRPr="001D1156">
        <w:rPr>
          <w:rFonts w:ascii="Arial" w:hAnsi="Arial" w:cs="Arial"/>
          <w:sz w:val="18"/>
          <w:szCs w:val="18"/>
          <w:vertAlign w:val="subscript"/>
        </w:rPr>
        <w:t>3</w:t>
      </w:r>
      <w:r w:rsidR="00E92F03" w:rsidRPr="001D1156">
        <w:rPr>
          <w:rFonts w:ascii="Arial" w:hAnsi="Arial" w:cs="Arial"/>
          <w:sz w:val="18"/>
          <w:szCs w:val="18"/>
          <w:vertAlign w:val="subscript"/>
        </w:rPr>
        <w:t>(</w:t>
      </w:r>
      <w:proofErr w:type="spellStart"/>
      <w:r w:rsidR="00E92F03" w:rsidRPr="001D1156">
        <w:rPr>
          <w:rFonts w:ascii="Arial" w:hAnsi="Arial" w:cs="Arial"/>
          <w:sz w:val="18"/>
          <w:szCs w:val="18"/>
          <w:vertAlign w:val="subscript"/>
        </w:rPr>
        <w:t>aq</w:t>
      </w:r>
      <w:proofErr w:type="spellEnd"/>
      <w:r w:rsidR="00E92F03" w:rsidRPr="001D1156">
        <w:rPr>
          <w:rFonts w:ascii="Arial" w:hAnsi="Arial" w:cs="Arial"/>
          <w:sz w:val="18"/>
          <w:szCs w:val="18"/>
          <w:vertAlign w:val="subscript"/>
        </w:rPr>
        <w:t>)</w:t>
      </w:r>
      <w:r w:rsidR="00E92F03" w:rsidRPr="001D1156">
        <w:rPr>
          <w:rFonts w:ascii="Arial" w:hAnsi="Arial" w:cs="Arial"/>
          <w:sz w:val="18"/>
          <w:szCs w:val="18"/>
        </w:rPr>
        <w:t>/SO</w:t>
      </w:r>
      <w:r w:rsidR="00E92F03" w:rsidRPr="001D1156">
        <w:rPr>
          <w:rFonts w:ascii="Arial" w:hAnsi="Arial" w:cs="Arial"/>
          <w:sz w:val="18"/>
          <w:szCs w:val="18"/>
          <w:vertAlign w:val="subscript"/>
        </w:rPr>
        <w:t>2(g)</w:t>
      </w:r>
      <w:r w:rsidR="00E92F03" w:rsidRPr="001D1156">
        <w:rPr>
          <w:rFonts w:ascii="Arial" w:hAnsi="Arial" w:cs="Arial"/>
          <w:sz w:val="18"/>
          <w:szCs w:val="18"/>
        </w:rPr>
        <w:t xml:space="preserve"> ratio</w:t>
      </w:r>
      <w:r w:rsidR="00FC6DF2" w:rsidRPr="001D1156">
        <w:rPr>
          <w:rFonts w:ascii="Arial" w:hAnsi="Arial" w:cs="Arial"/>
          <w:sz w:val="18"/>
          <w:szCs w:val="18"/>
        </w:rPr>
        <w:t>s</w:t>
      </w:r>
      <w:r w:rsidR="00E92F03" w:rsidRPr="001D1156">
        <w:rPr>
          <w:rFonts w:ascii="Arial" w:hAnsi="Arial" w:cs="Arial"/>
          <w:sz w:val="18"/>
          <w:szCs w:val="18"/>
        </w:rPr>
        <w:t xml:space="preserve"> </w:t>
      </w:r>
      <w:r w:rsidR="00860CD1" w:rsidRPr="001D1156">
        <w:rPr>
          <w:rFonts w:ascii="Arial" w:hAnsi="Arial" w:cs="Arial"/>
          <w:sz w:val="18"/>
          <w:szCs w:val="18"/>
        </w:rPr>
        <w:t xml:space="preserve">to investigate </w:t>
      </w:r>
      <w:r w:rsidR="00A50AE0" w:rsidRPr="001D1156">
        <w:rPr>
          <w:rFonts w:ascii="Arial" w:hAnsi="Arial" w:cs="Arial"/>
          <w:sz w:val="18"/>
          <w:szCs w:val="18"/>
        </w:rPr>
        <w:t>reaction</w:t>
      </w:r>
      <w:r w:rsidR="005E58AB">
        <w:rPr>
          <w:rFonts w:ascii="Arial" w:hAnsi="Arial" w:cs="Arial"/>
          <w:sz w:val="18"/>
          <w:szCs w:val="18"/>
        </w:rPr>
        <w:t xml:space="preserve"> kinetics</w:t>
      </w:r>
      <w:r w:rsidR="00860CD1" w:rsidRPr="001D1156">
        <w:rPr>
          <w:rFonts w:ascii="Arial" w:hAnsi="Arial" w:cs="Arial"/>
          <w:sz w:val="18"/>
          <w:szCs w:val="18"/>
        </w:rPr>
        <w:t xml:space="preserve">, i.e. </w:t>
      </w:r>
      <w:r w:rsidR="00F734B7" w:rsidRPr="001D1156">
        <w:rPr>
          <w:rFonts w:ascii="Arial" w:hAnsi="Arial" w:cs="Arial"/>
          <w:sz w:val="18"/>
          <w:szCs w:val="18"/>
        </w:rPr>
        <w:t>w</w:t>
      </w:r>
      <w:r w:rsidR="00F734B7">
        <w:rPr>
          <w:rFonts w:ascii="Arial" w:hAnsi="Arial" w:cs="Arial"/>
          <w:sz w:val="18"/>
          <w:szCs w:val="18"/>
        </w:rPr>
        <w:t>ith</w:t>
      </w:r>
      <w:r w:rsidR="00FC6DF2" w:rsidRPr="001D1156">
        <w:rPr>
          <w:rFonts w:ascii="Arial" w:hAnsi="Arial" w:cs="Arial"/>
          <w:sz w:val="18"/>
          <w:szCs w:val="18"/>
        </w:rPr>
        <w:t xml:space="preserve"> ammonia</w:t>
      </w:r>
      <w:r w:rsidR="00860CD1" w:rsidRPr="001D1156">
        <w:rPr>
          <w:rFonts w:ascii="Arial" w:hAnsi="Arial" w:cs="Arial"/>
          <w:sz w:val="18"/>
          <w:szCs w:val="18"/>
        </w:rPr>
        <w:t xml:space="preserve"> </w:t>
      </w:r>
      <w:r w:rsidR="00F734B7">
        <w:rPr>
          <w:rFonts w:ascii="Arial" w:hAnsi="Arial" w:cs="Arial"/>
          <w:sz w:val="18"/>
          <w:szCs w:val="18"/>
        </w:rPr>
        <w:t>concentrations ranging from</w:t>
      </w:r>
      <w:r w:rsidR="00860CD1" w:rsidRPr="001D1156">
        <w:rPr>
          <w:rFonts w:ascii="Arial" w:hAnsi="Arial" w:cs="Arial"/>
          <w:sz w:val="18"/>
          <w:szCs w:val="18"/>
        </w:rPr>
        <w:t xml:space="preserve"> stoichiometric defect to excess dosages</w:t>
      </w:r>
      <w:r w:rsidR="00F734B7">
        <w:rPr>
          <w:rFonts w:ascii="Arial" w:hAnsi="Arial" w:cs="Arial"/>
          <w:sz w:val="18"/>
          <w:szCs w:val="18"/>
        </w:rPr>
        <w:t>, with</w:t>
      </w:r>
      <w:r w:rsidR="00FC6DF2" w:rsidRPr="001D1156">
        <w:rPr>
          <w:rFonts w:ascii="Arial" w:hAnsi="Arial" w:cs="Arial"/>
          <w:sz w:val="18"/>
          <w:szCs w:val="18"/>
        </w:rPr>
        <w:t xml:space="preserve"> respect </w:t>
      </w:r>
      <w:r w:rsidR="00F734B7">
        <w:rPr>
          <w:rFonts w:ascii="Arial" w:hAnsi="Arial" w:cs="Arial"/>
          <w:sz w:val="18"/>
          <w:szCs w:val="18"/>
        </w:rPr>
        <w:t>to</w:t>
      </w:r>
      <w:r w:rsidR="00F734B7" w:rsidRPr="001D1156">
        <w:rPr>
          <w:rFonts w:ascii="Arial" w:hAnsi="Arial" w:cs="Arial"/>
          <w:sz w:val="18"/>
          <w:szCs w:val="18"/>
        </w:rPr>
        <w:t xml:space="preserve"> </w:t>
      </w:r>
      <w:r w:rsidR="00FC6DF2" w:rsidRPr="001D1156">
        <w:rPr>
          <w:rFonts w:ascii="Arial" w:hAnsi="Arial" w:cs="Arial"/>
          <w:sz w:val="18"/>
          <w:szCs w:val="18"/>
        </w:rPr>
        <w:t>sulfur dioxide</w:t>
      </w:r>
      <w:r w:rsidRPr="001D1156">
        <w:rPr>
          <w:rFonts w:ascii="Arial" w:hAnsi="Arial" w:cs="Arial"/>
          <w:sz w:val="18"/>
          <w:szCs w:val="18"/>
        </w:rPr>
        <w:t>.</w:t>
      </w:r>
      <w:r w:rsidRPr="00215F9C">
        <w:rPr>
          <w:rFonts w:ascii="Arial" w:hAnsi="Arial" w:cs="Arial"/>
          <w:sz w:val="18"/>
          <w:szCs w:val="18"/>
        </w:rPr>
        <w:t xml:space="preserve"> The experimental activity allowed </w:t>
      </w:r>
      <w:r w:rsidR="004A0A41">
        <w:rPr>
          <w:rFonts w:ascii="Arial" w:hAnsi="Arial" w:cs="Arial"/>
          <w:sz w:val="18"/>
          <w:szCs w:val="18"/>
        </w:rPr>
        <w:t>determin</w:t>
      </w:r>
      <w:r w:rsidR="00F734B7">
        <w:rPr>
          <w:rFonts w:ascii="Arial" w:hAnsi="Arial" w:cs="Arial"/>
          <w:sz w:val="18"/>
          <w:szCs w:val="18"/>
        </w:rPr>
        <w:t>ing</w:t>
      </w:r>
      <w:r w:rsidRPr="00215F9C">
        <w:rPr>
          <w:rFonts w:ascii="Arial" w:hAnsi="Arial" w:cs="Arial"/>
          <w:sz w:val="18"/>
          <w:szCs w:val="18"/>
        </w:rPr>
        <w:t xml:space="preserve"> the Enhancement </w:t>
      </w:r>
      <w:r w:rsidR="004A0A41">
        <w:rPr>
          <w:rFonts w:ascii="Arial" w:hAnsi="Arial" w:cs="Arial"/>
          <w:sz w:val="18"/>
          <w:szCs w:val="18"/>
        </w:rPr>
        <w:t>f</w:t>
      </w:r>
      <w:r w:rsidRPr="00215F9C">
        <w:rPr>
          <w:rFonts w:ascii="Arial" w:hAnsi="Arial" w:cs="Arial"/>
          <w:sz w:val="18"/>
          <w:szCs w:val="18"/>
        </w:rPr>
        <w:t>actor for SO</w:t>
      </w:r>
      <w:r w:rsidRPr="00215F9C">
        <w:rPr>
          <w:rFonts w:ascii="Arial" w:hAnsi="Arial" w:cs="Arial"/>
          <w:sz w:val="18"/>
          <w:szCs w:val="18"/>
          <w:vertAlign w:val="subscript"/>
        </w:rPr>
        <w:t>2</w:t>
      </w:r>
      <w:r w:rsidRPr="00215F9C">
        <w:rPr>
          <w:rFonts w:ascii="Arial" w:hAnsi="Arial" w:cs="Arial"/>
          <w:sz w:val="18"/>
          <w:szCs w:val="18"/>
        </w:rPr>
        <w:t>/</w:t>
      </w:r>
      <w:r w:rsidR="00F77FB8">
        <w:rPr>
          <w:rFonts w:ascii="Arial" w:hAnsi="Arial" w:cs="Arial"/>
          <w:sz w:val="18"/>
          <w:szCs w:val="18"/>
        </w:rPr>
        <w:t>NH</w:t>
      </w:r>
      <w:r w:rsidR="00F77FB8">
        <w:rPr>
          <w:rFonts w:ascii="Arial" w:hAnsi="Arial" w:cs="Arial"/>
          <w:sz w:val="18"/>
          <w:szCs w:val="18"/>
          <w:vertAlign w:val="subscript"/>
        </w:rPr>
        <w:t>3</w:t>
      </w:r>
      <w:r w:rsidRPr="00215F9C">
        <w:rPr>
          <w:rFonts w:ascii="Arial" w:hAnsi="Arial" w:cs="Arial"/>
          <w:sz w:val="18"/>
          <w:szCs w:val="18"/>
        </w:rPr>
        <w:t xml:space="preserve"> </w:t>
      </w:r>
      <w:r w:rsidR="004E60AD">
        <w:rPr>
          <w:rFonts w:ascii="Arial" w:hAnsi="Arial" w:cs="Arial"/>
          <w:sz w:val="18"/>
          <w:szCs w:val="18"/>
        </w:rPr>
        <w:t xml:space="preserve">absorption </w:t>
      </w:r>
      <w:r w:rsidRPr="00215F9C">
        <w:rPr>
          <w:rFonts w:ascii="Arial" w:hAnsi="Arial" w:cs="Arial"/>
          <w:sz w:val="18"/>
          <w:szCs w:val="18"/>
        </w:rPr>
        <w:t>system, which represent</w:t>
      </w:r>
      <w:r w:rsidR="00F734B7">
        <w:rPr>
          <w:rFonts w:ascii="Arial" w:hAnsi="Arial" w:cs="Arial"/>
          <w:sz w:val="18"/>
          <w:szCs w:val="18"/>
        </w:rPr>
        <w:t>s</w:t>
      </w:r>
      <w:r w:rsidRPr="00215F9C">
        <w:rPr>
          <w:rFonts w:ascii="Arial" w:hAnsi="Arial" w:cs="Arial"/>
          <w:sz w:val="18"/>
          <w:szCs w:val="18"/>
        </w:rPr>
        <w:t xml:space="preserve"> the contribution of the chemical reaction to SO</w:t>
      </w:r>
      <w:r w:rsidRPr="00215F9C">
        <w:rPr>
          <w:rFonts w:ascii="Arial" w:hAnsi="Arial" w:cs="Arial"/>
          <w:sz w:val="18"/>
          <w:szCs w:val="18"/>
          <w:vertAlign w:val="subscript"/>
        </w:rPr>
        <w:t>2</w:t>
      </w:r>
      <w:r w:rsidRPr="00215F9C">
        <w:rPr>
          <w:rFonts w:ascii="Arial" w:hAnsi="Arial" w:cs="Arial"/>
          <w:sz w:val="18"/>
          <w:szCs w:val="18"/>
        </w:rPr>
        <w:t xml:space="preserve"> absorption and </w:t>
      </w:r>
      <w:r w:rsidR="00F734B7" w:rsidRPr="00215F9C">
        <w:rPr>
          <w:rFonts w:ascii="Arial" w:hAnsi="Arial" w:cs="Arial"/>
          <w:sz w:val="18"/>
          <w:szCs w:val="18"/>
        </w:rPr>
        <w:t>oxid</w:t>
      </w:r>
      <w:r w:rsidR="00F734B7">
        <w:rPr>
          <w:rFonts w:ascii="Arial" w:hAnsi="Arial" w:cs="Arial"/>
          <w:sz w:val="18"/>
          <w:szCs w:val="18"/>
        </w:rPr>
        <w:t>ation</w:t>
      </w:r>
      <w:r w:rsidR="00F734B7" w:rsidRPr="00215F9C">
        <w:rPr>
          <w:rFonts w:ascii="Arial" w:hAnsi="Arial" w:cs="Arial"/>
          <w:sz w:val="18"/>
          <w:szCs w:val="18"/>
        </w:rPr>
        <w:t xml:space="preserve"> </w:t>
      </w:r>
      <w:r w:rsidRPr="00215F9C">
        <w:rPr>
          <w:rFonts w:ascii="Arial" w:hAnsi="Arial" w:cs="Arial"/>
          <w:sz w:val="18"/>
          <w:szCs w:val="18"/>
        </w:rPr>
        <w:t xml:space="preserve">to </w:t>
      </w:r>
      <w:r w:rsidR="0031460D">
        <w:rPr>
          <w:rFonts w:ascii="Arial" w:hAnsi="Arial" w:cs="Arial"/>
          <w:sz w:val="18"/>
          <w:szCs w:val="18"/>
        </w:rPr>
        <w:t>ammonium sulfite</w:t>
      </w:r>
      <w:r w:rsidRPr="00215F9C">
        <w:rPr>
          <w:rFonts w:ascii="Arial" w:hAnsi="Arial" w:cs="Arial"/>
          <w:sz w:val="18"/>
          <w:szCs w:val="18"/>
        </w:rPr>
        <w:t>.</w:t>
      </w:r>
      <w:r w:rsidR="00717714">
        <w:rPr>
          <w:rFonts w:ascii="Arial" w:hAnsi="Arial" w:cs="Arial"/>
          <w:sz w:val="18"/>
          <w:szCs w:val="18"/>
        </w:rPr>
        <w:t xml:space="preserve"> </w:t>
      </w:r>
      <w:r w:rsidR="00717714" w:rsidRPr="00717714">
        <w:rPr>
          <w:rFonts w:ascii="Arial" w:hAnsi="Arial" w:cs="Arial"/>
          <w:sz w:val="18"/>
          <w:szCs w:val="18"/>
        </w:rPr>
        <w:t>To calculate E</w:t>
      </w:r>
      <w:r w:rsidR="00717714" w:rsidRPr="00717714">
        <w:rPr>
          <w:rFonts w:ascii="Arial" w:hAnsi="Arial" w:cs="Arial"/>
          <w:sz w:val="18"/>
          <w:szCs w:val="18"/>
          <w:vertAlign w:val="subscript"/>
        </w:rPr>
        <w:t>L</w:t>
      </w:r>
      <w:r w:rsidR="00717714" w:rsidRPr="00717714">
        <w:rPr>
          <w:rFonts w:ascii="Arial" w:hAnsi="Arial" w:cs="Arial"/>
          <w:sz w:val="18"/>
          <w:szCs w:val="18"/>
        </w:rPr>
        <w:t>, it was also necessary to develop a thermodynamic model in ASPEN PLUS to predict SO</w:t>
      </w:r>
      <w:r w:rsidR="00717714" w:rsidRPr="00717714">
        <w:rPr>
          <w:rFonts w:ascii="Arial" w:hAnsi="Arial" w:cs="Arial"/>
          <w:sz w:val="18"/>
          <w:szCs w:val="18"/>
          <w:vertAlign w:val="subscript"/>
        </w:rPr>
        <w:t>2</w:t>
      </w:r>
      <w:r w:rsidR="00717714" w:rsidRPr="00717714">
        <w:rPr>
          <w:rFonts w:ascii="Arial" w:hAnsi="Arial" w:cs="Arial"/>
          <w:sz w:val="18"/>
          <w:szCs w:val="18"/>
        </w:rPr>
        <w:t xml:space="preserve"> solubility data in ammonia solutions.</w:t>
      </w:r>
    </w:p>
    <w:p w14:paraId="09795CF3" w14:textId="25EFD00C" w:rsidR="00EC4234" w:rsidRDefault="00C94EB5" w:rsidP="00215F9C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 w:rsidRPr="00C94EB5">
        <w:rPr>
          <w:rFonts w:ascii="Arial" w:hAnsi="Arial" w:cs="Arial"/>
          <w:sz w:val="18"/>
          <w:szCs w:val="18"/>
        </w:rPr>
        <w:t>We found that Enhancement factor</w:t>
      </w:r>
      <w:r w:rsidR="00C75B39">
        <w:rPr>
          <w:rFonts w:ascii="Arial" w:hAnsi="Arial" w:cs="Arial"/>
          <w:sz w:val="18"/>
          <w:szCs w:val="18"/>
        </w:rPr>
        <w:t>s</w:t>
      </w:r>
      <w:r w:rsidRPr="00C94EB5">
        <w:rPr>
          <w:rFonts w:ascii="Arial" w:hAnsi="Arial" w:cs="Arial"/>
          <w:sz w:val="18"/>
          <w:szCs w:val="18"/>
        </w:rPr>
        <w:t xml:space="preserve"> increased when ammonia</w:t>
      </w:r>
      <w:r>
        <w:rPr>
          <w:rFonts w:ascii="Arial" w:hAnsi="Arial" w:cs="Arial"/>
          <w:sz w:val="18"/>
          <w:szCs w:val="18"/>
        </w:rPr>
        <w:t xml:space="preserve"> feed</w:t>
      </w:r>
      <w:r w:rsidRPr="00C94EB5">
        <w:rPr>
          <w:rFonts w:ascii="Arial" w:hAnsi="Arial" w:cs="Arial"/>
          <w:sz w:val="18"/>
          <w:szCs w:val="18"/>
        </w:rPr>
        <w:t xml:space="preserve"> concentration increased and SO</w:t>
      </w:r>
      <w:r w:rsidRPr="00C94EB5">
        <w:rPr>
          <w:rFonts w:ascii="Arial" w:hAnsi="Arial" w:cs="Arial"/>
          <w:sz w:val="18"/>
          <w:szCs w:val="18"/>
          <w:vertAlign w:val="subscript"/>
        </w:rPr>
        <w:t>2</w:t>
      </w:r>
      <w:r w:rsidRPr="00C94EB5">
        <w:rPr>
          <w:rFonts w:ascii="Arial" w:hAnsi="Arial" w:cs="Arial"/>
          <w:sz w:val="18"/>
          <w:szCs w:val="18"/>
        </w:rPr>
        <w:t xml:space="preserve"> feed concentration decreased. The E</w:t>
      </w:r>
      <w:r w:rsidRPr="00C94EB5">
        <w:rPr>
          <w:rFonts w:ascii="Arial" w:hAnsi="Arial" w:cs="Arial"/>
          <w:sz w:val="18"/>
          <w:szCs w:val="18"/>
          <w:vertAlign w:val="subscript"/>
        </w:rPr>
        <w:t>L</w:t>
      </w:r>
      <w:r w:rsidRPr="00C94EB5">
        <w:rPr>
          <w:rFonts w:ascii="Arial" w:hAnsi="Arial" w:cs="Arial"/>
          <w:sz w:val="18"/>
          <w:szCs w:val="18"/>
        </w:rPr>
        <w:t xml:space="preserve"> values confirmed that the gas-liquid reaction provides a fast reactive regime</w:t>
      </w:r>
      <w:r>
        <w:rPr>
          <w:rFonts w:ascii="Arial" w:hAnsi="Arial" w:cs="Arial"/>
          <w:sz w:val="18"/>
          <w:szCs w:val="18"/>
        </w:rPr>
        <w:t xml:space="preserve">, </w:t>
      </w:r>
      <w:r w:rsidRPr="00C94EB5">
        <w:rPr>
          <w:rFonts w:ascii="Arial" w:hAnsi="Arial" w:cs="Arial"/>
          <w:sz w:val="18"/>
          <w:szCs w:val="18"/>
        </w:rPr>
        <w:t>while the</w:t>
      </w:r>
      <w:r w:rsidR="000E091A" w:rsidRPr="00BD28AD">
        <w:rPr>
          <w:rFonts w:ascii="Arial" w:hAnsi="Arial" w:cs="Arial"/>
          <w:sz w:val="18"/>
          <w:szCs w:val="18"/>
        </w:rPr>
        <w:t xml:space="preserve"> feed molar</w:t>
      </w:r>
      <w:r w:rsidR="005A07AF">
        <w:rPr>
          <w:rFonts w:ascii="Arial" w:hAnsi="Arial" w:cs="Arial"/>
          <w:sz w:val="18"/>
          <w:szCs w:val="18"/>
        </w:rPr>
        <w:t xml:space="preserve"> NH</w:t>
      </w:r>
      <w:r w:rsidR="005A07AF">
        <w:rPr>
          <w:rFonts w:ascii="Arial" w:hAnsi="Arial" w:cs="Arial"/>
          <w:sz w:val="18"/>
          <w:szCs w:val="18"/>
          <w:vertAlign w:val="subscript"/>
        </w:rPr>
        <w:t>3</w:t>
      </w:r>
      <w:r w:rsidR="005A07AF" w:rsidRPr="00BD28AD">
        <w:rPr>
          <w:rFonts w:ascii="Arial" w:hAnsi="Arial" w:cs="Arial"/>
          <w:sz w:val="18"/>
          <w:szCs w:val="18"/>
          <w:vertAlign w:val="subscript"/>
        </w:rPr>
        <w:t>(</w:t>
      </w:r>
      <w:proofErr w:type="spellStart"/>
      <w:r w:rsidR="005A07AF" w:rsidRPr="00BD28AD">
        <w:rPr>
          <w:rFonts w:ascii="Arial" w:hAnsi="Arial" w:cs="Arial"/>
          <w:sz w:val="18"/>
          <w:szCs w:val="18"/>
          <w:vertAlign w:val="subscript"/>
        </w:rPr>
        <w:t>aq</w:t>
      </w:r>
      <w:proofErr w:type="spellEnd"/>
      <w:r w:rsidR="005A07AF" w:rsidRPr="00BD28AD">
        <w:rPr>
          <w:rFonts w:ascii="Arial" w:hAnsi="Arial" w:cs="Arial"/>
          <w:sz w:val="18"/>
          <w:szCs w:val="18"/>
          <w:vertAlign w:val="subscript"/>
        </w:rPr>
        <w:t>)</w:t>
      </w:r>
      <w:r w:rsidR="005A07AF" w:rsidRPr="00BD28AD">
        <w:rPr>
          <w:rFonts w:ascii="Arial" w:hAnsi="Arial" w:cs="Arial"/>
          <w:sz w:val="18"/>
          <w:szCs w:val="18"/>
        </w:rPr>
        <w:t>/SO</w:t>
      </w:r>
      <w:r w:rsidR="005A07AF" w:rsidRPr="00BD28AD">
        <w:rPr>
          <w:rFonts w:ascii="Arial" w:hAnsi="Arial" w:cs="Arial"/>
          <w:sz w:val="18"/>
          <w:szCs w:val="18"/>
          <w:vertAlign w:val="subscript"/>
        </w:rPr>
        <w:t>2(g)</w:t>
      </w:r>
      <w:r w:rsidR="000E091A" w:rsidRPr="00BD28AD">
        <w:rPr>
          <w:rFonts w:ascii="Arial" w:hAnsi="Arial" w:cs="Arial"/>
          <w:sz w:val="18"/>
          <w:szCs w:val="18"/>
        </w:rPr>
        <w:t xml:space="preserve"> ratio</w:t>
      </w:r>
      <w:r w:rsidR="000E091A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0E091A">
        <w:rPr>
          <w:rFonts w:ascii="Arial" w:hAnsi="Arial" w:cs="Arial"/>
          <w:sz w:val="18"/>
          <w:szCs w:val="18"/>
        </w:rPr>
        <w:t>r</w:t>
      </w:r>
      <w:r w:rsidR="000E091A" w:rsidRPr="002B5192">
        <w:rPr>
          <w:rFonts w:ascii="Arial" w:hAnsi="Arial" w:cs="Arial"/>
          <w:sz w:val="18"/>
          <w:szCs w:val="18"/>
          <w:vertAlign w:val="subscript"/>
        </w:rPr>
        <w:t>op</w:t>
      </w:r>
      <w:proofErr w:type="spellEnd"/>
      <w:r w:rsidR="000E091A">
        <w:rPr>
          <w:rFonts w:ascii="Arial" w:hAnsi="Arial" w:cs="Arial"/>
          <w:sz w:val="18"/>
          <w:szCs w:val="18"/>
        </w:rPr>
        <w:t>)</w:t>
      </w:r>
      <w:r w:rsidR="005A07AF">
        <w:rPr>
          <w:rFonts w:ascii="Arial" w:hAnsi="Arial" w:cs="Arial"/>
          <w:sz w:val="18"/>
          <w:szCs w:val="18"/>
        </w:rPr>
        <w:t xml:space="preserve"> </w:t>
      </w:r>
      <w:r w:rsidRPr="00C94EB5">
        <w:rPr>
          <w:rFonts w:ascii="Arial" w:hAnsi="Arial" w:cs="Arial"/>
          <w:sz w:val="18"/>
          <w:szCs w:val="18"/>
        </w:rPr>
        <w:t xml:space="preserve">that included the effect of L/G, </w:t>
      </w:r>
      <w:r w:rsidR="000A63E8">
        <w:rPr>
          <w:rFonts w:ascii="Arial" w:hAnsi="Arial" w:cs="Arial"/>
          <w:sz w:val="18"/>
          <w:szCs w:val="18"/>
        </w:rPr>
        <w:t>C</w:t>
      </w:r>
      <w:r w:rsidR="000A63E8" w:rsidRPr="00F660F1">
        <w:rPr>
          <w:rFonts w:ascii="Arial" w:hAnsi="Arial" w:cs="Arial"/>
          <w:sz w:val="18"/>
          <w:szCs w:val="18"/>
          <w:vertAlign w:val="subscript"/>
        </w:rPr>
        <w:t>SO2(g),in</w:t>
      </w:r>
      <w:r w:rsidRPr="00C94EB5">
        <w:rPr>
          <w:rFonts w:ascii="Arial" w:hAnsi="Arial" w:cs="Arial"/>
          <w:sz w:val="18"/>
          <w:szCs w:val="18"/>
        </w:rPr>
        <w:t xml:space="preserve"> and </w:t>
      </w:r>
      <w:r w:rsidR="000A63E8">
        <w:rPr>
          <w:rFonts w:ascii="Arial" w:hAnsi="Arial" w:cs="Arial"/>
          <w:sz w:val="18"/>
          <w:szCs w:val="18"/>
        </w:rPr>
        <w:t>C</w:t>
      </w:r>
      <w:r w:rsidR="000A63E8">
        <w:rPr>
          <w:rFonts w:ascii="Arial" w:hAnsi="Arial" w:cs="Arial"/>
          <w:sz w:val="18"/>
          <w:szCs w:val="18"/>
          <w:vertAlign w:val="subscript"/>
        </w:rPr>
        <w:t>NH3</w:t>
      </w:r>
      <w:r w:rsidR="000A63E8" w:rsidRPr="00F660F1">
        <w:rPr>
          <w:rFonts w:ascii="Arial" w:hAnsi="Arial" w:cs="Arial"/>
          <w:sz w:val="18"/>
          <w:szCs w:val="18"/>
          <w:vertAlign w:val="subscript"/>
        </w:rPr>
        <w:t>(</w:t>
      </w:r>
      <w:proofErr w:type="spellStart"/>
      <w:r w:rsidR="000A63E8">
        <w:rPr>
          <w:rFonts w:ascii="Arial" w:hAnsi="Arial" w:cs="Arial"/>
          <w:sz w:val="18"/>
          <w:szCs w:val="18"/>
          <w:vertAlign w:val="subscript"/>
        </w:rPr>
        <w:t>aq</w:t>
      </w:r>
      <w:proofErr w:type="spellEnd"/>
      <w:r w:rsidR="000A63E8" w:rsidRPr="00F660F1">
        <w:rPr>
          <w:rFonts w:ascii="Arial" w:hAnsi="Arial" w:cs="Arial"/>
          <w:sz w:val="18"/>
          <w:szCs w:val="18"/>
          <w:vertAlign w:val="subscript"/>
        </w:rPr>
        <w:t>),in</w:t>
      </w:r>
      <w:r w:rsidRPr="00C94EB5">
        <w:rPr>
          <w:rFonts w:ascii="Arial" w:hAnsi="Arial" w:cs="Arial"/>
          <w:sz w:val="18"/>
          <w:szCs w:val="18"/>
        </w:rPr>
        <w:t xml:space="preserve"> could be defined as a key parameter</w:t>
      </w:r>
      <w:r w:rsidR="005A07AF">
        <w:rPr>
          <w:rFonts w:ascii="Arial" w:hAnsi="Arial" w:cs="Arial"/>
          <w:sz w:val="18"/>
          <w:szCs w:val="18"/>
        </w:rPr>
        <w:t xml:space="preserve"> of the process</w:t>
      </w:r>
      <w:r w:rsidRPr="00C94EB5">
        <w:rPr>
          <w:rFonts w:ascii="Arial" w:hAnsi="Arial" w:cs="Arial"/>
          <w:sz w:val="18"/>
          <w:szCs w:val="18"/>
        </w:rPr>
        <w:t>.</w:t>
      </w:r>
      <w:r w:rsidR="00D16F8C">
        <w:rPr>
          <w:rFonts w:ascii="Arial" w:hAnsi="Arial" w:cs="Arial"/>
          <w:sz w:val="18"/>
          <w:szCs w:val="18"/>
        </w:rPr>
        <w:t xml:space="preserve"> </w:t>
      </w:r>
      <w:r w:rsidRPr="00C94EB5">
        <w:rPr>
          <w:rFonts w:ascii="Arial" w:hAnsi="Arial" w:cs="Arial"/>
          <w:sz w:val="18"/>
          <w:szCs w:val="18"/>
        </w:rPr>
        <w:t xml:space="preserve">As expected, </w:t>
      </w:r>
      <w:r w:rsidR="00C566ED">
        <w:rPr>
          <w:rFonts w:ascii="Arial" w:hAnsi="Arial" w:cs="Arial"/>
          <w:sz w:val="18"/>
          <w:szCs w:val="18"/>
        </w:rPr>
        <w:t xml:space="preserve">the </w:t>
      </w:r>
      <w:r w:rsidR="000E091A" w:rsidRPr="00C94EB5">
        <w:rPr>
          <w:rFonts w:ascii="Arial" w:hAnsi="Arial" w:cs="Arial"/>
          <w:sz w:val="18"/>
          <w:szCs w:val="18"/>
        </w:rPr>
        <w:t>Enhancement</w:t>
      </w:r>
      <w:r w:rsidRPr="00C94EB5">
        <w:rPr>
          <w:rFonts w:ascii="Arial" w:hAnsi="Arial" w:cs="Arial"/>
          <w:sz w:val="18"/>
          <w:szCs w:val="18"/>
        </w:rPr>
        <w:t xml:space="preserve"> factors increased when the dosage ratio </w:t>
      </w:r>
      <w:proofErr w:type="spellStart"/>
      <w:r w:rsidRPr="00C94EB5">
        <w:rPr>
          <w:rFonts w:ascii="Arial" w:hAnsi="Arial" w:cs="Arial"/>
          <w:sz w:val="18"/>
          <w:szCs w:val="18"/>
        </w:rPr>
        <w:t>r</w:t>
      </w:r>
      <w:r w:rsidRPr="005A07AF">
        <w:rPr>
          <w:rFonts w:ascii="Arial" w:hAnsi="Arial" w:cs="Arial"/>
          <w:sz w:val="18"/>
          <w:szCs w:val="18"/>
          <w:vertAlign w:val="subscript"/>
        </w:rPr>
        <w:t>op</w:t>
      </w:r>
      <w:proofErr w:type="spellEnd"/>
      <w:r w:rsidRPr="00C94EB5">
        <w:rPr>
          <w:rFonts w:ascii="Arial" w:hAnsi="Arial" w:cs="Arial"/>
          <w:sz w:val="18"/>
          <w:szCs w:val="18"/>
        </w:rPr>
        <w:t xml:space="preserve"> increased</w:t>
      </w:r>
      <w:r w:rsidR="005A07AF">
        <w:rPr>
          <w:rFonts w:ascii="Arial" w:hAnsi="Arial" w:cs="Arial"/>
          <w:sz w:val="18"/>
          <w:szCs w:val="18"/>
        </w:rPr>
        <w:t>:</w:t>
      </w:r>
      <w:r w:rsidRPr="00C94EB5">
        <w:rPr>
          <w:rFonts w:ascii="Arial" w:hAnsi="Arial" w:cs="Arial"/>
          <w:sz w:val="18"/>
          <w:szCs w:val="18"/>
        </w:rPr>
        <w:t xml:space="preserve"> </w:t>
      </w:r>
      <w:r w:rsidR="00C566ED">
        <w:rPr>
          <w:rFonts w:ascii="Arial" w:hAnsi="Arial" w:cs="Arial"/>
          <w:sz w:val="18"/>
          <w:szCs w:val="18"/>
        </w:rPr>
        <w:t>for low</w:t>
      </w:r>
      <w:r w:rsidR="00C566ED" w:rsidRPr="00C94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4EB5">
        <w:rPr>
          <w:rFonts w:ascii="Arial" w:hAnsi="Arial" w:cs="Arial"/>
          <w:sz w:val="18"/>
          <w:szCs w:val="18"/>
        </w:rPr>
        <w:t>r</w:t>
      </w:r>
      <w:r w:rsidRPr="005A07AF">
        <w:rPr>
          <w:rFonts w:ascii="Arial" w:hAnsi="Arial" w:cs="Arial"/>
          <w:sz w:val="18"/>
          <w:szCs w:val="18"/>
          <w:vertAlign w:val="subscript"/>
        </w:rPr>
        <w:t>op</w:t>
      </w:r>
      <w:proofErr w:type="spellEnd"/>
      <w:r w:rsidRPr="00C94EB5">
        <w:rPr>
          <w:rFonts w:ascii="Arial" w:hAnsi="Arial" w:cs="Arial"/>
          <w:sz w:val="18"/>
          <w:szCs w:val="18"/>
        </w:rPr>
        <w:t xml:space="preserve"> </w:t>
      </w:r>
      <w:r w:rsidR="00C566ED">
        <w:rPr>
          <w:rFonts w:ascii="Arial" w:hAnsi="Arial" w:cs="Arial"/>
          <w:sz w:val="18"/>
          <w:szCs w:val="18"/>
        </w:rPr>
        <w:t>values</w:t>
      </w:r>
      <w:r w:rsidRPr="00C94EB5">
        <w:rPr>
          <w:rFonts w:ascii="Arial" w:hAnsi="Arial" w:cs="Arial"/>
          <w:sz w:val="18"/>
          <w:szCs w:val="18"/>
        </w:rPr>
        <w:t xml:space="preserve">, </w:t>
      </w:r>
      <w:r w:rsidR="00C566ED">
        <w:rPr>
          <w:rFonts w:ascii="Arial" w:hAnsi="Arial" w:cs="Arial"/>
          <w:sz w:val="18"/>
          <w:szCs w:val="18"/>
        </w:rPr>
        <w:t xml:space="preserve">the </w:t>
      </w:r>
      <w:r w:rsidRPr="00C94EB5">
        <w:rPr>
          <w:rFonts w:ascii="Arial" w:hAnsi="Arial" w:cs="Arial"/>
          <w:sz w:val="18"/>
          <w:szCs w:val="18"/>
        </w:rPr>
        <w:t>desulfurization performance</w:t>
      </w:r>
      <w:r w:rsidR="00C566ED">
        <w:rPr>
          <w:rFonts w:ascii="Arial" w:hAnsi="Arial" w:cs="Arial"/>
          <w:sz w:val="18"/>
          <w:szCs w:val="18"/>
        </w:rPr>
        <w:t>s</w:t>
      </w:r>
      <w:r w:rsidRPr="00C94EB5">
        <w:rPr>
          <w:rFonts w:ascii="Arial" w:hAnsi="Arial" w:cs="Arial"/>
          <w:sz w:val="18"/>
          <w:szCs w:val="18"/>
        </w:rPr>
        <w:t xml:space="preserve"> </w:t>
      </w:r>
      <w:r w:rsidR="00C566ED">
        <w:rPr>
          <w:rFonts w:ascii="Arial" w:hAnsi="Arial" w:cs="Arial"/>
          <w:sz w:val="18"/>
          <w:szCs w:val="18"/>
        </w:rPr>
        <w:t xml:space="preserve">strictly </w:t>
      </w:r>
      <w:r w:rsidRPr="00C94EB5">
        <w:rPr>
          <w:rFonts w:ascii="Arial" w:hAnsi="Arial" w:cs="Arial"/>
          <w:sz w:val="18"/>
          <w:szCs w:val="18"/>
        </w:rPr>
        <w:t xml:space="preserve">depended on the L/G ratio </w:t>
      </w:r>
      <w:r w:rsidR="00C566ED">
        <w:rPr>
          <w:rFonts w:ascii="Arial" w:hAnsi="Arial" w:cs="Arial"/>
          <w:sz w:val="18"/>
          <w:szCs w:val="18"/>
        </w:rPr>
        <w:t>likely because</w:t>
      </w:r>
      <w:r w:rsidR="00C566ED" w:rsidRPr="00C94EB5">
        <w:rPr>
          <w:rFonts w:ascii="Arial" w:hAnsi="Arial" w:cs="Arial"/>
          <w:sz w:val="18"/>
          <w:szCs w:val="18"/>
        </w:rPr>
        <w:t xml:space="preserve"> </w:t>
      </w:r>
      <w:r w:rsidRPr="00C94EB5">
        <w:rPr>
          <w:rFonts w:ascii="Arial" w:hAnsi="Arial" w:cs="Arial"/>
          <w:sz w:val="18"/>
          <w:szCs w:val="18"/>
        </w:rPr>
        <w:t>E</w:t>
      </w:r>
      <w:r w:rsidRPr="005A07AF">
        <w:rPr>
          <w:rFonts w:ascii="Arial" w:hAnsi="Arial" w:cs="Arial"/>
          <w:sz w:val="18"/>
          <w:szCs w:val="18"/>
          <w:vertAlign w:val="subscript"/>
        </w:rPr>
        <w:t>L</w:t>
      </w:r>
      <w:r w:rsidRPr="00C94EB5">
        <w:rPr>
          <w:rFonts w:ascii="Arial" w:hAnsi="Arial" w:cs="Arial"/>
          <w:sz w:val="18"/>
          <w:szCs w:val="18"/>
        </w:rPr>
        <w:t xml:space="preserve"> </w:t>
      </w:r>
      <w:r w:rsidR="00C566ED">
        <w:rPr>
          <w:rFonts w:ascii="Arial" w:hAnsi="Arial" w:cs="Arial"/>
          <w:sz w:val="18"/>
          <w:szCs w:val="18"/>
        </w:rPr>
        <w:t>assumed</w:t>
      </w:r>
      <w:r w:rsidR="00C566ED" w:rsidRPr="00C94EB5">
        <w:rPr>
          <w:rFonts w:ascii="Arial" w:hAnsi="Arial" w:cs="Arial"/>
          <w:sz w:val="18"/>
          <w:szCs w:val="18"/>
        </w:rPr>
        <w:t xml:space="preserve"> </w:t>
      </w:r>
      <w:r w:rsidRPr="00C94EB5">
        <w:rPr>
          <w:rFonts w:ascii="Arial" w:hAnsi="Arial" w:cs="Arial"/>
          <w:sz w:val="18"/>
          <w:szCs w:val="18"/>
        </w:rPr>
        <w:t>low</w:t>
      </w:r>
      <w:r w:rsidR="00C566ED">
        <w:rPr>
          <w:rFonts w:ascii="Arial" w:hAnsi="Arial" w:cs="Arial"/>
          <w:sz w:val="18"/>
          <w:szCs w:val="18"/>
        </w:rPr>
        <w:t xml:space="preserve"> values</w:t>
      </w:r>
      <w:r w:rsidRPr="00C94EB5">
        <w:rPr>
          <w:rFonts w:ascii="Arial" w:hAnsi="Arial" w:cs="Arial"/>
          <w:sz w:val="18"/>
          <w:szCs w:val="18"/>
        </w:rPr>
        <w:t xml:space="preserve"> and</w:t>
      </w:r>
      <w:r w:rsidR="00C566ED">
        <w:rPr>
          <w:rFonts w:ascii="Arial" w:hAnsi="Arial" w:cs="Arial"/>
          <w:sz w:val="18"/>
          <w:szCs w:val="18"/>
        </w:rPr>
        <w:t>,</w:t>
      </w:r>
      <w:r w:rsidRPr="00C94EB5">
        <w:rPr>
          <w:rFonts w:ascii="Arial" w:hAnsi="Arial" w:cs="Arial"/>
          <w:sz w:val="18"/>
          <w:szCs w:val="18"/>
        </w:rPr>
        <w:t xml:space="preserve"> consequently</w:t>
      </w:r>
      <w:r w:rsidR="00C566ED">
        <w:rPr>
          <w:rFonts w:ascii="Arial" w:hAnsi="Arial" w:cs="Arial"/>
          <w:sz w:val="18"/>
          <w:szCs w:val="18"/>
        </w:rPr>
        <w:t>,</w:t>
      </w:r>
      <w:r w:rsidRPr="00C94EB5">
        <w:rPr>
          <w:rFonts w:ascii="Arial" w:hAnsi="Arial" w:cs="Arial"/>
          <w:sz w:val="18"/>
          <w:szCs w:val="18"/>
        </w:rPr>
        <w:t xml:space="preserve"> the process was more influenced by physical absorption mechanisms</w:t>
      </w:r>
      <w:r w:rsidR="00C566ED">
        <w:rPr>
          <w:rFonts w:ascii="Arial" w:hAnsi="Arial" w:cs="Arial"/>
          <w:sz w:val="18"/>
          <w:szCs w:val="18"/>
        </w:rPr>
        <w:t>.</w:t>
      </w:r>
      <w:r w:rsidR="00C566ED" w:rsidRPr="00C94EB5">
        <w:rPr>
          <w:rFonts w:ascii="Arial" w:hAnsi="Arial" w:cs="Arial"/>
          <w:sz w:val="18"/>
          <w:szCs w:val="18"/>
        </w:rPr>
        <w:t xml:space="preserve"> </w:t>
      </w:r>
      <w:r w:rsidR="00C566ED">
        <w:rPr>
          <w:rFonts w:ascii="Arial" w:hAnsi="Arial" w:cs="Arial"/>
          <w:sz w:val="18"/>
          <w:szCs w:val="18"/>
        </w:rPr>
        <w:t>On the contrary,</w:t>
      </w:r>
      <w:r w:rsidR="00C566ED" w:rsidRPr="00C94EB5">
        <w:rPr>
          <w:rFonts w:ascii="Arial" w:hAnsi="Arial" w:cs="Arial"/>
          <w:sz w:val="18"/>
          <w:szCs w:val="18"/>
        </w:rPr>
        <w:t xml:space="preserve"> </w:t>
      </w:r>
      <w:r w:rsidRPr="00C94EB5">
        <w:rPr>
          <w:rFonts w:ascii="Arial" w:hAnsi="Arial" w:cs="Arial"/>
          <w:sz w:val="18"/>
          <w:szCs w:val="18"/>
        </w:rPr>
        <w:t>for</w:t>
      </w:r>
      <w:r w:rsidR="005A07AF">
        <w:rPr>
          <w:rFonts w:ascii="Arial" w:hAnsi="Arial" w:cs="Arial"/>
          <w:sz w:val="18"/>
          <w:szCs w:val="18"/>
        </w:rPr>
        <w:t xml:space="preserve"> higher</w:t>
      </w:r>
      <w:r w:rsidRPr="00C94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4EB5">
        <w:rPr>
          <w:rFonts w:ascii="Arial" w:hAnsi="Arial" w:cs="Arial"/>
          <w:sz w:val="18"/>
          <w:szCs w:val="18"/>
        </w:rPr>
        <w:t>r</w:t>
      </w:r>
      <w:r w:rsidRPr="005A07AF">
        <w:rPr>
          <w:rFonts w:ascii="Arial" w:hAnsi="Arial" w:cs="Arial"/>
          <w:sz w:val="18"/>
          <w:szCs w:val="18"/>
          <w:vertAlign w:val="subscript"/>
        </w:rPr>
        <w:t>op</w:t>
      </w:r>
      <w:proofErr w:type="spellEnd"/>
      <w:r w:rsidRPr="00C94EB5">
        <w:rPr>
          <w:rFonts w:ascii="Arial" w:hAnsi="Arial" w:cs="Arial"/>
          <w:sz w:val="18"/>
          <w:szCs w:val="18"/>
        </w:rPr>
        <w:t xml:space="preserve">, </w:t>
      </w:r>
      <w:r w:rsidR="00C566ED">
        <w:rPr>
          <w:rFonts w:ascii="Arial" w:hAnsi="Arial" w:cs="Arial"/>
          <w:sz w:val="18"/>
          <w:szCs w:val="18"/>
        </w:rPr>
        <w:t xml:space="preserve">the </w:t>
      </w:r>
      <w:r w:rsidRPr="00C94EB5">
        <w:rPr>
          <w:rFonts w:ascii="Arial" w:hAnsi="Arial" w:cs="Arial"/>
          <w:sz w:val="18"/>
          <w:szCs w:val="18"/>
        </w:rPr>
        <w:t>chemical absorption mechanisms dominated</w:t>
      </w:r>
      <w:r w:rsidR="00C566ED">
        <w:rPr>
          <w:rFonts w:ascii="Arial" w:hAnsi="Arial" w:cs="Arial"/>
          <w:sz w:val="18"/>
          <w:szCs w:val="18"/>
        </w:rPr>
        <w:t>,</w:t>
      </w:r>
      <w:r w:rsidRPr="00C94EB5">
        <w:rPr>
          <w:rFonts w:ascii="Arial" w:hAnsi="Arial" w:cs="Arial"/>
          <w:sz w:val="18"/>
          <w:szCs w:val="18"/>
        </w:rPr>
        <w:t xml:space="preserve"> </w:t>
      </w:r>
      <w:r w:rsidR="00C566ED">
        <w:rPr>
          <w:rFonts w:ascii="Arial" w:hAnsi="Arial" w:cs="Arial"/>
          <w:sz w:val="18"/>
          <w:szCs w:val="18"/>
        </w:rPr>
        <w:t>so</w:t>
      </w:r>
      <w:r w:rsidRPr="00C94EB5">
        <w:rPr>
          <w:rFonts w:ascii="Arial" w:hAnsi="Arial" w:cs="Arial"/>
          <w:sz w:val="18"/>
          <w:szCs w:val="18"/>
        </w:rPr>
        <w:t xml:space="preserve"> that the L/G ratio did not </w:t>
      </w:r>
      <w:r w:rsidR="00C566ED">
        <w:rPr>
          <w:rFonts w:ascii="Arial" w:hAnsi="Arial" w:cs="Arial"/>
          <w:sz w:val="18"/>
          <w:szCs w:val="18"/>
        </w:rPr>
        <w:t xml:space="preserve">significantly </w:t>
      </w:r>
      <w:r w:rsidRPr="00C94EB5">
        <w:rPr>
          <w:rFonts w:ascii="Arial" w:hAnsi="Arial" w:cs="Arial"/>
          <w:sz w:val="18"/>
          <w:szCs w:val="18"/>
        </w:rPr>
        <w:t>influence the process.</w:t>
      </w:r>
    </w:p>
    <w:p w14:paraId="40967FAD" w14:textId="57AEA632" w:rsidR="00434082" w:rsidRPr="00215F9C" w:rsidRDefault="00434082" w:rsidP="001B183F">
      <w:pPr>
        <w:pStyle w:val="StyleFigureCaptionCentr"/>
        <w:jc w:val="both"/>
        <w:rPr>
          <w:rFonts w:ascii="Arial" w:hAnsi="Arial" w:cs="Arial"/>
          <w:sz w:val="18"/>
          <w:szCs w:val="18"/>
        </w:rPr>
      </w:pPr>
      <w:r w:rsidRPr="00215F9C">
        <w:rPr>
          <w:rFonts w:ascii="Arial" w:hAnsi="Arial" w:cs="Arial"/>
          <w:sz w:val="18"/>
          <w:szCs w:val="18"/>
        </w:rPr>
        <w:t>Th</w:t>
      </w:r>
      <w:r w:rsidR="002A45C2">
        <w:rPr>
          <w:rFonts w:ascii="Arial" w:hAnsi="Arial" w:cs="Arial"/>
          <w:sz w:val="18"/>
          <w:szCs w:val="18"/>
        </w:rPr>
        <w:t>e</w:t>
      </w:r>
      <w:r w:rsidRPr="00215F9C">
        <w:rPr>
          <w:rFonts w:ascii="Arial" w:hAnsi="Arial" w:cs="Arial"/>
          <w:sz w:val="18"/>
          <w:szCs w:val="18"/>
        </w:rPr>
        <w:t xml:space="preserve"> </w:t>
      </w:r>
      <w:r w:rsidR="002A45C2">
        <w:rPr>
          <w:rFonts w:ascii="Arial" w:hAnsi="Arial" w:cs="Arial"/>
          <w:sz w:val="18"/>
          <w:szCs w:val="18"/>
        </w:rPr>
        <w:t>experimental activity proposed in the present work</w:t>
      </w:r>
      <w:r w:rsidRPr="00215F9C">
        <w:rPr>
          <w:rFonts w:ascii="Arial" w:hAnsi="Arial" w:cs="Arial"/>
          <w:sz w:val="18"/>
          <w:szCs w:val="18"/>
        </w:rPr>
        <w:t xml:space="preserve"> can be proficiently applied in the design of </w:t>
      </w:r>
      <w:r w:rsidR="00EE0C00">
        <w:rPr>
          <w:rFonts w:ascii="Arial" w:hAnsi="Arial" w:cs="Arial"/>
          <w:sz w:val="18"/>
          <w:szCs w:val="18"/>
        </w:rPr>
        <w:t>ammonia-based FGD scrubbers</w:t>
      </w:r>
      <w:r w:rsidRPr="00215F9C">
        <w:rPr>
          <w:rFonts w:ascii="Arial" w:hAnsi="Arial" w:cs="Arial"/>
          <w:sz w:val="18"/>
          <w:szCs w:val="18"/>
        </w:rPr>
        <w:t xml:space="preserve"> on larger scale</w:t>
      </w:r>
      <w:r w:rsidR="00F734B7">
        <w:rPr>
          <w:rFonts w:ascii="Arial" w:hAnsi="Arial" w:cs="Arial"/>
          <w:sz w:val="18"/>
          <w:szCs w:val="18"/>
        </w:rPr>
        <w:t xml:space="preserve"> </w:t>
      </w:r>
      <w:r w:rsidR="00EE0C00" w:rsidRPr="00EE0C00">
        <w:rPr>
          <w:rFonts w:ascii="Arial" w:hAnsi="Arial" w:cs="Arial"/>
          <w:sz w:val="18"/>
          <w:szCs w:val="18"/>
        </w:rPr>
        <w:t>to correctly estimate water and chemicals demand</w:t>
      </w:r>
      <w:r w:rsidR="00F734B7">
        <w:rPr>
          <w:rFonts w:ascii="Arial" w:hAnsi="Arial" w:cs="Arial"/>
          <w:sz w:val="18"/>
          <w:szCs w:val="18"/>
        </w:rPr>
        <w:t>, aimed at</w:t>
      </w:r>
      <w:r w:rsidR="00EE0C00" w:rsidRPr="00EE0C00">
        <w:rPr>
          <w:rFonts w:ascii="Arial" w:hAnsi="Arial" w:cs="Arial"/>
          <w:sz w:val="18"/>
          <w:szCs w:val="18"/>
        </w:rPr>
        <w:t xml:space="preserve"> a </w:t>
      </w:r>
      <w:r w:rsidR="00EE0C00" w:rsidRPr="00EE0C00">
        <w:rPr>
          <w:rFonts w:ascii="Arial" w:hAnsi="Arial" w:cs="Arial"/>
          <w:sz w:val="18"/>
          <w:szCs w:val="18"/>
        </w:rPr>
        <w:lastRenderedPageBreak/>
        <w:t xml:space="preserve">minimization of plant footprint and </w:t>
      </w:r>
      <w:r w:rsidR="00F734B7">
        <w:rPr>
          <w:rFonts w:ascii="Arial" w:hAnsi="Arial" w:cs="Arial"/>
          <w:sz w:val="18"/>
          <w:szCs w:val="18"/>
        </w:rPr>
        <w:t xml:space="preserve">waste </w:t>
      </w:r>
      <w:r w:rsidR="00EE0C00" w:rsidRPr="00EE0C00">
        <w:rPr>
          <w:rFonts w:ascii="Arial" w:hAnsi="Arial" w:cs="Arial"/>
          <w:sz w:val="18"/>
          <w:szCs w:val="18"/>
        </w:rPr>
        <w:t>effluent</w:t>
      </w:r>
      <w:r w:rsidR="00642B51">
        <w:rPr>
          <w:rFonts w:ascii="Arial" w:hAnsi="Arial" w:cs="Arial"/>
          <w:sz w:val="18"/>
          <w:szCs w:val="18"/>
        </w:rPr>
        <w:t>s</w:t>
      </w:r>
      <w:r w:rsidR="00F734B7">
        <w:rPr>
          <w:rFonts w:ascii="Arial" w:hAnsi="Arial" w:cs="Arial"/>
          <w:sz w:val="18"/>
          <w:szCs w:val="18"/>
        </w:rPr>
        <w:t xml:space="preserve"> production</w:t>
      </w:r>
      <w:r w:rsidR="00EE0C00" w:rsidRPr="00EE0C00">
        <w:rPr>
          <w:rFonts w:ascii="Arial" w:hAnsi="Arial" w:cs="Arial"/>
          <w:sz w:val="18"/>
          <w:szCs w:val="18"/>
        </w:rPr>
        <w:t xml:space="preserve">. </w:t>
      </w:r>
      <w:r w:rsidR="0049342A" w:rsidRPr="0049342A">
        <w:rPr>
          <w:rFonts w:ascii="Arial" w:hAnsi="Arial" w:cs="Arial"/>
          <w:sz w:val="18"/>
          <w:szCs w:val="18"/>
        </w:rPr>
        <w:t>However, this is a first step and a more detailed kinetic study on typical wet-scrubber operating temperature</w:t>
      </w:r>
      <w:r w:rsidR="0049342A">
        <w:rPr>
          <w:rFonts w:ascii="Arial" w:hAnsi="Arial" w:cs="Arial"/>
          <w:sz w:val="18"/>
          <w:szCs w:val="18"/>
        </w:rPr>
        <w:t>s</w:t>
      </w:r>
      <w:r w:rsidR="0049342A" w:rsidRPr="0049342A">
        <w:rPr>
          <w:rFonts w:ascii="Arial" w:hAnsi="Arial" w:cs="Arial"/>
          <w:sz w:val="18"/>
          <w:szCs w:val="18"/>
        </w:rPr>
        <w:t xml:space="preserve"> must be performed. In addition, the development of a predictive model for E</w:t>
      </w:r>
      <w:r w:rsidR="0049342A" w:rsidRPr="0049342A">
        <w:rPr>
          <w:rFonts w:ascii="Arial" w:hAnsi="Arial" w:cs="Arial"/>
          <w:sz w:val="18"/>
          <w:szCs w:val="18"/>
          <w:vertAlign w:val="subscript"/>
        </w:rPr>
        <w:t>L</w:t>
      </w:r>
      <w:r w:rsidR="0049342A" w:rsidRPr="0049342A">
        <w:rPr>
          <w:rFonts w:ascii="Arial" w:hAnsi="Arial" w:cs="Arial"/>
          <w:sz w:val="18"/>
          <w:szCs w:val="18"/>
        </w:rPr>
        <w:t xml:space="preserve"> by isolating the contribution of the chemical reaction</w:t>
      </w:r>
      <w:r w:rsidR="00CF13A2">
        <w:rPr>
          <w:rFonts w:ascii="Arial" w:hAnsi="Arial" w:cs="Arial"/>
          <w:sz w:val="18"/>
          <w:szCs w:val="18"/>
        </w:rPr>
        <w:t xml:space="preserve"> (reaction kinetics)</w:t>
      </w:r>
      <w:r w:rsidR="0049342A" w:rsidRPr="0049342A">
        <w:rPr>
          <w:rFonts w:ascii="Arial" w:hAnsi="Arial" w:cs="Arial"/>
          <w:sz w:val="18"/>
          <w:szCs w:val="18"/>
        </w:rPr>
        <w:t xml:space="preserve"> from the physical contribution to mass-transfer</w:t>
      </w:r>
      <w:r w:rsidR="00CF13A2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D16F8C">
        <w:rPr>
          <w:rFonts w:ascii="Arial" w:hAnsi="Arial" w:cs="Arial"/>
          <w:sz w:val="18"/>
          <w:szCs w:val="18"/>
        </w:rPr>
        <w:t>k</w:t>
      </w:r>
      <w:r w:rsidR="00D16F8C" w:rsidRPr="00D16F8C">
        <w:rPr>
          <w:rFonts w:ascii="Arial" w:hAnsi="Arial" w:cs="Arial"/>
          <w:sz w:val="18"/>
          <w:szCs w:val="18"/>
          <w:vertAlign w:val="subscript"/>
        </w:rPr>
        <w:t>G</w:t>
      </w:r>
      <w:r w:rsidR="00D16F8C">
        <w:rPr>
          <w:rFonts w:ascii="Arial" w:hAnsi="Arial" w:cs="Arial"/>
          <w:sz w:val="18"/>
          <w:szCs w:val="18"/>
        </w:rPr>
        <w:t>a</w:t>
      </w:r>
      <w:r w:rsidR="00D16F8C" w:rsidRPr="00D16F8C">
        <w:rPr>
          <w:rFonts w:ascii="Arial" w:hAnsi="Arial" w:cs="Arial"/>
          <w:sz w:val="18"/>
          <w:szCs w:val="18"/>
          <w:vertAlign w:val="subscript"/>
        </w:rPr>
        <w:t>e</w:t>
      </w:r>
      <w:proofErr w:type="spellEnd"/>
      <w:r w:rsidR="00D16F8C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D16F8C">
        <w:rPr>
          <w:rFonts w:ascii="Arial" w:hAnsi="Arial" w:cs="Arial"/>
          <w:sz w:val="18"/>
          <w:szCs w:val="18"/>
        </w:rPr>
        <w:t>k</w:t>
      </w:r>
      <w:r w:rsidR="00D16F8C" w:rsidRPr="00D16F8C">
        <w:rPr>
          <w:rFonts w:ascii="Arial" w:hAnsi="Arial" w:cs="Arial"/>
          <w:sz w:val="18"/>
          <w:szCs w:val="18"/>
          <w:vertAlign w:val="subscript"/>
        </w:rPr>
        <w:t>L</w:t>
      </w:r>
      <w:r w:rsidR="00D16F8C">
        <w:rPr>
          <w:rFonts w:ascii="Arial" w:hAnsi="Arial" w:cs="Arial"/>
          <w:sz w:val="18"/>
          <w:szCs w:val="18"/>
        </w:rPr>
        <w:t>a</w:t>
      </w:r>
      <w:r w:rsidR="00D16F8C" w:rsidRPr="00D16F8C">
        <w:rPr>
          <w:rFonts w:ascii="Arial" w:hAnsi="Arial" w:cs="Arial"/>
          <w:sz w:val="18"/>
          <w:szCs w:val="18"/>
          <w:vertAlign w:val="subscript"/>
        </w:rPr>
        <w:t>e</w:t>
      </w:r>
      <w:proofErr w:type="spellEnd"/>
      <w:r w:rsidR="00D16F8C">
        <w:rPr>
          <w:rFonts w:ascii="Arial" w:hAnsi="Arial" w:cs="Arial"/>
          <w:sz w:val="18"/>
          <w:szCs w:val="18"/>
        </w:rPr>
        <w:t>)</w:t>
      </w:r>
      <w:r w:rsidR="0049342A" w:rsidRPr="0049342A">
        <w:rPr>
          <w:rFonts w:ascii="Arial" w:hAnsi="Arial" w:cs="Arial"/>
          <w:sz w:val="18"/>
          <w:szCs w:val="18"/>
        </w:rPr>
        <w:t xml:space="preserve"> is needed.</w:t>
      </w:r>
      <w:r w:rsidR="00D16F8C">
        <w:rPr>
          <w:rFonts w:ascii="Arial" w:hAnsi="Arial" w:cs="Arial"/>
          <w:sz w:val="18"/>
          <w:szCs w:val="18"/>
        </w:rPr>
        <w:t xml:space="preserve"> </w:t>
      </w:r>
      <w:r w:rsidR="00EE0C00" w:rsidRPr="00EE0C00">
        <w:rPr>
          <w:rFonts w:ascii="Arial" w:hAnsi="Arial" w:cs="Arial"/>
          <w:sz w:val="18"/>
          <w:szCs w:val="18"/>
        </w:rPr>
        <w:t xml:space="preserve">In general, this </w:t>
      </w:r>
      <w:r w:rsidR="00C52801">
        <w:rPr>
          <w:rFonts w:ascii="Arial" w:hAnsi="Arial" w:cs="Arial"/>
          <w:sz w:val="18"/>
          <w:szCs w:val="18"/>
        </w:rPr>
        <w:t>approach</w:t>
      </w:r>
      <w:r w:rsidR="00EE0C00" w:rsidRPr="00EE0C00">
        <w:rPr>
          <w:rFonts w:ascii="Arial" w:hAnsi="Arial" w:cs="Arial"/>
          <w:sz w:val="18"/>
          <w:szCs w:val="18"/>
        </w:rPr>
        <w:t xml:space="preserve"> based on extensive kinetic studies could make wet-desulfurization processes less energy-intensive and costly and consequently more sustainable.</w:t>
      </w:r>
    </w:p>
    <w:p w14:paraId="5F3E339B" w14:textId="77777777" w:rsidR="000B2B24" w:rsidRPr="009353FD" w:rsidRDefault="000B2B24" w:rsidP="000B2B24">
      <w:pPr>
        <w:pStyle w:val="CETReference"/>
      </w:pPr>
      <w:r w:rsidRPr="009353FD">
        <w:t>References</w:t>
      </w:r>
    </w:p>
    <w:p w14:paraId="2DB92B76" w14:textId="3BC86CA8" w:rsidR="008C6ADB" w:rsidRPr="008C6ADB" w:rsidRDefault="008C6ADB" w:rsidP="008C6ADB">
      <w:pPr>
        <w:pStyle w:val="CETReferencetext"/>
      </w:pPr>
      <w:proofErr w:type="spellStart"/>
      <w:r w:rsidRPr="00D17560">
        <w:t>Adewuyi</w:t>
      </w:r>
      <w:proofErr w:type="spellEnd"/>
      <w:r w:rsidRPr="00D17560">
        <w:t xml:space="preserve"> Y.G.</w:t>
      </w:r>
      <w:r>
        <w:t xml:space="preserve"> and</w:t>
      </w:r>
      <w:r w:rsidRPr="00D17560">
        <w:t xml:space="preserve"> </w:t>
      </w:r>
      <w:proofErr w:type="spellStart"/>
      <w:r w:rsidRPr="00D17560">
        <w:t>Sakyi</w:t>
      </w:r>
      <w:proofErr w:type="spellEnd"/>
      <w:r w:rsidRPr="00D17560">
        <w:t xml:space="preserve"> N.Y.</w:t>
      </w:r>
      <w:r>
        <w:t xml:space="preserve">, </w:t>
      </w:r>
      <w:r w:rsidRPr="00D17560">
        <w:t>2013</w:t>
      </w:r>
      <w:r>
        <w:t>,</w:t>
      </w:r>
      <w:r w:rsidRPr="00D17560">
        <w:t xml:space="preserve"> Simultaneous absorption and oxidation of nitric oxide and </w:t>
      </w:r>
      <w:proofErr w:type="spellStart"/>
      <w:r w:rsidRPr="00D17560">
        <w:t>sulfur</w:t>
      </w:r>
      <w:proofErr w:type="spellEnd"/>
      <w:r w:rsidRPr="00D17560">
        <w:t xml:space="preserve"> dioxide by aqueous solutions of sodium persulfate activated by temperature</w:t>
      </w:r>
      <w:r>
        <w:t>,</w:t>
      </w:r>
      <w:r w:rsidRPr="00D17560">
        <w:t xml:space="preserve"> Industrial &amp; Engineering Chemistry Research, 52, 11702</w:t>
      </w:r>
      <w:r w:rsidRPr="006A4CB2">
        <w:t>–</w:t>
      </w:r>
      <w:r w:rsidRPr="00D17560">
        <w:t>11711.</w:t>
      </w:r>
    </w:p>
    <w:p w14:paraId="76D087D1" w14:textId="77777777" w:rsidR="008C6ADB" w:rsidRDefault="008C6ADB" w:rsidP="008C6ADB">
      <w:pPr>
        <w:pStyle w:val="CETReferencetext"/>
      </w:pPr>
      <w:r w:rsidRPr="00EE2F71">
        <w:t xml:space="preserve">Colle S., </w:t>
      </w:r>
      <w:proofErr w:type="spellStart"/>
      <w:r w:rsidRPr="00EE2F71">
        <w:t>Vanderschuren</w:t>
      </w:r>
      <w:proofErr w:type="spellEnd"/>
      <w:r w:rsidRPr="00EE2F71">
        <w:t xml:space="preserve"> J., Thomas D.</w:t>
      </w:r>
      <w:r>
        <w:t xml:space="preserve">, </w:t>
      </w:r>
      <w:r w:rsidRPr="00EE2F71">
        <w:t>2004</w:t>
      </w:r>
      <w:r>
        <w:t>,</w:t>
      </w:r>
      <w:r w:rsidRPr="00EE2F71">
        <w:t xml:space="preserve"> Pilot-scale validation of the kinetics of SO</w:t>
      </w:r>
      <w:r w:rsidRPr="002D458D">
        <w:rPr>
          <w:vertAlign w:val="subscript"/>
        </w:rPr>
        <w:t>2</w:t>
      </w:r>
      <w:r w:rsidRPr="00EE2F71">
        <w:t xml:space="preserve"> absorption into sulphuric acid solutions containing hydrogen peroxide</w:t>
      </w:r>
      <w:r>
        <w:t>,</w:t>
      </w:r>
      <w:r w:rsidRPr="00EE2F71">
        <w:t xml:space="preserve"> Chemical Engineering and Processing: Process Intensification, 43, 1397</w:t>
      </w:r>
      <w:r w:rsidRPr="006A4CB2">
        <w:t>–</w:t>
      </w:r>
      <w:r w:rsidRPr="00EE2F71">
        <w:t>1402.</w:t>
      </w:r>
    </w:p>
    <w:p w14:paraId="27AA1011" w14:textId="6D871B93" w:rsidR="00D85487" w:rsidRPr="00B23047" w:rsidRDefault="00D85487" w:rsidP="00D85487">
      <w:pPr>
        <w:pStyle w:val="CETReferencetext"/>
      </w:pPr>
      <w:r>
        <w:t>Flagiello</w:t>
      </w:r>
      <w:r>
        <w:rPr>
          <w:rFonts w:ascii="Cambria Math" w:hAnsi="Cambria Math" w:cs="Cambria Math"/>
        </w:rPr>
        <w:t xml:space="preserve"> </w:t>
      </w:r>
      <w:r>
        <w:t xml:space="preserve">D., </w:t>
      </w:r>
      <w:proofErr w:type="spellStart"/>
      <w:r>
        <w:t>Erto</w:t>
      </w:r>
      <w:proofErr w:type="spellEnd"/>
      <w:r>
        <w:t xml:space="preserve"> A., Lancia A., Di Natale F.</w:t>
      </w:r>
      <w:r w:rsidRPr="006A4CB2">
        <w:t>,</w:t>
      </w:r>
      <w:r>
        <w:t xml:space="preserve"> </w:t>
      </w:r>
      <w:r w:rsidRPr="006A4CB2">
        <w:t>20</w:t>
      </w:r>
      <w:r>
        <w:t>20</w:t>
      </w:r>
      <w:r w:rsidR="00C92CC0">
        <w:t>a</w:t>
      </w:r>
      <w:r w:rsidRPr="006A4CB2">
        <w:t xml:space="preserve">, </w:t>
      </w:r>
      <w:r>
        <w:t>Dataset of wet desulphurization scrubbing in a column packed with Mellapak 250.X</w:t>
      </w:r>
      <w:r w:rsidRPr="006A4CB2">
        <w:t xml:space="preserve">, </w:t>
      </w:r>
      <w:r w:rsidRPr="00AB5DD6">
        <w:t>Data in Brief</w:t>
      </w:r>
      <w:r w:rsidRPr="006A4CB2">
        <w:t xml:space="preserve">, </w:t>
      </w:r>
      <w:r>
        <w:t>33</w:t>
      </w:r>
      <w:r w:rsidRPr="006A4CB2">
        <w:t xml:space="preserve">, </w:t>
      </w:r>
      <w:r>
        <w:t>106383</w:t>
      </w:r>
      <w:r w:rsidRPr="006A4CB2">
        <w:t>.</w:t>
      </w:r>
    </w:p>
    <w:p w14:paraId="42372B27" w14:textId="0830A095" w:rsidR="00D85487" w:rsidRDefault="00D85487" w:rsidP="00D85487">
      <w:pPr>
        <w:pStyle w:val="CETReferencetext"/>
      </w:pPr>
      <w:r>
        <w:t>Flagiello</w:t>
      </w:r>
      <w:r>
        <w:rPr>
          <w:rFonts w:ascii="Cambria Math" w:hAnsi="Cambria Math" w:cs="Cambria Math"/>
        </w:rPr>
        <w:t xml:space="preserve"> </w:t>
      </w:r>
      <w:r>
        <w:t>D., Di Natale F.</w:t>
      </w:r>
      <w:r w:rsidRPr="006A4CB2">
        <w:t>,</w:t>
      </w:r>
      <w:r>
        <w:t xml:space="preserve"> Lancia A., </w:t>
      </w:r>
      <w:proofErr w:type="spellStart"/>
      <w:r>
        <w:t>Salo</w:t>
      </w:r>
      <w:proofErr w:type="spellEnd"/>
      <w:r>
        <w:t xml:space="preserve"> K., </w:t>
      </w:r>
      <w:r w:rsidRPr="006A4CB2">
        <w:t>20</w:t>
      </w:r>
      <w:r>
        <w:t>21</w:t>
      </w:r>
      <w:r w:rsidR="00C92CC0">
        <w:t>a</w:t>
      </w:r>
      <w:r w:rsidRPr="006A4CB2">
        <w:t xml:space="preserve">, </w:t>
      </w:r>
      <w:r>
        <w:t>Effect of Seawater Alkalinity on the Performances of a Marine Diesel Engine Desulphurization Scrubber</w:t>
      </w:r>
      <w:r w:rsidRPr="006A4CB2">
        <w:t xml:space="preserve">, </w:t>
      </w:r>
      <w:r w:rsidR="00470412">
        <w:t>Chemical Engineering Transaction</w:t>
      </w:r>
      <w:r w:rsidRPr="006A4CB2">
        <w:t xml:space="preserve">, </w:t>
      </w:r>
      <w:r>
        <w:t>86</w:t>
      </w:r>
      <w:r w:rsidRPr="006A4CB2">
        <w:t xml:space="preserve">, </w:t>
      </w:r>
      <w:r>
        <w:t>505</w:t>
      </w:r>
      <w:r w:rsidRPr="006A4CB2">
        <w:t>–</w:t>
      </w:r>
      <w:r>
        <w:t>510</w:t>
      </w:r>
      <w:r w:rsidRPr="006A4CB2">
        <w:t>.</w:t>
      </w:r>
    </w:p>
    <w:p w14:paraId="0CDEEAB1" w14:textId="5BC852EA" w:rsidR="0071356B" w:rsidRPr="00B23047" w:rsidRDefault="0071356B" w:rsidP="0071356B">
      <w:pPr>
        <w:pStyle w:val="CETReferencetext"/>
      </w:pPr>
      <w:r w:rsidRPr="00D15C8E">
        <w:rPr>
          <w:lang w:val="en-US"/>
        </w:rPr>
        <w:t xml:space="preserve">Flagiello D., </w:t>
      </w:r>
      <w:proofErr w:type="spellStart"/>
      <w:r w:rsidRPr="00D15C8E">
        <w:rPr>
          <w:lang w:val="en-US"/>
        </w:rPr>
        <w:t>Erto</w:t>
      </w:r>
      <w:proofErr w:type="spellEnd"/>
      <w:r w:rsidRPr="00D15C8E">
        <w:rPr>
          <w:lang w:val="en-US"/>
        </w:rPr>
        <w:t xml:space="preserve"> A., Lancia A., Di Natale F., 2022</w:t>
      </w:r>
      <w:r w:rsidR="00C92CC0">
        <w:rPr>
          <w:lang w:val="en-US"/>
        </w:rPr>
        <w:t>a</w:t>
      </w:r>
      <w:r>
        <w:rPr>
          <w:lang w:val="en-US"/>
        </w:rPr>
        <w:t>,</w:t>
      </w:r>
      <w:r w:rsidRPr="00D15C8E">
        <w:rPr>
          <w:lang w:val="en-US"/>
        </w:rPr>
        <w:t xml:space="preserve"> </w:t>
      </w:r>
      <w:r w:rsidRPr="00D15C8E">
        <w:t>Advanced Flue-Gas cleaning by wet oxidative scrubbing (WOS) using NaClO</w:t>
      </w:r>
      <w:r w:rsidRPr="00D15C8E">
        <w:rPr>
          <w:vertAlign w:val="subscript"/>
        </w:rPr>
        <w:t>2</w:t>
      </w:r>
      <w:r w:rsidRPr="00D15C8E">
        <w:t xml:space="preserve"> aqueous solutions</w:t>
      </w:r>
      <w:r>
        <w:t>,</w:t>
      </w:r>
      <w:r w:rsidRPr="00D15C8E">
        <w:t xml:space="preserve"> Chemical Engineering Journal, 447, 137585.</w:t>
      </w:r>
    </w:p>
    <w:p w14:paraId="5EDE51F4" w14:textId="4C8D176B" w:rsidR="0071356B" w:rsidRPr="00B23047" w:rsidRDefault="0071356B" w:rsidP="0071356B">
      <w:pPr>
        <w:pStyle w:val="CETReferencetext"/>
      </w:pPr>
      <w:r>
        <w:t>Flagiello D.</w:t>
      </w:r>
      <w:r w:rsidRPr="00F10314">
        <w:t>,</w:t>
      </w:r>
      <w:r>
        <w:t xml:space="preserve"> Esposito M.</w:t>
      </w:r>
      <w:r w:rsidRPr="00F10314">
        <w:t xml:space="preserve">, </w:t>
      </w:r>
      <w:r>
        <w:t>Di Natale F.</w:t>
      </w:r>
      <w:r w:rsidRPr="00F10314">
        <w:t xml:space="preserve">, </w:t>
      </w:r>
      <w:proofErr w:type="spellStart"/>
      <w:r>
        <w:t>Salo</w:t>
      </w:r>
      <w:proofErr w:type="spellEnd"/>
      <w:r>
        <w:t xml:space="preserve"> K.</w:t>
      </w:r>
      <w:r w:rsidRPr="006A4CB2">
        <w:t>,</w:t>
      </w:r>
      <w:r>
        <w:t xml:space="preserve"> </w:t>
      </w:r>
      <w:r w:rsidRPr="006A4CB2">
        <w:t>20</w:t>
      </w:r>
      <w:r>
        <w:t>21</w:t>
      </w:r>
      <w:r w:rsidR="00C92CC0">
        <w:t>b</w:t>
      </w:r>
      <w:r w:rsidRPr="006A4CB2">
        <w:t xml:space="preserve">, </w:t>
      </w:r>
      <w:r>
        <w:t>A Novel Approach to Reduce the Environmental Footprint of Maritime Shipping</w:t>
      </w:r>
      <w:r w:rsidRPr="006A4CB2">
        <w:t xml:space="preserve">, </w:t>
      </w:r>
      <w:r w:rsidRPr="00F71687">
        <w:t>Journal of Marine Science and Application</w:t>
      </w:r>
      <w:r w:rsidRPr="006A4CB2">
        <w:t xml:space="preserve">, </w:t>
      </w:r>
      <w:r>
        <w:t>20</w:t>
      </w:r>
      <w:r w:rsidRPr="006A4CB2">
        <w:t xml:space="preserve">, </w:t>
      </w:r>
      <w:r>
        <w:t>229</w:t>
      </w:r>
      <w:r w:rsidRPr="006A4CB2">
        <w:t>–</w:t>
      </w:r>
      <w:r>
        <w:t>247</w:t>
      </w:r>
      <w:r w:rsidRPr="006A4CB2">
        <w:t>.</w:t>
      </w:r>
    </w:p>
    <w:p w14:paraId="6E52CA5C" w14:textId="77777777" w:rsidR="0071356B" w:rsidRDefault="0071356B" w:rsidP="0071356B">
      <w:pPr>
        <w:pStyle w:val="CETReferencetext"/>
      </w:pPr>
      <w:r w:rsidRPr="000F7FF1">
        <w:rPr>
          <w:lang w:val="en-US"/>
        </w:rPr>
        <w:t>Flagiello</w:t>
      </w:r>
      <w:r>
        <w:rPr>
          <w:lang w:val="en-US"/>
        </w:rPr>
        <w:t xml:space="preserve"> D.</w:t>
      </w:r>
      <w:r w:rsidRPr="000F7FF1">
        <w:rPr>
          <w:lang w:val="en-US"/>
        </w:rPr>
        <w:t>, Di Natale</w:t>
      </w:r>
      <w:r>
        <w:rPr>
          <w:lang w:val="en-US"/>
        </w:rPr>
        <w:t xml:space="preserve"> F.</w:t>
      </w:r>
      <w:r w:rsidRPr="000F7FF1">
        <w:rPr>
          <w:lang w:val="en-US"/>
        </w:rPr>
        <w:t>,</w:t>
      </w:r>
      <w:r>
        <w:rPr>
          <w:lang w:val="en-US"/>
        </w:rPr>
        <w:t xml:space="preserve"> </w:t>
      </w:r>
      <w:r w:rsidRPr="000F7FF1">
        <w:rPr>
          <w:lang w:val="en-US"/>
        </w:rPr>
        <w:t>Lancia</w:t>
      </w:r>
      <w:r>
        <w:rPr>
          <w:lang w:val="en-US"/>
        </w:rPr>
        <w:t xml:space="preserve"> A.</w:t>
      </w:r>
      <w:r w:rsidRPr="000F7FF1">
        <w:rPr>
          <w:lang w:val="en-US"/>
        </w:rPr>
        <w:t xml:space="preserve">, </w:t>
      </w:r>
      <w:proofErr w:type="spellStart"/>
      <w:r w:rsidRPr="000F7FF1">
        <w:rPr>
          <w:lang w:val="en-US"/>
        </w:rPr>
        <w:t>Sebastiani</w:t>
      </w:r>
      <w:proofErr w:type="spellEnd"/>
      <w:r>
        <w:rPr>
          <w:lang w:val="en-US"/>
        </w:rPr>
        <w:t xml:space="preserve"> I.</w:t>
      </w:r>
      <w:r w:rsidRPr="000F7FF1">
        <w:rPr>
          <w:lang w:val="en-US"/>
        </w:rPr>
        <w:t>, Nava</w:t>
      </w:r>
      <w:r>
        <w:rPr>
          <w:lang w:val="en-US"/>
        </w:rPr>
        <w:t xml:space="preserve"> F.,</w:t>
      </w:r>
      <w:r w:rsidRPr="000F7FF1">
        <w:rPr>
          <w:lang w:val="en-US"/>
        </w:rPr>
        <w:t xml:space="preserve"> </w:t>
      </w:r>
      <w:proofErr w:type="spellStart"/>
      <w:r w:rsidRPr="000F7FF1">
        <w:rPr>
          <w:lang w:val="en-US"/>
        </w:rPr>
        <w:t>Milicia</w:t>
      </w:r>
      <w:proofErr w:type="spellEnd"/>
      <w:r>
        <w:rPr>
          <w:lang w:val="en-US"/>
        </w:rPr>
        <w:t xml:space="preserve"> A.</w:t>
      </w:r>
      <w:r w:rsidRPr="000F7FF1">
        <w:rPr>
          <w:lang w:val="en-US"/>
        </w:rPr>
        <w:t xml:space="preserve">, </w:t>
      </w:r>
      <w:proofErr w:type="spellStart"/>
      <w:r w:rsidRPr="000F7FF1">
        <w:rPr>
          <w:lang w:val="en-US"/>
        </w:rPr>
        <w:t>Erto</w:t>
      </w:r>
      <w:proofErr w:type="spellEnd"/>
      <w:r>
        <w:rPr>
          <w:lang w:val="en-US"/>
        </w:rPr>
        <w:t xml:space="preserve"> A.</w:t>
      </w:r>
      <w:r w:rsidRPr="00D15C8E">
        <w:rPr>
          <w:lang w:val="en-US"/>
        </w:rPr>
        <w:t>, 2022</w:t>
      </w:r>
      <w:r>
        <w:rPr>
          <w:lang w:val="en-US"/>
        </w:rPr>
        <w:t>,</w:t>
      </w:r>
      <w:r w:rsidRPr="00D15C8E">
        <w:rPr>
          <w:lang w:val="en-US"/>
        </w:rPr>
        <w:t xml:space="preserve"> </w:t>
      </w:r>
      <w:r w:rsidRPr="006B328E">
        <w:t>A kinetic mass-transfer study of the oxidative-absorption of SO</w:t>
      </w:r>
      <w:r w:rsidRPr="006B328E">
        <w:rPr>
          <w:vertAlign w:val="subscript"/>
        </w:rPr>
        <w:t>2</w:t>
      </w:r>
      <w:r w:rsidRPr="006B328E">
        <w:t xml:space="preserve"> in H</w:t>
      </w:r>
      <w:r w:rsidRPr="006B328E">
        <w:rPr>
          <w:vertAlign w:val="subscript"/>
        </w:rPr>
        <w:t>2</w:t>
      </w:r>
      <w:r w:rsidRPr="006B328E">
        <w:t>O</w:t>
      </w:r>
      <w:r w:rsidRPr="006B328E">
        <w:rPr>
          <w:vertAlign w:val="subscript"/>
        </w:rPr>
        <w:t>2</w:t>
      </w:r>
      <w:r w:rsidRPr="006B328E">
        <w:t xml:space="preserve"> aqueous solutions</w:t>
      </w:r>
      <w:r>
        <w:t>,</w:t>
      </w:r>
      <w:r w:rsidRPr="00D15C8E">
        <w:t xml:space="preserve"> </w:t>
      </w:r>
      <w:r>
        <w:t>The 12</w:t>
      </w:r>
      <w:r w:rsidRPr="002A6E35">
        <w:rPr>
          <w:vertAlign w:val="superscript"/>
        </w:rPr>
        <w:t>th</w:t>
      </w:r>
      <w:r>
        <w:t xml:space="preserve"> International Conference Distillation &amp; Absorption, Toulouse, France.</w:t>
      </w:r>
    </w:p>
    <w:p w14:paraId="1FE7720F" w14:textId="7339B70F" w:rsidR="0071356B" w:rsidRPr="002E4043" w:rsidRDefault="0071356B" w:rsidP="0071356B">
      <w:pPr>
        <w:pStyle w:val="CETReferencetext"/>
      </w:pPr>
      <w:r w:rsidRPr="0093313F">
        <w:rPr>
          <w:lang w:val="en-US"/>
        </w:rPr>
        <w:t xml:space="preserve">Flagiello D., Di Natale F., </w:t>
      </w:r>
      <w:proofErr w:type="spellStart"/>
      <w:r w:rsidRPr="0093313F">
        <w:rPr>
          <w:lang w:val="en-US"/>
        </w:rPr>
        <w:t>Erto</w:t>
      </w:r>
      <w:proofErr w:type="spellEnd"/>
      <w:r w:rsidRPr="0093313F">
        <w:rPr>
          <w:lang w:val="en-US"/>
        </w:rPr>
        <w:t xml:space="preserve"> A., Lancia A., 2020</w:t>
      </w:r>
      <w:r w:rsidR="00C92CC0">
        <w:rPr>
          <w:lang w:val="en-US"/>
        </w:rPr>
        <w:t>b</w:t>
      </w:r>
      <w:r w:rsidRPr="0093313F">
        <w:rPr>
          <w:lang w:val="en-US"/>
        </w:rPr>
        <w:t>, Wet oxidation scrubbing (WOS) for flue-gas desulphurization using sodium chlorite seawater solutions</w:t>
      </w:r>
      <w:r>
        <w:rPr>
          <w:lang w:val="en-US"/>
        </w:rPr>
        <w:t>,</w:t>
      </w:r>
      <w:r w:rsidRPr="0093313F">
        <w:rPr>
          <w:lang w:val="en-US"/>
        </w:rPr>
        <w:t xml:space="preserve"> Fuel, 277, 118055</w:t>
      </w:r>
      <w:r w:rsidRPr="004663C0">
        <w:rPr>
          <w:lang w:val="en-US"/>
        </w:rPr>
        <w:t>.</w:t>
      </w:r>
    </w:p>
    <w:p w14:paraId="782EF323" w14:textId="3E60B321" w:rsidR="007D6A1F" w:rsidRPr="008C6ADB" w:rsidRDefault="0071356B" w:rsidP="00A34988">
      <w:pPr>
        <w:pStyle w:val="CETReferencetext"/>
        <w:rPr>
          <w:lang w:val="en-US"/>
        </w:rPr>
      </w:pPr>
      <w:r w:rsidRPr="004663C0">
        <w:rPr>
          <w:lang w:val="en-US"/>
        </w:rPr>
        <w:t xml:space="preserve">Flagiello D., </w:t>
      </w:r>
      <w:proofErr w:type="spellStart"/>
      <w:r w:rsidRPr="004663C0">
        <w:rPr>
          <w:lang w:val="en-US"/>
        </w:rPr>
        <w:t>Erto</w:t>
      </w:r>
      <w:proofErr w:type="spellEnd"/>
      <w:r w:rsidRPr="004663C0">
        <w:rPr>
          <w:lang w:val="en-US"/>
        </w:rPr>
        <w:t xml:space="preserve"> A., Lancia A., Di Natale, F., 2018</w:t>
      </w:r>
      <w:r>
        <w:rPr>
          <w:lang w:val="en-US"/>
        </w:rPr>
        <w:t>,</w:t>
      </w:r>
      <w:r w:rsidRPr="004663C0">
        <w:rPr>
          <w:lang w:val="en-US"/>
        </w:rPr>
        <w:t xml:space="preserve"> Experimental and modelling analysis of seawater scrubbers for </w:t>
      </w:r>
      <w:proofErr w:type="spellStart"/>
      <w:r w:rsidRPr="004663C0">
        <w:rPr>
          <w:lang w:val="en-US"/>
        </w:rPr>
        <w:t>sulphur</w:t>
      </w:r>
      <w:proofErr w:type="spellEnd"/>
      <w:r w:rsidRPr="004663C0">
        <w:rPr>
          <w:lang w:val="en-US"/>
        </w:rPr>
        <w:t xml:space="preserve"> dioxide removal from flue-gas</w:t>
      </w:r>
      <w:r>
        <w:rPr>
          <w:lang w:val="en-US"/>
        </w:rPr>
        <w:t>,</w:t>
      </w:r>
      <w:r w:rsidRPr="004663C0">
        <w:rPr>
          <w:lang w:val="en-US"/>
        </w:rPr>
        <w:t xml:space="preserve"> Fuel, 214, 254</w:t>
      </w:r>
      <w:r w:rsidRPr="00EE29AC">
        <w:t>–</w:t>
      </w:r>
      <w:r w:rsidRPr="004663C0">
        <w:rPr>
          <w:lang w:val="en-US"/>
        </w:rPr>
        <w:t>263.</w:t>
      </w:r>
    </w:p>
    <w:p w14:paraId="69E0CB38" w14:textId="3ACDB320" w:rsidR="008C6ADB" w:rsidRDefault="0071356B" w:rsidP="0071356B">
      <w:pPr>
        <w:pStyle w:val="CETReferencetext"/>
      </w:pPr>
      <w:r w:rsidRPr="00BF1DB0">
        <w:rPr>
          <w:lang w:val="en-US"/>
        </w:rPr>
        <w:t>Gao X., Ding H., Du Z., Wu Z., Fang M., Luo Z., Cen, K., 2010</w:t>
      </w:r>
      <w:r>
        <w:rPr>
          <w:lang w:val="en-US"/>
        </w:rPr>
        <w:t>,</w:t>
      </w:r>
      <w:r w:rsidRPr="00BF1DB0">
        <w:rPr>
          <w:lang w:val="en-US"/>
        </w:rPr>
        <w:t xml:space="preserve"> </w:t>
      </w:r>
      <w:r w:rsidRPr="00BF1DB0">
        <w:t>Gas–liquid absorption reaction between (NH</w:t>
      </w:r>
      <w:r w:rsidRPr="00BF1DB0">
        <w:rPr>
          <w:vertAlign w:val="subscript"/>
        </w:rPr>
        <w:t>4</w:t>
      </w:r>
      <w:r w:rsidRPr="00BF1DB0">
        <w:t>)</w:t>
      </w:r>
      <w:r w:rsidRPr="00BF1DB0">
        <w:rPr>
          <w:vertAlign w:val="subscript"/>
        </w:rPr>
        <w:t>2</w:t>
      </w:r>
      <w:r w:rsidRPr="00BF1DB0">
        <w:t>SO</w:t>
      </w:r>
      <w:r w:rsidRPr="00BF1DB0">
        <w:rPr>
          <w:vertAlign w:val="subscript"/>
        </w:rPr>
        <w:t>3</w:t>
      </w:r>
      <w:r w:rsidRPr="00BF1DB0">
        <w:t xml:space="preserve"> solution and SO</w:t>
      </w:r>
      <w:r w:rsidRPr="00BF1DB0">
        <w:rPr>
          <w:vertAlign w:val="subscript"/>
        </w:rPr>
        <w:t>2</w:t>
      </w:r>
      <w:r w:rsidRPr="00BF1DB0">
        <w:t xml:space="preserve"> for ammonia-based wet flue gas desulfurization</w:t>
      </w:r>
      <w:r>
        <w:t>,</w:t>
      </w:r>
      <w:r w:rsidRPr="00BF1DB0">
        <w:t xml:space="preserve"> Applied Energy, 87, 2647</w:t>
      </w:r>
      <w:r w:rsidRPr="006A4CB2">
        <w:t>–</w:t>
      </w:r>
      <w:r w:rsidRPr="00BF1DB0">
        <w:t>2651.</w:t>
      </w:r>
    </w:p>
    <w:p w14:paraId="57ADCF9D" w14:textId="77777777" w:rsidR="006E41A5" w:rsidRDefault="006E41A5" w:rsidP="006E41A5">
      <w:pPr>
        <w:pStyle w:val="CETReferencetext"/>
      </w:pPr>
      <w:r w:rsidRPr="00D43268">
        <w:t xml:space="preserve">Gutiérrez Ortiz F.J., Vidal F., </w:t>
      </w:r>
      <w:proofErr w:type="spellStart"/>
      <w:r w:rsidRPr="00D43268">
        <w:t>Ollero</w:t>
      </w:r>
      <w:proofErr w:type="spellEnd"/>
      <w:r w:rsidRPr="00D43268">
        <w:t xml:space="preserve"> P., Salvador L., Cortés V., Gimenez, A.</w:t>
      </w:r>
      <w:r>
        <w:t xml:space="preserve">, </w:t>
      </w:r>
      <w:r w:rsidRPr="00D43268">
        <w:t>200</w:t>
      </w:r>
      <w:r>
        <w:t>6,</w:t>
      </w:r>
      <w:r w:rsidRPr="00D43268">
        <w:t xml:space="preserve"> Pilot-plant technical assessment of wet flue gas desulfurization using limestone</w:t>
      </w:r>
      <w:r>
        <w:t>,</w:t>
      </w:r>
      <w:r w:rsidRPr="00D43268">
        <w:t xml:space="preserve"> Industrial &amp; Engineering Chemistry Research, 45, 1466</w:t>
      </w:r>
      <w:r w:rsidRPr="006A4CB2">
        <w:t>–</w:t>
      </w:r>
      <w:r w:rsidRPr="00D43268">
        <w:t>1477.</w:t>
      </w:r>
    </w:p>
    <w:p w14:paraId="4DAEF2D8" w14:textId="77777777" w:rsidR="006E41A5" w:rsidRDefault="006E41A5" w:rsidP="006E41A5">
      <w:pPr>
        <w:pStyle w:val="CETReferencetext"/>
      </w:pPr>
      <w:r w:rsidRPr="007A11BE">
        <w:t>Jia Y., Zhong Q., Fan</w:t>
      </w:r>
      <w:r>
        <w:t xml:space="preserve"> </w:t>
      </w:r>
      <w:r w:rsidRPr="007A11BE">
        <w:t>X., Wang X.</w:t>
      </w:r>
      <w:r>
        <w:t xml:space="preserve">, </w:t>
      </w:r>
      <w:r w:rsidRPr="007A11BE">
        <w:t>2010</w:t>
      </w:r>
      <w:r>
        <w:t>,</w:t>
      </w:r>
      <w:r w:rsidRPr="007A11BE">
        <w:t xml:space="preserve"> Kinetics of oxidation of total </w:t>
      </w:r>
      <w:proofErr w:type="spellStart"/>
      <w:r w:rsidRPr="007A11BE">
        <w:t>sulfite</w:t>
      </w:r>
      <w:proofErr w:type="spellEnd"/>
      <w:r w:rsidRPr="007A11BE">
        <w:t xml:space="preserve"> in the ammonia-based wet flue gas desulfurization process</w:t>
      </w:r>
      <w:r>
        <w:t xml:space="preserve">, </w:t>
      </w:r>
      <w:r w:rsidRPr="007A11BE">
        <w:t>Chemical Engineering Journal, 164, 132</w:t>
      </w:r>
      <w:r w:rsidRPr="006A4CB2">
        <w:t>–</w:t>
      </w:r>
      <w:r w:rsidRPr="007A11BE">
        <w:t>138.</w:t>
      </w:r>
    </w:p>
    <w:p w14:paraId="264FC220" w14:textId="235344F6" w:rsidR="007D6A1F" w:rsidRDefault="00D3413F" w:rsidP="00B23047">
      <w:pPr>
        <w:pStyle w:val="CETReferencetext"/>
      </w:pPr>
      <w:proofErr w:type="spellStart"/>
      <w:r w:rsidRPr="006A4CB2">
        <w:t>Koe</w:t>
      </w:r>
      <w:r w:rsidR="00BE3021" w:rsidRPr="006A4CB2">
        <w:t>ch</w:t>
      </w:r>
      <w:proofErr w:type="spellEnd"/>
      <w:r w:rsidR="007D6A1F" w:rsidRPr="006A4CB2">
        <w:t xml:space="preserve"> </w:t>
      </w:r>
      <w:r w:rsidR="00BE3021" w:rsidRPr="006A4CB2">
        <w:t>L</w:t>
      </w:r>
      <w:r w:rsidR="007D6A1F" w:rsidRPr="006A4CB2">
        <w:t xml:space="preserve">., </w:t>
      </w:r>
      <w:proofErr w:type="spellStart"/>
      <w:r w:rsidR="00BE3021" w:rsidRPr="006A4CB2">
        <w:t>Rutto</w:t>
      </w:r>
      <w:proofErr w:type="spellEnd"/>
      <w:r w:rsidR="007D6A1F" w:rsidRPr="006A4CB2">
        <w:t xml:space="preserve"> </w:t>
      </w:r>
      <w:r w:rsidR="00BE3021" w:rsidRPr="006A4CB2">
        <w:t>H</w:t>
      </w:r>
      <w:r w:rsidR="007D6A1F" w:rsidRPr="006A4CB2">
        <w:t xml:space="preserve">., </w:t>
      </w:r>
      <w:proofErr w:type="spellStart"/>
      <w:r w:rsidR="00BE3021" w:rsidRPr="006A4CB2">
        <w:t>Lerotholi</w:t>
      </w:r>
      <w:proofErr w:type="spellEnd"/>
      <w:r w:rsidR="00BE3021" w:rsidRPr="006A4CB2">
        <w:t xml:space="preserve"> L</w:t>
      </w:r>
      <w:r w:rsidR="007D6A1F" w:rsidRPr="006A4CB2">
        <w:t xml:space="preserve">., </w:t>
      </w:r>
      <w:r w:rsidR="00BE3021" w:rsidRPr="006A4CB2">
        <w:t>Everson R</w:t>
      </w:r>
      <w:r w:rsidR="007D6A1F" w:rsidRPr="006A4CB2">
        <w:t>.</w:t>
      </w:r>
      <w:r w:rsidR="00394D29" w:rsidRPr="006A4CB2">
        <w:t>C.</w:t>
      </w:r>
      <w:r w:rsidR="007D6A1F" w:rsidRPr="006A4CB2">
        <w:t>,</w:t>
      </w:r>
      <w:r w:rsidR="00394D29" w:rsidRPr="006A4CB2">
        <w:t xml:space="preserve"> </w:t>
      </w:r>
      <w:proofErr w:type="spellStart"/>
      <w:r w:rsidR="00394D29" w:rsidRPr="006A4CB2">
        <w:t>Neomagus</w:t>
      </w:r>
      <w:proofErr w:type="spellEnd"/>
      <w:r w:rsidR="00394D29" w:rsidRPr="006A4CB2">
        <w:t xml:space="preserve"> H., </w:t>
      </w:r>
      <w:proofErr w:type="spellStart"/>
      <w:r w:rsidR="00394D29" w:rsidRPr="006A4CB2">
        <w:t>Branken</w:t>
      </w:r>
      <w:proofErr w:type="spellEnd"/>
      <w:r w:rsidR="00394D29" w:rsidRPr="006A4CB2">
        <w:t xml:space="preserve"> D., </w:t>
      </w:r>
      <w:proofErr w:type="spellStart"/>
      <w:r w:rsidR="00394D29" w:rsidRPr="006A4CB2">
        <w:t>Moganelwa</w:t>
      </w:r>
      <w:proofErr w:type="spellEnd"/>
      <w:r w:rsidR="00394D29" w:rsidRPr="006A4CB2">
        <w:t xml:space="preserve"> A.,</w:t>
      </w:r>
      <w:r w:rsidR="006A4CB2">
        <w:t xml:space="preserve"> </w:t>
      </w:r>
      <w:r w:rsidR="007D6A1F" w:rsidRPr="006A4CB2">
        <w:t>20</w:t>
      </w:r>
      <w:r w:rsidR="00B23047" w:rsidRPr="006A4CB2">
        <w:t>21</w:t>
      </w:r>
      <w:r w:rsidR="007D6A1F" w:rsidRPr="006A4CB2">
        <w:t xml:space="preserve">, </w:t>
      </w:r>
      <w:r w:rsidR="00B23047" w:rsidRPr="006A4CB2">
        <w:t>Spray drying absorption for desulphurization: a review of recent developments</w:t>
      </w:r>
      <w:r w:rsidR="007D6A1F" w:rsidRPr="006A4CB2">
        <w:t xml:space="preserve">, </w:t>
      </w:r>
      <w:r w:rsidR="00B23047" w:rsidRPr="006A4CB2">
        <w:t>Clean Technologies and Environmental Policy</w:t>
      </w:r>
      <w:r w:rsidR="007D6A1F" w:rsidRPr="006A4CB2">
        <w:t xml:space="preserve">, </w:t>
      </w:r>
      <w:r w:rsidR="006A4CB2" w:rsidRPr="006A4CB2">
        <w:t>23</w:t>
      </w:r>
      <w:r w:rsidR="007D6A1F" w:rsidRPr="006A4CB2">
        <w:t xml:space="preserve">, </w:t>
      </w:r>
      <w:r w:rsidR="006A4CB2" w:rsidRPr="006A4CB2">
        <w:t>1665</w:t>
      </w:r>
      <w:r w:rsidR="007D6A1F" w:rsidRPr="006A4CB2">
        <w:t>–</w:t>
      </w:r>
      <w:r w:rsidR="006A4CB2" w:rsidRPr="006A4CB2">
        <w:t>1686</w:t>
      </w:r>
      <w:r w:rsidR="007D6A1F" w:rsidRPr="006A4CB2">
        <w:t>.</w:t>
      </w:r>
    </w:p>
    <w:p w14:paraId="04744614" w14:textId="77777777" w:rsidR="006E41A5" w:rsidRDefault="006E41A5" w:rsidP="006E41A5">
      <w:pPr>
        <w:pStyle w:val="CETReferencetext"/>
        <w:rPr>
          <w:lang w:val="en-US"/>
        </w:rPr>
      </w:pPr>
      <w:r w:rsidRPr="00F153BF">
        <w:rPr>
          <w:lang w:val="en-US"/>
        </w:rPr>
        <w:t>Liu X., Zhong Q., Wang J., Ji X., Jia Y., Xu Y., Li L.</w:t>
      </w:r>
      <w:r>
        <w:rPr>
          <w:lang w:val="en-US"/>
        </w:rPr>
        <w:t xml:space="preserve">, </w:t>
      </w:r>
      <w:r w:rsidRPr="00F153BF">
        <w:rPr>
          <w:lang w:val="en-US"/>
        </w:rPr>
        <w:t>2011</w:t>
      </w:r>
      <w:r>
        <w:rPr>
          <w:lang w:val="en-US"/>
        </w:rPr>
        <w:t>,</w:t>
      </w:r>
      <w:r w:rsidRPr="00F153BF">
        <w:rPr>
          <w:lang w:val="en-US"/>
        </w:rPr>
        <w:t xml:space="preserve"> Study on ammonium sulfate crystallization in the ammonium desulphurization process in a coal-based power plant in the petrochemical industry</w:t>
      </w:r>
      <w:r>
        <w:rPr>
          <w:lang w:val="en-US"/>
        </w:rPr>
        <w:t>,</w:t>
      </w:r>
      <w:r w:rsidRPr="00F153BF">
        <w:rPr>
          <w:lang w:val="en-US"/>
        </w:rPr>
        <w:t xml:space="preserve"> Energy Sources, Part A: Recovery, Utilization, and Environmental Effects, 33, 2027</w:t>
      </w:r>
      <w:r w:rsidRPr="006A4CB2">
        <w:t>–</w:t>
      </w:r>
      <w:r w:rsidRPr="00F153BF">
        <w:rPr>
          <w:lang w:val="en-US"/>
        </w:rPr>
        <w:t>2035.</w:t>
      </w:r>
    </w:p>
    <w:p w14:paraId="361B96B6" w14:textId="77777777" w:rsidR="006E41A5" w:rsidRDefault="006E41A5" w:rsidP="006E41A5">
      <w:pPr>
        <w:pStyle w:val="CETReferencetext"/>
      </w:pPr>
      <w:proofErr w:type="spellStart"/>
      <w:r w:rsidRPr="00A1286B">
        <w:rPr>
          <w:lang w:val="en-US"/>
        </w:rPr>
        <w:t>Luckas</w:t>
      </w:r>
      <w:proofErr w:type="spellEnd"/>
      <w:r w:rsidRPr="00A1286B">
        <w:rPr>
          <w:lang w:val="en-US"/>
        </w:rPr>
        <w:t xml:space="preserve"> M., Lucas K., Roth, H.</w:t>
      </w:r>
      <w:r>
        <w:rPr>
          <w:lang w:val="en-US"/>
        </w:rPr>
        <w:t xml:space="preserve">, </w:t>
      </w:r>
      <w:r w:rsidRPr="00A1286B">
        <w:rPr>
          <w:lang w:val="en-US"/>
        </w:rPr>
        <w:t>1994</w:t>
      </w:r>
      <w:r>
        <w:rPr>
          <w:lang w:val="en-US"/>
        </w:rPr>
        <w:t>,</w:t>
      </w:r>
      <w:r w:rsidRPr="00A1286B">
        <w:rPr>
          <w:lang w:val="en-US"/>
        </w:rPr>
        <w:t xml:space="preserve"> Computation of phase and chemical equilibria in flue</w:t>
      </w:r>
      <w:r w:rsidRPr="00A1286B">
        <w:rPr>
          <w:rFonts w:ascii="Cambria Math" w:hAnsi="Cambria Math" w:cs="Cambria Math"/>
          <w:lang w:val="en-US"/>
        </w:rPr>
        <w:t>‐</w:t>
      </w:r>
      <w:r w:rsidRPr="00A1286B">
        <w:rPr>
          <w:lang w:val="en-US"/>
        </w:rPr>
        <w:t>gas/water systems</w:t>
      </w:r>
      <w:r>
        <w:rPr>
          <w:lang w:val="en-US"/>
        </w:rPr>
        <w:t>,</w:t>
      </w:r>
      <w:r w:rsidRPr="00A1286B">
        <w:rPr>
          <w:lang w:val="en-US"/>
        </w:rPr>
        <w:t xml:space="preserve"> AIChE journal, 40, 1892</w:t>
      </w:r>
      <w:r w:rsidRPr="00EE29AC">
        <w:t>–</w:t>
      </w:r>
      <w:r w:rsidRPr="00A1286B">
        <w:rPr>
          <w:lang w:val="en-US"/>
        </w:rPr>
        <w:t>1900.</w:t>
      </w:r>
    </w:p>
    <w:p w14:paraId="41CEE6E9" w14:textId="4B4ECBC1" w:rsidR="006A4CB2" w:rsidRDefault="00F10314" w:rsidP="002B6A0C">
      <w:pPr>
        <w:pStyle w:val="CETReferencetext"/>
      </w:pPr>
      <w:r w:rsidRPr="00F10314">
        <w:t>Ma</w:t>
      </w:r>
      <w:r>
        <w:t xml:space="preserve"> X.</w:t>
      </w:r>
      <w:r w:rsidRPr="00F10314">
        <w:t>, Kaneko</w:t>
      </w:r>
      <w:r w:rsidR="00BE1D73">
        <w:t xml:space="preserve"> T.</w:t>
      </w:r>
      <w:r w:rsidRPr="00F10314">
        <w:t>,</w:t>
      </w:r>
      <w:r w:rsidR="00BE1D73">
        <w:t xml:space="preserve"> </w:t>
      </w:r>
      <w:proofErr w:type="spellStart"/>
      <w:r w:rsidRPr="00F10314">
        <w:t>Tashimo</w:t>
      </w:r>
      <w:proofErr w:type="spellEnd"/>
      <w:r w:rsidR="00BE1D73">
        <w:t xml:space="preserve"> T.</w:t>
      </w:r>
      <w:r w:rsidRPr="00F10314">
        <w:t>, Yoshida</w:t>
      </w:r>
      <w:r w:rsidR="00BE1D73">
        <w:t xml:space="preserve"> T.</w:t>
      </w:r>
      <w:r w:rsidRPr="00F10314">
        <w:t>, Kato</w:t>
      </w:r>
      <w:r w:rsidR="00BE1D73">
        <w:t xml:space="preserve"> K.</w:t>
      </w:r>
      <w:r w:rsidR="006A4CB2" w:rsidRPr="006A4CB2">
        <w:t>,</w:t>
      </w:r>
      <w:r w:rsidR="006A4CB2">
        <w:t xml:space="preserve"> </w:t>
      </w:r>
      <w:r w:rsidR="006A4CB2" w:rsidRPr="006A4CB2">
        <w:t>20</w:t>
      </w:r>
      <w:r w:rsidR="00A8386F">
        <w:t>00</w:t>
      </w:r>
      <w:r w:rsidR="006A4CB2" w:rsidRPr="006A4CB2">
        <w:t xml:space="preserve">, </w:t>
      </w:r>
      <w:r w:rsidR="002B6A0C">
        <w:t>Use of limestone for SO</w:t>
      </w:r>
      <w:r w:rsidR="002B6A0C" w:rsidRPr="00DD5DAC">
        <w:rPr>
          <w:vertAlign w:val="subscript"/>
        </w:rPr>
        <w:t>2</w:t>
      </w:r>
      <w:r w:rsidR="002B6A0C">
        <w:t xml:space="preserve"> removal from </w:t>
      </w:r>
      <w:r w:rsidR="0097304E">
        <w:t>fl</w:t>
      </w:r>
      <w:r w:rsidR="002B6A0C">
        <w:t>ue gas in the semidry FGD process with a powder-particle spouted bed</w:t>
      </w:r>
      <w:r w:rsidR="006A4CB2" w:rsidRPr="006A4CB2">
        <w:t xml:space="preserve">, </w:t>
      </w:r>
      <w:r w:rsidR="00864BF3" w:rsidRPr="00864BF3">
        <w:t>Chemical Engineering Science</w:t>
      </w:r>
      <w:r w:rsidR="006A4CB2" w:rsidRPr="006A4CB2">
        <w:t xml:space="preserve">, </w:t>
      </w:r>
      <w:r w:rsidR="00864BF3">
        <w:t>55</w:t>
      </w:r>
      <w:r w:rsidR="006A4CB2" w:rsidRPr="006A4CB2">
        <w:t xml:space="preserve">, </w:t>
      </w:r>
      <w:r w:rsidR="00864BF3">
        <w:t>4643</w:t>
      </w:r>
      <w:r w:rsidR="006A4CB2" w:rsidRPr="006A4CB2">
        <w:t>–</w:t>
      </w:r>
      <w:r w:rsidR="00864BF3">
        <w:t>4652</w:t>
      </w:r>
      <w:r w:rsidR="006A4CB2" w:rsidRPr="006A4CB2">
        <w:t>.</w:t>
      </w:r>
    </w:p>
    <w:p w14:paraId="6DA05E96" w14:textId="77777777" w:rsidR="006E41A5" w:rsidRDefault="006E41A5" w:rsidP="006E41A5">
      <w:pPr>
        <w:pStyle w:val="CETReferencetext"/>
      </w:pPr>
      <w:r w:rsidRPr="00004A0D">
        <w:rPr>
          <w:lang w:val="en-US"/>
        </w:rPr>
        <w:t>Tang Y., Ga</w:t>
      </w:r>
      <w:r>
        <w:rPr>
          <w:lang w:val="en-US"/>
        </w:rPr>
        <w:t>o</w:t>
      </w:r>
      <w:r w:rsidRPr="00004A0D">
        <w:rPr>
          <w:lang w:val="en-US"/>
        </w:rPr>
        <w:t xml:space="preserve"> Y., Liu D., Zhang F., Qu S., Hao Z., </w:t>
      </w:r>
      <w:r>
        <w:rPr>
          <w:lang w:val="en-US"/>
        </w:rPr>
        <w:t>Zhang X.,</w:t>
      </w:r>
      <w:r w:rsidRPr="00004A0D">
        <w:rPr>
          <w:lang w:val="en-US"/>
        </w:rPr>
        <w:t xml:space="preserve"> Liu Z.T.</w:t>
      </w:r>
      <w:r>
        <w:rPr>
          <w:lang w:val="en-US"/>
        </w:rPr>
        <w:t xml:space="preserve">, </w:t>
      </w:r>
      <w:r w:rsidRPr="00004A0D">
        <w:rPr>
          <w:lang w:val="en-US"/>
        </w:rPr>
        <w:t>2017</w:t>
      </w:r>
      <w:r>
        <w:rPr>
          <w:lang w:val="en-US"/>
        </w:rPr>
        <w:t>,</w:t>
      </w:r>
      <w:r w:rsidRPr="00004A0D">
        <w:rPr>
          <w:lang w:val="en-US"/>
        </w:rPr>
        <w:t xml:space="preserve"> Modeling and simulation of an improved ammonia-based desulfurization process for Claus tail gas treatment</w:t>
      </w:r>
      <w:r>
        <w:rPr>
          <w:lang w:val="en-US"/>
        </w:rPr>
        <w:t>,</w:t>
      </w:r>
      <w:r w:rsidRPr="00004A0D">
        <w:rPr>
          <w:lang w:val="en-US"/>
        </w:rPr>
        <w:t xml:space="preserve"> RSC advances, 7, 23591</w:t>
      </w:r>
      <w:r w:rsidRPr="006A4CB2">
        <w:t>–</w:t>
      </w:r>
      <w:r w:rsidRPr="00004A0D">
        <w:rPr>
          <w:lang w:val="en-US"/>
        </w:rPr>
        <w:t>23599.</w:t>
      </w:r>
    </w:p>
    <w:p w14:paraId="3ABBE79F" w14:textId="5F97FDFE" w:rsidR="007A211D" w:rsidRDefault="006E41A5" w:rsidP="006E41A5">
      <w:pPr>
        <w:pStyle w:val="CETReferencetext"/>
      </w:pPr>
      <w:r w:rsidRPr="00CF56AF">
        <w:t xml:space="preserve">Wynn G., and </w:t>
      </w:r>
      <w:proofErr w:type="spellStart"/>
      <w:r w:rsidRPr="00CF56AF">
        <w:t>Coghe</w:t>
      </w:r>
      <w:proofErr w:type="spellEnd"/>
      <w:r w:rsidRPr="00CF56AF">
        <w:t>, P., 2017, Europe’s Coal-Fired Power Plant: Rough Times Ahead, Institute for Energy Economics and Financial Analysis, Report published on May.</w:t>
      </w:r>
    </w:p>
    <w:p w14:paraId="17D3ADA8" w14:textId="6AF996B7" w:rsidR="007A211D" w:rsidRDefault="006E41A5" w:rsidP="009F70D9">
      <w:pPr>
        <w:pStyle w:val="CETReferencetext"/>
      </w:pPr>
      <w:proofErr w:type="spellStart"/>
      <w:r w:rsidRPr="00333FB6">
        <w:t>Zarzycki</w:t>
      </w:r>
      <w:proofErr w:type="spellEnd"/>
      <w:r w:rsidRPr="00333FB6">
        <w:t xml:space="preserve"> </w:t>
      </w:r>
      <w:r>
        <w:t xml:space="preserve">R. </w:t>
      </w:r>
      <w:r w:rsidRPr="00333FB6">
        <w:t xml:space="preserve">and </w:t>
      </w:r>
      <w:proofErr w:type="spellStart"/>
      <w:r w:rsidRPr="00333FB6">
        <w:t>Chacuk</w:t>
      </w:r>
      <w:proofErr w:type="spellEnd"/>
      <w:r>
        <w:t xml:space="preserve"> A., 1993</w:t>
      </w:r>
      <w:r w:rsidRPr="00EB5C2B">
        <w:t xml:space="preserve">, </w:t>
      </w:r>
      <w:r w:rsidRPr="007048A6">
        <w:t>Absorption: fundamentals &amp; applications</w:t>
      </w:r>
      <w:r w:rsidRPr="00EB5C2B">
        <w:t xml:space="preserve">, </w:t>
      </w:r>
      <w:r w:rsidRPr="007048A6">
        <w:t>Pergamon Press</w:t>
      </w:r>
      <w:r>
        <w:t>,</w:t>
      </w:r>
      <w:r w:rsidRPr="007048A6">
        <w:t xml:space="preserve"> Oxford</w:t>
      </w:r>
      <w:r>
        <w:t>, UK.</w:t>
      </w:r>
    </w:p>
    <w:p w14:paraId="0D12F052" w14:textId="1A7D0CB7" w:rsidR="00CF56AF" w:rsidRPr="00B23047" w:rsidRDefault="00CF56AF" w:rsidP="00CF56AF">
      <w:pPr>
        <w:pStyle w:val="CETReferencetext"/>
      </w:pPr>
      <w:r w:rsidRPr="00CF56AF">
        <w:t>Zhang X., 2016, Emission standards and control of PM2.5 from coal-fired power plant</w:t>
      </w:r>
      <w:r w:rsidR="00C724AB">
        <w:t>,</w:t>
      </w:r>
      <w:r w:rsidRPr="00CF56AF">
        <w:t xml:space="preserve"> IEA Clean Coal Centre, London.</w:t>
      </w:r>
    </w:p>
    <w:p w14:paraId="71B39681" w14:textId="11A1D1B8" w:rsidR="008C6ADB" w:rsidRDefault="008C6ADB" w:rsidP="00600535">
      <w:pPr>
        <w:pStyle w:val="CETBodytext"/>
        <w:rPr>
          <w:lang w:val="en-GB"/>
        </w:rPr>
      </w:pPr>
    </w:p>
    <w:sectPr w:rsidR="008C6ADB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15F2" w14:textId="77777777" w:rsidR="00142AC8" w:rsidRDefault="00142AC8" w:rsidP="004F5E36">
      <w:r>
        <w:separator/>
      </w:r>
    </w:p>
  </w:endnote>
  <w:endnote w:type="continuationSeparator" w:id="0">
    <w:p w14:paraId="59F5AE00" w14:textId="77777777" w:rsidR="00142AC8" w:rsidRDefault="00142AC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DFFF" w14:textId="77777777" w:rsidR="00142AC8" w:rsidRDefault="00142AC8" w:rsidP="004F5E36">
      <w:r>
        <w:separator/>
      </w:r>
    </w:p>
  </w:footnote>
  <w:footnote w:type="continuationSeparator" w:id="0">
    <w:p w14:paraId="68CA609B" w14:textId="77777777" w:rsidR="00142AC8" w:rsidRDefault="00142AC8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8D9AAEB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97E4A"/>
    <w:multiLevelType w:val="multilevel"/>
    <w:tmpl w:val="21562CB0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316882765">
    <w:abstractNumId w:val="10"/>
  </w:num>
  <w:num w:numId="2" w16cid:durableId="1954094313">
    <w:abstractNumId w:val="8"/>
  </w:num>
  <w:num w:numId="3" w16cid:durableId="2001083081">
    <w:abstractNumId w:val="3"/>
  </w:num>
  <w:num w:numId="4" w16cid:durableId="665287687">
    <w:abstractNumId w:val="2"/>
  </w:num>
  <w:num w:numId="5" w16cid:durableId="1763211618">
    <w:abstractNumId w:val="1"/>
  </w:num>
  <w:num w:numId="6" w16cid:durableId="733351894">
    <w:abstractNumId w:val="0"/>
  </w:num>
  <w:num w:numId="7" w16cid:durableId="1265187038">
    <w:abstractNumId w:val="9"/>
  </w:num>
  <w:num w:numId="8" w16cid:durableId="458382672">
    <w:abstractNumId w:val="7"/>
  </w:num>
  <w:num w:numId="9" w16cid:durableId="652636510">
    <w:abstractNumId w:val="6"/>
  </w:num>
  <w:num w:numId="10" w16cid:durableId="1972591888">
    <w:abstractNumId w:val="5"/>
  </w:num>
  <w:num w:numId="11" w16cid:durableId="1179278139">
    <w:abstractNumId w:val="4"/>
  </w:num>
  <w:num w:numId="12" w16cid:durableId="1575509198">
    <w:abstractNumId w:val="17"/>
  </w:num>
  <w:num w:numId="13" w16cid:durableId="695733619">
    <w:abstractNumId w:val="12"/>
  </w:num>
  <w:num w:numId="14" w16cid:durableId="145903400">
    <w:abstractNumId w:val="18"/>
  </w:num>
  <w:num w:numId="15" w16cid:durableId="19162326">
    <w:abstractNumId w:val="20"/>
  </w:num>
  <w:num w:numId="16" w16cid:durableId="1977102699">
    <w:abstractNumId w:val="19"/>
  </w:num>
  <w:num w:numId="17" w16cid:durableId="860774865">
    <w:abstractNumId w:val="11"/>
  </w:num>
  <w:num w:numId="18" w16cid:durableId="313221457">
    <w:abstractNumId w:val="12"/>
    <w:lvlOverride w:ilvl="0">
      <w:startOverride w:val="1"/>
    </w:lvlOverride>
  </w:num>
  <w:num w:numId="19" w16cid:durableId="534971577">
    <w:abstractNumId w:val="16"/>
  </w:num>
  <w:num w:numId="20" w16cid:durableId="1150947773">
    <w:abstractNumId w:val="15"/>
  </w:num>
  <w:num w:numId="21" w16cid:durableId="124660497">
    <w:abstractNumId w:val="14"/>
  </w:num>
  <w:num w:numId="22" w16cid:durableId="2099861471">
    <w:abstractNumId w:val="13"/>
  </w:num>
  <w:num w:numId="23" w16cid:durableId="2933655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kwNKsFAOzIv8otAAAA"/>
  </w:docVars>
  <w:rsids>
    <w:rsidRoot w:val="000E414A"/>
    <w:rsid w:val="00000262"/>
    <w:rsid w:val="000027C0"/>
    <w:rsid w:val="00004A0D"/>
    <w:rsid w:val="000052FB"/>
    <w:rsid w:val="000069A1"/>
    <w:rsid w:val="000109B8"/>
    <w:rsid w:val="000117CB"/>
    <w:rsid w:val="00011DDE"/>
    <w:rsid w:val="00011F4B"/>
    <w:rsid w:val="0001377E"/>
    <w:rsid w:val="00015CCA"/>
    <w:rsid w:val="00016660"/>
    <w:rsid w:val="00021303"/>
    <w:rsid w:val="000227FA"/>
    <w:rsid w:val="00024FE0"/>
    <w:rsid w:val="00026A21"/>
    <w:rsid w:val="0003148D"/>
    <w:rsid w:val="00031EEC"/>
    <w:rsid w:val="0003273A"/>
    <w:rsid w:val="00043FD4"/>
    <w:rsid w:val="00044AB6"/>
    <w:rsid w:val="00045DB5"/>
    <w:rsid w:val="000475C3"/>
    <w:rsid w:val="00051566"/>
    <w:rsid w:val="00053887"/>
    <w:rsid w:val="00054F97"/>
    <w:rsid w:val="000562A9"/>
    <w:rsid w:val="00056FCB"/>
    <w:rsid w:val="0006069F"/>
    <w:rsid w:val="000607F8"/>
    <w:rsid w:val="000621B5"/>
    <w:rsid w:val="00062A9A"/>
    <w:rsid w:val="00065058"/>
    <w:rsid w:val="00065A2C"/>
    <w:rsid w:val="0006709A"/>
    <w:rsid w:val="000676EF"/>
    <w:rsid w:val="00075499"/>
    <w:rsid w:val="000820F1"/>
    <w:rsid w:val="00083FF8"/>
    <w:rsid w:val="0008645E"/>
    <w:rsid w:val="000864BA"/>
    <w:rsid w:val="00086C39"/>
    <w:rsid w:val="00094E56"/>
    <w:rsid w:val="0009573A"/>
    <w:rsid w:val="00095CF1"/>
    <w:rsid w:val="00096EA3"/>
    <w:rsid w:val="000A0382"/>
    <w:rsid w:val="000A03B2"/>
    <w:rsid w:val="000A1E2F"/>
    <w:rsid w:val="000A6293"/>
    <w:rsid w:val="000A63E8"/>
    <w:rsid w:val="000A6B44"/>
    <w:rsid w:val="000B2B24"/>
    <w:rsid w:val="000B7183"/>
    <w:rsid w:val="000C3F24"/>
    <w:rsid w:val="000C4BA6"/>
    <w:rsid w:val="000D0268"/>
    <w:rsid w:val="000D0613"/>
    <w:rsid w:val="000D2448"/>
    <w:rsid w:val="000D34BE"/>
    <w:rsid w:val="000D3E7F"/>
    <w:rsid w:val="000D567B"/>
    <w:rsid w:val="000D6238"/>
    <w:rsid w:val="000D729B"/>
    <w:rsid w:val="000D7715"/>
    <w:rsid w:val="000E047B"/>
    <w:rsid w:val="000E091A"/>
    <w:rsid w:val="000E102F"/>
    <w:rsid w:val="000E21F3"/>
    <w:rsid w:val="000E36F1"/>
    <w:rsid w:val="000E3A73"/>
    <w:rsid w:val="000E414A"/>
    <w:rsid w:val="000F0574"/>
    <w:rsid w:val="000F093C"/>
    <w:rsid w:val="000F2676"/>
    <w:rsid w:val="000F2BA5"/>
    <w:rsid w:val="000F787B"/>
    <w:rsid w:val="000F7FF1"/>
    <w:rsid w:val="001067BC"/>
    <w:rsid w:val="001144E1"/>
    <w:rsid w:val="00114826"/>
    <w:rsid w:val="00116475"/>
    <w:rsid w:val="0012091F"/>
    <w:rsid w:val="00120CCC"/>
    <w:rsid w:val="001217D3"/>
    <w:rsid w:val="00126BC2"/>
    <w:rsid w:val="001308B6"/>
    <w:rsid w:val="0013121F"/>
    <w:rsid w:val="0013127C"/>
    <w:rsid w:val="00131FE6"/>
    <w:rsid w:val="0013263F"/>
    <w:rsid w:val="001331DF"/>
    <w:rsid w:val="00134CA1"/>
    <w:rsid w:val="00134DE4"/>
    <w:rsid w:val="00135142"/>
    <w:rsid w:val="0013673C"/>
    <w:rsid w:val="00137F27"/>
    <w:rsid w:val="0014034D"/>
    <w:rsid w:val="001424DA"/>
    <w:rsid w:val="00142AC8"/>
    <w:rsid w:val="00143409"/>
    <w:rsid w:val="00144788"/>
    <w:rsid w:val="00144D16"/>
    <w:rsid w:val="00145D39"/>
    <w:rsid w:val="00150636"/>
    <w:rsid w:val="00150E59"/>
    <w:rsid w:val="00152DE3"/>
    <w:rsid w:val="001568B5"/>
    <w:rsid w:val="00156BB1"/>
    <w:rsid w:val="00156C27"/>
    <w:rsid w:val="00157CC2"/>
    <w:rsid w:val="00163272"/>
    <w:rsid w:val="001640C0"/>
    <w:rsid w:val="00164CF9"/>
    <w:rsid w:val="001667A6"/>
    <w:rsid w:val="001676B8"/>
    <w:rsid w:val="00170B68"/>
    <w:rsid w:val="00171E19"/>
    <w:rsid w:val="0017246B"/>
    <w:rsid w:val="00173D46"/>
    <w:rsid w:val="00176A0B"/>
    <w:rsid w:val="001807FF"/>
    <w:rsid w:val="00180BDA"/>
    <w:rsid w:val="00184AD6"/>
    <w:rsid w:val="00185B14"/>
    <w:rsid w:val="001863E6"/>
    <w:rsid w:val="001879B1"/>
    <w:rsid w:val="00193FBB"/>
    <w:rsid w:val="001942A0"/>
    <w:rsid w:val="001946AB"/>
    <w:rsid w:val="001A132D"/>
    <w:rsid w:val="001A44B6"/>
    <w:rsid w:val="001A4AF7"/>
    <w:rsid w:val="001B0349"/>
    <w:rsid w:val="001B183F"/>
    <w:rsid w:val="001B1E93"/>
    <w:rsid w:val="001B4B26"/>
    <w:rsid w:val="001B65C1"/>
    <w:rsid w:val="001C1165"/>
    <w:rsid w:val="001C684B"/>
    <w:rsid w:val="001C7ED9"/>
    <w:rsid w:val="001D0CFB"/>
    <w:rsid w:val="001D1156"/>
    <w:rsid w:val="001D17D0"/>
    <w:rsid w:val="001D21AF"/>
    <w:rsid w:val="001D25B9"/>
    <w:rsid w:val="001D53FC"/>
    <w:rsid w:val="001D7383"/>
    <w:rsid w:val="001E080B"/>
    <w:rsid w:val="001E0ECE"/>
    <w:rsid w:val="001E1437"/>
    <w:rsid w:val="001E4FED"/>
    <w:rsid w:val="001E616A"/>
    <w:rsid w:val="001F0DFF"/>
    <w:rsid w:val="001F42A5"/>
    <w:rsid w:val="001F440D"/>
    <w:rsid w:val="001F4C73"/>
    <w:rsid w:val="001F6F2C"/>
    <w:rsid w:val="001F7B9D"/>
    <w:rsid w:val="00200C1A"/>
    <w:rsid w:val="00200C78"/>
    <w:rsid w:val="00201BB6"/>
    <w:rsid w:val="00201C93"/>
    <w:rsid w:val="00202C84"/>
    <w:rsid w:val="00210C65"/>
    <w:rsid w:val="00212F92"/>
    <w:rsid w:val="002133BE"/>
    <w:rsid w:val="00215870"/>
    <w:rsid w:val="00215F72"/>
    <w:rsid w:val="00215F9C"/>
    <w:rsid w:val="00220466"/>
    <w:rsid w:val="002224B4"/>
    <w:rsid w:val="0022284E"/>
    <w:rsid w:val="002241E0"/>
    <w:rsid w:val="00224B8C"/>
    <w:rsid w:val="002316B9"/>
    <w:rsid w:val="002334FB"/>
    <w:rsid w:val="002447EF"/>
    <w:rsid w:val="00251550"/>
    <w:rsid w:val="002528BE"/>
    <w:rsid w:val="00255177"/>
    <w:rsid w:val="00255EAC"/>
    <w:rsid w:val="00260CE0"/>
    <w:rsid w:val="00263B05"/>
    <w:rsid w:val="00271AAF"/>
    <w:rsid w:val="0027221A"/>
    <w:rsid w:val="0027492F"/>
    <w:rsid w:val="00275B61"/>
    <w:rsid w:val="0027656E"/>
    <w:rsid w:val="00280FAF"/>
    <w:rsid w:val="00282656"/>
    <w:rsid w:val="00287F8A"/>
    <w:rsid w:val="00290326"/>
    <w:rsid w:val="00294007"/>
    <w:rsid w:val="00295317"/>
    <w:rsid w:val="00296B83"/>
    <w:rsid w:val="002A45C2"/>
    <w:rsid w:val="002A6C9F"/>
    <w:rsid w:val="002A6E35"/>
    <w:rsid w:val="002B04F9"/>
    <w:rsid w:val="002B1424"/>
    <w:rsid w:val="002B2FC7"/>
    <w:rsid w:val="002B4015"/>
    <w:rsid w:val="002B5040"/>
    <w:rsid w:val="002B5192"/>
    <w:rsid w:val="002B56DE"/>
    <w:rsid w:val="002B6069"/>
    <w:rsid w:val="002B6A0C"/>
    <w:rsid w:val="002B7407"/>
    <w:rsid w:val="002B78CE"/>
    <w:rsid w:val="002C1D55"/>
    <w:rsid w:val="002C2FB6"/>
    <w:rsid w:val="002C3575"/>
    <w:rsid w:val="002C4C70"/>
    <w:rsid w:val="002C66F4"/>
    <w:rsid w:val="002C73C5"/>
    <w:rsid w:val="002C7579"/>
    <w:rsid w:val="002D2092"/>
    <w:rsid w:val="002D458D"/>
    <w:rsid w:val="002D4E01"/>
    <w:rsid w:val="002D5784"/>
    <w:rsid w:val="002E264E"/>
    <w:rsid w:val="002E4043"/>
    <w:rsid w:val="002E5245"/>
    <w:rsid w:val="002E5FA7"/>
    <w:rsid w:val="002F3309"/>
    <w:rsid w:val="002F34CD"/>
    <w:rsid w:val="002F4BAF"/>
    <w:rsid w:val="003008CE"/>
    <w:rsid w:val="003009B7"/>
    <w:rsid w:val="00300E56"/>
    <w:rsid w:val="0030152C"/>
    <w:rsid w:val="00303CD7"/>
    <w:rsid w:val="0030469C"/>
    <w:rsid w:val="003055EA"/>
    <w:rsid w:val="0030580D"/>
    <w:rsid w:val="0031000B"/>
    <w:rsid w:val="0031460D"/>
    <w:rsid w:val="00316AB6"/>
    <w:rsid w:val="00320FFA"/>
    <w:rsid w:val="00321377"/>
    <w:rsid w:val="00321A45"/>
    <w:rsid w:val="00321CA6"/>
    <w:rsid w:val="00323763"/>
    <w:rsid w:val="00323C5F"/>
    <w:rsid w:val="00324D10"/>
    <w:rsid w:val="00326C08"/>
    <w:rsid w:val="003273DB"/>
    <w:rsid w:val="00331DF7"/>
    <w:rsid w:val="00332DBC"/>
    <w:rsid w:val="00333FB6"/>
    <w:rsid w:val="00334C09"/>
    <w:rsid w:val="00340B42"/>
    <w:rsid w:val="00343EBB"/>
    <w:rsid w:val="00345008"/>
    <w:rsid w:val="00346333"/>
    <w:rsid w:val="003473E8"/>
    <w:rsid w:val="00347629"/>
    <w:rsid w:val="00347F20"/>
    <w:rsid w:val="0035557D"/>
    <w:rsid w:val="003579D2"/>
    <w:rsid w:val="00367A78"/>
    <w:rsid w:val="00371706"/>
    <w:rsid w:val="003723D4"/>
    <w:rsid w:val="00372922"/>
    <w:rsid w:val="003738FD"/>
    <w:rsid w:val="00374B2C"/>
    <w:rsid w:val="003759BC"/>
    <w:rsid w:val="00376424"/>
    <w:rsid w:val="00377A7A"/>
    <w:rsid w:val="00377BD9"/>
    <w:rsid w:val="00377FBC"/>
    <w:rsid w:val="003800FD"/>
    <w:rsid w:val="00380271"/>
    <w:rsid w:val="00381905"/>
    <w:rsid w:val="00382E30"/>
    <w:rsid w:val="00384CC8"/>
    <w:rsid w:val="003858DA"/>
    <w:rsid w:val="00385FA4"/>
    <w:rsid w:val="0038698C"/>
    <w:rsid w:val="00386E44"/>
    <w:rsid w:val="003871FD"/>
    <w:rsid w:val="0039029C"/>
    <w:rsid w:val="00392839"/>
    <w:rsid w:val="00394D29"/>
    <w:rsid w:val="00394DA0"/>
    <w:rsid w:val="0039675C"/>
    <w:rsid w:val="003A1E30"/>
    <w:rsid w:val="003A2829"/>
    <w:rsid w:val="003A3F56"/>
    <w:rsid w:val="003A421B"/>
    <w:rsid w:val="003A48AD"/>
    <w:rsid w:val="003A7D1C"/>
    <w:rsid w:val="003B0BF5"/>
    <w:rsid w:val="003B0F3F"/>
    <w:rsid w:val="003B304B"/>
    <w:rsid w:val="003B3146"/>
    <w:rsid w:val="003B52EB"/>
    <w:rsid w:val="003B5AAC"/>
    <w:rsid w:val="003C34F3"/>
    <w:rsid w:val="003D52D7"/>
    <w:rsid w:val="003D6021"/>
    <w:rsid w:val="003D7028"/>
    <w:rsid w:val="003E21CE"/>
    <w:rsid w:val="003E3012"/>
    <w:rsid w:val="003E34A9"/>
    <w:rsid w:val="003E6E0F"/>
    <w:rsid w:val="003F015E"/>
    <w:rsid w:val="003F0EC1"/>
    <w:rsid w:val="003F3ACF"/>
    <w:rsid w:val="003F46B5"/>
    <w:rsid w:val="003F481F"/>
    <w:rsid w:val="00400414"/>
    <w:rsid w:val="00400EAC"/>
    <w:rsid w:val="00401E99"/>
    <w:rsid w:val="004035FB"/>
    <w:rsid w:val="00403817"/>
    <w:rsid w:val="00410F72"/>
    <w:rsid w:val="0041106B"/>
    <w:rsid w:val="0041110E"/>
    <w:rsid w:val="004113A1"/>
    <w:rsid w:val="004131E7"/>
    <w:rsid w:val="0041446B"/>
    <w:rsid w:val="00415905"/>
    <w:rsid w:val="0041782E"/>
    <w:rsid w:val="00425B07"/>
    <w:rsid w:val="0042779E"/>
    <w:rsid w:val="0043056C"/>
    <w:rsid w:val="00434082"/>
    <w:rsid w:val="00435C40"/>
    <w:rsid w:val="0044071E"/>
    <w:rsid w:val="00440D63"/>
    <w:rsid w:val="00440DCC"/>
    <w:rsid w:val="00440E80"/>
    <w:rsid w:val="00441816"/>
    <w:rsid w:val="00442331"/>
    <w:rsid w:val="00442842"/>
    <w:rsid w:val="0044329C"/>
    <w:rsid w:val="00444DDB"/>
    <w:rsid w:val="00445753"/>
    <w:rsid w:val="004470FC"/>
    <w:rsid w:val="0045210D"/>
    <w:rsid w:val="00453E24"/>
    <w:rsid w:val="00456962"/>
    <w:rsid w:val="004571F2"/>
    <w:rsid w:val="00457456"/>
    <w:rsid w:val="004577FE"/>
    <w:rsid w:val="00457B9C"/>
    <w:rsid w:val="00461035"/>
    <w:rsid w:val="0046164A"/>
    <w:rsid w:val="00462312"/>
    <w:rsid w:val="00462690"/>
    <w:rsid w:val="004628D2"/>
    <w:rsid w:val="00462DCD"/>
    <w:rsid w:val="004632A7"/>
    <w:rsid w:val="00463610"/>
    <w:rsid w:val="004638E0"/>
    <w:rsid w:val="00464016"/>
    <w:rsid w:val="00464259"/>
    <w:rsid w:val="004648AD"/>
    <w:rsid w:val="00464DC4"/>
    <w:rsid w:val="0046627A"/>
    <w:rsid w:val="004663C0"/>
    <w:rsid w:val="004703A9"/>
    <w:rsid w:val="00470412"/>
    <w:rsid w:val="00474300"/>
    <w:rsid w:val="004760DE"/>
    <w:rsid w:val="004763D7"/>
    <w:rsid w:val="004835A0"/>
    <w:rsid w:val="00484DF5"/>
    <w:rsid w:val="004874F4"/>
    <w:rsid w:val="00487CB5"/>
    <w:rsid w:val="00490F01"/>
    <w:rsid w:val="0049342A"/>
    <w:rsid w:val="004A004E"/>
    <w:rsid w:val="004A0A41"/>
    <w:rsid w:val="004A1BEB"/>
    <w:rsid w:val="004A1F17"/>
    <w:rsid w:val="004A24CF"/>
    <w:rsid w:val="004B3B24"/>
    <w:rsid w:val="004B3F88"/>
    <w:rsid w:val="004B413F"/>
    <w:rsid w:val="004B4ED1"/>
    <w:rsid w:val="004B621C"/>
    <w:rsid w:val="004C1747"/>
    <w:rsid w:val="004C3D1D"/>
    <w:rsid w:val="004C3D84"/>
    <w:rsid w:val="004C46FD"/>
    <w:rsid w:val="004C7913"/>
    <w:rsid w:val="004E3BD2"/>
    <w:rsid w:val="004E4DD6"/>
    <w:rsid w:val="004E60AD"/>
    <w:rsid w:val="004E7DA5"/>
    <w:rsid w:val="004F27FE"/>
    <w:rsid w:val="004F2F60"/>
    <w:rsid w:val="004F5182"/>
    <w:rsid w:val="004F5E36"/>
    <w:rsid w:val="004F5F41"/>
    <w:rsid w:val="004F7C64"/>
    <w:rsid w:val="005008F5"/>
    <w:rsid w:val="00500F53"/>
    <w:rsid w:val="00507B47"/>
    <w:rsid w:val="00507BEF"/>
    <w:rsid w:val="00507CC9"/>
    <w:rsid w:val="005119A5"/>
    <w:rsid w:val="00512350"/>
    <w:rsid w:val="00513BD0"/>
    <w:rsid w:val="0051568B"/>
    <w:rsid w:val="00515A20"/>
    <w:rsid w:val="00516913"/>
    <w:rsid w:val="00516F35"/>
    <w:rsid w:val="0052124B"/>
    <w:rsid w:val="00521C8E"/>
    <w:rsid w:val="00522930"/>
    <w:rsid w:val="00525237"/>
    <w:rsid w:val="00525590"/>
    <w:rsid w:val="005278B7"/>
    <w:rsid w:val="005303EF"/>
    <w:rsid w:val="00532016"/>
    <w:rsid w:val="005346C8"/>
    <w:rsid w:val="005361D4"/>
    <w:rsid w:val="00543E7D"/>
    <w:rsid w:val="00547A68"/>
    <w:rsid w:val="0055208C"/>
    <w:rsid w:val="005531C9"/>
    <w:rsid w:val="005534F8"/>
    <w:rsid w:val="0055559C"/>
    <w:rsid w:val="00557164"/>
    <w:rsid w:val="005628B3"/>
    <w:rsid w:val="0056440A"/>
    <w:rsid w:val="00564A14"/>
    <w:rsid w:val="00565CBB"/>
    <w:rsid w:val="00567CF1"/>
    <w:rsid w:val="00570C43"/>
    <w:rsid w:val="0057266D"/>
    <w:rsid w:val="00575234"/>
    <w:rsid w:val="0057790C"/>
    <w:rsid w:val="005863EF"/>
    <w:rsid w:val="00586B7A"/>
    <w:rsid w:val="00591DB8"/>
    <w:rsid w:val="00592B9D"/>
    <w:rsid w:val="0059341F"/>
    <w:rsid w:val="00594164"/>
    <w:rsid w:val="00595791"/>
    <w:rsid w:val="00596C5D"/>
    <w:rsid w:val="005A06D7"/>
    <w:rsid w:val="005A07AF"/>
    <w:rsid w:val="005A09CD"/>
    <w:rsid w:val="005A1794"/>
    <w:rsid w:val="005A2ED9"/>
    <w:rsid w:val="005A520F"/>
    <w:rsid w:val="005A7373"/>
    <w:rsid w:val="005B2110"/>
    <w:rsid w:val="005B2E76"/>
    <w:rsid w:val="005B3DC4"/>
    <w:rsid w:val="005B4CE4"/>
    <w:rsid w:val="005B61E6"/>
    <w:rsid w:val="005B6352"/>
    <w:rsid w:val="005C3BA4"/>
    <w:rsid w:val="005C5F39"/>
    <w:rsid w:val="005C649D"/>
    <w:rsid w:val="005C77E1"/>
    <w:rsid w:val="005D0380"/>
    <w:rsid w:val="005D2946"/>
    <w:rsid w:val="005D2E99"/>
    <w:rsid w:val="005D329D"/>
    <w:rsid w:val="005D3D81"/>
    <w:rsid w:val="005D4931"/>
    <w:rsid w:val="005D668A"/>
    <w:rsid w:val="005D6A2F"/>
    <w:rsid w:val="005D71B7"/>
    <w:rsid w:val="005D78D7"/>
    <w:rsid w:val="005E04C8"/>
    <w:rsid w:val="005E05F2"/>
    <w:rsid w:val="005E1A82"/>
    <w:rsid w:val="005E1AF5"/>
    <w:rsid w:val="005E27BE"/>
    <w:rsid w:val="005E43A5"/>
    <w:rsid w:val="005E58AB"/>
    <w:rsid w:val="005E59F3"/>
    <w:rsid w:val="005E6BC0"/>
    <w:rsid w:val="005E74B4"/>
    <w:rsid w:val="005E794C"/>
    <w:rsid w:val="005F0A28"/>
    <w:rsid w:val="005F0E5E"/>
    <w:rsid w:val="005F201F"/>
    <w:rsid w:val="005F309E"/>
    <w:rsid w:val="005F57E0"/>
    <w:rsid w:val="005F6BD4"/>
    <w:rsid w:val="00600535"/>
    <w:rsid w:val="00600A33"/>
    <w:rsid w:val="00602ED2"/>
    <w:rsid w:val="00603499"/>
    <w:rsid w:val="00607481"/>
    <w:rsid w:val="00610CD6"/>
    <w:rsid w:val="006118B0"/>
    <w:rsid w:val="006133EE"/>
    <w:rsid w:val="00614406"/>
    <w:rsid w:val="00620DEE"/>
    <w:rsid w:val="00621F92"/>
    <w:rsid w:val="0062246A"/>
    <w:rsid w:val="0062280A"/>
    <w:rsid w:val="00625639"/>
    <w:rsid w:val="006313C1"/>
    <w:rsid w:val="00631B33"/>
    <w:rsid w:val="0063548D"/>
    <w:rsid w:val="0063653B"/>
    <w:rsid w:val="0064184D"/>
    <w:rsid w:val="006422CC"/>
    <w:rsid w:val="006423E6"/>
    <w:rsid w:val="00642B51"/>
    <w:rsid w:val="0064346F"/>
    <w:rsid w:val="006505EA"/>
    <w:rsid w:val="0065236B"/>
    <w:rsid w:val="00655423"/>
    <w:rsid w:val="006556CD"/>
    <w:rsid w:val="006567CE"/>
    <w:rsid w:val="006602C9"/>
    <w:rsid w:val="00660E3E"/>
    <w:rsid w:val="00662A05"/>
    <w:rsid w:val="00662E74"/>
    <w:rsid w:val="0066377B"/>
    <w:rsid w:val="00664BCB"/>
    <w:rsid w:val="0066592F"/>
    <w:rsid w:val="0066648D"/>
    <w:rsid w:val="00667808"/>
    <w:rsid w:val="00667C11"/>
    <w:rsid w:val="006706DE"/>
    <w:rsid w:val="0067156E"/>
    <w:rsid w:val="00680C23"/>
    <w:rsid w:val="006831A2"/>
    <w:rsid w:val="00690E24"/>
    <w:rsid w:val="006923FD"/>
    <w:rsid w:val="00693766"/>
    <w:rsid w:val="00694882"/>
    <w:rsid w:val="00694CD2"/>
    <w:rsid w:val="006A0C58"/>
    <w:rsid w:val="006A19F5"/>
    <w:rsid w:val="006A3281"/>
    <w:rsid w:val="006A4CB2"/>
    <w:rsid w:val="006A576B"/>
    <w:rsid w:val="006A7CD9"/>
    <w:rsid w:val="006B1186"/>
    <w:rsid w:val="006B24EA"/>
    <w:rsid w:val="006B3280"/>
    <w:rsid w:val="006B328E"/>
    <w:rsid w:val="006B37D6"/>
    <w:rsid w:val="006B4888"/>
    <w:rsid w:val="006C2E45"/>
    <w:rsid w:val="006C359C"/>
    <w:rsid w:val="006C5579"/>
    <w:rsid w:val="006C55B1"/>
    <w:rsid w:val="006C6922"/>
    <w:rsid w:val="006D1512"/>
    <w:rsid w:val="006D58FC"/>
    <w:rsid w:val="006D6E8B"/>
    <w:rsid w:val="006E032A"/>
    <w:rsid w:val="006E049E"/>
    <w:rsid w:val="006E20AF"/>
    <w:rsid w:val="006E41A5"/>
    <w:rsid w:val="006E6348"/>
    <w:rsid w:val="006E6DBA"/>
    <w:rsid w:val="006E737D"/>
    <w:rsid w:val="006E75FE"/>
    <w:rsid w:val="006F2F4F"/>
    <w:rsid w:val="006F5808"/>
    <w:rsid w:val="00702223"/>
    <w:rsid w:val="007048A6"/>
    <w:rsid w:val="00705DFD"/>
    <w:rsid w:val="00705E6A"/>
    <w:rsid w:val="007116BF"/>
    <w:rsid w:val="00712895"/>
    <w:rsid w:val="0071356B"/>
    <w:rsid w:val="007136D9"/>
    <w:rsid w:val="00713973"/>
    <w:rsid w:val="00716BC8"/>
    <w:rsid w:val="00717714"/>
    <w:rsid w:val="00720A24"/>
    <w:rsid w:val="007219CE"/>
    <w:rsid w:val="007245AD"/>
    <w:rsid w:val="0073062C"/>
    <w:rsid w:val="00732386"/>
    <w:rsid w:val="00733F1E"/>
    <w:rsid w:val="0073514D"/>
    <w:rsid w:val="00742032"/>
    <w:rsid w:val="007427FC"/>
    <w:rsid w:val="007447F3"/>
    <w:rsid w:val="00745860"/>
    <w:rsid w:val="00745E9C"/>
    <w:rsid w:val="00746D83"/>
    <w:rsid w:val="00747332"/>
    <w:rsid w:val="00750B0C"/>
    <w:rsid w:val="00751458"/>
    <w:rsid w:val="00751A8D"/>
    <w:rsid w:val="007521BD"/>
    <w:rsid w:val="00753E31"/>
    <w:rsid w:val="0075499F"/>
    <w:rsid w:val="00755FB2"/>
    <w:rsid w:val="00756D8C"/>
    <w:rsid w:val="0076372B"/>
    <w:rsid w:val="0076521C"/>
    <w:rsid w:val="007661C8"/>
    <w:rsid w:val="00766DA5"/>
    <w:rsid w:val="0077098D"/>
    <w:rsid w:val="00772EF1"/>
    <w:rsid w:val="00776B09"/>
    <w:rsid w:val="007806C1"/>
    <w:rsid w:val="00780A71"/>
    <w:rsid w:val="0078269B"/>
    <w:rsid w:val="00783496"/>
    <w:rsid w:val="007856AE"/>
    <w:rsid w:val="00792BFC"/>
    <w:rsid w:val="007931FA"/>
    <w:rsid w:val="007965F5"/>
    <w:rsid w:val="007A0D6F"/>
    <w:rsid w:val="007A11BE"/>
    <w:rsid w:val="007A139E"/>
    <w:rsid w:val="007A1587"/>
    <w:rsid w:val="007A211D"/>
    <w:rsid w:val="007A27FF"/>
    <w:rsid w:val="007A3D31"/>
    <w:rsid w:val="007A4762"/>
    <w:rsid w:val="007A4861"/>
    <w:rsid w:val="007A5C8F"/>
    <w:rsid w:val="007A7426"/>
    <w:rsid w:val="007A7BBA"/>
    <w:rsid w:val="007A7C89"/>
    <w:rsid w:val="007B0C50"/>
    <w:rsid w:val="007B262C"/>
    <w:rsid w:val="007B3F5E"/>
    <w:rsid w:val="007B48F9"/>
    <w:rsid w:val="007B5698"/>
    <w:rsid w:val="007B59A6"/>
    <w:rsid w:val="007C011C"/>
    <w:rsid w:val="007C0C24"/>
    <w:rsid w:val="007C1A43"/>
    <w:rsid w:val="007C5073"/>
    <w:rsid w:val="007C649F"/>
    <w:rsid w:val="007C669E"/>
    <w:rsid w:val="007D0277"/>
    <w:rsid w:val="007D0951"/>
    <w:rsid w:val="007D09FD"/>
    <w:rsid w:val="007D0C6A"/>
    <w:rsid w:val="007D1A5A"/>
    <w:rsid w:val="007D4059"/>
    <w:rsid w:val="007D56B2"/>
    <w:rsid w:val="007D6A1F"/>
    <w:rsid w:val="007D79D6"/>
    <w:rsid w:val="007E03C5"/>
    <w:rsid w:val="007E6335"/>
    <w:rsid w:val="007F472E"/>
    <w:rsid w:val="007F696D"/>
    <w:rsid w:val="007F7F28"/>
    <w:rsid w:val="0080013E"/>
    <w:rsid w:val="008013CF"/>
    <w:rsid w:val="00804819"/>
    <w:rsid w:val="00805FE5"/>
    <w:rsid w:val="00807EC1"/>
    <w:rsid w:val="0081012B"/>
    <w:rsid w:val="00813288"/>
    <w:rsid w:val="008168FC"/>
    <w:rsid w:val="00820178"/>
    <w:rsid w:val="0082243E"/>
    <w:rsid w:val="008251AC"/>
    <w:rsid w:val="008276B2"/>
    <w:rsid w:val="00827AEA"/>
    <w:rsid w:val="00830996"/>
    <w:rsid w:val="00832637"/>
    <w:rsid w:val="008338F9"/>
    <w:rsid w:val="008345F1"/>
    <w:rsid w:val="00846F85"/>
    <w:rsid w:val="0084772F"/>
    <w:rsid w:val="0085499C"/>
    <w:rsid w:val="00855859"/>
    <w:rsid w:val="00860CD1"/>
    <w:rsid w:val="00861A77"/>
    <w:rsid w:val="00863C53"/>
    <w:rsid w:val="00864BF3"/>
    <w:rsid w:val="00864CF2"/>
    <w:rsid w:val="00865B07"/>
    <w:rsid w:val="008667EA"/>
    <w:rsid w:val="0087076E"/>
    <w:rsid w:val="008727E2"/>
    <w:rsid w:val="0087637F"/>
    <w:rsid w:val="008773D0"/>
    <w:rsid w:val="008775A0"/>
    <w:rsid w:val="00881B4B"/>
    <w:rsid w:val="00883E33"/>
    <w:rsid w:val="00883FD0"/>
    <w:rsid w:val="008849BD"/>
    <w:rsid w:val="00884FDB"/>
    <w:rsid w:val="008862B6"/>
    <w:rsid w:val="0089073E"/>
    <w:rsid w:val="00890ADB"/>
    <w:rsid w:val="00892AD5"/>
    <w:rsid w:val="008A1512"/>
    <w:rsid w:val="008A2C7C"/>
    <w:rsid w:val="008A3A05"/>
    <w:rsid w:val="008B1834"/>
    <w:rsid w:val="008B1C3A"/>
    <w:rsid w:val="008B2D8B"/>
    <w:rsid w:val="008B388E"/>
    <w:rsid w:val="008B50DF"/>
    <w:rsid w:val="008B6753"/>
    <w:rsid w:val="008B7373"/>
    <w:rsid w:val="008B73A4"/>
    <w:rsid w:val="008C3AEA"/>
    <w:rsid w:val="008C5352"/>
    <w:rsid w:val="008C677B"/>
    <w:rsid w:val="008C6ADB"/>
    <w:rsid w:val="008D1145"/>
    <w:rsid w:val="008D32B9"/>
    <w:rsid w:val="008D433B"/>
    <w:rsid w:val="008D4A16"/>
    <w:rsid w:val="008D58B9"/>
    <w:rsid w:val="008E566E"/>
    <w:rsid w:val="008F0FDF"/>
    <w:rsid w:val="008F4BE1"/>
    <w:rsid w:val="008F5192"/>
    <w:rsid w:val="008F68C4"/>
    <w:rsid w:val="009010A1"/>
    <w:rsid w:val="0090161A"/>
    <w:rsid w:val="00901EB6"/>
    <w:rsid w:val="00902868"/>
    <w:rsid w:val="00904C62"/>
    <w:rsid w:val="00905BCC"/>
    <w:rsid w:val="00906C19"/>
    <w:rsid w:val="00906DFE"/>
    <w:rsid w:val="0092012D"/>
    <w:rsid w:val="0092075A"/>
    <w:rsid w:val="0092097C"/>
    <w:rsid w:val="009220C3"/>
    <w:rsid w:val="009224BC"/>
    <w:rsid w:val="00922BA8"/>
    <w:rsid w:val="009246E2"/>
    <w:rsid w:val="00924DAC"/>
    <w:rsid w:val="00927058"/>
    <w:rsid w:val="0093313F"/>
    <w:rsid w:val="00933EEF"/>
    <w:rsid w:val="009340F8"/>
    <w:rsid w:val="009346F1"/>
    <w:rsid w:val="009353FD"/>
    <w:rsid w:val="00936739"/>
    <w:rsid w:val="00937922"/>
    <w:rsid w:val="0094206B"/>
    <w:rsid w:val="009426CA"/>
    <w:rsid w:val="00942750"/>
    <w:rsid w:val="00943051"/>
    <w:rsid w:val="00944B4F"/>
    <w:rsid w:val="009450CE"/>
    <w:rsid w:val="009459BB"/>
    <w:rsid w:val="00947179"/>
    <w:rsid w:val="009477A9"/>
    <w:rsid w:val="0095164B"/>
    <w:rsid w:val="00952232"/>
    <w:rsid w:val="00954090"/>
    <w:rsid w:val="009547D4"/>
    <w:rsid w:val="00955162"/>
    <w:rsid w:val="009567D5"/>
    <w:rsid w:val="00956A1A"/>
    <w:rsid w:val="00956ADA"/>
    <w:rsid w:val="00956D49"/>
    <w:rsid w:val="009573E7"/>
    <w:rsid w:val="00960FD6"/>
    <w:rsid w:val="00961C85"/>
    <w:rsid w:val="00962A92"/>
    <w:rsid w:val="00963E05"/>
    <w:rsid w:val="00964A45"/>
    <w:rsid w:val="00964BC8"/>
    <w:rsid w:val="009659EF"/>
    <w:rsid w:val="00967843"/>
    <w:rsid w:val="00967D54"/>
    <w:rsid w:val="00971028"/>
    <w:rsid w:val="00972E60"/>
    <w:rsid w:val="0097304E"/>
    <w:rsid w:val="00977DEF"/>
    <w:rsid w:val="00981C83"/>
    <w:rsid w:val="0098472D"/>
    <w:rsid w:val="00993B84"/>
    <w:rsid w:val="00994D0C"/>
    <w:rsid w:val="00996483"/>
    <w:rsid w:val="00996F5A"/>
    <w:rsid w:val="009A0A91"/>
    <w:rsid w:val="009A40C3"/>
    <w:rsid w:val="009A79DA"/>
    <w:rsid w:val="009B041A"/>
    <w:rsid w:val="009B16E7"/>
    <w:rsid w:val="009B1E74"/>
    <w:rsid w:val="009B7CBC"/>
    <w:rsid w:val="009C31B5"/>
    <w:rsid w:val="009C37C3"/>
    <w:rsid w:val="009C3D85"/>
    <w:rsid w:val="009C612A"/>
    <w:rsid w:val="009C7C86"/>
    <w:rsid w:val="009D2508"/>
    <w:rsid w:val="009D2FF7"/>
    <w:rsid w:val="009D3012"/>
    <w:rsid w:val="009D3974"/>
    <w:rsid w:val="009D3DFD"/>
    <w:rsid w:val="009D4567"/>
    <w:rsid w:val="009D52A7"/>
    <w:rsid w:val="009D5AB1"/>
    <w:rsid w:val="009D66FC"/>
    <w:rsid w:val="009D701E"/>
    <w:rsid w:val="009D7047"/>
    <w:rsid w:val="009E0259"/>
    <w:rsid w:val="009E0EBE"/>
    <w:rsid w:val="009E5C82"/>
    <w:rsid w:val="009E5F6C"/>
    <w:rsid w:val="009E74DD"/>
    <w:rsid w:val="009E7884"/>
    <w:rsid w:val="009E788A"/>
    <w:rsid w:val="009E7FA6"/>
    <w:rsid w:val="009F007B"/>
    <w:rsid w:val="009F0473"/>
    <w:rsid w:val="009F0E08"/>
    <w:rsid w:val="009F473A"/>
    <w:rsid w:val="009F70D9"/>
    <w:rsid w:val="00A05EBB"/>
    <w:rsid w:val="00A10888"/>
    <w:rsid w:val="00A113F4"/>
    <w:rsid w:val="00A1286B"/>
    <w:rsid w:val="00A13409"/>
    <w:rsid w:val="00A14365"/>
    <w:rsid w:val="00A16F60"/>
    <w:rsid w:val="00A1763D"/>
    <w:rsid w:val="00A17CEC"/>
    <w:rsid w:val="00A20444"/>
    <w:rsid w:val="00A21154"/>
    <w:rsid w:val="00A23369"/>
    <w:rsid w:val="00A2421D"/>
    <w:rsid w:val="00A246CF"/>
    <w:rsid w:val="00A26C8A"/>
    <w:rsid w:val="00A27040"/>
    <w:rsid w:val="00A27546"/>
    <w:rsid w:val="00A27EF0"/>
    <w:rsid w:val="00A30BE7"/>
    <w:rsid w:val="00A319F5"/>
    <w:rsid w:val="00A3417D"/>
    <w:rsid w:val="00A34988"/>
    <w:rsid w:val="00A34F16"/>
    <w:rsid w:val="00A37CDD"/>
    <w:rsid w:val="00A37E93"/>
    <w:rsid w:val="00A4012A"/>
    <w:rsid w:val="00A42162"/>
    <w:rsid w:val="00A42361"/>
    <w:rsid w:val="00A50AE0"/>
    <w:rsid w:val="00A50B20"/>
    <w:rsid w:val="00A51227"/>
    <w:rsid w:val="00A51390"/>
    <w:rsid w:val="00A5233A"/>
    <w:rsid w:val="00A559A6"/>
    <w:rsid w:val="00A576B6"/>
    <w:rsid w:val="00A60D13"/>
    <w:rsid w:val="00A63949"/>
    <w:rsid w:val="00A679F5"/>
    <w:rsid w:val="00A7223D"/>
    <w:rsid w:val="00A72745"/>
    <w:rsid w:val="00A72C51"/>
    <w:rsid w:val="00A7417E"/>
    <w:rsid w:val="00A75CBD"/>
    <w:rsid w:val="00A76EAB"/>
    <w:rsid w:val="00A76EFC"/>
    <w:rsid w:val="00A8386F"/>
    <w:rsid w:val="00A87143"/>
    <w:rsid w:val="00A87D50"/>
    <w:rsid w:val="00A91010"/>
    <w:rsid w:val="00A91C01"/>
    <w:rsid w:val="00A929D4"/>
    <w:rsid w:val="00A94CBF"/>
    <w:rsid w:val="00A95B6C"/>
    <w:rsid w:val="00A966C5"/>
    <w:rsid w:val="00A97F29"/>
    <w:rsid w:val="00AA702E"/>
    <w:rsid w:val="00AA7D26"/>
    <w:rsid w:val="00AB0059"/>
    <w:rsid w:val="00AB0964"/>
    <w:rsid w:val="00AB0D5D"/>
    <w:rsid w:val="00AB2F5F"/>
    <w:rsid w:val="00AB5011"/>
    <w:rsid w:val="00AB5DD6"/>
    <w:rsid w:val="00AB68EE"/>
    <w:rsid w:val="00AC5E64"/>
    <w:rsid w:val="00AC6945"/>
    <w:rsid w:val="00AC6A68"/>
    <w:rsid w:val="00AC7368"/>
    <w:rsid w:val="00AD0B94"/>
    <w:rsid w:val="00AD16B9"/>
    <w:rsid w:val="00AD3D5E"/>
    <w:rsid w:val="00AD3E66"/>
    <w:rsid w:val="00AD74BA"/>
    <w:rsid w:val="00AD7CA8"/>
    <w:rsid w:val="00AE377D"/>
    <w:rsid w:val="00AE6922"/>
    <w:rsid w:val="00AE77A2"/>
    <w:rsid w:val="00AF0CEF"/>
    <w:rsid w:val="00AF0EBA"/>
    <w:rsid w:val="00AF5456"/>
    <w:rsid w:val="00B02C8A"/>
    <w:rsid w:val="00B053CC"/>
    <w:rsid w:val="00B0590D"/>
    <w:rsid w:val="00B065C0"/>
    <w:rsid w:val="00B07D1C"/>
    <w:rsid w:val="00B17FBD"/>
    <w:rsid w:val="00B21F49"/>
    <w:rsid w:val="00B23047"/>
    <w:rsid w:val="00B25A24"/>
    <w:rsid w:val="00B2659F"/>
    <w:rsid w:val="00B315A6"/>
    <w:rsid w:val="00B31813"/>
    <w:rsid w:val="00B33365"/>
    <w:rsid w:val="00B378E9"/>
    <w:rsid w:val="00B4502E"/>
    <w:rsid w:val="00B50CD4"/>
    <w:rsid w:val="00B52D4F"/>
    <w:rsid w:val="00B55C03"/>
    <w:rsid w:val="00B57B36"/>
    <w:rsid w:val="00B57E6F"/>
    <w:rsid w:val="00B60E5A"/>
    <w:rsid w:val="00B6376B"/>
    <w:rsid w:val="00B6483B"/>
    <w:rsid w:val="00B65472"/>
    <w:rsid w:val="00B67BA7"/>
    <w:rsid w:val="00B71DED"/>
    <w:rsid w:val="00B72DA8"/>
    <w:rsid w:val="00B73503"/>
    <w:rsid w:val="00B739A5"/>
    <w:rsid w:val="00B8211F"/>
    <w:rsid w:val="00B8431F"/>
    <w:rsid w:val="00B8532F"/>
    <w:rsid w:val="00B8686D"/>
    <w:rsid w:val="00B918AB"/>
    <w:rsid w:val="00B93F69"/>
    <w:rsid w:val="00B95AD6"/>
    <w:rsid w:val="00BA0391"/>
    <w:rsid w:val="00BA24FD"/>
    <w:rsid w:val="00BA310A"/>
    <w:rsid w:val="00BA3BD7"/>
    <w:rsid w:val="00BA5432"/>
    <w:rsid w:val="00BB1DDC"/>
    <w:rsid w:val="00BB2870"/>
    <w:rsid w:val="00BB3AF3"/>
    <w:rsid w:val="00BC1804"/>
    <w:rsid w:val="00BC30C9"/>
    <w:rsid w:val="00BC6BF5"/>
    <w:rsid w:val="00BC7DA0"/>
    <w:rsid w:val="00BD077D"/>
    <w:rsid w:val="00BD28AD"/>
    <w:rsid w:val="00BD4428"/>
    <w:rsid w:val="00BD7BFE"/>
    <w:rsid w:val="00BE05BC"/>
    <w:rsid w:val="00BE0746"/>
    <w:rsid w:val="00BE1A43"/>
    <w:rsid w:val="00BE1D73"/>
    <w:rsid w:val="00BE3021"/>
    <w:rsid w:val="00BE3E58"/>
    <w:rsid w:val="00BE4A70"/>
    <w:rsid w:val="00BE69B6"/>
    <w:rsid w:val="00BF1DB0"/>
    <w:rsid w:val="00BF65D7"/>
    <w:rsid w:val="00BF7501"/>
    <w:rsid w:val="00C01616"/>
    <w:rsid w:val="00C0162B"/>
    <w:rsid w:val="00C038F6"/>
    <w:rsid w:val="00C05897"/>
    <w:rsid w:val="00C068ED"/>
    <w:rsid w:val="00C075C9"/>
    <w:rsid w:val="00C12798"/>
    <w:rsid w:val="00C13688"/>
    <w:rsid w:val="00C176B7"/>
    <w:rsid w:val="00C17ACA"/>
    <w:rsid w:val="00C22370"/>
    <w:rsid w:val="00C22389"/>
    <w:rsid w:val="00C22E0C"/>
    <w:rsid w:val="00C243E3"/>
    <w:rsid w:val="00C24CD3"/>
    <w:rsid w:val="00C25AC9"/>
    <w:rsid w:val="00C27806"/>
    <w:rsid w:val="00C27F1B"/>
    <w:rsid w:val="00C308FA"/>
    <w:rsid w:val="00C32E66"/>
    <w:rsid w:val="00C336A2"/>
    <w:rsid w:val="00C345B1"/>
    <w:rsid w:val="00C40142"/>
    <w:rsid w:val="00C40529"/>
    <w:rsid w:val="00C439B3"/>
    <w:rsid w:val="00C44712"/>
    <w:rsid w:val="00C45035"/>
    <w:rsid w:val="00C4601E"/>
    <w:rsid w:val="00C475C9"/>
    <w:rsid w:val="00C52801"/>
    <w:rsid w:val="00C52C3C"/>
    <w:rsid w:val="00C553CB"/>
    <w:rsid w:val="00C55A42"/>
    <w:rsid w:val="00C566ED"/>
    <w:rsid w:val="00C57182"/>
    <w:rsid w:val="00C57863"/>
    <w:rsid w:val="00C621F7"/>
    <w:rsid w:val="00C62386"/>
    <w:rsid w:val="00C6400E"/>
    <w:rsid w:val="00C640AF"/>
    <w:rsid w:val="00C64AAA"/>
    <w:rsid w:val="00C655FD"/>
    <w:rsid w:val="00C6659C"/>
    <w:rsid w:val="00C675DC"/>
    <w:rsid w:val="00C67B20"/>
    <w:rsid w:val="00C70793"/>
    <w:rsid w:val="00C724AB"/>
    <w:rsid w:val="00C733BF"/>
    <w:rsid w:val="00C74F39"/>
    <w:rsid w:val="00C75407"/>
    <w:rsid w:val="00C75B39"/>
    <w:rsid w:val="00C75B9A"/>
    <w:rsid w:val="00C8322C"/>
    <w:rsid w:val="00C83D9B"/>
    <w:rsid w:val="00C84708"/>
    <w:rsid w:val="00C85C06"/>
    <w:rsid w:val="00C86F40"/>
    <w:rsid w:val="00C870A8"/>
    <w:rsid w:val="00C92CC0"/>
    <w:rsid w:val="00C94434"/>
    <w:rsid w:val="00C94EB5"/>
    <w:rsid w:val="00C96632"/>
    <w:rsid w:val="00CA00C1"/>
    <w:rsid w:val="00CA0D75"/>
    <w:rsid w:val="00CA1C95"/>
    <w:rsid w:val="00CA5552"/>
    <w:rsid w:val="00CA5A9C"/>
    <w:rsid w:val="00CA7251"/>
    <w:rsid w:val="00CA7BBB"/>
    <w:rsid w:val="00CB1A19"/>
    <w:rsid w:val="00CB3D78"/>
    <w:rsid w:val="00CB761E"/>
    <w:rsid w:val="00CC1AAF"/>
    <w:rsid w:val="00CC2DE8"/>
    <w:rsid w:val="00CC4371"/>
    <w:rsid w:val="00CC4C20"/>
    <w:rsid w:val="00CC57F8"/>
    <w:rsid w:val="00CC7CA1"/>
    <w:rsid w:val="00CD08DE"/>
    <w:rsid w:val="00CD0E75"/>
    <w:rsid w:val="00CD3005"/>
    <w:rsid w:val="00CD3517"/>
    <w:rsid w:val="00CD43FD"/>
    <w:rsid w:val="00CD5BC7"/>
    <w:rsid w:val="00CD5FE2"/>
    <w:rsid w:val="00CE162A"/>
    <w:rsid w:val="00CE7C68"/>
    <w:rsid w:val="00CF13A2"/>
    <w:rsid w:val="00CF1C3E"/>
    <w:rsid w:val="00CF56AF"/>
    <w:rsid w:val="00CF77DE"/>
    <w:rsid w:val="00CF7B91"/>
    <w:rsid w:val="00D02B4C"/>
    <w:rsid w:val="00D040C4"/>
    <w:rsid w:val="00D15C8E"/>
    <w:rsid w:val="00D16F8C"/>
    <w:rsid w:val="00D17560"/>
    <w:rsid w:val="00D20AD1"/>
    <w:rsid w:val="00D2791F"/>
    <w:rsid w:val="00D3413F"/>
    <w:rsid w:val="00D35B1A"/>
    <w:rsid w:val="00D37357"/>
    <w:rsid w:val="00D408B3"/>
    <w:rsid w:val="00D424DF"/>
    <w:rsid w:val="00D43268"/>
    <w:rsid w:val="00D446EB"/>
    <w:rsid w:val="00D446EE"/>
    <w:rsid w:val="00D46B7E"/>
    <w:rsid w:val="00D53E8A"/>
    <w:rsid w:val="00D562BC"/>
    <w:rsid w:val="00D5679E"/>
    <w:rsid w:val="00D57240"/>
    <w:rsid w:val="00D5761B"/>
    <w:rsid w:val="00D57C84"/>
    <w:rsid w:val="00D6057D"/>
    <w:rsid w:val="00D61BBD"/>
    <w:rsid w:val="00D61F5A"/>
    <w:rsid w:val="00D65355"/>
    <w:rsid w:val="00D656FD"/>
    <w:rsid w:val="00D661EE"/>
    <w:rsid w:val="00D71640"/>
    <w:rsid w:val="00D83338"/>
    <w:rsid w:val="00D8338F"/>
    <w:rsid w:val="00D836C5"/>
    <w:rsid w:val="00D84576"/>
    <w:rsid w:val="00D85487"/>
    <w:rsid w:val="00D9416D"/>
    <w:rsid w:val="00DA1399"/>
    <w:rsid w:val="00DA1AF0"/>
    <w:rsid w:val="00DA21A9"/>
    <w:rsid w:val="00DA24C6"/>
    <w:rsid w:val="00DA271D"/>
    <w:rsid w:val="00DA2EFB"/>
    <w:rsid w:val="00DA3DC8"/>
    <w:rsid w:val="00DA42CA"/>
    <w:rsid w:val="00DA4D7B"/>
    <w:rsid w:val="00DA657B"/>
    <w:rsid w:val="00DB0422"/>
    <w:rsid w:val="00DB2080"/>
    <w:rsid w:val="00DB29F1"/>
    <w:rsid w:val="00DB7C59"/>
    <w:rsid w:val="00DC252C"/>
    <w:rsid w:val="00DC4260"/>
    <w:rsid w:val="00DC42EF"/>
    <w:rsid w:val="00DD271C"/>
    <w:rsid w:val="00DD5DAC"/>
    <w:rsid w:val="00DD7267"/>
    <w:rsid w:val="00DD7407"/>
    <w:rsid w:val="00DE1F29"/>
    <w:rsid w:val="00DE264A"/>
    <w:rsid w:val="00DE31DE"/>
    <w:rsid w:val="00DF4A4C"/>
    <w:rsid w:val="00DF4E14"/>
    <w:rsid w:val="00DF5072"/>
    <w:rsid w:val="00DF6049"/>
    <w:rsid w:val="00E0092A"/>
    <w:rsid w:val="00E021ED"/>
    <w:rsid w:val="00E02C50"/>
    <w:rsid w:val="00E02D18"/>
    <w:rsid w:val="00E0322C"/>
    <w:rsid w:val="00E041E7"/>
    <w:rsid w:val="00E042BA"/>
    <w:rsid w:val="00E04FD5"/>
    <w:rsid w:val="00E16EF2"/>
    <w:rsid w:val="00E23CA1"/>
    <w:rsid w:val="00E2526D"/>
    <w:rsid w:val="00E26C1D"/>
    <w:rsid w:val="00E30222"/>
    <w:rsid w:val="00E30CC0"/>
    <w:rsid w:val="00E31C6A"/>
    <w:rsid w:val="00E330A8"/>
    <w:rsid w:val="00E37285"/>
    <w:rsid w:val="00E373F7"/>
    <w:rsid w:val="00E409A8"/>
    <w:rsid w:val="00E41FF9"/>
    <w:rsid w:val="00E4367F"/>
    <w:rsid w:val="00E50C12"/>
    <w:rsid w:val="00E51777"/>
    <w:rsid w:val="00E52592"/>
    <w:rsid w:val="00E53B93"/>
    <w:rsid w:val="00E54966"/>
    <w:rsid w:val="00E57219"/>
    <w:rsid w:val="00E63D4E"/>
    <w:rsid w:val="00E65B91"/>
    <w:rsid w:val="00E7209D"/>
    <w:rsid w:val="00E72EAD"/>
    <w:rsid w:val="00E72FA5"/>
    <w:rsid w:val="00E74503"/>
    <w:rsid w:val="00E77190"/>
    <w:rsid w:val="00E77223"/>
    <w:rsid w:val="00E81D4F"/>
    <w:rsid w:val="00E82ADC"/>
    <w:rsid w:val="00E841A1"/>
    <w:rsid w:val="00E84A26"/>
    <w:rsid w:val="00E8528B"/>
    <w:rsid w:val="00E85B94"/>
    <w:rsid w:val="00E87C41"/>
    <w:rsid w:val="00E92F03"/>
    <w:rsid w:val="00E941CA"/>
    <w:rsid w:val="00E952C3"/>
    <w:rsid w:val="00E9590A"/>
    <w:rsid w:val="00E978D0"/>
    <w:rsid w:val="00E97A86"/>
    <w:rsid w:val="00EA4613"/>
    <w:rsid w:val="00EA7F91"/>
    <w:rsid w:val="00EB1523"/>
    <w:rsid w:val="00EB5AA4"/>
    <w:rsid w:val="00EB5C2B"/>
    <w:rsid w:val="00EB7168"/>
    <w:rsid w:val="00EB7F5F"/>
    <w:rsid w:val="00EC0E49"/>
    <w:rsid w:val="00EC101F"/>
    <w:rsid w:val="00EC1D9F"/>
    <w:rsid w:val="00EC4234"/>
    <w:rsid w:val="00EC6C6F"/>
    <w:rsid w:val="00EC7163"/>
    <w:rsid w:val="00EC7589"/>
    <w:rsid w:val="00EC7DF2"/>
    <w:rsid w:val="00ED0CAC"/>
    <w:rsid w:val="00ED236A"/>
    <w:rsid w:val="00ED4E44"/>
    <w:rsid w:val="00ED6290"/>
    <w:rsid w:val="00EE0131"/>
    <w:rsid w:val="00EE0C00"/>
    <w:rsid w:val="00EE1267"/>
    <w:rsid w:val="00EE17B0"/>
    <w:rsid w:val="00EE2463"/>
    <w:rsid w:val="00EE29AC"/>
    <w:rsid w:val="00EE2F71"/>
    <w:rsid w:val="00EE3381"/>
    <w:rsid w:val="00EE65F1"/>
    <w:rsid w:val="00EE6B93"/>
    <w:rsid w:val="00EF06D9"/>
    <w:rsid w:val="00EF0BBB"/>
    <w:rsid w:val="00EF1003"/>
    <w:rsid w:val="00EF1925"/>
    <w:rsid w:val="00EF2ACB"/>
    <w:rsid w:val="00EF48CB"/>
    <w:rsid w:val="00EF5A40"/>
    <w:rsid w:val="00F02993"/>
    <w:rsid w:val="00F03A05"/>
    <w:rsid w:val="00F04835"/>
    <w:rsid w:val="00F05C8B"/>
    <w:rsid w:val="00F06050"/>
    <w:rsid w:val="00F0771B"/>
    <w:rsid w:val="00F10314"/>
    <w:rsid w:val="00F12AD6"/>
    <w:rsid w:val="00F153BF"/>
    <w:rsid w:val="00F17499"/>
    <w:rsid w:val="00F17924"/>
    <w:rsid w:val="00F20029"/>
    <w:rsid w:val="00F231D6"/>
    <w:rsid w:val="00F232B8"/>
    <w:rsid w:val="00F2353C"/>
    <w:rsid w:val="00F25B73"/>
    <w:rsid w:val="00F26E6A"/>
    <w:rsid w:val="00F27321"/>
    <w:rsid w:val="00F3049E"/>
    <w:rsid w:val="00F30C64"/>
    <w:rsid w:val="00F32BA2"/>
    <w:rsid w:val="00F32CDB"/>
    <w:rsid w:val="00F33820"/>
    <w:rsid w:val="00F406E1"/>
    <w:rsid w:val="00F437F3"/>
    <w:rsid w:val="00F44A49"/>
    <w:rsid w:val="00F54275"/>
    <w:rsid w:val="00F565FE"/>
    <w:rsid w:val="00F57B79"/>
    <w:rsid w:val="00F61D56"/>
    <w:rsid w:val="00F623DC"/>
    <w:rsid w:val="00F63A70"/>
    <w:rsid w:val="00F63D8C"/>
    <w:rsid w:val="00F64301"/>
    <w:rsid w:val="00F65A05"/>
    <w:rsid w:val="00F660F1"/>
    <w:rsid w:val="00F70037"/>
    <w:rsid w:val="00F71687"/>
    <w:rsid w:val="00F734B7"/>
    <w:rsid w:val="00F73B09"/>
    <w:rsid w:val="00F7534E"/>
    <w:rsid w:val="00F77119"/>
    <w:rsid w:val="00F77FB8"/>
    <w:rsid w:val="00F8048D"/>
    <w:rsid w:val="00F8081C"/>
    <w:rsid w:val="00F81AF3"/>
    <w:rsid w:val="00F8559C"/>
    <w:rsid w:val="00F85F25"/>
    <w:rsid w:val="00F92C3F"/>
    <w:rsid w:val="00F92FE0"/>
    <w:rsid w:val="00F93457"/>
    <w:rsid w:val="00F93EDF"/>
    <w:rsid w:val="00F9743D"/>
    <w:rsid w:val="00FA00AD"/>
    <w:rsid w:val="00FA1802"/>
    <w:rsid w:val="00FA21D0"/>
    <w:rsid w:val="00FA2E4B"/>
    <w:rsid w:val="00FA338A"/>
    <w:rsid w:val="00FA4397"/>
    <w:rsid w:val="00FA5F5F"/>
    <w:rsid w:val="00FA63B0"/>
    <w:rsid w:val="00FA6AA4"/>
    <w:rsid w:val="00FB1E0A"/>
    <w:rsid w:val="00FB23BD"/>
    <w:rsid w:val="00FB48D6"/>
    <w:rsid w:val="00FB5234"/>
    <w:rsid w:val="00FB5D37"/>
    <w:rsid w:val="00FB66D3"/>
    <w:rsid w:val="00FB730C"/>
    <w:rsid w:val="00FC0539"/>
    <w:rsid w:val="00FC2695"/>
    <w:rsid w:val="00FC3E03"/>
    <w:rsid w:val="00FC3FC1"/>
    <w:rsid w:val="00FC55B6"/>
    <w:rsid w:val="00FC6DF2"/>
    <w:rsid w:val="00FC7E7F"/>
    <w:rsid w:val="00FD167D"/>
    <w:rsid w:val="00FD757B"/>
    <w:rsid w:val="00FE0DBF"/>
    <w:rsid w:val="00FE2B29"/>
    <w:rsid w:val="00FE5839"/>
    <w:rsid w:val="00FE72AA"/>
    <w:rsid w:val="00FF19F7"/>
    <w:rsid w:val="00FF3214"/>
    <w:rsid w:val="00FF3C1B"/>
    <w:rsid w:val="00FF5601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2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9D66FC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053887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053887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paragraph" w:customStyle="1" w:styleId="Abstract">
    <w:name w:val="Abstract"/>
    <w:basedOn w:val="Normale"/>
    <w:rsid w:val="00C176B7"/>
    <w:pPr>
      <w:tabs>
        <w:tab w:val="clear" w:pos="7100"/>
      </w:tabs>
      <w:spacing w:before="360" w:line="240" w:lineRule="auto"/>
    </w:pPr>
    <w:rPr>
      <w:rFonts w:ascii="Times New Roman" w:hAnsi="Times New Roman"/>
      <w:sz w:val="20"/>
      <w:lang w:val="en-US"/>
    </w:rPr>
  </w:style>
  <w:style w:type="paragraph" w:customStyle="1" w:styleId="StyleFigureCaptionCentr">
    <w:name w:val="Style FigureCaption + Centré"/>
    <w:basedOn w:val="Normale"/>
    <w:rsid w:val="00C176B7"/>
    <w:pPr>
      <w:tabs>
        <w:tab w:val="clear" w:pos="7100"/>
      </w:tabs>
      <w:spacing w:line="240" w:lineRule="auto"/>
      <w:jc w:val="center"/>
    </w:pPr>
    <w:rPr>
      <w:rFonts w:ascii="Times New Roman" w:hAnsi="Times New Roman"/>
      <w:sz w:val="20"/>
      <w:lang w:val="en-US"/>
    </w:rPr>
  </w:style>
  <w:style w:type="paragraph" w:styleId="Revisione">
    <w:name w:val="Revision"/>
    <w:hidden/>
    <w:uiPriority w:val="99"/>
    <w:semiHidden/>
    <w:rsid w:val="00D5761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3580</Words>
  <Characters>20411</Characters>
  <Application>Microsoft Office Word</Application>
  <DocSecurity>0</DocSecurity>
  <Lines>170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DOMENICO FLAGIELLO</cp:lastModifiedBy>
  <cp:revision>169</cp:revision>
  <cp:lastPrinted>2023-02-13T18:12:00Z</cp:lastPrinted>
  <dcterms:created xsi:type="dcterms:W3CDTF">2023-02-04T17:40:00Z</dcterms:created>
  <dcterms:modified xsi:type="dcterms:W3CDTF">2023-04-03T08:14:00Z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