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8754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8754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87545">
        <w:trPr>
          <w:trHeight w:val="68"/>
          <w:jc w:val="center"/>
        </w:trPr>
        <w:tc>
          <w:tcPr>
            <w:tcW w:w="8782"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r w:rsidRPr="00293D18">
              <w:rPr>
                <w:rFonts w:ascii="Tahoma" w:hAnsi="Tahoma" w:cs="Tahoma"/>
                <w:sz w:val="14"/>
                <w:szCs w:val="14"/>
              </w:rPr>
              <w:t xml:space="preserve">,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Jaromír </w:t>
            </w:r>
            <w:proofErr w:type="spellStart"/>
            <w:r w:rsidRPr="00293D18">
              <w:rPr>
                <w:rFonts w:ascii="Tahoma" w:hAnsi="Tahoma" w:cs="Tahoma"/>
                <w:sz w:val="14"/>
                <w:szCs w:val="14"/>
                <w:shd w:val="clear" w:color="auto" w:fill="FFFFFF"/>
              </w:rPr>
              <w:t>Klemeš</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78CEFE4A" w:rsidR="00E978D0" w:rsidRPr="00B57B36" w:rsidRDefault="00887545" w:rsidP="00E978D0">
      <w:pPr>
        <w:pStyle w:val="CETTitle"/>
      </w:pPr>
      <w:r w:rsidRPr="00887545">
        <w:t xml:space="preserve">Helium </w:t>
      </w:r>
      <w:r w:rsidR="000F09B8">
        <w:t>S</w:t>
      </w:r>
      <w:r w:rsidRPr="00887545">
        <w:t xml:space="preserve">hortage 4.0: </w:t>
      </w:r>
      <w:r w:rsidR="000F09B8">
        <w:t>H</w:t>
      </w:r>
      <w:r w:rsidRPr="00887545">
        <w:t xml:space="preserve">ow to </w:t>
      </w:r>
      <w:r w:rsidR="000F09B8">
        <w:t>F</w:t>
      </w:r>
      <w:r w:rsidRPr="00887545">
        <w:t xml:space="preserve">ace the </w:t>
      </w:r>
      <w:r w:rsidR="000F09B8">
        <w:t>P</w:t>
      </w:r>
      <w:r w:rsidRPr="00887545">
        <w:t xml:space="preserve">roblem </w:t>
      </w:r>
      <w:r w:rsidR="000F09B8">
        <w:t>T</w:t>
      </w:r>
      <w:r w:rsidRPr="00887545">
        <w:t xml:space="preserve">hrough its </w:t>
      </w:r>
      <w:r w:rsidR="000F09B8">
        <w:t>E</w:t>
      </w:r>
      <w:r w:rsidRPr="00887545">
        <w:t xml:space="preserve">nergy-efficient </w:t>
      </w:r>
      <w:r w:rsidR="000F09B8">
        <w:t>R</w:t>
      </w:r>
      <w:r w:rsidRPr="00887545">
        <w:t xml:space="preserve">ecovery from </w:t>
      </w:r>
      <w:r w:rsidR="000F09B8">
        <w:t>N</w:t>
      </w:r>
      <w:r w:rsidRPr="00887545">
        <w:t xml:space="preserve">atural </w:t>
      </w:r>
      <w:r w:rsidR="000F09B8">
        <w:t>G</w:t>
      </w:r>
      <w:r w:rsidRPr="00887545">
        <w:t>as</w:t>
      </w:r>
    </w:p>
    <w:p w14:paraId="0488FED2" w14:textId="0DE88F37" w:rsidR="00B57E6F" w:rsidRPr="00887545" w:rsidRDefault="00887545" w:rsidP="00887545">
      <w:pPr>
        <w:pStyle w:val="CETAuthors"/>
        <w:jc w:val="center"/>
        <w:rPr>
          <w:lang w:val="it-IT"/>
        </w:rPr>
      </w:pPr>
      <w:r w:rsidRPr="00887545">
        <w:rPr>
          <w:lang w:val="it-IT"/>
        </w:rPr>
        <w:t>Elvira Spatolisano*</w:t>
      </w:r>
      <w:r w:rsidR="00B57E6F" w:rsidRPr="00887545">
        <w:rPr>
          <w:lang w:val="it-IT"/>
        </w:rPr>
        <w:t xml:space="preserve">, </w:t>
      </w:r>
      <w:r w:rsidRPr="00887545">
        <w:rPr>
          <w:lang w:val="it-IT"/>
        </w:rPr>
        <w:t>Laura Annamaria Pellegrini</w:t>
      </w:r>
    </w:p>
    <w:p w14:paraId="6B2D21B3" w14:textId="2DCAEE93" w:rsidR="00B57E6F" w:rsidRPr="00887545" w:rsidRDefault="00887545" w:rsidP="00B57E6F">
      <w:pPr>
        <w:pStyle w:val="CETAddress"/>
        <w:rPr>
          <w:lang w:val="it-IT"/>
        </w:rPr>
      </w:pPr>
      <w:r w:rsidRPr="00887545">
        <w:rPr>
          <w:lang w:val="it-IT"/>
        </w:rPr>
        <w:t>GASP - Group on Advanced Separation Processes &amp; GAS Processing, Dipartimento di Chimica, Materiali e Ingegneria Chimica “G. Natta”, Politecnico di Milano, Piazza Leonardo da Vinci 32, 20133 Milano, Italy</w:t>
      </w:r>
    </w:p>
    <w:p w14:paraId="73F1267A" w14:textId="72B202AE" w:rsidR="00B57E6F" w:rsidRPr="00B57B36" w:rsidRDefault="00887545" w:rsidP="00B57E6F">
      <w:pPr>
        <w:pStyle w:val="CETemail"/>
      </w:pPr>
      <w:r>
        <w:t>elvira.spatolisano</w:t>
      </w:r>
      <w:r w:rsidR="00B57E6F" w:rsidRPr="00B57B36">
        <w:t>@</w:t>
      </w:r>
      <w:r>
        <w:t>polimi.it</w:t>
      </w:r>
      <w:r w:rsidR="00B57E6F" w:rsidRPr="00B57B36">
        <w:t xml:space="preserve"> </w:t>
      </w:r>
    </w:p>
    <w:p w14:paraId="62FA5B67" w14:textId="64C3AA76" w:rsidR="00845969" w:rsidRPr="009E0F7E" w:rsidRDefault="00845969" w:rsidP="002771E4">
      <w:pPr>
        <w:pStyle w:val="CETHeading1"/>
        <w:numPr>
          <w:ilvl w:val="0"/>
          <w:numId w:val="0"/>
        </w:numPr>
        <w:jc w:val="both"/>
        <w:rPr>
          <w:color w:val="FF0000"/>
          <w:sz w:val="18"/>
          <w:lang w:val="en-GB"/>
        </w:rPr>
      </w:pPr>
      <w:r w:rsidRPr="00845969">
        <w:rPr>
          <w:b w:val="0"/>
          <w:sz w:val="18"/>
          <w:lang w:val="en-GB"/>
        </w:rPr>
        <w:t>Helium is an extraordinary commodity. Its many remarkable properties, i.e., lightness, inertness, small atomic size, low liquefaction temperature, make this element play a crucial role in advanced technological sectors</w:t>
      </w:r>
      <w:r>
        <w:rPr>
          <w:b w:val="0"/>
          <w:sz w:val="18"/>
          <w:lang w:val="en-GB"/>
        </w:rPr>
        <w:t xml:space="preserve">. </w:t>
      </w:r>
      <w:r w:rsidRPr="00845969">
        <w:rPr>
          <w:b w:val="0"/>
          <w:sz w:val="18"/>
          <w:lang w:val="en-GB"/>
        </w:rPr>
        <w:t xml:space="preserve">Despite it is the second-most-abundant element in the universe, </w:t>
      </w:r>
      <w:r w:rsidR="009E0F7E">
        <w:rPr>
          <w:b w:val="0"/>
          <w:sz w:val="18"/>
          <w:lang w:val="en-GB"/>
        </w:rPr>
        <w:t>t</w:t>
      </w:r>
      <w:r w:rsidRPr="00845969">
        <w:rPr>
          <w:b w:val="0"/>
          <w:sz w:val="18"/>
          <w:lang w:val="en-GB"/>
        </w:rPr>
        <w:t xml:space="preserve">he only viable helium sources are certain natural gas fields, where helium accumulates because of </w:t>
      </w:r>
      <w:r w:rsidR="002771E4" w:rsidRPr="005078EF">
        <w:rPr>
          <w:rFonts w:cs="Arial"/>
          <w:b w:val="0"/>
          <w:i/>
          <w:sz w:val="18"/>
          <w:lang w:val="en-GB"/>
        </w:rPr>
        <w:t>α</w:t>
      </w:r>
      <w:r w:rsidR="002771E4">
        <w:rPr>
          <w:b w:val="0"/>
          <w:sz w:val="18"/>
          <w:lang w:val="en-GB"/>
        </w:rPr>
        <w:t>-</w:t>
      </w:r>
      <w:r w:rsidRPr="00845969">
        <w:rPr>
          <w:b w:val="0"/>
          <w:sz w:val="18"/>
          <w:lang w:val="en-GB"/>
        </w:rPr>
        <w:t>decay of Uranium-238 and Thorium-232</w:t>
      </w:r>
      <w:r>
        <w:rPr>
          <w:b w:val="0"/>
          <w:sz w:val="18"/>
          <w:lang w:val="en-GB"/>
        </w:rPr>
        <w:t xml:space="preserve">. </w:t>
      </w:r>
      <w:r w:rsidRPr="00845969">
        <w:rPr>
          <w:b w:val="0"/>
          <w:sz w:val="18"/>
          <w:lang w:val="en-GB"/>
        </w:rPr>
        <w:t xml:space="preserve">Helium </w:t>
      </w:r>
      <w:r w:rsidR="00B91FB3">
        <w:rPr>
          <w:b w:val="0"/>
          <w:sz w:val="18"/>
          <w:lang w:val="en-GB"/>
        </w:rPr>
        <w:t>production</w:t>
      </w:r>
      <w:r w:rsidR="00B91FB3" w:rsidRPr="00845969">
        <w:rPr>
          <w:b w:val="0"/>
          <w:sz w:val="18"/>
          <w:lang w:val="en-GB"/>
        </w:rPr>
        <w:t xml:space="preserve"> </w:t>
      </w:r>
      <w:r w:rsidRPr="00845969">
        <w:rPr>
          <w:b w:val="0"/>
          <w:sz w:val="18"/>
          <w:lang w:val="en-GB"/>
        </w:rPr>
        <w:t xml:space="preserve">from natural gas has long been discouraged by the marginal economic revenue compared with </w:t>
      </w:r>
      <w:r w:rsidR="00B91FB3">
        <w:rPr>
          <w:b w:val="0"/>
          <w:sz w:val="18"/>
          <w:lang w:val="en-GB"/>
        </w:rPr>
        <w:t xml:space="preserve">the required </w:t>
      </w:r>
      <w:r w:rsidRPr="00845969">
        <w:rPr>
          <w:b w:val="0"/>
          <w:sz w:val="18"/>
          <w:lang w:val="en-GB"/>
        </w:rPr>
        <w:t xml:space="preserve">operating costs. However, the helium shortage we are experiencing today has revived the interest in its recovery. In this panorama, </w:t>
      </w:r>
      <w:r w:rsidR="00B91FB3">
        <w:rPr>
          <w:b w:val="0"/>
          <w:sz w:val="18"/>
          <w:lang w:val="en-GB"/>
        </w:rPr>
        <w:t>the</w:t>
      </w:r>
      <w:r w:rsidR="00B91FB3" w:rsidRPr="00845969">
        <w:rPr>
          <w:b w:val="0"/>
          <w:sz w:val="18"/>
          <w:lang w:val="en-GB"/>
        </w:rPr>
        <w:t xml:space="preserve"> </w:t>
      </w:r>
      <w:r w:rsidRPr="00845969">
        <w:rPr>
          <w:b w:val="0"/>
          <w:sz w:val="18"/>
          <w:lang w:val="en-GB"/>
        </w:rPr>
        <w:t>develop</w:t>
      </w:r>
      <w:r w:rsidR="00B91FB3">
        <w:rPr>
          <w:b w:val="0"/>
          <w:sz w:val="18"/>
          <w:lang w:val="en-GB"/>
        </w:rPr>
        <w:t>ment of</w:t>
      </w:r>
      <w:r w:rsidRPr="00845969">
        <w:rPr>
          <w:b w:val="0"/>
          <w:sz w:val="18"/>
          <w:lang w:val="en-GB"/>
        </w:rPr>
        <w:t xml:space="preserve"> efficient </w:t>
      </w:r>
      <w:r w:rsidR="00B91FB3">
        <w:rPr>
          <w:b w:val="0"/>
          <w:sz w:val="18"/>
          <w:lang w:val="en-GB"/>
        </w:rPr>
        <w:t>processes for helium separation</w:t>
      </w:r>
      <w:r w:rsidR="00B91FB3" w:rsidRPr="00845969">
        <w:rPr>
          <w:b w:val="0"/>
          <w:sz w:val="18"/>
          <w:lang w:val="en-GB"/>
        </w:rPr>
        <w:t xml:space="preserve"> from natural gas </w:t>
      </w:r>
      <w:r w:rsidRPr="00845969">
        <w:rPr>
          <w:b w:val="0"/>
          <w:sz w:val="18"/>
          <w:lang w:val="en-GB"/>
        </w:rPr>
        <w:t xml:space="preserve">and </w:t>
      </w:r>
      <w:r w:rsidR="00E30335">
        <w:rPr>
          <w:b w:val="0"/>
          <w:sz w:val="18"/>
          <w:lang w:val="en-GB"/>
        </w:rPr>
        <w:t xml:space="preserve">its </w:t>
      </w:r>
      <w:r w:rsidRPr="00845969">
        <w:rPr>
          <w:b w:val="0"/>
          <w:sz w:val="18"/>
          <w:lang w:val="en-GB"/>
        </w:rPr>
        <w:t xml:space="preserve">upgrading is of paramount importance. The </w:t>
      </w:r>
      <w:r w:rsidR="00827C6A">
        <w:rPr>
          <w:b w:val="0"/>
          <w:sz w:val="18"/>
          <w:lang w:val="en-GB"/>
        </w:rPr>
        <w:t>aim</w:t>
      </w:r>
      <w:r w:rsidRPr="00845969">
        <w:rPr>
          <w:b w:val="0"/>
          <w:sz w:val="18"/>
          <w:lang w:val="en-GB"/>
        </w:rPr>
        <w:t xml:space="preserve"> of this work is to analyse the cryogenic helium recovery from natural gas. Single-column and double-column process configurations are discussed, to identify their applicability range depending on the feed compositions. To benefit from the high flexibility of the single column configuration, its application to CO</w:t>
      </w:r>
      <w:r w:rsidRPr="009E0F7E">
        <w:rPr>
          <w:b w:val="0"/>
          <w:sz w:val="18"/>
          <w:vertAlign w:val="subscript"/>
          <w:lang w:val="en-GB"/>
        </w:rPr>
        <w:t>2</w:t>
      </w:r>
      <w:r w:rsidRPr="00845969">
        <w:rPr>
          <w:b w:val="0"/>
          <w:sz w:val="18"/>
          <w:lang w:val="en-GB"/>
        </w:rPr>
        <w:t xml:space="preserve"> containing mixtures is investigated</w:t>
      </w:r>
      <w:r w:rsidR="00827C6A">
        <w:rPr>
          <w:b w:val="0"/>
          <w:sz w:val="18"/>
          <w:lang w:val="en-GB"/>
        </w:rPr>
        <w:t>, to lighten the upstream acid gas removal section, thus enabling significant energy savings in the overall gas-treatment chain</w:t>
      </w:r>
      <w:r w:rsidRPr="00845969">
        <w:rPr>
          <w:b w:val="0"/>
          <w:sz w:val="18"/>
          <w:lang w:val="en-GB"/>
        </w:rPr>
        <w:t>.</w:t>
      </w:r>
    </w:p>
    <w:p w14:paraId="476B2F2E" w14:textId="7C58E338" w:rsidR="00600535" w:rsidRPr="00B57B36" w:rsidRDefault="00600535" w:rsidP="00845969">
      <w:pPr>
        <w:pStyle w:val="CETHeading1"/>
        <w:rPr>
          <w:lang w:val="en-GB"/>
        </w:rPr>
      </w:pPr>
      <w:r w:rsidRPr="00B57B36">
        <w:rPr>
          <w:lang w:val="en-GB"/>
        </w:rPr>
        <w:t>Introduction</w:t>
      </w:r>
    </w:p>
    <w:p w14:paraId="07DF49A9" w14:textId="77777777" w:rsidR="00BC3461" w:rsidRDefault="002771E4" w:rsidP="0064301D">
      <w:pPr>
        <w:pStyle w:val="CETBodytext"/>
      </w:pPr>
      <w:r>
        <w:t xml:space="preserve">Helium </w:t>
      </w:r>
      <w:r w:rsidR="005078EF">
        <w:t xml:space="preserve">(He) </w:t>
      </w:r>
      <w:r>
        <w:t xml:space="preserve">has many remarkable properties and applications. The helium atom is smaller than any other element and second only to </w:t>
      </w:r>
      <w:r w:rsidR="00BC3461">
        <w:t>H</w:t>
      </w:r>
      <w:r w:rsidR="00BC3461" w:rsidRPr="00BC3461">
        <w:rPr>
          <w:vertAlign w:val="subscript"/>
        </w:rPr>
        <w:t>2</w:t>
      </w:r>
      <w:r>
        <w:t xml:space="preserve"> in lightness. Due to its small atomic size, it has the ability to diffuse through many solid materials. Its </w:t>
      </w:r>
      <w:r w:rsidR="00BC3461">
        <w:t xml:space="preserve">gaseous </w:t>
      </w:r>
      <w:r>
        <w:t xml:space="preserve">thermal conductivity is </w:t>
      </w:r>
      <w:r w:rsidR="00BC3461">
        <w:t>5-6</w:t>
      </w:r>
      <w:r>
        <w:t xml:space="preserve"> times </w:t>
      </w:r>
      <w:r w:rsidR="00BC3461">
        <w:t>high</w:t>
      </w:r>
      <w:r>
        <w:t xml:space="preserve">er than </w:t>
      </w:r>
      <w:r w:rsidR="00BC3461">
        <w:t>all</w:t>
      </w:r>
      <w:r>
        <w:t xml:space="preserve"> other gases </w:t>
      </w:r>
      <w:r w:rsidR="00BC3461">
        <w:t>but H</w:t>
      </w:r>
      <w:r w:rsidR="00BC3461" w:rsidRPr="00BC3461">
        <w:rPr>
          <w:vertAlign w:val="subscript"/>
        </w:rPr>
        <w:t>2</w:t>
      </w:r>
      <w:r>
        <w:t xml:space="preserve">. Helium’s low liquefaction temperatures make it desirable for purging, pressurization, and cryogenic applications. </w:t>
      </w:r>
    </w:p>
    <w:p w14:paraId="246AC96E" w14:textId="77777777" w:rsidR="00FA307A" w:rsidRDefault="00C27689" w:rsidP="002B1C7C">
      <w:pPr>
        <w:pStyle w:val="CETBodytext"/>
      </w:pPr>
      <w:r>
        <w:t>H</w:t>
      </w:r>
      <w:r w:rsidR="002771E4">
        <w:t xml:space="preserve">elium accumulation in natural gas fields </w:t>
      </w:r>
      <w:r>
        <w:t xml:space="preserve">is due to </w:t>
      </w:r>
      <w:r w:rsidRPr="00C27689">
        <w:rPr>
          <w:rFonts w:cs="Arial"/>
          <w:i/>
          <w:lang w:val="en-GB"/>
        </w:rPr>
        <w:t>α</w:t>
      </w:r>
      <w:r w:rsidRPr="00C27689">
        <w:rPr>
          <w:lang w:val="en-GB"/>
        </w:rPr>
        <w:t>-</w:t>
      </w:r>
      <w:r w:rsidRPr="00845969">
        <w:rPr>
          <w:lang w:val="en-GB"/>
        </w:rPr>
        <w:t xml:space="preserve">decay of Uranium-238 </w:t>
      </w:r>
      <w:r>
        <w:rPr>
          <w:lang w:val="en-GB"/>
        </w:rPr>
        <w:t>or</w:t>
      </w:r>
      <w:r w:rsidRPr="00845969">
        <w:rPr>
          <w:lang w:val="en-GB"/>
        </w:rPr>
        <w:t xml:space="preserve"> Thorium-232</w:t>
      </w:r>
      <w:r>
        <w:rPr>
          <w:lang w:val="en-GB"/>
        </w:rPr>
        <w:t xml:space="preserve"> </w:t>
      </w:r>
      <w:r>
        <w:t>and can</w:t>
      </w:r>
      <w:r w:rsidR="002771E4">
        <w:t xml:space="preserve"> be expected when tectonic activity creates faults, enabling </w:t>
      </w:r>
      <w:r>
        <w:t>the gas</w:t>
      </w:r>
      <w:r w:rsidR="002771E4">
        <w:t xml:space="preserve"> collect</w:t>
      </w:r>
      <w:r>
        <w:t>ion</w:t>
      </w:r>
      <w:r w:rsidR="002771E4">
        <w:t xml:space="preserve"> </w:t>
      </w:r>
      <w:r w:rsidR="00FA307A">
        <w:t xml:space="preserve">in the reservoir </w:t>
      </w:r>
      <w:r w:rsidR="002771E4">
        <w:t>(</w:t>
      </w:r>
      <w:proofErr w:type="spellStart"/>
      <w:r w:rsidR="002771E4">
        <w:t>Grynia</w:t>
      </w:r>
      <w:proofErr w:type="spellEnd"/>
      <w:r w:rsidR="002771E4">
        <w:t xml:space="preserve"> and Griffin, 2016). For this reason, helium is a non-renewable resource</w:t>
      </w:r>
      <w:r w:rsidR="00FA7601">
        <w:t>, leading to</w:t>
      </w:r>
      <w:r w:rsidR="002771E4">
        <w:t xml:space="preserve"> concerns about </w:t>
      </w:r>
      <w:r w:rsidR="00FA7601">
        <w:t xml:space="preserve">its </w:t>
      </w:r>
      <w:r w:rsidR="002771E4">
        <w:t xml:space="preserve">exhaustibility and allocation. </w:t>
      </w:r>
    </w:p>
    <w:p w14:paraId="48730D17" w14:textId="53C998E6" w:rsidR="00983ED4" w:rsidRDefault="00FA307A" w:rsidP="002B1C7C">
      <w:pPr>
        <w:pStyle w:val="CETBodytext"/>
        <w:rPr>
          <w:noProof/>
          <w:lang w:val="en-GB" w:eastAsia="en-GB"/>
        </w:rPr>
      </w:pPr>
      <w:r w:rsidRPr="00FA307A">
        <w:t xml:space="preserve">Helium markets have </w:t>
      </w:r>
      <w:r>
        <w:t>undergone</w:t>
      </w:r>
      <w:r w:rsidRPr="00FA307A">
        <w:t xml:space="preserve"> </w:t>
      </w:r>
      <w:r>
        <w:t>several</w:t>
      </w:r>
      <w:r w:rsidRPr="00FA307A">
        <w:t xml:space="preserve"> periods of </w:t>
      </w:r>
      <w:r w:rsidR="00BB12DB" w:rsidRPr="00BB12DB">
        <w:t>supply shortage</w:t>
      </w:r>
      <w:r w:rsidRPr="00FA307A">
        <w:t xml:space="preserve"> since 2006.</w:t>
      </w:r>
      <w:r>
        <w:t xml:space="preserve"> </w:t>
      </w:r>
      <w:r w:rsidR="00A83C8E">
        <w:t>T</w:t>
      </w:r>
      <w:r>
        <w:t>he h</w:t>
      </w:r>
      <w:r w:rsidRPr="00FA307A">
        <w:t xml:space="preserve">elium </w:t>
      </w:r>
      <w:r>
        <w:t>s</w:t>
      </w:r>
      <w:r w:rsidRPr="00FA307A">
        <w:t>hortage 4.0</w:t>
      </w:r>
      <w:r>
        <w:t xml:space="preserve"> </w:t>
      </w:r>
      <w:r w:rsidR="00A83C8E">
        <w:t>experienced nowadays</w:t>
      </w:r>
      <w:r>
        <w:t xml:space="preserve"> is mostly due to the </w:t>
      </w:r>
      <w:r w:rsidRPr="00FA307A">
        <w:t xml:space="preserve">outage of the U.S. Bureau of Land Management’s (BLM) purifier, removing more than 10% of global capacity from the market. </w:t>
      </w:r>
      <w:r w:rsidR="00207F7D">
        <w:t>Because of</w:t>
      </w:r>
      <w:r w:rsidR="000A50AF">
        <w:t xml:space="preserve"> the lower supply, </w:t>
      </w:r>
      <w:r w:rsidR="000A50AF" w:rsidRPr="000A50AF">
        <w:t>helium price</w:t>
      </w:r>
      <w:r w:rsidR="000A50AF">
        <w:t>s</w:t>
      </w:r>
      <w:r w:rsidR="000A50AF" w:rsidRPr="000A50AF">
        <w:t xml:space="preserve"> have increased by 50-100%</w:t>
      </w:r>
      <w:r w:rsidR="00A83C8E">
        <w:t>,</w:t>
      </w:r>
      <w:r w:rsidR="000A50AF">
        <w:t xml:space="preserve"> this evidence reviv</w:t>
      </w:r>
      <w:r w:rsidR="00A83C8E">
        <w:t>ing</w:t>
      </w:r>
      <w:r w:rsidR="000A50AF">
        <w:t xml:space="preserve"> the interest in its recovery. </w:t>
      </w:r>
      <w:r w:rsidR="00FD29AE" w:rsidRPr="00845969">
        <w:rPr>
          <w:lang w:val="en-GB"/>
        </w:rPr>
        <w:t xml:space="preserve">In this </w:t>
      </w:r>
      <w:r w:rsidR="00FD29AE">
        <w:rPr>
          <w:lang w:val="en-GB"/>
        </w:rPr>
        <w:t>context</w:t>
      </w:r>
      <w:r w:rsidR="00FD29AE" w:rsidRPr="00845969">
        <w:rPr>
          <w:lang w:val="en-GB"/>
        </w:rPr>
        <w:t xml:space="preserve">, </w:t>
      </w:r>
      <w:r w:rsidR="00FD29AE">
        <w:rPr>
          <w:lang w:val="en-GB"/>
        </w:rPr>
        <w:t>the development of energy-</w:t>
      </w:r>
      <w:r w:rsidR="00FD29AE" w:rsidRPr="00845969">
        <w:rPr>
          <w:lang w:val="en-GB"/>
        </w:rPr>
        <w:t>efficient recovery and upgrading helium processes from natural gas is of paramount importance.</w:t>
      </w:r>
      <w:r w:rsidR="000A50AF">
        <w:rPr>
          <w:lang w:val="en-GB"/>
        </w:rPr>
        <w:t xml:space="preserve"> </w:t>
      </w:r>
      <w:r w:rsidR="002771E4">
        <w:t xml:space="preserve">Generally, natural gas containing more than 0.3 mol% </w:t>
      </w:r>
      <w:r w:rsidR="005078EF">
        <w:t>He</w:t>
      </w:r>
      <w:r w:rsidR="002771E4">
        <w:t xml:space="preserve"> is considered </w:t>
      </w:r>
      <w:r w:rsidR="005078EF">
        <w:t>viable</w:t>
      </w:r>
      <w:r w:rsidR="002771E4">
        <w:t xml:space="preserve"> for </w:t>
      </w:r>
      <w:r w:rsidR="0064301D">
        <w:t>its</w:t>
      </w:r>
      <w:r w:rsidR="002771E4">
        <w:t xml:space="preserve"> extraction. </w:t>
      </w:r>
      <w:r w:rsidR="005078EF">
        <w:t xml:space="preserve">Since </w:t>
      </w:r>
      <w:r w:rsidR="00BC3461">
        <w:t>helium</w:t>
      </w:r>
      <w:r w:rsidR="005078EF">
        <w:t xml:space="preserve"> presence is </w:t>
      </w:r>
      <w:r w:rsidR="00BC3461">
        <w:t xml:space="preserve">typically </w:t>
      </w:r>
      <w:r w:rsidR="005078EF">
        <w:t xml:space="preserve">associated </w:t>
      </w:r>
      <w:r w:rsidR="00BC3461">
        <w:t>with a</w:t>
      </w:r>
      <w:r w:rsidR="005078EF">
        <w:t xml:space="preserve"> non-negligible </w:t>
      </w:r>
      <w:r w:rsidR="00BC3461">
        <w:t>nitrogen</w:t>
      </w:r>
      <w:r w:rsidR="005078EF">
        <w:t xml:space="preserve"> content</w:t>
      </w:r>
      <w:r w:rsidR="00BC3461">
        <w:t xml:space="preserve">, </w:t>
      </w:r>
      <w:proofErr w:type="gramStart"/>
      <w:r w:rsidR="00BC3461">
        <w:t>He</w:t>
      </w:r>
      <w:proofErr w:type="gramEnd"/>
      <w:r w:rsidR="005078EF">
        <w:t xml:space="preserve"> </w:t>
      </w:r>
      <w:r w:rsidR="00BC3461">
        <w:t>r</w:t>
      </w:r>
      <w:r w:rsidR="002771E4">
        <w:t xml:space="preserve">ecovery is integrated with </w:t>
      </w:r>
      <w:r w:rsidR="00BC3461">
        <w:t>N</w:t>
      </w:r>
      <w:r w:rsidR="00BC3461" w:rsidRPr="00BC3461">
        <w:rPr>
          <w:vertAlign w:val="subscript"/>
        </w:rPr>
        <w:t>2</w:t>
      </w:r>
      <w:r w:rsidR="002771E4">
        <w:t xml:space="preserve"> rejection. </w:t>
      </w:r>
      <w:r w:rsidR="00BC3461">
        <w:t xml:space="preserve">The typical operations required for extracting helium from </w:t>
      </w:r>
      <w:r w:rsidR="00A83C8E">
        <w:t>nitrogen</w:t>
      </w:r>
      <w:r w:rsidR="00207F7D">
        <w:t>-</w:t>
      </w:r>
      <w:r w:rsidR="00A83C8E">
        <w:t xml:space="preserve">rich </w:t>
      </w:r>
      <w:r w:rsidR="00BC3461">
        <w:t xml:space="preserve">natural gas </w:t>
      </w:r>
      <w:r w:rsidR="00A83C8E">
        <w:t>(</w:t>
      </w:r>
      <w:r w:rsidR="00BC3461">
        <w:t>N</w:t>
      </w:r>
      <w:r w:rsidR="00BC3461" w:rsidRPr="005078EF">
        <w:rPr>
          <w:vertAlign w:val="subscript"/>
        </w:rPr>
        <w:t>2</w:t>
      </w:r>
      <w:r w:rsidR="00BC3461">
        <w:t xml:space="preserve"> inlet </w:t>
      </w:r>
      <w:r w:rsidR="00A83C8E">
        <w:t>content &gt;</w:t>
      </w:r>
      <w:r w:rsidR="00BC3461">
        <w:t xml:space="preserve"> 5-8</w:t>
      </w:r>
      <w:r w:rsidR="00A83C8E">
        <w:t xml:space="preserve"> mol</w:t>
      </w:r>
      <w:r w:rsidR="00BC3461">
        <w:t>%</w:t>
      </w:r>
      <w:r w:rsidR="00A83C8E">
        <w:t>)</w:t>
      </w:r>
      <w:r w:rsidR="00BC3461">
        <w:t xml:space="preserve"> is depicted in </w:t>
      </w:r>
      <w:r w:rsidR="00983ED4">
        <w:t>Figure 1.</w:t>
      </w:r>
    </w:p>
    <w:p w14:paraId="3890E073" w14:textId="22D1727A" w:rsidR="005078EF" w:rsidRDefault="00405B78" w:rsidP="00736A8E">
      <w:pPr>
        <w:pStyle w:val="CETBodytext"/>
        <w:jc w:val="left"/>
      </w:pPr>
      <w:bookmarkStart w:id="0" w:name="_Ref126309387"/>
      <w:bookmarkStart w:id="1" w:name="_Toc57795362"/>
      <w:r w:rsidRPr="00405B78">
        <w:rPr>
          <w:noProof/>
          <w:lang w:val="en-GB" w:eastAsia="en-GB"/>
        </w:rPr>
        <w:drawing>
          <wp:inline distT="0" distB="0" distL="0" distR="0" wp14:anchorId="6F3B292C" wp14:editId="0669672B">
            <wp:extent cx="5579745" cy="1000460"/>
            <wp:effectExtent l="0" t="0" r="1905"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1000460"/>
                    </a:xfrm>
                    <a:prstGeom prst="rect">
                      <a:avLst/>
                    </a:prstGeom>
                    <a:noFill/>
                    <a:ln>
                      <a:noFill/>
                    </a:ln>
                  </pic:spPr>
                </pic:pic>
              </a:graphicData>
            </a:graphic>
          </wp:inline>
        </w:drawing>
      </w:r>
    </w:p>
    <w:p w14:paraId="0762CCFA" w14:textId="7373E57E" w:rsidR="0064301D" w:rsidRPr="00264C72" w:rsidRDefault="0064301D" w:rsidP="0064301D">
      <w:pPr>
        <w:pStyle w:val="CETCaption"/>
        <w:rPr>
          <w:b/>
        </w:rPr>
      </w:pPr>
      <w:r>
        <w:t xml:space="preserve">Figure </w:t>
      </w:r>
      <w:r>
        <w:fldChar w:fldCharType="begin"/>
      </w:r>
      <w:r>
        <w:instrText xml:space="preserve"> SEQ Figure \* ARABIC </w:instrText>
      </w:r>
      <w:r>
        <w:fldChar w:fldCharType="separate"/>
      </w:r>
      <w:r w:rsidR="00FE1E1E">
        <w:rPr>
          <w:noProof/>
        </w:rPr>
        <w:t>1</w:t>
      </w:r>
      <w:r>
        <w:fldChar w:fldCharType="end"/>
      </w:r>
      <w:bookmarkEnd w:id="0"/>
      <w:r w:rsidRPr="00985115">
        <w:t xml:space="preserve">. </w:t>
      </w:r>
      <w:r w:rsidR="00CD28A4">
        <w:t>N</w:t>
      </w:r>
      <w:r w:rsidR="00CD28A4" w:rsidRPr="00CD28A4">
        <w:t xml:space="preserve">itrogen-rich </w:t>
      </w:r>
      <w:r w:rsidR="00CD28A4">
        <w:t>n</w:t>
      </w:r>
      <w:r w:rsidRPr="00264C72">
        <w:t>atural gas processing steps (</w:t>
      </w:r>
      <w:r w:rsidR="00207F7D">
        <w:t>a</w:t>
      </w:r>
      <w:r w:rsidRPr="00264C72">
        <w:t xml:space="preserve">dapted from </w:t>
      </w:r>
      <w:proofErr w:type="spellStart"/>
      <w:r w:rsidRPr="00264C72">
        <w:t>Hamedi</w:t>
      </w:r>
      <w:proofErr w:type="spellEnd"/>
      <w:r w:rsidRPr="00264C72">
        <w:t xml:space="preserve"> et al., 2019).</w:t>
      </w:r>
      <w:bookmarkEnd w:id="1"/>
    </w:p>
    <w:p w14:paraId="6AED2D63" w14:textId="23060FC7" w:rsidR="008B5575" w:rsidRPr="00985115" w:rsidRDefault="008B5575" w:rsidP="008B5575">
      <w:pPr>
        <w:pStyle w:val="CETBodytext"/>
      </w:pPr>
      <w:r>
        <w:lastRenderedPageBreak/>
        <w:t xml:space="preserve">The aim of this work is to </w:t>
      </w:r>
      <w:r w:rsidR="00207F7D">
        <w:t>analyze</w:t>
      </w:r>
      <w:r w:rsidRPr="004C6CE3">
        <w:t xml:space="preserve"> </w:t>
      </w:r>
      <w:r w:rsidR="00FC1739">
        <w:t xml:space="preserve">two </w:t>
      </w:r>
      <w:r>
        <w:t>different cryogenic helium recovery and upgrading schemes, namely the single column and the double column configurations. P</w:t>
      </w:r>
      <w:r w:rsidRPr="004C6CE3">
        <w:t>rocess simulation</w:t>
      </w:r>
      <w:r w:rsidR="00CD28A4">
        <w:t>s</w:t>
      </w:r>
      <w:r w:rsidRPr="004C6CE3">
        <w:t xml:space="preserve"> for a number of </w:t>
      </w:r>
      <w:r w:rsidR="00CD28A4">
        <w:t>representative</w:t>
      </w:r>
      <w:r w:rsidRPr="004C6CE3">
        <w:t xml:space="preserve"> case</w:t>
      </w:r>
      <w:r w:rsidR="00CD28A4">
        <w:t>-studies are</w:t>
      </w:r>
      <w:r w:rsidRPr="004C6CE3">
        <w:t xml:space="preserve"> performed </w:t>
      </w:r>
      <w:r w:rsidR="00CD28A4">
        <w:t>through</w:t>
      </w:r>
      <w:r w:rsidRPr="004C6CE3">
        <w:t xml:space="preserve"> Aspen HYSYS V</w:t>
      </w:r>
      <w:r>
        <w:t>11</w:t>
      </w:r>
      <w:r w:rsidRPr="00D913B2">
        <w:rPr>
          <w:vertAlign w:val="superscript"/>
        </w:rPr>
        <w:t>®</w:t>
      </w:r>
      <w:r w:rsidRPr="004C6CE3">
        <w:t xml:space="preserve"> </w:t>
      </w:r>
      <w:r>
        <w:t xml:space="preserve">simulation </w:t>
      </w:r>
      <w:r w:rsidRPr="004C6CE3">
        <w:t>software</w:t>
      </w:r>
      <w:r>
        <w:t xml:space="preserve"> (</w:t>
      </w:r>
      <w:proofErr w:type="spellStart"/>
      <w:r>
        <w:t>AspenTech</w:t>
      </w:r>
      <w:proofErr w:type="spellEnd"/>
      <w:r>
        <w:t>, 2019)</w:t>
      </w:r>
      <w:r w:rsidRPr="004C6CE3">
        <w:t xml:space="preserve">. The operating conditions for each case are refined </w:t>
      </w:r>
      <w:r w:rsidR="00842675">
        <w:t>to assess</w:t>
      </w:r>
      <w:r w:rsidRPr="004C6CE3">
        <w:t xml:space="preserve"> the system </w:t>
      </w:r>
      <w:r w:rsidR="00842675" w:rsidRPr="004C6CE3">
        <w:t>behavior</w:t>
      </w:r>
      <w:r w:rsidRPr="004C6CE3">
        <w:t xml:space="preserve"> </w:t>
      </w:r>
      <w:r>
        <w:t>and its sensitivity</w:t>
      </w:r>
      <w:r w:rsidRPr="004C6CE3">
        <w:t xml:space="preserve"> </w:t>
      </w:r>
      <w:r>
        <w:t>to</w:t>
      </w:r>
      <w:r w:rsidRPr="004C6CE3">
        <w:t xml:space="preserve"> </w:t>
      </w:r>
      <w:r>
        <w:t>process specifications</w:t>
      </w:r>
      <w:r w:rsidRPr="004C6CE3">
        <w:t>. Variable feed composition</w:t>
      </w:r>
      <w:r w:rsidR="00FB3293">
        <w:t>s are</w:t>
      </w:r>
      <w:r w:rsidRPr="004C6CE3">
        <w:t xml:space="preserve"> considered, referring to the </w:t>
      </w:r>
      <w:r>
        <w:t>typical</w:t>
      </w:r>
      <w:r w:rsidRPr="004C6CE3">
        <w:t xml:space="preserve"> helium</w:t>
      </w:r>
      <w:r w:rsidR="00CD28A4">
        <w:t>-</w:t>
      </w:r>
      <w:r w:rsidRPr="004C6CE3">
        <w:t xml:space="preserve">bearing natural gases. </w:t>
      </w:r>
      <w:r>
        <w:t xml:space="preserve">For the single column </w:t>
      </w:r>
      <w:r w:rsidRPr="004C6CE3">
        <w:t>configuration</w:t>
      </w:r>
      <w:r w:rsidR="00ED7C74">
        <w:t>,</w:t>
      </w:r>
      <w:r w:rsidR="008B6398">
        <w:t xml:space="preserve"> </w:t>
      </w:r>
      <w:r>
        <w:t>the process tolerance to</w:t>
      </w:r>
      <w:r w:rsidRPr="004C6CE3">
        <w:t xml:space="preserve"> carbon dioxide</w:t>
      </w:r>
      <w:r>
        <w:t xml:space="preserve"> </w:t>
      </w:r>
      <w:r w:rsidR="00CD28A4">
        <w:t>is</w:t>
      </w:r>
      <w:r>
        <w:t xml:space="preserve"> examined</w:t>
      </w:r>
      <w:r w:rsidRPr="004C6CE3">
        <w:t>, to assess the maximum admissible CO</w:t>
      </w:r>
      <w:r w:rsidRPr="00D913B2">
        <w:rPr>
          <w:vertAlign w:val="subscript"/>
        </w:rPr>
        <w:t>2</w:t>
      </w:r>
      <w:r w:rsidRPr="004C6CE3">
        <w:t xml:space="preserve"> </w:t>
      </w:r>
      <w:r w:rsidR="00CD28A4">
        <w:t>content</w:t>
      </w:r>
      <w:r w:rsidRPr="004C6CE3">
        <w:t xml:space="preserve"> </w:t>
      </w:r>
      <w:r>
        <w:t xml:space="preserve">in the feed stream </w:t>
      </w:r>
      <w:r w:rsidRPr="004C6CE3">
        <w:t xml:space="preserve">to </w:t>
      </w:r>
      <w:r w:rsidR="00CD28A4">
        <w:t>avoid</w:t>
      </w:r>
      <w:r w:rsidRPr="004C6CE3">
        <w:t xml:space="preserve"> solidification issues</w:t>
      </w:r>
      <w:r w:rsidR="00983ED4">
        <w:t xml:space="preserve"> (Pellegrini et al., 2020)</w:t>
      </w:r>
      <w:r w:rsidRPr="004C6CE3">
        <w:t>.</w:t>
      </w:r>
      <w:r w:rsidR="00CD28A4">
        <w:t xml:space="preserve"> </w:t>
      </w:r>
    </w:p>
    <w:p w14:paraId="5741900F" w14:textId="26F166CF" w:rsidR="00453E24" w:rsidRDefault="008B5575" w:rsidP="00453E24">
      <w:pPr>
        <w:pStyle w:val="CETHeading1"/>
      </w:pPr>
      <w:r>
        <w:t>Process configuration</w:t>
      </w:r>
    </w:p>
    <w:p w14:paraId="09406386" w14:textId="3F2E3A51" w:rsidR="00453E24" w:rsidRDefault="00FB3293" w:rsidP="007E012C">
      <w:pPr>
        <w:pStyle w:val="CETBodytext"/>
      </w:pPr>
      <w:r>
        <w:t xml:space="preserve">The configurations mainly exploited for </w:t>
      </w:r>
      <w:r w:rsidR="00C32AF6">
        <w:t xml:space="preserve">cryogenic </w:t>
      </w:r>
      <w:r>
        <w:t xml:space="preserve">helium recovery </w:t>
      </w:r>
      <w:r w:rsidR="00FC1739">
        <w:t xml:space="preserve">from </w:t>
      </w:r>
      <w:r>
        <w:t>natural gas are the single column and the double column process</w:t>
      </w:r>
      <w:r w:rsidR="00C32AF6">
        <w:t>,</w:t>
      </w:r>
      <w:r>
        <w:t xml:space="preserve"> possibly completed with an additional pre-separation column. Both of them are described in the following sections.</w:t>
      </w:r>
      <w:r w:rsidR="007E012C">
        <w:t xml:space="preserve"> </w:t>
      </w:r>
    </w:p>
    <w:p w14:paraId="0636B784" w14:textId="05193A25" w:rsidR="00453E24" w:rsidRDefault="008B5575" w:rsidP="00453E24">
      <w:pPr>
        <w:pStyle w:val="CETheadingx"/>
      </w:pPr>
      <w:r>
        <w:t xml:space="preserve">Single column </w:t>
      </w:r>
      <w:r w:rsidR="007E012C">
        <w:t>recovery</w:t>
      </w:r>
      <w:r>
        <w:t xml:space="preserve"> scheme</w:t>
      </w:r>
    </w:p>
    <w:p w14:paraId="7C2B0064" w14:textId="243C5589" w:rsidR="00453E24" w:rsidRDefault="007E012C" w:rsidP="007E012C">
      <w:pPr>
        <w:pStyle w:val="CETBodytext"/>
      </w:pPr>
      <w:r>
        <w:t>In the single column process configuration, the separation of CH</w:t>
      </w:r>
      <w:r w:rsidRPr="00035E28">
        <w:rPr>
          <w:vertAlign w:val="subscript"/>
        </w:rPr>
        <w:t>4</w:t>
      </w:r>
      <w:r>
        <w:t xml:space="preserve"> from a gaseous N</w:t>
      </w:r>
      <w:r w:rsidRPr="00035E28">
        <w:rPr>
          <w:vertAlign w:val="subscript"/>
        </w:rPr>
        <w:t>2</w:t>
      </w:r>
      <w:r>
        <w:t xml:space="preserve"> stream collecting the original </w:t>
      </w:r>
      <w:proofErr w:type="gramStart"/>
      <w:r>
        <w:t>He</w:t>
      </w:r>
      <w:proofErr w:type="gramEnd"/>
      <w:r>
        <w:t xml:space="preserve"> content is accomplished </w:t>
      </w:r>
      <w:r w:rsidR="00AD5B8C">
        <w:t>through</w:t>
      </w:r>
      <w:r>
        <w:t xml:space="preserve"> a </w:t>
      </w:r>
      <w:r w:rsidR="00035E28">
        <w:t xml:space="preserve">single </w:t>
      </w:r>
      <w:r>
        <w:t xml:space="preserve">distillation </w:t>
      </w:r>
      <w:r w:rsidR="00035E28">
        <w:t>unit,</w:t>
      </w:r>
      <w:r>
        <w:t xml:space="preserve"> equipped with both partial condenser and reboiler. The advantages of this configuration are recognized for </w:t>
      </w:r>
      <w:r w:rsidR="00575283">
        <w:t>N</w:t>
      </w:r>
      <w:r w:rsidR="00575283" w:rsidRPr="00575283">
        <w:rPr>
          <w:vertAlign w:val="subscript"/>
        </w:rPr>
        <w:t>2</w:t>
      </w:r>
      <w:r>
        <w:t xml:space="preserve"> inlet content in the feed stream up to 30 mol%, as higher nitrogen concentrations </w:t>
      </w:r>
      <w:r w:rsidR="00575283">
        <w:t xml:space="preserve">make the condenser duty </w:t>
      </w:r>
      <w:r>
        <w:t>increase</w:t>
      </w:r>
      <w:r w:rsidR="00AC611C">
        <w:t xml:space="preserve"> (Spatolisano and Pellegrini, 2021a)</w:t>
      </w:r>
      <w:r w:rsidR="00035E28">
        <w:t xml:space="preserve">. </w:t>
      </w:r>
      <w:r>
        <w:t>The simulated process scheme is depicted in</w:t>
      </w:r>
      <w:r w:rsidR="0048135E">
        <w:t xml:space="preserve"> </w:t>
      </w:r>
      <w:r w:rsidR="0048135E">
        <w:fldChar w:fldCharType="begin"/>
      </w:r>
      <w:r w:rsidR="0048135E">
        <w:instrText xml:space="preserve"> REF _Ref126317217 \h </w:instrText>
      </w:r>
      <w:r w:rsidR="0048135E">
        <w:fldChar w:fldCharType="separate"/>
      </w:r>
      <w:r w:rsidR="00FE1E1E">
        <w:t xml:space="preserve">Figure </w:t>
      </w:r>
      <w:r w:rsidR="00FE1E1E">
        <w:rPr>
          <w:noProof/>
        </w:rPr>
        <w:t>2</w:t>
      </w:r>
      <w:r w:rsidR="0048135E">
        <w:fldChar w:fldCharType="end"/>
      </w:r>
      <w:r>
        <w:t xml:space="preserve">. The natural gas feed is precooled in the main heat exchanger </w:t>
      </w:r>
      <w:r w:rsidR="0048135E">
        <w:t>(</w:t>
      </w:r>
      <w:r>
        <w:t>LNG-100</w:t>
      </w:r>
      <w:r w:rsidR="0048135E">
        <w:t>)</w:t>
      </w:r>
      <w:r>
        <w:t xml:space="preserve"> by the bottom column products, expanded below </w:t>
      </w:r>
      <w:r w:rsidR="007660DB">
        <w:t>N</w:t>
      </w:r>
      <w:r w:rsidR="007660DB" w:rsidRPr="007660DB">
        <w:rPr>
          <w:vertAlign w:val="subscript"/>
        </w:rPr>
        <w:t>2</w:t>
      </w:r>
      <w:r>
        <w:t xml:space="preserve"> critical conditions (</w:t>
      </w:r>
      <w:r w:rsidRPr="009B1AB1">
        <w:rPr>
          <w:i/>
        </w:rPr>
        <w:t>P</w:t>
      </w:r>
      <w:r w:rsidRPr="009B1AB1">
        <w:rPr>
          <w:i/>
          <w:vertAlign w:val="subscript"/>
        </w:rPr>
        <w:t>c</w:t>
      </w:r>
      <w:r>
        <w:t xml:space="preserve"> = 3</w:t>
      </w:r>
      <w:r w:rsidR="00035E28">
        <w:t>4</w:t>
      </w:r>
      <w:r>
        <w:t xml:space="preserve"> bar</w:t>
      </w:r>
      <w:r w:rsidR="00035E28">
        <w:t>)</w:t>
      </w:r>
      <w:r>
        <w:t xml:space="preserve"> and fed to the distillation column</w:t>
      </w:r>
      <w:r w:rsidR="007660DB">
        <w:t xml:space="preserve"> T-100</w:t>
      </w:r>
      <w:r>
        <w:t xml:space="preserve">. </w:t>
      </w:r>
      <w:r w:rsidR="006E75C1">
        <w:t>The bottom product is the purified natural gas, which is expanded</w:t>
      </w:r>
      <w:r w:rsidR="00AC611C">
        <w:t>,</w:t>
      </w:r>
      <w:r w:rsidR="006E75C1">
        <w:t xml:space="preserve"> to allow heat recovery</w:t>
      </w:r>
      <w:r w:rsidR="00AC611C">
        <w:t>,</w:t>
      </w:r>
      <w:r w:rsidR="006E75C1">
        <w:t xml:space="preserve"> and then compressed for gas grid distribution. </w:t>
      </w:r>
      <w:r w:rsidR="00842675">
        <w:t>The overhead N</w:t>
      </w:r>
      <w:r w:rsidR="00842675" w:rsidRPr="00842675">
        <w:rPr>
          <w:vertAlign w:val="subscript"/>
        </w:rPr>
        <w:t>2</w:t>
      </w:r>
      <w:r w:rsidR="00842675">
        <w:t xml:space="preserve"> product has</w:t>
      </w:r>
      <w:r>
        <w:t xml:space="preserve"> less than 1 mol% of CH</w:t>
      </w:r>
      <w:r w:rsidRPr="00842675">
        <w:rPr>
          <w:vertAlign w:val="subscript"/>
        </w:rPr>
        <w:t>4</w:t>
      </w:r>
      <w:r>
        <w:t xml:space="preserve"> and about 4-5 mol%</w:t>
      </w:r>
      <w:r w:rsidR="00842675">
        <w:t xml:space="preserve"> of He</w:t>
      </w:r>
      <w:r>
        <w:t xml:space="preserve">. </w:t>
      </w:r>
      <w:r w:rsidR="00575283">
        <w:t>This</w:t>
      </w:r>
      <w:r>
        <w:t xml:space="preserve"> </w:t>
      </w:r>
      <w:r w:rsidR="00AC611C">
        <w:t>vapor</w:t>
      </w:r>
      <w:r>
        <w:t xml:space="preserve"> stream is compressed </w:t>
      </w:r>
      <w:r w:rsidR="007660DB">
        <w:t>in K-100</w:t>
      </w:r>
      <w:r w:rsidR="007660DB">
        <w:tab/>
      </w:r>
      <w:r w:rsidR="00575283">
        <w:t xml:space="preserve">, </w:t>
      </w:r>
      <w:r>
        <w:t>chilled in LNG-101</w:t>
      </w:r>
      <w:r w:rsidR="00575283">
        <w:t xml:space="preserve">, </w:t>
      </w:r>
      <w:r>
        <w:t>expanded and fed to the helium fractionation column</w:t>
      </w:r>
      <w:r w:rsidR="007660DB">
        <w:t xml:space="preserve"> (T-101)</w:t>
      </w:r>
      <w:r>
        <w:t xml:space="preserve">, equipped with </w:t>
      </w:r>
      <w:r w:rsidR="007660DB">
        <w:t xml:space="preserve">a </w:t>
      </w:r>
      <w:r>
        <w:t xml:space="preserve">reboiler only, to operate the last separation. </w:t>
      </w:r>
      <w:r w:rsidR="007660DB">
        <w:t>Crude helium, nearly an equimolar mixture of He and N</w:t>
      </w:r>
      <w:r w:rsidR="007660DB" w:rsidRPr="00842675">
        <w:rPr>
          <w:vertAlign w:val="subscript"/>
        </w:rPr>
        <w:t>2</w:t>
      </w:r>
      <w:r w:rsidR="008C1CE9">
        <w:t>,</w:t>
      </w:r>
      <w:r w:rsidR="007660DB" w:rsidRPr="007660DB">
        <w:t xml:space="preserve"> </w:t>
      </w:r>
      <w:r w:rsidR="007660DB">
        <w:t>is</w:t>
      </w:r>
      <w:r>
        <w:t xml:space="preserve"> withdrawn </w:t>
      </w:r>
      <w:r w:rsidR="007660DB">
        <w:t>from</w:t>
      </w:r>
      <w:r>
        <w:t xml:space="preserve"> the top</w:t>
      </w:r>
      <w:r w:rsidR="007660DB">
        <w:t xml:space="preserve"> and undergoes a</w:t>
      </w:r>
      <w:r>
        <w:t xml:space="preserve"> further upgrad</w:t>
      </w:r>
      <w:r w:rsidR="007660DB">
        <w:t>ing</w:t>
      </w:r>
      <w:r>
        <w:t xml:space="preserve"> </w:t>
      </w:r>
      <w:r w:rsidR="007660DB">
        <w:t>in</w:t>
      </w:r>
      <w:r>
        <w:t xml:space="preserve"> a series of cooling stages</w:t>
      </w:r>
      <w:r w:rsidR="008A07EF">
        <w:t xml:space="preserve"> (LNG-100-2 and LNG-101-2)</w:t>
      </w:r>
      <w:r>
        <w:t xml:space="preserve">, </w:t>
      </w:r>
      <w:r w:rsidR="007660DB">
        <w:t xml:space="preserve">where </w:t>
      </w:r>
      <w:r>
        <w:t>a pu</w:t>
      </w:r>
      <w:r w:rsidR="007660DB">
        <w:t>rity of 90 mol% can be pursued.</w:t>
      </w:r>
    </w:p>
    <w:p w14:paraId="2E8248BA" w14:textId="23439E43" w:rsidR="005078EF" w:rsidRDefault="008A07EF" w:rsidP="007E012C">
      <w:pPr>
        <w:pStyle w:val="CETBodytext"/>
      </w:pPr>
      <w:r w:rsidRPr="007660DB">
        <w:rPr>
          <w:noProof/>
          <w:lang w:val="en-GB" w:eastAsia="en-GB"/>
        </w:rPr>
        <mc:AlternateContent>
          <mc:Choice Requires="wps">
            <w:drawing>
              <wp:anchor distT="0" distB="0" distL="114300" distR="114300" simplePos="0" relativeHeight="251663360" behindDoc="0" locked="0" layoutInCell="1" allowOverlap="1" wp14:anchorId="7A7EFA64" wp14:editId="62CF194F">
                <wp:simplePos x="0" y="0"/>
                <wp:positionH relativeFrom="column">
                  <wp:posOffset>3319849</wp:posOffset>
                </wp:positionH>
                <wp:positionV relativeFrom="paragraph">
                  <wp:posOffset>229921</wp:posOffset>
                </wp:positionV>
                <wp:extent cx="233680" cy="403552"/>
                <wp:effectExtent l="0" t="0" r="13970" b="15875"/>
                <wp:wrapNone/>
                <wp:docPr id="18" name="Rettangolo 18"/>
                <wp:cNvGraphicFramePr/>
                <a:graphic xmlns:a="http://schemas.openxmlformats.org/drawingml/2006/main">
                  <a:graphicData uri="http://schemas.microsoft.com/office/word/2010/wordprocessingShape">
                    <wps:wsp>
                      <wps:cNvSpPr/>
                      <wps:spPr>
                        <a:xfrm>
                          <a:off x="0" y="0"/>
                          <a:ext cx="233680" cy="403552"/>
                        </a:xfrm>
                        <a:prstGeom prst="rect">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19F4EAC7" id="Rettangolo 18" o:spid="_x0000_s1026" style="position:absolute;margin-left:261.4pt;margin-top:18.1pt;width:18.4pt;height:3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" filled="f" strokecolor="#c00000" strokeweight="1pt"/>
            </w:pict>
          </mc:Fallback>
        </mc:AlternateContent>
      </w:r>
      <w:r w:rsidR="007660DB" w:rsidRPr="007660DB">
        <w:rPr>
          <w:noProof/>
          <w:lang w:val="en-GB" w:eastAsia="en-GB"/>
        </w:rPr>
        <mc:AlternateContent>
          <mc:Choice Requires="wps">
            <w:drawing>
              <wp:anchor distT="0" distB="0" distL="114300" distR="114300" simplePos="0" relativeHeight="251662336" behindDoc="0" locked="0" layoutInCell="1" allowOverlap="1" wp14:anchorId="1DBF9DE7" wp14:editId="7B1D92E3">
                <wp:simplePos x="0" y="0"/>
                <wp:positionH relativeFrom="column">
                  <wp:posOffset>2698343</wp:posOffset>
                </wp:positionH>
                <wp:positionV relativeFrom="paragraph">
                  <wp:posOffset>478613</wp:posOffset>
                </wp:positionV>
                <wp:extent cx="695136" cy="173346"/>
                <wp:effectExtent l="0" t="0" r="0" b="0"/>
                <wp:wrapNone/>
                <wp:docPr id="16" name="Casella di testo 16"/>
                <wp:cNvGraphicFramePr/>
                <a:graphic xmlns:a="http://schemas.openxmlformats.org/drawingml/2006/main">
                  <a:graphicData uri="http://schemas.microsoft.com/office/word/2010/wordprocessingShape">
                    <wps:wsp>
                      <wps:cNvSpPr txBox="1"/>
                      <wps:spPr>
                        <a:xfrm>
                          <a:off x="0" y="0"/>
                          <a:ext cx="695136" cy="173346"/>
                        </a:xfrm>
                        <a:prstGeom prst="rect">
                          <a:avLst/>
                        </a:prstGeom>
                        <a:noFill/>
                        <a:ln w="6350">
                          <a:noFill/>
                        </a:ln>
                      </wps:spPr>
                      <wps:txbx>
                        <w:txbxContent>
                          <w:p w14:paraId="63EAB9CF" w14:textId="792D6710" w:rsidR="007B3F02" w:rsidRPr="007660DB" w:rsidRDefault="007B3F02" w:rsidP="007660DB">
                            <w:pPr>
                              <w:rPr>
                                <w:b/>
                                <w:color w:val="C00000"/>
                                <w:sz w:val="12"/>
                              </w:rPr>
                            </w:pPr>
                            <w:r w:rsidRPr="007660DB">
                              <w:rPr>
                                <w:b/>
                                <w:i/>
                                <w:color w:val="C00000"/>
                                <w:sz w:val="12"/>
                              </w:rPr>
                              <w:t>P</w:t>
                            </w:r>
                            <w:r w:rsidRPr="007660DB">
                              <w:rPr>
                                <w:b/>
                                <w:color w:val="C00000"/>
                                <w:sz w:val="12"/>
                              </w:rPr>
                              <w:t xml:space="preserve"> = 20 – 23 </w:t>
                            </w:r>
                            <w:proofErr w:type="gramStart"/>
                            <w:r w:rsidRPr="007660DB">
                              <w:rPr>
                                <w:b/>
                                <w:color w:val="C00000"/>
                                <w:sz w:val="12"/>
                              </w:rPr>
                              <w:t>bar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F9DE7" id="_x0000_t202" coordsize="21600,21600" o:spt="202" path="m,l,21600r21600,l21600,xe">
                <v:stroke joinstyle="miter"/>
                <v:path gradientshapeok="t" o:connecttype="rect"/>
              </v:shapetype>
              <v:shape id="Casella di testo 16" o:spid="_x0000_s1026" type="#_x0000_t202" style="position:absolute;left:0;text-align:left;margin-left:212.45pt;margin-top:37.7pt;width:54.7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" filled="f" stroked="f" strokeweight=".5pt">
                <v:textbox>
                  <w:txbxContent>
                    <w:p w14:paraId="63EAB9CF" w14:textId="792D6710" w:rsidR="007B3F02" w:rsidRPr="007660DB" w:rsidRDefault="007B3F02" w:rsidP="007660DB">
                      <w:pPr>
                        <w:rPr>
                          <w:b/>
                          <w:color w:val="C00000"/>
                          <w:sz w:val="12"/>
                        </w:rPr>
                      </w:pPr>
                      <w:r w:rsidRPr="007660DB">
                        <w:rPr>
                          <w:b/>
                          <w:i/>
                          <w:color w:val="C00000"/>
                          <w:sz w:val="12"/>
                        </w:rPr>
                        <w:t>P</w:t>
                      </w:r>
                      <w:r w:rsidRPr="007660DB">
                        <w:rPr>
                          <w:b/>
                          <w:color w:val="C00000"/>
                          <w:sz w:val="12"/>
                        </w:rPr>
                        <w:t xml:space="preserve"> = 20 – 23 </w:t>
                      </w:r>
                      <w:proofErr w:type="gramStart"/>
                      <w:r w:rsidRPr="007660DB">
                        <w:rPr>
                          <w:b/>
                          <w:color w:val="C00000"/>
                          <w:sz w:val="12"/>
                        </w:rPr>
                        <w:t>bar</w:t>
                      </w:r>
                      <w:proofErr w:type="gramEnd"/>
                    </w:p>
                  </w:txbxContent>
                </v:textbox>
              </v:shape>
            </w:pict>
          </mc:Fallback>
        </mc:AlternateContent>
      </w:r>
      <w:r w:rsidR="007660DB">
        <w:rPr>
          <w:noProof/>
          <w:lang w:val="en-GB" w:eastAsia="en-GB"/>
        </w:rPr>
        <mc:AlternateContent>
          <mc:Choice Requires="wps">
            <w:drawing>
              <wp:anchor distT="0" distB="0" distL="114300" distR="114300" simplePos="0" relativeHeight="251659264" behindDoc="0" locked="0" layoutInCell="1" allowOverlap="1" wp14:anchorId="26C03254" wp14:editId="0E349274">
                <wp:simplePos x="0" y="0"/>
                <wp:positionH relativeFrom="column">
                  <wp:posOffset>3500221</wp:posOffset>
                </wp:positionH>
                <wp:positionV relativeFrom="paragraph">
                  <wp:posOffset>1337641</wp:posOffset>
                </wp:positionV>
                <wp:extent cx="695136" cy="173346"/>
                <wp:effectExtent l="0" t="0" r="0" b="0"/>
                <wp:wrapNone/>
                <wp:docPr id="14" name="Casella di testo 14"/>
                <wp:cNvGraphicFramePr/>
                <a:graphic xmlns:a="http://schemas.openxmlformats.org/drawingml/2006/main">
                  <a:graphicData uri="http://schemas.microsoft.com/office/word/2010/wordprocessingShape">
                    <wps:wsp>
                      <wps:cNvSpPr txBox="1"/>
                      <wps:spPr>
                        <a:xfrm>
                          <a:off x="0" y="0"/>
                          <a:ext cx="695136" cy="173346"/>
                        </a:xfrm>
                        <a:prstGeom prst="rect">
                          <a:avLst/>
                        </a:prstGeom>
                        <a:noFill/>
                        <a:ln w="6350">
                          <a:noFill/>
                        </a:ln>
                      </wps:spPr>
                      <wps:txbx>
                        <w:txbxContent>
                          <w:p w14:paraId="057F1E48" w14:textId="56BDC717" w:rsidR="007B3F02" w:rsidRPr="007660DB" w:rsidRDefault="007B3F02">
                            <w:pPr>
                              <w:rPr>
                                <w:b/>
                                <w:color w:val="00B050"/>
                                <w:sz w:val="12"/>
                              </w:rPr>
                            </w:pPr>
                            <w:r w:rsidRPr="007660DB">
                              <w:rPr>
                                <w:b/>
                                <w:i/>
                                <w:color w:val="00B050"/>
                                <w:sz w:val="12"/>
                              </w:rPr>
                              <w:t>P</w:t>
                            </w:r>
                            <w:r w:rsidRPr="007660DB">
                              <w:rPr>
                                <w:b/>
                                <w:color w:val="00B050"/>
                                <w:sz w:val="12"/>
                              </w:rPr>
                              <w:t xml:space="preserve"> = 13 – 18 </w:t>
                            </w:r>
                            <w:proofErr w:type="gramStart"/>
                            <w:r w:rsidRPr="007660DB">
                              <w:rPr>
                                <w:b/>
                                <w:color w:val="00B050"/>
                                <w:sz w:val="12"/>
                              </w:rPr>
                              <w:t>bar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03254" id="Casella di testo 14" o:spid="_x0000_s1027" type="#_x0000_t202" style="position:absolute;left:0;text-align:left;margin-left:275.6pt;margin-top:105.35pt;width:54.7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" filled="f" stroked="f" strokeweight=".5pt">
                <v:textbox>
                  <w:txbxContent>
                    <w:p w14:paraId="057F1E48" w14:textId="56BDC717" w:rsidR="007B3F02" w:rsidRPr="007660DB" w:rsidRDefault="007B3F02">
                      <w:pPr>
                        <w:rPr>
                          <w:b/>
                          <w:color w:val="00B050"/>
                          <w:sz w:val="12"/>
                        </w:rPr>
                      </w:pPr>
                      <w:r w:rsidRPr="007660DB">
                        <w:rPr>
                          <w:b/>
                          <w:i/>
                          <w:color w:val="00B050"/>
                          <w:sz w:val="12"/>
                        </w:rPr>
                        <w:t>P</w:t>
                      </w:r>
                      <w:r w:rsidRPr="007660DB">
                        <w:rPr>
                          <w:b/>
                          <w:color w:val="00B050"/>
                          <w:sz w:val="12"/>
                        </w:rPr>
                        <w:t xml:space="preserve"> = 13 – 18 </w:t>
                      </w:r>
                      <w:proofErr w:type="gramStart"/>
                      <w:r w:rsidRPr="007660DB">
                        <w:rPr>
                          <w:b/>
                          <w:color w:val="00B050"/>
                          <w:sz w:val="12"/>
                        </w:rPr>
                        <w:t>bar</w:t>
                      </w:r>
                      <w:proofErr w:type="gramEnd"/>
                    </w:p>
                  </w:txbxContent>
                </v:textbox>
              </v:shape>
            </w:pict>
          </mc:Fallback>
        </mc:AlternateContent>
      </w:r>
      <w:r w:rsidR="007660DB">
        <w:rPr>
          <w:noProof/>
          <w:lang w:val="en-GB" w:eastAsia="en-GB"/>
        </w:rPr>
        <mc:AlternateContent>
          <mc:Choice Requires="wps">
            <w:drawing>
              <wp:anchor distT="0" distB="0" distL="114300" distR="114300" simplePos="0" relativeHeight="251660288" behindDoc="0" locked="0" layoutInCell="1" allowOverlap="1" wp14:anchorId="3CBDCFC4" wp14:editId="6085E9D3">
                <wp:simplePos x="0" y="0"/>
                <wp:positionH relativeFrom="column">
                  <wp:posOffset>3340187</wp:posOffset>
                </wp:positionH>
                <wp:positionV relativeFrom="paragraph">
                  <wp:posOffset>1187929</wp:posOffset>
                </wp:positionV>
                <wp:extent cx="234017" cy="385694"/>
                <wp:effectExtent l="0" t="0" r="13970" b="14605"/>
                <wp:wrapNone/>
                <wp:docPr id="15" name="Rettangolo 15"/>
                <wp:cNvGraphicFramePr/>
                <a:graphic xmlns:a="http://schemas.openxmlformats.org/drawingml/2006/main">
                  <a:graphicData uri="http://schemas.microsoft.com/office/word/2010/wordprocessingShape">
                    <wps:wsp>
                      <wps:cNvSpPr/>
                      <wps:spPr>
                        <a:xfrm>
                          <a:off x="0" y="0"/>
                          <a:ext cx="234017" cy="385694"/>
                        </a:xfrm>
                        <a:prstGeom prst="rect">
                          <a:avLst/>
                        </a:prstGeom>
                        <a:no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4A9D6F2" id="Rettangolo 15" o:spid="_x0000_s1026" style="position:absolute;margin-left:263pt;margin-top:93.55pt;width:18.45pt;height:30.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" filled="f" strokecolor="#00b050" strokeweight="1pt"/>
            </w:pict>
          </mc:Fallback>
        </mc:AlternateContent>
      </w:r>
      <w:r w:rsidR="005078EF" w:rsidRPr="005078EF">
        <w:rPr>
          <w:noProof/>
          <w:lang w:val="en-GB" w:eastAsia="en-GB"/>
        </w:rPr>
        <w:drawing>
          <wp:inline distT="0" distB="0" distL="0" distR="0" wp14:anchorId="3DF4CDD3" wp14:editId="714FCF87">
            <wp:extent cx="5629875" cy="1821977"/>
            <wp:effectExtent l="0" t="0" r="9525" b="6985"/>
            <wp:docPr id="12" name="Immagine 11">
              <a:extLst xmlns:a="http://schemas.openxmlformats.org/drawingml/2006/main">
                <a:ext uri="{FF2B5EF4-FFF2-40B4-BE49-F238E27FC236}">
                  <a16:creationId xmlns:a16="http://schemas.microsoft.com/office/drawing/2014/main" id="{2EEFF70D-5455-4927-A75A-07BECF75F7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2EEFF70D-5455-4927-A75A-07BECF75F7F2}"/>
                        </a:ext>
                      </a:extLst>
                    </pic:cNvPr>
                    <pic:cNvPicPr>
                      <a:picLocks noChangeAspect="1"/>
                    </pic:cNvPicPr>
                  </pic:nvPicPr>
                  <pic:blipFill rotWithShape="1">
                    <a:blip r:embed="rId11">
                      <a:extLst>
                        <a:ext uri="{28A0092B-C50C-407E-A947-70E740481C1C}">
                          <a14:useLocalDpi xmlns:a14="http://schemas.microsoft.com/office/drawing/2010/main" val="0"/>
                        </a:ext>
                      </a:extLst>
                    </a:blip>
                    <a:srcRect r="939"/>
                    <a:stretch/>
                  </pic:blipFill>
                  <pic:spPr bwMode="auto">
                    <a:xfrm>
                      <a:off x="0" y="0"/>
                      <a:ext cx="5636424" cy="1824096"/>
                    </a:xfrm>
                    <a:prstGeom prst="rect">
                      <a:avLst/>
                    </a:prstGeom>
                    <a:ln>
                      <a:noFill/>
                    </a:ln>
                    <a:extLst>
                      <a:ext uri="{53640926-AAD7-44D8-BBD7-CCE9431645EC}">
                        <a14:shadowObscured xmlns:a14="http://schemas.microsoft.com/office/drawing/2010/main"/>
                      </a:ext>
                    </a:extLst>
                  </pic:spPr>
                </pic:pic>
              </a:graphicData>
            </a:graphic>
          </wp:inline>
        </w:drawing>
      </w:r>
    </w:p>
    <w:p w14:paraId="0A1BE0C6" w14:textId="3684BAA1" w:rsidR="00136207" w:rsidRPr="00264C72" w:rsidRDefault="00136207" w:rsidP="00136207">
      <w:pPr>
        <w:pStyle w:val="CETCaption"/>
        <w:rPr>
          <w:b/>
        </w:rPr>
      </w:pPr>
      <w:bookmarkStart w:id="2" w:name="_Ref126317217"/>
      <w:r>
        <w:t xml:space="preserve">Figure </w:t>
      </w:r>
      <w:r>
        <w:fldChar w:fldCharType="begin"/>
      </w:r>
      <w:r>
        <w:instrText xml:space="preserve"> SEQ Figure \* ARABIC </w:instrText>
      </w:r>
      <w:r>
        <w:fldChar w:fldCharType="separate"/>
      </w:r>
      <w:r w:rsidR="00FE1E1E">
        <w:rPr>
          <w:noProof/>
        </w:rPr>
        <w:t>2</w:t>
      </w:r>
      <w:r>
        <w:fldChar w:fldCharType="end"/>
      </w:r>
      <w:bookmarkEnd w:id="2"/>
      <w:r w:rsidRPr="00985115">
        <w:t xml:space="preserve">. </w:t>
      </w:r>
      <w:r>
        <w:t>Single</w:t>
      </w:r>
      <w:r w:rsidR="00B64CDF">
        <w:t xml:space="preserve"> </w:t>
      </w:r>
      <w:r>
        <w:t>column</w:t>
      </w:r>
      <w:r w:rsidRPr="00264C72">
        <w:t xml:space="preserve"> </w:t>
      </w:r>
      <w:r>
        <w:t>He recovery, with downstream He upgrading. Simulation in Aspen HYSYS V11</w:t>
      </w:r>
      <w:r w:rsidRPr="00136207">
        <w:rPr>
          <w:rFonts w:cs="Arial"/>
          <w:vertAlign w:val="superscript"/>
        </w:rPr>
        <w:t>®</w:t>
      </w:r>
      <w:r w:rsidRPr="00264C72">
        <w:t>.</w:t>
      </w:r>
    </w:p>
    <w:p w14:paraId="18BAFA6F" w14:textId="279ACE99" w:rsidR="00453E24" w:rsidRPr="00B57B36" w:rsidRDefault="007E012C" w:rsidP="00453E24">
      <w:pPr>
        <w:pStyle w:val="CETheadingx"/>
      </w:pPr>
      <w:r>
        <w:t>Double column recovery scheme</w:t>
      </w:r>
    </w:p>
    <w:p w14:paraId="391BC33F" w14:textId="6B801B1A" w:rsidR="007E012C" w:rsidRPr="007E012C" w:rsidRDefault="007E012C" w:rsidP="007E012C">
      <w:pPr>
        <w:pStyle w:val="CETBodytext"/>
      </w:pPr>
      <w:r w:rsidRPr="007E012C">
        <w:t xml:space="preserve">The double column configuration consists of a high-pressure (HP) rectifying column thermally linked with a low-pressure (LP) column, to perform the simultaneous </w:t>
      </w:r>
      <w:r w:rsidR="009B1AB1">
        <w:t>N</w:t>
      </w:r>
      <w:r w:rsidR="009B1AB1" w:rsidRPr="009B1AB1">
        <w:rPr>
          <w:vertAlign w:val="subscript"/>
        </w:rPr>
        <w:t>2</w:t>
      </w:r>
      <w:r w:rsidR="009B1AB1">
        <w:t xml:space="preserve"> </w:t>
      </w:r>
      <w:r w:rsidRPr="007E012C">
        <w:t xml:space="preserve">rejection and </w:t>
      </w:r>
      <w:r w:rsidR="009B1AB1" w:rsidRPr="007E012C">
        <w:t xml:space="preserve">crude </w:t>
      </w:r>
      <w:r w:rsidR="009B1AB1">
        <w:t xml:space="preserve">He </w:t>
      </w:r>
      <w:r w:rsidRPr="007E012C">
        <w:t xml:space="preserve">production maximizing the heat integration. </w:t>
      </w:r>
      <w:r w:rsidR="009B1AB1">
        <w:t>Because of the very cold</w:t>
      </w:r>
      <w:r w:rsidRPr="007E012C">
        <w:t xml:space="preserve"> temperature profile </w:t>
      </w:r>
      <w:r w:rsidR="009B1AB1">
        <w:t>of the</w:t>
      </w:r>
      <w:r w:rsidRPr="007E012C">
        <w:t xml:space="preserve"> </w:t>
      </w:r>
      <w:r w:rsidR="009B1AB1">
        <w:t>LP</w:t>
      </w:r>
      <w:r w:rsidRPr="007E012C">
        <w:t xml:space="preserve"> column, the reduction of carbon dioxide inlet content down to few ppm </w:t>
      </w:r>
      <w:r w:rsidR="008C1CE9">
        <w:t>is</w:t>
      </w:r>
      <w:r w:rsidRPr="007E012C">
        <w:t xml:space="preserve"> crucial to avoid solidification issues</w:t>
      </w:r>
      <w:r w:rsidR="00AC611C">
        <w:t xml:space="preserve"> (Rufford et al., 2012)</w:t>
      </w:r>
      <w:r w:rsidRPr="007E012C">
        <w:t xml:space="preserve">. </w:t>
      </w:r>
    </w:p>
    <w:p w14:paraId="05F0B446" w14:textId="049822AA" w:rsidR="00B64CDF" w:rsidRPr="00B64CDF" w:rsidRDefault="007E012C" w:rsidP="00B64CDF">
      <w:pPr>
        <w:pStyle w:val="CETBodytext"/>
        <w:rPr>
          <w:lang w:val="en-GB"/>
        </w:rPr>
      </w:pPr>
      <w:r w:rsidRPr="007E012C">
        <w:t xml:space="preserve">Gas with a </w:t>
      </w:r>
      <w:r w:rsidR="002151DD">
        <w:t>N</w:t>
      </w:r>
      <w:r w:rsidR="002151DD" w:rsidRPr="002151DD">
        <w:rPr>
          <w:vertAlign w:val="subscript"/>
        </w:rPr>
        <w:t>2</w:t>
      </w:r>
      <w:r w:rsidRPr="007E012C">
        <w:t xml:space="preserve"> content below 20 </w:t>
      </w:r>
      <w:r w:rsidR="002151DD">
        <w:t>–</w:t>
      </w:r>
      <w:r w:rsidRPr="007E012C">
        <w:t xml:space="preserve"> 30 mol% cannot be processed successfully in </w:t>
      </w:r>
      <w:r w:rsidR="00DB194C">
        <w:t>the</w:t>
      </w:r>
      <w:r w:rsidRPr="007E012C">
        <w:t xml:space="preserve"> basic double column process scheme. The </w:t>
      </w:r>
      <w:r w:rsidR="00DB194C">
        <w:t>typical</w:t>
      </w:r>
      <w:r w:rsidRPr="007E012C">
        <w:t xml:space="preserve"> </w:t>
      </w:r>
      <w:r w:rsidR="00DB194C">
        <w:t>N</w:t>
      </w:r>
      <w:r w:rsidR="00DB194C" w:rsidRPr="00DB194C">
        <w:rPr>
          <w:vertAlign w:val="subscript"/>
        </w:rPr>
        <w:t>2</w:t>
      </w:r>
      <w:r w:rsidR="00DB194C">
        <w:t xml:space="preserve"> inlet content </w:t>
      </w:r>
      <w:r w:rsidRPr="007E012C">
        <w:t xml:space="preserve">suitable for this technology </w:t>
      </w:r>
      <w:r w:rsidR="00DB194C">
        <w:t xml:space="preserve">is in the </w:t>
      </w:r>
      <w:r w:rsidRPr="007E012C">
        <w:t xml:space="preserve">range </w:t>
      </w:r>
      <w:r w:rsidR="009B1AB1">
        <w:t>25</w:t>
      </w:r>
      <w:r w:rsidR="002151DD">
        <w:t xml:space="preserve"> – </w:t>
      </w:r>
      <w:r w:rsidRPr="007E012C">
        <w:t>70 mol%</w:t>
      </w:r>
      <w:r w:rsidR="00AC611C">
        <w:t xml:space="preserve"> (De Guido et al., 2019)</w:t>
      </w:r>
      <w:r w:rsidRPr="007E012C">
        <w:t>.</w:t>
      </w:r>
      <w:r w:rsidR="009B1AB1">
        <w:t xml:space="preserve"> </w:t>
      </w:r>
      <w:r w:rsidR="00B64CDF">
        <w:fldChar w:fldCharType="begin"/>
      </w:r>
      <w:r w:rsidR="00B64CDF">
        <w:instrText xml:space="preserve"> REF _Ref126320030 \h </w:instrText>
      </w:r>
      <w:r w:rsidR="00B64CDF">
        <w:fldChar w:fldCharType="separate"/>
      </w:r>
      <w:r w:rsidR="00FE1E1E">
        <w:t xml:space="preserve">Figure </w:t>
      </w:r>
      <w:r w:rsidR="00FE1E1E">
        <w:rPr>
          <w:noProof/>
        </w:rPr>
        <w:t>3</w:t>
      </w:r>
      <w:r w:rsidR="00B64CDF">
        <w:fldChar w:fldCharType="end"/>
      </w:r>
      <w:r w:rsidR="00B64CDF">
        <w:t xml:space="preserve"> </w:t>
      </w:r>
      <w:r w:rsidR="006E75C1">
        <w:t>show</w:t>
      </w:r>
      <w:r w:rsidR="0071504C" w:rsidRPr="0071504C">
        <w:t>s the simulated double column process scheme.</w:t>
      </w:r>
      <w:r w:rsidR="00B64CDF" w:rsidRPr="00B64CDF">
        <w:rPr>
          <w:lang w:val="en-GB"/>
        </w:rPr>
        <w:t xml:space="preserve"> The </w:t>
      </w:r>
      <w:r w:rsidR="00B64CDF">
        <w:rPr>
          <w:lang w:val="en-GB"/>
        </w:rPr>
        <w:t xml:space="preserve">feed </w:t>
      </w:r>
      <w:r w:rsidR="00B64CDF" w:rsidRPr="00B64CDF">
        <w:rPr>
          <w:lang w:val="en-GB"/>
        </w:rPr>
        <w:t xml:space="preserve">stream is precooled into sequential process-process heat exchangers </w:t>
      </w:r>
      <w:r w:rsidR="00B64CDF">
        <w:rPr>
          <w:lang w:val="en-GB"/>
        </w:rPr>
        <w:t xml:space="preserve">(E-100, LNG-100, LNG-101) </w:t>
      </w:r>
      <w:r w:rsidR="00B64CDF" w:rsidRPr="00B64CDF">
        <w:rPr>
          <w:lang w:val="en-GB"/>
        </w:rPr>
        <w:t xml:space="preserve">and, after expansion, is fed to the </w:t>
      </w:r>
      <w:r w:rsidR="00B64CDF">
        <w:rPr>
          <w:lang w:val="en-GB"/>
        </w:rPr>
        <w:t>HP</w:t>
      </w:r>
      <w:r w:rsidR="00B64CDF" w:rsidRPr="00B64CDF">
        <w:rPr>
          <w:lang w:val="en-GB"/>
        </w:rPr>
        <w:t xml:space="preserve"> column</w:t>
      </w:r>
      <w:r w:rsidR="00B64CDF">
        <w:rPr>
          <w:lang w:val="en-GB"/>
        </w:rPr>
        <w:t xml:space="preserve">. </w:t>
      </w:r>
      <w:r w:rsidR="00B64CDF" w:rsidRPr="00B64CDF">
        <w:rPr>
          <w:lang w:val="en-GB"/>
        </w:rPr>
        <w:t xml:space="preserve">The liquid </w:t>
      </w:r>
      <w:r w:rsidR="00B64CDF">
        <w:rPr>
          <w:lang w:val="en-GB"/>
        </w:rPr>
        <w:t>N</w:t>
      </w:r>
      <w:r w:rsidR="00B64CDF" w:rsidRPr="00B64CDF">
        <w:rPr>
          <w:vertAlign w:val="subscript"/>
          <w:lang w:val="en-GB"/>
        </w:rPr>
        <w:t>2</w:t>
      </w:r>
      <w:r w:rsidR="00B64CDF" w:rsidRPr="00B64CDF">
        <w:rPr>
          <w:lang w:val="en-GB"/>
        </w:rPr>
        <w:t xml:space="preserve">-rich stream exiting the condenser provides reflux for both </w:t>
      </w:r>
      <w:r w:rsidR="00B64CDF">
        <w:rPr>
          <w:lang w:val="en-GB"/>
        </w:rPr>
        <w:t>HP</w:t>
      </w:r>
      <w:r w:rsidR="00B64CDF" w:rsidRPr="00B64CDF">
        <w:rPr>
          <w:lang w:val="en-GB"/>
        </w:rPr>
        <w:t xml:space="preserve"> and </w:t>
      </w:r>
      <w:r w:rsidR="00B64CDF">
        <w:rPr>
          <w:lang w:val="en-GB"/>
        </w:rPr>
        <w:t>LP</w:t>
      </w:r>
      <w:r w:rsidR="002D408E">
        <w:rPr>
          <w:lang w:val="en-GB"/>
        </w:rPr>
        <w:t xml:space="preserve"> columns. </w:t>
      </w:r>
      <w:r w:rsidR="00B64CDF" w:rsidRPr="00B64CDF">
        <w:rPr>
          <w:lang w:val="en-GB"/>
        </w:rPr>
        <w:t xml:space="preserve">The </w:t>
      </w:r>
      <w:r w:rsidR="006E75C1">
        <w:rPr>
          <w:lang w:val="en-GB"/>
        </w:rPr>
        <w:t>vapor stream</w:t>
      </w:r>
      <w:r w:rsidR="00B64CDF" w:rsidRPr="00B64CDF">
        <w:rPr>
          <w:lang w:val="en-GB"/>
        </w:rPr>
        <w:t xml:space="preserve"> exiting the condenser is the crude helium fed to the </w:t>
      </w:r>
      <w:r w:rsidR="002D408E">
        <w:rPr>
          <w:lang w:val="en-GB"/>
        </w:rPr>
        <w:t xml:space="preserve">downstream </w:t>
      </w:r>
      <w:r w:rsidR="00B64CDF" w:rsidRPr="00B64CDF">
        <w:rPr>
          <w:lang w:val="en-GB"/>
        </w:rPr>
        <w:t>upgrading section</w:t>
      </w:r>
      <w:r w:rsidR="002D408E">
        <w:rPr>
          <w:lang w:val="en-GB"/>
        </w:rPr>
        <w:t>.</w:t>
      </w:r>
      <w:r w:rsidR="00B64CDF" w:rsidRPr="00B64CDF">
        <w:rPr>
          <w:lang w:val="en-GB"/>
        </w:rPr>
        <w:t xml:space="preserve"> </w:t>
      </w:r>
      <w:r w:rsidR="002D408E">
        <w:rPr>
          <w:lang w:val="en-GB"/>
        </w:rPr>
        <w:t>T</w:t>
      </w:r>
      <w:r w:rsidR="00B64CDF" w:rsidRPr="00B64CDF">
        <w:rPr>
          <w:lang w:val="en-GB"/>
        </w:rPr>
        <w:t xml:space="preserve">he bottom product </w:t>
      </w:r>
      <w:r w:rsidR="002D408E">
        <w:rPr>
          <w:lang w:val="en-GB"/>
        </w:rPr>
        <w:t>of</w:t>
      </w:r>
      <w:r w:rsidR="00B64CDF" w:rsidRPr="00B64CDF">
        <w:rPr>
          <w:lang w:val="en-GB"/>
        </w:rPr>
        <w:t xml:space="preserve"> the </w:t>
      </w:r>
      <w:r w:rsidR="002D408E">
        <w:rPr>
          <w:lang w:val="en-GB"/>
        </w:rPr>
        <w:t>HP</w:t>
      </w:r>
      <w:r w:rsidR="00B64CDF" w:rsidRPr="00B64CDF">
        <w:rPr>
          <w:lang w:val="en-GB"/>
        </w:rPr>
        <w:t xml:space="preserve"> column is chilled</w:t>
      </w:r>
      <w:r w:rsidR="006E75C1">
        <w:rPr>
          <w:lang w:val="en-GB"/>
        </w:rPr>
        <w:t xml:space="preserve"> in LNG-102</w:t>
      </w:r>
      <w:r w:rsidR="002D408E">
        <w:rPr>
          <w:lang w:val="en-GB"/>
        </w:rPr>
        <w:t>,</w:t>
      </w:r>
      <w:r w:rsidR="00B64CDF" w:rsidRPr="00B64CDF">
        <w:rPr>
          <w:lang w:val="en-GB"/>
        </w:rPr>
        <w:t xml:space="preserve"> expanded </w:t>
      </w:r>
      <w:r w:rsidR="006E75C1">
        <w:rPr>
          <w:lang w:val="en-GB"/>
        </w:rPr>
        <w:t>and fed to the LP</w:t>
      </w:r>
      <w:r w:rsidR="00B64CDF" w:rsidRPr="00B64CDF">
        <w:rPr>
          <w:lang w:val="en-GB"/>
        </w:rPr>
        <w:t xml:space="preserve"> column. Two essentially pure streams, </w:t>
      </w:r>
      <w:r w:rsidR="006E75C1">
        <w:rPr>
          <w:lang w:val="en-GB"/>
        </w:rPr>
        <w:t>N</w:t>
      </w:r>
      <w:r w:rsidR="006E75C1" w:rsidRPr="006E75C1">
        <w:rPr>
          <w:vertAlign w:val="subscript"/>
          <w:lang w:val="en-GB"/>
        </w:rPr>
        <w:t>2</w:t>
      </w:r>
      <w:r w:rsidR="00B64CDF" w:rsidRPr="00B64CDF">
        <w:rPr>
          <w:lang w:val="en-GB"/>
        </w:rPr>
        <w:t xml:space="preserve"> from the top and </w:t>
      </w:r>
      <w:r w:rsidR="006E75C1">
        <w:rPr>
          <w:lang w:val="en-GB"/>
        </w:rPr>
        <w:t>CH</w:t>
      </w:r>
      <w:r w:rsidR="006E75C1" w:rsidRPr="006E75C1">
        <w:rPr>
          <w:vertAlign w:val="subscript"/>
          <w:lang w:val="en-GB"/>
        </w:rPr>
        <w:t>4</w:t>
      </w:r>
      <w:r w:rsidR="00B64CDF" w:rsidRPr="00B64CDF">
        <w:rPr>
          <w:lang w:val="en-GB"/>
        </w:rPr>
        <w:t xml:space="preserve"> from the bottom, are withdrawn from th</w:t>
      </w:r>
      <w:r w:rsidR="006E75C1">
        <w:rPr>
          <w:lang w:val="en-GB"/>
        </w:rPr>
        <w:t>is</w:t>
      </w:r>
      <w:r w:rsidR="00B64CDF" w:rsidRPr="00B64CDF">
        <w:rPr>
          <w:lang w:val="en-GB"/>
        </w:rPr>
        <w:t xml:space="preserve"> column. The bottom product is pumped </w:t>
      </w:r>
      <w:r w:rsidR="006E75C1">
        <w:rPr>
          <w:lang w:val="en-GB"/>
        </w:rPr>
        <w:t>in P-100</w:t>
      </w:r>
      <w:r w:rsidR="00B64CDF" w:rsidRPr="00B64CDF">
        <w:rPr>
          <w:lang w:val="en-GB"/>
        </w:rPr>
        <w:t xml:space="preserve"> </w:t>
      </w:r>
      <w:r w:rsidR="006E75C1">
        <w:rPr>
          <w:lang w:val="en-GB"/>
        </w:rPr>
        <w:t>and</w:t>
      </w:r>
      <w:r w:rsidR="00B64CDF" w:rsidRPr="00B64CDF">
        <w:rPr>
          <w:lang w:val="en-GB"/>
        </w:rPr>
        <w:t xml:space="preserve"> used </w:t>
      </w:r>
      <w:r w:rsidR="006E75C1">
        <w:rPr>
          <w:lang w:val="en-GB"/>
        </w:rPr>
        <w:t>for</w:t>
      </w:r>
      <w:r w:rsidR="00B64CDF" w:rsidRPr="00B64CDF">
        <w:rPr>
          <w:lang w:val="en-GB"/>
        </w:rPr>
        <w:t xml:space="preserve"> refrigeration recovery in LNG-101 and LNG-100, </w:t>
      </w:r>
      <w:r w:rsidR="006E75C1">
        <w:rPr>
          <w:lang w:val="en-GB"/>
        </w:rPr>
        <w:t>before being compressed for</w:t>
      </w:r>
      <w:r w:rsidR="00B64CDF" w:rsidRPr="00B64CDF">
        <w:rPr>
          <w:lang w:val="en-GB"/>
        </w:rPr>
        <w:t xml:space="preserve"> gas grid distribution.</w:t>
      </w:r>
    </w:p>
    <w:p w14:paraId="40BD32F3" w14:textId="5701F247" w:rsidR="0071504C" w:rsidRDefault="001C5306" w:rsidP="007E012C">
      <w:pPr>
        <w:pStyle w:val="CETBodytext"/>
      </w:pPr>
      <w:r w:rsidRPr="00B64CDF">
        <w:rPr>
          <w:noProof/>
          <w:lang w:val="en-GB" w:eastAsia="en-GB"/>
        </w:rPr>
        <w:lastRenderedPageBreak/>
        <mc:AlternateContent>
          <mc:Choice Requires="wps">
            <w:drawing>
              <wp:anchor distT="0" distB="0" distL="114300" distR="114300" simplePos="0" relativeHeight="251670528" behindDoc="0" locked="0" layoutInCell="1" allowOverlap="1" wp14:anchorId="6EB18AFA" wp14:editId="329CF799">
                <wp:simplePos x="0" y="0"/>
                <wp:positionH relativeFrom="column">
                  <wp:posOffset>3225927</wp:posOffset>
                </wp:positionH>
                <wp:positionV relativeFrom="paragraph">
                  <wp:posOffset>579400</wp:posOffset>
                </wp:positionV>
                <wp:extent cx="694690" cy="172720"/>
                <wp:effectExtent l="0" t="0" r="0" b="0"/>
                <wp:wrapNone/>
                <wp:docPr id="23" name="Casella di testo 23"/>
                <wp:cNvGraphicFramePr/>
                <a:graphic xmlns:a="http://schemas.openxmlformats.org/drawingml/2006/main">
                  <a:graphicData uri="http://schemas.microsoft.com/office/word/2010/wordprocessingShape">
                    <wps:wsp>
                      <wps:cNvSpPr txBox="1"/>
                      <wps:spPr>
                        <a:xfrm>
                          <a:off x="0" y="0"/>
                          <a:ext cx="694690" cy="172720"/>
                        </a:xfrm>
                        <a:prstGeom prst="rect">
                          <a:avLst/>
                        </a:prstGeom>
                        <a:noFill/>
                        <a:ln w="6350">
                          <a:noFill/>
                        </a:ln>
                      </wps:spPr>
                      <wps:txbx>
                        <w:txbxContent>
                          <w:p w14:paraId="7B9E6CA4" w14:textId="7997F2B4" w:rsidR="007B3F02" w:rsidRPr="00B64CDF" w:rsidRDefault="007B3F02" w:rsidP="00B64CDF">
                            <w:pPr>
                              <w:rPr>
                                <w:b/>
                                <w:color w:val="7030A0"/>
                                <w:sz w:val="12"/>
                              </w:rPr>
                            </w:pPr>
                            <w:r w:rsidRPr="00B64CDF">
                              <w:rPr>
                                <w:b/>
                                <w:i/>
                                <w:color w:val="7030A0"/>
                                <w:sz w:val="12"/>
                              </w:rPr>
                              <w:t>P</w:t>
                            </w:r>
                            <w:r w:rsidRPr="00B64CDF">
                              <w:rPr>
                                <w:b/>
                                <w:color w:val="7030A0"/>
                                <w:sz w:val="12"/>
                              </w:rPr>
                              <w:t xml:space="preserve"> = 1</w:t>
                            </w:r>
                            <w:r>
                              <w:rPr>
                                <w:b/>
                                <w:color w:val="7030A0"/>
                                <w:sz w:val="12"/>
                              </w:rPr>
                              <w:t>.5</w:t>
                            </w:r>
                            <w:r w:rsidRPr="00B64CDF">
                              <w:rPr>
                                <w:b/>
                                <w:color w:val="7030A0"/>
                                <w:sz w:val="12"/>
                              </w:rPr>
                              <w:t xml:space="preserve"> 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18AFA" id="Casella di testo 23" o:spid="_x0000_s1028" type="#_x0000_t202" style="position:absolute;left:0;text-align:left;margin-left:254pt;margin-top:45.6pt;width:54.7pt;height:1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" filled="f" stroked="f" strokeweight=".5pt">
                <v:textbox>
                  <w:txbxContent>
                    <w:p w14:paraId="7B9E6CA4" w14:textId="7997F2B4" w:rsidR="007B3F02" w:rsidRPr="00B64CDF" w:rsidRDefault="007B3F02" w:rsidP="00B64CDF">
                      <w:pPr>
                        <w:rPr>
                          <w:b/>
                          <w:color w:val="7030A0"/>
                          <w:sz w:val="12"/>
                        </w:rPr>
                      </w:pPr>
                      <w:r w:rsidRPr="00B64CDF">
                        <w:rPr>
                          <w:b/>
                          <w:i/>
                          <w:color w:val="7030A0"/>
                          <w:sz w:val="12"/>
                        </w:rPr>
                        <w:t>P</w:t>
                      </w:r>
                      <w:r w:rsidRPr="00B64CDF">
                        <w:rPr>
                          <w:b/>
                          <w:color w:val="7030A0"/>
                          <w:sz w:val="12"/>
                        </w:rPr>
                        <w:t xml:space="preserve"> = 1</w:t>
                      </w:r>
                      <w:r>
                        <w:rPr>
                          <w:b/>
                          <w:color w:val="7030A0"/>
                          <w:sz w:val="12"/>
                        </w:rPr>
                        <w:t>.5</w:t>
                      </w:r>
                      <w:r w:rsidRPr="00B64CDF">
                        <w:rPr>
                          <w:b/>
                          <w:color w:val="7030A0"/>
                          <w:sz w:val="12"/>
                        </w:rPr>
                        <w:t xml:space="preserve"> bar</w:t>
                      </w:r>
                    </w:p>
                  </w:txbxContent>
                </v:textbox>
              </v:shape>
            </w:pict>
          </mc:Fallback>
        </mc:AlternateContent>
      </w:r>
      <w:r w:rsidRPr="00B64CDF">
        <w:rPr>
          <w:noProof/>
          <w:lang w:val="en-GB" w:eastAsia="en-GB"/>
        </w:rPr>
        <mc:AlternateContent>
          <mc:Choice Requires="wps">
            <w:drawing>
              <wp:anchor distT="0" distB="0" distL="114300" distR="114300" simplePos="0" relativeHeight="251668480" behindDoc="0" locked="0" layoutInCell="1" allowOverlap="1" wp14:anchorId="7D6563FD" wp14:editId="414AE780">
                <wp:simplePos x="0" y="0"/>
                <wp:positionH relativeFrom="column">
                  <wp:posOffset>3088945</wp:posOffset>
                </wp:positionH>
                <wp:positionV relativeFrom="paragraph">
                  <wp:posOffset>463474</wp:posOffset>
                </wp:positionV>
                <wp:extent cx="197511" cy="311709"/>
                <wp:effectExtent l="0" t="0" r="12065" b="12700"/>
                <wp:wrapNone/>
                <wp:docPr id="22" name="Rettangolo 22"/>
                <wp:cNvGraphicFramePr/>
                <a:graphic xmlns:a="http://schemas.openxmlformats.org/drawingml/2006/main">
                  <a:graphicData uri="http://schemas.microsoft.com/office/word/2010/wordprocessingShape">
                    <wps:wsp>
                      <wps:cNvSpPr/>
                      <wps:spPr>
                        <a:xfrm>
                          <a:off x="0" y="0"/>
                          <a:ext cx="197511" cy="311709"/>
                        </a:xfrm>
                        <a:prstGeom prst="rect">
                          <a:avLst/>
                        </a:prstGeom>
                        <a:noFill/>
                        <a:ln w="127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43F6064" id="Rettangolo 22" o:spid="_x0000_s1026" style="position:absolute;margin-left:243.2pt;margin-top:36.5pt;width:15.55pt;height:2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" filled="f" strokecolor="#7030a0" strokeweight="1pt"/>
            </w:pict>
          </mc:Fallback>
        </mc:AlternateContent>
      </w:r>
      <w:r w:rsidRPr="00B64CDF">
        <w:rPr>
          <w:noProof/>
          <w:lang w:val="en-GB" w:eastAsia="en-GB"/>
        </w:rPr>
        <mc:AlternateContent>
          <mc:Choice Requires="wps">
            <w:drawing>
              <wp:anchor distT="0" distB="0" distL="114300" distR="114300" simplePos="0" relativeHeight="251665408" behindDoc="0" locked="0" layoutInCell="1" allowOverlap="1" wp14:anchorId="3232873C" wp14:editId="09E0963D">
                <wp:simplePos x="0" y="0"/>
                <wp:positionH relativeFrom="column">
                  <wp:posOffset>3345434</wp:posOffset>
                </wp:positionH>
                <wp:positionV relativeFrom="paragraph">
                  <wp:posOffset>897255</wp:posOffset>
                </wp:positionV>
                <wp:extent cx="694690" cy="172720"/>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694690" cy="172720"/>
                        </a:xfrm>
                        <a:prstGeom prst="rect">
                          <a:avLst/>
                        </a:prstGeom>
                        <a:noFill/>
                        <a:ln w="6350">
                          <a:noFill/>
                        </a:ln>
                      </wps:spPr>
                      <wps:txbx>
                        <w:txbxContent>
                          <w:p w14:paraId="0F7E22FC" w14:textId="2A15BA3C" w:rsidR="007B3F02" w:rsidRPr="00B64CDF" w:rsidRDefault="007B3F02" w:rsidP="00B64CDF">
                            <w:pPr>
                              <w:rPr>
                                <w:b/>
                                <w:color w:val="F79646" w:themeColor="accent6"/>
                                <w:sz w:val="12"/>
                              </w:rPr>
                            </w:pPr>
                            <w:r w:rsidRPr="00B64CDF">
                              <w:rPr>
                                <w:b/>
                                <w:i/>
                                <w:color w:val="F79646" w:themeColor="accent6"/>
                                <w:sz w:val="12"/>
                              </w:rPr>
                              <w:t>P</w:t>
                            </w:r>
                            <w:r>
                              <w:rPr>
                                <w:b/>
                                <w:color w:val="F79646" w:themeColor="accent6"/>
                                <w:sz w:val="12"/>
                              </w:rPr>
                              <w:t xml:space="preserve"> = 28</w:t>
                            </w:r>
                            <w:r w:rsidRPr="00B64CDF">
                              <w:rPr>
                                <w:b/>
                                <w:color w:val="F79646" w:themeColor="accent6"/>
                                <w:sz w:val="12"/>
                              </w:rPr>
                              <w:t xml:space="preserve"> 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2873C" id="Casella di testo 20" o:spid="_x0000_s1029" type="#_x0000_t202" style="position:absolute;left:0;text-align:left;margin-left:263.4pt;margin-top:70.65pt;width:54.7pt;height:1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" filled="f" stroked="f" strokeweight=".5pt">
                <v:textbox>
                  <w:txbxContent>
                    <w:p w14:paraId="0F7E22FC" w14:textId="2A15BA3C" w:rsidR="007B3F02" w:rsidRPr="00B64CDF" w:rsidRDefault="007B3F02" w:rsidP="00B64CDF">
                      <w:pPr>
                        <w:rPr>
                          <w:b/>
                          <w:color w:val="F79646" w:themeColor="accent6"/>
                          <w:sz w:val="12"/>
                        </w:rPr>
                      </w:pPr>
                      <w:r w:rsidRPr="00B64CDF">
                        <w:rPr>
                          <w:b/>
                          <w:i/>
                          <w:color w:val="F79646" w:themeColor="accent6"/>
                          <w:sz w:val="12"/>
                        </w:rPr>
                        <w:t>P</w:t>
                      </w:r>
                      <w:r>
                        <w:rPr>
                          <w:b/>
                          <w:color w:val="F79646" w:themeColor="accent6"/>
                          <w:sz w:val="12"/>
                        </w:rPr>
                        <w:t xml:space="preserve"> = 28</w:t>
                      </w:r>
                      <w:r w:rsidRPr="00B64CDF">
                        <w:rPr>
                          <w:b/>
                          <w:color w:val="F79646" w:themeColor="accent6"/>
                          <w:sz w:val="12"/>
                        </w:rPr>
                        <w:t xml:space="preserve"> bar</w:t>
                      </w:r>
                    </w:p>
                  </w:txbxContent>
                </v:textbox>
              </v:shape>
            </w:pict>
          </mc:Fallback>
        </mc:AlternateContent>
      </w:r>
      <w:r w:rsidRPr="00B64CDF">
        <w:rPr>
          <w:noProof/>
          <w:lang w:val="en-GB" w:eastAsia="en-GB"/>
        </w:rPr>
        <mc:AlternateContent>
          <mc:Choice Requires="wps">
            <w:drawing>
              <wp:anchor distT="0" distB="0" distL="114300" distR="114300" simplePos="0" relativeHeight="251666432" behindDoc="0" locked="0" layoutInCell="1" allowOverlap="1" wp14:anchorId="1EEE090E" wp14:editId="6763233D">
                <wp:simplePos x="0" y="0"/>
                <wp:positionH relativeFrom="column">
                  <wp:posOffset>3213887</wp:posOffset>
                </wp:positionH>
                <wp:positionV relativeFrom="paragraph">
                  <wp:posOffset>829132</wp:posOffset>
                </wp:positionV>
                <wp:extent cx="169241" cy="322326"/>
                <wp:effectExtent l="0" t="0" r="21590" b="20955"/>
                <wp:wrapNone/>
                <wp:docPr id="21" name="Rettangolo 21"/>
                <wp:cNvGraphicFramePr/>
                <a:graphic xmlns:a="http://schemas.openxmlformats.org/drawingml/2006/main">
                  <a:graphicData uri="http://schemas.microsoft.com/office/word/2010/wordprocessingShape">
                    <wps:wsp>
                      <wps:cNvSpPr/>
                      <wps:spPr>
                        <a:xfrm>
                          <a:off x="0" y="0"/>
                          <a:ext cx="169241" cy="322326"/>
                        </a:xfrm>
                        <a:prstGeom prst="rect">
                          <a:avLst/>
                        </a:prstGeom>
                        <a:noFill/>
                        <a:ln w="127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CC20016" id="Rettangolo 21" o:spid="_x0000_s1026" style="position:absolute;margin-left:253.05pt;margin-top:65.3pt;width:13.35pt;height:2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" filled="f" strokecolor="#f79646 [3209]" strokeweight="1pt"/>
            </w:pict>
          </mc:Fallback>
        </mc:AlternateContent>
      </w:r>
      <w:r w:rsidR="002D408E">
        <w:rPr>
          <w:noProof/>
          <w:lang w:val="en-GB" w:eastAsia="en-GB"/>
        </w:rPr>
        <w:drawing>
          <wp:inline distT="0" distB="0" distL="0" distR="0" wp14:anchorId="08B44624" wp14:editId="26407E34">
            <wp:extent cx="5574863" cy="1492300"/>
            <wp:effectExtent l="0" t="0" r="698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6172" b="563"/>
                    <a:stretch/>
                  </pic:blipFill>
                  <pic:spPr bwMode="auto">
                    <a:xfrm>
                      <a:off x="0" y="0"/>
                      <a:ext cx="5601924" cy="1499544"/>
                    </a:xfrm>
                    <a:prstGeom prst="rect">
                      <a:avLst/>
                    </a:prstGeom>
                    <a:ln>
                      <a:noFill/>
                    </a:ln>
                    <a:extLst>
                      <a:ext uri="{53640926-AAD7-44D8-BBD7-CCE9431645EC}">
                        <a14:shadowObscured xmlns:a14="http://schemas.microsoft.com/office/drawing/2010/main"/>
                      </a:ext>
                    </a:extLst>
                  </pic:spPr>
                </pic:pic>
              </a:graphicData>
            </a:graphic>
          </wp:inline>
        </w:drawing>
      </w:r>
    </w:p>
    <w:p w14:paraId="595C48CF" w14:textId="37A351E3" w:rsidR="00B64CDF" w:rsidRPr="00264C72" w:rsidRDefault="00B64CDF" w:rsidP="00B64CDF">
      <w:pPr>
        <w:pStyle w:val="CETCaption"/>
        <w:rPr>
          <w:b/>
        </w:rPr>
      </w:pPr>
      <w:bookmarkStart w:id="3" w:name="_Ref126320030"/>
      <w:r>
        <w:t xml:space="preserve">Figure </w:t>
      </w:r>
      <w:r>
        <w:fldChar w:fldCharType="begin"/>
      </w:r>
      <w:r>
        <w:instrText xml:space="preserve"> SEQ Figure \* ARABIC </w:instrText>
      </w:r>
      <w:r>
        <w:fldChar w:fldCharType="separate"/>
      </w:r>
      <w:r w:rsidR="00FE1E1E">
        <w:rPr>
          <w:noProof/>
        </w:rPr>
        <w:t>3</w:t>
      </w:r>
      <w:r>
        <w:fldChar w:fldCharType="end"/>
      </w:r>
      <w:bookmarkEnd w:id="3"/>
      <w:r w:rsidRPr="00985115">
        <w:t xml:space="preserve">. </w:t>
      </w:r>
      <w:r>
        <w:t>Double column</w:t>
      </w:r>
      <w:r w:rsidRPr="00264C72">
        <w:t xml:space="preserve"> </w:t>
      </w:r>
      <w:r>
        <w:t>He recovery, with downstream He upgrading. Simulation in Aspen HYSYS V11</w:t>
      </w:r>
      <w:r w:rsidRPr="00136207">
        <w:rPr>
          <w:rFonts w:cs="Arial"/>
          <w:vertAlign w:val="superscript"/>
        </w:rPr>
        <w:t>®</w:t>
      </w:r>
      <w:r w:rsidRPr="00264C72">
        <w:t>.</w:t>
      </w:r>
    </w:p>
    <w:p w14:paraId="04963A06" w14:textId="4130AB79" w:rsidR="00600535" w:rsidRDefault="00035E28" w:rsidP="00035E28">
      <w:pPr>
        <w:pStyle w:val="CETHeading1"/>
        <w:tabs>
          <w:tab w:val="num" w:pos="360"/>
        </w:tabs>
      </w:pPr>
      <w:r w:rsidRPr="00035E28">
        <w:t xml:space="preserve">Results and discussion </w:t>
      </w:r>
    </w:p>
    <w:p w14:paraId="032F28A9" w14:textId="71562144" w:rsidR="00A6109E" w:rsidRDefault="00A6109E" w:rsidP="00A6109E">
      <w:pPr>
        <w:pStyle w:val="CETBodytext"/>
      </w:pPr>
      <w:r>
        <w:t>The performances of both single and double column process schemes have been assessed considering the following basis of design:</w:t>
      </w:r>
    </w:p>
    <w:p w14:paraId="07664997" w14:textId="44E64036" w:rsidR="00A6109E" w:rsidRDefault="00A6109E" w:rsidP="00A6109E">
      <w:pPr>
        <w:pStyle w:val="CETBodytext"/>
        <w:numPr>
          <w:ilvl w:val="0"/>
          <w:numId w:val="24"/>
        </w:numPr>
      </w:pPr>
      <w:r>
        <w:t xml:space="preserve">feed mixture entering the battery limits at </w:t>
      </w:r>
      <w:r w:rsidRPr="00A6109E">
        <w:rPr>
          <w:i/>
        </w:rPr>
        <w:t>T</w:t>
      </w:r>
      <w:r>
        <w:t xml:space="preserve"> = 20°C, </w:t>
      </w:r>
      <w:r w:rsidRPr="00A6109E">
        <w:rPr>
          <w:i/>
        </w:rPr>
        <w:t>P</w:t>
      </w:r>
      <w:r>
        <w:t xml:space="preserve"> = 50 bar, </w:t>
      </w:r>
      <w:r w:rsidRPr="00A6109E">
        <w:rPr>
          <w:i/>
        </w:rPr>
        <w:t>F</w:t>
      </w:r>
      <w:r>
        <w:t xml:space="preserve"> = </w:t>
      </w:r>
      <w:r w:rsidRPr="00736A8E">
        <w:t xml:space="preserve">5000 </w:t>
      </w:r>
      <w:proofErr w:type="spellStart"/>
      <w:r w:rsidRPr="00736A8E">
        <w:t>kmol</w:t>
      </w:r>
      <w:proofErr w:type="spellEnd"/>
      <w:r w:rsidRPr="00736A8E">
        <w:t>/h</w:t>
      </w:r>
      <w:r w:rsidR="007B3F02">
        <w:t xml:space="preserve">, with variable </w:t>
      </w:r>
      <w:r w:rsidR="00AC611C">
        <w:t xml:space="preserve">molar </w:t>
      </w:r>
      <w:r w:rsidR="007B3F02">
        <w:t xml:space="preserve">composition reported in </w:t>
      </w:r>
      <w:r w:rsidR="007B3F02">
        <w:fldChar w:fldCharType="begin"/>
      </w:r>
      <w:r w:rsidR="007B3F02">
        <w:instrText xml:space="preserve"> REF _Ref126336404 \h </w:instrText>
      </w:r>
      <w:r w:rsidR="007B3F02">
        <w:fldChar w:fldCharType="separate"/>
      </w:r>
      <w:r w:rsidR="00FE1E1E">
        <w:t xml:space="preserve">Table </w:t>
      </w:r>
      <w:r w:rsidR="00FE1E1E">
        <w:rPr>
          <w:noProof/>
        </w:rPr>
        <w:t>1</w:t>
      </w:r>
      <w:r w:rsidR="007B3F02">
        <w:fldChar w:fldCharType="end"/>
      </w:r>
      <w:r>
        <w:t>;</w:t>
      </w:r>
    </w:p>
    <w:p w14:paraId="26231398" w14:textId="26BC636B" w:rsidR="00A6109E" w:rsidRDefault="00A6109E" w:rsidP="00A6109E">
      <w:pPr>
        <w:pStyle w:val="CETBodytext"/>
        <w:numPr>
          <w:ilvl w:val="0"/>
          <w:numId w:val="24"/>
        </w:numPr>
      </w:pPr>
      <w:r>
        <w:t>n</w:t>
      </w:r>
      <w:r w:rsidRPr="00736A8E">
        <w:t>atural gas</w:t>
      </w:r>
      <w:r>
        <w:t xml:space="preserve"> product</w:t>
      </w:r>
      <w:r w:rsidRPr="00736A8E">
        <w:t xml:space="preserve"> </w:t>
      </w:r>
      <w:proofErr w:type="spellStart"/>
      <w:r w:rsidRPr="00736A8E">
        <w:t>Wobbe</w:t>
      </w:r>
      <w:proofErr w:type="spellEnd"/>
      <w:r w:rsidRPr="00736A8E">
        <w:t xml:space="preserve"> Index WI ≥ 48 MJ/Sm</w:t>
      </w:r>
      <w:r w:rsidRPr="00A6109E">
        <w:rPr>
          <w:vertAlign w:val="superscript"/>
        </w:rPr>
        <w:t>3</w:t>
      </w:r>
      <w:r w:rsidRPr="00A6109E">
        <w:t xml:space="preserve"> </w:t>
      </w:r>
      <w:r w:rsidRPr="00736A8E">
        <w:t>suit</w:t>
      </w:r>
      <w:r>
        <w:t>able for gas grid distribution;</w:t>
      </w:r>
    </w:p>
    <w:p w14:paraId="45138745" w14:textId="06967E64" w:rsidR="00A6109E" w:rsidRDefault="007D4F33" w:rsidP="00A6109E">
      <w:pPr>
        <w:pStyle w:val="CETBodytext"/>
        <w:numPr>
          <w:ilvl w:val="0"/>
          <w:numId w:val="24"/>
        </w:numPr>
      </w:pPr>
      <w:r>
        <w:t>CH</w:t>
      </w:r>
      <w:r w:rsidRPr="007D4F33">
        <w:rPr>
          <w:vertAlign w:val="subscript"/>
        </w:rPr>
        <w:t>4</w:t>
      </w:r>
      <w:r>
        <w:t xml:space="preserve"> content in the N</w:t>
      </w:r>
      <w:r w:rsidRPr="007D4F33">
        <w:rPr>
          <w:vertAlign w:val="subscript"/>
        </w:rPr>
        <w:t>2</w:t>
      </w:r>
      <w:r>
        <w:t xml:space="preserve"> stream exiting the process </w:t>
      </w:r>
      <w:r w:rsidR="00A6109E" w:rsidRPr="00736A8E">
        <w:t xml:space="preserve">fixed </w:t>
      </w:r>
      <w:r>
        <w:t>at</w:t>
      </w:r>
      <w:r w:rsidR="00A6109E" w:rsidRPr="00736A8E">
        <w:t xml:space="preserve"> 0.5 mol%</w:t>
      </w:r>
      <w:r>
        <w:t>,</w:t>
      </w:r>
      <w:r w:rsidR="00A6109E" w:rsidRPr="00736A8E">
        <w:t xml:space="preserve"> to minimize the hydrocarbon slip.</w:t>
      </w:r>
    </w:p>
    <w:p w14:paraId="7930A0F2" w14:textId="4D9D4E5F" w:rsidR="00E80F50" w:rsidRPr="00B57B36" w:rsidRDefault="00E80F50" w:rsidP="00E80F50">
      <w:pPr>
        <w:pStyle w:val="CETTabletitle"/>
      </w:pPr>
      <w:bookmarkStart w:id="4" w:name="_Ref126336404"/>
      <w:r>
        <w:t xml:space="preserve">Table </w:t>
      </w:r>
      <w:r>
        <w:fldChar w:fldCharType="begin"/>
      </w:r>
      <w:r>
        <w:instrText xml:space="preserve"> SEQ Table \* ARABIC </w:instrText>
      </w:r>
      <w:r>
        <w:fldChar w:fldCharType="separate"/>
      </w:r>
      <w:r w:rsidR="00FE1E1E">
        <w:rPr>
          <w:noProof/>
        </w:rPr>
        <w:t>1</w:t>
      </w:r>
      <w:r>
        <w:fldChar w:fldCharType="end"/>
      </w:r>
      <w:bookmarkEnd w:id="4"/>
      <w:r w:rsidRPr="00B57B36">
        <w:t xml:space="preserve">: </w:t>
      </w:r>
      <w:r w:rsidRPr="00E80F50">
        <w:t xml:space="preserve">List of helium bearing natural gases </w:t>
      </w:r>
      <w:r>
        <w:t>consider</w:t>
      </w:r>
      <w:r w:rsidRPr="00E80F50">
        <w:t xml:space="preserve">ed </w:t>
      </w:r>
      <w:r w:rsidR="0063673B">
        <w:t>in</w:t>
      </w:r>
      <w:r w:rsidRPr="00E80F50">
        <w:t xml:space="preserve"> the </w:t>
      </w:r>
      <w:r>
        <w:t xml:space="preserve">process </w:t>
      </w:r>
      <w:r w:rsidRPr="00E80F50">
        <w:t xml:space="preserve">simulations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709"/>
        <w:gridCol w:w="709"/>
        <w:gridCol w:w="1701"/>
        <w:gridCol w:w="2126"/>
      </w:tblGrid>
      <w:tr w:rsidR="00E80F50" w:rsidRPr="00B57B36" w14:paraId="658DA50D" w14:textId="77777777" w:rsidTr="00E80F50">
        <w:tc>
          <w:tcPr>
            <w:tcW w:w="709" w:type="dxa"/>
            <w:tcBorders>
              <w:top w:val="single" w:sz="12" w:space="0" w:color="008000"/>
              <w:bottom w:val="single" w:sz="6" w:space="0" w:color="008000"/>
            </w:tcBorders>
            <w:shd w:val="clear" w:color="auto" w:fill="FFFFFF"/>
            <w:vAlign w:val="center"/>
          </w:tcPr>
          <w:p w14:paraId="1F7374F3" w14:textId="77777777" w:rsidR="00E80F50" w:rsidRDefault="00E80F50" w:rsidP="00E80F50">
            <w:pPr>
              <w:pStyle w:val="CETBodytext"/>
              <w:jc w:val="center"/>
              <w:rPr>
                <w:lang w:val="en-GB"/>
              </w:rPr>
            </w:pPr>
            <w:r>
              <w:rPr>
                <w:lang w:val="en-GB"/>
              </w:rPr>
              <w:t>CH</w:t>
            </w:r>
            <w:r w:rsidRPr="00E80F50">
              <w:rPr>
                <w:vertAlign w:val="subscript"/>
                <w:lang w:val="en-GB"/>
              </w:rPr>
              <w:t>4</w:t>
            </w:r>
          </w:p>
          <w:p w14:paraId="599B4D43" w14:textId="6D6DD5BC" w:rsidR="00E80F50" w:rsidRPr="00B57B36" w:rsidRDefault="00E80F50" w:rsidP="00E80F50">
            <w:pPr>
              <w:pStyle w:val="CETBodytext"/>
              <w:jc w:val="center"/>
              <w:rPr>
                <w:lang w:val="en-GB"/>
              </w:rPr>
            </w:pPr>
            <w:r>
              <w:rPr>
                <w:lang w:val="en-GB"/>
              </w:rPr>
              <w:t>[mol%]</w:t>
            </w:r>
          </w:p>
        </w:tc>
        <w:tc>
          <w:tcPr>
            <w:tcW w:w="709" w:type="dxa"/>
            <w:tcBorders>
              <w:top w:val="single" w:sz="12" w:space="0" w:color="008000"/>
              <w:bottom w:val="single" w:sz="6" w:space="0" w:color="008000"/>
            </w:tcBorders>
            <w:shd w:val="clear" w:color="auto" w:fill="FFFFFF"/>
            <w:vAlign w:val="center"/>
          </w:tcPr>
          <w:p w14:paraId="596B1B47" w14:textId="45323487" w:rsidR="00E80F50" w:rsidRDefault="00E80F50" w:rsidP="00E80F50">
            <w:pPr>
              <w:pStyle w:val="CETBodytext"/>
              <w:jc w:val="center"/>
              <w:rPr>
                <w:lang w:val="en-GB"/>
              </w:rPr>
            </w:pPr>
            <w:r>
              <w:rPr>
                <w:lang w:val="en-GB"/>
              </w:rPr>
              <w:t>N</w:t>
            </w:r>
            <w:r>
              <w:rPr>
                <w:vertAlign w:val="subscript"/>
                <w:lang w:val="en-GB"/>
              </w:rPr>
              <w:t>2</w:t>
            </w:r>
          </w:p>
          <w:p w14:paraId="35EFEC2A" w14:textId="7D025672" w:rsidR="00E80F50" w:rsidRPr="00B57B36" w:rsidRDefault="00E80F50" w:rsidP="00E80F50">
            <w:pPr>
              <w:pStyle w:val="CETBodytext"/>
              <w:jc w:val="center"/>
              <w:rPr>
                <w:lang w:val="en-GB"/>
              </w:rPr>
            </w:pPr>
            <w:r>
              <w:rPr>
                <w:lang w:val="en-GB"/>
              </w:rPr>
              <w:t>[mol%]</w:t>
            </w:r>
          </w:p>
        </w:tc>
        <w:tc>
          <w:tcPr>
            <w:tcW w:w="709" w:type="dxa"/>
            <w:tcBorders>
              <w:top w:val="single" w:sz="12" w:space="0" w:color="008000"/>
              <w:bottom w:val="single" w:sz="6" w:space="0" w:color="008000"/>
            </w:tcBorders>
            <w:shd w:val="clear" w:color="auto" w:fill="FFFFFF"/>
            <w:vAlign w:val="center"/>
          </w:tcPr>
          <w:p w14:paraId="741C81D1" w14:textId="4725F0E2" w:rsidR="00E80F50" w:rsidRDefault="00E80F50" w:rsidP="00E80F50">
            <w:pPr>
              <w:pStyle w:val="CETBodytext"/>
              <w:jc w:val="center"/>
              <w:rPr>
                <w:lang w:val="en-GB"/>
              </w:rPr>
            </w:pPr>
            <w:r>
              <w:rPr>
                <w:lang w:val="en-GB"/>
              </w:rPr>
              <w:t>He</w:t>
            </w:r>
          </w:p>
          <w:p w14:paraId="5043E584" w14:textId="04AD3534" w:rsidR="00E80F50" w:rsidRPr="00B57B36" w:rsidRDefault="00E80F50" w:rsidP="00E80F50">
            <w:pPr>
              <w:pStyle w:val="CETBodytext"/>
              <w:jc w:val="center"/>
              <w:rPr>
                <w:lang w:val="en-GB"/>
              </w:rPr>
            </w:pPr>
            <w:r>
              <w:rPr>
                <w:lang w:val="en-GB"/>
              </w:rPr>
              <w:t>[mol%]</w:t>
            </w:r>
          </w:p>
        </w:tc>
        <w:tc>
          <w:tcPr>
            <w:tcW w:w="1701" w:type="dxa"/>
            <w:tcBorders>
              <w:top w:val="single" w:sz="12" w:space="0" w:color="008000"/>
              <w:bottom w:val="single" w:sz="6" w:space="0" w:color="008000"/>
            </w:tcBorders>
            <w:shd w:val="clear" w:color="auto" w:fill="FFFFFF"/>
            <w:vAlign w:val="center"/>
          </w:tcPr>
          <w:p w14:paraId="57C8E61F" w14:textId="7EBB696E" w:rsidR="00E80F50" w:rsidRPr="00B57B36" w:rsidRDefault="00E80F50" w:rsidP="00E80F50">
            <w:pPr>
              <w:pStyle w:val="CETBodytext"/>
              <w:ind w:right="-1"/>
              <w:jc w:val="center"/>
              <w:rPr>
                <w:rFonts w:cs="Arial"/>
                <w:szCs w:val="18"/>
                <w:lang w:val="en-GB"/>
              </w:rPr>
            </w:pPr>
            <w:r>
              <w:rPr>
                <w:rFonts w:cs="Arial"/>
                <w:szCs w:val="18"/>
                <w:lang w:val="en-GB"/>
              </w:rPr>
              <w:t>Configuration</w:t>
            </w:r>
          </w:p>
        </w:tc>
        <w:tc>
          <w:tcPr>
            <w:tcW w:w="2126" w:type="dxa"/>
            <w:tcBorders>
              <w:top w:val="single" w:sz="12" w:space="0" w:color="008000"/>
              <w:bottom w:val="single" w:sz="6" w:space="0" w:color="008000"/>
            </w:tcBorders>
            <w:shd w:val="clear" w:color="auto" w:fill="FFFFFF"/>
            <w:vAlign w:val="center"/>
          </w:tcPr>
          <w:p w14:paraId="5131260D" w14:textId="13E25D44" w:rsidR="00E80F50" w:rsidRPr="00B57B36" w:rsidRDefault="00E80F50" w:rsidP="00E80F50">
            <w:pPr>
              <w:pStyle w:val="CETBodytext"/>
              <w:ind w:right="-1"/>
              <w:jc w:val="center"/>
              <w:rPr>
                <w:rFonts w:cs="Arial"/>
                <w:szCs w:val="18"/>
                <w:lang w:val="en-GB"/>
              </w:rPr>
            </w:pPr>
            <w:r>
              <w:rPr>
                <w:rFonts w:cs="Arial"/>
                <w:szCs w:val="18"/>
                <w:lang w:val="en-GB"/>
              </w:rPr>
              <w:t>Reference</w:t>
            </w:r>
          </w:p>
        </w:tc>
      </w:tr>
      <w:tr w:rsidR="00E80F50" w:rsidRPr="00B57B36" w14:paraId="006535F0" w14:textId="77777777" w:rsidTr="0063673B">
        <w:tc>
          <w:tcPr>
            <w:tcW w:w="709" w:type="dxa"/>
            <w:shd w:val="clear" w:color="auto" w:fill="FFFFFF"/>
            <w:vAlign w:val="center"/>
          </w:tcPr>
          <w:p w14:paraId="0601C5E2" w14:textId="669E50C3" w:rsidR="00E80F50" w:rsidRPr="00B57B36" w:rsidRDefault="00E80F50" w:rsidP="00E80F50">
            <w:pPr>
              <w:pStyle w:val="CETBodytext"/>
              <w:jc w:val="center"/>
              <w:rPr>
                <w:lang w:val="en-GB"/>
              </w:rPr>
            </w:pPr>
            <w:r w:rsidRPr="00496CCB">
              <w:t>71.6</w:t>
            </w:r>
          </w:p>
        </w:tc>
        <w:tc>
          <w:tcPr>
            <w:tcW w:w="709" w:type="dxa"/>
            <w:shd w:val="clear" w:color="auto" w:fill="FFFFFF"/>
            <w:vAlign w:val="center"/>
          </w:tcPr>
          <w:p w14:paraId="0D1120A2" w14:textId="628D4957" w:rsidR="00E80F50" w:rsidRPr="00B57B36" w:rsidRDefault="00E80F50" w:rsidP="00E80F50">
            <w:pPr>
              <w:pStyle w:val="CETBodytext"/>
              <w:jc w:val="center"/>
              <w:rPr>
                <w:lang w:val="en-GB"/>
              </w:rPr>
            </w:pPr>
            <w:r w:rsidRPr="00496CCB">
              <w:t>26.3</w:t>
            </w:r>
          </w:p>
        </w:tc>
        <w:tc>
          <w:tcPr>
            <w:tcW w:w="709" w:type="dxa"/>
            <w:shd w:val="clear" w:color="auto" w:fill="FFFFFF"/>
            <w:vAlign w:val="center"/>
          </w:tcPr>
          <w:p w14:paraId="651D9CCC" w14:textId="61437C26" w:rsidR="00E80F50" w:rsidRPr="00B57B36" w:rsidRDefault="00E80F50" w:rsidP="00E80F50">
            <w:pPr>
              <w:pStyle w:val="CETBodytext"/>
              <w:jc w:val="center"/>
              <w:rPr>
                <w:lang w:val="en-GB"/>
              </w:rPr>
            </w:pPr>
            <w:r w:rsidRPr="00496CCB">
              <w:t>2.1</w:t>
            </w:r>
          </w:p>
        </w:tc>
        <w:tc>
          <w:tcPr>
            <w:tcW w:w="1701" w:type="dxa"/>
            <w:shd w:val="clear" w:color="auto" w:fill="FFFFFF"/>
          </w:tcPr>
          <w:p w14:paraId="4133BB27" w14:textId="77777777" w:rsidR="00E80F50" w:rsidRDefault="00E80F50" w:rsidP="00E80F50">
            <w:pPr>
              <w:pStyle w:val="CETBodytext"/>
              <w:ind w:right="-1"/>
              <w:jc w:val="center"/>
            </w:pPr>
            <w:r w:rsidRPr="00DD3C1A">
              <w:t>Single column</w:t>
            </w:r>
          </w:p>
          <w:p w14:paraId="3C1535EC" w14:textId="55E70182" w:rsidR="00E80F50" w:rsidRPr="00B57B36" w:rsidRDefault="00E80F50" w:rsidP="00E80F50">
            <w:pPr>
              <w:pStyle w:val="CETBodytext"/>
              <w:ind w:right="-1"/>
              <w:jc w:val="center"/>
              <w:rPr>
                <w:rFonts w:cs="Arial"/>
                <w:szCs w:val="18"/>
                <w:lang w:val="en-GB"/>
              </w:rPr>
            </w:pPr>
            <w:r w:rsidRPr="00DD3C1A">
              <w:t>Double column</w:t>
            </w:r>
          </w:p>
        </w:tc>
        <w:tc>
          <w:tcPr>
            <w:tcW w:w="2126" w:type="dxa"/>
            <w:shd w:val="clear" w:color="auto" w:fill="FFFFFF"/>
            <w:vAlign w:val="center"/>
          </w:tcPr>
          <w:p w14:paraId="14C26339" w14:textId="539F62AA" w:rsidR="00E80F50" w:rsidRPr="00B57B36" w:rsidRDefault="00E80F50" w:rsidP="0063673B">
            <w:pPr>
              <w:pStyle w:val="CETBodytext"/>
              <w:ind w:right="-1"/>
              <w:jc w:val="left"/>
              <w:rPr>
                <w:rFonts w:cs="Arial"/>
                <w:szCs w:val="18"/>
                <w:lang w:val="en-GB"/>
              </w:rPr>
            </w:pPr>
            <w:proofErr w:type="spellStart"/>
            <w:r>
              <w:rPr>
                <w:rFonts w:cs="Arial"/>
                <w:szCs w:val="18"/>
                <w:lang w:val="en-GB"/>
              </w:rPr>
              <w:t>Haussinger</w:t>
            </w:r>
            <w:proofErr w:type="spellEnd"/>
            <w:r>
              <w:rPr>
                <w:rFonts w:cs="Arial"/>
                <w:szCs w:val="18"/>
                <w:lang w:val="en-GB"/>
              </w:rPr>
              <w:t xml:space="preserve"> et al. (20</w:t>
            </w:r>
            <w:r w:rsidR="007D470E">
              <w:rPr>
                <w:rFonts w:cs="Arial"/>
                <w:szCs w:val="18"/>
                <w:lang w:val="en-GB"/>
              </w:rPr>
              <w:t>05</w:t>
            </w:r>
            <w:r>
              <w:rPr>
                <w:rFonts w:cs="Arial"/>
                <w:szCs w:val="18"/>
                <w:lang w:val="en-GB"/>
              </w:rPr>
              <w:t>)</w:t>
            </w:r>
          </w:p>
        </w:tc>
      </w:tr>
      <w:tr w:rsidR="00E80F50" w:rsidRPr="00B57B36" w14:paraId="4E621250" w14:textId="77777777" w:rsidTr="00E80F50">
        <w:tc>
          <w:tcPr>
            <w:tcW w:w="709" w:type="dxa"/>
            <w:shd w:val="clear" w:color="auto" w:fill="FFFFFF"/>
            <w:vAlign w:val="center"/>
          </w:tcPr>
          <w:p w14:paraId="45D2DC74" w14:textId="74FEAD12" w:rsidR="00E80F50" w:rsidRPr="00B57B36" w:rsidRDefault="00E80F50" w:rsidP="00E80F50">
            <w:pPr>
              <w:pStyle w:val="CETBodytext"/>
              <w:ind w:right="-1"/>
              <w:jc w:val="center"/>
              <w:rPr>
                <w:rFonts w:cs="Arial"/>
                <w:szCs w:val="18"/>
                <w:lang w:val="en-GB"/>
              </w:rPr>
            </w:pPr>
            <w:r w:rsidRPr="00496CCB">
              <w:t>89.3</w:t>
            </w:r>
          </w:p>
        </w:tc>
        <w:tc>
          <w:tcPr>
            <w:tcW w:w="709" w:type="dxa"/>
            <w:shd w:val="clear" w:color="auto" w:fill="FFFFFF"/>
            <w:vAlign w:val="center"/>
          </w:tcPr>
          <w:p w14:paraId="456024AF" w14:textId="694281A0" w:rsidR="00E80F50" w:rsidRPr="00B57B36" w:rsidRDefault="00E80F50" w:rsidP="00E80F50">
            <w:pPr>
              <w:pStyle w:val="CETBodytext"/>
              <w:ind w:right="-1"/>
              <w:jc w:val="center"/>
              <w:rPr>
                <w:rFonts w:cs="Arial"/>
                <w:szCs w:val="18"/>
                <w:lang w:val="en-GB"/>
              </w:rPr>
            </w:pPr>
            <w:r w:rsidRPr="00496CCB">
              <w:t>10.2</w:t>
            </w:r>
          </w:p>
        </w:tc>
        <w:tc>
          <w:tcPr>
            <w:tcW w:w="709" w:type="dxa"/>
            <w:shd w:val="clear" w:color="auto" w:fill="FFFFFF"/>
            <w:vAlign w:val="center"/>
          </w:tcPr>
          <w:p w14:paraId="146C2DEF" w14:textId="3773BB28" w:rsidR="00E80F50" w:rsidRPr="00B57B36" w:rsidRDefault="00E80F50" w:rsidP="00E80F50">
            <w:pPr>
              <w:pStyle w:val="CETBodytext"/>
              <w:ind w:right="-1"/>
              <w:jc w:val="center"/>
              <w:rPr>
                <w:rFonts w:cs="Arial"/>
                <w:szCs w:val="18"/>
                <w:lang w:val="en-GB"/>
              </w:rPr>
            </w:pPr>
            <w:r w:rsidRPr="00496CCB">
              <w:t>0.5</w:t>
            </w:r>
          </w:p>
        </w:tc>
        <w:tc>
          <w:tcPr>
            <w:tcW w:w="1701" w:type="dxa"/>
            <w:shd w:val="clear" w:color="auto" w:fill="FFFFFF"/>
          </w:tcPr>
          <w:p w14:paraId="152AF3EE" w14:textId="6EDC3EFF" w:rsidR="00E80F50" w:rsidRPr="00B57B36" w:rsidRDefault="00E80F50" w:rsidP="00E80F50">
            <w:pPr>
              <w:pStyle w:val="CETBodytext"/>
              <w:ind w:right="-1"/>
              <w:jc w:val="center"/>
              <w:rPr>
                <w:rFonts w:cs="Arial"/>
                <w:szCs w:val="18"/>
                <w:lang w:val="en-GB"/>
              </w:rPr>
            </w:pPr>
            <w:r w:rsidRPr="00DD3C1A">
              <w:t>Single column</w:t>
            </w:r>
          </w:p>
        </w:tc>
        <w:tc>
          <w:tcPr>
            <w:tcW w:w="2126" w:type="dxa"/>
            <w:shd w:val="clear" w:color="auto" w:fill="FFFFFF"/>
          </w:tcPr>
          <w:p w14:paraId="2BDCBD97" w14:textId="69E682AB" w:rsidR="00E80F50" w:rsidRPr="00B57B36" w:rsidRDefault="00E80F50" w:rsidP="00E80F50">
            <w:pPr>
              <w:pStyle w:val="CETBodytext"/>
              <w:ind w:right="-1"/>
              <w:rPr>
                <w:rFonts w:cs="Arial"/>
                <w:szCs w:val="18"/>
                <w:lang w:val="en-GB"/>
              </w:rPr>
            </w:pPr>
            <w:proofErr w:type="spellStart"/>
            <w:r>
              <w:rPr>
                <w:rFonts w:cs="Arial"/>
                <w:szCs w:val="18"/>
                <w:lang w:val="en-GB"/>
              </w:rPr>
              <w:t>Haussinger</w:t>
            </w:r>
            <w:proofErr w:type="spellEnd"/>
            <w:r>
              <w:rPr>
                <w:rFonts w:cs="Arial"/>
                <w:szCs w:val="18"/>
                <w:lang w:val="en-GB"/>
              </w:rPr>
              <w:t xml:space="preserve"> et al. (20</w:t>
            </w:r>
            <w:r w:rsidR="007D470E">
              <w:rPr>
                <w:rFonts w:cs="Arial"/>
                <w:szCs w:val="18"/>
                <w:lang w:val="en-GB"/>
              </w:rPr>
              <w:t>05</w:t>
            </w:r>
            <w:r>
              <w:rPr>
                <w:rFonts w:cs="Arial"/>
                <w:szCs w:val="18"/>
                <w:lang w:val="en-GB"/>
              </w:rPr>
              <w:t>)</w:t>
            </w:r>
          </w:p>
        </w:tc>
      </w:tr>
      <w:tr w:rsidR="00E80F50" w:rsidRPr="00B57B36" w14:paraId="418BBA0C" w14:textId="77777777" w:rsidTr="00E80F50">
        <w:tc>
          <w:tcPr>
            <w:tcW w:w="709" w:type="dxa"/>
            <w:shd w:val="clear" w:color="auto" w:fill="FFFFFF"/>
            <w:vAlign w:val="center"/>
          </w:tcPr>
          <w:p w14:paraId="29D45C65" w14:textId="6DDFB3D0" w:rsidR="00E80F50" w:rsidRPr="00B57B36" w:rsidRDefault="00E80F50" w:rsidP="00E80F50">
            <w:pPr>
              <w:pStyle w:val="CETBodytext"/>
              <w:ind w:right="-1"/>
              <w:jc w:val="center"/>
              <w:rPr>
                <w:rFonts w:cs="Arial"/>
                <w:szCs w:val="18"/>
                <w:lang w:val="en-GB"/>
              </w:rPr>
            </w:pPr>
            <w:r w:rsidRPr="00496CCB">
              <w:t>84</w:t>
            </w:r>
          </w:p>
        </w:tc>
        <w:tc>
          <w:tcPr>
            <w:tcW w:w="709" w:type="dxa"/>
            <w:shd w:val="clear" w:color="auto" w:fill="FFFFFF"/>
            <w:vAlign w:val="center"/>
          </w:tcPr>
          <w:p w14:paraId="52E9513A" w14:textId="3A021AF0" w:rsidR="00E80F50" w:rsidRPr="00B57B36" w:rsidRDefault="00E80F50" w:rsidP="00E80F50">
            <w:pPr>
              <w:pStyle w:val="CETBodytext"/>
              <w:ind w:right="-1"/>
              <w:jc w:val="center"/>
              <w:rPr>
                <w:rFonts w:cs="Arial"/>
                <w:szCs w:val="18"/>
                <w:lang w:val="en-GB"/>
              </w:rPr>
            </w:pPr>
            <w:r w:rsidRPr="00496CCB">
              <w:t>15.3</w:t>
            </w:r>
          </w:p>
        </w:tc>
        <w:tc>
          <w:tcPr>
            <w:tcW w:w="709" w:type="dxa"/>
            <w:shd w:val="clear" w:color="auto" w:fill="FFFFFF"/>
            <w:vAlign w:val="center"/>
          </w:tcPr>
          <w:p w14:paraId="5BDE034C" w14:textId="7DD04412" w:rsidR="00E80F50" w:rsidRPr="00B57B36" w:rsidRDefault="00E80F50" w:rsidP="00E80F50">
            <w:pPr>
              <w:pStyle w:val="CETBodytext"/>
              <w:ind w:right="-1"/>
              <w:jc w:val="center"/>
              <w:rPr>
                <w:rFonts w:cs="Arial"/>
                <w:szCs w:val="18"/>
                <w:lang w:val="en-GB"/>
              </w:rPr>
            </w:pPr>
            <w:r w:rsidRPr="00496CCB">
              <w:t>0.7</w:t>
            </w:r>
          </w:p>
        </w:tc>
        <w:tc>
          <w:tcPr>
            <w:tcW w:w="1701" w:type="dxa"/>
            <w:shd w:val="clear" w:color="auto" w:fill="FFFFFF"/>
          </w:tcPr>
          <w:p w14:paraId="6F3163A8" w14:textId="1269B74C" w:rsidR="00E80F50" w:rsidRPr="00B57B36" w:rsidRDefault="00E80F50" w:rsidP="00E80F50">
            <w:pPr>
              <w:pStyle w:val="CETBodytext"/>
              <w:ind w:right="-1"/>
              <w:jc w:val="center"/>
              <w:rPr>
                <w:rFonts w:cs="Arial"/>
                <w:szCs w:val="18"/>
                <w:lang w:val="en-GB"/>
              </w:rPr>
            </w:pPr>
            <w:r w:rsidRPr="00DD3C1A">
              <w:t>Single column</w:t>
            </w:r>
          </w:p>
        </w:tc>
        <w:tc>
          <w:tcPr>
            <w:tcW w:w="2126" w:type="dxa"/>
            <w:shd w:val="clear" w:color="auto" w:fill="FFFFFF"/>
          </w:tcPr>
          <w:p w14:paraId="54C91732" w14:textId="44C5ED11" w:rsidR="00E80F50" w:rsidRPr="00B57B36" w:rsidRDefault="00E80F50" w:rsidP="00E80F50">
            <w:pPr>
              <w:pStyle w:val="CETBodytext"/>
              <w:ind w:right="-1"/>
              <w:rPr>
                <w:rFonts w:cs="Arial"/>
                <w:szCs w:val="18"/>
                <w:lang w:val="en-GB"/>
              </w:rPr>
            </w:pPr>
            <w:r>
              <w:rPr>
                <w:rFonts w:cs="Arial"/>
                <w:szCs w:val="18"/>
                <w:lang w:val="en-GB"/>
              </w:rPr>
              <w:t>Rufford et al. (2012)</w:t>
            </w:r>
          </w:p>
        </w:tc>
      </w:tr>
      <w:tr w:rsidR="00E80F50" w:rsidRPr="00B57B36" w14:paraId="6D322F73" w14:textId="77777777" w:rsidTr="00E80F50">
        <w:tc>
          <w:tcPr>
            <w:tcW w:w="709" w:type="dxa"/>
            <w:shd w:val="clear" w:color="auto" w:fill="FFFFFF"/>
            <w:vAlign w:val="center"/>
          </w:tcPr>
          <w:p w14:paraId="67C6034B" w14:textId="39D07368" w:rsidR="00E80F50" w:rsidRPr="00B57B36" w:rsidRDefault="00E80F50" w:rsidP="00E80F50">
            <w:pPr>
              <w:pStyle w:val="CETBodytext"/>
              <w:ind w:right="-1"/>
              <w:jc w:val="center"/>
              <w:rPr>
                <w:rFonts w:cs="Arial"/>
                <w:szCs w:val="18"/>
                <w:lang w:val="en-GB"/>
              </w:rPr>
            </w:pPr>
            <w:r w:rsidRPr="00496CCB">
              <w:t>85.9</w:t>
            </w:r>
          </w:p>
        </w:tc>
        <w:tc>
          <w:tcPr>
            <w:tcW w:w="709" w:type="dxa"/>
            <w:shd w:val="clear" w:color="auto" w:fill="FFFFFF"/>
            <w:vAlign w:val="center"/>
          </w:tcPr>
          <w:p w14:paraId="32793C79" w14:textId="0CE822D8" w:rsidR="00E80F50" w:rsidRPr="00B57B36" w:rsidRDefault="00E80F50" w:rsidP="00E80F50">
            <w:pPr>
              <w:pStyle w:val="CETBodytext"/>
              <w:ind w:right="-1"/>
              <w:jc w:val="center"/>
              <w:rPr>
                <w:rFonts w:cs="Arial"/>
                <w:szCs w:val="18"/>
                <w:lang w:val="en-GB"/>
              </w:rPr>
            </w:pPr>
            <w:r w:rsidRPr="00496CCB">
              <w:t>12.7</w:t>
            </w:r>
          </w:p>
        </w:tc>
        <w:tc>
          <w:tcPr>
            <w:tcW w:w="709" w:type="dxa"/>
            <w:shd w:val="clear" w:color="auto" w:fill="FFFFFF"/>
            <w:vAlign w:val="center"/>
          </w:tcPr>
          <w:p w14:paraId="7011BAD5" w14:textId="408D6593" w:rsidR="00E80F50" w:rsidRPr="00B57B36" w:rsidRDefault="00E80F50" w:rsidP="00E80F50">
            <w:pPr>
              <w:pStyle w:val="CETBodytext"/>
              <w:ind w:right="-1"/>
              <w:jc w:val="center"/>
              <w:rPr>
                <w:rFonts w:cs="Arial"/>
                <w:szCs w:val="18"/>
                <w:lang w:val="en-GB"/>
              </w:rPr>
            </w:pPr>
            <w:r w:rsidRPr="00496CCB">
              <w:t>1.4</w:t>
            </w:r>
          </w:p>
        </w:tc>
        <w:tc>
          <w:tcPr>
            <w:tcW w:w="1701" w:type="dxa"/>
            <w:shd w:val="clear" w:color="auto" w:fill="FFFFFF"/>
          </w:tcPr>
          <w:p w14:paraId="73396527" w14:textId="7CA99F6B" w:rsidR="00E80F50" w:rsidRPr="00B57B36" w:rsidRDefault="00E80F50" w:rsidP="00E80F50">
            <w:pPr>
              <w:pStyle w:val="CETBodytext"/>
              <w:ind w:right="-1"/>
              <w:jc w:val="center"/>
              <w:rPr>
                <w:rFonts w:cs="Arial"/>
                <w:szCs w:val="18"/>
                <w:lang w:val="en-GB"/>
              </w:rPr>
            </w:pPr>
            <w:r w:rsidRPr="00DD3C1A">
              <w:t>Single column</w:t>
            </w:r>
          </w:p>
        </w:tc>
        <w:tc>
          <w:tcPr>
            <w:tcW w:w="2126" w:type="dxa"/>
            <w:shd w:val="clear" w:color="auto" w:fill="FFFFFF"/>
          </w:tcPr>
          <w:p w14:paraId="7BEA7908" w14:textId="4C0B56F8" w:rsidR="00E80F50" w:rsidRPr="00B57B36" w:rsidRDefault="00E80F50" w:rsidP="00E80F50">
            <w:pPr>
              <w:pStyle w:val="CETBodytext"/>
              <w:ind w:right="-1"/>
              <w:rPr>
                <w:rFonts w:cs="Arial"/>
                <w:szCs w:val="18"/>
                <w:lang w:val="en-GB"/>
              </w:rPr>
            </w:pPr>
            <w:r>
              <w:rPr>
                <w:rFonts w:cs="Arial"/>
                <w:szCs w:val="18"/>
                <w:lang w:val="en-GB"/>
              </w:rPr>
              <w:t>De Guido et al. (2019)</w:t>
            </w:r>
          </w:p>
        </w:tc>
      </w:tr>
      <w:tr w:rsidR="00E80F50" w:rsidRPr="00B57B36" w14:paraId="3C5DCFFF" w14:textId="77777777" w:rsidTr="00E80F50">
        <w:tc>
          <w:tcPr>
            <w:tcW w:w="709" w:type="dxa"/>
            <w:shd w:val="clear" w:color="auto" w:fill="FFFFFF"/>
            <w:vAlign w:val="center"/>
          </w:tcPr>
          <w:p w14:paraId="4303FEFC" w14:textId="0B7E9F95" w:rsidR="00E80F50" w:rsidRPr="00B57B36" w:rsidRDefault="00E80F50" w:rsidP="00E80F50">
            <w:pPr>
              <w:pStyle w:val="CETBodytext"/>
              <w:ind w:right="-1"/>
              <w:jc w:val="center"/>
              <w:rPr>
                <w:rFonts w:cs="Arial"/>
                <w:szCs w:val="18"/>
                <w:lang w:val="en-GB"/>
              </w:rPr>
            </w:pPr>
            <w:r w:rsidRPr="00496CCB">
              <w:t>93.47</w:t>
            </w:r>
          </w:p>
        </w:tc>
        <w:tc>
          <w:tcPr>
            <w:tcW w:w="709" w:type="dxa"/>
            <w:shd w:val="clear" w:color="auto" w:fill="FFFFFF"/>
            <w:vAlign w:val="center"/>
          </w:tcPr>
          <w:p w14:paraId="0B59E9FC" w14:textId="13BCCF2E" w:rsidR="00E80F50" w:rsidRPr="00B57B36" w:rsidRDefault="00E80F50" w:rsidP="00E80F50">
            <w:pPr>
              <w:pStyle w:val="CETBodytext"/>
              <w:ind w:right="-1"/>
              <w:jc w:val="center"/>
              <w:rPr>
                <w:rFonts w:cs="Arial"/>
                <w:szCs w:val="18"/>
                <w:lang w:val="en-GB"/>
              </w:rPr>
            </w:pPr>
            <w:r w:rsidRPr="00496CCB">
              <w:t>6</w:t>
            </w:r>
          </w:p>
        </w:tc>
        <w:tc>
          <w:tcPr>
            <w:tcW w:w="709" w:type="dxa"/>
            <w:shd w:val="clear" w:color="auto" w:fill="FFFFFF"/>
            <w:vAlign w:val="center"/>
          </w:tcPr>
          <w:p w14:paraId="13721342" w14:textId="4D64C617" w:rsidR="00E80F50" w:rsidRPr="00B57B36" w:rsidRDefault="00E80F50" w:rsidP="00E80F50">
            <w:pPr>
              <w:pStyle w:val="CETBodytext"/>
              <w:ind w:right="-1"/>
              <w:jc w:val="center"/>
              <w:rPr>
                <w:rFonts w:cs="Arial"/>
                <w:szCs w:val="18"/>
                <w:lang w:val="en-GB"/>
              </w:rPr>
            </w:pPr>
            <w:r w:rsidRPr="00496CCB">
              <w:t>0.53</w:t>
            </w:r>
          </w:p>
        </w:tc>
        <w:tc>
          <w:tcPr>
            <w:tcW w:w="1701" w:type="dxa"/>
            <w:shd w:val="clear" w:color="auto" w:fill="FFFFFF"/>
          </w:tcPr>
          <w:p w14:paraId="1A5992FC" w14:textId="1255D0A6" w:rsidR="00E80F50" w:rsidRPr="00B57B36" w:rsidRDefault="00E80F50" w:rsidP="00E80F50">
            <w:pPr>
              <w:pStyle w:val="CETBodytext"/>
              <w:ind w:right="-1"/>
              <w:jc w:val="center"/>
              <w:rPr>
                <w:rFonts w:cs="Arial"/>
                <w:szCs w:val="18"/>
                <w:lang w:val="en-GB"/>
              </w:rPr>
            </w:pPr>
            <w:r w:rsidRPr="00DD3C1A">
              <w:t>Single column</w:t>
            </w:r>
          </w:p>
        </w:tc>
        <w:tc>
          <w:tcPr>
            <w:tcW w:w="2126" w:type="dxa"/>
            <w:shd w:val="clear" w:color="auto" w:fill="FFFFFF"/>
          </w:tcPr>
          <w:p w14:paraId="79689660" w14:textId="5972DFB0" w:rsidR="00E80F50" w:rsidRPr="00B57B36" w:rsidRDefault="00E80F50" w:rsidP="00E80F50">
            <w:pPr>
              <w:pStyle w:val="CETBodytext"/>
              <w:ind w:right="-1"/>
              <w:rPr>
                <w:rFonts w:cs="Arial"/>
                <w:szCs w:val="18"/>
                <w:lang w:val="en-GB"/>
              </w:rPr>
            </w:pPr>
            <w:proofErr w:type="spellStart"/>
            <w:r>
              <w:rPr>
                <w:rFonts w:cs="Arial"/>
                <w:szCs w:val="18"/>
                <w:lang w:val="en-GB"/>
              </w:rPr>
              <w:t>Haussinger</w:t>
            </w:r>
            <w:proofErr w:type="spellEnd"/>
            <w:r>
              <w:rPr>
                <w:rFonts w:cs="Arial"/>
                <w:szCs w:val="18"/>
                <w:lang w:val="en-GB"/>
              </w:rPr>
              <w:t xml:space="preserve"> et al. (20</w:t>
            </w:r>
            <w:r w:rsidR="007D470E">
              <w:rPr>
                <w:rFonts w:cs="Arial"/>
                <w:szCs w:val="18"/>
                <w:lang w:val="en-GB"/>
              </w:rPr>
              <w:t>05</w:t>
            </w:r>
            <w:r>
              <w:rPr>
                <w:rFonts w:cs="Arial"/>
                <w:szCs w:val="18"/>
                <w:lang w:val="en-GB"/>
              </w:rPr>
              <w:t>)</w:t>
            </w:r>
          </w:p>
        </w:tc>
      </w:tr>
      <w:tr w:rsidR="00E80F50" w:rsidRPr="00B57B36" w14:paraId="2500A516" w14:textId="77777777" w:rsidTr="0063673B">
        <w:tc>
          <w:tcPr>
            <w:tcW w:w="709" w:type="dxa"/>
            <w:shd w:val="clear" w:color="auto" w:fill="FFFFFF"/>
            <w:vAlign w:val="center"/>
          </w:tcPr>
          <w:p w14:paraId="539981B7" w14:textId="2E104AE8" w:rsidR="00E80F50" w:rsidRPr="00B57B36" w:rsidRDefault="00E80F50" w:rsidP="00E80F50">
            <w:pPr>
              <w:pStyle w:val="CETBodytext"/>
              <w:ind w:right="-1"/>
              <w:jc w:val="center"/>
              <w:rPr>
                <w:rFonts w:cs="Arial"/>
                <w:szCs w:val="18"/>
                <w:lang w:val="en-GB"/>
              </w:rPr>
            </w:pPr>
            <w:r w:rsidRPr="00496CCB">
              <w:t>72.06</w:t>
            </w:r>
          </w:p>
        </w:tc>
        <w:tc>
          <w:tcPr>
            <w:tcW w:w="709" w:type="dxa"/>
            <w:shd w:val="clear" w:color="auto" w:fill="FFFFFF"/>
            <w:vAlign w:val="center"/>
          </w:tcPr>
          <w:p w14:paraId="431229B0" w14:textId="421664FF" w:rsidR="00E80F50" w:rsidRPr="00B57B36" w:rsidRDefault="00E80F50" w:rsidP="00E80F50">
            <w:pPr>
              <w:pStyle w:val="CETBodytext"/>
              <w:ind w:right="-1"/>
              <w:jc w:val="center"/>
              <w:rPr>
                <w:rFonts w:cs="Arial"/>
                <w:szCs w:val="18"/>
                <w:lang w:val="en-GB"/>
              </w:rPr>
            </w:pPr>
            <w:r w:rsidRPr="00496CCB">
              <w:t>24.54</w:t>
            </w:r>
          </w:p>
        </w:tc>
        <w:tc>
          <w:tcPr>
            <w:tcW w:w="709" w:type="dxa"/>
            <w:shd w:val="clear" w:color="auto" w:fill="FFFFFF"/>
            <w:vAlign w:val="center"/>
          </w:tcPr>
          <w:p w14:paraId="2AD62778" w14:textId="702D65BF" w:rsidR="00E80F50" w:rsidRPr="00B57B36" w:rsidRDefault="00E80F50" w:rsidP="00E80F50">
            <w:pPr>
              <w:pStyle w:val="CETBodytext"/>
              <w:ind w:right="-1"/>
              <w:jc w:val="center"/>
              <w:rPr>
                <w:rFonts w:cs="Arial"/>
                <w:szCs w:val="18"/>
                <w:lang w:val="en-GB"/>
              </w:rPr>
            </w:pPr>
            <w:r w:rsidRPr="00496CCB">
              <w:t>2.4</w:t>
            </w:r>
          </w:p>
        </w:tc>
        <w:tc>
          <w:tcPr>
            <w:tcW w:w="1701" w:type="dxa"/>
            <w:shd w:val="clear" w:color="auto" w:fill="FFFFFF"/>
          </w:tcPr>
          <w:p w14:paraId="58C84160" w14:textId="77777777" w:rsidR="00E80F50" w:rsidRDefault="00E80F50" w:rsidP="00E80F50">
            <w:pPr>
              <w:pStyle w:val="CETBodytext"/>
              <w:ind w:right="-1"/>
              <w:jc w:val="center"/>
            </w:pPr>
            <w:r w:rsidRPr="00DD3C1A">
              <w:t>Single column</w:t>
            </w:r>
          </w:p>
          <w:p w14:paraId="74B4FAF6" w14:textId="1580E8B4" w:rsidR="00E80F50" w:rsidRPr="00B57B36" w:rsidRDefault="00E80F50" w:rsidP="00E80F50">
            <w:pPr>
              <w:pStyle w:val="CETBodytext"/>
              <w:ind w:right="-1"/>
              <w:jc w:val="center"/>
              <w:rPr>
                <w:rFonts w:cs="Arial"/>
                <w:szCs w:val="18"/>
                <w:lang w:val="en-GB"/>
              </w:rPr>
            </w:pPr>
            <w:r w:rsidRPr="00DD3C1A">
              <w:t>Double column</w:t>
            </w:r>
          </w:p>
        </w:tc>
        <w:tc>
          <w:tcPr>
            <w:tcW w:w="2126" w:type="dxa"/>
            <w:shd w:val="clear" w:color="auto" w:fill="FFFFFF"/>
            <w:vAlign w:val="center"/>
          </w:tcPr>
          <w:p w14:paraId="5E0C9D6F" w14:textId="7F3206A7" w:rsidR="00E80F50" w:rsidRPr="00B57B36" w:rsidRDefault="00E80F50" w:rsidP="0063673B">
            <w:pPr>
              <w:pStyle w:val="CETBodytext"/>
              <w:ind w:right="-1"/>
              <w:jc w:val="left"/>
              <w:rPr>
                <w:rFonts w:cs="Arial"/>
                <w:szCs w:val="18"/>
                <w:lang w:val="en-GB"/>
              </w:rPr>
            </w:pPr>
            <w:proofErr w:type="spellStart"/>
            <w:r>
              <w:rPr>
                <w:rFonts w:cs="Arial"/>
                <w:szCs w:val="18"/>
                <w:lang w:val="en-GB"/>
              </w:rPr>
              <w:t>Haussinger</w:t>
            </w:r>
            <w:proofErr w:type="spellEnd"/>
            <w:r>
              <w:rPr>
                <w:rFonts w:cs="Arial"/>
                <w:szCs w:val="18"/>
                <w:lang w:val="en-GB"/>
              </w:rPr>
              <w:t xml:space="preserve"> et al. (20</w:t>
            </w:r>
            <w:r w:rsidR="007D470E">
              <w:rPr>
                <w:rFonts w:cs="Arial"/>
                <w:szCs w:val="18"/>
                <w:lang w:val="en-GB"/>
              </w:rPr>
              <w:t>05</w:t>
            </w:r>
            <w:r>
              <w:rPr>
                <w:rFonts w:cs="Arial"/>
                <w:szCs w:val="18"/>
                <w:lang w:val="en-GB"/>
              </w:rPr>
              <w:t>)</w:t>
            </w:r>
          </w:p>
        </w:tc>
      </w:tr>
      <w:tr w:rsidR="00E80F50" w:rsidRPr="00B57B36" w14:paraId="340C39BE" w14:textId="77777777" w:rsidTr="00E80F50">
        <w:tc>
          <w:tcPr>
            <w:tcW w:w="709" w:type="dxa"/>
            <w:shd w:val="clear" w:color="auto" w:fill="FFFFFF"/>
            <w:vAlign w:val="center"/>
          </w:tcPr>
          <w:p w14:paraId="68636A5C" w14:textId="18A54BCC" w:rsidR="00E80F50" w:rsidRPr="00B57B36" w:rsidRDefault="00E80F50" w:rsidP="00E80F50">
            <w:pPr>
              <w:pStyle w:val="CETBodytext"/>
              <w:ind w:right="-1"/>
              <w:jc w:val="center"/>
              <w:rPr>
                <w:rFonts w:cs="Arial"/>
                <w:szCs w:val="18"/>
                <w:lang w:val="en-GB"/>
              </w:rPr>
            </w:pPr>
            <w:r w:rsidRPr="00496CCB">
              <w:t>87.19</w:t>
            </w:r>
          </w:p>
        </w:tc>
        <w:tc>
          <w:tcPr>
            <w:tcW w:w="709" w:type="dxa"/>
            <w:shd w:val="clear" w:color="auto" w:fill="FFFFFF"/>
            <w:vAlign w:val="center"/>
          </w:tcPr>
          <w:p w14:paraId="48F428C8" w14:textId="18598AE2" w:rsidR="00E80F50" w:rsidRPr="00B57B36" w:rsidRDefault="00E80F50" w:rsidP="00E80F50">
            <w:pPr>
              <w:pStyle w:val="CETBodytext"/>
              <w:ind w:right="-1"/>
              <w:jc w:val="center"/>
              <w:rPr>
                <w:rFonts w:cs="Arial"/>
                <w:szCs w:val="18"/>
                <w:lang w:val="en-GB"/>
              </w:rPr>
            </w:pPr>
            <w:r w:rsidRPr="00496CCB">
              <w:t>9.9</w:t>
            </w:r>
          </w:p>
        </w:tc>
        <w:tc>
          <w:tcPr>
            <w:tcW w:w="709" w:type="dxa"/>
            <w:shd w:val="clear" w:color="auto" w:fill="FFFFFF"/>
            <w:vAlign w:val="center"/>
          </w:tcPr>
          <w:p w14:paraId="59CD66EF" w14:textId="3E31B54D" w:rsidR="00E80F50" w:rsidRPr="00B57B36" w:rsidRDefault="00E80F50" w:rsidP="00E80F50">
            <w:pPr>
              <w:pStyle w:val="CETBodytext"/>
              <w:ind w:right="-1"/>
              <w:jc w:val="center"/>
              <w:rPr>
                <w:rFonts w:cs="Arial"/>
                <w:szCs w:val="18"/>
                <w:lang w:val="en-GB"/>
              </w:rPr>
            </w:pPr>
            <w:r w:rsidRPr="00496CCB">
              <w:t>2.91</w:t>
            </w:r>
          </w:p>
        </w:tc>
        <w:tc>
          <w:tcPr>
            <w:tcW w:w="1701" w:type="dxa"/>
            <w:shd w:val="clear" w:color="auto" w:fill="FFFFFF"/>
          </w:tcPr>
          <w:p w14:paraId="37F2B657" w14:textId="42687B11" w:rsidR="00E80F50" w:rsidRPr="00B57B36" w:rsidRDefault="00E80F50" w:rsidP="00E80F50">
            <w:pPr>
              <w:pStyle w:val="CETBodytext"/>
              <w:ind w:right="-1"/>
              <w:jc w:val="center"/>
              <w:rPr>
                <w:rFonts w:cs="Arial"/>
                <w:szCs w:val="18"/>
                <w:lang w:val="en-GB"/>
              </w:rPr>
            </w:pPr>
            <w:r w:rsidRPr="00DD3C1A">
              <w:t>Single column</w:t>
            </w:r>
          </w:p>
        </w:tc>
        <w:tc>
          <w:tcPr>
            <w:tcW w:w="2126" w:type="dxa"/>
            <w:shd w:val="clear" w:color="auto" w:fill="FFFFFF"/>
          </w:tcPr>
          <w:p w14:paraId="754A0770" w14:textId="652A02B4" w:rsidR="00E80F50" w:rsidRPr="00B57B36" w:rsidRDefault="00E80F50" w:rsidP="00E80F50">
            <w:pPr>
              <w:pStyle w:val="CETBodytext"/>
              <w:ind w:right="-1"/>
              <w:rPr>
                <w:rFonts w:cs="Arial"/>
                <w:szCs w:val="18"/>
                <w:lang w:val="en-GB"/>
              </w:rPr>
            </w:pPr>
            <w:proofErr w:type="spellStart"/>
            <w:r>
              <w:rPr>
                <w:rFonts w:cs="Arial"/>
                <w:szCs w:val="18"/>
                <w:lang w:val="en-GB"/>
              </w:rPr>
              <w:t>Haussinger</w:t>
            </w:r>
            <w:proofErr w:type="spellEnd"/>
            <w:r>
              <w:rPr>
                <w:rFonts w:cs="Arial"/>
                <w:szCs w:val="18"/>
                <w:lang w:val="en-GB"/>
              </w:rPr>
              <w:t xml:space="preserve"> et al. (20</w:t>
            </w:r>
            <w:r w:rsidR="007D470E">
              <w:rPr>
                <w:rFonts w:cs="Arial"/>
                <w:szCs w:val="18"/>
                <w:lang w:val="en-GB"/>
              </w:rPr>
              <w:t>05</w:t>
            </w:r>
            <w:r>
              <w:rPr>
                <w:rFonts w:cs="Arial"/>
                <w:szCs w:val="18"/>
                <w:lang w:val="en-GB"/>
              </w:rPr>
              <w:t>)</w:t>
            </w:r>
          </w:p>
        </w:tc>
      </w:tr>
      <w:tr w:rsidR="00E80F50" w:rsidRPr="00B57B36" w14:paraId="15E6C6EA" w14:textId="77777777" w:rsidTr="00E80F50">
        <w:tc>
          <w:tcPr>
            <w:tcW w:w="709" w:type="dxa"/>
            <w:shd w:val="clear" w:color="auto" w:fill="FFFFFF"/>
            <w:vAlign w:val="center"/>
          </w:tcPr>
          <w:p w14:paraId="3EF7DA4D" w14:textId="14052377" w:rsidR="00E80F50" w:rsidRPr="00B57B36" w:rsidRDefault="00E80F50" w:rsidP="00E80F50">
            <w:pPr>
              <w:pStyle w:val="CETBodytext"/>
              <w:ind w:right="-1"/>
              <w:jc w:val="center"/>
              <w:rPr>
                <w:rFonts w:cs="Arial"/>
                <w:szCs w:val="18"/>
                <w:lang w:val="en-GB"/>
              </w:rPr>
            </w:pPr>
            <w:r w:rsidRPr="00496CCB">
              <w:t>60.8</w:t>
            </w:r>
          </w:p>
        </w:tc>
        <w:tc>
          <w:tcPr>
            <w:tcW w:w="709" w:type="dxa"/>
            <w:shd w:val="clear" w:color="auto" w:fill="FFFFFF"/>
            <w:vAlign w:val="center"/>
          </w:tcPr>
          <w:p w14:paraId="457E8C25" w14:textId="242E5390" w:rsidR="00E80F50" w:rsidRPr="00B57B36" w:rsidRDefault="00E80F50" w:rsidP="00E80F50">
            <w:pPr>
              <w:pStyle w:val="CETBodytext"/>
              <w:ind w:right="-1"/>
              <w:jc w:val="center"/>
              <w:rPr>
                <w:rFonts w:cs="Arial"/>
                <w:szCs w:val="18"/>
                <w:lang w:val="en-GB"/>
              </w:rPr>
            </w:pPr>
            <w:r w:rsidRPr="00496CCB">
              <w:t>36.6</w:t>
            </w:r>
          </w:p>
        </w:tc>
        <w:tc>
          <w:tcPr>
            <w:tcW w:w="709" w:type="dxa"/>
            <w:shd w:val="clear" w:color="auto" w:fill="FFFFFF"/>
            <w:vAlign w:val="center"/>
          </w:tcPr>
          <w:p w14:paraId="22D34EEB" w14:textId="20489228" w:rsidR="00E80F50" w:rsidRPr="00B57B36" w:rsidRDefault="00E80F50" w:rsidP="00E80F50">
            <w:pPr>
              <w:pStyle w:val="CETBodytext"/>
              <w:ind w:right="-1"/>
              <w:jc w:val="center"/>
              <w:rPr>
                <w:rFonts w:cs="Arial"/>
                <w:szCs w:val="18"/>
                <w:lang w:val="en-GB"/>
              </w:rPr>
            </w:pPr>
            <w:r w:rsidRPr="00496CCB">
              <w:t>2.6</w:t>
            </w:r>
          </w:p>
        </w:tc>
        <w:tc>
          <w:tcPr>
            <w:tcW w:w="1701" w:type="dxa"/>
            <w:shd w:val="clear" w:color="auto" w:fill="FFFFFF"/>
          </w:tcPr>
          <w:p w14:paraId="1F87614B" w14:textId="3D460F2C" w:rsidR="00E80F50" w:rsidRPr="00B57B36" w:rsidRDefault="00E80F50" w:rsidP="00E80F50">
            <w:pPr>
              <w:pStyle w:val="CETBodytext"/>
              <w:ind w:right="-1"/>
              <w:jc w:val="center"/>
              <w:rPr>
                <w:rFonts w:cs="Arial"/>
                <w:szCs w:val="18"/>
                <w:lang w:val="en-GB"/>
              </w:rPr>
            </w:pPr>
            <w:r w:rsidRPr="00DD3C1A">
              <w:t>Double column</w:t>
            </w:r>
          </w:p>
        </w:tc>
        <w:tc>
          <w:tcPr>
            <w:tcW w:w="2126" w:type="dxa"/>
            <w:shd w:val="clear" w:color="auto" w:fill="FFFFFF"/>
          </w:tcPr>
          <w:p w14:paraId="27AC3E82" w14:textId="7EA8AA73" w:rsidR="00E80F50" w:rsidRPr="00B57B36" w:rsidRDefault="00E80F50" w:rsidP="00E80F50">
            <w:pPr>
              <w:pStyle w:val="CETBodytext"/>
              <w:ind w:right="-1"/>
              <w:rPr>
                <w:rFonts w:cs="Arial"/>
                <w:szCs w:val="18"/>
                <w:lang w:val="en-GB"/>
              </w:rPr>
            </w:pPr>
            <w:r>
              <w:rPr>
                <w:rFonts w:cs="Arial"/>
                <w:szCs w:val="18"/>
                <w:lang w:val="en-GB"/>
              </w:rPr>
              <w:t>Rufford et al. (2012)</w:t>
            </w:r>
          </w:p>
        </w:tc>
      </w:tr>
      <w:tr w:rsidR="00E80F50" w:rsidRPr="00B57B36" w14:paraId="6500C77A" w14:textId="77777777" w:rsidTr="00E80F50">
        <w:tc>
          <w:tcPr>
            <w:tcW w:w="709" w:type="dxa"/>
            <w:shd w:val="clear" w:color="auto" w:fill="FFFFFF"/>
            <w:vAlign w:val="center"/>
          </w:tcPr>
          <w:p w14:paraId="73CED0CD" w14:textId="1B1BD004" w:rsidR="00E80F50" w:rsidRPr="00B57B36" w:rsidRDefault="00E80F50" w:rsidP="00E80F50">
            <w:pPr>
              <w:pStyle w:val="CETBodytext"/>
              <w:ind w:right="-1"/>
              <w:jc w:val="center"/>
              <w:rPr>
                <w:rFonts w:cs="Arial"/>
                <w:szCs w:val="18"/>
                <w:lang w:val="en-GB"/>
              </w:rPr>
            </w:pPr>
            <w:r w:rsidRPr="00496CCB">
              <w:t>67.63</w:t>
            </w:r>
          </w:p>
        </w:tc>
        <w:tc>
          <w:tcPr>
            <w:tcW w:w="709" w:type="dxa"/>
            <w:shd w:val="clear" w:color="auto" w:fill="FFFFFF"/>
            <w:vAlign w:val="center"/>
          </w:tcPr>
          <w:p w14:paraId="602D3E2F" w14:textId="1507E7DF" w:rsidR="00E80F50" w:rsidRPr="00B57B36" w:rsidRDefault="00E80F50" w:rsidP="00E80F50">
            <w:pPr>
              <w:pStyle w:val="CETBodytext"/>
              <w:ind w:right="-1"/>
              <w:jc w:val="center"/>
              <w:rPr>
                <w:rFonts w:cs="Arial"/>
                <w:szCs w:val="18"/>
                <w:lang w:val="en-GB"/>
              </w:rPr>
            </w:pPr>
            <w:r w:rsidRPr="00496CCB">
              <w:t>31.1</w:t>
            </w:r>
          </w:p>
        </w:tc>
        <w:tc>
          <w:tcPr>
            <w:tcW w:w="709" w:type="dxa"/>
            <w:shd w:val="clear" w:color="auto" w:fill="FFFFFF"/>
            <w:vAlign w:val="center"/>
          </w:tcPr>
          <w:p w14:paraId="42B778B3" w14:textId="6B571540" w:rsidR="00E80F50" w:rsidRPr="00B57B36" w:rsidRDefault="00E80F50" w:rsidP="00E80F50">
            <w:pPr>
              <w:pStyle w:val="CETBodytext"/>
              <w:ind w:right="-1"/>
              <w:jc w:val="center"/>
              <w:rPr>
                <w:rFonts w:cs="Arial"/>
                <w:szCs w:val="18"/>
                <w:lang w:val="en-GB"/>
              </w:rPr>
            </w:pPr>
            <w:r w:rsidRPr="00496CCB">
              <w:t>1.17</w:t>
            </w:r>
          </w:p>
        </w:tc>
        <w:tc>
          <w:tcPr>
            <w:tcW w:w="1701" w:type="dxa"/>
            <w:shd w:val="clear" w:color="auto" w:fill="FFFFFF"/>
          </w:tcPr>
          <w:p w14:paraId="139E4CE3" w14:textId="053C1CBB" w:rsidR="00E80F50" w:rsidRPr="00B57B36" w:rsidRDefault="00E80F50" w:rsidP="00E80F50">
            <w:pPr>
              <w:pStyle w:val="CETBodytext"/>
              <w:ind w:right="-1"/>
              <w:jc w:val="center"/>
              <w:rPr>
                <w:rFonts w:cs="Arial"/>
                <w:szCs w:val="18"/>
                <w:lang w:val="en-GB"/>
              </w:rPr>
            </w:pPr>
            <w:r w:rsidRPr="00DD3C1A">
              <w:t>Double column</w:t>
            </w:r>
          </w:p>
        </w:tc>
        <w:tc>
          <w:tcPr>
            <w:tcW w:w="2126" w:type="dxa"/>
            <w:shd w:val="clear" w:color="auto" w:fill="FFFFFF"/>
          </w:tcPr>
          <w:p w14:paraId="3AF85C7C" w14:textId="74EE8327" w:rsidR="00E80F50" w:rsidRPr="00B57B36" w:rsidRDefault="00E80F50" w:rsidP="00E80F50">
            <w:pPr>
              <w:pStyle w:val="CETBodytext"/>
              <w:ind w:right="-1"/>
              <w:rPr>
                <w:rFonts w:cs="Arial"/>
                <w:szCs w:val="18"/>
                <w:lang w:val="en-GB"/>
              </w:rPr>
            </w:pPr>
            <w:proofErr w:type="spellStart"/>
            <w:r>
              <w:rPr>
                <w:rFonts w:cs="Arial"/>
                <w:szCs w:val="18"/>
                <w:lang w:val="en-GB"/>
              </w:rPr>
              <w:t>Haussinger</w:t>
            </w:r>
            <w:proofErr w:type="spellEnd"/>
            <w:r>
              <w:rPr>
                <w:rFonts w:cs="Arial"/>
                <w:szCs w:val="18"/>
                <w:lang w:val="en-GB"/>
              </w:rPr>
              <w:t xml:space="preserve"> et al. (20</w:t>
            </w:r>
            <w:r w:rsidR="007D470E">
              <w:rPr>
                <w:rFonts w:cs="Arial"/>
                <w:szCs w:val="18"/>
                <w:lang w:val="en-GB"/>
              </w:rPr>
              <w:t>05</w:t>
            </w:r>
            <w:r>
              <w:rPr>
                <w:rFonts w:cs="Arial"/>
                <w:szCs w:val="18"/>
                <w:lang w:val="en-GB"/>
              </w:rPr>
              <w:t>)</w:t>
            </w:r>
          </w:p>
        </w:tc>
      </w:tr>
      <w:tr w:rsidR="00E80F50" w:rsidRPr="00B57B36" w14:paraId="12181D7C" w14:textId="77777777" w:rsidTr="00E80F50">
        <w:tc>
          <w:tcPr>
            <w:tcW w:w="709" w:type="dxa"/>
            <w:shd w:val="clear" w:color="auto" w:fill="FFFFFF"/>
            <w:vAlign w:val="center"/>
          </w:tcPr>
          <w:p w14:paraId="051BA4AF" w14:textId="06D71DC8" w:rsidR="00E80F50" w:rsidRPr="00B57B36" w:rsidRDefault="00E80F50" w:rsidP="00E80F50">
            <w:pPr>
              <w:pStyle w:val="CETBodytext"/>
              <w:ind w:right="-1"/>
              <w:jc w:val="center"/>
              <w:rPr>
                <w:rFonts w:cs="Arial"/>
                <w:szCs w:val="18"/>
                <w:lang w:val="en-GB"/>
              </w:rPr>
            </w:pPr>
            <w:r w:rsidRPr="00496CCB">
              <w:t>50.95</w:t>
            </w:r>
          </w:p>
        </w:tc>
        <w:tc>
          <w:tcPr>
            <w:tcW w:w="709" w:type="dxa"/>
            <w:shd w:val="clear" w:color="auto" w:fill="FFFFFF"/>
            <w:vAlign w:val="center"/>
          </w:tcPr>
          <w:p w14:paraId="108971D8" w14:textId="059E39EE" w:rsidR="00E80F50" w:rsidRPr="00B57B36" w:rsidRDefault="00E80F50" w:rsidP="00E80F50">
            <w:pPr>
              <w:pStyle w:val="CETBodytext"/>
              <w:ind w:right="-1"/>
              <w:jc w:val="center"/>
              <w:rPr>
                <w:rFonts w:cs="Arial"/>
                <w:szCs w:val="18"/>
                <w:lang w:val="en-GB"/>
              </w:rPr>
            </w:pPr>
            <w:r w:rsidRPr="00496CCB">
              <w:t>45</w:t>
            </w:r>
          </w:p>
        </w:tc>
        <w:tc>
          <w:tcPr>
            <w:tcW w:w="709" w:type="dxa"/>
            <w:shd w:val="clear" w:color="auto" w:fill="FFFFFF"/>
            <w:vAlign w:val="center"/>
          </w:tcPr>
          <w:p w14:paraId="03E11BA7" w14:textId="222122C0" w:rsidR="00E80F50" w:rsidRPr="00B57B36" w:rsidRDefault="00E80F50" w:rsidP="00E80F50">
            <w:pPr>
              <w:pStyle w:val="CETBodytext"/>
              <w:ind w:right="-1"/>
              <w:jc w:val="center"/>
              <w:rPr>
                <w:rFonts w:cs="Arial"/>
                <w:szCs w:val="18"/>
                <w:lang w:val="en-GB"/>
              </w:rPr>
            </w:pPr>
            <w:r w:rsidRPr="00496CCB">
              <w:t>4.05</w:t>
            </w:r>
          </w:p>
        </w:tc>
        <w:tc>
          <w:tcPr>
            <w:tcW w:w="1701" w:type="dxa"/>
            <w:shd w:val="clear" w:color="auto" w:fill="FFFFFF"/>
          </w:tcPr>
          <w:p w14:paraId="6DEE8146" w14:textId="57E6BD8B" w:rsidR="00E80F50" w:rsidRPr="00B57B36" w:rsidRDefault="00E80F50" w:rsidP="00E80F50">
            <w:pPr>
              <w:pStyle w:val="CETBodytext"/>
              <w:ind w:right="-1"/>
              <w:jc w:val="center"/>
              <w:rPr>
                <w:rFonts w:cs="Arial"/>
                <w:szCs w:val="18"/>
                <w:lang w:val="en-GB"/>
              </w:rPr>
            </w:pPr>
            <w:r w:rsidRPr="00DD3C1A">
              <w:t>Double column</w:t>
            </w:r>
          </w:p>
        </w:tc>
        <w:tc>
          <w:tcPr>
            <w:tcW w:w="2126" w:type="dxa"/>
            <w:shd w:val="clear" w:color="auto" w:fill="FFFFFF"/>
          </w:tcPr>
          <w:p w14:paraId="71E24FB1" w14:textId="35E2C9F8" w:rsidR="00E80F50" w:rsidRPr="00B57B36" w:rsidRDefault="00E80F50" w:rsidP="00E80F50">
            <w:pPr>
              <w:pStyle w:val="CETBodytext"/>
              <w:ind w:right="-1"/>
              <w:rPr>
                <w:rFonts w:cs="Arial"/>
                <w:szCs w:val="18"/>
                <w:lang w:val="en-GB"/>
              </w:rPr>
            </w:pPr>
            <w:proofErr w:type="spellStart"/>
            <w:r>
              <w:rPr>
                <w:rFonts w:cs="Arial"/>
                <w:szCs w:val="18"/>
                <w:lang w:val="en-GB"/>
              </w:rPr>
              <w:t>Haussinger</w:t>
            </w:r>
            <w:proofErr w:type="spellEnd"/>
            <w:r>
              <w:rPr>
                <w:rFonts w:cs="Arial"/>
                <w:szCs w:val="18"/>
                <w:lang w:val="en-GB"/>
              </w:rPr>
              <w:t xml:space="preserve"> et al. (20</w:t>
            </w:r>
            <w:r w:rsidR="007D470E">
              <w:rPr>
                <w:rFonts w:cs="Arial"/>
                <w:szCs w:val="18"/>
                <w:lang w:val="en-GB"/>
              </w:rPr>
              <w:t>05</w:t>
            </w:r>
            <w:r>
              <w:rPr>
                <w:rFonts w:cs="Arial"/>
                <w:szCs w:val="18"/>
                <w:lang w:val="en-GB"/>
              </w:rPr>
              <w:t>)</w:t>
            </w:r>
          </w:p>
        </w:tc>
      </w:tr>
    </w:tbl>
    <w:p w14:paraId="1F96CA21" w14:textId="35552883" w:rsidR="00600535" w:rsidRPr="00B57B36" w:rsidRDefault="00035E28" w:rsidP="00FA5F5F">
      <w:pPr>
        <w:pStyle w:val="CETheadingx"/>
      </w:pPr>
      <w:r>
        <w:t>Single column recovery scheme</w:t>
      </w:r>
    </w:p>
    <w:p w14:paraId="595B1F1E" w14:textId="487C7515" w:rsidR="00827C6A" w:rsidRDefault="0059087A" w:rsidP="00827C6A">
      <w:pPr>
        <w:pStyle w:val="CETBodytext"/>
      </w:pPr>
      <w:r>
        <w:t>In the case of the single column recovery scheme, t</w:t>
      </w:r>
      <w:r w:rsidRPr="00A75790">
        <w:t>he number of trays is fixed at 20</w:t>
      </w:r>
      <w:r>
        <w:t>, to minimize the energy demand, d</w:t>
      </w:r>
      <w:r w:rsidRPr="00A75790">
        <w:t xml:space="preserve">espite the </w:t>
      </w:r>
      <w:r>
        <w:t xml:space="preserve">desired </w:t>
      </w:r>
      <w:r w:rsidRPr="00A75790">
        <w:t xml:space="preserve">separation </w:t>
      </w:r>
      <w:r>
        <w:t>can be</w:t>
      </w:r>
      <w:r w:rsidRPr="00A75790">
        <w:t xml:space="preserve"> </w:t>
      </w:r>
      <w:r>
        <w:t xml:space="preserve">also </w:t>
      </w:r>
      <w:r w:rsidRPr="00A75790">
        <w:t>accomplished with half of the trays</w:t>
      </w:r>
      <w:r>
        <w:t xml:space="preserve">. </w:t>
      </w:r>
      <w:r w:rsidR="00827C6A">
        <w:t>As expected, t</w:t>
      </w:r>
      <w:r w:rsidR="00A75790" w:rsidRPr="00A75790">
        <w:t xml:space="preserve">he </w:t>
      </w:r>
      <w:r>
        <w:t xml:space="preserve">He molar content and He recovery in </w:t>
      </w:r>
      <w:r w:rsidR="00827C6A">
        <w:t>the o</w:t>
      </w:r>
      <w:r>
        <w:t xml:space="preserve">verheads </w:t>
      </w:r>
      <w:r w:rsidR="00827C6A">
        <w:t>increase with</w:t>
      </w:r>
      <w:r w:rsidR="004C5598">
        <w:t xml:space="preserve"> </w:t>
      </w:r>
      <w:r w:rsidR="00827C6A">
        <w:t xml:space="preserve">increasing </w:t>
      </w:r>
      <w:r w:rsidR="004C5598" w:rsidRPr="004C5598">
        <w:t>helium-to-</w:t>
      </w:r>
      <w:proofErr w:type="spellStart"/>
      <w:r w:rsidR="004C5598" w:rsidRPr="004C5598">
        <w:t>inerts</w:t>
      </w:r>
      <w:proofErr w:type="spellEnd"/>
      <w:r w:rsidR="004C5598" w:rsidRPr="004C5598">
        <w:t xml:space="preserve"> ratio</w:t>
      </w:r>
      <w:r w:rsidR="00827C6A">
        <w:t xml:space="preserve"> in the column feed stream.</w:t>
      </w:r>
      <w:r w:rsidR="009E498D">
        <w:t xml:space="preserve"> F</w:t>
      </w:r>
      <w:r w:rsidR="009E498D" w:rsidRPr="00137650">
        <w:t>or each of the feed</w:t>
      </w:r>
      <w:r w:rsidR="009E498D">
        <w:t xml:space="preserve"> streams </w:t>
      </w:r>
      <w:r w:rsidR="00827C6A">
        <w:t>considered,</w:t>
      </w:r>
      <w:r w:rsidR="009E498D" w:rsidRPr="00137650">
        <w:t xml:space="preserve"> the maximum admissible CO</w:t>
      </w:r>
      <w:r w:rsidR="009E498D" w:rsidRPr="00137650">
        <w:rPr>
          <w:vertAlign w:val="subscript"/>
        </w:rPr>
        <w:t>2</w:t>
      </w:r>
      <w:r w:rsidR="009E498D" w:rsidRPr="00137650">
        <w:t xml:space="preserve"> content has been assessed</w:t>
      </w:r>
      <w:r w:rsidR="009E498D">
        <w:t xml:space="preserve">, </w:t>
      </w:r>
      <w:r w:rsidR="007B3F02">
        <w:t>according with</w:t>
      </w:r>
      <w:r w:rsidR="009E498D">
        <w:t xml:space="preserve"> two constraints: to avoid </w:t>
      </w:r>
      <w:r w:rsidR="003526AE">
        <w:t xml:space="preserve">the </w:t>
      </w:r>
      <w:r w:rsidR="009E498D">
        <w:t>CO</w:t>
      </w:r>
      <w:r w:rsidR="009E498D">
        <w:rPr>
          <w:vertAlign w:val="subscript"/>
        </w:rPr>
        <w:t>2</w:t>
      </w:r>
      <w:r w:rsidR="009E498D">
        <w:t xml:space="preserve"> solidification within the plant and to respect the </w:t>
      </w:r>
      <w:proofErr w:type="spellStart"/>
      <w:r w:rsidR="009E498D">
        <w:t>Wobbe</w:t>
      </w:r>
      <w:proofErr w:type="spellEnd"/>
      <w:r w:rsidR="009E498D">
        <w:t xml:space="preserve"> Index of the natural gas product. </w:t>
      </w:r>
      <w:r w:rsidR="007B3F02">
        <w:t>As</w:t>
      </w:r>
      <w:r w:rsidR="009E498D">
        <w:t xml:space="preserve"> CO</w:t>
      </w:r>
      <w:r w:rsidR="009E498D">
        <w:rPr>
          <w:vertAlign w:val="subscript"/>
        </w:rPr>
        <w:t>2</w:t>
      </w:r>
      <w:r w:rsidR="009E498D">
        <w:t xml:space="preserve"> </w:t>
      </w:r>
      <w:r w:rsidR="007B3F02">
        <w:t xml:space="preserve">is </w:t>
      </w:r>
      <w:r w:rsidR="009E498D">
        <w:t>t</w:t>
      </w:r>
      <w:r w:rsidR="009E498D" w:rsidRPr="00E24F21">
        <w:t xml:space="preserve">he heaviest </w:t>
      </w:r>
      <w:r w:rsidR="009E498D">
        <w:t>component</w:t>
      </w:r>
      <w:r w:rsidR="009E498D" w:rsidRPr="00E24F21">
        <w:t xml:space="preserve"> in the mixture</w:t>
      </w:r>
      <w:r w:rsidR="009E498D">
        <w:t>,</w:t>
      </w:r>
      <w:r w:rsidR="009E498D" w:rsidRPr="00E24F21">
        <w:t xml:space="preserve"> it tends to accumulate in the bottom section of the distillation </w:t>
      </w:r>
      <w:r w:rsidR="007B3F02">
        <w:t>unit</w:t>
      </w:r>
      <w:r w:rsidR="009E498D">
        <w:t xml:space="preserve">. </w:t>
      </w:r>
      <w:r w:rsidR="009E498D" w:rsidRPr="009A08CA">
        <w:t>Being its density high</w:t>
      </w:r>
      <w:r w:rsidR="007B3F02">
        <w:t xml:space="preserve">, </w:t>
      </w:r>
      <w:r w:rsidR="007B3F02" w:rsidRPr="009A08CA">
        <w:t>CO</w:t>
      </w:r>
      <w:r w:rsidR="007B3F02" w:rsidRPr="009A08CA">
        <w:rPr>
          <w:vertAlign w:val="subscript"/>
        </w:rPr>
        <w:t>2</w:t>
      </w:r>
      <w:r w:rsidR="007B3F02" w:rsidRPr="009A08CA">
        <w:t xml:space="preserve"> presence influences negatively the WI </w:t>
      </w:r>
      <w:r w:rsidR="007B3F02">
        <w:t>(in</w:t>
      </w:r>
      <w:r w:rsidR="009E498D" w:rsidRPr="009A08CA">
        <w:t xml:space="preserve"> the </w:t>
      </w:r>
      <w:proofErr w:type="spellStart"/>
      <w:r w:rsidR="009E498D" w:rsidRPr="009A08CA">
        <w:t>Wobbe</w:t>
      </w:r>
      <w:proofErr w:type="spellEnd"/>
      <w:r w:rsidR="009E498D" w:rsidRPr="009A08CA">
        <w:t xml:space="preserve"> Index definition </w:t>
      </w:r>
      <w:r w:rsidR="009E498D">
        <w:t xml:space="preserve">the </w:t>
      </w:r>
      <w:r w:rsidR="009E498D" w:rsidRPr="009A08CA">
        <w:t>species dens</w:t>
      </w:r>
      <w:r w:rsidR="007B3F02">
        <w:t>ity appears at the denominator)</w:t>
      </w:r>
      <w:r w:rsidR="009E498D" w:rsidRPr="009A08CA">
        <w:t xml:space="preserve">. On the </w:t>
      </w:r>
      <w:r w:rsidR="007B3F02">
        <w:t>other hand</w:t>
      </w:r>
      <w:r w:rsidR="009E498D" w:rsidRPr="009A08CA">
        <w:t xml:space="preserve">, </w:t>
      </w:r>
      <w:r w:rsidR="007B3F02">
        <w:t>N</w:t>
      </w:r>
      <w:r w:rsidR="007B3F02" w:rsidRPr="007B3F02">
        <w:rPr>
          <w:vertAlign w:val="subscript"/>
        </w:rPr>
        <w:t>2</w:t>
      </w:r>
      <w:r w:rsidR="009E498D" w:rsidRPr="009A08CA">
        <w:t xml:space="preserve"> density is </w:t>
      </w:r>
      <w:r w:rsidR="009E498D">
        <w:t xml:space="preserve">significantly </w:t>
      </w:r>
      <w:r w:rsidR="009E498D" w:rsidRPr="009A08CA">
        <w:t>lower: its influence on WI is not as negative as the CO</w:t>
      </w:r>
      <w:r w:rsidR="009E498D" w:rsidRPr="009A08CA">
        <w:rPr>
          <w:vertAlign w:val="subscript"/>
        </w:rPr>
        <w:t>2</w:t>
      </w:r>
      <w:r w:rsidR="009E498D" w:rsidRPr="009A08CA">
        <w:t xml:space="preserve"> one. It follows that</w:t>
      </w:r>
      <w:r w:rsidR="003526AE">
        <w:t>,</w:t>
      </w:r>
      <w:r w:rsidR="009E498D">
        <w:t xml:space="preserve"> at a high </w:t>
      </w:r>
      <w:r w:rsidR="009E498D" w:rsidRPr="009A08CA">
        <w:t>admissible CO</w:t>
      </w:r>
      <w:r w:rsidR="009E498D" w:rsidRPr="009A08CA">
        <w:rPr>
          <w:vertAlign w:val="subscript"/>
        </w:rPr>
        <w:t>2</w:t>
      </w:r>
      <w:r w:rsidR="009E498D" w:rsidRPr="009A08CA">
        <w:t xml:space="preserve"> fraction in the feed stream</w:t>
      </w:r>
      <w:r w:rsidR="003526AE">
        <w:t>,</w:t>
      </w:r>
      <w:r w:rsidR="009E498D" w:rsidRPr="009A08CA">
        <w:t xml:space="preserve"> corresponds a lower N</w:t>
      </w:r>
      <w:r w:rsidR="009E498D" w:rsidRPr="009A08CA">
        <w:rPr>
          <w:vertAlign w:val="subscript"/>
        </w:rPr>
        <w:t>2</w:t>
      </w:r>
      <w:r w:rsidR="009E498D" w:rsidRPr="009A08CA">
        <w:t xml:space="preserve"> </w:t>
      </w:r>
      <w:r w:rsidR="009E498D">
        <w:t xml:space="preserve">inlet </w:t>
      </w:r>
      <w:r w:rsidR="009E498D" w:rsidRPr="009A08CA">
        <w:t>content</w:t>
      </w:r>
      <w:r w:rsidR="009E498D">
        <w:t>,</w:t>
      </w:r>
      <w:r w:rsidR="009E498D" w:rsidRPr="009A08CA">
        <w:t xml:space="preserve"> to meet commercial specifications </w:t>
      </w:r>
      <w:r w:rsidR="009E498D" w:rsidRPr="009A08CA">
        <w:fldChar w:fldCharType="begin"/>
      </w:r>
      <w:r w:rsidR="009E498D" w:rsidRPr="009A08CA">
        <w:instrText xml:space="preserve"> ADDIN EN.CITE &lt;EndNote&gt;&lt;Cite&gt;&lt;Author&gt;De Guido&lt;/Author&gt;&lt;Year&gt;2019&lt;/Year&gt;&lt;RecNum&gt;41&lt;/RecNum&gt;&lt;DisplayText&gt;(De Guido et al., 2019)&lt;/DisplayText&gt;&lt;record&gt;&lt;rec-number&gt;41&lt;/rec-number&gt;&lt;foreign-keys&gt;&lt;key app="EN" db-id="90avwpfx9e9vprewteqx0trha2xex50tp2zs" timestamp="1625127157"&gt;41&lt;/key&gt;&lt;/foreign-keys&gt;&lt;ref-type name="Journal Article"&gt;17&lt;/ref-type&gt;&lt;contributors&gt;&lt;authors&gt;&lt;author&gt;De Guido, Giorgia&lt;/author&gt;&lt;author&gt;Messinetti, Flavia&lt;/author&gt;&lt;author&gt;Spatolisano, Elvira&lt;/author&gt;&lt;/authors&gt;&lt;/contributors&gt;&lt;titles&gt;&lt;title&gt;&lt;style face="normal" font="default" size="100%"&gt;Cryogenic Nitrogen Rejection Schemes: Analysis of Their Tolerance to CO&lt;/style&gt;&lt;style face="subscript" font="default" size="100%"&gt;2&lt;/style&gt;&lt;/title&gt;&lt;secondary-title&gt;Industrial &amp;amp; Engineering Chemistry Research&lt;/secondary-title&gt;&lt;/titles&gt;&lt;periodical&gt;&lt;full-title&gt;Industrial &amp;amp; engineering chemistry research&lt;/full-title&gt;&lt;/periodical&gt;&lt;pages&gt;17475-17488&lt;/pages&gt;&lt;volume&gt;58&lt;/volume&gt;&lt;number&gt;37&lt;/number&gt;&lt;dates&gt;&lt;year&gt;2019&lt;/year&gt;&lt;/dates&gt;&lt;isbn&gt;0888-5885&lt;/isbn&gt;&lt;urls&gt;&lt;/urls&gt;&lt;/record&gt;&lt;/Cite&gt;&lt;/EndNote&gt;</w:instrText>
      </w:r>
      <w:r w:rsidR="009E498D" w:rsidRPr="009A08CA">
        <w:fldChar w:fldCharType="separate"/>
      </w:r>
      <w:r w:rsidR="009E498D" w:rsidRPr="009A08CA">
        <w:rPr>
          <w:noProof/>
        </w:rPr>
        <w:t>(De Guido et al., 2019)</w:t>
      </w:r>
      <w:r w:rsidR="009E498D" w:rsidRPr="009A08CA">
        <w:fldChar w:fldCharType="end"/>
      </w:r>
      <w:r w:rsidR="009E498D" w:rsidRPr="009A08CA">
        <w:t>.</w:t>
      </w:r>
      <w:r w:rsidR="009E498D" w:rsidRPr="000308BC">
        <w:t xml:space="preserve"> </w:t>
      </w:r>
      <w:r w:rsidR="009E498D">
        <w:t>To assess the maximum allowable CO</w:t>
      </w:r>
      <w:r w:rsidR="009E498D">
        <w:rPr>
          <w:vertAlign w:val="subscript"/>
        </w:rPr>
        <w:t>2</w:t>
      </w:r>
      <w:r w:rsidR="009E498D">
        <w:t xml:space="preserve"> content in the feed stream, </w:t>
      </w:r>
      <w:r w:rsidR="009E498D" w:rsidRPr="00137650">
        <w:t xml:space="preserve">the </w:t>
      </w:r>
      <w:r w:rsidR="009E498D">
        <w:t>“</w:t>
      </w:r>
      <w:r w:rsidR="009E498D" w:rsidRPr="00137650">
        <w:t>CO</w:t>
      </w:r>
      <w:r w:rsidR="009E498D" w:rsidRPr="00137650">
        <w:rPr>
          <w:vertAlign w:val="subscript"/>
        </w:rPr>
        <w:t>2</w:t>
      </w:r>
      <w:r w:rsidR="009E498D" w:rsidRPr="00137650">
        <w:t xml:space="preserve"> Freeze Out</w:t>
      </w:r>
      <w:r w:rsidR="009E498D">
        <w:t xml:space="preserve">” </w:t>
      </w:r>
      <w:r w:rsidR="009E498D" w:rsidRPr="00137650">
        <w:t>tool</w:t>
      </w:r>
      <w:r w:rsidR="009E498D">
        <w:t xml:space="preserve"> of Aspen HYSYS</w:t>
      </w:r>
      <w:r w:rsidR="009E498D" w:rsidRPr="00AB6037">
        <w:rPr>
          <w:vertAlign w:val="superscript"/>
        </w:rPr>
        <w:t>®</w:t>
      </w:r>
      <w:r w:rsidR="009E498D" w:rsidRPr="00137650">
        <w:t xml:space="preserve"> </w:t>
      </w:r>
      <w:r w:rsidR="009E498D">
        <w:t>has been used</w:t>
      </w:r>
      <w:r w:rsidR="00AC611C">
        <w:t xml:space="preserve"> (</w:t>
      </w:r>
      <w:r w:rsidR="00983ED4">
        <w:t>De Guido and Pellegrini, 2022</w:t>
      </w:r>
      <w:r w:rsidR="00AC611C">
        <w:t>)</w:t>
      </w:r>
      <w:r w:rsidR="009E498D" w:rsidRPr="00137650">
        <w:t>. Once the process specifications are determined, the freeze check for each stream involved in the simulation is performed</w:t>
      </w:r>
      <w:r w:rsidR="009E498D">
        <w:t xml:space="preserve">, including the vapor and liquid streams within the distillation column. </w:t>
      </w:r>
      <w:r w:rsidR="003526AE">
        <w:t>A</w:t>
      </w:r>
      <w:r w:rsidR="009E498D" w:rsidRPr="00137650">
        <w:t xml:space="preserve"> safety margin of 2°C is kept between the stream temperature and the correspondent freezing temperature to ensure conservative conditions</w:t>
      </w:r>
      <w:r w:rsidR="003526AE">
        <w:t xml:space="preserve"> (</w:t>
      </w:r>
      <w:r w:rsidR="00AC611C">
        <w:t>De Guido and Spatolisano, 2021</w:t>
      </w:r>
      <w:r w:rsidR="003526AE">
        <w:t>)</w:t>
      </w:r>
      <w:r w:rsidR="009E498D" w:rsidRPr="00137650">
        <w:t>.</w:t>
      </w:r>
      <w:r w:rsidR="009E498D">
        <w:t xml:space="preserve"> </w:t>
      </w:r>
      <w:r w:rsidR="003526AE">
        <w:t xml:space="preserve">The result of this analysis is </w:t>
      </w:r>
      <w:r w:rsidR="002E0AC9">
        <w:t xml:space="preserve">the blue line </w:t>
      </w:r>
      <w:r w:rsidR="003526AE">
        <w:t xml:space="preserve">in </w:t>
      </w:r>
      <w:r w:rsidR="003526AE">
        <w:fldChar w:fldCharType="begin"/>
      </w:r>
      <w:r w:rsidR="003526AE">
        <w:instrText xml:space="preserve"> REF _Ref126337261 \h </w:instrText>
      </w:r>
      <w:r w:rsidR="003526AE">
        <w:fldChar w:fldCharType="separate"/>
      </w:r>
      <w:r w:rsidR="00FE1E1E" w:rsidRPr="009E498D">
        <w:rPr>
          <w:bCs/>
        </w:rPr>
        <w:t xml:space="preserve">Figure </w:t>
      </w:r>
      <w:r w:rsidR="00FE1E1E">
        <w:rPr>
          <w:bCs/>
          <w:noProof/>
        </w:rPr>
        <w:t>4</w:t>
      </w:r>
      <w:r w:rsidR="003526AE">
        <w:fldChar w:fldCharType="end"/>
      </w:r>
      <w:r w:rsidR="003526AE">
        <w:t xml:space="preserve">. </w:t>
      </w:r>
      <w:r w:rsidR="009068A8" w:rsidRPr="00AA2206">
        <w:t>Th</w:t>
      </w:r>
      <w:r w:rsidR="009068A8">
        <w:t>is</w:t>
      </w:r>
      <w:r w:rsidR="009068A8" w:rsidRPr="00AA2206">
        <w:t xml:space="preserve"> </w:t>
      </w:r>
      <w:r w:rsidR="00497E19">
        <w:t>line</w:t>
      </w:r>
      <w:r w:rsidR="009068A8" w:rsidRPr="00AA2206">
        <w:t xml:space="preserve"> establishes the range of applicability of the single column process in </w:t>
      </w:r>
      <w:r w:rsidR="009068A8">
        <w:t xml:space="preserve">the </w:t>
      </w:r>
      <w:r w:rsidR="009068A8" w:rsidRPr="00AA2206">
        <w:t xml:space="preserve">presence of </w:t>
      </w:r>
      <w:r w:rsidR="009068A8">
        <w:t>CO</w:t>
      </w:r>
      <w:r w:rsidR="009068A8" w:rsidRPr="009068A8">
        <w:rPr>
          <w:vertAlign w:val="subscript"/>
        </w:rPr>
        <w:t>2</w:t>
      </w:r>
      <w:r w:rsidR="009068A8" w:rsidRPr="00AA2206">
        <w:t xml:space="preserve">, ensuring safe operations whenever the </w:t>
      </w:r>
      <w:r w:rsidR="00497E19">
        <w:t>feed composition</w:t>
      </w:r>
      <w:r w:rsidR="009068A8" w:rsidRPr="00AA2206">
        <w:t xml:space="preserve"> falls </w:t>
      </w:r>
      <w:r w:rsidR="00497E19">
        <w:t xml:space="preserve">below the limiting curve. </w:t>
      </w:r>
      <w:r w:rsidR="009E498D" w:rsidRPr="00AA2206">
        <w:t xml:space="preserve">The increase of the total amount of </w:t>
      </w:r>
      <w:r w:rsidR="00827C6A">
        <w:t>N</w:t>
      </w:r>
      <w:r w:rsidR="00827C6A" w:rsidRPr="00827C6A">
        <w:rPr>
          <w:vertAlign w:val="subscript"/>
        </w:rPr>
        <w:t>2</w:t>
      </w:r>
      <w:r w:rsidR="009E498D" w:rsidRPr="00AA2206">
        <w:t xml:space="preserve"> and </w:t>
      </w:r>
      <w:r w:rsidR="00827C6A">
        <w:t>He</w:t>
      </w:r>
      <w:r w:rsidR="009E498D" w:rsidRPr="00AA2206">
        <w:t xml:space="preserve"> in the feed </w:t>
      </w:r>
      <w:r w:rsidR="00827C6A">
        <w:t xml:space="preserve">stream </w:t>
      </w:r>
      <w:r w:rsidR="009E498D" w:rsidRPr="00AA2206">
        <w:t xml:space="preserve">causes a reduction of the </w:t>
      </w:r>
      <w:r w:rsidR="009068A8">
        <w:t>CO</w:t>
      </w:r>
      <w:r w:rsidR="009068A8" w:rsidRPr="009068A8">
        <w:rPr>
          <w:vertAlign w:val="subscript"/>
        </w:rPr>
        <w:t>2</w:t>
      </w:r>
      <w:r w:rsidR="009E498D" w:rsidRPr="00AA2206">
        <w:t xml:space="preserve"> tolerance.</w:t>
      </w:r>
      <w:r w:rsidR="00827C6A">
        <w:t xml:space="preserve"> </w:t>
      </w:r>
      <w:r w:rsidR="00827C6A" w:rsidRPr="00AA2206">
        <w:t xml:space="preserve">Although the trend is monotonously decreasing, at least three regions can be distinguished. For </w:t>
      </w:r>
      <w:r w:rsidR="00827C6A">
        <w:lastRenderedPageBreak/>
        <w:t>light gases</w:t>
      </w:r>
      <w:r w:rsidR="00827C6A" w:rsidRPr="00AA2206">
        <w:t xml:space="preserve"> content below 10</w:t>
      </w:r>
      <w:r w:rsidR="00827C6A">
        <w:t xml:space="preserve"> mol</w:t>
      </w:r>
      <w:r w:rsidR="00827C6A" w:rsidRPr="00AA2206">
        <w:t>%</w:t>
      </w:r>
      <w:r w:rsidR="00AC611C">
        <w:t>,</w:t>
      </w:r>
      <w:r w:rsidR="00827C6A" w:rsidRPr="00AA2206">
        <w:t xml:space="preserve"> a milder reduction of admissible CO</w:t>
      </w:r>
      <w:r w:rsidR="00827C6A" w:rsidRPr="00B36F68">
        <w:rPr>
          <w:vertAlign w:val="subscript"/>
        </w:rPr>
        <w:t>2</w:t>
      </w:r>
      <w:r w:rsidR="00827C6A" w:rsidRPr="00AA2206">
        <w:t xml:space="preserve"> fraction </w:t>
      </w:r>
      <w:r w:rsidR="003526AE">
        <w:t>is observed.</w:t>
      </w:r>
      <w:r w:rsidR="00827C6A" w:rsidRPr="00AA2206">
        <w:t xml:space="preserve"> The slope of the limit</w:t>
      </w:r>
      <w:r w:rsidR="00827C6A">
        <w:t>ing</w:t>
      </w:r>
      <w:r w:rsidR="00827C6A" w:rsidRPr="00AA2206">
        <w:t xml:space="preserve"> curve gets steeper in correspondence of 10</w:t>
      </w:r>
      <w:r w:rsidR="00827C6A" w:rsidRPr="00B36F68">
        <w:t xml:space="preserve"> </w:t>
      </w:r>
      <w:r w:rsidR="00827C6A" w:rsidRPr="00AA2206">
        <w:t xml:space="preserve">mol%, but returns milder </w:t>
      </w:r>
      <w:r w:rsidR="009068A8">
        <w:t>at about</w:t>
      </w:r>
      <w:r w:rsidR="00827C6A" w:rsidRPr="00AA2206">
        <w:t xml:space="preserve"> 15 mol%. </w:t>
      </w:r>
      <w:r w:rsidR="002E0AC9">
        <w:t xml:space="preserve">Considering </w:t>
      </w:r>
      <w:r w:rsidR="00827C6A" w:rsidRPr="00AA2206">
        <w:t xml:space="preserve">the gap </w:t>
      </w:r>
      <w:r w:rsidR="00827C6A">
        <w:t>of</w:t>
      </w:r>
      <w:r w:rsidR="00827C6A" w:rsidRPr="00AA2206">
        <w:t xml:space="preserve"> composition between 16</w:t>
      </w:r>
      <w:r w:rsidR="00827C6A" w:rsidRPr="00B36F68">
        <w:t xml:space="preserve"> </w:t>
      </w:r>
      <w:r w:rsidR="00827C6A" w:rsidRPr="00AA2206">
        <w:t xml:space="preserve">mol% and 26 </w:t>
      </w:r>
      <w:r w:rsidR="00827C6A">
        <w:t>mol</w:t>
      </w:r>
      <w:r w:rsidR="00827C6A" w:rsidRPr="00AA2206">
        <w:t>%</w:t>
      </w:r>
      <w:r w:rsidR="002E0AC9">
        <w:t xml:space="preserve"> of</w:t>
      </w:r>
      <w:r w:rsidR="00827C6A">
        <w:t xml:space="preserve"> helium - bearing natural gases </w:t>
      </w:r>
      <w:r w:rsidR="009068A8">
        <w:t>reported in</w:t>
      </w:r>
      <w:r w:rsidR="00827C6A">
        <w:t xml:space="preserve"> Table 1</w:t>
      </w:r>
      <w:r w:rsidR="002E0AC9">
        <w:t>,</w:t>
      </w:r>
      <w:r w:rsidR="00827C6A">
        <w:t xml:space="preserve"> </w:t>
      </w:r>
      <w:r w:rsidR="00827C6A" w:rsidRPr="00AA2206">
        <w:t xml:space="preserve">the </w:t>
      </w:r>
      <w:r w:rsidR="002E0AC9">
        <w:t xml:space="preserve">blue line </w:t>
      </w:r>
      <w:r w:rsidR="009068A8">
        <w:t>has been</w:t>
      </w:r>
      <w:r w:rsidR="002E0AC9">
        <w:t xml:space="preserve"> </w:t>
      </w:r>
      <w:r w:rsidR="002E0AC9" w:rsidRPr="00AA2206">
        <w:t xml:space="preserve">extrapolated </w:t>
      </w:r>
      <w:r w:rsidR="009068A8">
        <w:t>in this region (</w:t>
      </w:r>
      <w:r w:rsidR="00827C6A" w:rsidRPr="00AA2206">
        <w:t xml:space="preserve">dashed </w:t>
      </w:r>
      <w:r w:rsidR="003526AE">
        <w:t xml:space="preserve">blue </w:t>
      </w:r>
      <w:r w:rsidR="00497E19">
        <w:t>segment</w:t>
      </w:r>
      <w:r w:rsidR="00827C6A" w:rsidRPr="00AA2206">
        <w:t xml:space="preserve"> </w:t>
      </w:r>
      <w:r w:rsidR="00497E19">
        <w:t>in</w:t>
      </w:r>
      <w:r w:rsidR="009068A8">
        <w:t xml:space="preserve"> </w:t>
      </w:r>
      <w:r w:rsidR="009068A8">
        <w:fldChar w:fldCharType="begin"/>
      </w:r>
      <w:r w:rsidR="009068A8">
        <w:instrText xml:space="preserve"> REF _Ref126337261 \h </w:instrText>
      </w:r>
      <w:r w:rsidR="009068A8">
        <w:fldChar w:fldCharType="separate"/>
      </w:r>
      <w:r w:rsidR="00FE1E1E" w:rsidRPr="009E498D">
        <w:rPr>
          <w:bCs/>
        </w:rPr>
        <w:t xml:space="preserve">Figure </w:t>
      </w:r>
      <w:r w:rsidR="00FE1E1E">
        <w:rPr>
          <w:bCs/>
          <w:noProof/>
        </w:rPr>
        <w:t>4</w:t>
      </w:r>
      <w:r w:rsidR="009068A8">
        <w:fldChar w:fldCharType="end"/>
      </w:r>
      <w:r w:rsidR="009068A8">
        <w:t>).</w:t>
      </w:r>
      <w:r w:rsidR="00497E19">
        <w:t xml:space="preserve"> </w:t>
      </w:r>
      <w:r w:rsidR="00827C6A">
        <w:t>The observed trend is very similar to the correspond</w:t>
      </w:r>
      <w:r w:rsidR="00497E19">
        <w:t>ing one f</w:t>
      </w:r>
      <w:r w:rsidR="00827C6A">
        <w:t xml:space="preserve">or </w:t>
      </w:r>
      <w:r w:rsidR="00497E19">
        <w:t>N</w:t>
      </w:r>
      <w:r w:rsidR="00497E19" w:rsidRPr="00497E19">
        <w:rPr>
          <w:vertAlign w:val="subscript"/>
        </w:rPr>
        <w:t>2</w:t>
      </w:r>
      <w:r w:rsidR="00827C6A">
        <w:t xml:space="preserve"> rejection only (orange curve in </w:t>
      </w:r>
      <w:r w:rsidR="00497E19">
        <w:fldChar w:fldCharType="begin"/>
      </w:r>
      <w:r w:rsidR="00497E19">
        <w:instrText xml:space="preserve"> REF _Ref126337261 \h </w:instrText>
      </w:r>
      <w:r w:rsidR="00497E19">
        <w:fldChar w:fldCharType="separate"/>
      </w:r>
      <w:r w:rsidR="00FE1E1E" w:rsidRPr="009E498D">
        <w:rPr>
          <w:bCs/>
        </w:rPr>
        <w:t xml:space="preserve">Figure </w:t>
      </w:r>
      <w:r w:rsidR="00FE1E1E">
        <w:rPr>
          <w:bCs/>
          <w:noProof/>
        </w:rPr>
        <w:t>4</w:t>
      </w:r>
      <w:r w:rsidR="00497E19">
        <w:fldChar w:fldCharType="end"/>
      </w:r>
      <w:r w:rsidR="00827C6A">
        <w:t>). Helium effect on CO</w:t>
      </w:r>
      <w:r w:rsidR="00827C6A">
        <w:rPr>
          <w:vertAlign w:val="subscript"/>
        </w:rPr>
        <w:t>2</w:t>
      </w:r>
      <w:r w:rsidR="00827C6A">
        <w:t xml:space="preserve"> solidification is the same of nitrogen</w:t>
      </w:r>
      <w:r w:rsidR="00AC611C">
        <w:t xml:space="preserve">: it favors solid carbon dioxide formation, </w:t>
      </w:r>
      <w:r w:rsidR="00827C6A">
        <w:t xml:space="preserve">as detailed elsewhere </w:t>
      </w:r>
      <w:r w:rsidR="00827C6A">
        <w:fldChar w:fldCharType="begin"/>
      </w:r>
      <w:r w:rsidR="00827C6A">
        <w:instrText xml:space="preserve"> ADDIN EN.CITE &lt;EndNote&gt;&lt;Cite&gt;&lt;Author&gt;Spatolisano&lt;/Author&gt;&lt;Year&gt;2021&lt;/Year&gt;&lt;RecNum&gt;91&lt;/RecNum&gt;&lt;DisplayText&gt;(Spatolisano and Pellegrini, 2021)&lt;/DisplayText&gt;&lt;record&gt;&lt;rec-number&gt;91&lt;/rec-number&gt;&lt;foreign-keys&gt;&lt;key app="EN" db-id="90avwpfx9e9vprewteqx0trha2xex50tp2zs" timestamp="1626090242"&gt;91&lt;/key&gt;&lt;/foreign-keys&gt;&lt;ref-type name="Journal Article"&gt;17&lt;/ref-type&gt;&lt;contributors&gt;&lt;authors&gt;&lt;author&gt;Spatolisano, Elvira&lt;/author&gt;&lt;author&gt;Pellegrini, Laura A. &lt;/author&gt;&lt;/authors&gt;&lt;/contributors&gt;&lt;titles&gt;&lt;title&gt;Solid – Liquid – Vapor Equilibrium prediction for typical helium - bearing natural gas mixtures&lt;/title&gt;&lt;secondary-title&gt;Journal of Chemical &amp;amp; Engineering Data&lt;/secondary-title&gt;&lt;/titles&gt;&lt;periodical&gt;&lt;full-title&gt;Journal of Chemical &amp;amp; Engineering Data&lt;/full-title&gt;&lt;/periodical&gt;&lt;dates&gt;&lt;year&gt;2021&lt;/year&gt;&lt;/dates&gt;&lt;urls&gt;&lt;/urls&gt;&lt;/record&gt;&lt;/Cite&gt;&lt;/EndNote&gt;</w:instrText>
      </w:r>
      <w:r w:rsidR="00827C6A">
        <w:fldChar w:fldCharType="separate"/>
      </w:r>
      <w:r w:rsidR="00827C6A">
        <w:rPr>
          <w:noProof/>
        </w:rPr>
        <w:t>(Spatolisano and Pellegrini, 2021</w:t>
      </w:r>
      <w:r w:rsidR="0086269C">
        <w:rPr>
          <w:noProof/>
        </w:rPr>
        <w:t>b</w:t>
      </w:r>
      <w:r w:rsidR="00827C6A">
        <w:rPr>
          <w:noProof/>
        </w:rPr>
        <w:t>)</w:t>
      </w:r>
      <w:r w:rsidR="00827C6A">
        <w:fldChar w:fldCharType="end"/>
      </w:r>
      <w:r w:rsidR="003526AE">
        <w:t>.</w:t>
      </w:r>
    </w:p>
    <w:p w14:paraId="5313AACF" w14:textId="77777777" w:rsidR="009E498D" w:rsidRDefault="009E498D" w:rsidP="009E498D">
      <w:pPr>
        <w:pStyle w:val="CETBodytext"/>
        <w:rPr>
          <w:sz w:val="24"/>
          <w:szCs w:val="18"/>
        </w:rPr>
      </w:pPr>
      <w:r w:rsidRPr="00AA2206">
        <w:rPr>
          <w:noProof/>
          <w:lang w:val="en-GB" w:eastAsia="en-GB"/>
        </w:rPr>
        <w:drawing>
          <wp:inline distT="0" distB="0" distL="0" distR="0" wp14:anchorId="1F2DDEA3" wp14:editId="73C66F51">
            <wp:extent cx="2024317" cy="180000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4317" cy="1800000"/>
                    </a:xfrm>
                    <a:prstGeom prst="rect">
                      <a:avLst/>
                    </a:prstGeom>
                    <a:noFill/>
                    <a:ln>
                      <a:noFill/>
                    </a:ln>
                  </pic:spPr>
                </pic:pic>
              </a:graphicData>
            </a:graphic>
          </wp:inline>
        </w:drawing>
      </w:r>
    </w:p>
    <w:p w14:paraId="348CA982" w14:textId="56CBD18B" w:rsidR="009E498D" w:rsidRPr="009E498D" w:rsidRDefault="009E498D" w:rsidP="009E498D">
      <w:pPr>
        <w:pStyle w:val="CETCaption"/>
        <w:rPr>
          <w:sz w:val="24"/>
          <w:szCs w:val="18"/>
        </w:rPr>
      </w:pPr>
      <w:bookmarkStart w:id="5" w:name="_Ref126337261"/>
      <w:bookmarkStart w:id="6" w:name="_Toc57795396"/>
      <w:r w:rsidRPr="009E498D">
        <w:rPr>
          <w:bCs/>
        </w:rPr>
        <w:t xml:space="preserve">Figure </w:t>
      </w:r>
      <w:r w:rsidRPr="009E498D">
        <w:rPr>
          <w:bCs/>
        </w:rPr>
        <w:fldChar w:fldCharType="begin"/>
      </w:r>
      <w:r w:rsidRPr="009E498D">
        <w:rPr>
          <w:bCs/>
        </w:rPr>
        <w:instrText xml:space="preserve"> SEQ Figure \* ARABIC \s 2 </w:instrText>
      </w:r>
      <w:r w:rsidRPr="009E498D">
        <w:rPr>
          <w:bCs/>
        </w:rPr>
        <w:fldChar w:fldCharType="separate"/>
      </w:r>
      <w:r w:rsidR="00FE1E1E">
        <w:rPr>
          <w:bCs/>
          <w:noProof/>
        </w:rPr>
        <w:t>4</w:t>
      </w:r>
      <w:r w:rsidRPr="009E498D">
        <w:rPr>
          <w:bCs/>
        </w:rPr>
        <w:fldChar w:fldCharType="end"/>
      </w:r>
      <w:bookmarkEnd w:id="5"/>
      <w:r w:rsidRPr="009E498D">
        <w:rPr>
          <w:bCs/>
        </w:rPr>
        <w:t xml:space="preserve">. </w:t>
      </w:r>
      <w:r w:rsidRPr="009E498D">
        <w:t>Maximum admissible CO</w:t>
      </w:r>
      <w:r w:rsidRPr="009E498D">
        <w:rPr>
          <w:vertAlign w:val="subscript"/>
        </w:rPr>
        <w:t>2</w:t>
      </w:r>
      <w:r w:rsidRPr="009E498D">
        <w:t xml:space="preserve"> content in the single column process: comparison between N</w:t>
      </w:r>
      <w:r w:rsidRPr="009E498D">
        <w:rPr>
          <w:vertAlign w:val="subscript"/>
        </w:rPr>
        <w:t>2</w:t>
      </w:r>
      <w:r w:rsidRPr="009E498D">
        <w:t xml:space="preserve"> feed (orange curve) and N</w:t>
      </w:r>
      <w:r w:rsidRPr="009E498D">
        <w:rPr>
          <w:vertAlign w:val="subscript"/>
        </w:rPr>
        <w:t>2</w:t>
      </w:r>
      <w:r w:rsidRPr="009E498D">
        <w:t xml:space="preserve"> + He feed (blue curve).</w:t>
      </w:r>
      <w:bookmarkEnd w:id="6"/>
    </w:p>
    <w:p w14:paraId="7382C781" w14:textId="15859D75" w:rsidR="00600535" w:rsidRPr="00B57B36" w:rsidRDefault="00035E28" w:rsidP="00FA5F5F">
      <w:pPr>
        <w:pStyle w:val="CETheadingx"/>
      </w:pPr>
      <w:r>
        <w:t>Double column recovery scheme</w:t>
      </w:r>
    </w:p>
    <w:p w14:paraId="5D6C0C79" w14:textId="644C125C" w:rsidR="00C33AA7" w:rsidRPr="002E0AC9" w:rsidRDefault="002E0AC9" w:rsidP="00C33AA7">
      <w:pPr>
        <w:pStyle w:val="CETBodytext"/>
      </w:pPr>
      <w:r w:rsidRPr="00C520E3">
        <w:t>T</w:t>
      </w:r>
      <w:r w:rsidRPr="002E0AC9">
        <w:t>he greatest advantage</w:t>
      </w:r>
      <w:r>
        <w:t xml:space="preserve"> </w:t>
      </w:r>
      <w:r w:rsidRPr="002E0AC9">
        <w:t xml:space="preserve">of </w:t>
      </w:r>
      <w:r>
        <w:t xml:space="preserve">the </w:t>
      </w:r>
      <w:r w:rsidRPr="002E0AC9">
        <w:t>double column process configuration is the extensive heat integration, that enables to achieve auto-</w:t>
      </w:r>
      <w:proofErr w:type="spellStart"/>
      <w:r w:rsidRPr="002E0AC9">
        <w:t>thermicity</w:t>
      </w:r>
      <w:proofErr w:type="spellEnd"/>
      <w:r w:rsidR="005619A4">
        <w:t xml:space="preserve"> (</w:t>
      </w:r>
      <w:r w:rsidR="0086269C">
        <w:t>Rufford et al., 2014</w:t>
      </w:r>
      <w:r w:rsidR="005619A4">
        <w:t>)</w:t>
      </w:r>
      <w:r w:rsidRPr="002E0AC9">
        <w:t xml:space="preserve">. For this reason, a careful assessment of the operating pressure </w:t>
      </w:r>
      <w:r w:rsidR="0086269C" w:rsidRPr="002E0AC9">
        <w:t>is necessary</w:t>
      </w:r>
      <w:r w:rsidR="0086269C">
        <w:t xml:space="preserve"> </w:t>
      </w:r>
      <w:r w:rsidRPr="002E0AC9">
        <w:t xml:space="preserve">to allow the thermal coupling between the </w:t>
      </w:r>
      <w:r w:rsidR="00C520E3">
        <w:t>HP</w:t>
      </w:r>
      <w:r w:rsidRPr="002E0AC9">
        <w:t xml:space="preserve"> condenser and the </w:t>
      </w:r>
      <w:r w:rsidR="00C520E3">
        <w:t>LP</w:t>
      </w:r>
      <w:r w:rsidRPr="002E0AC9">
        <w:t xml:space="preserve"> reboiler</w:t>
      </w:r>
      <w:r w:rsidR="0086269C">
        <w:t>,</w:t>
      </w:r>
      <w:r w:rsidRPr="002E0AC9">
        <w:t xml:space="preserve"> </w:t>
      </w:r>
      <w:r w:rsidR="00C520E3">
        <w:t xml:space="preserve">before </w:t>
      </w:r>
      <w:r w:rsidR="0086269C">
        <w:t>analyzing</w:t>
      </w:r>
      <w:r w:rsidR="00C520E3">
        <w:t xml:space="preserve"> </w:t>
      </w:r>
      <w:r w:rsidR="0086269C">
        <w:t>the process</w:t>
      </w:r>
      <w:r w:rsidR="00C520E3">
        <w:t xml:space="preserve"> performances</w:t>
      </w:r>
      <w:r w:rsidRPr="002E0AC9">
        <w:t>.</w:t>
      </w:r>
      <w:r w:rsidR="005619A4">
        <w:t xml:space="preserve"> The </w:t>
      </w:r>
      <w:r w:rsidR="001F064D">
        <w:t xml:space="preserve">mixture exiting the </w:t>
      </w:r>
      <w:r w:rsidR="005619A4">
        <w:t xml:space="preserve">LP reboiler is the </w:t>
      </w:r>
      <w:r w:rsidR="005619A4" w:rsidRPr="002E0AC9">
        <w:t>CH</w:t>
      </w:r>
      <w:r w:rsidR="005619A4" w:rsidRPr="0063673B">
        <w:rPr>
          <w:vertAlign w:val="subscript"/>
        </w:rPr>
        <w:t>4</w:t>
      </w:r>
      <w:r w:rsidR="005619A4" w:rsidRPr="002E0AC9">
        <w:t xml:space="preserve"> – N</w:t>
      </w:r>
      <w:r w:rsidR="005619A4" w:rsidRPr="0063673B">
        <w:rPr>
          <w:vertAlign w:val="subscript"/>
        </w:rPr>
        <w:t>2</w:t>
      </w:r>
      <w:r w:rsidR="005619A4" w:rsidRPr="002E0AC9">
        <w:t xml:space="preserve"> mixture</w:t>
      </w:r>
      <w:r w:rsidR="005619A4">
        <w:t>, whose N</w:t>
      </w:r>
      <w:r w:rsidR="005619A4" w:rsidRPr="005619A4">
        <w:rPr>
          <w:vertAlign w:val="subscript"/>
        </w:rPr>
        <w:t>2</w:t>
      </w:r>
      <w:r w:rsidR="005619A4">
        <w:t xml:space="preserve"> content has to be limited to </w:t>
      </w:r>
      <w:r w:rsidR="001F064D">
        <w:t xml:space="preserve">3 mol% to </w:t>
      </w:r>
      <w:r w:rsidR="005619A4">
        <w:t xml:space="preserve">respect the </w:t>
      </w:r>
      <w:proofErr w:type="spellStart"/>
      <w:r w:rsidR="005619A4">
        <w:t>Wobbe</w:t>
      </w:r>
      <w:proofErr w:type="spellEnd"/>
      <w:r w:rsidR="005619A4">
        <w:t xml:space="preserve"> index specifications, while the </w:t>
      </w:r>
      <w:r w:rsidR="00C33AA7">
        <w:t>vapor</w:t>
      </w:r>
      <w:r w:rsidR="005619A4">
        <w:t xml:space="preserve"> stream exiting the HP condenser</w:t>
      </w:r>
      <w:r w:rsidR="005619A4" w:rsidRPr="002E0AC9">
        <w:t xml:space="preserve"> </w:t>
      </w:r>
      <w:r w:rsidR="00C33AA7">
        <w:t xml:space="preserve">is crude helium. </w:t>
      </w:r>
      <w:r w:rsidR="00405320">
        <w:t xml:space="preserve">Vapor – liquid equilibrium pressures of these two mixtures are reported in </w:t>
      </w:r>
      <w:r w:rsidR="00405320">
        <w:fldChar w:fldCharType="begin"/>
      </w:r>
      <w:r w:rsidR="00405320">
        <w:instrText xml:space="preserve"> REF _Ref126339617 \h </w:instrText>
      </w:r>
      <w:r w:rsidR="00405320">
        <w:fldChar w:fldCharType="separate"/>
      </w:r>
      <w:r w:rsidR="00FE1E1E" w:rsidRPr="009E498D">
        <w:rPr>
          <w:bCs/>
        </w:rPr>
        <w:t xml:space="preserve">Figure </w:t>
      </w:r>
      <w:r w:rsidR="00FE1E1E">
        <w:rPr>
          <w:bCs/>
          <w:noProof/>
        </w:rPr>
        <w:t>5</w:t>
      </w:r>
      <w:r w:rsidR="00405320">
        <w:fldChar w:fldCharType="end"/>
      </w:r>
      <w:r w:rsidR="00405320">
        <w:t xml:space="preserve">a, at variable compositions. </w:t>
      </w:r>
      <w:r w:rsidRPr="002E0AC9">
        <w:t xml:space="preserve">A </w:t>
      </w:r>
      <w:r w:rsidR="005619A4">
        <w:t>suitable</w:t>
      </w:r>
      <w:r w:rsidRPr="002E0AC9">
        <w:t xml:space="preserve"> temperature difference between the</w:t>
      </w:r>
      <w:r w:rsidR="00C33AA7">
        <w:t>se</w:t>
      </w:r>
      <w:r w:rsidRPr="002E0AC9">
        <w:t xml:space="preserve"> two streams must be ensured to make the </w:t>
      </w:r>
      <w:r w:rsidR="0086269C">
        <w:t>thermal coupling</w:t>
      </w:r>
      <w:r w:rsidRPr="002E0AC9">
        <w:t xml:space="preserve"> effective.</w:t>
      </w:r>
    </w:p>
    <w:p w14:paraId="2101230D" w14:textId="4382481A" w:rsidR="002E0AC9" w:rsidRPr="002E0AC9" w:rsidRDefault="002E0AC9" w:rsidP="002E0AC9">
      <w:pPr>
        <w:pStyle w:val="CETBodytext"/>
      </w:pPr>
      <w:r w:rsidRPr="002E0AC9">
        <w:t xml:space="preserve">a) </w:t>
      </w:r>
      <w:r w:rsidR="0063673B">
        <w:rPr>
          <w:noProof/>
          <w:lang w:val="en-GB" w:eastAsia="en-GB"/>
        </w:rPr>
        <w:drawing>
          <wp:inline distT="0" distB="0" distL="0" distR="0" wp14:anchorId="46AC8F52" wp14:editId="423FE980">
            <wp:extent cx="1977336" cy="1800000"/>
            <wp:effectExtent l="0" t="0" r="4445"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4421" r="4664"/>
                    <a:stretch/>
                  </pic:blipFill>
                  <pic:spPr bwMode="auto">
                    <a:xfrm>
                      <a:off x="0" y="0"/>
                      <a:ext cx="1977336" cy="1800000"/>
                    </a:xfrm>
                    <a:prstGeom prst="rect">
                      <a:avLst/>
                    </a:prstGeom>
                    <a:ln>
                      <a:noFill/>
                    </a:ln>
                    <a:extLst>
                      <a:ext uri="{53640926-AAD7-44D8-BBD7-CCE9431645EC}">
                        <a14:shadowObscured xmlns:a14="http://schemas.microsoft.com/office/drawing/2010/main"/>
                      </a:ext>
                    </a:extLst>
                  </pic:spPr>
                </pic:pic>
              </a:graphicData>
            </a:graphic>
          </wp:inline>
        </w:drawing>
      </w:r>
      <w:r w:rsidRPr="002E0AC9">
        <w:t xml:space="preserve">b) </w:t>
      </w:r>
      <w:r w:rsidR="0063673B" w:rsidRPr="00AF04F9">
        <w:rPr>
          <w:noProof/>
          <w:lang w:val="en-GB" w:eastAsia="en-GB"/>
        </w:rPr>
        <w:drawing>
          <wp:inline distT="0" distB="0" distL="0" distR="0" wp14:anchorId="7814E88E" wp14:editId="6ED16CDC">
            <wp:extent cx="1949129" cy="180000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580" r="1992"/>
                    <a:stretch/>
                  </pic:blipFill>
                  <pic:spPr bwMode="auto">
                    <a:xfrm>
                      <a:off x="0" y="0"/>
                      <a:ext cx="1949129"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43AA71A7" w14:textId="3DACF3D3" w:rsidR="002E0AC9" w:rsidRPr="002E0AC9" w:rsidRDefault="00C33AA7" w:rsidP="005619A4">
      <w:pPr>
        <w:pStyle w:val="CETCaption"/>
      </w:pPr>
      <w:bookmarkStart w:id="7" w:name="_Ref126339617"/>
      <w:r w:rsidRPr="009E498D">
        <w:rPr>
          <w:bCs/>
        </w:rPr>
        <w:t xml:space="preserve">Figure </w:t>
      </w:r>
      <w:r w:rsidRPr="009E498D">
        <w:rPr>
          <w:bCs/>
        </w:rPr>
        <w:fldChar w:fldCharType="begin"/>
      </w:r>
      <w:r w:rsidRPr="009E498D">
        <w:rPr>
          <w:bCs/>
        </w:rPr>
        <w:instrText xml:space="preserve"> SEQ Figure \* ARABIC \s 2 </w:instrText>
      </w:r>
      <w:r w:rsidRPr="009E498D">
        <w:rPr>
          <w:bCs/>
        </w:rPr>
        <w:fldChar w:fldCharType="separate"/>
      </w:r>
      <w:r w:rsidR="00FE1E1E">
        <w:rPr>
          <w:bCs/>
          <w:noProof/>
        </w:rPr>
        <w:t>5</w:t>
      </w:r>
      <w:r w:rsidRPr="009E498D">
        <w:rPr>
          <w:bCs/>
        </w:rPr>
        <w:fldChar w:fldCharType="end"/>
      </w:r>
      <w:bookmarkEnd w:id="7"/>
      <w:r w:rsidRPr="009E498D">
        <w:rPr>
          <w:bCs/>
        </w:rPr>
        <w:t xml:space="preserve">. </w:t>
      </w:r>
      <w:r w:rsidR="002E0AC9" w:rsidRPr="002E0AC9">
        <w:t xml:space="preserve">a) Vapor – liquid equilibrium pressures for </w:t>
      </w:r>
      <w:r w:rsidR="00405320">
        <w:t>CH</w:t>
      </w:r>
      <w:r w:rsidR="00405320" w:rsidRPr="00405320">
        <w:rPr>
          <w:vertAlign w:val="subscript"/>
        </w:rPr>
        <w:t>4</w:t>
      </w:r>
      <w:r w:rsidR="002E0AC9" w:rsidRPr="002E0AC9">
        <w:t xml:space="preserve">-rich stream of the LP reboiler (red) and </w:t>
      </w:r>
      <w:r w:rsidR="00405320">
        <w:t>He</w:t>
      </w:r>
      <w:r w:rsidR="002E0AC9" w:rsidRPr="002E0AC9">
        <w:t>-rich stream of the HP condenser (blue)</w:t>
      </w:r>
      <w:r w:rsidR="00405320">
        <w:t xml:space="preserve"> </w:t>
      </w:r>
      <w:r w:rsidR="002E0AC9" w:rsidRPr="002E0AC9">
        <w:t xml:space="preserve">and b) HP condenser </w:t>
      </w:r>
      <w:r w:rsidR="00405320" w:rsidRPr="002E0AC9">
        <w:t xml:space="preserve">and LP reboiler </w:t>
      </w:r>
      <w:r w:rsidR="002E0AC9" w:rsidRPr="002E0AC9">
        <w:t xml:space="preserve">temperature </w:t>
      </w:r>
      <w:r w:rsidR="00405320">
        <w:t>against</w:t>
      </w:r>
      <w:r w:rsidR="002E0AC9" w:rsidRPr="002E0AC9">
        <w:t xml:space="preserve"> light gases feed content.</w:t>
      </w:r>
    </w:p>
    <w:p w14:paraId="5E8A4D11" w14:textId="50588C27" w:rsidR="002E0AC9" w:rsidRPr="002E0AC9" w:rsidRDefault="00C33AA7" w:rsidP="002E0AC9">
      <w:pPr>
        <w:pStyle w:val="CETBodytext"/>
      </w:pPr>
      <w:r>
        <w:t>T</w:t>
      </w:r>
      <w:r w:rsidR="002E0AC9" w:rsidRPr="002E0AC9">
        <w:t xml:space="preserve">he thermal integration </w:t>
      </w:r>
      <w:r>
        <w:t xml:space="preserve">range </w:t>
      </w:r>
      <w:r w:rsidR="002E0AC9" w:rsidRPr="002E0AC9">
        <w:t xml:space="preserve">is reduced </w:t>
      </w:r>
      <w:r w:rsidR="00405320">
        <w:t xml:space="preserve">and </w:t>
      </w:r>
      <w:r w:rsidR="00405320" w:rsidRPr="002E0AC9">
        <w:t xml:space="preserve">shifted towards lower temperatures </w:t>
      </w:r>
      <w:r w:rsidR="002E0AC9" w:rsidRPr="002E0AC9">
        <w:t xml:space="preserve">with respect to </w:t>
      </w:r>
      <w:r>
        <w:t>N</w:t>
      </w:r>
      <w:r w:rsidRPr="00C33AA7">
        <w:rPr>
          <w:vertAlign w:val="subscript"/>
        </w:rPr>
        <w:t>2</w:t>
      </w:r>
      <w:r w:rsidR="002E0AC9" w:rsidRPr="002E0AC9">
        <w:t xml:space="preserve"> rejection, </w:t>
      </w:r>
      <w:r>
        <w:t xml:space="preserve">due to the presence of helium. </w:t>
      </w:r>
      <w:r w:rsidR="002E0AC9" w:rsidRPr="002E0AC9">
        <w:t xml:space="preserve">For pursuing the </w:t>
      </w:r>
      <w:r w:rsidR="003668AD">
        <w:t>auto-</w:t>
      </w:r>
      <w:proofErr w:type="spellStart"/>
      <w:r w:rsidR="003668AD">
        <w:t>thermicity</w:t>
      </w:r>
      <w:proofErr w:type="spellEnd"/>
      <w:r w:rsidR="002E0AC9" w:rsidRPr="002E0AC9">
        <w:t xml:space="preserve">, the </w:t>
      </w:r>
      <w:r>
        <w:t>HP</w:t>
      </w:r>
      <w:r w:rsidR="002E0AC9" w:rsidRPr="002E0AC9">
        <w:t xml:space="preserve"> column must operate at nearly 25 bar, </w:t>
      </w:r>
      <w:r>
        <w:t>while t</w:t>
      </w:r>
      <w:r w:rsidR="002E0AC9" w:rsidRPr="002E0AC9">
        <w:t xml:space="preserve">he operating pressure of the LP column is fixed at about 1.5 bar. </w:t>
      </w:r>
    </w:p>
    <w:p w14:paraId="7ABB6D19" w14:textId="3534616D" w:rsidR="002E0AC9" w:rsidRPr="002E0AC9" w:rsidRDefault="002E0AC9" w:rsidP="002E0AC9">
      <w:pPr>
        <w:pStyle w:val="CETBodytext"/>
      </w:pPr>
      <w:r w:rsidRPr="002E0AC9">
        <w:t xml:space="preserve">A further validation of the heat integration is provided </w:t>
      </w:r>
      <w:r w:rsidR="00405320" w:rsidRPr="002E0AC9">
        <w:t xml:space="preserve">in </w:t>
      </w:r>
      <w:r w:rsidR="00405320">
        <w:fldChar w:fldCharType="begin"/>
      </w:r>
      <w:r w:rsidR="00405320">
        <w:instrText xml:space="preserve"> REF _Ref126339617 \h </w:instrText>
      </w:r>
      <w:r w:rsidR="00405320">
        <w:fldChar w:fldCharType="separate"/>
      </w:r>
      <w:r w:rsidR="00FE1E1E" w:rsidRPr="009E498D">
        <w:rPr>
          <w:bCs/>
        </w:rPr>
        <w:t xml:space="preserve">Figure </w:t>
      </w:r>
      <w:r w:rsidR="00FE1E1E">
        <w:rPr>
          <w:bCs/>
          <w:noProof/>
        </w:rPr>
        <w:t>5</w:t>
      </w:r>
      <w:r w:rsidR="00405320">
        <w:fldChar w:fldCharType="end"/>
      </w:r>
      <w:r w:rsidR="00405320" w:rsidRPr="002E0AC9">
        <w:t>b</w:t>
      </w:r>
      <w:r w:rsidR="00405320">
        <w:t xml:space="preserve">, </w:t>
      </w:r>
      <w:r w:rsidRPr="002E0AC9">
        <w:t xml:space="preserve">considering the </w:t>
      </w:r>
      <w:r w:rsidR="00405320" w:rsidRPr="002E0AC9">
        <w:t xml:space="preserve">reboiler and condenser </w:t>
      </w:r>
      <w:r w:rsidRPr="002E0AC9">
        <w:t>temperature</w:t>
      </w:r>
      <w:r w:rsidR="00405320">
        <w:t>s</w:t>
      </w:r>
      <w:r w:rsidRPr="002E0AC9">
        <w:t xml:space="preserve"> as a function of </w:t>
      </w:r>
      <w:r w:rsidR="001F064D">
        <w:t xml:space="preserve">the </w:t>
      </w:r>
      <w:r w:rsidRPr="002E0AC9">
        <w:t xml:space="preserve">light gases feed content. A higher </w:t>
      </w:r>
      <w:r w:rsidR="00405320">
        <w:t>He+</w:t>
      </w:r>
      <w:r w:rsidR="001F064D">
        <w:t>N</w:t>
      </w:r>
      <w:r w:rsidR="001F064D" w:rsidRPr="001F064D">
        <w:rPr>
          <w:vertAlign w:val="subscript"/>
        </w:rPr>
        <w:t>2</w:t>
      </w:r>
      <w:r w:rsidRPr="002E0AC9">
        <w:t xml:space="preserve"> fraction causes a reduction of </w:t>
      </w:r>
      <w:r w:rsidR="003668AD" w:rsidRPr="002E0AC9">
        <w:t xml:space="preserve">reboiler </w:t>
      </w:r>
      <w:r w:rsidRPr="002E0AC9">
        <w:t>temperature, increasing the temperature approach.</w:t>
      </w:r>
    </w:p>
    <w:p w14:paraId="0A6DDC8C" w14:textId="1FA72FEE" w:rsidR="002E0AC9" w:rsidRPr="002E0AC9" w:rsidRDefault="00405320" w:rsidP="002E0AC9">
      <w:pPr>
        <w:pStyle w:val="CETBodytext"/>
      </w:pPr>
      <w:r>
        <w:t>Made</w:t>
      </w:r>
      <w:r w:rsidR="002E0AC9" w:rsidRPr="002E0AC9">
        <w:t xml:space="preserve"> the </w:t>
      </w:r>
      <w:r>
        <w:t xml:space="preserve">heat </w:t>
      </w:r>
      <w:r w:rsidR="002E0AC9" w:rsidRPr="002E0AC9">
        <w:t xml:space="preserve">integration effective, the </w:t>
      </w:r>
      <w:r w:rsidR="0063673B">
        <w:t>performances of the double colu</w:t>
      </w:r>
      <w:r w:rsidR="001F064D">
        <w:t xml:space="preserve">mn process scheme </w:t>
      </w:r>
      <w:r w:rsidR="002F2022">
        <w:t>can be</w:t>
      </w:r>
      <w:r w:rsidR="001F064D">
        <w:t xml:space="preserve"> assessed.</w:t>
      </w:r>
    </w:p>
    <w:p w14:paraId="46AF713C" w14:textId="6C6D6198" w:rsidR="003668AD" w:rsidRDefault="001F064D" w:rsidP="002E0AC9">
      <w:pPr>
        <w:pStyle w:val="CETBodytext"/>
      </w:pPr>
      <w:r w:rsidRPr="002E0AC9">
        <w:t xml:space="preserve">The number of trays is fixed at 15 – 16 for the </w:t>
      </w:r>
      <w:r w:rsidR="003668AD">
        <w:t>HP</w:t>
      </w:r>
      <w:r w:rsidRPr="002E0AC9">
        <w:t xml:space="preserve"> column and at 13 – 14 for the </w:t>
      </w:r>
      <w:r w:rsidR="003668AD">
        <w:t>LP</w:t>
      </w:r>
      <w:r w:rsidRPr="002E0AC9">
        <w:t xml:space="preserve"> one. </w:t>
      </w:r>
      <w:r>
        <w:t>A</w:t>
      </w:r>
      <w:r w:rsidR="002E0AC9" w:rsidRPr="002E0AC9">
        <w:t xml:space="preserve"> higher number of trays does not improve the </w:t>
      </w:r>
      <w:r w:rsidR="002F2022">
        <w:t>operability</w:t>
      </w:r>
      <w:r w:rsidR="002E0AC9" w:rsidRPr="002E0AC9">
        <w:t xml:space="preserve"> nor significantly affects the purity of the </w:t>
      </w:r>
      <w:r w:rsidR="003668AD">
        <w:t>LP</w:t>
      </w:r>
      <w:r w:rsidR="002E0AC9" w:rsidRPr="002E0AC9">
        <w:t xml:space="preserve"> products. </w:t>
      </w:r>
    </w:p>
    <w:p w14:paraId="0BC1368C" w14:textId="6EB97CB7" w:rsidR="002E0AC9" w:rsidRPr="002E0AC9" w:rsidRDefault="001F064D" w:rsidP="002E0AC9">
      <w:pPr>
        <w:pStyle w:val="CETBodytext"/>
      </w:pPr>
      <w:r>
        <w:lastRenderedPageBreak/>
        <w:fldChar w:fldCharType="begin"/>
      </w:r>
      <w:r>
        <w:instrText xml:space="preserve"> REF _Ref126339924 \h </w:instrText>
      </w:r>
      <w:r>
        <w:fldChar w:fldCharType="separate"/>
      </w:r>
      <w:r w:rsidR="00FE1E1E" w:rsidRPr="009E498D">
        <w:rPr>
          <w:bCs/>
        </w:rPr>
        <w:t xml:space="preserve">Figure </w:t>
      </w:r>
      <w:r w:rsidR="00FE1E1E">
        <w:rPr>
          <w:bCs/>
          <w:noProof/>
        </w:rPr>
        <w:t>6</w:t>
      </w:r>
      <w:r>
        <w:fldChar w:fldCharType="end"/>
      </w:r>
      <w:r w:rsidR="002E0AC9" w:rsidRPr="002E0AC9">
        <w:t xml:space="preserve">a displays the dependence of the </w:t>
      </w:r>
      <w:r w:rsidR="003668AD">
        <w:t>HP</w:t>
      </w:r>
      <w:r w:rsidR="002E0AC9" w:rsidRPr="002E0AC9">
        <w:t xml:space="preserve"> products purity on the inlet </w:t>
      </w:r>
      <w:r w:rsidR="003668AD">
        <w:t>N</w:t>
      </w:r>
      <w:r w:rsidR="003668AD" w:rsidRPr="003668AD">
        <w:rPr>
          <w:vertAlign w:val="subscript"/>
        </w:rPr>
        <w:t>2</w:t>
      </w:r>
      <w:r w:rsidR="002E0AC9" w:rsidRPr="002E0AC9">
        <w:t xml:space="preserve"> content.</w:t>
      </w:r>
    </w:p>
    <w:p w14:paraId="0E5645E5" w14:textId="4456C184" w:rsidR="002E0AC9" w:rsidRPr="002E0AC9" w:rsidRDefault="002E0AC9" w:rsidP="002E0AC9">
      <w:pPr>
        <w:pStyle w:val="CETBodytext"/>
      </w:pPr>
      <w:r w:rsidRPr="002E0AC9">
        <w:t xml:space="preserve">a) </w:t>
      </w:r>
      <w:r w:rsidR="0063673B" w:rsidRPr="00982EF6">
        <w:rPr>
          <w:rFonts w:ascii="Times New Roman" w:hAnsi="Times New Roman"/>
          <w:noProof/>
          <w:sz w:val="24"/>
          <w:lang w:val="en-GB" w:eastAsia="en-GB"/>
        </w:rPr>
        <w:drawing>
          <wp:inline distT="0" distB="0" distL="0" distR="0" wp14:anchorId="47686BA3" wp14:editId="4CEC4776">
            <wp:extent cx="2032089" cy="1800000"/>
            <wp:effectExtent l="0" t="0" r="635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52"/>
                    <a:stretch/>
                  </pic:blipFill>
                  <pic:spPr bwMode="auto">
                    <a:xfrm>
                      <a:off x="0" y="0"/>
                      <a:ext cx="2032089" cy="1800000"/>
                    </a:xfrm>
                    <a:prstGeom prst="rect">
                      <a:avLst/>
                    </a:prstGeom>
                    <a:noFill/>
                    <a:ln>
                      <a:noFill/>
                    </a:ln>
                    <a:extLst>
                      <a:ext uri="{53640926-AAD7-44D8-BBD7-CCE9431645EC}">
                        <a14:shadowObscured xmlns:a14="http://schemas.microsoft.com/office/drawing/2010/main"/>
                      </a:ext>
                    </a:extLst>
                  </pic:spPr>
                </pic:pic>
              </a:graphicData>
            </a:graphic>
          </wp:inline>
        </w:drawing>
      </w:r>
      <w:r w:rsidRPr="002E0AC9">
        <w:t xml:space="preserve"> b)  </w:t>
      </w:r>
      <w:r w:rsidR="0063673B" w:rsidRPr="00DE766A">
        <w:rPr>
          <w:noProof/>
          <w:lang w:val="en-GB" w:eastAsia="en-GB"/>
        </w:rPr>
        <w:drawing>
          <wp:inline distT="0" distB="0" distL="0" distR="0" wp14:anchorId="4F4AC2EA" wp14:editId="6627D3E6">
            <wp:extent cx="2043135" cy="1800000"/>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146"/>
                    <a:stretch/>
                  </pic:blipFill>
                  <pic:spPr bwMode="auto">
                    <a:xfrm>
                      <a:off x="0" y="0"/>
                      <a:ext cx="2043135"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1EC41C0A" w14:textId="211F0C35" w:rsidR="002E0AC9" w:rsidRPr="002E0AC9" w:rsidRDefault="001F064D" w:rsidP="0063673B">
      <w:pPr>
        <w:pStyle w:val="CETCaption"/>
      </w:pPr>
      <w:bookmarkStart w:id="8" w:name="_Ref126339924"/>
      <w:r w:rsidRPr="009E498D">
        <w:rPr>
          <w:bCs/>
        </w:rPr>
        <w:t xml:space="preserve">Figure </w:t>
      </w:r>
      <w:r w:rsidRPr="009E498D">
        <w:rPr>
          <w:bCs/>
        </w:rPr>
        <w:fldChar w:fldCharType="begin"/>
      </w:r>
      <w:r w:rsidRPr="009E498D">
        <w:rPr>
          <w:bCs/>
        </w:rPr>
        <w:instrText xml:space="preserve"> SEQ Figure \* ARABIC \s 2 </w:instrText>
      </w:r>
      <w:r w:rsidRPr="009E498D">
        <w:rPr>
          <w:bCs/>
        </w:rPr>
        <w:fldChar w:fldCharType="separate"/>
      </w:r>
      <w:r w:rsidR="00FE1E1E">
        <w:rPr>
          <w:bCs/>
          <w:noProof/>
        </w:rPr>
        <w:t>6</w:t>
      </w:r>
      <w:r w:rsidRPr="009E498D">
        <w:rPr>
          <w:bCs/>
        </w:rPr>
        <w:fldChar w:fldCharType="end"/>
      </w:r>
      <w:bookmarkEnd w:id="8"/>
      <w:r>
        <w:rPr>
          <w:bCs/>
        </w:rPr>
        <w:t>.</w:t>
      </w:r>
      <w:r w:rsidR="002E0AC9" w:rsidRPr="002E0AC9">
        <w:t xml:space="preserve"> a) Purity of HP column products as a function of N</w:t>
      </w:r>
      <w:r w:rsidR="002E0AC9" w:rsidRPr="002F2022">
        <w:rPr>
          <w:vertAlign w:val="subscript"/>
        </w:rPr>
        <w:t>2</w:t>
      </w:r>
      <w:r w:rsidR="002E0AC9" w:rsidRPr="002E0AC9">
        <w:t xml:space="preserve"> feed content and b) He recovery</w:t>
      </w:r>
      <w:r w:rsidR="005D5D0B">
        <w:t xml:space="preserve">, </w:t>
      </w:r>
      <w:r w:rsidR="002E0AC9" w:rsidRPr="002E0AC9">
        <w:t>CH</w:t>
      </w:r>
      <w:r w:rsidR="002E0AC9" w:rsidRPr="002F2022">
        <w:rPr>
          <w:vertAlign w:val="subscript"/>
        </w:rPr>
        <w:t>4</w:t>
      </w:r>
      <w:r w:rsidR="002E0AC9" w:rsidRPr="002E0AC9">
        <w:t xml:space="preserve"> recovery and purity as a function of light gases feed content.</w:t>
      </w:r>
    </w:p>
    <w:p w14:paraId="1936E12E" w14:textId="2D497BB4" w:rsidR="002E0AC9" w:rsidRPr="002E0AC9" w:rsidRDefault="002E0AC9" w:rsidP="002E0AC9">
      <w:pPr>
        <w:pStyle w:val="CETBodytext"/>
      </w:pPr>
      <w:r w:rsidRPr="002E0AC9">
        <w:t xml:space="preserve">Both streams exhibit a reduction in purity for increasing </w:t>
      </w:r>
      <w:r w:rsidR="003668AD">
        <w:t>N</w:t>
      </w:r>
      <w:r w:rsidR="003668AD" w:rsidRPr="003668AD">
        <w:rPr>
          <w:vertAlign w:val="subscript"/>
        </w:rPr>
        <w:t>2</w:t>
      </w:r>
      <w:r w:rsidRPr="002E0AC9">
        <w:t xml:space="preserve"> contents, with the bottom being more sensitive to the variation of the feed composition. The purity of the reflux largely affects the performances of the LP column</w:t>
      </w:r>
      <w:r w:rsidR="003668AD">
        <w:t>:</w:t>
      </w:r>
      <w:r w:rsidRPr="002E0AC9">
        <w:t xml:space="preserve"> a </w:t>
      </w:r>
      <w:r w:rsidR="003668AD">
        <w:t>CH</w:t>
      </w:r>
      <w:r w:rsidR="003668AD" w:rsidRPr="003668AD">
        <w:rPr>
          <w:vertAlign w:val="subscript"/>
        </w:rPr>
        <w:t>4</w:t>
      </w:r>
      <w:r w:rsidRPr="002E0AC9">
        <w:t xml:space="preserve"> molar fraction </w:t>
      </w:r>
      <w:r w:rsidR="003668AD">
        <w:t>higher than</w:t>
      </w:r>
      <w:r w:rsidRPr="002E0AC9">
        <w:t xml:space="preserve"> 10 mol% </w:t>
      </w:r>
      <w:r w:rsidR="005D5D0B">
        <w:t>prevents</w:t>
      </w:r>
      <w:r w:rsidR="005D5D0B" w:rsidRPr="002E0AC9">
        <w:t xml:space="preserve"> </w:t>
      </w:r>
      <w:r w:rsidRPr="002E0AC9">
        <w:t xml:space="preserve">the </w:t>
      </w:r>
      <w:r w:rsidR="00BA3D07">
        <w:t>N</w:t>
      </w:r>
      <w:r w:rsidR="00BA3D07" w:rsidRPr="003668AD">
        <w:rPr>
          <w:vertAlign w:val="subscript"/>
        </w:rPr>
        <w:t>2</w:t>
      </w:r>
      <w:r w:rsidR="00BA3D07" w:rsidRPr="002E0AC9">
        <w:t xml:space="preserve"> stream </w:t>
      </w:r>
      <w:r w:rsidR="00BA3D07">
        <w:t xml:space="preserve">exiting the LP column </w:t>
      </w:r>
      <w:r w:rsidR="005D5D0B">
        <w:t xml:space="preserve">from reaching </w:t>
      </w:r>
      <w:r w:rsidR="00BA3D07">
        <w:t>the specification</w:t>
      </w:r>
      <w:r w:rsidRPr="002E0AC9">
        <w:t xml:space="preserve">. As the reflux is enriched in nitrogen, a lower molar flowrate is required to achieve the desired purity in the LP products. </w:t>
      </w:r>
      <w:r w:rsidR="00B108F9">
        <w:fldChar w:fldCharType="begin"/>
      </w:r>
      <w:r w:rsidR="00B108F9">
        <w:instrText xml:space="preserve"> REF _Ref126339924 \h </w:instrText>
      </w:r>
      <w:r w:rsidR="00B108F9">
        <w:fldChar w:fldCharType="separate"/>
      </w:r>
      <w:r w:rsidR="00FE1E1E" w:rsidRPr="009E498D">
        <w:rPr>
          <w:bCs/>
        </w:rPr>
        <w:t xml:space="preserve">Figure </w:t>
      </w:r>
      <w:r w:rsidR="00FE1E1E">
        <w:rPr>
          <w:bCs/>
          <w:noProof/>
        </w:rPr>
        <w:t>6</w:t>
      </w:r>
      <w:r w:rsidR="00B108F9">
        <w:fldChar w:fldCharType="end"/>
      </w:r>
      <w:r w:rsidR="00B108F9">
        <w:t xml:space="preserve">b shows </w:t>
      </w:r>
      <w:r w:rsidR="00B108F9" w:rsidRPr="002E0AC9">
        <w:t xml:space="preserve">the </w:t>
      </w:r>
      <w:r w:rsidR="00B108F9">
        <w:t>He and CH</w:t>
      </w:r>
      <w:r w:rsidR="00B108F9" w:rsidRPr="00B108F9">
        <w:rPr>
          <w:vertAlign w:val="subscript"/>
        </w:rPr>
        <w:t>4</w:t>
      </w:r>
      <w:r w:rsidR="00B108F9">
        <w:t xml:space="preserve"> recovery</w:t>
      </w:r>
      <w:r w:rsidR="00BA3D07">
        <w:t xml:space="preserve"> of the whole scheme</w:t>
      </w:r>
      <w:r w:rsidR="00B108F9">
        <w:t>, together with the CH</w:t>
      </w:r>
      <w:r w:rsidR="00B108F9" w:rsidRPr="00B108F9">
        <w:rPr>
          <w:vertAlign w:val="subscript"/>
        </w:rPr>
        <w:t>4</w:t>
      </w:r>
      <w:r w:rsidR="00B108F9">
        <w:t xml:space="preserve"> purity </w:t>
      </w:r>
      <w:r w:rsidR="00B108F9" w:rsidRPr="002E0AC9">
        <w:t>as function of the feed light gases content.</w:t>
      </w:r>
      <w:r w:rsidR="00B108F9">
        <w:t xml:space="preserve"> </w:t>
      </w:r>
      <w:r w:rsidRPr="002E0AC9">
        <w:t>The methane recovery is always near 100%. The relative share between helium and nitrogen impact</w:t>
      </w:r>
      <w:r w:rsidR="00B108F9">
        <w:t>s</w:t>
      </w:r>
      <w:r w:rsidRPr="002E0AC9">
        <w:t xml:space="preserve"> the recovery performances: helium recovery almost uniformly increases with helium-to-light gases ratio and reaches its maximum in correspondence of the highest value (8.91%). When nitrogen is in increasing proportion, a worse recovery is achieved, since more helium remains dissolved in the liquid exiting the HP condenser. </w:t>
      </w:r>
    </w:p>
    <w:p w14:paraId="69694EAA" w14:textId="7819DB91" w:rsidR="002E0AC9" w:rsidRPr="002E0AC9" w:rsidRDefault="002E0AC9" w:rsidP="002E0AC9">
      <w:pPr>
        <w:pStyle w:val="CETBodytext"/>
      </w:pPr>
      <w:r w:rsidRPr="002E0AC9">
        <w:t xml:space="preserve">The residual helium fraction in the nitrogen stream </w:t>
      </w:r>
      <w:r w:rsidR="007E27F4">
        <w:t>is lost</w:t>
      </w:r>
      <w:r w:rsidRPr="002E0AC9">
        <w:t xml:space="preserve"> unless </w:t>
      </w:r>
      <w:r w:rsidR="007E27F4">
        <w:t>a</w:t>
      </w:r>
      <w:r w:rsidRPr="002E0AC9">
        <w:t xml:space="preserve"> </w:t>
      </w:r>
      <w:r w:rsidR="0041666F" w:rsidRPr="002E0AC9">
        <w:t>recovery</w:t>
      </w:r>
      <w:r w:rsidRPr="002E0AC9">
        <w:t xml:space="preserve"> by stripping, rectification or expansion of the reflux </w:t>
      </w:r>
      <w:r w:rsidR="007E27F4">
        <w:t>is performed</w:t>
      </w:r>
      <w:r w:rsidR="00B108F9">
        <w:t xml:space="preserve"> </w:t>
      </w:r>
      <w:r w:rsidRPr="002E0AC9">
        <w:t>(</w:t>
      </w:r>
      <w:proofErr w:type="spellStart"/>
      <w:r w:rsidRPr="002E0AC9">
        <w:t>Haussinger</w:t>
      </w:r>
      <w:proofErr w:type="spellEnd"/>
      <w:r w:rsidRPr="002E0AC9">
        <w:t xml:space="preserve"> et al., 2005). </w:t>
      </w:r>
    </w:p>
    <w:p w14:paraId="68D26B83" w14:textId="77777777" w:rsidR="00600535" w:rsidRPr="00B57B36" w:rsidRDefault="00600535" w:rsidP="00600535">
      <w:pPr>
        <w:pStyle w:val="CETHeading1"/>
        <w:rPr>
          <w:lang w:val="en-GB"/>
        </w:rPr>
      </w:pPr>
      <w:r w:rsidRPr="00B57B36">
        <w:rPr>
          <w:lang w:val="en-GB"/>
        </w:rPr>
        <w:t>Conclusions</w:t>
      </w:r>
    </w:p>
    <w:p w14:paraId="5BC45104" w14:textId="771B84A0" w:rsidR="007E012C" w:rsidRPr="007E012C" w:rsidRDefault="007E012C" w:rsidP="007E012C">
      <w:pPr>
        <w:pStyle w:val="CETBodytext"/>
        <w:rPr>
          <w:lang w:val="en-GB"/>
        </w:rPr>
      </w:pPr>
      <w:r w:rsidRPr="007E012C">
        <w:rPr>
          <w:lang w:val="en-GB"/>
        </w:rPr>
        <w:t>The present work analys</w:t>
      </w:r>
      <w:r w:rsidR="0041666F">
        <w:rPr>
          <w:lang w:val="en-GB"/>
        </w:rPr>
        <w:t>es</w:t>
      </w:r>
      <w:r w:rsidRPr="007E012C">
        <w:rPr>
          <w:lang w:val="en-GB"/>
        </w:rPr>
        <w:t xml:space="preserve"> </w:t>
      </w:r>
      <w:r w:rsidR="0041666F">
        <w:rPr>
          <w:lang w:val="en-GB"/>
        </w:rPr>
        <w:t xml:space="preserve">two different </w:t>
      </w:r>
      <w:r w:rsidRPr="007E012C">
        <w:rPr>
          <w:lang w:val="en-GB"/>
        </w:rPr>
        <w:t>cryogenic helium recovery processes</w:t>
      </w:r>
      <w:r w:rsidR="0041666F">
        <w:rPr>
          <w:lang w:val="en-GB"/>
        </w:rPr>
        <w:t>, i.e., the single column and the double column process scheme</w:t>
      </w:r>
      <w:r w:rsidR="005D5D0B">
        <w:rPr>
          <w:lang w:val="en-GB"/>
        </w:rPr>
        <w:t>s</w:t>
      </w:r>
      <w:r w:rsidR="0041666F">
        <w:rPr>
          <w:lang w:val="en-GB"/>
        </w:rPr>
        <w:t>,</w:t>
      </w:r>
      <w:r w:rsidRPr="007E012C">
        <w:rPr>
          <w:lang w:val="en-GB"/>
        </w:rPr>
        <w:t xml:space="preserve"> </w:t>
      </w:r>
      <w:r w:rsidR="0041666F">
        <w:rPr>
          <w:lang w:val="en-GB"/>
        </w:rPr>
        <w:t>with the aim of making the configuration as energy effective as possible</w:t>
      </w:r>
      <w:r w:rsidR="00FE1E1E">
        <w:rPr>
          <w:lang w:val="en-GB"/>
        </w:rPr>
        <w:t>, thus lightening helium recovery and upgrading section</w:t>
      </w:r>
      <w:r w:rsidR="0041666F">
        <w:rPr>
          <w:lang w:val="en-GB"/>
        </w:rPr>
        <w:t xml:space="preserve">. </w:t>
      </w:r>
    </w:p>
    <w:p w14:paraId="5EDA16EB" w14:textId="253E0929" w:rsidR="007E012C" w:rsidRPr="007E012C" w:rsidRDefault="00FE1E1E" w:rsidP="007E012C">
      <w:pPr>
        <w:pStyle w:val="CETBodytext"/>
        <w:rPr>
          <w:lang w:val="en-GB"/>
        </w:rPr>
      </w:pPr>
      <w:r>
        <w:rPr>
          <w:lang w:val="en-GB"/>
        </w:rPr>
        <w:t xml:space="preserve">In the helium recovery section, </w:t>
      </w:r>
      <w:r w:rsidRPr="007E012C">
        <w:rPr>
          <w:lang w:val="en-GB"/>
        </w:rPr>
        <w:t>pipeline quality natural gas</w:t>
      </w:r>
      <w:r>
        <w:rPr>
          <w:lang w:val="en-GB"/>
        </w:rPr>
        <w:t xml:space="preserve"> with a</w:t>
      </w:r>
      <w:r w:rsidRPr="007E012C">
        <w:rPr>
          <w:lang w:val="en-GB"/>
        </w:rPr>
        <w:t xml:space="preserve"> </w:t>
      </w:r>
      <w:proofErr w:type="spellStart"/>
      <w:r w:rsidRPr="007E012C">
        <w:rPr>
          <w:lang w:val="en-GB"/>
        </w:rPr>
        <w:t>Wobbe</w:t>
      </w:r>
      <w:proofErr w:type="spellEnd"/>
      <w:r w:rsidRPr="007E012C">
        <w:rPr>
          <w:lang w:val="en-GB"/>
        </w:rPr>
        <w:t xml:space="preserve"> index </w:t>
      </w:r>
      <w:r>
        <w:rPr>
          <w:lang w:val="en-GB"/>
        </w:rPr>
        <w:t>higher than</w:t>
      </w:r>
      <w:r w:rsidRPr="007E012C">
        <w:rPr>
          <w:lang w:val="en-GB"/>
        </w:rPr>
        <w:t xml:space="preserve"> 48 MJ/Sm</w:t>
      </w:r>
      <w:r w:rsidRPr="00FE1E1E">
        <w:rPr>
          <w:vertAlign w:val="superscript"/>
          <w:lang w:val="en-GB"/>
        </w:rPr>
        <w:t>3</w:t>
      </w:r>
      <w:r>
        <w:rPr>
          <w:lang w:val="en-GB"/>
        </w:rPr>
        <w:t xml:space="preserve"> is separated from the </w:t>
      </w:r>
      <w:r w:rsidR="007E012C" w:rsidRPr="007E012C">
        <w:rPr>
          <w:lang w:val="en-GB"/>
        </w:rPr>
        <w:t>crude helium vapor stream</w:t>
      </w:r>
      <w:r>
        <w:rPr>
          <w:lang w:val="en-GB"/>
        </w:rPr>
        <w:t>,</w:t>
      </w:r>
      <w:r w:rsidR="007E012C" w:rsidRPr="007E012C">
        <w:rPr>
          <w:lang w:val="en-GB"/>
        </w:rPr>
        <w:t xml:space="preserve"> concentrated at 50 mol%, </w:t>
      </w:r>
      <w:r>
        <w:rPr>
          <w:lang w:val="en-GB"/>
        </w:rPr>
        <w:t>which is further purified in the helium upgrading section</w:t>
      </w:r>
      <w:r w:rsidR="007E012C" w:rsidRPr="007E012C">
        <w:rPr>
          <w:lang w:val="en-GB"/>
        </w:rPr>
        <w:t xml:space="preserve">. </w:t>
      </w:r>
      <w:r>
        <w:rPr>
          <w:lang w:val="en-GB"/>
        </w:rPr>
        <w:t>Different process simulations have been performed through the Aspen HYSYS V11</w:t>
      </w:r>
      <w:r w:rsidRPr="00FE1E1E">
        <w:rPr>
          <w:rFonts w:cs="Arial"/>
          <w:vertAlign w:val="superscript"/>
          <w:lang w:val="en-GB"/>
        </w:rPr>
        <w:t>®</w:t>
      </w:r>
      <w:r>
        <w:rPr>
          <w:lang w:val="en-GB"/>
        </w:rPr>
        <w:t xml:space="preserve"> simulation software, </w:t>
      </w:r>
      <w:r w:rsidR="007E012C" w:rsidRPr="007E012C">
        <w:rPr>
          <w:lang w:val="en-GB"/>
        </w:rPr>
        <w:t xml:space="preserve">to identify the feasibility ranges </w:t>
      </w:r>
      <w:r>
        <w:rPr>
          <w:lang w:val="en-GB"/>
        </w:rPr>
        <w:t>of each configuration</w:t>
      </w:r>
      <w:r w:rsidR="007E012C" w:rsidRPr="007E012C">
        <w:rPr>
          <w:lang w:val="en-GB"/>
        </w:rPr>
        <w:t xml:space="preserve"> </w:t>
      </w:r>
      <w:r>
        <w:rPr>
          <w:lang w:val="en-GB"/>
        </w:rPr>
        <w:t>depending on the</w:t>
      </w:r>
      <w:r w:rsidR="007E012C" w:rsidRPr="007E012C">
        <w:rPr>
          <w:lang w:val="en-GB"/>
        </w:rPr>
        <w:t xml:space="preserve"> inlet gas composition.</w:t>
      </w:r>
      <w:r w:rsidR="00137A31">
        <w:rPr>
          <w:lang w:val="en-GB"/>
        </w:rPr>
        <w:t xml:space="preserve"> When a non-negligible CO</w:t>
      </w:r>
      <w:r w:rsidR="00137A31" w:rsidRPr="00137A31">
        <w:rPr>
          <w:vertAlign w:val="subscript"/>
          <w:lang w:val="en-GB"/>
        </w:rPr>
        <w:t>2</w:t>
      </w:r>
      <w:r w:rsidR="00137A31">
        <w:rPr>
          <w:lang w:val="en-GB"/>
        </w:rPr>
        <w:t xml:space="preserve"> content is available in the feed stream, together with a light gases (N</w:t>
      </w:r>
      <w:r w:rsidR="00137A31" w:rsidRPr="00137A31">
        <w:rPr>
          <w:vertAlign w:val="subscript"/>
          <w:lang w:val="en-GB"/>
        </w:rPr>
        <w:t>2</w:t>
      </w:r>
      <w:r w:rsidR="00137A31">
        <w:rPr>
          <w:lang w:val="en-GB"/>
        </w:rPr>
        <w:t>+He) concentration below 30%, the single column configuration must be applied. In the</w:t>
      </w:r>
      <w:r w:rsidR="00137A31" w:rsidRPr="007E012C">
        <w:rPr>
          <w:lang w:val="en-GB"/>
        </w:rPr>
        <w:t xml:space="preserve"> single column configuration</w:t>
      </w:r>
      <w:r w:rsidR="00137A31">
        <w:rPr>
          <w:lang w:val="en-GB"/>
        </w:rPr>
        <w:t>,</w:t>
      </w:r>
      <w:r w:rsidR="00137A31" w:rsidRPr="007E012C">
        <w:rPr>
          <w:lang w:val="en-GB"/>
        </w:rPr>
        <w:t xml:space="preserve"> CO</w:t>
      </w:r>
      <w:r w:rsidR="00137A31" w:rsidRPr="00137A31">
        <w:rPr>
          <w:vertAlign w:val="subscript"/>
          <w:lang w:val="en-GB"/>
        </w:rPr>
        <w:t>2</w:t>
      </w:r>
      <w:r w:rsidR="00137A31" w:rsidRPr="007E012C">
        <w:rPr>
          <w:lang w:val="en-GB"/>
        </w:rPr>
        <w:t xml:space="preserve"> </w:t>
      </w:r>
      <w:r w:rsidR="00137A31">
        <w:rPr>
          <w:lang w:val="en-GB"/>
        </w:rPr>
        <w:t>inlet content has to be limited to avoid solidification issues. A detailed analysis on the operating conditions which favour solid carbon dioxide formation, based on the proper modelling of the system’s thermodynamics</w:t>
      </w:r>
      <w:r w:rsidR="00983ED4">
        <w:rPr>
          <w:lang w:val="en-GB"/>
        </w:rPr>
        <w:t xml:space="preserve"> (De Guido and Pellegrini, 2021)</w:t>
      </w:r>
      <w:r w:rsidR="00137A31">
        <w:rPr>
          <w:lang w:val="en-GB"/>
        </w:rPr>
        <w:t>, has allowed to assess the maximum CO</w:t>
      </w:r>
      <w:r w:rsidR="00137A31" w:rsidRPr="00137A31">
        <w:rPr>
          <w:vertAlign w:val="subscript"/>
          <w:lang w:val="en-GB"/>
        </w:rPr>
        <w:t>2</w:t>
      </w:r>
      <w:r w:rsidR="00137A31">
        <w:rPr>
          <w:lang w:val="en-GB"/>
        </w:rPr>
        <w:t xml:space="preserve"> content in the feed stream case by case. </w:t>
      </w:r>
      <w:r w:rsidR="00137A31" w:rsidRPr="007E012C">
        <w:rPr>
          <w:lang w:val="en-GB"/>
        </w:rPr>
        <w:t>On the other hand,</w:t>
      </w:r>
      <w:r w:rsidR="00137A31">
        <w:rPr>
          <w:lang w:val="en-GB"/>
        </w:rPr>
        <w:t xml:space="preserve"> the d</w:t>
      </w:r>
      <w:r w:rsidR="007E012C" w:rsidRPr="007E012C">
        <w:rPr>
          <w:lang w:val="en-GB"/>
        </w:rPr>
        <w:t xml:space="preserve">ouble column configuration can tolerate only few ppm of carbon dioxide. </w:t>
      </w:r>
    </w:p>
    <w:p w14:paraId="6FAE216A" w14:textId="4C014F47" w:rsidR="007E012C" w:rsidRPr="007E012C" w:rsidRDefault="00137A31" w:rsidP="007E012C">
      <w:pPr>
        <w:pStyle w:val="CETBodytext"/>
        <w:rPr>
          <w:lang w:val="en-GB"/>
        </w:rPr>
      </w:pPr>
      <w:r>
        <w:rPr>
          <w:lang w:val="en-GB"/>
        </w:rPr>
        <w:fldChar w:fldCharType="begin"/>
      </w:r>
      <w:r>
        <w:rPr>
          <w:lang w:val="en-GB"/>
        </w:rPr>
        <w:instrText xml:space="preserve"> REF _Ref126489363 \h </w:instrText>
      </w:r>
      <w:r>
        <w:rPr>
          <w:lang w:val="en-GB"/>
        </w:rPr>
      </w:r>
      <w:r>
        <w:rPr>
          <w:lang w:val="en-GB"/>
        </w:rPr>
        <w:fldChar w:fldCharType="separate"/>
      </w:r>
      <w:r w:rsidRPr="007E012C">
        <w:rPr>
          <w:bCs/>
        </w:rPr>
        <w:t xml:space="preserve">Figure </w:t>
      </w:r>
      <w:r>
        <w:rPr>
          <w:bCs/>
          <w:noProof/>
        </w:rPr>
        <w:t>7</w:t>
      </w:r>
      <w:r>
        <w:rPr>
          <w:lang w:val="en-GB"/>
        </w:rPr>
        <w:fldChar w:fldCharType="end"/>
      </w:r>
      <w:r>
        <w:rPr>
          <w:lang w:val="en-GB"/>
        </w:rPr>
        <w:t xml:space="preserve"> </w:t>
      </w:r>
      <w:r w:rsidR="007E012C" w:rsidRPr="007E012C">
        <w:rPr>
          <w:lang w:val="en-GB"/>
        </w:rPr>
        <w:t>displays the feasibility range of each configuration as a function of He and N</w:t>
      </w:r>
      <w:r w:rsidR="007E012C" w:rsidRPr="00137A31">
        <w:rPr>
          <w:vertAlign w:val="subscript"/>
          <w:lang w:val="en-GB"/>
        </w:rPr>
        <w:t>2</w:t>
      </w:r>
      <w:r w:rsidR="007E012C" w:rsidRPr="007E012C">
        <w:rPr>
          <w:lang w:val="en-GB"/>
        </w:rPr>
        <w:t xml:space="preserve"> molar content. Since all the simulations </w:t>
      </w:r>
      <w:r w:rsidR="00A94C1B" w:rsidRPr="007E012C">
        <w:rPr>
          <w:lang w:val="en-GB"/>
        </w:rPr>
        <w:t>were</w:t>
      </w:r>
      <w:r w:rsidR="007E012C" w:rsidRPr="007E012C">
        <w:rPr>
          <w:lang w:val="en-GB"/>
        </w:rPr>
        <w:t xml:space="preserve"> performed on </w:t>
      </w:r>
      <w:r>
        <w:rPr>
          <w:lang w:val="en-GB"/>
        </w:rPr>
        <w:t>real</w:t>
      </w:r>
      <w:r w:rsidR="007E012C" w:rsidRPr="007E012C">
        <w:rPr>
          <w:lang w:val="en-GB"/>
        </w:rPr>
        <w:t xml:space="preserve"> helium </w:t>
      </w:r>
      <w:r>
        <w:rPr>
          <w:lang w:val="en-GB"/>
        </w:rPr>
        <w:t>bearing</w:t>
      </w:r>
      <w:r w:rsidR="007E012C" w:rsidRPr="007E012C">
        <w:rPr>
          <w:lang w:val="en-GB"/>
        </w:rPr>
        <w:t xml:space="preserve"> natural gas</w:t>
      </w:r>
      <w:r>
        <w:rPr>
          <w:lang w:val="en-GB"/>
        </w:rPr>
        <w:t>es</w:t>
      </w:r>
      <w:r w:rsidR="007E012C" w:rsidRPr="007E012C">
        <w:rPr>
          <w:lang w:val="en-GB"/>
        </w:rPr>
        <w:t xml:space="preserve">, a brief glance at </w:t>
      </w:r>
      <w:r>
        <w:rPr>
          <w:lang w:val="en-GB"/>
        </w:rPr>
        <w:t>this figure</w:t>
      </w:r>
      <w:r w:rsidR="007E012C" w:rsidRPr="007E012C">
        <w:rPr>
          <w:lang w:val="en-GB"/>
        </w:rPr>
        <w:t xml:space="preserve"> reveals that</w:t>
      </w:r>
      <w:r w:rsidR="00A94C1B">
        <w:rPr>
          <w:lang w:val="en-GB"/>
        </w:rPr>
        <w:t>,</w:t>
      </w:r>
      <w:r w:rsidR="007E012C" w:rsidRPr="007E012C">
        <w:rPr>
          <w:lang w:val="en-GB"/>
        </w:rPr>
        <w:t xml:space="preserve"> typically</w:t>
      </w:r>
      <w:r w:rsidR="00A94C1B">
        <w:rPr>
          <w:lang w:val="en-GB"/>
        </w:rPr>
        <w:t>,</w:t>
      </w:r>
      <w:r w:rsidR="007E012C" w:rsidRPr="007E012C">
        <w:rPr>
          <w:lang w:val="en-GB"/>
        </w:rPr>
        <w:t xml:space="preserve"> helium </w:t>
      </w:r>
      <w:r w:rsidR="00A94C1B">
        <w:rPr>
          <w:lang w:val="en-GB"/>
        </w:rPr>
        <w:t>is less</w:t>
      </w:r>
      <w:r w:rsidR="007E012C" w:rsidRPr="007E012C">
        <w:rPr>
          <w:lang w:val="en-GB"/>
        </w:rPr>
        <w:t xml:space="preserve"> than 10% of the total amount of light gases. </w:t>
      </w:r>
    </w:p>
    <w:p w14:paraId="1AD9DFC8" w14:textId="0F95A0B5" w:rsidR="007E012C" w:rsidRPr="007E012C" w:rsidRDefault="007E012C" w:rsidP="00C018AB">
      <w:pPr>
        <w:pStyle w:val="CETBodytext"/>
        <w:rPr>
          <w:lang w:val="en-GB"/>
        </w:rPr>
      </w:pPr>
      <w:r w:rsidRPr="007E012C">
        <w:rPr>
          <w:lang w:val="en-GB"/>
        </w:rPr>
        <w:t xml:space="preserve">Most of the considered helium – bearing natural gases are within the typical application range of the single-column configuration, as helium contents higher than 2 mol% are quite rare. Above 25 mol% of nitrogen, double column process proves the most advantageous solution, since the nitrogen amount is sufficient to provide the required reflux flowrate for both columns while making the </w:t>
      </w:r>
      <w:r w:rsidR="00A94C1B">
        <w:rPr>
          <w:lang w:val="en-GB"/>
        </w:rPr>
        <w:t>overall configuration auto-thermal</w:t>
      </w:r>
      <w:r w:rsidRPr="007E012C">
        <w:rPr>
          <w:lang w:val="en-GB"/>
        </w:rPr>
        <w:t>.</w:t>
      </w:r>
    </w:p>
    <w:p w14:paraId="52DAFDE0" w14:textId="6EC267F4" w:rsidR="001D0CFB" w:rsidRDefault="007E012C" w:rsidP="007E012C">
      <w:pPr>
        <w:pStyle w:val="CETBodytext"/>
        <w:rPr>
          <w:lang w:val="en-GB"/>
        </w:rPr>
      </w:pPr>
      <w:r w:rsidRPr="007E012C">
        <w:rPr>
          <w:lang w:val="en-GB"/>
        </w:rPr>
        <w:t>In the vicinity of the boundary between the single and the double column configurations, both schemes are applicable, in principle. The choice of the most appropriate one has to be assessed case by case: the single column configuration appears as the most flexible regarding its inlet feed composition, since it can also tolerate the CO</w:t>
      </w:r>
      <w:r w:rsidRPr="004160CF">
        <w:rPr>
          <w:vertAlign w:val="subscript"/>
          <w:lang w:val="en-GB"/>
        </w:rPr>
        <w:t>2</w:t>
      </w:r>
      <w:r w:rsidRPr="007E012C">
        <w:rPr>
          <w:lang w:val="en-GB"/>
        </w:rPr>
        <w:t xml:space="preserve"> presence in the feed stream. On the other hand, the double - column process scheme does not require any external energy for the column top product condensation, being the configuration auto-thermal, at the </w:t>
      </w:r>
      <w:r w:rsidRPr="007E012C">
        <w:rPr>
          <w:lang w:val="en-GB"/>
        </w:rPr>
        <w:lastRenderedPageBreak/>
        <w:t>expenses of a deep CO</w:t>
      </w:r>
      <w:r w:rsidRPr="001C5306">
        <w:rPr>
          <w:vertAlign w:val="subscript"/>
          <w:lang w:val="en-GB"/>
        </w:rPr>
        <w:t>2</w:t>
      </w:r>
      <w:r w:rsidRPr="007E012C">
        <w:rPr>
          <w:lang w:val="en-GB"/>
        </w:rPr>
        <w:t xml:space="preserve"> removal upstream.</w:t>
      </w:r>
      <w:r w:rsidR="004160CF">
        <w:rPr>
          <w:lang w:val="en-GB"/>
        </w:rPr>
        <w:t xml:space="preserve"> In these cases, a more detailed energy balance is needed to identify the most cost-effective helium recovery configuration. </w:t>
      </w:r>
    </w:p>
    <w:p w14:paraId="331AE631" w14:textId="77777777" w:rsidR="00983ED4" w:rsidRDefault="00983ED4" w:rsidP="007E012C">
      <w:pPr>
        <w:pStyle w:val="CETBodytext"/>
        <w:rPr>
          <w:lang w:val="en-GB"/>
        </w:rPr>
      </w:pPr>
    </w:p>
    <w:p w14:paraId="5FF7C16E" w14:textId="524D5D4C" w:rsidR="007E012C" w:rsidRDefault="00035E28" w:rsidP="007E012C">
      <w:pPr>
        <w:pStyle w:val="CETBodytext"/>
        <w:jc w:val="center"/>
        <w:rPr>
          <w:rFonts w:ascii="TimesNewRomanPSMT" w:hAnsi="TimesNewRomanPSMT"/>
          <w:b/>
          <w:bCs/>
          <w:position w:val="-2"/>
          <w:sz w:val="24"/>
          <w:szCs w:val="24"/>
        </w:rPr>
      </w:pPr>
      <w:r w:rsidRPr="009C7C62">
        <w:rPr>
          <w:noProof/>
          <w:lang w:val="en-GB" w:eastAsia="en-GB"/>
        </w:rPr>
        <w:drawing>
          <wp:inline distT="0" distB="0" distL="0" distR="0" wp14:anchorId="7D010B2A" wp14:editId="415180AE">
            <wp:extent cx="4034733" cy="2343150"/>
            <wp:effectExtent l="0" t="0" r="444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59463" cy="2357512"/>
                    </a:xfrm>
                    <a:prstGeom prst="rect">
                      <a:avLst/>
                    </a:prstGeom>
                    <a:noFill/>
                    <a:ln>
                      <a:noFill/>
                    </a:ln>
                  </pic:spPr>
                </pic:pic>
              </a:graphicData>
            </a:graphic>
          </wp:inline>
        </w:drawing>
      </w:r>
    </w:p>
    <w:p w14:paraId="3EC494C8" w14:textId="4D598657" w:rsidR="007E012C" w:rsidRPr="007E012C" w:rsidRDefault="007E012C" w:rsidP="007E012C">
      <w:pPr>
        <w:pStyle w:val="CETCaption"/>
        <w:jc w:val="center"/>
        <w:rPr>
          <w:lang w:bidi="en-US"/>
        </w:rPr>
      </w:pPr>
      <w:bookmarkStart w:id="9" w:name="_Ref126489363"/>
      <w:bookmarkStart w:id="10" w:name="_Toc57795416"/>
      <w:r w:rsidRPr="007E012C">
        <w:rPr>
          <w:bCs/>
        </w:rPr>
        <w:t xml:space="preserve">Figure </w:t>
      </w:r>
      <w:r w:rsidRPr="007E012C">
        <w:rPr>
          <w:bCs/>
        </w:rPr>
        <w:fldChar w:fldCharType="begin"/>
      </w:r>
      <w:r w:rsidRPr="007E012C">
        <w:rPr>
          <w:bCs/>
        </w:rPr>
        <w:instrText xml:space="preserve"> SEQ Figure \* ARABIC \s 2 </w:instrText>
      </w:r>
      <w:r w:rsidRPr="007E012C">
        <w:rPr>
          <w:bCs/>
        </w:rPr>
        <w:fldChar w:fldCharType="separate"/>
      </w:r>
      <w:r w:rsidR="00137A31">
        <w:rPr>
          <w:bCs/>
          <w:noProof/>
        </w:rPr>
        <w:t>7</w:t>
      </w:r>
      <w:r w:rsidRPr="007E012C">
        <w:rPr>
          <w:bCs/>
        </w:rPr>
        <w:fldChar w:fldCharType="end"/>
      </w:r>
      <w:bookmarkEnd w:id="9"/>
      <w:r w:rsidRPr="007E012C">
        <w:rPr>
          <w:bCs/>
        </w:rPr>
        <w:t xml:space="preserve">. </w:t>
      </w:r>
      <w:r w:rsidRPr="007E012C">
        <w:t>Feasibility ranges of process configurations analysed.</w:t>
      </w:r>
      <w:bookmarkEnd w:id="10"/>
    </w:p>
    <w:p w14:paraId="4F1327F8" w14:textId="77777777" w:rsidR="00600535" w:rsidRPr="00B57B36" w:rsidRDefault="00600535" w:rsidP="00600535">
      <w:pPr>
        <w:pStyle w:val="CETReference"/>
      </w:pPr>
      <w:r w:rsidRPr="00B57B36">
        <w:t>References</w:t>
      </w:r>
    </w:p>
    <w:p w14:paraId="3F8BF982" w14:textId="652B4ECE" w:rsidR="00F74168" w:rsidRPr="00F74168" w:rsidRDefault="00F74168" w:rsidP="007E012C">
      <w:pPr>
        <w:pStyle w:val="CETReferencetext"/>
        <w:rPr>
          <w:lang w:val="en-US"/>
        </w:rPr>
      </w:pPr>
      <w:proofErr w:type="spellStart"/>
      <w:r w:rsidRPr="00F74168">
        <w:rPr>
          <w:lang w:val="en-US"/>
        </w:rPr>
        <w:t>AspenTech</w:t>
      </w:r>
      <w:proofErr w:type="spellEnd"/>
      <w:r w:rsidRPr="00F74168">
        <w:rPr>
          <w:lang w:val="en-US"/>
        </w:rPr>
        <w:t>, 201</w:t>
      </w:r>
      <w:r>
        <w:rPr>
          <w:lang w:val="en-US"/>
        </w:rPr>
        <w:t>9</w:t>
      </w:r>
      <w:r w:rsidRPr="00F74168">
        <w:rPr>
          <w:lang w:val="en-US"/>
        </w:rPr>
        <w:t xml:space="preserve">. Aspen </w:t>
      </w:r>
      <w:r w:rsidR="002B1C7C">
        <w:rPr>
          <w:lang w:val="en-US"/>
        </w:rPr>
        <w:t>HYSYS</w:t>
      </w:r>
      <w:r w:rsidRPr="00F74168">
        <w:rPr>
          <w:vertAlign w:val="superscript"/>
          <w:lang w:val="en-US"/>
        </w:rPr>
        <w:t>®</w:t>
      </w:r>
      <w:r w:rsidRPr="00F74168">
        <w:rPr>
          <w:lang w:val="en-US"/>
        </w:rPr>
        <w:t xml:space="preserve">. </w:t>
      </w:r>
      <w:proofErr w:type="spellStart"/>
      <w:r w:rsidRPr="00F74168">
        <w:rPr>
          <w:lang w:val="en-US"/>
        </w:rPr>
        <w:t>AspenTech</w:t>
      </w:r>
      <w:proofErr w:type="spellEnd"/>
      <w:r w:rsidRPr="00F74168">
        <w:rPr>
          <w:lang w:val="en-US"/>
        </w:rPr>
        <w:t>, Burlington (MA), United States.</w:t>
      </w:r>
    </w:p>
    <w:p w14:paraId="6C7EEF08" w14:textId="64DE40BD" w:rsidR="003526AE" w:rsidRPr="003526AE" w:rsidRDefault="003526AE" w:rsidP="003526AE">
      <w:pPr>
        <w:pStyle w:val="CETReferencetext"/>
      </w:pPr>
      <w:r w:rsidRPr="003526AE">
        <w:t>De Guido, G.</w:t>
      </w:r>
      <w:r w:rsidR="00E71985">
        <w:t>,</w:t>
      </w:r>
      <w:r w:rsidRPr="003526AE">
        <w:t xml:space="preserve"> </w:t>
      </w:r>
      <w:proofErr w:type="spellStart"/>
      <w:r w:rsidRPr="003526AE">
        <w:t>Messinetti</w:t>
      </w:r>
      <w:proofErr w:type="spellEnd"/>
      <w:r w:rsidRPr="003526AE">
        <w:t>, F.</w:t>
      </w:r>
      <w:r w:rsidR="00E71985">
        <w:t>,</w:t>
      </w:r>
      <w:r w:rsidRPr="003526AE">
        <w:t xml:space="preserve"> Spatolisano, E., 2019, Cryogenic Nitrogen Rejection Schemes: Analysis of Their Tolerance to CO</w:t>
      </w:r>
      <w:r w:rsidRPr="003526AE">
        <w:rPr>
          <w:vertAlign w:val="subscript"/>
        </w:rPr>
        <w:t>2</w:t>
      </w:r>
      <w:r w:rsidRPr="003526AE">
        <w:t>. Industrial &amp; Engineering Chemistry Research, 5</w:t>
      </w:r>
      <w:r>
        <w:t>8, 37</w:t>
      </w:r>
      <w:r w:rsidRPr="003526AE">
        <w:t>, 17475-17488.</w:t>
      </w:r>
    </w:p>
    <w:p w14:paraId="55CD42E2" w14:textId="207B63B2" w:rsidR="00E71985" w:rsidRDefault="00E71985" w:rsidP="00E71985">
      <w:pPr>
        <w:pStyle w:val="CETReferencetext"/>
      </w:pPr>
      <w:r w:rsidRPr="003526AE">
        <w:t>De Guido, G.</w:t>
      </w:r>
      <w:r>
        <w:t xml:space="preserve">, Spatolisano, E., 2021, </w:t>
      </w:r>
      <w:r w:rsidRPr="00E71985">
        <w:t>Simultaneous Multiphase Flash and Stability Analysis Calculations Including Solid CO</w:t>
      </w:r>
      <w:r w:rsidRPr="00E71985">
        <w:rPr>
          <w:vertAlign w:val="subscript"/>
        </w:rPr>
        <w:t>2</w:t>
      </w:r>
      <w:r w:rsidRPr="00E71985">
        <w:t xml:space="preserve"> for CO</w:t>
      </w:r>
      <w:r w:rsidRPr="00E71985">
        <w:rPr>
          <w:vertAlign w:val="subscript"/>
        </w:rPr>
        <w:t>2</w:t>
      </w:r>
      <w:r w:rsidRPr="00E71985">
        <w:t>–CH</w:t>
      </w:r>
      <w:r w:rsidRPr="00E71985">
        <w:rPr>
          <w:vertAlign w:val="subscript"/>
        </w:rPr>
        <w:t>4</w:t>
      </w:r>
      <w:r w:rsidRPr="00E71985">
        <w:t>, CO</w:t>
      </w:r>
      <w:r w:rsidRPr="00E71985">
        <w:rPr>
          <w:vertAlign w:val="subscript"/>
        </w:rPr>
        <w:t>2</w:t>
      </w:r>
      <w:r w:rsidRPr="00E71985">
        <w:t>–CH</w:t>
      </w:r>
      <w:r w:rsidRPr="00E71985">
        <w:rPr>
          <w:vertAlign w:val="subscript"/>
        </w:rPr>
        <w:t>4</w:t>
      </w:r>
      <w:r w:rsidRPr="00E71985">
        <w:t>–N</w:t>
      </w:r>
      <w:r w:rsidRPr="00E71985">
        <w:rPr>
          <w:vertAlign w:val="subscript"/>
        </w:rPr>
        <w:t>2</w:t>
      </w:r>
      <w:r w:rsidRPr="00E71985">
        <w:t>, and CO</w:t>
      </w:r>
      <w:r w:rsidRPr="00E71985">
        <w:rPr>
          <w:vertAlign w:val="subscript"/>
        </w:rPr>
        <w:t>2</w:t>
      </w:r>
      <w:r w:rsidRPr="00E71985">
        <w:t>–CH</w:t>
      </w:r>
      <w:r w:rsidRPr="00E71985">
        <w:rPr>
          <w:vertAlign w:val="subscript"/>
        </w:rPr>
        <w:t>4</w:t>
      </w:r>
      <w:r w:rsidRPr="00E71985">
        <w:t>–N</w:t>
      </w:r>
      <w:r w:rsidRPr="00E71985">
        <w:rPr>
          <w:vertAlign w:val="subscript"/>
        </w:rPr>
        <w:t>2</w:t>
      </w:r>
      <w:r w:rsidRPr="00E71985">
        <w:t>–O</w:t>
      </w:r>
      <w:r w:rsidRPr="00E71985">
        <w:rPr>
          <w:vertAlign w:val="subscript"/>
        </w:rPr>
        <w:t>2</w:t>
      </w:r>
      <w:r w:rsidRPr="00E71985">
        <w:t xml:space="preserve"> Mixtures</w:t>
      </w:r>
      <w:r>
        <w:t xml:space="preserve">. </w:t>
      </w:r>
      <w:r w:rsidRPr="008B6398">
        <w:t>Journal of Chemical &amp; Engineering Data 66</w:t>
      </w:r>
      <w:r w:rsidR="00D77600">
        <w:t xml:space="preserve">, </w:t>
      </w:r>
      <w:r w:rsidRPr="008B6398">
        <w:t>11, 41</w:t>
      </w:r>
      <w:r>
        <w:t>32</w:t>
      </w:r>
      <w:r w:rsidRPr="008B6398">
        <w:t>–41</w:t>
      </w:r>
      <w:r>
        <w:t>47</w:t>
      </w:r>
      <w:r w:rsidRPr="008B6398">
        <w:t>.</w:t>
      </w:r>
    </w:p>
    <w:p w14:paraId="01E35630" w14:textId="6FD4505C" w:rsidR="00983ED4" w:rsidRDefault="00983ED4" w:rsidP="007E012C">
      <w:pPr>
        <w:pStyle w:val="CETReferencetext"/>
      </w:pPr>
      <w:r w:rsidRPr="00B91FB3">
        <w:t xml:space="preserve">De Guido, G., Pellegrini, L. A., 2022. </w:t>
      </w:r>
      <w:r w:rsidRPr="00983ED4">
        <w:t>Calculation of solid-vapor equilibria for cryogenic carbon capture. Computers &amp; Chemical Engineering, 156, 107569.</w:t>
      </w:r>
    </w:p>
    <w:p w14:paraId="68A9E9C8" w14:textId="27C035FE" w:rsidR="00983ED4" w:rsidRPr="00983ED4" w:rsidRDefault="00983ED4" w:rsidP="00983ED4">
      <w:pPr>
        <w:pStyle w:val="CETReferencetext"/>
      </w:pPr>
      <w:r w:rsidRPr="00B91FB3">
        <w:t xml:space="preserve">De Guido, G., Pellegrini, L. A., 2021. </w:t>
      </w:r>
      <w:r w:rsidRPr="00983ED4">
        <w:t>Phase equilibria analysis in the presence of solid carbon dioxide. Chemical Engineering Transactions, 86, 1261-1266.</w:t>
      </w:r>
    </w:p>
    <w:p w14:paraId="5149A88A" w14:textId="5EB76817" w:rsidR="006B4888" w:rsidRDefault="007E012C" w:rsidP="007E012C">
      <w:pPr>
        <w:pStyle w:val="CETReferencetext"/>
      </w:pPr>
      <w:proofErr w:type="spellStart"/>
      <w:r w:rsidRPr="007E012C">
        <w:t>Grynia</w:t>
      </w:r>
      <w:proofErr w:type="spellEnd"/>
      <w:r w:rsidRPr="007E012C">
        <w:t>, E.</w:t>
      </w:r>
      <w:r>
        <w:t>,</w:t>
      </w:r>
      <w:r w:rsidRPr="007E012C">
        <w:t xml:space="preserve"> Griffin, P. J., 2016</w:t>
      </w:r>
      <w:r>
        <w:t xml:space="preserve">, </w:t>
      </w:r>
      <w:r w:rsidRPr="007E012C">
        <w:t xml:space="preserve">Helium in Natural Gas - Occurrence and Production. The Journal </w:t>
      </w:r>
      <w:r w:rsidR="00D77600">
        <w:t xml:space="preserve">of Natural Gas Engineering, 1, </w:t>
      </w:r>
      <w:r w:rsidRPr="007E012C">
        <w:t>2, 163-215.</w:t>
      </w:r>
    </w:p>
    <w:p w14:paraId="442F7839" w14:textId="72001297" w:rsidR="00F74168" w:rsidRDefault="00F74168" w:rsidP="007E012C">
      <w:pPr>
        <w:pStyle w:val="CETReferencetext"/>
      </w:pPr>
      <w:proofErr w:type="spellStart"/>
      <w:r w:rsidRPr="00F74168">
        <w:t>Hamedi</w:t>
      </w:r>
      <w:proofErr w:type="spellEnd"/>
      <w:r w:rsidRPr="00F74168">
        <w:t xml:space="preserve">, H., Karimi, I.A., </w:t>
      </w:r>
      <w:proofErr w:type="spellStart"/>
      <w:r w:rsidRPr="00F74168">
        <w:t>Gundersend</w:t>
      </w:r>
      <w:proofErr w:type="spellEnd"/>
      <w:r w:rsidRPr="00F74168">
        <w:t>, T., 2019, Optimization of helium extraction processes integrated with nitrogen removal units: A comparative study. Computers and Chemical Engineering 121, 354-366.</w:t>
      </w:r>
    </w:p>
    <w:p w14:paraId="1CF654B1" w14:textId="03218B2F" w:rsidR="007D470E" w:rsidRDefault="007D470E" w:rsidP="007E012C">
      <w:pPr>
        <w:pStyle w:val="CETReferencetext"/>
      </w:pPr>
      <w:proofErr w:type="spellStart"/>
      <w:r w:rsidRPr="007D470E">
        <w:t>Haussinger</w:t>
      </w:r>
      <w:proofErr w:type="spellEnd"/>
      <w:r w:rsidRPr="007D470E">
        <w:t xml:space="preserve">, P. G., R.; Rhode, W.; Kick, H.; </w:t>
      </w:r>
      <w:proofErr w:type="spellStart"/>
      <w:r w:rsidRPr="007D470E">
        <w:t>Benkmann</w:t>
      </w:r>
      <w:proofErr w:type="spellEnd"/>
      <w:r w:rsidRPr="007D470E">
        <w:t xml:space="preserve">, C.; Weber, J.; </w:t>
      </w:r>
      <w:proofErr w:type="spellStart"/>
      <w:r w:rsidRPr="007D470E">
        <w:t>Wunschel</w:t>
      </w:r>
      <w:proofErr w:type="spellEnd"/>
      <w:r w:rsidRPr="007D470E">
        <w:t xml:space="preserve">, H.-J.; </w:t>
      </w:r>
      <w:proofErr w:type="spellStart"/>
      <w:r w:rsidRPr="007D470E">
        <w:t>Stenke</w:t>
      </w:r>
      <w:proofErr w:type="spellEnd"/>
      <w:r w:rsidRPr="007D470E">
        <w:t xml:space="preserve">, V.; </w:t>
      </w:r>
      <w:proofErr w:type="spellStart"/>
      <w:r w:rsidRPr="007D470E">
        <w:t>Leicht</w:t>
      </w:r>
      <w:proofErr w:type="spellEnd"/>
      <w:r w:rsidRPr="007D470E">
        <w:t xml:space="preserve">, E.; Stenger, H. N., Noble Gases. In Ullmann's </w:t>
      </w:r>
      <w:proofErr w:type="spellStart"/>
      <w:r w:rsidRPr="007D470E">
        <w:t>encyclopedia</w:t>
      </w:r>
      <w:proofErr w:type="spellEnd"/>
      <w:r w:rsidRPr="007D470E">
        <w:t xml:space="preserve"> of industrial chemistry, John Wiley and Sons: Hoboken, N., USA, 2011, Ed. 2005.</w:t>
      </w:r>
    </w:p>
    <w:p w14:paraId="68F621F7" w14:textId="45CBB6F1" w:rsidR="00983ED4" w:rsidRDefault="00983ED4" w:rsidP="007E012C">
      <w:pPr>
        <w:pStyle w:val="CETReferencetext"/>
      </w:pPr>
      <w:r w:rsidRPr="00983ED4">
        <w:rPr>
          <w:lang w:val="it-IT"/>
        </w:rPr>
        <w:t>Pe</w:t>
      </w:r>
      <w:r>
        <w:rPr>
          <w:lang w:val="it-IT"/>
        </w:rPr>
        <w:t>llegrini, L. A., De Guido, G., Ingrosso, S., 2020</w:t>
      </w:r>
      <w:r w:rsidRPr="00983ED4">
        <w:rPr>
          <w:lang w:val="it-IT"/>
        </w:rPr>
        <w:t xml:space="preserve">. </w:t>
      </w:r>
      <w:r w:rsidRPr="00983ED4">
        <w:t>Thermodynamic framework for cryogenic carbon capture. In Computer Aided Chemical Engineer</w:t>
      </w:r>
      <w:r>
        <w:t>ing,</w:t>
      </w:r>
      <w:r w:rsidRPr="00983ED4">
        <w:t xml:space="preserve"> 48, 475-480. </w:t>
      </w:r>
    </w:p>
    <w:p w14:paraId="5973312C" w14:textId="6A15FF75" w:rsidR="007E012C" w:rsidRDefault="00842675" w:rsidP="007E012C">
      <w:pPr>
        <w:pStyle w:val="CETReferencetext"/>
      </w:pPr>
      <w:r w:rsidRPr="00842675">
        <w:t>Rufford, T. E.</w:t>
      </w:r>
      <w:r>
        <w:t>,</w:t>
      </w:r>
      <w:r w:rsidRPr="00842675">
        <w:t xml:space="preserve"> Smart, S.</w:t>
      </w:r>
      <w:r>
        <w:t>,</w:t>
      </w:r>
      <w:r w:rsidRPr="00842675">
        <w:t xml:space="preserve"> Watson, G. C.</w:t>
      </w:r>
      <w:r>
        <w:t>,</w:t>
      </w:r>
      <w:r w:rsidRPr="00842675">
        <w:t xml:space="preserve"> Graham, B.</w:t>
      </w:r>
      <w:r>
        <w:t>,</w:t>
      </w:r>
      <w:r w:rsidRPr="00842675">
        <w:t xml:space="preserve"> Boxall, J.</w:t>
      </w:r>
      <w:r>
        <w:t>,</w:t>
      </w:r>
      <w:r w:rsidRPr="00842675">
        <w:t xml:space="preserve"> Da Costa, J. D.</w:t>
      </w:r>
      <w:r>
        <w:t>,</w:t>
      </w:r>
      <w:r w:rsidRPr="00842675">
        <w:t xml:space="preserve"> May, E., </w:t>
      </w:r>
      <w:r>
        <w:t xml:space="preserve">2012. </w:t>
      </w:r>
      <w:r w:rsidRPr="00842675">
        <w:t>The removal of CO</w:t>
      </w:r>
      <w:r w:rsidRPr="00842675">
        <w:rPr>
          <w:vertAlign w:val="subscript"/>
        </w:rPr>
        <w:t>2</w:t>
      </w:r>
      <w:r w:rsidRPr="00842675">
        <w:t xml:space="preserve"> and N</w:t>
      </w:r>
      <w:r w:rsidRPr="00842675">
        <w:rPr>
          <w:vertAlign w:val="subscript"/>
        </w:rPr>
        <w:t>2</w:t>
      </w:r>
      <w:r w:rsidRPr="00842675">
        <w:t xml:space="preserve"> from natural gas: A review of conventional and emerging process technologies. Journal of Petroleum Science and Engineering, 94, 123-154.</w:t>
      </w:r>
    </w:p>
    <w:p w14:paraId="3AAC8C49" w14:textId="72ED5F26" w:rsidR="0086269C" w:rsidRDefault="0086269C" w:rsidP="00AC611C">
      <w:pPr>
        <w:pStyle w:val="CETReferencetext"/>
      </w:pPr>
      <w:r w:rsidRPr="0086269C">
        <w:t>Rufford, E.T., Chan, K.I., Huang, S.H., May, E.F., 2014. A Review of Conventional and Emerging Process Technologies for the Recovery of Helium from Natural Gas. Adsorption Science &amp; Technology 32, 49-72.</w:t>
      </w:r>
    </w:p>
    <w:p w14:paraId="35870FE5" w14:textId="5E949D30" w:rsidR="00AC611C" w:rsidRPr="00806C02" w:rsidRDefault="00AC611C" w:rsidP="00AC611C">
      <w:pPr>
        <w:pStyle w:val="CETReferencetext"/>
      </w:pPr>
      <w:r w:rsidRPr="00806C02">
        <w:t>Spatolisano, E., Pellegrini, L.A., 2021</w:t>
      </w:r>
      <w:r>
        <w:t>a</w:t>
      </w:r>
      <w:r w:rsidRPr="00806C02">
        <w:t>, CO</w:t>
      </w:r>
      <w:r w:rsidRPr="00806C02">
        <w:rPr>
          <w:vertAlign w:val="subscript"/>
        </w:rPr>
        <w:t>2</w:t>
      </w:r>
      <w:r w:rsidRPr="00806C02">
        <w:t>-tolerant cryogenic nitrogen rejection schemes: an</w:t>
      </w:r>
      <w:r>
        <w:t xml:space="preserve">alysis of their performances. </w:t>
      </w:r>
      <w:r w:rsidRPr="003526AE">
        <w:t xml:space="preserve">Industrial &amp; Engineering Chemistry Research, </w:t>
      </w:r>
      <w:r>
        <w:t>60, 11</w:t>
      </w:r>
      <w:r w:rsidRPr="003526AE">
        <w:t xml:space="preserve">, </w:t>
      </w:r>
      <w:r>
        <w:t>4420</w:t>
      </w:r>
      <w:r w:rsidRPr="003526AE">
        <w:t>-</w:t>
      </w:r>
      <w:r>
        <w:t>4429.</w:t>
      </w:r>
    </w:p>
    <w:p w14:paraId="19C4FC68" w14:textId="2636FF17" w:rsidR="004628D2" w:rsidRPr="00806C02" w:rsidRDefault="008B6398" w:rsidP="00983ED4">
      <w:pPr>
        <w:pStyle w:val="CETReferencetext"/>
      </w:pPr>
      <w:r w:rsidRPr="008B6398">
        <w:t>Spatolisano E., Pellegrini L.A., 2021</w:t>
      </w:r>
      <w:r w:rsidR="00AC611C">
        <w:t>b</w:t>
      </w:r>
      <w:r w:rsidRPr="008B6398">
        <w:t>, Solid – Liquid – Vapor Equilibrium prediction for typical helium - bearing natural gas mixtures. Journal of Chemical &amp; Engineering Data</w:t>
      </w:r>
      <w:r w:rsidR="00D77600">
        <w:t>,</w:t>
      </w:r>
      <w:r w:rsidRPr="008B6398">
        <w:t xml:space="preserve"> 66</w:t>
      </w:r>
      <w:r w:rsidR="00D77600">
        <w:t xml:space="preserve">, </w:t>
      </w:r>
      <w:r w:rsidRPr="008B6398">
        <w:t>11, 4122–4131.</w:t>
      </w:r>
    </w:p>
    <w:sectPr w:rsidR="004628D2" w:rsidRPr="00806C0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AE80" w14:textId="77777777" w:rsidR="00553700" w:rsidRDefault="00553700" w:rsidP="004F5E36">
      <w:r>
        <w:separator/>
      </w:r>
    </w:p>
  </w:endnote>
  <w:endnote w:type="continuationSeparator" w:id="0">
    <w:p w14:paraId="4C471BD8" w14:textId="77777777" w:rsidR="00553700" w:rsidRDefault="0055370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AA13" w14:textId="77777777" w:rsidR="00553700" w:rsidRDefault="00553700" w:rsidP="004F5E36">
      <w:r>
        <w:separator/>
      </w:r>
    </w:p>
  </w:footnote>
  <w:footnote w:type="continuationSeparator" w:id="0">
    <w:p w14:paraId="03C6B327" w14:textId="77777777" w:rsidR="00553700" w:rsidRDefault="0055370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D057097"/>
    <w:multiLevelType w:val="hybridMultilevel"/>
    <w:tmpl w:val="4A52A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135"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3341BE5"/>
    <w:multiLevelType w:val="hybridMultilevel"/>
    <w:tmpl w:val="32A6937C"/>
    <w:lvl w:ilvl="0" w:tplc="09E2808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2"/>
  </w:num>
  <w:num w:numId="18">
    <w:abstractNumId w:val="14"/>
    <w:lvlOverride w:ilvl="0">
      <w:startOverride w:val="1"/>
    </w:lvlOverride>
  </w:num>
  <w:num w:numId="19">
    <w:abstractNumId w:val="18"/>
  </w:num>
  <w:num w:numId="20">
    <w:abstractNumId w:val="17"/>
  </w:num>
  <w:num w:numId="21">
    <w:abstractNumId w:val="16"/>
  </w:num>
  <w:num w:numId="22">
    <w:abstractNumId w:val="15"/>
  </w:num>
  <w:num w:numId="23">
    <w:abstractNumId w:val="11"/>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5E28"/>
    <w:rsid w:val="00051566"/>
    <w:rsid w:val="000562A9"/>
    <w:rsid w:val="00062A9A"/>
    <w:rsid w:val="00065058"/>
    <w:rsid w:val="00076639"/>
    <w:rsid w:val="00086C39"/>
    <w:rsid w:val="000A03B2"/>
    <w:rsid w:val="000A50AF"/>
    <w:rsid w:val="000D0268"/>
    <w:rsid w:val="000D34BE"/>
    <w:rsid w:val="000E102F"/>
    <w:rsid w:val="000E36F1"/>
    <w:rsid w:val="000E3A73"/>
    <w:rsid w:val="000E414A"/>
    <w:rsid w:val="000F093C"/>
    <w:rsid w:val="000F09B8"/>
    <w:rsid w:val="000F787B"/>
    <w:rsid w:val="001063A9"/>
    <w:rsid w:val="0012091F"/>
    <w:rsid w:val="00126BC2"/>
    <w:rsid w:val="001308B6"/>
    <w:rsid w:val="0013121F"/>
    <w:rsid w:val="00131FE6"/>
    <w:rsid w:val="0013263F"/>
    <w:rsid w:val="001331DF"/>
    <w:rsid w:val="00134DE4"/>
    <w:rsid w:val="00136207"/>
    <w:rsid w:val="00137A31"/>
    <w:rsid w:val="0014034D"/>
    <w:rsid w:val="00144D16"/>
    <w:rsid w:val="00150E59"/>
    <w:rsid w:val="00152DE3"/>
    <w:rsid w:val="00164CF9"/>
    <w:rsid w:val="001667A6"/>
    <w:rsid w:val="00184AD6"/>
    <w:rsid w:val="001A4AF7"/>
    <w:rsid w:val="001B0349"/>
    <w:rsid w:val="001B1E93"/>
    <w:rsid w:val="001B65C1"/>
    <w:rsid w:val="001C5306"/>
    <w:rsid w:val="001C684B"/>
    <w:rsid w:val="001D0CFB"/>
    <w:rsid w:val="001D21AF"/>
    <w:rsid w:val="001D53FC"/>
    <w:rsid w:val="001E1800"/>
    <w:rsid w:val="001F064D"/>
    <w:rsid w:val="001F42A5"/>
    <w:rsid w:val="001F7B9D"/>
    <w:rsid w:val="00201C93"/>
    <w:rsid w:val="00207F7D"/>
    <w:rsid w:val="002151DD"/>
    <w:rsid w:val="002224B4"/>
    <w:rsid w:val="002447EF"/>
    <w:rsid w:val="00251550"/>
    <w:rsid w:val="00263B05"/>
    <w:rsid w:val="0027221A"/>
    <w:rsid w:val="00275B61"/>
    <w:rsid w:val="002771E4"/>
    <w:rsid w:val="00280FAF"/>
    <w:rsid w:val="00282656"/>
    <w:rsid w:val="00296B83"/>
    <w:rsid w:val="002B1C7C"/>
    <w:rsid w:val="002B4015"/>
    <w:rsid w:val="002B78CE"/>
    <w:rsid w:val="002C2FB6"/>
    <w:rsid w:val="002D408E"/>
    <w:rsid w:val="002E0AC9"/>
    <w:rsid w:val="002E5FA7"/>
    <w:rsid w:val="002F2022"/>
    <w:rsid w:val="002F3309"/>
    <w:rsid w:val="003008CE"/>
    <w:rsid w:val="003009B7"/>
    <w:rsid w:val="00300E56"/>
    <w:rsid w:val="0030152C"/>
    <w:rsid w:val="0030469C"/>
    <w:rsid w:val="00321CA6"/>
    <w:rsid w:val="00323763"/>
    <w:rsid w:val="00323C5F"/>
    <w:rsid w:val="00334C09"/>
    <w:rsid w:val="003526AE"/>
    <w:rsid w:val="003668AD"/>
    <w:rsid w:val="003723D4"/>
    <w:rsid w:val="00372596"/>
    <w:rsid w:val="00381905"/>
    <w:rsid w:val="00384CC8"/>
    <w:rsid w:val="003871FD"/>
    <w:rsid w:val="003A1E30"/>
    <w:rsid w:val="003A2829"/>
    <w:rsid w:val="003A7D1C"/>
    <w:rsid w:val="003B304B"/>
    <w:rsid w:val="003B3146"/>
    <w:rsid w:val="003F015E"/>
    <w:rsid w:val="00400414"/>
    <w:rsid w:val="00405320"/>
    <w:rsid w:val="00405B78"/>
    <w:rsid w:val="0041446B"/>
    <w:rsid w:val="004160CF"/>
    <w:rsid w:val="0041666F"/>
    <w:rsid w:val="0044071E"/>
    <w:rsid w:val="0044329C"/>
    <w:rsid w:val="00453E24"/>
    <w:rsid w:val="00457456"/>
    <w:rsid w:val="004577FE"/>
    <w:rsid w:val="00457B9C"/>
    <w:rsid w:val="0046164A"/>
    <w:rsid w:val="004628D2"/>
    <w:rsid w:val="00462DCD"/>
    <w:rsid w:val="004648AD"/>
    <w:rsid w:val="004703A9"/>
    <w:rsid w:val="004760DE"/>
    <w:rsid w:val="004763D7"/>
    <w:rsid w:val="0048135E"/>
    <w:rsid w:val="00497E19"/>
    <w:rsid w:val="004A004E"/>
    <w:rsid w:val="004A24CF"/>
    <w:rsid w:val="004C3D1D"/>
    <w:rsid w:val="004C3D84"/>
    <w:rsid w:val="004C5598"/>
    <w:rsid w:val="004C7913"/>
    <w:rsid w:val="004E4DD6"/>
    <w:rsid w:val="004F5E36"/>
    <w:rsid w:val="005078EF"/>
    <w:rsid w:val="00507B47"/>
    <w:rsid w:val="00507BEF"/>
    <w:rsid w:val="00507CC9"/>
    <w:rsid w:val="005119A5"/>
    <w:rsid w:val="005122E8"/>
    <w:rsid w:val="005278B7"/>
    <w:rsid w:val="00532016"/>
    <w:rsid w:val="005346C8"/>
    <w:rsid w:val="00543E7D"/>
    <w:rsid w:val="00547A68"/>
    <w:rsid w:val="005531C9"/>
    <w:rsid w:val="00553700"/>
    <w:rsid w:val="005619A4"/>
    <w:rsid w:val="00570C43"/>
    <w:rsid w:val="00575283"/>
    <w:rsid w:val="0059087A"/>
    <w:rsid w:val="005B2110"/>
    <w:rsid w:val="005B61E6"/>
    <w:rsid w:val="005C77E1"/>
    <w:rsid w:val="005D5D0B"/>
    <w:rsid w:val="005D668A"/>
    <w:rsid w:val="005D6A2F"/>
    <w:rsid w:val="005E1A82"/>
    <w:rsid w:val="005E794C"/>
    <w:rsid w:val="005F0A28"/>
    <w:rsid w:val="005F0E5E"/>
    <w:rsid w:val="00600535"/>
    <w:rsid w:val="00610CD6"/>
    <w:rsid w:val="00620DEE"/>
    <w:rsid w:val="00621F92"/>
    <w:rsid w:val="0062280A"/>
    <w:rsid w:val="00625639"/>
    <w:rsid w:val="00631B33"/>
    <w:rsid w:val="0063673B"/>
    <w:rsid w:val="0064184D"/>
    <w:rsid w:val="006422CC"/>
    <w:rsid w:val="0064301D"/>
    <w:rsid w:val="00660E3E"/>
    <w:rsid w:val="00662E74"/>
    <w:rsid w:val="00680C23"/>
    <w:rsid w:val="00693766"/>
    <w:rsid w:val="006A3281"/>
    <w:rsid w:val="006B4888"/>
    <w:rsid w:val="006C2E45"/>
    <w:rsid w:val="006C359C"/>
    <w:rsid w:val="006C5579"/>
    <w:rsid w:val="006D6E8B"/>
    <w:rsid w:val="006E737D"/>
    <w:rsid w:val="006E75C1"/>
    <w:rsid w:val="0070541B"/>
    <w:rsid w:val="00713973"/>
    <w:rsid w:val="0071504C"/>
    <w:rsid w:val="00716EA8"/>
    <w:rsid w:val="00720025"/>
    <w:rsid w:val="00720A24"/>
    <w:rsid w:val="00732386"/>
    <w:rsid w:val="0073514D"/>
    <w:rsid w:val="00736A8E"/>
    <w:rsid w:val="007447F3"/>
    <w:rsid w:val="0075499F"/>
    <w:rsid w:val="007660DB"/>
    <w:rsid w:val="007661C8"/>
    <w:rsid w:val="0077098D"/>
    <w:rsid w:val="007931FA"/>
    <w:rsid w:val="007A4861"/>
    <w:rsid w:val="007A7BBA"/>
    <w:rsid w:val="007B0C50"/>
    <w:rsid w:val="007B3F02"/>
    <w:rsid w:val="007B48F9"/>
    <w:rsid w:val="007C1A43"/>
    <w:rsid w:val="007D0951"/>
    <w:rsid w:val="007D470E"/>
    <w:rsid w:val="007D4F33"/>
    <w:rsid w:val="007E012C"/>
    <w:rsid w:val="007E27F4"/>
    <w:rsid w:val="0080013E"/>
    <w:rsid w:val="00806C02"/>
    <w:rsid w:val="00813288"/>
    <w:rsid w:val="008168FC"/>
    <w:rsid w:val="00827C6A"/>
    <w:rsid w:val="00830996"/>
    <w:rsid w:val="008345F1"/>
    <w:rsid w:val="00842675"/>
    <w:rsid w:val="00845969"/>
    <w:rsid w:val="0086269C"/>
    <w:rsid w:val="00865B07"/>
    <w:rsid w:val="008667EA"/>
    <w:rsid w:val="0087637F"/>
    <w:rsid w:val="00887545"/>
    <w:rsid w:val="00892AD5"/>
    <w:rsid w:val="008A07EF"/>
    <w:rsid w:val="008A1512"/>
    <w:rsid w:val="008B5575"/>
    <w:rsid w:val="008B5DB7"/>
    <w:rsid w:val="008B6398"/>
    <w:rsid w:val="008C1CE9"/>
    <w:rsid w:val="008D32B9"/>
    <w:rsid w:val="008D433B"/>
    <w:rsid w:val="008D4A16"/>
    <w:rsid w:val="008E566E"/>
    <w:rsid w:val="0090161A"/>
    <w:rsid w:val="00901EB6"/>
    <w:rsid w:val="00904C62"/>
    <w:rsid w:val="009068A8"/>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83ED4"/>
    <w:rsid w:val="00993B84"/>
    <w:rsid w:val="00996483"/>
    <w:rsid w:val="00996F5A"/>
    <w:rsid w:val="009B041A"/>
    <w:rsid w:val="009B1AB1"/>
    <w:rsid w:val="009C37C3"/>
    <w:rsid w:val="009C7C86"/>
    <w:rsid w:val="009D2FF7"/>
    <w:rsid w:val="009E0F7E"/>
    <w:rsid w:val="009E498D"/>
    <w:rsid w:val="009E7884"/>
    <w:rsid w:val="009E788A"/>
    <w:rsid w:val="009F0E08"/>
    <w:rsid w:val="00A1763D"/>
    <w:rsid w:val="00A17CEC"/>
    <w:rsid w:val="00A27EF0"/>
    <w:rsid w:val="00A42361"/>
    <w:rsid w:val="00A50B20"/>
    <w:rsid w:val="00A51390"/>
    <w:rsid w:val="00A60D13"/>
    <w:rsid w:val="00A6109E"/>
    <w:rsid w:val="00A7223D"/>
    <w:rsid w:val="00A72745"/>
    <w:rsid w:val="00A75790"/>
    <w:rsid w:val="00A76EFC"/>
    <w:rsid w:val="00A83C8E"/>
    <w:rsid w:val="00A87D50"/>
    <w:rsid w:val="00A91010"/>
    <w:rsid w:val="00A94C1B"/>
    <w:rsid w:val="00A97F29"/>
    <w:rsid w:val="00AA702E"/>
    <w:rsid w:val="00AA7D26"/>
    <w:rsid w:val="00AB0964"/>
    <w:rsid w:val="00AB5011"/>
    <w:rsid w:val="00AC611C"/>
    <w:rsid w:val="00AC7368"/>
    <w:rsid w:val="00AD16B9"/>
    <w:rsid w:val="00AD5B8C"/>
    <w:rsid w:val="00AE377D"/>
    <w:rsid w:val="00AF0EBA"/>
    <w:rsid w:val="00B02C8A"/>
    <w:rsid w:val="00B108F9"/>
    <w:rsid w:val="00B17FBD"/>
    <w:rsid w:val="00B315A6"/>
    <w:rsid w:val="00B31813"/>
    <w:rsid w:val="00B33365"/>
    <w:rsid w:val="00B57B36"/>
    <w:rsid w:val="00B57E6F"/>
    <w:rsid w:val="00B64CDF"/>
    <w:rsid w:val="00B8686D"/>
    <w:rsid w:val="00B91FB3"/>
    <w:rsid w:val="00B93F69"/>
    <w:rsid w:val="00BA3D07"/>
    <w:rsid w:val="00BB12DB"/>
    <w:rsid w:val="00BB1DDC"/>
    <w:rsid w:val="00BC30C9"/>
    <w:rsid w:val="00BC3461"/>
    <w:rsid w:val="00BD077D"/>
    <w:rsid w:val="00BE3E58"/>
    <w:rsid w:val="00C01616"/>
    <w:rsid w:val="00C0162B"/>
    <w:rsid w:val="00C018AB"/>
    <w:rsid w:val="00C068ED"/>
    <w:rsid w:val="00C22E0C"/>
    <w:rsid w:val="00C27689"/>
    <w:rsid w:val="00C32AF6"/>
    <w:rsid w:val="00C33AA7"/>
    <w:rsid w:val="00C345B1"/>
    <w:rsid w:val="00C40142"/>
    <w:rsid w:val="00C520E3"/>
    <w:rsid w:val="00C52C3C"/>
    <w:rsid w:val="00C57182"/>
    <w:rsid w:val="00C57863"/>
    <w:rsid w:val="00C640AF"/>
    <w:rsid w:val="00C655FD"/>
    <w:rsid w:val="00C75407"/>
    <w:rsid w:val="00C870A8"/>
    <w:rsid w:val="00C94434"/>
    <w:rsid w:val="00CA0D75"/>
    <w:rsid w:val="00CA1C95"/>
    <w:rsid w:val="00CA5A9C"/>
    <w:rsid w:val="00CC4C20"/>
    <w:rsid w:val="00CD28A4"/>
    <w:rsid w:val="00CD3517"/>
    <w:rsid w:val="00CD5FE2"/>
    <w:rsid w:val="00CE7C68"/>
    <w:rsid w:val="00D02B4C"/>
    <w:rsid w:val="00D040C4"/>
    <w:rsid w:val="00D20AD1"/>
    <w:rsid w:val="00D46B7E"/>
    <w:rsid w:val="00D57C84"/>
    <w:rsid w:val="00D6057D"/>
    <w:rsid w:val="00D622E5"/>
    <w:rsid w:val="00D71640"/>
    <w:rsid w:val="00D77600"/>
    <w:rsid w:val="00D836C5"/>
    <w:rsid w:val="00D84576"/>
    <w:rsid w:val="00DA1399"/>
    <w:rsid w:val="00DA24C6"/>
    <w:rsid w:val="00DA4D7B"/>
    <w:rsid w:val="00DB194C"/>
    <w:rsid w:val="00DD271C"/>
    <w:rsid w:val="00DE264A"/>
    <w:rsid w:val="00DF5072"/>
    <w:rsid w:val="00E02D18"/>
    <w:rsid w:val="00E041E7"/>
    <w:rsid w:val="00E05E3B"/>
    <w:rsid w:val="00E23CA1"/>
    <w:rsid w:val="00E30335"/>
    <w:rsid w:val="00E409A8"/>
    <w:rsid w:val="00E50C12"/>
    <w:rsid w:val="00E65B91"/>
    <w:rsid w:val="00E71985"/>
    <w:rsid w:val="00E7209D"/>
    <w:rsid w:val="00E72EAD"/>
    <w:rsid w:val="00E77223"/>
    <w:rsid w:val="00E80F50"/>
    <w:rsid w:val="00E8528B"/>
    <w:rsid w:val="00E85B94"/>
    <w:rsid w:val="00E978D0"/>
    <w:rsid w:val="00EA4613"/>
    <w:rsid w:val="00EA7F91"/>
    <w:rsid w:val="00EB1523"/>
    <w:rsid w:val="00EC0E49"/>
    <w:rsid w:val="00EC101F"/>
    <w:rsid w:val="00EC1D9F"/>
    <w:rsid w:val="00ED7C74"/>
    <w:rsid w:val="00EE0131"/>
    <w:rsid w:val="00EE17B0"/>
    <w:rsid w:val="00EF06D9"/>
    <w:rsid w:val="00F3049E"/>
    <w:rsid w:val="00F30C64"/>
    <w:rsid w:val="00F32BA2"/>
    <w:rsid w:val="00F32CDB"/>
    <w:rsid w:val="00F565FE"/>
    <w:rsid w:val="00F63A70"/>
    <w:rsid w:val="00F63D8C"/>
    <w:rsid w:val="00F74168"/>
    <w:rsid w:val="00F7534E"/>
    <w:rsid w:val="00F93EDF"/>
    <w:rsid w:val="00FA1802"/>
    <w:rsid w:val="00FA21D0"/>
    <w:rsid w:val="00FA307A"/>
    <w:rsid w:val="00FA5F5F"/>
    <w:rsid w:val="00FA7601"/>
    <w:rsid w:val="00FB3293"/>
    <w:rsid w:val="00FB4E88"/>
    <w:rsid w:val="00FB730C"/>
    <w:rsid w:val="00FC1739"/>
    <w:rsid w:val="00FC2695"/>
    <w:rsid w:val="00FC3E03"/>
    <w:rsid w:val="00FC3FC1"/>
    <w:rsid w:val="00FD29AE"/>
    <w:rsid w:val="00FE1007"/>
    <w:rsid w:val="00FE1E1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paragraph" w:customStyle="1" w:styleId="spaziotitolo-testo">
    <w:name w:val="spazio titolo - testo"/>
    <w:basedOn w:val="Normale"/>
    <w:link w:val="spaziotitolo-testoCarattere"/>
    <w:qFormat/>
    <w:rsid w:val="008B5575"/>
    <w:pPr>
      <w:tabs>
        <w:tab w:val="clear" w:pos="7100"/>
      </w:tabs>
      <w:spacing w:before="120" w:after="120" w:line="360" w:lineRule="auto"/>
      <w:jc w:val="center"/>
    </w:pPr>
    <w:rPr>
      <w:rFonts w:ascii="Times New Roman" w:eastAsiaTheme="minorHAnsi" w:hAnsi="Times New Roman" w:cstheme="majorBidi"/>
      <w:sz w:val="36"/>
      <w:szCs w:val="22"/>
      <w:lang w:val="it-IT" w:bidi="en-US"/>
    </w:rPr>
  </w:style>
  <w:style w:type="character" w:customStyle="1" w:styleId="spaziotitolo-testoCarattere">
    <w:name w:val="spazio titolo - testo Carattere"/>
    <w:basedOn w:val="Carpredefinitoparagrafo"/>
    <w:link w:val="spaziotitolo-testo"/>
    <w:rsid w:val="008B5575"/>
    <w:rPr>
      <w:rFonts w:ascii="Times New Roman" w:hAnsi="Times New Roman" w:cstheme="majorBidi"/>
      <w:sz w:val="36"/>
      <w:lang w:bidi="en-US"/>
    </w:rPr>
  </w:style>
  <w:style w:type="paragraph" w:customStyle="1" w:styleId="EndNoteBibliography">
    <w:name w:val="EndNote Bibliography"/>
    <w:basedOn w:val="Normale"/>
    <w:link w:val="EndNoteBibliographyCarattere"/>
    <w:rsid w:val="003526AE"/>
    <w:pPr>
      <w:tabs>
        <w:tab w:val="clear" w:pos="7100"/>
      </w:tabs>
      <w:spacing w:after="160" w:line="240" w:lineRule="auto"/>
    </w:pPr>
    <w:rPr>
      <w:rFonts w:ascii="Calibri" w:eastAsiaTheme="minorHAnsi" w:hAnsi="Calibri" w:cs="Calibri"/>
      <w:noProof/>
      <w:sz w:val="22"/>
      <w:szCs w:val="22"/>
      <w:lang w:val="en-US"/>
    </w:rPr>
  </w:style>
  <w:style w:type="character" w:customStyle="1" w:styleId="EndNoteBibliographyCarattere">
    <w:name w:val="EndNote Bibliography Carattere"/>
    <w:basedOn w:val="Carpredefinitoparagrafo"/>
    <w:link w:val="EndNoteBibliography"/>
    <w:rsid w:val="003526AE"/>
    <w:rPr>
      <w:rFonts w:ascii="Calibri" w:hAnsi="Calibri" w:cs="Calibri"/>
      <w:noProof/>
      <w:lang w:val="en-US"/>
    </w:rPr>
  </w:style>
  <w:style w:type="paragraph" w:styleId="Revisione">
    <w:name w:val="Revision"/>
    <w:hidden/>
    <w:uiPriority w:val="99"/>
    <w:semiHidden/>
    <w:rsid w:val="00C018AB"/>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9D6FA-6D0D-404E-ABBE-088B9221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6</Pages>
  <Words>3420</Words>
  <Characters>19497</Characters>
  <Application>Microsoft Office Word</Application>
  <DocSecurity>0</DocSecurity>
  <Lines>162</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Elvira Spatolisano</cp:lastModifiedBy>
  <cp:revision>56</cp:revision>
  <cp:lastPrinted>2015-05-12T18:31:00Z</cp:lastPrinted>
  <dcterms:created xsi:type="dcterms:W3CDTF">2023-02-03T07:09:00Z</dcterms:created>
  <dcterms:modified xsi:type="dcterms:W3CDTF">2023-04-03T10:09:00Z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