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media/image2.gif" ContentType="image/gif"/>
  <Override PartName="/word/media/image3.jpeg" ContentType="image/jpeg"/>
  <Override PartName="/word/media/image4.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ETTitle"/>
        <w:spacing w:lineRule="auto" w:line="240" w:before="300" w:after="120"/>
        <w:rPr>
          <w:lang w:val="en-US" w:bidi="ar-SA"/>
        </w:rPr>
      </w:pPr>
      <w:r>
        <w:rPr>
          <w:lang w:val="en-US" w:bidi="ar-SA"/>
        </w:rPr>
        <w:t>A Viscosity Model Based on a Modified Free Volume Theory for Pure Fluids</w:t>
      </w:r>
    </w:p>
    <w:p>
      <w:pPr>
        <w:pStyle w:val="Normal"/>
        <w:rPr>
          <w:lang w:val="en-US" w:bidi="ar-SA"/>
        </w:rPr>
      </w:pPr>
      <w:r>
        <w:rPr>
          <w:lang w:val="en-US" w:bidi="ar-SA"/>
        </w:rPr>
      </w:r>
    </w:p>
    <w:p>
      <w:pPr>
        <w:pStyle w:val="CETAuthors"/>
        <w:jc w:val="center"/>
        <w:rPr>
          <w:lang w:val="en-US" w:bidi="ar-SA"/>
        </w:rPr>
      </w:pPr>
      <w:r>
        <w:rPr>
          <w:lang w:val="en-US" w:bidi="ar-SA"/>
        </w:rPr>
        <w:t>Ricardo Macías-Salinas*</w:t>
      </w:r>
    </w:p>
    <w:p>
      <w:pPr>
        <w:pStyle w:val="CETAddress"/>
        <w:jc w:val="both"/>
        <w:rPr>
          <w:sz w:val="20"/>
          <w:szCs w:val="20"/>
          <w:lang w:val="en-US" w:bidi="ar-SA"/>
        </w:rPr>
      </w:pPr>
      <w:r>
        <w:rPr>
          <w:sz w:val="20"/>
          <w:szCs w:val="20"/>
          <w:lang w:val="en-US" w:bidi="ar-SA"/>
        </w:rPr>
        <w:t>SEPI-ESIQIE, Departamento de Ingeniería Química, Instituto Politécnico Nacional, UPALM, Zacatenco, Ciudad de México 07738</w:t>
      </w:r>
    </w:p>
    <w:p>
      <w:pPr>
        <w:pStyle w:val="CETemail"/>
        <w:rPr/>
      </w:pPr>
      <w:r>
        <w:rPr>
          <w:lang w:val="en-US" w:bidi="ar-SA"/>
        </w:rPr>
        <w:t xml:space="preserve">* </w:t>
      </w:r>
      <w:hyperlink r:id="rId2">
        <w:r>
          <w:rPr>
            <w:rStyle w:val="InternetLink"/>
            <w:color w:val="000000"/>
            <w:u w:val="none"/>
            <w:lang w:val="en-US" w:bidi="ar-SA"/>
          </w:rPr>
          <w:t>rms@ipn.mx</w:t>
        </w:r>
      </w:hyperlink>
    </w:p>
    <w:p>
      <w:pPr>
        <w:pStyle w:val="Normal"/>
        <w:rPr>
          <w:lang w:val="en-US" w:bidi="ar-SA"/>
        </w:rPr>
      </w:pPr>
      <w:r>
        <w:rPr>
          <w:lang w:val="en-US" w:bidi="ar-SA"/>
        </w:rPr>
      </w:r>
    </w:p>
    <w:p>
      <w:pPr>
        <w:pStyle w:val="Normal"/>
        <w:rPr>
          <w:rFonts w:ascii="Arial" w:hAnsi="Arial" w:eastAsia="MS Mincho;ＭＳ 明朝" w:cs="Arial"/>
          <w:sz w:val="18"/>
          <w:szCs w:val="18"/>
          <w:lang w:val="en-US" w:eastAsia="ja-JP" w:bidi="ar-SA"/>
        </w:rPr>
      </w:pPr>
      <w:r>
        <w:rPr>
          <w:rFonts w:eastAsia="MS Mincho;ＭＳ 明朝" w:cs="Arial" w:ascii="Arial" w:hAnsi="Arial"/>
          <w:sz w:val="18"/>
          <w:szCs w:val="18"/>
          <w:lang w:val="en-US" w:eastAsia="ja-JP" w:bidi="ar-SA"/>
        </w:rPr>
        <w:t>A thermodynamic model based on the use of a modified free volume theory (MFVT) coupled with a cubic equation of state (CEoS) was developed here to obtain improved representations of the dynamic viscosity of some representative pure fluids (in both gaseous and dense states). In the original free volume theory, there is a barrier energy that is connected to the energy necessary for a molecule to cross a barrier and diffuse and is proportional to the density. In this work, we found that the aforementioned barrier energy was better expressed in terms of (rather than the density) a cohesive energy between molecules, namely the internal energy which accounts for all the intermolecular forces that hold the molecules together. The various thermodynamic potentials present in the resulting MFVT model (internal energy an density) were estimated from two simple cubic equations of state of the van der Waals type (Soave or Peng-Robinson). The present three-parameter model was successfully validated during the representation of experimental dynamic viscosities of two polar and associating fluids (water and methanol), one non-polar fluid (CO2) and one non-polar and long-chain fluid (n-decane) within temperature and pressure ranges covering both the compressed-liquid and dense-gas states.</w:t>
      </w:r>
    </w:p>
    <w:p>
      <w:pPr>
        <w:pStyle w:val="Normal"/>
        <w:rPr>
          <w:lang w:val="en-US" w:bidi="ar-SA"/>
        </w:rPr>
      </w:pPr>
      <w:r>
        <w:rPr>
          <w:lang w:val="en-US" w:bidi="ar-SA"/>
        </w:rPr>
      </w:r>
    </w:p>
    <w:p>
      <w:pPr>
        <w:pStyle w:val="CETHeading1"/>
        <w:rPr>
          <w:lang w:val="en-US" w:bidi="ar-SA"/>
        </w:rPr>
      </w:pPr>
      <w:r>
        <w:rPr>
          <w:lang w:val="en-US" w:bidi="ar-SA"/>
        </w:rPr>
        <w:t>1. Introduction</w:t>
      </w:r>
    </w:p>
    <w:p>
      <w:pPr>
        <w:pStyle w:val="CETBodytext"/>
        <w:rPr/>
      </w:pPr>
      <w:r>
        <w:rPr>
          <w:lang w:val="en-US" w:bidi="ar-SA"/>
        </w:rPr>
        <w:t xml:space="preserve">A precise knowledge of viscosity of pure fluids over wide ranges of temperature and density is paramount during the design and simulation of many petroleum and chemical engineering processes. </w:t>
      </w:r>
      <w:r>
        <w:rPr>
          <w:rFonts w:eastAsia="DCIAAM+Calibri;MS Gothic"/>
          <w:szCs w:val="18"/>
          <w:lang w:val="en-US" w:bidi="ar-SA"/>
        </w:rPr>
        <w:t xml:space="preserve">Apart from counting on with a vast number of experimental works on the viscosity of pure fluids, a significant amount of modeling efforts has been also reported in an attempt to estimate this property over diverse temperature and pressure conditions. Of particular interest are those existing viscosity models capable of representing both the gaseous and dense states of non-polar, polar and associating substances within wide ranges of temperature and pressure. Good examples of these models are the ones proposed by Guo et al. (2001) (based on the phenomenological similarity between the </w:t>
      </w:r>
      <w:r>
        <w:rPr>
          <w:rFonts w:eastAsia="DCIAAM+Calibri;MS Gothic"/>
          <w:i/>
          <w:iCs/>
          <w:szCs w:val="18"/>
          <w:lang w:val="en-US" w:bidi="ar-SA"/>
        </w:rPr>
        <w:t>P-</w:t>
      </w:r>
      <w:r>
        <w:rPr>
          <w:rFonts w:eastAsia="DCIAAM+Calibri;MS Gothic" w:cs="DejaVu Serif" w:ascii="DejaVu Serif" w:hAnsi="DejaVu Serif"/>
          <w:i/>
          <w:iCs/>
          <w:szCs w:val="18"/>
          <w:lang w:val="en-US" w:bidi="ar-SA"/>
        </w:rPr>
        <w:t>ρ</w:t>
      </w:r>
      <w:r>
        <w:rPr>
          <w:rFonts w:eastAsia="DCIAAM+Calibri;MS Gothic"/>
          <w:i/>
          <w:iCs/>
          <w:szCs w:val="18"/>
          <w:lang w:val="en-US" w:bidi="ar-SA"/>
        </w:rPr>
        <w:t>-T</w:t>
      </w:r>
      <w:r>
        <w:rPr>
          <w:rFonts w:eastAsia="DCIAAM+Calibri;MS Gothic"/>
          <w:szCs w:val="18"/>
          <w:lang w:val="en-US" w:bidi="ar-SA"/>
        </w:rPr>
        <w:t xml:space="preserve"> and </w:t>
      </w:r>
      <w:r>
        <w:rPr>
          <w:rFonts w:eastAsia="DCIAAM+Calibri;MS Gothic"/>
          <w:i/>
          <w:iCs/>
          <w:szCs w:val="18"/>
          <w:lang w:val="en-US" w:bidi="ar-SA"/>
        </w:rPr>
        <w:t>T-</w:t>
      </w:r>
      <w:r>
        <w:rPr>
          <w:rFonts w:eastAsia="DCIAAM+Calibri;MS Gothic" w:cs="DejaVu Serif" w:ascii="DejaVu Serif" w:hAnsi="DejaVu Serif"/>
          <w:i/>
          <w:iCs/>
          <w:szCs w:val="18"/>
          <w:lang w:val="en-US" w:bidi="ar-SA"/>
        </w:rPr>
        <w:t>η</w:t>
      </w:r>
      <w:r>
        <w:rPr>
          <w:rFonts w:eastAsia="DCIAAM+Calibri;MS Gothic"/>
          <w:i/>
          <w:iCs/>
          <w:szCs w:val="18"/>
          <w:lang w:val="en-US" w:bidi="ar-SA"/>
        </w:rPr>
        <w:t>-P</w:t>
      </w:r>
      <w:r>
        <w:rPr>
          <w:rFonts w:eastAsia="DCIAAM+Calibri;MS Gothic"/>
          <w:szCs w:val="18"/>
          <w:lang w:val="en-US" w:bidi="ar-SA"/>
        </w:rPr>
        <w:t xml:space="preserve"> surfaces), Quiñones-Cisneros et al. (2000) and Quiñones-Cisneros and Dieters (2006) (based on the friction theory coupled to diverse equations of state), Allal et al. (2001a, 2001b), Tan et al. (2005) and Burgess et al. (2012) (based on the free volume theory in combination with diverse equations of state), Yarranton and Satyro (2009) and Polishuk (2012) (based on the expanded fluid theory coupled to diverse equations of state), and more recently, Pensado et al. (2008) and Lopez et al. (2011) (based on a thermodynamic scaling using densities), and lastly, Novak (2011) and Lötgering-Lin and Gross (2015) (based on a thermodynamic scaling using residual entropies). Although many of these works are applicable to both gases and dense fluids, they still present some various drawbacks that may limit their use; for example, other than using a large number of fluid-specific parameters (up to twelve), they require the use of a suitable equation of state to obtain density and entropy data of reasonable accuracy; accordingly, they are usually coupled with sophisticated multi-parameter equations of state, largely of the SAFT type, thus making the majority of these viscosity models  cumbersome to use. It is worth noting that of all the aforementioned modeling approaches, viscosity models based on the free volume theory (FVT) result in simple yet theoretically based expressions for estimating the dense-state viscosity by relating the free-volume fraction to the system density of the fluid; moreover, unlike many of the aforementioned models, FVT-based models contain only three characterisitic parameters that capture to some extent the molecular structure and energy of the fluid of interest. As a matter of fact, previous modeling works using the FVT approach reveal that the required density by the model can be either obtained from experimental data or from a suitable equation of state; in regards to the latter, practically all authors of these works (Tan et al., 2005; Burgess et al., 2012; Llovell et al., 2013) employed complex equations of state of the SAFT type to estimate density data of reasonable accuracy in order to ensure a good performance of the FVT model. To best of our knowledge, no one has so far attempted to couple a simpler </w:t>
      </w:r>
      <w:r>
        <w:rPr>
          <w:rFonts w:eastAsia="DCIAAM+Calibri;MS Gothic"/>
          <w:i/>
          <w:iCs/>
          <w:szCs w:val="18"/>
          <w:lang w:val="en-US" w:bidi="ar-SA"/>
        </w:rPr>
        <w:t>PVT</w:t>
      </w:r>
      <w:r>
        <w:rPr>
          <w:rFonts w:eastAsia="DCIAAM+Calibri;MS Gothic"/>
          <w:szCs w:val="18"/>
          <w:lang w:val="en-US" w:bidi="ar-SA"/>
        </w:rPr>
        <w:t xml:space="preserve"> expression, such as a cubic equation of state, with a FVT viscosity model. Interestingly, the current form of the FVT approach for the dense-state viscosity has remained unchanged since the major modification introduced by Allal et al. in 2001 to the empirical relation of Doolittle (1951). Based on the aforementioned facts, the purpose of the present work was first to couple a simple cubic equation of state of the van der Waals type to the FVT viscosity model and then to modify the intermolecular energy expression of the FVT approach by introducing the residual internal energy (rather than the density) into the energy barrier that a molecule has to overcome to diffuse within the FVT formalism. The resulting form of the FVT viscosity model should be applicable to the </w:t>
      </w:r>
      <w:r>
        <w:rPr>
          <w:rFonts w:eastAsia="MS Mincho;ＭＳ 明朝" w:cs="Arial"/>
          <w:sz w:val="18"/>
          <w:szCs w:val="18"/>
          <w:lang w:val="en-US" w:eastAsia="ja-JP" w:bidi="ar-SA"/>
        </w:rPr>
        <w:t>gaseous and dense states</w:t>
      </w:r>
      <w:r>
        <w:rPr>
          <w:rFonts w:eastAsia="DCIAAM+Calibri;MS Gothic"/>
          <w:szCs w:val="18"/>
          <w:lang w:val="en-US" w:bidi="ar-SA"/>
        </w:rPr>
        <w:t xml:space="preserve"> over wide ranges of temperature and density (encompassing the zero-density limit, the high-density region, and the vicinity to the critical point) and be able to handle pure fluids of diverse characteristics: non-polar ranging from low to high molar masses and highly polar and associating.</w:t>
      </w:r>
    </w:p>
    <w:p>
      <w:pPr>
        <w:pStyle w:val="CETBodytext"/>
        <w:spacing w:lineRule="auto" w:line="240"/>
        <w:rPr>
          <w:lang w:val="en-US" w:bidi="ar-SA"/>
        </w:rPr>
      </w:pPr>
      <w:r>
        <w:rPr>
          <w:lang w:val="en-US" w:bidi="ar-SA"/>
        </w:rPr>
      </w:r>
    </w:p>
    <w:p>
      <w:pPr>
        <w:pStyle w:val="CETHeading1"/>
        <w:spacing w:lineRule="auto" w:line="240"/>
        <w:rPr>
          <w:lang w:val="en-US" w:bidi="ar-SA"/>
        </w:rPr>
      </w:pPr>
      <w:r>
        <w:rPr>
          <w:lang w:val="en-US" w:bidi="ar-SA"/>
        </w:rPr>
        <w:t>2. Description of the Model</w:t>
      </w:r>
    </w:p>
    <w:p>
      <w:pPr>
        <w:pStyle w:val="CETBodytext"/>
        <w:rPr/>
      </w:pPr>
      <w:r>
        <w:rPr>
          <w:lang w:val="en-US" w:bidi="ar-SA"/>
        </w:rPr>
        <w:t xml:space="preserve">The present modeling work is based on </w:t>
      </w:r>
      <w:r>
        <w:rPr>
          <w:rFonts w:eastAsia="MS Mincho;ＭＳ 明朝"/>
          <w:szCs w:val="18"/>
          <w:lang w:val="en-US" w:eastAsia="ja-JP" w:bidi="ar-SA"/>
        </w:rPr>
        <w:t xml:space="preserve">previously developed FVT-based viscosity models all using the same modification of Allal et al (2001a) to the Doolittle empirical equation. All of these models assume that the dynamic viscosity of a fluid </w:t>
      </w:r>
      <w:r>
        <w:rPr>
          <w:rFonts w:eastAsia="MS Mincho;ＭＳ 明朝" w:cs="DejaVu Serif" w:ascii="DejaVu Serif" w:hAnsi="DejaVu Serif"/>
          <w:i/>
          <w:iCs/>
          <w:szCs w:val="18"/>
          <w:lang w:val="en-US" w:eastAsia="ja-JP" w:bidi="ar-SA"/>
        </w:rPr>
        <w:t>η</w:t>
      </w:r>
      <w:r>
        <w:rPr>
          <w:rFonts w:eastAsia="MS Mincho;ＭＳ 明朝" w:cs="Arial"/>
          <w:szCs w:val="18"/>
          <w:lang w:val="en-US" w:eastAsia="ja-JP" w:bidi="ar-SA"/>
        </w:rPr>
        <w:t xml:space="preserve"> </w:t>
      </w:r>
      <w:r>
        <w:rPr>
          <w:rFonts w:eastAsia="MS Mincho;ＭＳ 明朝"/>
          <w:szCs w:val="18"/>
          <w:lang w:val="en-US" w:eastAsia="ja-JP" w:bidi="ar-SA"/>
        </w:rPr>
        <w:t>can be obtained from the sum of two contributions:</w:t>
      </w:r>
    </w:p>
    <w:p>
      <w:pPr>
        <w:pStyle w:val="CETBodytext"/>
        <w:rPr>
          <w:lang w:val="en-US" w:bidi="ar-SA"/>
        </w:rPr>
      </w:pPr>
      <w:r>
        <w:rPr>
          <w:lang w:val="en-US" w:bidi="ar-SA"/>
        </w:rPr>
      </w:r>
    </w:p>
    <w:p>
      <w:pPr>
        <w:pStyle w:val="CETBodytext"/>
        <w:tabs>
          <w:tab w:val="clear" w:pos="7100"/>
          <w:tab w:val="right" w:pos="8731" w:leader="none"/>
        </w:tabs>
        <w:rPr/>
      </w:pPr>
      <w:r>
        <w:rPr/>
      </w:r>
      <m:oMath xmlns:m="http://schemas.openxmlformats.org/officeDocument/2006/math">
        <m:r>
          <w:rPr>
            <w:rFonts w:ascii="Cambria Math" w:hAnsi="Cambria Math"/>
          </w:rPr>
          <m:t xml:space="preserve">η</m:t>
        </m:r>
        <m:r>
          <w:rPr>
            <w:rFonts w:ascii="Cambria Math" w:hAnsi="Cambria Math"/>
          </w:rPr>
          <m:t xml:space="preserve">=</m:t>
        </m:r>
        <m:sSub>
          <m:e>
            <m:r>
              <w:rPr>
                <w:rFonts w:ascii="Cambria Math" w:hAnsi="Cambria Math"/>
              </w:rPr>
              <m:t xml:space="preserve">η</m:t>
            </m:r>
          </m:e>
          <m:sub>
            <m:r>
              <w:rPr>
                <w:rFonts w:ascii="Cambria Math" w:hAnsi="Cambria Math"/>
              </w:rPr>
              <m:t xml:space="preserve">0</m:t>
            </m:r>
          </m:sub>
        </m:sSub>
        <m:r>
          <w:rPr>
            <w:rFonts w:ascii="Cambria Math" w:hAnsi="Cambria Math"/>
          </w:rPr>
          <m:t xml:space="preserve">+</m:t>
        </m:r>
        <m:r>
          <w:rPr>
            <w:rFonts w:ascii="Cambria Math" w:hAnsi="Cambria Math"/>
          </w:rPr>
          <m:t xml:space="preserve">Δ</m:t>
        </m:r>
        <m:r>
          <w:rPr>
            <w:rFonts w:ascii="Cambria Math" w:hAnsi="Cambria Math"/>
          </w:rPr>
          <m:t xml:space="preserve">η</m:t>
        </m:r>
      </m:oMath>
      <w:r>
        <w:rPr>
          <w:rFonts w:eastAsia="MS Mincho;ＭＳ 明朝"/>
          <w:szCs w:val="18"/>
          <w:lang w:val="en-US" w:eastAsia="ja-JP" w:bidi="ar-SA"/>
        </w:rPr>
        <w:tab/>
        <w:t>(1)</w:t>
      </w:r>
    </w:p>
    <w:p>
      <w:pPr>
        <w:pStyle w:val="CETBodytext"/>
        <w:rPr>
          <w:lang w:val="en-US" w:bidi="ar-SA"/>
        </w:rPr>
      </w:pPr>
      <w:r>
        <w:rPr>
          <w:lang w:val="en-US" w:bidi="ar-SA"/>
        </w:rPr>
      </w:r>
    </w:p>
    <w:p>
      <w:pPr>
        <w:pStyle w:val="CETBodytext"/>
        <w:rPr/>
      </w:pPr>
      <w:r>
        <w:rPr>
          <w:rFonts w:eastAsia="MS Mincho;ＭＳ 明朝"/>
          <w:szCs w:val="18"/>
          <w:lang w:val="en-US" w:eastAsia="ja-JP" w:bidi="ar-SA"/>
        </w:rPr>
        <w:t xml:space="preserve">where </w:t>
      </w:r>
      <w:r>
        <w:rPr>
          <w:rFonts w:eastAsia="MS Mincho;ＭＳ 明朝" w:cs="DejaVu Serif" w:ascii="DejaVu Serif" w:hAnsi="DejaVu Serif"/>
          <w:i/>
          <w:iCs/>
          <w:szCs w:val="18"/>
          <w:lang w:val="en-US" w:eastAsia="ja-JP" w:bidi="ar-SA"/>
        </w:rPr>
        <w:t>η</w:t>
      </w:r>
      <w:r>
        <w:rPr>
          <w:rFonts w:eastAsia="MS Mincho;ＭＳ 明朝" w:cs="DejaVu Serif" w:ascii="DejaVu Serif" w:hAnsi="DejaVu Serif"/>
          <w:i w:val="false"/>
          <w:iCs w:val="false"/>
          <w:szCs w:val="18"/>
          <w:vertAlign w:val="subscript"/>
          <w:lang w:val="en-US" w:eastAsia="ja-JP" w:bidi="ar-SA"/>
        </w:rPr>
        <w:t>0</w:t>
      </w:r>
      <w:r>
        <w:rPr>
          <w:rFonts w:eastAsia="MS Mincho;ＭＳ 明朝"/>
          <w:szCs w:val="18"/>
          <w:lang w:val="en-US" w:eastAsia="ja-JP" w:bidi="ar-SA"/>
        </w:rPr>
        <w:t xml:space="preserve"> is the dilute-gas viscosity contribution and </w:t>
      </w:r>
      <w:r>
        <w:rPr>
          <w:rFonts w:eastAsia="MS Mincho;ＭＳ 明朝" w:cs="DejaVu Serif" w:ascii="DejaVu Serif" w:hAnsi="DejaVu Serif"/>
          <w:i/>
          <w:iCs/>
          <w:szCs w:val="18"/>
          <w:lang w:val="en-US" w:eastAsia="ja-JP" w:bidi="ar-SA"/>
        </w:rPr>
        <w:t>η</w:t>
      </w:r>
      <w:r>
        <w:rPr>
          <w:rFonts w:eastAsia="MS Mincho;ＭＳ 明朝"/>
          <w:szCs w:val="18"/>
          <w:lang w:val="en-US" w:eastAsia="ja-JP" w:bidi="ar-SA"/>
        </w:rPr>
        <w:t xml:space="preserve"> is the dense-state viscosity contribution. The form of Eq.(1) is intented to correctly capture the gas to dense-state viscosity transition.</w:t>
      </w:r>
    </w:p>
    <w:p>
      <w:pPr>
        <w:pStyle w:val="CETBodytext"/>
        <w:tabs>
          <w:tab w:val="clear" w:pos="7100"/>
          <w:tab w:val="right" w:pos="8787" w:leader="none"/>
        </w:tabs>
        <w:spacing w:lineRule="auto" w:line="240"/>
        <w:rPr>
          <w:lang w:val="en-US" w:bidi="ar-SA"/>
        </w:rPr>
      </w:pPr>
      <w:r>
        <w:rPr>
          <w:lang w:val="en-US" w:bidi="ar-SA"/>
        </w:rPr>
      </w:r>
    </w:p>
    <w:p>
      <w:pPr>
        <w:pStyle w:val="CETBodytext"/>
        <w:tabs>
          <w:tab w:val="clear" w:pos="7100"/>
          <w:tab w:val="right" w:pos="8787" w:leader="none"/>
        </w:tabs>
        <w:spacing w:lineRule="auto" w:line="240"/>
        <w:rPr>
          <w:lang w:val="en-US" w:bidi="ar-SA"/>
        </w:rPr>
      </w:pPr>
      <w:r>
        <w:rPr>
          <w:lang w:val="en-US" w:bidi="ar-SA"/>
        </w:rPr>
      </w:r>
    </w:p>
    <w:p>
      <w:pPr>
        <w:pStyle w:val="CETBodytext"/>
        <w:spacing w:lineRule="auto" w:line="240"/>
        <w:rPr>
          <w:b/>
          <w:b/>
          <w:bCs/>
          <w:lang w:val="en-US" w:bidi="ar-SA"/>
        </w:rPr>
      </w:pPr>
      <w:r>
        <w:rPr>
          <w:b/>
          <w:bCs/>
          <w:lang w:val="en-US" w:bidi="ar-SA"/>
        </w:rPr>
        <w:t>2.1 Dilute-Gas Contribution</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t>The expressions given by Chung et al. (1988), based on the kinetic theory of Chapman-Enskog, were used here to estimate the viscosity of the dilute gas (at very low density). Chung et al.’s approach applies in the limit of dilute gas for non-polar, polar and associating fluids within a wide range of temperatures. The equations of Chung et al. are given below,</w:t>
      </w:r>
    </w:p>
    <w:p>
      <w:pPr>
        <w:pStyle w:val="CETBodytext"/>
        <w:spacing w:lineRule="auto" w:line="240"/>
        <w:rPr>
          <w:rFonts w:cs="Arial"/>
          <w:sz w:val="18"/>
          <w:szCs w:val="18"/>
          <w:lang w:val="en-US" w:bidi="ar-SA"/>
        </w:rPr>
      </w:pPr>
      <w:r>
        <w:rPr>
          <w:rFonts w:cs="Arial"/>
          <w:sz w:val="18"/>
          <w:szCs w:val="18"/>
          <w:lang w:val="en-US" w:bidi="ar-SA"/>
        </w:rPr>
      </w:r>
    </w:p>
    <w:p>
      <w:pPr>
        <w:pStyle w:val="Normal"/>
        <w:tabs>
          <w:tab w:val="clear" w:pos="720"/>
          <w:tab w:val="right" w:pos="8789" w:leader="none"/>
        </w:tabs>
        <w:spacing w:lineRule="auto" w:line="240"/>
        <w:rPr/>
      </w:pPr>
      <w:r>
        <w:rPr/>
      </w:r>
      <m:oMath xmlns:m="http://schemas.openxmlformats.org/officeDocument/2006/math">
        <m:f>
          <m:fPr>
            <m:type m:val="lin"/>
          </m:fPr>
          <m:num>
            <m:sSub>
              <m:e>
                <m:r>
                  <w:rPr>
                    <w:rFonts w:ascii="Cambria Math" w:hAnsi="Cambria Math"/>
                  </w:rPr>
                  <m:t xml:space="preserve">η</m:t>
                </m:r>
              </m:e>
              <m:sub>
                <m:r>
                  <w:rPr>
                    <w:rFonts w:ascii="Cambria Math" w:hAnsi="Cambria Math"/>
                  </w:rPr>
                  <m:t xml:space="preserve">0</m:t>
                </m:r>
              </m:sub>
            </m:sSub>
          </m:num>
          <m:den>
            <m:r>
              <m:rPr>
                <m:lit/>
                <m:nor/>
              </m:rPr>
              <w:rPr>
                <w:rFonts w:ascii="Cambria Math" w:hAnsi="Cambria Math"/>
              </w:rPr>
              <m:t xml:space="preserve">mPa·s</m:t>
            </m:r>
          </m:den>
        </m:f>
        <m:r>
          <w:rPr>
            <w:rFonts w:ascii="Cambria Math" w:hAnsi="Cambria Math"/>
          </w:rPr>
          <m:t xml:space="preserve">=</m:t>
        </m:r>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0785</m:t>
        </m:r>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f>
          <m:num>
            <m:rad>
              <m:radPr>
                <m:degHide m:val="1"/>
              </m:radPr>
              <m:deg/>
              <m:e>
                <m:r>
                  <w:rPr>
                    <w:rFonts w:ascii="Cambria Math" w:hAnsi="Cambria Math"/>
                  </w:rPr>
                  <m:t xml:space="preserve">M</m:t>
                </m:r>
                <m:r>
                  <w:rPr>
                    <w:rFonts w:ascii="Cambria Math" w:hAnsi="Cambria Math"/>
                  </w:rPr>
                  <m:t xml:space="preserve">⋅</m:t>
                </m:r>
                <m:r>
                  <w:rPr>
                    <w:rFonts w:ascii="Cambria Math" w:hAnsi="Cambria Math"/>
                  </w:rPr>
                  <m:t xml:space="preserve">T</m:t>
                </m:r>
              </m:e>
            </m:rad>
          </m:num>
          <m:den>
            <m:sSubSup>
              <m:e>
                <m:r>
                  <w:rPr>
                    <w:rFonts w:ascii="Cambria Math" w:hAnsi="Cambria Math"/>
                  </w:rPr>
                  <m:t xml:space="preserve">V</m:t>
                </m:r>
              </m:e>
              <m:sub>
                <m:r>
                  <w:rPr>
                    <w:rFonts w:ascii="Cambria Math" w:hAnsi="Cambria Math"/>
                  </w:rPr>
                  <m:t xml:space="preserve">c</m:t>
                </m:r>
              </m:sub>
              <m:sup>
                <m:f>
                  <m:fPr>
                    <m:type m:val="lin"/>
                  </m:fPr>
                  <m:num>
                    <m:r>
                      <w:rPr>
                        <w:rFonts w:ascii="Cambria Math" w:hAnsi="Cambria Math"/>
                      </w:rPr>
                      <m:t xml:space="preserve">2</m:t>
                    </m:r>
                  </m:num>
                  <m:den>
                    <m:r>
                      <w:rPr>
                        <w:rFonts w:ascii="Cambria Math" w:hAnsi="Cambria Math"/>
                      </w:rPr>
                      <m:t xml:space="preserve">3</m:t>
                    </m:r>
                  </m:den>
                </m:f>
              </m:sup>
            </m:sSubSup>
            <m:sSup>
              <m:e>
                <m:r>
                  <w:rPr>
                    <w:rFonts w:ascii="Cambria Math" w:hAnsi="Cambria Math"/>
                  </w:rPr>
                  <m:t xml:space="preserve">Ω</m:t>
                </m:r>
              </m:e>
              <m:sup>
                <m:r>
                  <m:rPr>
                    <m:lit/>
                    <m:nor/>
                  </m:rPr>
                  <w:rPr>
                    <w:rFonts w:ascii="Cambria Math" w:hAnsi="Cambria Math"/>
                  </w:rPr>
                  <m:t xml:space="preserve">*</m:t>
                </m:r>
              </m:sup>
            </m:sSup>
          </m:den>
        </m:f>
        <m:r>
          <w:rPr>
            <w:rFonts w:ascii="Cambria Math" w:hAnsi="Cambria Math"/>
          </w:rPr>
          <m:t xml:space="preserve">⋅</m:t>
        </m:r>
        <m:sSub>
          <m:e>
            <m:r>
              <w:rPr>
                <w:rFonts w:ascii="Cambria Math" w:hAnsi="Cambria Math"/>
              </w:rPr>
              <m:t xml:space="preserve">F</m:t>
            </m:r>
          </m:e>
          <m:sub>
            <m:r>
              <w:rPr>
                <w:rFonts w:ascii="Cambria Math" w:hAnsi="Cambria Math"/>
              </w:rPr>
              <m:t xml:space="preserve">c</m:t>
            </m:r>
          </m:sub>
        </m:sSub>
      </m:oMath>
      <w:r>
        <w:rPr>
          <w:rFonts w:eastAsia="Arial" w:cs="Arial" w:ascii="Arial" w:hAnsi="Arial"/>
          <w:sz w:val="18"/>
          <w:szCs w:val="18"/>
          <w:lang w:val="en-US" w:bidi="ar-SA"/>
        </w:rPr>
        <w:t xml:space="preserve">  </w:t>
      </w:r>
      <w:r>
        <w:rPr>
          <w:rFonts w:cs="Arial" w:ascii="Arial" w:hAnsi="Arial"/>
          <w:sz w:val="18"/>
          <w:szCs w:val="18"/>
          <w:lang w:val="en-US" w:bidi="ar-SA"/>
        </w:rPr>
        <w:tab/>
        <w:t>(2)</w:t>
      </w:r>
    </w:p>
    <w:p>
      <w:pPr>
        <w:pStyle w:val="Normal"/>
        <w:tabs>
          <w:tab w:val="clear" w:pos="720"/>
          <w:tab w:val="right" w:pos="8789" w:leader="none"/>
        </w:tabs>
        <w:spacing w:lineRule="auto" w:line="240"/>
        <w:rPr>
          <w:lang w:val="en-US" w:bidi="ar-SA"/>
        </w:rPr>
      </w:pPr>
      <w:r>
        <w:rPr>
          <w:lang w:val="en-US" w:bidi="ar-SA"/>
        </w:rPr>
      </w:r>
    </w:p>
    <w:p>
      <w:pPr>
        <w:pStyle w:val="Normal"/>
        <w:tabs>
          <w:tab w:val="clear" w:pos="720"/>
          <w:tab w:val="right" w:pos="8789" w:leader="none"/>
        </w:tabs>
        <w:spacing w:lineRule="auto" w:line="240"/>
        <w:rPr/>
      </w:pPr>
      <w:r>
        <w:rPr>
          <w:rFonts w:cs="Arial" w:ascii="Arial" w:hAnsi="Arial"/>
          <w:sz w:val="18"/>
          <w:szCs w:val="18"/>
          <w:lang w:val="en-US" w:bidi="ar-SA"/>
        </w:rPr>
        <w:t xml:space="preserve">where </w:t>
      </w:r>
      <w:r>
        <w:rPr>
          <w:rFonts w:cs="Arial" w:ascii="Arial" w:hAnsi="Arial"/>
          <w:i/>
          <w:iCs/>
          <w:sz w:val="18"/>
          <w:szCs w:val="18"/>
          <w:lang w:val="en-US" w:bidi="ar-SA"/>
        </w:rPr>
        <w:t>M</w:t>
      </w:r>
      <w:r>
        <w:rPr>
          <w:rFonts w:cs="Arial" w:ascii="Arial" w:hAnsi="Arial"/>
          <w:sz w:val="18"/>
          <w:szCs w:val="18"/>
          <w:lang w:val="en-US" w:bidi="ar-SA"/>
        </w:rPr>
        <w:t xml:space="preserve"> is the molar mass in g/mol, </w:t>
      </w:r>
      <w:r>
        <w:rPr>
          <w:rFonts w:cs="Arial" w:ascii="Arial" w:hAnsi="Arial"/>
          <w:i/>
          <w:iCs/>
          <w:sz w:val="18"/>
          <w:szCs w:val="18"/>
          <w:lang w:val="en-US" w:bidi="ar-SA"/>
        </w:rPr>
        <w:t>T</w:t>
      </w:r>
      <w:r>
        <w:rPr>
          <w:rFonts w:cs="Arial" w:ascii="Arial" w:hAnsi="Arial"/>
          <w:sz w:val="18"/>
          <w:szCs w:val="18"/>
          <w:lang w:val="en-US" w:bidi="ar-SA"/>
        </w:rPr>
        <w:t xml:space="preserve"> is the absolute temperature in K, </w:t>
      </w:r>
      <w:r>
        <w:rPr>
          <w:rFonts w:cs="Arial" w:ascii="Arial" w:hAnsi="Arial"/>
          <w:i/>
          <w:iCs/>
          <w:sz w:val="18"/>
          <w:szCs w:val="18"/>
          <w:lang w:val="en-US" w:bidi="ar-SA"/>
        </w:rPr>
        <w:t>V</w:t>
      </w:r>
      <w:r>
        <w:rPr>
          <w:rFonts w:cs="Arial" w:ascii="Arial" w:hAnsi="Arial"/>
          <w:i/>
          <w:iCs/>
          <w:sz w:val="18"/>
          <w:szCs w:val="18"/>
          <w:vertAlign w:val="subscript"/>
          <w:lang w:val="en-US" w:bidi="ar-SA"/>
        </w:rPr>
        <w:t>c</w:t>
      </w:r>
      <w:r>
        <w:rPr>
          <w:rFonts w:cs="Arial" w:ascii="Arial" w:hAnsi="Arial"/>
          <w:sz w:val="18"/>
          <w:szCs w:val="18"/>
          <w:lang w:val="en-US" w:bidi="ar-SA"/>
        </w:rPr>
        <w:t xml:space="preserve"> is the critical volume in cm</w:t>
      </w:r>
      <w:r>
        <w:rPr>
          <w:rFonts w:cs="Arial" w:ascii="Arial" w:hAnsi="Arial"/>
          <w:sz w:val="18"/>
          <w:szCs w:val="18"/>
          <w:vertAlign w:val="superscript"/>
          <w:lang w:val="en-US" w:bidi="ar-SA"/>
        </w:rPr>
        <w:t>3</w:t>
      </w:r>
      <w:r>
        <w:rPr>
          <w:rFonts w:cs="Arial" w:ascii="Arial" w:hAnsi="Arial"/>
          <w:sz w:val="18"/>
          <w:szCs w:val="18"/>
          <w:lang w:val="en-US" w:bidi="ar-SA"/>
        </w:rPr>
        <w:t xml:space="preserve">/mol and </w:t>
      </w:r>
      <w:r>
        <w:rPr>
          <w:rFonts w:eastAsia="Times New Roman" w:cs="Liberation Serif;Times New Roman" w:ascii="Liberation Serif;Times New Roman" w:hAnsi="Liberation Serif;Times New Roman"/>
          <w:sz w:val="18"/>
          <w:szCs w:val="18"/>
          <w:lang w:val="en-US" w:bidi="ar-SA"/>
        </w:rPr>
        <w:t>Ω</w:t>
      </w:r>
      <w:r>
        <w:rPr>
          <w:rFonts w:eastAsia="Times New Roman" w:cs="Liberation Serif;Times New Roman" w:ascii="Liberation Serif;Times New Roman" w:hAnsi="Liberation Serif;Times New Roman"/>
          <w:sz w:val="18"/>
          <w:szCs w:val="18"/>
          <w:vertAlign w:val="superscript"/>
          <w:lang w:val="en-US" w:bidi="ar-SA"/>
        </w:rPr>
        <w:t>*</w:t>
      </w:r>
      <w:r>
        <w:rPr>
          <w:rFonts w:eastAsia="Times New Roman" w:cs="Arial" w:ascii="Arial" w:hAnsi="Arial"/>
          <w:sz w:val="18"/>
          <w:szCs w:val="18"/>
          <w:lang w:val="en-US" w:bidi="ar-SA"/>
        </w:rPr>
        <w:t xml:space="preserve"> </w:t>
      </w:r>
      <w:r>
        <w:rPr>
          <w:rFonts w:cs="Arial" w:ascii="Arial" w:hAnsi="Arial"/>
          <w:sz w:val="18"/>
          <w:szCs w:val="18"/>
          <w:lang w:val="en-US" w:bidi="ar-SA"/>
        </w:rPr>
        <w:t xml:space="preserve">is the reduced integral collision, its mathematical expression depends on the selection of a suitable intermolecular potential in terms of a reduced temperature </w:t>
      </w:r>
      <w:r>
        <w:rPr>
          <w:rFonts w:cs="Arial" w:ascii="Arial" w:hAnsi="Arial"/>
          <w:i/>
          <w:iCs/>
          <w:sz w:val="18"/>
          <w:szCs w:val="18"/>
          <w:lang w:val="en-US" w:bidi="ar-SA"/>
        </w:rPr>
        <w:t>T</w:t>
      </w:r>
      <w:r>
        <w:rPr>
          <w:rFonts w:cs="Arial" w:ascii="Arial" w:hAnsi="Arial"/>
          <w:sz w:val="18"/>
          <w:szCs w:val="18"/>
          <w:vertAlign w:val="superscript"/>
          <w:lang w:val="en-US" w:bidi="ar-SA"/>
        </w:rPr>
        <w:t>*</w:t>
      </w:r>
      <w:r>
        <w:rPr>
          <w:rFonts w:cs="Arial" w:ascii="Arial" w:hAnsi="Arial"/>
          <w:sz w:val="18"/>
          <w:szCs w:val="18"/>
          <w:lang w:val="en-US" w:bidi="ar-SA"/>
        </w:rPr>
        <w:t xml:space="preserve">; </w:t>
      </w:r>
      <w:r>
        <w:rPr>
          <w:rFonts w:cs="Arial" w:ascii="Arial" w:hAnsi="Arial"/>
          <w:sz w:val="18"/>
          <w:szCs w:val="18"/>
          <w:lang w:val="en-US" w:bidi="ar-SA"/>
        </w:rPr>
        <w:t>such an</w:t>
      </w:r>
      <w:r>
        <w:rPr>
          <w:rFonts w:cs="Arial" w:ascii="Arial" w:hAnsi="Arial"/>
          <w:sz w:val="18"/>
          <w:szCs w:val="18"/>
          <w:lang w:val="en-US" w:bidi="ar-SA"/>
        </w:rPr>
        <w:t xml:space="preserve"> expression </w:t>
      </w:r>
      <w:r>
        <w:rPr>
          <w:rFonts w:cs="Arial" w:ascii="Arial" w:hAnsi="Arial"/>
          <w:sz w:val="18"/>
          <w:szCs w:val="18"/>
          <w:lang w:val="en-US" w:bidi="ar-SA"/>
        </w:rPr>
        <w:t xml:space="preserve">is </w:t>
      </w:r>
      <w:r>
        <w:rPr>
          <w:rFonts w:cs="Arial" w:ascii="Arial" w:hAnsi="Arial"/>
          <w:sz w:val="18"/>
          <w:szCs w:val="18"/>
          <w:lang w:val="en-US" w:bidi="ar-SA"/>
        </w:rPr>
        <w:t>as follows:</w:t>
      </w:r>
    </w:p>
    <w:p>
      <w:pPr>
        <w:pStyle w:val="Textoindependiente21"/>
        <w:tabs>
          <w:tab w:val="clear" w:pos="720"/>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Normal"/>
        <w:tabs>
          <w:tab w:val="clear" w:pos="720"/>
          <w:tab w:val="right" w:pos="8789" w:leader="none"/>
        </w:tabs>
        <w:spacing w:lineRule="auto" w:line="240"/>
        <w:rPr/>
      </w:pPr>
      <w:r>
        <w:rPr>
          <w:rFonts w:cs="Arial" w:ascii="Arial" w:hAnsi="Arial"/>
          <w:sz w:val="18"/>
          <w:szCs w:val="18"/>
          <w:lang w:val="en-US" w:bidi="ar-SA"/>
        </w:rPr>
      </w:r>
      <m:oMath xmlns:m="http://schemas.openxmlformats.org/officeDocument/2006/math">
        <m:eqArr>
          <m:e>
            <m:sSup>
              <m:e>
                <m:r>
                  <w:rPr>
                    <w:rFonts w:ascii="Cambria Math" w:hAnsi="Cambria Math"/>
                  </w:rPr>
                  <m:t xml:space="preserve">Ω</m:t>
                </m:r>
              </m:e>
              <m:sup>
                <m:r>
                  <m:rPr>
                    <m:lit/>
                    <m:nor/>
                  </m:rPr>
                  <w:rPr>
                    <w:rFonts w:ascii="Cambria Math" w:hAnsi="Cambria Math"/>
                  </w:rPr>
                  <m:t xml:space="preserve">*</m:t>
                </m:r>
              </m:sup>
            </m:sSup>
            <m:r>
              <w:rPr>
                <w:rFonts w:ascii="Cambria Math" w:hAnsi="Cambria Math"/>
              </w:rPr>
              <m:t xml:space="preserve">=</m:t>
            </m:r>
            <m:f>
              <m:num>
                <m:r>
                  <w:rPr>
                    <w:rFonts w:ascii="Cambria Math" w:hAnsi="Cambria Math"/>
                  </w:rPr>
                  <m:t xml:space="preserve">1.16145</m:t>
                </m:r>
              </m:num>
              <m:den>
                <m:sSup>
                  <m:e>
                    <m:d>
                      <m:dPr>
                        <m:begChr m:val="("/>
                        <m:endChr m:val=")"/>
                      </m:dPr>
                      <m:e>
                        <m:sSup>
                          <m:e>
                            <m:r>
                              <w:rPr>
                                <w:rFonts w:ascii="Cambria Math" w:hAnsi="Cambria Math"/>
                              </w:rPr>
                              <m:t xml:space="preserve">T</m:t>
                            </m:r>
                          </m:e>
                          <m:sup>
                            <m:r>
                              <m:rPr>
                                <m:lit/>
                                <m:nor/>
                              </m:rPr>
                              <w:rPr>
                                <w:rFonts w:ascii="Cambria Math" w:hAnsi="Cambria Math"/>
                              </w:rPr>
                              <m:t xml:space="preserve">*</m:t>
                            </m:r>
                          </m:sup>
                        </m:sSup>
                      </m:e>
                    </m:d>
                  </m:e>
                  <m:sup>
                    <m:r>
                      <w:rPr>
                        <w:rFonts w:ascii="Cambria Math" w:hAnsi="Cambria Math"/>
                      </w:rPr>
                      <m:t xml:space="preserve">0.14874</m:t>
                    </m:r>
                  </m:sup>
                </m:sSup>
              </m:den>
            </m:f>
            <m:r>
              <w:rPr>
                <w:rFonts w:ascii="Cambria Math" w:hAnsi="Cambria Math"/>
              </w:rPr>
              <m:t xml:space="preserve">+</m:t>
            </m:r>
            <m:f>
              <m:num>
                <m:r>
                  <w:rPr>
                    <w:rFonts w:ascii="Cambria Math" w:hAnsi="Cambria Math"/>
                  </w:rPr>
                  <m:t xml:space="preserve">0.52487</m:t>
                </m:r>
              </m:num>
              <m:den>
                <m:r>
                  <w:rPr>
                    <w:rFonts w:ascii="Cambria Math" w:hAnsi="Cambria Math"/>
                  </w:rPr>
                  <m:t xml:space="preserve">exp</m:t>
                </m:r>
                <m:d>
                  <m:dPr>
                    <m:begChr m:val="("/>
                    <m:endChr m:val=")"/>
                  </m:dPr>
                  <m:e>
                    <m:r>
                      <w:rPr>
                        <w:rFonts w:ascii="Cambria Math" w:hAnsi="Cambria Math"/>
                      </w:rPr>
                      <m:t xml:space="preserve">0.7732</m:t>
                    </m:r>
                    <m:sSup>
                      <m:e>
                        <m:r>
                          <w:rPr>
                            <w:rFonts w:ascii="Cambria Math" w:hAnsi="Cambria Math"/>
                          </w:rPr>
                          <m:t xml:space="preserve">T</m:t>
                        </m:r>
                      </m:e>
                      <m:sup>
                        <m:r>
                          <m:rPr>
                            <m:lit/>
                            <m:nor/>
                          </m:rPr>
                          <w:rPr>
                            <w:rFonts w:ascii="Cambria Math" w:hAnsi="Cambria Math"/>
                          </w:rPr>
                          <m:t xml:space="preserve">*</m:t>
                        </m:r>
                      </m:sup>
                    </m:sSup>
                  </m:e>
                </m:d>
              </m:den>
            </m:f>
            <m:r>
              <w:rPr>
                <w:rFonts w:ascii="Cambria Math" w:hAnsi="Cambria Math"/>
              </w:rPr>
              <m:t xml:space="preserve">+</m:t>
            </m:r>
            <m:f>
              <m:num>
                <m:r>
                  <w:rPr>
                    <w:rFonts w:ascii="Cambria Math" w:hAnsi="Cambria Math"/>
                  </w:rPr>
                  <m:t xml:space="preserve">2.16178</m:t>
                </m:r>
              </m:num>
              <m:den>
                <m:r>
                  <w:rPr>
                    <w:rFonts w:ascii="Cambria Math" w:hAnsi="Cambria Math"/>
                  </w:rPr>
                  <m:t xml:space="preserve">exp</m:t>
                </m:r>
                <m:d>
                  <m:dPr>
                    <m:begChr m:val="("/>
                    <m:endChr m:val=")"/>
                  </m:dPr>
                  <m:e>
                    <m:r>
                      <w:rPr>
                        <w:rFonts w:ascii="Cambria Math" w:hAnsi="Cambria Math"/>
                      </w:rPr>
                      <m:t xml:space="preserve">2.4378</m:t>
                    </m:r>
                    <m:sSup>
                      <m:e>
                        <m:r>
                          <w:rPr>
                            <w:rFonts w:ascii="Cambria Math" w:hAnsi="Cambria Math"/>
                          </w:rPr>
                          <m:t xml:space="preserve">T</m:t>
                        </m:r>
                      </m:e>
                      <m:sup>
                        <m:r>
                          <m:rPr>
                            <m:lit/>
                            <m:nor/>
                          </m:rPr>
                          <w:rPr>
                            <w:rFonts w:ascii="Cambria Math" w:hAnsi="Cambria Math"/>
                          </w:rPr>
                          <m:t xml:space="preserve">*</m:t>
                        </m:r>
                      </m:sup>
                    </m:sSup>
                  </m:e>
                </m:d>
              </m:den>
            </m:f>
            <m:r>
              <w:rPr>
                <w:rFonts w:ascii="Cambria Math" w:hAnsi="Cambria Math"/>
              </w:rPr>
              <m:t xml:space="preserve">−</m:t>
            </m:r>
            <m:r>
              <w:rPr>
                <w:rFonts w:ascii="Cambria Math" w:hAnsi="Cambria Math"/>
              </w:rPr>
              <m:t xml:space="preserve">6.435</m:t>
            </m:r>
            <m:r>
              <w:rPr>
                <w:rFonts w:ascii="Cambria Math" w:hAnsi="Cambria Math"/>
              </w:rPr>
              <m:t xml:space="preserve">×</m:t>
            </m:r>
            <m:sSup>
              <m:e>
                <m:r>
                  <w:rPr>
                    <w:rFonts w:ascii="Cambria Math" w:hAnsi="Cambria Math"/>
                  </w:rPr>
                  <m:t xml:space="preserve">10</m:t>
                </m:r>
              </m:e>
              <m:sup>
                <m:r>
                  <w:rPr>
                    <w:rFonts w:ascii="Cambria Math" w:hAnsi="Cambria Math"/>
                  </w:rPr>
                  <m:t xml:space="preserve">−</m:t>
                </m:r>
                <m:r>
                  <w:rPr>
                    <w:rFonts w:ascii="Cambria Math" w:hAnsi="Cambria Math"/>
                  </w:rPr>
                  <m:t xml:space="preserve">4</m:t>
                </m:r>
              </m:sup>
            </m:sSup>
            <m:sSup>
              <m:e>
                <m:d>
                  <m:dPr>
                    <m:begChr m:val="("/>
                    <m:endChr m:val=")"/>
                  </m:dPr>
                  <m:e>
                    <m:sSup>
                      <m:e>
                        <m:r>
                          <w:rPr>
                            <w:rFonts w:ascii="Cambria Math" w:hAnsi="Cambria Math"/>
                          </w:rPr>
                          <m:t xml:space="preserve">T</m:t>
                        </m:r>
                      </m:e>
                      <m:sup>
                        <m:r>
                          <m:rPr>
                            <m:lit/>
                            <m:nor/>
                          </m:rPr>
                          <w:rPr>
                            <w:rFonts w:ascii="Cambria Math" w:hAnsi="Cambria Math"/>
                          </w:rPr>
                          <m:t xml:space="preserve">*</m:t>
                        </m:r>
                      </m:sup>
                    </m:sSup>
                  </m:e>
                </m:d>
              </m:e>
              <m:sup>
                <m:r>
                  <w:rPr>
                    <w:rFonts w:ascii="Cambria Math" w:hAnsi="Cambria Math"/>
                  </w:rPr>
                  <m:t xml:space="preserve">0.14874</m:t>
                </m:r>
              </m:sup>
            </m:sSup>
          </m:e>
          <m:e>
            <m:r>
              <w:rPr>
                <w:rFonts w:ascii="Cambria Math" w:hAnsi="Cambria Math"/>
              </w:rPr>
              <m:t xml:space="preserve">sin</m:t>
            </m:r>
            <m:d>
              <m:dPr>
                <m:begChr m:val="["/>
                <m:endChr m:val="]"/>
              </m:dPr>
              <m:e>
                <m:r>
                  <w:rPr>
                    <w:rFonts w:ascii="Cambria Math" w:hAnsi="Cambria Math"/>
                  </w:rPr>
                  <m:t xml:space="preserve">18.0323</m:t>
                </m:r>
                <m:sSup>
                  <m:e>
                    <m:d>
                      <m:dPr>
                        <m:begChr m:val="("/>
                        <m:endChr m:val=")"/>
                      </m:dPr>
                      <m:e>
                        <m:sSup>
                          <m:e>
                            <m:r>
                              <w:rPr>
                                <w:rFonts w:ascii="Cambria Math" w:hAnsi="Cambria Math"/>
                              </w:rPr>
                              <m:t xml:space="preserve">T</m:t>
                            </m:r>
                          </m:e>
                          <m:sup>
                            <m:r>
                              <m:rPr>
                                <m:lit/>
                                <m:nor/>
                              </m:rPr>
                              <w:rPr>
                                <w:rFonts w:ascii="Cambria Math" w:hAnsi="Cambria Math"/>
                              </w:rPr>
                              <m:t xml:space="preserve">*</m:t>
                            </m:r>
                          </m:sup>
                        </m:sSup>
                      </m:e>
                    </m:d>
                  </m:e>
                  <m:sup>
                    <m:r>
                      <w:rPr>
                        <w:rFonts w:ascii="Cambria Math" w:hAnsi="Cambria Math"/>
                      </w:rPr>
                      <m:t xml:space="preserve">−</m:t>
                    </m:r>
                    <m:r>
                      <w:rPr>
                        <w:rFonts w:ascii="Cambria Math" w:hAnsi="Cambria Math"/>
                      </w:rPr>
                      <m:t xml:space="preserve">0.7683</m:t>
                    </m:r>
                  </m:sup>
                </m:sSup>
                <m:r>
                  <w:rPr>
                    <w:rFonts w:ascii="Cambria Math" w:hAnsi="Cambria Math"/>
                  </w:rPr>
                  <m:t xml:space="preserve">−</m:t>
                </m:r>
                <m:r>
                  <w:rPr>
                    <w:rFonts w:ascii="Cambria Math" w:hAnsi="Cambria Math"/>
                  </w:rPr>
                  <m:t xml:space="preserve">7.27371</m:t>
                </m:r>
              </m:e>
            </m:d>
          </m:e>
        </m:eqArr>
      </m:oMath>
      <w:r>
        <w:rPr>
          <w:rFonts w:cs="Arial" w:ascii="Arial" w:hAnsi="Arial"/>
          <w:sz w:val="18"/>
          <w:szCs w:val="18"/>
          <w:lang w:val="en-US" w:bidi="ar-SA"/>
        </w:rPr>
        <w:tab/>
        <w:t>(3)</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Footer"/>
        <w:tabs>
          <w:tab w:val="clear" w:pos="720"/>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t>with</w:t>
      </w:r>
    </w:p>
    <w:p>
      <w:pPr>
        <w:pStyle w:val="Footer"/>
        <w:tabs>
          <w:tab w:val="clear" w:pos="720"/>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Footer"/>
        <w:tabs>
          <w:tab w:val="clear" w:pos="720"/>
          <w:tab w:val="right" w:pos="8730" w:leader="none"/>
          <w:tab w:val="right" w:pos="8789" w:leader="none"/>
        </w:tabs>
        <w:spacing w:lineRule="auto" w:line="240"/>
        <w:rPr/>
      </w:pPr>
      <w:r>
        <w:rPr/>
      </w:r>
      <m:oMath xmlns:m="http://schemas.openxmlformats.org/officeDocument/2006/math">
        <m:sSup>
          <m:e>
            <m:r>
              <w:rPr>
                <w:rFonts w:ascii="Cambria Math" w:hAnsi="Cambria Math"/>
              </w:rPr>
              <m:t xml:space="preserve">T</m:t>
            </m:r>
          </m:e>
          <m:sup>
            <m:r>
              <m:rPr>
                <m:lit/>
                <m:nor/>
              </m:rPr>
              <w:rPr>
                <w:rFonts w:ascii="Cambria Math" w:hAnsi="Cambria Math"/>
              </w:rPr>
              <m:t xml:space="preserve">*</m:t>
            </m:r>
          </m:sup>
        </m:sSup>
        <m:r>
          <w:rPr>
            <w:rFonts w:ascii="Cambria Math" w:hAnsi="Cambria Math"/>
          </w:rPr>
          <m:t xml:space="preserve">=</m:t>
        </m:r>
        <m:r>
          <w:rPr>
            <w:rFonts w:ascii="Cambria Math" w:hAnsi="Cambria Math"/>
          </w:rPr>
          <m:t xml:space="preserve">1</m:t>
        </m:r>
        <m:r>
          <m:rPr>
            <m:lit/>
            <m:nor/>
          </m:rPr>
          <w:rPr>
            <w:rFonts w:ascii="Cambria Math" w:hAnsi="Cambria Math"/>
          </w:rPr>
          <m:t xml:space="preserve">.</m:t>
        </m:r>
        <m:f>
          <m:fPr>
            <m:type m:val="lin"/>
          </m:fPr>
          <m:num>
            <m:r>
              <m:rPr>
                <m:lit/>
                <m:nor/>
              </m:rPr>
              <w:rPr>
                <w:rFonts w:ascii="Cambria Math" w:hAnsi="Cambria Math"/>
              </w:rPr>
              <m:t xml:space="preserve">2593</m:t>
            </m:r>
            <m:r>
              <w:rPr>
                <w:rFonts w:ascii="Cambria Math" w:hAnsi="Cambria Math"/>
              </w:rPr>
              <m:t xml:space="preserve">⋅</m:t>
            </m:r>
            <m:r>
              <w:rPr>
                <w:rFonts w:ascii="Cambria Math" w:hAnsi="Cambria Math"/>
              </w:rPr>
              <m:t xml:space="preserve">T</m:t>
            </m:r>
          </m:num>
          <m:den>
            <m:sSub>
              <m:e>
                <m:r>
                  <w:rPr>
                    <w:rFonts w:ascii="Cambria Math" w:hAnsi="Cambria Math"/>
                  </w:rPr>
                  <m:t xml:space="preserve">T</m:t>
                </m:r>
              </m:e>
              <m:sub>
                <m:r>
                  <w:rPr>
                    <w:rFonts w:ascii="Cambria Math" w:hAnsi="Cambria Math"/>
                  </w:rPr>
                  <m:t xml:space="preserve">c</m:t>
                </m:r>
              </m:sub>
            </m:sSub>
          </m:den>
        </m:f>
      </m:oMath>
      <w:r>
        <w:rPr>
          <w:rFonts w:cs="Arial" w:ascii="Arial" w:hAnsi="Arial"/>
          <w:sz w:val="18"/>
          <w:szCs w:val="18"/>
          <w:lang w:val="en-US" w:bidi="ar-SA"/>
        </w:rPr>
        <w:tab/>
        <w:t>(4)</w:t>
      </w:r>
    </w:p>
    <w:p>
      <w:pPr>
        <w:pStyle w:val="Footer"/>
        <w:tabs>
          <w:tab w:val="clear" w:pos="720"/>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Footer"/>
        <w:tabs>
          <w:tab w:val="clear" w:pos="720"/>
          <w:tab w:val="center" w:pos="4410" w:leader="none"/>
          <w:tab w:val="right" w:pos="8730" w:leader="none"/>
          <w:tab w:val="right" w:pos="8789" w:leader="none"/>
        </w:tabs>
        <w:spacing w:lineRule="auto" w:line="240"/>
        <w:rPr/>
      </w:pPr>
      <w:r>
        <w:rPr>
          <w:rFonts w:cs="Arial" w:ascii="Arial" w:hAnsi="Arial"/>
          <w:sz w:val="18"/>
          <w:szCs w:val="18"/>
          <w:lang w:val="en-US" w:bidi="ar-SA"/>
        </w:rPr>
        <w:t xml:space="preserve">Lastly, the correction factor </w:t>
      </w:r>
      <w:r>
        <w:rPr>
          <w:rFonts w:cs="Arial" w:ascii="Arial" w:hAnsi="Arial"/>
          <w:i/>
          <w:iCs/>
          <w:sz w:val="18"/>
          <w:szCs w:val="18"/>
          <w:lang w:val="en-US" w:bidi="ar-SA"/>
        </w:rPr>
        <w:t>F</w:t>
      </w:r>
      <w:r>
        <w:rPr>
          <w:rFonts w:cs="Arial" w:ascii="Arial" w:hAnsi="Arial"/>
          <w:i/>
          <w:iCs/>
          <w:sz w:val="18"/>
          <w:szCs w:val="18"/>
          <w:vertAlign w:val="subscript"/>
          <w:lang w:val="en-US" w:bidi="ar-SA"/>
        </w:rPr>
        <w:t>c</w:t>
      </w:r>
      <w:r>
        <w:rPr>
          <w:rFonts w:cs="Arial" w:ascii="Arial" w:hAnsi="Arial"/>
          <w:sz w:val="18"/>
          <w:szCs w:val="18"/>
          <w:lang w:val="en-US" w:bidi="ar-SA"/>
        </w:rPr>
        <w:t xml:space="preserve"> in Eq. (2) serves to account for the nonsphericity as well as the polarity and the hydrogen bonding (self association) of the substance of interest as follows:</w:t>
      </w:r>
    </w:p>
    <w:p>
      <w:pPr>
        <w:pStyle w:val="Footer"/>
        <w:tabs>
          <w:tab w:val="clear" w:pos="720"/>
          <w:tab w:val="center" w:pos="4410" w:leader="none"/>
          <w:tab w:val="right" w:pos="8730" w:leader="none"/>
          <w:tab w:val="right" w:pos="8789" w:leader="none"/>
        </w:tabs>
        <w:spacing w:lineRule="auto" w:line="240"/>
        <w:rPr>
          <w:lang w:val="en-US" w:bidi="ar-SA"/>
        </w:rPr>
      </w:pPr>
      <w:r>
        <w:rPr>
          <w:lang w:val="en-US" w:bidi="ar-SA"/>
        </w:rPr>
      </w:r>
    </w:p>
    <w:p>
      <w:pPr>
        <w:pStyle w:val="Normal"/>
        <w:tabs>
          <w:tab w:val="clear" w:pos="720"/>
          <w:tab w:val="right" w:pos="8730" w:leader="none"/>
          <w:tab w:val="right" w:pos="8789" w:leader="none"/>
        </w:tabs>
        <w:spacing w:lineRule="auto" w:line="240"/>
        <w:rPr/>
      </w:pPr>
      <w:r>
        <w:rPr/>
      </w:r>
      <m:oMath xmlns:m="http://schemas.openxmlformats.org/officeDocument/2006/math">
        <m:sSub>
          <m:e>
            <m:r>
              <w:rPr>
                <w:rFonts w:ascii="Cambria Math" w:hAnsi="Cambria Math"/>
              </w:rPr>
              <m:t xml:space="preserve">F</m:t>
            </m:r>
          </m:e>
          <m:sub>
            <m:r>
              <w:rPr>
                <w:rFonts w:ascii="Cambria Math" w:hAnsi="Cambria Math"/>
              </w:rPr>
              <m:t xml:space="preserve">c</m:t>
            </m:r>
          </m:sub>
        </m:sSub>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2756</m:t>
        </m:r>
        <m:r>
          <w:rPr>
            <w:rFonts w:ascii="Cambria Math" w:hAnsi="Cambria Math"/>
          </w:rPr>
          <m:t xml:space="preserve">ω</m:t>
        </m:r>
        <m:r>
          <w:rPr>
            <w:rFonts w:ascii="Cambria Math" w:hAnsi="Cambria Math"/>
          </w:rPr>
          <m:t xml:space="preserve">+</m:t>
        </m:r>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059035</m:t>
        </m:r>
        <m:sSubSup>
          <m:e>
            <m:r>
              <w:rPr>
                <w:rFonts w:ascii="Cambria Math" w:hAnsi="Cambria Math"/>
              </w:rPr>
              <m:t xml:space="preserve">μ</m:t>
            </m:r>
          </m:e>
          <m:sub>
            <m:r>
              <w:rPr>
                <w:rFonts w:ascii="Cambria Math" w:hAnsi="Cambria Math"/>
              </w:rPr>
              <m:t xml:space="preserve">r</m:t>
            </m:r>
          </m:sub>
          <m:sup>
            <m:r>
              <w:rPr>
                <w:rFonts w:ascii="Cambria Math" w:hAnsi="Cambria Math"/>
              </w:rPr>
              <m:t xml:space="preserve">4</m:t>
            </m:r>
          </m:sup>
        </m:sSubSup>
        <m:r>
          <w:rPr>
            <w:rFonts w:ascii="Cambria Math" w:hAnsi="Cambria Math"/>
          </w:rPr>
          <m:t xml:space="preserve">+</m:t>
        </m:r>
        <m:r>
          <w:rPr>
            <w:rFonts w:ascii="Cambria Math" w:hAnsi="Cambria Math"/>
          </w:rPr>
          <m:t xml:space="preserve">κ</m:t>
        </m:r>
      </m:oMath>
      <w:r>
        <w:rPr>
          <w:rFonts w:cs="Arial" w:ascii="Arial" w:hAnsi="Arial"/>
          <w:sz w:val="18"/>
          <w:szCs w:val="18"/>
          <w:lang w:val="en-US" w:bidi="ar-SA"/>
        </w:rPr>
        <w:tab/>
        <w:t>(5)</w:t>
      </w:r>
    </w:p>
    <w:p>
      <w:pPr>
        <w:pStyle w:val="Footer"/>
        <w:tabs>
          <w:tab w:val="clear" w:pos="720"/>
          <w:tab w:val="right" w:pos="8730" w:leader="none"/>
          <w:tab w:val="right" w:pos="8789" w:leader="none"/>
        </w:tabs>
        <w:spacing w:lineRule="auto" w:line="240"/>
        <w:rPr>
          <w:lang w:val="en-US" w:bidi="ar-SA"/>
        </w:rPr>
      </w:pPr>
      <w:r>
        <w:rPr>
          <w:lang w:val="en-US" w:bidi="ar-SA"/>
        </w:rPr>
      </w:r>
    </w:p>
    <w:p>
      <w:pPr>
        <w:pStyle w:val="Footer"/>
        <w:tabs>
          <w:tab w:val="clear" w:pos="720"/>
          <w:tab w:val="center" w:pos="4410" w:leader="none"/>
          <w:tab w:val="right" w:pos="8730" w:leader="none"/>
          <w:tab w:val="right" w:pos="8789" w:leader="none"/>
        </w:tabs>
        <w:spacing w:lineRule="auto" w:line="240"/>
        <w:rPr/>
      </w:pPr>
      <w:r>
        <w:rPr>
          <w:rFonts w:eastAsia="Arial" w:cs="Arial" w:ascii="Arial" w:hAnsi="Arial"/>
          <w:sz w:val="18"/>
          <w:szCs w:val="18"/>
          <w:lang w:val="en-US" w:bidi="ar-SA"/>
        </w:rPr>
        <w:t xml:space="preserve"> </w:t>
      </w:r>
      <w:r>
        <w:rPr>
          <w:rFonts w:cs="Arial" w:ascii="Arial" w:hAnsi="Arial"/>
          <w:sz w:val="18"/>
          <w:szCs w:val="18"/>
          <w:lang w:val="en-US" w:bidi="ar-SA"/>
        </w:rPr>
        <w:t xml:space="preserve">where </w:t>
      </w:r>
      <w:r>
        <w:rPr>
          <w:rFonts w:cs="Arial" w:ascii="Arial" w:hAnsi="Arial"/>
          <w:i/>
          <w:iCs/>
          <w:sz w:val="18"/>
          <w:szCs w:val="18"/>
          <w:lang w:val="en-US" w:bidi="ar-SA"/>
        </w:rPr>
        <w:t>ω</w:t>
      </w:r>
      <w:r>
        <w:rPr>
          <w:rFonts w:cs="Arial" w:ascii="Arial" w:hAnsi="Arial"/>
          <w:sz w:val="18"/>
          <w:szCs w:val="18"/>
          <w:lang w:val="en-US" w:bidi="ar-SA"/>
        </w:rPr>
        <w:t xml:space="preserve"> is the acentric factor, </w:t>
      </w:r>
      <w:r>
        <w:rPr>
          <w:rFonts w:cs="Arial" w:ascii="Arial" w:hAnsi="Arial"/>
          <w:i/>
          <w:iCs/>
          <w:sz w:val="18"/>
          <w:szCs w:val="18"/>
          <w:lang w:val="en-US" w:bidi="ar-SA"/>
        </w:rPr>
        <w:t>μ</w:t>
      </w:r>
      <w:r>
        <w:rPr>
          <w:rFonts w:cs="Arial" w:ascii="Arial" w:hAnsi="Arial"/>
          <w:i/>
          <w:iCs/>
          <w:sz w:val="18"/>
          <w:szCs w:val="18"/>
          <w:vertAlign w:val="subscript"/>
          <w:lang w:val="en-US" w:bidi="ar-SA"/>
        </w:rPr>
        <w:t>r</w:t>
      </w:r>
      <w:r>
        <w:rPr>
          <w:rFonts w:cs="Arial" w:ascii="Arial" w:hAnsi="Arial"/>
          <w:sz w:val="18"/>
          <w:szCs w:val="18"/>
          <w:lang w:val="en-US" w:bidi="ar-SA"/>
        </w:rPr>
        <w:t xml:space="preserve"> is a dimensionless dipole moment (greater than zero for polar substances), and </w:t>
      </w:r>
      <w:r>
        <w:rPr>
          <w:rFonts w:cs="Arial" w:ascii="Arial" w:hAnsi="Arial"/>
          <w:i/>
          <w:iCs/>
          <w:sz w:val="18"/>
          <w:szCs w:val="18"/>
          <w:lang w:val="en-US" w:bidi="ar-SA"/>
        </w:rPr>
        <w:t>κ</w:t>
      </w:r>
      <w:r>
        <w:rPr>
          <w:rFonts w:cs="Arial" w:ascii="Arial" w:hAnsi="Arial"/>
          <w:sz w:val="18"/>
          <w:szCs w:val="18"/>
          <w:lang w:val="en-US" w:bidi="ar-SA"/>
        </w:rPr>
        <w:t xml:space="preserve"> is an empirical factor for the hydrogen bonding formation. Values of </w:t>
      </w:r>
      <w:r>
        <w:rPr>
          <w:rFonts w:cs="Arial" w:ascii="Arial" w:hAnsi="Arial"/>
          <w:i/>
          <w:iCs/>
          <w:sz w:val="18"/>
          <w:szCs w:val="18"/>
          <w:lang w:val="en-US" w:bidi="ar-SA"/>
        </w:rPr>
        <w:t>κ</w:t>
      </w:r>
      <w:r>
        <w:rPr>
          <w:rFonts w:cs="Arial" w:ascii="Arial" w:hAnsi="Arial"/>
          <w:sz w:val="18"/>
          <w:szCs w:val="18"/>
          <w:lang w:val="en-US" w:bidi="ar-SA"/>
        </w:rPr>
        <w:t xml:space="preserve"> have been also given by Chung et al. (1988).</w:t>
      </w:r>
    </w:p>
    <w:p>
      <w:pPr>
        <w:pStyle w:val="Footer"/>
        <w:tabs>
          <w:tab w:val="clear" w:pos="720"/>
          <w:tab w:val="center" w:pos="4410" w:leader="none"/>
          <w:tab w:val="right" w:pos="8730" w:leader="none"/>
          <w:tab w:val="right" w:pos="8789" w:leader="none"/>
        </w:tabs>
        <w:spacing w:lineRule="auto" w:line="240"/>
        <w:rPr>
          <w:lang w:val="en-US" w:bidi="ar-SA"/>
        </w:rPr>
      </w:pPr>
      <w:r>
        <w:rPr>
          <w:lang w:val="en-US" w:bidi="ar-SA"/>
        </w:rPr>
      </w:r>
    </w:p>
    <w:p>
      <w:pPr>
        <w:pStyle w:val="Footer"/>
        <w:tabs>
          <w:tab w:val="clear" w:pos="720"/>
          <w:tab w:val="center" w:pos="4410" w:leader="none"/>
          <w:tab w:val="right" w:pos="8730" w:leader="none"/>
          <w:tab w:val="right" w:pos="8789" w:leader="none"/>
        </w:tabs>
        <w:spacing w:lineRule="auto" w:line="240"/>
        <w:rPr>
          <w:lang w:val="en-US" w:bidi="ar-SA"/>
        </w:rPr>
      </w:pPr>
      <w:r>
        <w:rPr>
          <w:lang w:val="en-US" w:bidi="ar-SA"/>
        </w:rPr>
      </w:r>
    </w:p>
    <w:p>
      <w:pPr>
        <w:pStyle w:val="CETBodytext"/>
        <w:spacing w:lineRule="auto" w:line="240"/>
        <w:rPr>
          <w:b/>
          <w:b/>
          <w:bCs/>
          <w:lang w:val="en-US" w:bidi="ar-SA"/>
        </w:rPr>
      </w:pPr>
      <w:r>
        <w:rPr>
          <w:b/>
          <w:bCs/>
          <w:lang w:val="en-US" w:bidi="ar-SA"/>
        </w:rPr>
        <w:t>2.2 Dense-State Contribution</w:t>
      </w:r>
    </w:p>
    <w:p>
      <w:pPr>
        <w:pStyle w:val="CETBodytext"/>
        <w:spacing w:lineRule="auto" w:line="240"/>
        <w:rPr>
          <w:b/>
          <w:b/>
          <w:bCs/>
          <w:lang w:val="en-US" w:bidi="ar-SA"/>
        </w:rPr>
      </w:pPr>
      <w:r>
        <w:rPr>
          <w:b/>
          <w:bCs/>
          <w:lang w:val="en-US" w:bidi="ar-SA"/>
        </w:rPr>
      </w:r>
    </w:p>
    <w:p>
      <w:pPr>
        <w:pStyle w:val="CETBodytext"/>
        <w:rPr>
          <w:rFonts w:eastAsia="MS Mincho;ＭＳ 明朝"/>
          <w:szCs w:val="18"/>
          <w:lang w:val="en-US" w:eastAsia="ja-JP" w:bidi="ar-SA"/>
        </w:rPr>
      </w:pPr>
      <w:r>
        <w:rPr>
          <w:rFonts w:eastAsia="MS Mincho;ＭＳ 明朝"/>
          <w:szCs w:val="18"/>
          <w:lang w:val="en-US" w:eastAsia="ja-JP" w:bidi="ar-SA"/>
        </w:rPr>
        <w:t>The dense-state term, that is, the viscosity of the fluid at high density, is estimated via the use of the current form of the FVT which originally visualizes the molecules of a fluid as consisting of hard spheres connected by a spring. This visualization (the generalized dumbbell model) allowed Allal et al (2001a), on the one hand, to link viscosity of the dense-state to the micro-structure of the molecule through a microscopic friction factor; and on the other hand, by means of the fluctuation-dissipation theory, they were able to relate the free-volume fraction with a intermolecular energy responsible of controlling the potential field through which the molecular diffusion occurs. The final form of their FVT-based proposal for the dense-state viscosity is given by,</w:t>
      </w:r>
    </w:p>
    <w:p>
      <w:pPr>
        <w:pStyle w:val="CETBodytext"/>
        <w:spacing w:lineRule="auto" w:line="240"/>
        <w:rPr>
          <w:rFonts w:cs="Arial"/>
          <w:sz w:val="18"/>
          <w:szCs w:val="18"/>
          <w:lang w:val="en-US" w:bidi="ar-SA"/>
        </w:rPr>
      </w:pPr>
      <w:r>
        <w:rPr>
          <w:rFonts w:cs="Arial"/>
          <w:sz w:val="18"/>
          <w:szCs w:val="18"/>
          <w:lang w:val="en-US" w:bidi="ar-SA"/>
        </w:rPr>
      </w:r>
    </w:p>
    <w:p>
      <w:pPr>
        <w:pStyle w:val="Normal"/>
        <w:tabs>
          <w:tab w:val="clear" w:pos="720"/>
          <w:tab w:val="right" w:pos="8789" w:leader="none"/>
        </w:tabs>
        <w:spacing w:lineRule="auto" w:line="240"/>
        <w:rPr/>
      </w:pPr>
      <w:r>
        <w:rPr/>
      </w:r>
      <m:oMath xmlns:m="http://schemas.openxmlformats.org/officeDocument/2006/math">
        <m:r>
          <w:rPr>
            <w:rFonts w:ascii="Cambria Math" w:hAnsi="Cambria Math"/>
          </w:rPr>
          <m:t xml:space="preserve">Δ</m:t>
        </m:r>
        <m:f>
          <m:fPr>
            <m:type m:val="lin"/>
          </m:fPr>
          <m:num>
            <m:r>
              <w:rPr>
                <w:rFonts w:ascii="Cambria Math" w:hAnsi="Cambria Math"/>
              </w:rPr>
              <m:t xml:space="preserve">η</m:t>
            </m:r>
          </m:num>
          <m:den>
            <m:r>
              <m:rPr>
                <m:lit/>
                <m:nor/>
              </m:rPr>
              <w:rPr>
                <w:rFonts w:ascii="Cambria Math" w:hAnsi="Cambria Math"/>
              </w:rPr>
              <m:t xml:space="preserve">mPa·s</m:t>
            </m:r>
          </m:den>
        </m:f>
        <m:r>
          <w:rPr>
            <w:rFonts w:ascii="Cambria Math" w:hAnsi="Cambria Math"/>
          </w:rPr>
          <m:t xml:space="preserve">=</m:t>
        </m:r>
        <m:r>
          <w:rPr>
            <w:rFonts w:ascii="Cambria Math" w:hAnsi="Cambria Math"/>
          </w:rPr>
          <m:t xml:space="preserve">1</m:t>
        </m:r>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r>
          <w:rPr>
            <w:rFonts w:ascii="Cambria Math" w:hAnsi="Cambria Math"/>
          </w:rPr>
          <m:t xml:space="preserve">ρ</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E</m:t>
        </m:r>
        <m:rad>
          <m:radPr>
            <m:degHide m:val="1"/>
          </m:radPr>
          <m:deg/>
          <m:e>
            <m:f>
              <m:num>
                <m:sSup>
                  <m:e>
                    <m:r>
                      <m:rPr>
                        <m:lit/>
                        <m:nor/>
                      </m:rPr>
                      <w:rPr>
                        <w:rFonts w:ascii="Cambria Math" w:hAnsi="Cambria Math"/>
                      </w:rPr>
                      <m:t xml:space="preserve">10</m:t>
                    </m:r>
                  </m:e>
                  <m:sup>
                    <m:r>
                      <w:rPr>
                        <w:rFonts w:ascii="Cambria Math" w:hAnsi="Cambria Math"/>
                      </w:rPr>
                      <m:t xml:space="preserve">3</m:t>
                    </m:r>
                  </m:sup>
                </m:sSup>
                <m:r>
                  <w:rPr>
                    <w:rFonts w:ascii="Cambria Math" w:hAnsi="Cambria Math"/>
                  </w:rPr>
                  <m:t xml:space="preserve">M</m:t>
                </m:r>
              </m:num>
              <m:den>
                <m:r>
                  <w:rPr>
                    <w:rFonts w:ascii="Cambria Math" w:hAnsi="Cambria Math"/>
                  </w:rPr>
                  <m:t xml:space="preserve">3</m:t>
                </m:r>
                <m:r>
                  <w:rPr>
                    <w:rFonts w:ascii="Cambria Math" w:hAnsi="Cambria Math"/>
                  </w:rPr>
                  <m:t xml:space="preserve">RT</m:t>
                </m:r>
              </m:den>
            </m:f>
          </m:e>
        </m:rad>
        <m:r>
          <w:rPr>
            <w:rFonts w:ascii="Cambria Math" w:hAnsi="Cambria Math"/>
          </w:rPr>
          <m:t xml:space="preserve">⋅</m:t>
        </m:r>
        <m:r>
          <m:rPr>
            <m:lit/>
            <m:nor/>
          </m:rPr>
          <w:rPr>
            <w:rFonts w:ascii="Cambria Math" w:hAnsi="Cambria Math"/>
          </w:rPr>
          <m:t xml:space="preserve">exp</m:t>
        </m:r>
        <m:d>
          <m:dPr>
            <m:begChr m:val="("/>
            <m:endChr m:val=")"/>
          </m:dPr>
          <m:e>
            <m:r>
              <w:rPr>
                <w:rFonts w:ascii="Cambria Math" w:hAnsi="Cambria Math"/>
              </w:rPr>
              <m:t xml:space="preserve">B</m:t>
            </m:r>
            <m:sSup>
              <m:e>
                <m:d>
                  <m:dPr>
                    <m:begChr m:val="("/>
                    <m:endChr m:val=")"/>
                  </m:dPr>
                  <m:e>
                    <m:f>
                      <m:num>
                        <m:r>
                          <w:rPr>
                            <w:rFonts w:ascii="Cambria Math" w:hAnsi="Cambria Math"/>
                          </w:rPr>
                          <m:t xml:space="preserve">E</m:t>
                        </m:r>
                      </m:num>
                      <m:den>
                        <m:r>
                          <w:rPr>
                            <w:rFonts w:ascii="Cambria Math" w:hAnsi="Cambria Math"/>
                          </w:rPr>
                          <m:t xml:space="preserve">RT</m:t>
                        </m:r>
                      </m:den>
                    </m:f>
                  </m:e>
                </m:d>
              </m:e>
              <m:sup>
                <m:f>
                  <m:fPr>
                    <m:type m:val="lin"/>
                  </m:fPr>
                  <m:num>
                    <m:r>
                      <w:rPr>
                        <w:rFonts w:ascii="Cambria Math" w:hAnsi="Cambria Math"/>
                      </w:rPr>
                      <m:t xml:space="preserve">3</m:t>
                    </m:r>
                  </m:num>
                  <m:den>
                    <m:r>
                      <w:rPr>
                        <w:rFonts w:ascii="Cambria Math" w:hAnsi="Cambria Math"/>
                      </w:rPr>
                      <m:t xml:space="preserve">2</m:t>
                    </m:r>
                  </m:den>
                </m:f>
              </m:sup>
            </m:sSup>
          </m:e>
        </m:d>
      </m:oMath>
      <w:r>
        <w:rPr>
          <w:lang w:val="en-US" w:bidi="ar-SA"/>
        </w:rPr>
        <w:t xml:space="preserve">  </w:t>
      </w:r>
      <w:r>
        <w:rPr>
          <w:rFonts w:cs="Arial" w:ascii="Arial" w:hAnsi="Arial"/>
          <w:sz w:val="18"/>
          <w:szCs w:val="18"/>
          <w:lang w:val="en-US" w:bidi="ar-SA"/>
        </w:rPr>
        <w:tab/>
        <w:t>(6)</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Textoindependiente21"/>
        <w:tabs>
          <w:tab w:val="clear" w:pos="720"/>
          <w:tab w:val="right" w:pos="8789" w:leader="none"/>
        </w:tabs>
        <w:spacing w:lineRule="auto" w:line="240"/>
        <w:rPr/>
      </w:pPr>
      <w:r>
        <w:rPr>
          <w:rFonts w:cs="Arial" w:ascii="Arial" w:hAnsi="Arial"/>
          <w:sz w:val="18"/>
          <w:szCs w:val="18"/>
          <w:lang w:val="en-US" w:bidi="ar-SA"/>
        </w:rPr>
        <w:t xml:space="preserve">where </w:t>
      </w:r>
      <w:r>
        <w:rPr>
          <w:rFonts w:eastAsia="Times New Roman" w:cs="DejaVu Serif" w:ascii="DejaVu Serif" w:hAnsi="DejaVu Serif"/>
          <w:i/>
          <w:iCs/>
          <w:sz w:val="18"/>
          <w:szCs w:val="18"/>
          <w:lang w:val="en-US" w:bidi="ar-SA"/>
        </w:rPr>
        <w:t>ρ</w:t>
      </w:r>
      <w:r>
        <w:rPr>
          <w:rFonts w:eastAsia="Times New Roman" w:cs="Arial" w:ascii="Arial" w:hAnsi="Arial"/>
          <w:i/>
          <w:iCs/>
          <w:sz w:val="18"/>
          <w:szCs w:val="18"/>
          <w:lang w:val="en-US" w:bidi="ar-SA"/>
        </w:rPr>
        <w:t xml:space="preserve"> </w:t>
      </w:r>
      <w:r>
        <w:rPr>
          <w:rFonts w:eastAsia="Times New Roman" w:cs="Arial" w:ascii="Arial" w:hAnsi="Arial"/>
          <w:i w:val="false"/>
          <w:iCs w:val="false"/>
          <w:sz w:val="18"/>
          <w:szCs w:val="18"/>
          <w:lang w:val="en-US" w:bidi="ar-SA"/>
        </w:rPr>
        <w:t>is</w:t>
      </w:r>
      <w:r>
        <w:rPr>
          <w:rFonts w:cs="Arial" w:ascii="Arial" w:hAnsi="Arial"/>
          <w:i w:val="false"/>
          <w:iCs w:val="false"/>
          <w:sz w:val="18"/>
          <w:szCs w:val="18"/>
          <w:lang w:val="en-US" w:bidi="ar-SA"/>
        </w:rPr>
        <w:t xml:space="preserve"> t</w:t>
      </w:r>
      <w:r>
        <w:rPr>
          <w:rFonts w:cs="Arial" w:ascii="Arial" w:hAnsi="Arial"/>
          <w:sz w:val="18"/>
          <w:szCs w:val="18"/>
          <w:lang w:val="en-US" w:bidi="ar-SA"/>
        </w:rPr>
        <w:t>he molar density in mol/cm</w:t>
      </w:r>
      <w:r>
        <w:rPr>
          <w:rFonts w:cs="Arial" w:ascii="Arial" w:hAnsi="Arial"/>
          <w:sz w:val="18"/>
          <w:szCs w:val="18"/>
          <w:vertAlign w:val="superscript"/>
          <w:lang w:val="en-US" w:bidi="ar-SA"/>
        </w:rPr>
        <w:t>3</w:t>
      </w:r>
      <w:r>
        <w:rPr>
          <w:rFonts w:cs="Arial" w:ascii="Arial" w:hAnsi="Arial"/>
          <w:sz w:val="18"/>
          <w:szCs w:val="18"/>
          <w:lang w:val="en-US" w:bidi="ar-SA"/>
        </w:rPr>
        <w:t xml:space="preserve">, </w:t>
      </w:r>
      <w:r>
        <w:rPr>
          <w:rFonts w:cs="Arial" w:ascii="Arial" w:hAnsi="Arial"/>
          <w:i/>
          <w:iCs/>
          <w:sz w:val="18"/>
          <w:szCs w:val="18"/>
          <w:lang w:val="en-US" w:bidi="ar-SA"/>
        </w:rPr>
        <w:t>M</w:t>
      </w:r>
      <w:r>
        <w:rPr>
          <w:rFonts w:cs="Arial" w:ascii="Arial" w:hAnsi="Arial"/>
          <w:sz w:val="18"/>
          <w:szCs w:val="18"/>
          <w:lang w:val="en-US" w:bidi="ar-SA"/>
        </w:rPr>
        <w:t xml:space="preserve"> is the molar mass in g/mol, </w:t>
      </w:r>
      <w:r>
        <w:rPr>
          <w:rFonts w:cs="Arial" w:ascii="Arial" w:hAnsi="Arial"/>
          <w:i/>
          <w:iCs/>
          <w:sz w:val="18"/>
          <w:szCs w:val="18"/>
          <w:lang w:val="en-US" w:bidi="ar-SA"/>
        </w:rPr>
        <w:t>R</w:t>
      </w:r>
      <w:r>
        <w:rPr>
          <w:rFonts w:cs="Arial" w:ascii="Arial" w:hAnsi="Arial"/>
          <w:sz w:val="18"/>
          <w:szCs w:val="18"/>
          <w:lang w:val="en-US" w:bidi="ar-SA"/>
        </w:rPr>
        <w:t xml:space="preserve"> is the universal gas constant (8.3144598 J/mol-K), </w:t>
      </w:r>
      <w:r>
        <w:rPr>
          <w:rFonts w:cs="Arial" w:ascii="Arial" w:hAnsi="Arial"/>
          <w:i/>
          <w:iCs/>
          <w:sz w:val="18"/>
          <w:szCs w:val="18"/>
          <w:lang w:val="en-US" w:bidi="ar-SA"/>
        </w:rPr>
        <w:t>T</w:t>
      </w:r>
      <w:r>
        <w:rPr>
          <w:rFonts w:cs="Arial" w:ascii="Arial" w:hAnsi="Arial"/>
          <w:sz w:val="18"/>
          <w:szCs w:val="18"/>
          <w:lang w:val="en-US" w:bidi="ar-SA"/>
        </w:rPr>
        <w:t xml:space="preserve"> is the absolute temperature in K and </w:t>
      </w:r>
      <w:r>
        <w:rPr>
          <w:rFonts w:cs="Arial" w:ascii="Arial" w:hAnsi="Arial"/>
          <w:i/>
          <w:iCs/>
          <w:sz w:val="18"/>
          <w:szCs w:val="18"/>
          <w:lang w:val="en-US" w:bidi="ar-SA"/>
        </w:rPr>
        <w:t>E</w:t>
      </w:r>
      <w:r>
        <w:rPr>
          <w:rFonts w:cs="Arial" w:ascii="Arial" w:hAnsi="Arial"/>
          <w:sz w:val="18"/>
          <w:szCs w:val="18"/>
          <w:lang w:val="en-US" w:bidi="ar-SA"/>
        </w:rPr>
        <w:t xml:space="preserve"> is an approximation of the aforementioned intermolecular energy which in turn is estimated from the sum of two energy terms:</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Normal"/>
        <w:tabs>
          <w:tab w:val="clear" w:pos="720"/>
          <w:tab w:val="right" w:pos="8789" w:leader="none"/>
        </w:tabs>
        <w:spacing w:lineRule="auto" w:line="240"/>
        <w:rPr/>
      </w:pPr>
      <w:r>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ρ</m:t>
        </m:r>
        <m:r>
          <w:rPr>
            <w:rFonts w:ascii="Cambria Math" w:hAnsi="Cambria Math"/>
          </w:rPr>
          <m:t xml:space="preserve">⋅</m:t>
        </m:r>
        <m:r>
          <w:rPr>
            <w:rFonts w:ascii="Cambria Math" w:hAnsi="Cambria Math"/>
          </w:rPr>
          <m:t xml:space="preserve">M</m:t>
        </m:r>
        <m:r>
          <w:rPr>
            <w:rFonts w:ascii="Cambria Math" w:hAnsi="Cambria Math"/>
          </w:rPr>
          <m:t xml:space="preserve">×</m:t>
        </m:r>
        <m:sSup>
          <m:e>
            <m:r>
              <w:rPr>
                <w:rFonts w:ascii="Cambria Math" w:hAnsi="Cambria Math"/>
              </w:rPr>
              <m:t xml:space="preserve">10</m:t>
            </m:r>
          </m:e>
          <m:sup>
            <m:r>
              <w:rPr>
                <w:rFonts w:ascii="Cambria Math" w:hAnsi="Cambria Math"/>
              </w:rPr>
              <m:t xml:space="preserve">3</m:t>
            </m:r>
          </m:sup>
        </m:sSup>
        <m:r>
          <w:rPr>
            <w:rFonts w:ascii="Cambria Math" w:hAnsi="Cambria Math"/>
          </w:rPr>
          <m:t xml:space="preserve">+</m:t>
        </m:r>
        <m:f>
          <m:num>
            <m:r>
              <w:rPr>
                <w:rFonts w:ascii="Cambria Math" w:hAnsi="Cambria Math"/>
              </w:rPr>
              <m:t xml:space="preserve">P</m:t>
            </m:r>
          </m:num>
          <m:den>
            <m:r>
              <w:rPr>
                <w:rFonts w:ascii="Cambria Math" w:hAnsi="Cambria Math"/>
              </w:rPr>
              <m:t xml:space="preserve">ρ</m:t>
            </m:r>
          </m:den>
        </m:f>
      </m:oMath>
      <w:r>
        <w:rPr>
          <w:rFonts w:cs="Arial" w:ascii="Arial" w:hAnsi="Arial"/>
          <w:sz w:val="18"/>
          <w:szCs w:val="18"/>
          <w:lang w:val="en-US" w:bidi="ar-SA"/>
        </w:rPr>
        <w:tab/>
        <w:t>(7)</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Footer"/>
        <w:tabs>
          <w:tab w:val="clear" w:pos="720"/>
          <w:tab w:val="center" w:pos="4410" w:leader="none"/>
          <w:tab w:val="right" w:pos="8730" w:leader="none"/>
          <w:tab w:val="right" w:pos="8789" w:leader="none"/>
        </w:tabs>
        <w:spacing w:lineRule="auto" w:line="240"/>
        <w:rPr/>
      </w:pPr>
      <w:r>
        <w:rPr>
          <w:rFonts w:eastAsia="MS Mincho;ＭＳ 明朝" w:cs="Arial" w:ascii="Arial" w:hAnsi="Arial"/>
          <w:bCs/>
          <w:sz w:val="18"/>
          <w:szCs w:val="18"/>
          <w:lang w:val="en-US" w:eastAsia="ja-JP" w:bidi="ar-SA"/>
        </w:rPr>
        <w:t>here the first term represents an energy barrier that a molecule has to overcome in order to diffuse whereas the second term stands for the energy required to form vacant sites so that diffusion can take place; the latter is given in terms of pressure (</w:t>
      </w:r>
      <w:r>
        <w:rPr>
          <w:rFonts w:eastAsia="MS Mincho;ＭＳ 明朝" w:cs="Arial" w:ascii="Arial" w:hAnsi="Arial"/>
          <w:bCs/>
          <w:i/>
          <w:iCs/>
          <w:sz w:val="18"/>
          <w:szCs w:val="18"/>
          <w:lang w:val="en-US" w:eastAsia="ja-JP" w:bidi="ar-SA"/>
        </w:rPr>
        <w:t>P</w:t>
      </w:r>
      <w:r>
        <w:rPr>
          <w:rFonts w:eastAsia="MS Mincho;ＭＳ 明朝" w:cs="Arial" w:ascii="Arial" w:hAnsi="Arial"/>
          <w:bCs/>
          <w:sz w:val="18"/>
          <w:szCs w:val="18"/>
          <w:lang w:val="en-US" w:eastAsia="ja-JP" w:bidi="ar-SA"/>
        </w:rPr>
        <w:t xml:space="preserve">) in MPa and molar density. Eqs. (6) and (7) demonstrate that the FVT model contains three characteristic parameters: </w:t>
      </w:r>
      <w:r>
        <w:rPr>
          <w:rFonts w:eastAsia="MS Mincho;ＭＳ 明朝" w:cs="Arial" w:ascii="Arial" w:hAnsi="Arial"/>
          <w:bCs/>
          <w:i/>
          <w:iCs/>
          <w:sz w:val="18"/>
          <w:szCs w:val="18"/>
          <w:lang w:val="en-US" w:eastAsia="ja-JP" w:bidi="ar-SA"/>
        </w:rPr>
        <w:t>L</w:t>
      </w:r>
      <w:r>
        <w:rPr>
          <w:rFonts w:eastAsia="MS Mincho;ＭＳ 明朝" w:cs="Arial" w:ascii="Arial" w:hAnsi="Arial"/>
          <w:bCs/>
          <w:sz w:val="18"/>
          <w:szCs w:val="18"/>
          <w:lang w:val="en-US" w:eastAsia="ja-JP" w:bidi="ar-SA"/>
        </w:rPr>
        <w:t xml:space="preserve"> is a length parameter in</w:t>
      </w:r>
      <w:r>
        <w:rPr>
          <w:rFonts w:eastAsia="MS Mincho;ＭＳ 明朝" w:cs="DejaVu Serif" w:ascii="DejaVu Serif" w:hAnsi="DejaVu Serif"/>
          <w:bCs/>
          <w:sz w:val="18"/>
          <w:szCs w:val="18"/>
          <w:lang w:val="en-US" w:eastAsia="ja-JP" w:bidi="ar-SA"/>
        </w:rPr>
        <w:t xml:space="preserve"> Å </w:t>
      </w:r>
      <w:r>
        <w:rPr>
          <w:rFonts w:cs="Arial" w:ascii="Arial" w:hAnsi="Arial"/>
          <w:sz w:val="18"/>
          <w:szCs w:val="18"/>
          <w:lang w:val="en-US" w:bidi="ar-SA"/>
        </w:rPr>
        <w:t xml:space="preserve">that captures both an average quadratic length (size of the molecule) and a length of energy dissipation (characteristic relaxation time), </w:t>
      </w:r>
      <w:r>
        <w:rPr>
          <w:rFonts w:eastAsia="Times New Roman" w:cs="Liberation Serif;Times New Roman" w:ascii="Liberation Serif;Times New Roman" w:hAnsi="Liberation Serif;Times New Roman"/>
          <w:i/>
          <w:iCs/>
          <w:sz w:val="21"/>
          <w:szCs w:val="21"/>
          <w:lang w:val="en-US" w:bidi="ar-SA"/>
        </w:rPr>
        <w:t>α</w:t>
      </w:r>
      <w:r>
        <w:rPr>
          <w:rFonts w:cs="Arial" w:ascii="Arial" w:hAnsi="Arial"/>
          <w:sz w:val="18"/>
          <w:szCs w:val="18"/>
          <w:lang w:val="en-US" w:bidi="ar-SA"/>
        </w:rPr>
        <w:t xml:space="preserve"> is the proportionality between the energy barrier and the density in J-m</w:t>
      </w:r>
      <w:r>
        <w:rPr>
          <w:rFonts w:cs="Arial" w:ascii="Arial" w:hAnsi="Arial"/>
          <w:sz w:val="18"/>
          <w:szCs w:val="18"/>
          <w:vertAlign w:val="superscript"/>
          <w:lang w:val="en-US" w:bidi="ar-SA"/>
        </w:rPr>
        <w:t>3</w:t>
      </w:r>
      <w:r>
        <w:rPr>
          <w:rFonts w:cs="Arial" w:ascii="Arial" w:hAnsi="Arial"/>
          <w:sz w:val="18"/>
          <w:szCs w:val="18"/>
          <w:lang w:val="en-US" w:bidi="ar-SA"/>
        </w:rPr>
        <w:t xml:space="preserve">/mol-kg, and </w:t>
      </w:r>
      <w:r>
        <w:rPr>
          <w:rFonts w:cs="Arial" w:ascii="Arial" w:hAnsi="Arial"/>
          <w:i/>
          <w:iCs/>
          <w:sz w:val="18"/>
          <w:szCs w:val="18"/>
          <w:lang w:val="en-US" w:bidi="ar-SA"/>
        </w:rPr>
        <w:t>B</w:t>
      </w:r>
      <w:r>
        <w:rPr>
          <w:rFonts w:cs="Arial" w:ascii="Arial" w:hAnsi="Arial"/>
          <w:sz w:val="18"/>
          <w:szCs w:val="18"/>
          <w:lang w:val="en-US" w:bidi="ar-SA"/>
        </w:rPr>
        <w:t xml:space="preserve"> is a positive number representing the free-volume overlap.</w:t>
      </w:r>
    </w:p>
    <w:p>
      <w:pPr>
        <w:pStyle w:val="Footer"/>
        <w:tabs>
          <w:tab w:val="clear" w:pos="720"/>
          <w:tab w:val="center" w:pos="4410" w:leader="none"/>
          <w:tab w:val="right" w:pos="8730" w:leader="none"/>
          <w:tab w:val="right" w:pos="8789" w:leader="none"/>
        </w:tabs>
        <w:spacing w:lineRule="auto" w:line="240"/>
        <w:rPr>
          <w:lang w:val="en-US" w:bidi="ar-SA"/>
        </w:rPr>
      </w:pPr>
      <w:r>
        <w:rPr>
          <w:lang w:val="en-US" w:bidi="ar-SA"/>
        </w:rPr>
      </w:r>
    </w:p>
    <w:p>
      <w:pPr>
        <w:pStyle w:val="Footer"/>
        <w:tabs>
          <w:tab w:val="clear" w:pos="720"/>
          <w:tab w:val="center" w:pos="4410" w:leader="none"/>
          <w:tab w:val="right" w:pos="8730" w:leader="none"/>
          <w:tab w:val="right" w:pos="8789" w:leader="none"/>
        </w:tabs>
        <w:spacing w:lineRule="auto" w:line="240"/>
        <w:rPr>
          <w:lang w:val="en-US" w:bidi="ar-SA"/>
        </w:rPr>
      </w:pPr>
      <w:r>
        <w:rPr>
          <w:lang w:val="en-US" w:bidi="ar-SA"/>
        </w:rPr>
      </w:r>
    </w:p>
    <w:p>
      <w:pPr>
        <w:pStyle w:val="CETBodytext"/>
        <w:spacing w:lineRule="auto" w:line="240"/>
        <w:rPr>
          <w:b/>
          <w:b/>
          <w:bCs/>
          <w:lang w:val="en-US" w:bidi="ar-SA"/>
        </w:rPr>
      </w:pPr>
      <w:r>
        <w:rPr>
          <w:b/>
          <w:bCs/>
          <w:lang w:val="en-US" w:bidi="ar-SA"/>
        </w:rPr>
        <w:t>2.3 Present Modifications to the FVT approach</w:t>
      </w:r>
    </w:p>
    <w:p>
      <w:pPr>
        <w:pStyle w:val="CETBodytext"/>
        <w:tabs>
          <w:tab w:val="clear" w:pos="7100"/>
          <w:tab w:val="center" w:pos="4410" w:leader="none"/>
          <w:tab w:val="right" w:pos="8730" w:leader="none"/>
          <w:tab w:val="right" w:pos="8789" w:leader="none"/>
        </w:tabs>
        <w:spacing w:lineRule="auto" w:line="240"/>
        <w:rPr>
          <w:b/>
          <w:b/>
          <w:bCs/>
          <w:lang w:val="en-US" w:bidi="ar-SA"/>
        </w:rPr>
      </w:pPr>
      <w:r>
        <w:rPr>
          <w:b/>
          <w:bCs/>
          <w:lang w:val="en-US" w:bidi="ar-SA"/>
        </w:rPr>
      </w:r>
    </w:p>
    <w:p>
      <w:pPr>
        <w:pStyle w:val="Footer"/>
        <w:tabs>
          <w:tab w:val="clear" w:pos="720"/>
          <w:tab w:val="center" w:pos="4410" w:leader="none"/>
          <w:tab w:val="right" w:pos="8730" w:leader="none"/>
          <w:tab w:val="right" w:pos="8789" w:leader="none"/>
        </w:tabs>
        <w:spacing w:lineRule="auto" w:line="240"/>
        <w:rPr/>
      </w:pPr>
      <w:r>
        <w:rPr>
          <w:rFonts w:cs="Arial" w:ascii="Arial" w:hAnsi="Arial"/>
          <w:sz w:val="18"/>
          <w:szCs w:val="18"/>
          <w:lang w:val="en-US" w:bidi="ar-SA"/>
        </w:rPr>
        <w:t>As a matter of fact, the FVT approach resembles that of the activated-state theory of Eyring (19</w:t>
      </w:r>
      <w:r>
        <w:rPr>
          <w:rFonts w:cs="Arial" w:ascii="Arial" w:hAnsi="Arial"/>
          <w:sz w:val="18"/>
          <w:szCs w:val="18"/>
          <w:lang w:val="en-US" w:bidi="ar-SA"/>
        </w:rPr>
        <w:t>35</w:t>
      </w:r>
      <w:r>
        <w:rPr>
          <w:rFonts w:cs="Arial" w:ascii="Arial" w:hAnsi="Arial"/>
          <w:sz w:val="18"/>
          <w:szCs w:val="18"/>
          <w:lang w:val="en-US" w:bidi="ar-SA"/>
        </w:rPr>
        <w:t xml:space="preserve">) in that both are exponential </w:t>
      </w:r>
      <w:r>
        <w:rPr>
          <w:rFonts w:eastAsia="Times New Roman" w:cs="Arial" w:ascii="Arial" w:hAnsi="Arial"/>
          <w:color w:val="auto"/>
          <w:sz w:val="18"/>
          <w:szCs w:val="18"/>
          <w:lang w:val="en-US" w:eastAsia="zh-CN" w:bidi="ar-SA"/>
        </w:rPr>
        <w:t>forms</w:t>
      </w:r>
      <w:r>
        <w:rPr>
          <w:rFonts w:cs="Arial" w:ascii="Arial" w:hAnsi="Arial"/>
          <w:sz w:val="18"/>
          <w:szCs w:val="18"/>
          <w:lang w:val="en-US" w:bidi="ar-SA"/>
        </w:rPr>
        <w:t xml:space="preserve"> of the Arrhenius type; moreover, they share </w:t>
      </w:r>
      <w:r>
        <w:rPr>
          <w:rFonts w:eastAsia="Times New Roman" w:cs="Arial" w:ascii="Arial" w:hAnsi="Arial"/>
          <w:color w:val="auto"/>
          <w:sz w:val="18"/>
          <w:szCs w:val="18"/>
          <w:lang w:val="en-US" w:eastAsia="zh-CN" w:bidi="ar-SA"/>
        </w:rPr>
        <w:t xml:space="preserve">similar </w:t>
      </w:r>
      <w:r>
        <w:rPr>
          <w:rFonts w:cs="Arial" w:ascii="Arial" w:hAnsi="Arial"/>
          <w:sz w:val="18"/>
          <w:szCs w:val="18"/>
          <w:lang w:val="en-US" w:bidi="ar-SA"/>
        </w:rPr>
        <w:t>expressions of the intermolecular energy present in the exponential term. Following the recent work of Macías-Salinas (201</w:t>
      </w:r>
      <w:r>
        <w:rPr>
          <w:rFonts w:cs="Arial" w:ascii="Arial" w:hAnsi="Arial"/>
          <w:sz w:val="18"/>
          <w:szCs w:val="18"/>
          <w:lang w:val="en-US" w:bidi="ar-SA"/>
        </w:rPr>
        <w:t>8</w:t>
      </w:r>
      <w:r>
        <w:rPr>
          <w:rFonts w:cs="Arial" w:ascii="Arial" w:hAnsi="Arial"/>
          <w:sz w:val="18"/>
          <w:szCs w:val="18"/>
          <w:lang w:val="en-US" w:bidi="ar-SA"/>
        </w:rPr>
        <w:t xml:space="preserve">) who </w:t>
      </w:r>
      <w:r>
        <w:rPr>
          <w:rFonts w:eastAsia="Times New Roman" w:cs="Arial" w:ascii="Arial" w:hAnsi="Arial"/>
          <w:color w:val="auto"/>
          <w:sz w:val="18"/>
          <w:szCs w:val="18"/>
          <w:lang w:val="en-US" w:eastAsia="zh-CN" w:bidi="ar-SA"/>
        </w:rPr>
        <w:t>modified</w:t>
      </w:r>
      <w:r>
        <w:rPr>
          <w:rFonts w:cs="Arial" w:ascii="Arial" w:hAnsi="Arial"/>
          <w:sz w:val="18"/>
          <w:szCs w:val="18"/>
          <w:lang w:val="en-US" w:bidi="ar-SA"/>
        </w:rPr>
        <w:t xml:space="preserve"> the Eyring’s theory to model the viscosity of ionic liquids, the author proposed an activated-state energy expression almost identical to Eq. (7) where his energy barrier (energy necessary for a molecule to overcome a potential barrier and then jump to a vacant site) was related to the residual internal energy. Due to the similarities between the two theories, we opted here to also express the energy barrier in terms of the residual internal energy of the fluid of interest; accordingly, Eq. (7) is modified </w:t>
      </w:r>
      <w:r>
        <w:rPr>
          <w:rFonts w:eastAsia="Times New Roman" w:cs="Arial" w:ascii="Arial" w:hAnsi="Arial"/>
          <w:color w:val="auto"/>
          <w:sz w:val="18"/>
          <w:szCs w:val="18"/>
          <w:lang w:val="en-US" w:eastAsia="zh-CN" w:bidi="ar-SA"/>
        </w:rPr>
        <w:t>as follows</w:t>
      </w:r>
      <w:r>
        <w:rPr>
          <w:rFonts w:cs="Arial" w:ascii="Arial" w:hAnsi="Arial"/>
          <w:sz w:val="18"/>
          <w:szCs w:val="18"/>
          <w:lang w:val="en-US" w:bidi="ar-SA"/>
        </w:rPr>
        <w:t>:</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Normal"/>
        <w:tabs>
          <w:tab w:val="clear" w:pos="720"/>
          <w:tab w:val="right" w:pos="8789" w:leader="none"/>
        </w:tabs>
        <w:spacing w:lineRule="auto" w:line="240"/>
        <w:rPr/>
      </w:pPr>
      <w:r>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Δ</m:t>
        </m:r>
        <m:sSup>
          <m:e>
            <m:r>
              <w:rPr>
                <w:rFonts w:ascii="Cambria Math" w:hAnsi="Cambria Math"/>
              </w:rPr>
              <m:t xml:space="preserve">U</m:t>
            </m:r>
          </m:e>
          <m:sup>
            <m:r>
              <w:rPr>
                <w:rFonts w:ascii="Cambria Math" w:hAnsi="Cambria Math"/>
              </w:rPr>
              <m:t xml:space="preserve">r</m:t>
            </m:r>
          </m:sup>
        </m:sSup>
        <m:r>
          <w:rPr>
            <w:rFonts w:ascii="Cambria Math" w:hAnsi="Cambria Math"/>
          </w:rPr>
          <m:t xml:space="preserve">⋅</m:t>
        </m:r>
        <m:r>
          <w:rPr>
            <w:rFonts w:ascii="Cambria Math" w:hAnsi="Cambria Math"/>
          </w:rPr>
          <m:t xml:space="preserve">RT</m:t>
        </m:r>
        <m:r>
          <w:rPr>
            <w:rFonts w:ascii="Cambria Math" w:hAnsi="Cambria Math"/>
          </w:rPr>
          <m:t xml:space="preserve">+</m:t>
        </m:r>
        <m:f>
          <m:num>
            <m:r>
              <w:rPr>
                <w:rFonts w:ascii="Cambria Math" w:hAnsi="Cambria Math"/>
              </w:rPr>
              <m:t xml:space="preserve">P</m:t>
            </m:r>
          </m:num>
          <m:den>
            <m:r>
              <w:rPr>
                <w:rFonts w:ascii="Cambria Math" w:hAnsi="Cambria Math"/>
              </w:rPr>
              <m:t xml:space="preserve">ρ</m:t>
            </m:r>
          </m:den>
        </m:f>
      </m:oMath>
      <w:r>
        <w:rPr>
          <w:rFonts w:cs="Arial" w:ascii="Arial" w:hAnsi="Arial"/>
          <w:sz w:val="18"/>
          <w:szCs w:val="18"/>
          <w:lang w:val="en-US" w:bidi="ar-SA"/>
        </w:rPr>
        <w:tab/>
        <w:t>(8)</w:t>
      </w:r>
    </w:p>
    <w:p>
      <w:pPr>
        <w:pStyle w:val="Footer"/>
        <w:tabs>
          <w:tab w:val="clear" w:pos="720"/>
          <w:tab w:val="center" w:pos="4410" w:leader="none"/>
          <w:tab w:val="right" w:pos="8730" w:leader="none"/>
          <w:tab w:val="right" w:pos="8789" w:leader="none"/>
        </w:tabs>
        <w:spacing w:lineRule="auto" w:line="240"/>
        <w:rPr>
          <w:rFonts w:ascii="Arial" w:hAnsi="Arial" w:cs="Arial"/>
          <w:sz w:val="18"/>
          <w:szCs w:val="18"/>
          <w:lang w:val="en-US" w:bidi="ar-SA"/>
        </w:rPr>
      </w:pPr>
      <w:r>
        <w:rPr>
          <w:rFonts w:cs="Arial" w:ascii="Arial" w:hAnsi="Arial"/>
          <w:sz w:val="18"/>
          <w:szCs w:val="18"/>
          <w:lang w:val="en-US" w:bidi="ar-SA"/>
        </w:rPr>
      </w:r>
    </w:p>
    <w:p>
      <w:pPr>
        <w:pStyle w:val="Footer"/>
        <w:tabs>
          <w:tab w:val="clear" w:pos="720"/>
          <w:tab w:val="center" w:pos="4410" w:leader="none"/>
          <w:tab w:val="right" w:pos="8730" w:leader="none"/>
          <w:tab w:val="right" w:pos="8789" w:leader="none"/>
        </w:tabs>
        <w:spacing w:lineRule="auto" w:line="240"/>
        <w:rPr/>
      </w:pPr>
      <w:r>
        <w:rPr>
          <w:rFonts w:cs="Arial" w:ascii="Arial" w:hAnsi="Arial"/>
          <w:sz w:val="18"/>
          <w:szCs w:val="18"/>
          <w:lang w:val="en-US" w:bidi="ar-SA"/>
        </w:rPr>
        <w:t xml:space="preserve">where </w:t>
      </w:r>
      <w:r>
        <w:rPr>
          <w:rFonts w:cs="Arial" w:ascii="Arial" w:hAnsi="Arial"/>
          <w:i/>
          <w:iCs/>
          <w:sz w:val="18"/>
          <w:szCs w:val="18"/>
          <w:lang w:val="en-US" w:bidi="ar-SA"/>
        </w:rPr>
        <w:t>α</w:t>
      </w:r>
      <w:r>
        <w:rPr>
          <w:rFonts w:cs="Arial" w:ascii="Arial" w:hAnsi="Arial"/>
          <w:sz w:val="18"/>
          <w:szCs w:val="18"/>
          <w:lang w:val="en-US" w:bidi="ar-SA"/>
        </w:rPr>
        <w:t xml:space="preserve"> is now a dimensionless proportionality factor. The use of </w:t>
      </w:r>
      <w:r>
        <w:rPr>
          <w:rFonts w:eastAsia="Times New Roman" w:cs="Arial" w:ascii="Liberation Serif" w:hAnsi="Liberation Serif"/>
          <w:sz w:val="18"/>
          <w:szCs w:val="18"/>
          <w:lang w:val="en-US" w:bidi="ar-SA"/>
        </w:rPr>
        <w:t>Δ</w:t>
      </w:r>
      <w:r>
        <w:rPr>
          <w:rFonts w:eastAsia="Times New Roman" w:cs="Arial" w:ascii="Arial" w:hAnsi="Arial"/>
          <w:i/>
          <w:iCs/>
          <w:sz w:val="18"/>
          <w:szCs w:val="18"/>
          <w:lang w:val="en-US" w:bidi="ar-SA"/>
        </w:rPr>
        <w:t>U</w:t>
      </w:r>
      <w:r>
        <w:rPr>
          <w:rFonts w:eastAsia="Times New Roman" w:cs="Arial" w:ascii="Arial" w:hAnsi="Arial"/>
          <w:i/>
          <w:iCs/>
          <w:sz w:val="18"/>
          <w:szCs w:val="18"/>
          <w:vertAlign w:val="superscript"/>
          <w:lang w:val="en-US" w:bidi="ar-SA"/>
        </w:rPr>
        <w:t>r</w:t>
      </w:r>
      <w:r>
        <w:rPr>
          <w:rFonts w:eastAsia="Times New Roman" w:cs="Arial" w:ascii="Arial" w:hAnsi="Arial"/>
          <w:sz w:val="18"/>
          <w:szCs w:val="18"/>
          <w:lang w:val="en-US" w:bidi="ar-SA"/>
        </w:rPr>
        <w:t xml:space="preserve"> to estimate the energy barrier seems to be more reasonable than using the density alone; after all, </w:t>
      </w:r>
      <w:r>
        <w:rPr>
          <w:rFonts w:eastAsia="Times New Roman" w:cs="Arial" w:ascii="Liberation Serif" w:hAnsi="Liberation Serif"/>
          <w:sz w:val="18"/>
          <w:szCs w:val="18"/>
          <w:lang w:val="en-US" w:bidi="ar-SA"/>
        </w:rPr>
        <w:t>Δ</w:t>
      </w:r>
      <w:r>
        <w:rPr>
          <w:rFonts w:eastAsia="Times New Roman" w:cs="Arial" w:ascii="Arial" w:hAnsi="Arial"/>
          <w:i/>
          <w:iCs/>
          <w:sz w:val="18"/>
          <w:szCs w:val="18"/>
          <w:lang w:val="en-US" w:bidi="ar-SA"/>
        </w:rPr>
        <w:t>U</w:t>
      </w:r>
      <w:r>
        <w:rPr>
          <w:rFonts w:eastAsia="Times New Roman" w:cs="Arial" w:ascii="Arial" w:hAnsi="Arial"/>
          <w:i/>
          <w:iCs/>
          <w:sz w:val="18"/>
          <w:szCs w:val="18"/>
          <w:vertAlign w:val="superscript"/>
          <w:lang w:val="en-US" w:bidi="ar-SA"/>
        </w:rPr>
        <w:t>r</w:t>
      </w:r>
      <w:r>
        <w:rPr>
          <w:rFonts w:eastAsia="Times New Roman" w:cs="Arial" w:ascii="Arial" w:hAnsi="Arial"/>
          <w:sz w:val="18"/>
          <w:szCs w:val="18"/>
          <w:lang w:val="en-US" w:bidi="ar-SA"/>
        </w:rPr>
        <w:t xml:space="preserve"> represents a cohesive energy between molecules, namely, all intermolecular forces that hold the molecules together and oppose to the breaking of bonds and thus the formation of vacant passages for a molecule to diffuse; based on this reasoning, we expect to obtain negative values of </w:t>
      </w:r>
      <w:r>
        <w:rPr>
          <w:rFonts w:eastAsia="Times New Roman" w:cs="Arial" w:ascii="Arial" w:hAnsi="Arial"/>
          <w:i/>
          <w:iCs/>
          <w:sz w:val="18"/>
          <w:szCs w:val="18"/>
          <w:lang w:val="en-US" w:bidi="ar-SA"/>
        </w:rPr>
        <w:t>α</w:t>
      </w:r>
      <w:r>
        <w:rPr>
          <w:rFonts w:eastAsia="Times New Roman" w:cs="Arial" w:ascii="Arial" w:hAnsi="Arial"/>
          <w:sz w:val="18"/>
          <w:szCs w:val="18"/>
          <w:lang w:val="en-US" w:bidi="ar-SA"/>
        </w:rPr>
        <w:t xml:space="preserve"> during the parameter regression process. </w:t>
      </w:r>
      <w:r>
        <w:rPr>
          <w:rFonts w:eastAsia="MS Mincho;ＭＳ 明朝" w:cs="Arial" w:ascii="Arial" w:hAnsi="Arial"/>
          <w:color w:val="auto"/>
          <w:sz w:val="18"/>
          <w:szCs w:val="18"/>
          <w:lang w:val="en-US" w:eastAsia="ja-JP" w:bidi="ar-SA"/>
        </w:rPr>
        <w:t>As a matter of fact, the two thermodynamic quantities (</w:t>
      </w:r>
      <w:r>
        <w:rPr>
          <w:rFonts w:eastAsia="Times New Roman" w:cs="DejaVu Serif" w:ascii="DejaVu Serif" w:hAnsi="DejaVu Serif"/>
          <w:i/>
          <w:iCs/>
          <w:color w:val="auto"/>
          <w:sz w:val="18"/>
          <w:szCs w:val="18"/>
          <w:lang w:val="en-US" w:eastAsia="ja-JP" w:bidi="ar-SA"/>
        </w:rPr>
        <w:t>ρ</w:t>
      </w:r>
      <w:r>
        <w:rPr>
          <w:rFonts w:eastAsia="Times New Roman" w:cs="Arial" w:ascii="Arial" w:hAnsi="Arial"/>
          <w:i/>
          <w:iCs/>
          <w:color w:val="auto"/>
          <w:sz w:val="18"/>
          <w:szCs w:val="18"/>
          <w:lang w:val="en-US" w:eastAsia="ja-JP" w:bidi="ar-SA"/>
        </w:rPr>
        <w:t xml:space="preserve"> </w:t>
      </w:r>
      <w:r>
        <w:rPr>
          <w:rFonts w:eastAsia="MS Mincho;ＭＳ 明朝" w:cs="Arial" w:ascii="Arial" w:hAnsi="Arial"/>
          <w:i w:val="false"/>
          <w:iCs w:val="false"/>
          <w:color w:val="auto"/>
          <w:sz w:val="18"/>
          <w:szCs w:val="18"/>
          <w:lang w:val="en-US" w:eastAsia="ja-JP" w:bidi="ar-SA"/>
        </w:rPr>
        <w:t>and</w:t>
      </w:r>
      <w:r>
        <w:rPr>
          <w:rFonts w:eastAsia="MS Mincho;ＭＳ 明朝" w:cs="Arial" w:ascii="Arial" w:hAnsi="Arial"/>
          <w:color w:val="auto"/>
          <w:sz w:val="18"/>
          <w:szCs w:val="18"/>
          <w:lang w:val="en-US" w:eastAsia="ja-JP" w:bidi="ar-SA"/>
        </w:rPr>
        <w:t xml:space="preserve"> </w:t>
      </w:r>
      <w:r>
        <w:rPr>
          <w:rFonts w:eastAsia="Times New Roman" w:cs="Arial" w:ascii="Liberation Serif" w:hAnsi="Liberation Serif"/>
          <w:color w:val="auto"/>
          <w:sz w:val="18"/>
          <w:szCs w:val="18"/>
          <w:lang w:val="en-US" w:eastAsia="ja-JP" w:bidi="ar-SA"/>
        </w:rPr>
        <w:t>Δ</w:t>
      </w:r>
      <w:r>
        <w:rPr>
          <w:rFonts w:eastAsia="Times New Roman" w:cs="Arial" w:ascii="Arial" w:hAnsi="Arial"/>
          <w:i/>
          <w:iCs/>
          <w:color w:val="auto"/>
          <w:sz w:val="18"/>
          <w:szCs w:val="18"/>
          <w:lang w:val="en-US" w:eastAsia="ja-JP" w:bidi="ar-SA"/>
        </w:rPr>
        <w:t>U</w:t>
      </w:r>
      <w:r>
        <w:rPr>
          <w:rFonts w:eastAsia="Times New Roman" w:cs="Arial" w:ascii="Arial" w:hAnsi="Arial"/>
          <w:i/>
          <w:iCs/>
          <w:color w:val="auto"/>
          <w:sz w:val="18"/>
          <w:szCs w:val="18"/>
          <w:vertAlign w:val="superscript"/>
          <w:lang w:val="en-US" w:eastAsia="ja-JP" w:bidi="ar-SA"/>
        </w:rPr>
        <w:t>r</w:t>
      </w:r>
      <w:r>
        <w:rPr>
          <w:rFonts w:eastAsia="Times New Roman" w:cs="Arial" w:ascii="Arial" w:hAnsi="Arial"/>
          <w:color w:val="auto"/>
          <w:sz w:val="18"/>
          <w:szCs w:val="18"/>
          <w:lang w:val="en-US" w:eastAsia="ja-JP" w:bidi="ar-SA"/>
        </w:rPr>
        <w:t xml:space="preserve">) appearing in Eqs. (6) and (8) were conveniently calculated from two well-known cubic equations of state (CEoS): either Soave-Redlich-Kwong (SRK) or Peng-Robinson (PR); as mentioned earlier, this seems to be the first attempt to ever couple these simple </w:t>
      </w:r>
      <w:r>
        <w:rPr>
          <w:rFonts w:eastAsia="Times New Roman" w:cs="Arial" w:ascii="Arial" w:hAnsi="Arial"/>
          <w:i/>
          <w:iCs/>
          <w:color w:val="auto"/>
          <w:sz w:val="18"/>
          <w:szCs w:val="18"/>
          <w:lang w:val="en-US" w:eastAsia="ja-JP" w:bidi="ar-SA"/>
        </w:rPr>
        <w:t>PVT</w:t>
      </w:r>
      <w:r>
        <w:rPr>
          <w:rFonts w:eastAsia="Times New Roman" w:cs="Arial" w:ascii="Arial" w:hAnsi="Arial"/>
          <w:color w:val="auto"/>
          <w:sz w:val="18"/>
          <w:szCs w:val="18"/>
          <w:lang w:val="en-US" w:eastAsia="ja-JP" w:bidi="ar-SA"/>
        </w:rPr>
        <w:t xml:space="preserve"> expressions with the FVT approach. At this point, it is important to recognize that neither the SRK nor the PR CEoS is expected to yield phase densities of good accuracy, however, it is our belief that the three FVT model parameters will absorb to some extent such inaccuracies.</w:t>
      </w:r>
    </w:p>
    <w:p>
      <w:pPr>
        <w:pStyle w:val="Footer"/>
        <w:tabs>
          <w:tab w:val="clear" w:pos="720"/>
          <w:tab w:val="center" w:pos="4410" w:leader="none"/>
          <w:tab w:val="right" w:pos="8730" w:leader="none"/>
          <w:tab w:val="right" w:pos="8789" w:leader="none"/>
        </w:tabs>
        <w:spacing w:lineRule="auto" w:line="240"/>
        <w:rPr>
          <w:lang w:val="en-US" w:bidi="ar-SA"/>
        </w:rPr>
      </w:pPr>
      <w:r>
        <w:rPr>
          <w:lang w:val="en-US" w:bidi="ar-SA"/>
        </w:rPr>
      </w:r>
    </w:p>
    <w:p>
      <w:pPr>
        <w:pStyle w:val="CETHeading1"/>
        <w:rPr>
          <w:lang w:val="en-US" w:bidi="ar-SA"/>
        </w:rPr>
      </w:pPr>
      <w:r>
        <w:rPr>
          <w:lang w:val="en-US" w:bidi="ar-SA"/>
        </w:rPr>
        <w:t>3. Results and Discussion</w:t>
      </w:r>
    </w:p>
    <w:p>
      <w:pPr>
        <w:pStyle w:val="Footer"/>
        <w:tabs>
          <w:tab w:val="clear" w:pos="720"/>
          <w:tab w:val="center" w:pos="4410" w:leader="none"/>
          <w:tab w:val="right" w:pos="8730" w:leader="none"/>
          <w:tab w:val="right" w:pos="8789" w:leader="none"/>
        </w:tabs>
        <w:spacing w:lineRule="auto" w:line="240"/>
        <w:rPr/>
      </w:pPr>
      <w:r>
        <w:rPr>
          <w:rFonts w:cs="Arial" w:ascii="Arial" w:hAnsi="Arial"/>
          <w:sz w:val="18"/>
          <w:szCs w:val="18"/>
          <w:lang w:val="en-US" w:bidi="ar-SA"/>
        </w:rPr>
        <w:t xml:space="preserve">The present modeling approach was applied to the correlation of experimental viscosities of selected pure fluids within wide temperature and pressure ranges (covering both low- and high-density regions as well as the critical region). The chosen pure fluids were </w:t>
      </w:r>
      <w:r>
        <w:rPr>
          <w:rFonts w:eastAsia="MS Mincho;ＭＳ 明朝" w:cs="Arial" w:ascii="Arial" w:hAnsi="Arial"/>
          <w:sz w:val="18"/>
          <w:szCs w:val="18"/>
          <w:lang w:val="en-US" w:eastAsia="ja-JP" w:bidi="ar-SA"/>
        </w:rPr>
        <w:t>two polar and associating fluids (water and methanol), one non-polar fluid (CO</w:t>
      </w:r>
      <w:r>
        <w:rPr>
          <w:rFonts w:eastAsia="MS Mincho;ＭＳ 明朝" w:cs="Arial" w:ascii="Arial" w:hAnsi="Arial"/>
          <w:sz w:val="18"/>
          <w:szCs w:val="18"/>
          <w:vertAlign w:val="subscript"/>
          <w:lang w:val="en-US" w:eastAsia="ja-JP" w:bidi="ar-SA"/>
        </w:rPr>
        <w:t>2</w:t>
      </w:r>
      <w:r>
        <w:rPr>
          <w:rFonts w:eastAsia="MS Mincho;ＭＳ 明朝" w:cs="Arial" w:ascii="Arial" w:hAnsi="Arial"/>
          <w:sz w:val="18"/>
          <w:szCs w:val="18"/>
          <w:lang w:val="en-US" w:eastAsia="ja-JP" w:bidi="ar-SA"/>
        </w:rPr>
        <w:t>) and one non-polar and long-chain fluid (</w:t>
      </w:r>
      <w:r>
        <w:rPr>
          <w:rFonts w:eastAsia="MS Mincho;ＭＳ 明朝" w:cs="Arial" w:ascii="Arial" w:hAnsi="Arial"/>
          <w:i/>
          <w:iCs/>
          <w:sz w:val="18"/>
          <w:szCs w:val="18"/>
          <w:lang w:val="en-US" w:eastAsia="ja-JP" w:bidi="ar-SA"/>
        </w:rPr>
        <w:t>n</w:t>
      </w:r>
      <w:r>
        <w:rPr>
          <w:rFonts w:eastAsia="MS Mincho;ＭＳ 明朝" w:cs="Arial" w:ascii="Arial" w:hAnsi="Arial"/>
          <w:sz w:val="18"/>
          <w:szCs w:val="18"/>
          <w:lang w:val="en-US" w:eastAsia="ja-JP" w:bidi="ar-SA"/>
        </w:rPr>
        <w:t>-decane)</w:t>
      </w:r>
      <w:r>
        <w:rPr>
          <w:rFonts w:cs="Arial" w:ascii="Arial" w:hAnsi="Arial"/>
          <w:sz w:val="18"/>
          <w:szCs w:val="18"/>
          <w:lang w:val="en-US" w:bidi="ar-SA"/>
        </w:rPr>
        <w:t xml:space="preserve">. A least-square fit based on the Nelder-Mead optimization method was then performed to obtain the model parameters, namely </w:t>
      </w:r>
      <w:r>
        <w:rPr>
          <w:rFonts w:cs="Arial" w:ascii="Arial" w:hAnsi="Arial"/>
          <w:i/>
          <w:iCs/>
          <w:sz w:val="18"/>
          <w:szCs w:val="18"/>
          <w:lang w:val="en-US" w:bidi="ar-SA"/>
        </w:rPr>
        <w:t>L</w:t>
      </w:r>
      <w:r>
        <w:rPr>
          <w:rFonts w:cs="Arial" w:ascii="Arial" w:hAnsi="Arial"/>
          <w:sz w:val="18"/>
          <w:szCs w:val="18"/>
          <w:lang w:val="en-US" w:bidi="ar-SA"/>
        </w:rPr>
        <w:t xml:space="preserve">, </w:t>
      </w:r>
      <w:r>
        <w:rPr>
          <w:rFonts w:cs="Arial" w:ascii="Arial" w:hAnsi="Arial"/>
          <w:i/>
          <w:iCs/>
          <w:sz w:val="18"/>
          <w:szCs w:val="18"/>
          <w:lang w:val="en-US" w:bidi="ar-SA"/>
        </w:rPr>
        <w:t>α</w:t>
      </w:r>
      <w:r>
        <w:rPr>
          <w:rFonts w:cs="Arial" w:ascii="Arial" w:hAnsi="Arial"/>
          <w:sz w:val="18"/>
          <w:szCs w:val="18"/>
          <w:lang w:val="en-US" w:bidi="ar-SA"/>
        </w:rPr>
        <w:t xml:space="preserve">, and </w:t>
      </w:r>
      <w:r>
        <w:rPr>
          <w:rFonts w:cs="Arial" w:ascii="Arial" w:hAnsi="Arial"/>
          <w:i/>
          <w:iCs/>
          <w:sz w:val="18"/>
          <w:szCs w:val="18"/>
          <w:lang w:val="en-US" w:bidi="ar-SA"/>
        </w:rPr>
        <w:t>B</w:t>
      </w:r>
      <w:r>
        <w:rPr>
          <w:rFonts w:cs="Arial" w:ascii="Arial" w:hAnsi="Arial"/>
          <w:sz w:val="18"/>
          <w:szCs w:val="18"/>
          <w:lang w:val="en-US" w:bidi="ar-SA"/>
        </w:rPr>
        <w:t>. The minimization of the following objective function served for such a purpose:</w:t>
      </w:r>
    </w:p>
    <w:p>
      <w:pPr>
        <w:pStyle w:val="CETBodytext"/>
        <w:rPr>
          <w:lang w:val="en-US" w:bidi="ar-SA"/>
        </w:rPr>
      </w:pPr>
      <w:r>
        <w:rPr>
          <w:lang w:val="en-US" w:bidi="ar-SA"/>
        </w:rPr>
      </w:r>
    </w:p>
    <w:p>
      <w:pPr>
        <w:pStyle w:val="CETBodytext"/>
        <w:tabs>
          <w:tab w:val="clear" w:pos="7100"/>
          <w:tab w:val="right" w:pos="8805" w:leader="none"/>
        </w:tabs>
        <w:rPr/>
      </w:pPr>
      <w:r>
        <w:rPr/>
      </w:r>
      <m:oMath xmlns:m="http://schemas.openxmlformats.org/officeDocument/2006/math">
        <m:r>
          <m:rPr>
            <m:lit/>
            <m:nor/>
          </m:rPr>
          <w:rPr>
            <w:rFonts w:ascii="Cambria Math" w:hAnsi="Cambria Math"/>
          </w:rPr>
          <m:t xml:space="preserve">min </m:t>
        </m:r>
        <m:r>
          <w:rPr>
            <w:rFonts w:ascii="Cambria Math" w:hAnsi="Cambria Math"/>
          </w:rPr>
          <m:t xml:space="preserve">f</m:t>
        </m:r>
        <m:r>
          <w:rPr>
            <w:rFonts w:ascii="Cambria Math" w:hAnsi="Cambria Math"/>
          </w:rPr>
          <m:t xml:space="preserve">=</m:t>
        </m:r>
        <m:nary>
          <m:naryPr>
            <m:chr m:val="∑"/>
          </m:naryPr>
          <m:sub>
            <m:r>
              <m:rPr>
                <m:lit/>
                <m:nor/>
              </m:rPr>
              <w:rPr>
                <w:rFonts w:ascii="Cambria Math" w:hAnsi="Cambria Math"/>
              </w:rPr>
              <m:t xml:space="preserve">j=</m:t>
            </m:r>
            <m:r>
              <w:rPr>
                <w:rFonts w:ascii="Cambria Math" w:hAnsi="Cambria Math"/>
              </w:rPr>
              <m:t xml:space="preserve">1</m:t>
            </m:r>
          </m:sub>
          <m:sup>
            <m:r>
              <w:rPr>
                <w:rFonts w:ascii="Cambria Math" w:hAnsi="Cambria Math"/>
              </w:rPr>
              <m:t xml:space="preserve">N</m:t>
            </m:r>
          </m:sup>
          <m:e>
            <m:sSup>
              <m:e>
                <m:d>
                  <m:dPr>
                    <m:begChr m:val="["/>
                    <m:endChr m:val="]"/>
                  </m:dPr>
                  <m:e>
                    <m:r>
                      <w:rPr>
                        <w:rFonts w:ascii="Cambria Math" w:hAnsi="Cambria Math"/>
                      </w:rPr>
                      <m:t xml:space="preserve">1</m:t>
                    </m:r>
                    <m:r>
                      <w:rPr>
                        <w:rFonts w:ascii="Cambria Math" w:hAnsi="Cambria Math"/>
                      </w:rPr>
                      <m:t xml:space="preserve">−</m:t>
                    </m:r>
                    <m:f>
                      <m:fPr>
                        <m:type m:val="lin"/>
                      </m:fPr>
                      <m:num>
                        <m:sSubSup>
                          <m:e>
                            <m:r>
                              <w:rPr>
                                <w:rFonts w:ascii="Cambria Math" w:hAnsi="Cambria Math"/>
                              </w:rPr>
                              <m:t xml:space="preserve">η</m:t>
                            </m:r>
                          </m:e>
                          <m:sub>
                            <m:r>
                              <w:rPr>
                                <w:rFonts w:ascii="Cambria Math" w:hAnsi="Cambria Math"/>
                              </w:rPr>
                              <m:t xml:space="preserve">j</m:t>
                            </m:r>
                          </m:sub>
                          <m:sup>
                            <m:r>
                              <m:rPr>
                                <m:lit/>
                                <m:nor/>
                              </m:rPr>
                              <w:rPr>
                                <w:rFonts w:ascii="Cambria Math" w:hAnsi="Cambria Math"/>
                              </w:rPr>
                              <m:t xml:space="preserve">cal</m:t>
                            </m:r>
                          </m:sup>
                        </m:sSubSup>
                      </m:num>
                      <m:den>
                        <m:sSubSup>
                          <m:e>
                            <m:r>
                              <w:rPr>
                                <w:rFonts w:ascii="Cambria Math" w:hAnsi="Cambria Math"/>
                              </w:rPr>
                              <m:t xml:space="preserve">η</m:t>
                            </m:r>
                          </m:e>
                          <m:sub>
                            <m:r>
                              <w:rPr>
                                <w:rFonts w:ascii="Cambria Math" w:hAnsi="Cambria Math"/>
                              </w:rPr>
                              <m:t xml:space="preserve">j</m:t>
                            </m:r>
                          </m:sub>
                          <m:sup>
                            <m:r>
                              <m:rPr>
                                <m:lit/>
                                <m:nor/>
                              </m:rPr>
                              <w:rPr>
                                <w:rFonts w:ascii="Cambria Math" w:hAnsi="Cambria Math"/>
                              </w:rPr>
                              <m:t xml:space="preserve">exp</m:t>
                            </m:r>
                          </m:sup>
                        </m:sSubSup>
                      </m:den>
                    </m:f>
                  </m:e>
                </m:d>
              </m:e>
              <m:sup>
                <m:r>
                  <w:rPr>
                    <w:rFonts w:ascii="Cambria Math" w:hAnsi="Cambria Math"/>
                  </w:rPr>
                  <m:t xml:space="preserve">2</m:t>
                </m:r>
              </m:sup>
            </m:sSup>
          </m:e>
        </m:nary>
      </m:oMath>
      <w:r>
        <w:rPr>
          <w:lang w:val="en-US" w:bidi="ar-SA"/>
        </w:rPr>
        <w:tab/>
        <w:t>(9)</w:t>
      </w:r>
    </w:p>
    <w:p>
      <w:pPr>
        <w:pStyle w:val="CETBodytext"/>
        <w:rPr>
          <w:lang w:val="en-US" w:bidi="ar-SA"/>
        </w:rPr>
      </w:pPr>
      <w:r>
        <w:rPr>
          <w:lang w:val="en-US" w:bidi="ar-SA"/>
        </w:rPr>
      </w:r>
    </w:p>
    <w:p>
      <w:pPr>
        <w:pStyle w:val="CETBodytext"/>
        <w:rPr/>
      </w:pPr>
      <w:r>
        <w:rPr>
          <w:szCs w:val="18"/>
          <w:lang w:val="en-US" w:bidi="ar-SA"/>
        </w:rPr>
        <w:t xml:space="preserve">where </w:t>
      </w:r>
      <w:r>
        <w:rPr>
          <w:i/>
          <w:iCs/>
          <w:szCs w:val="18"/>
          <w:lang w:val="en-US" w:bidi="ar-SA"/>
        </w:rPr>
        <w:t>N</w:t>
      </w:r>
      <w:r>
        <w:rPr>
          <w:szCs w:val="18"/>
          <w:lang w:val="en-US" w:bidi="ar-SA"/>
        </w:rPr>
        <w:t xml:space="preserve"> is the number of experimental points, whereas </w:t>
      </w:r>
      <w:r>
        <w:rPr>
          <w:rFonts w:eastAsia="MS Mincho;ＭＳ 明朝"/>
          <w:i/>
          <w:iCs/>
          <w:szCs w:val="18"/>
          <w:lang w:val="en-US" w:eastAsia="ja-JP" w:bidi="ar-SA"/>
        </w:rPr>
        <w:t>η</w:t>
      </w:r>
      <w:r>
        <w:rPr>
          <w:rFonts w:eastAsia="MS Mincho;ＭＳ 明朝"/>
          <w:szCs w:val="18"/>
          <w:vertAlign w:val="superscript"/>
          <w:lang w:val="en-US" w:eastAsia="ja-JP" w:bidi="ar-SA"/>
        </w:rPr>
        <w:t>exp</w:t>
      </w:r>
      <w:r>
        <w:rPr>
          <w:rFonts w:eastAsia="MS Mincho;ＭＳ 明朝"/>
          <w:i/>
          <w:iCs/>
          <w:szCs w:val="18"/>
          <w:lang w:val="en-US" w:eastAsia="ja-JP" w:bidi="ar-SA"/>
        </w:rPr>
        <w:t xml:space="preserve"> </w:t>
      </w:r>
      <w:r>
        <w:rPr>
          <w:szCs w:val="18"/>
          <w:lang w:val="en-US" w:bidi="ar-SA"/>
        </w:rPr>
        <w:t xml:space="preserve">and </w:t>
      </w:r>
      <w:r>
        <w:rPr>
          <w:rFonts w:eastAsia="MS Mincho;ＭＳ 明朝"/>
          <w:i/>
          <w:iCs/>
          <w:szCs w:val="18"/>
          <w:lang w:val="en-US" w:eastAsia="ja-JP" w:bidi="ar-SA"/>
        </w:rPr>
        <w:t>η</w:t>
      </w:r>
      <w:r>
        <w:rPr>
          <w:rFonts w:eastAsia="MS Mincho;ＭＳ 明朝"/>
          <w:szCs w:val="18"/>
          <w:vertAlign w:val="superscript"/>
          <w:lang w:val="en-US" w:eastAsia="ja-JP" w:bidi="ar-SA"/>
        </w:rPr>
        <w:t>cal</w:t>
      </w:r>
      <w:r>
        <w:rPr>
          <w:rFonts w:eastAsia="MS Mincho;ＭＳ 明朝"/>
          <w:i/>
          <w:iCs/>
          <w:szCs w:val="18"/>
          <w:lang w:val="en-US" w:eastAsia="ja-JP" w:bidi="ar-SA"/>
        </w:rPr>
        <w:t xml:space="preserve"> </w:t>
      </w:r>
      <w:r>
        <w:rPr>
          <w:szCs w:val="18"/>
          <w:lang w:val="en-US" w:bidi="ar-SA"/>
        </w:rPr>
        <w:t>stand for the observed and calculated  viscosities, respectively. It is noteworthy that the use here of a global optimization method based on the Nelder-Mead approach (rather than the gradient-based Levenberg-Marquardt method) ensured the best possible set of optimized model parameters; this is particularly important since several authors (</w:t>
      </w:r>
      <w:r>
        <w:rPr>
          <w:rFonts w:eastAsia="DCIAAM+Calibri;MS Gothic"/>
          <w:szCs w:val="18"/>
          <w:lang w:val="en-US" w:bidi="ar-SA"/>
        </w:rPr>
        <w:t>Tan et al., 2005; Burgess et al., 2012; Llovell et al., 2013)</w:t>
      </w:r>
      <w:r>
        <w:rPr>
          <w:szCs w:val="18"/>
          <w:lang w:val="en-US" w:bidi="ar-SA"/>
        </w:rPr>
        <w:t xml:space="preserve"> have previously found multiple sets of optimized FVT-model parameters for a given fluid. Table 1 lists the pure fluids considered here along with their temperature and pressure ranges and the sources of their experimental viscosity data. As seen in this table, experimental viscosities cover, overall speaking, a wide temperature range (from 180 to 1,100 K) and also a wide pressure range (from 0.1 to 1,000 bar).</w:t>
      </w:r>
    </w:p>
    <w:p>
      <w:pPr>
        <w:pStyle w:val="CETBodytext"/>
        <w:rPr>
          <w:b/>
          <w:b/>
          <w:bCs/>
          <w:iCs/>
          <w:szCs w:val="18"/>
        </w:rPr>
      </w:pPr>
      <w:r>
        <w:rPr>
          <w:b/>
          <w:bCs/>
          <w:iCs/>
          <w:szCs w:val="18"/>
        </w:rPr>
      </w:r>
    </w:p>
    <w:p>
      <w:pPr>
        <w:pStyle w:val="CETBodytext"/>
        <w:rPr>
          <w:b/>
          <w:b/>
          <w:bCs/>
          <w:iCs/>
          <w:szCs w:val="18"/>
          <w:lang w:val="en-US" w:bidi="ar-SA"/>
        </w:rPr>
      </w:pPr>
      <w:r>
        <w:rPr>
          <w:b/>
          <w:bCs/>
          <w:iCs/>
          <w:szCs w:val="18"/>
          <w:lang w:val="en-US" w:bidi="ar-SA"/>
        </w:rPr>
        <w:t>Table 1: Experimental reference data for the 4 fluids considered here</w:t>
      </w:r>
    </w:p>
    <w:tbl>
      <w:tblPr>
        <w:tblW w:w="6840" w:type="dxa"/>
        <w:jc w:val="left"/>
        <w:tblInd w:w="0" w:type="dxa"/>
        <w:tblLayout w:type="fixed"/>
        <w:tblCellMar>
          <w:top w:w="0" w:type="dxa"/>
          <w:left w:w="0" w:type="dxa"/>
          <w:bottom w:w="0" w:type="dxa"/>
          <w:right w:w="0" w:type="dxa"/>
        </w:tblCellMar>
      </w:tblPr>
      <w:tblGrid>
        <w:gridCol w:w="1158"/>
        <w:gridCol w:w="565"/>
        <w:gridCol w:w="1621"/>
        <w:gridCol w:w="977"/>
        <w:gridCol w:w="2519"/>
      </w:tblGrid>
      <w:tr>
        <w:trPr/>
        <w:tc>
          <w:tcPr>
            <w:tcW w:w="1158" w:type="dxa"/>
            <w:tcBorders>
              <w:top w:val="single" w:sz="12" w:space="0" w:color="008000"/>
              <w:bottom w:val="single" w:sz="6" w:space="0" w:color="008000"/>
            </w:tcBorders>
            <w:shd w:fill="FFFFFF" w:val="clear"/>
          </w:tcPr>
          <w:p>
            <w:pPr>
              <w:pStyle w:val="TableContents"/>
              <w:widowControl w:val="false"/>
              <w:jc w:val="left"/>
              <w:rPr>
                <w:rFonts w:ascii="Arial" w:hAnsi="Arial" w:cs="Arial"/>
                <w:b/>
                <w:b/>
                <w:bCs/>
                <w:i/>
                <w:i/>
                <w:iCs/>
                <w:sz w:val="18"/>
                <w:szCs w:val="18"/>
                <w:lang w:val="en-US" w:bidi="ar-SA"/>
              </w:rPr>
            </w:pPr>
            <w:r>
              <w:rPr>
                <w:rFonts w:cs="Arial" w:ascii="Arial" w:hAnsi="Arial"/>
                <w:b/>
                <w:bCs/>
                <w:i/>
                <w:iCs/>
                <w:sz w:val="18"/>
                <w:szCs w:val="18"/>
                <w:lang w:val="en-US" w:bidi="ar-SA"/>
              </w:rPr>
              <w:t>Component</w:t>
            </w:r>
          </w:p>
        </w:tc>
        <w:tc>
          <w:tcPr>
            <w:tcW w:w="565"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N</w:t>
            </w:r>
          </w:p>
        </w:tc>
        <w:tc>
          <w:tcPr>
            <w:tcW w:w="1621"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T, K</w:t>
            </w:r>
          </w:p>
        </w:tc>
        <w:tc>
          <w:tcPr>
            <w:tcW w:w="977"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P, bar</w:t>
            </w:r>
          </w:p>
        </w:tc>
        <w:tc>
          <w:tcPr>
            <w:tcW w:w="2519"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Source</w:t>
            </w:r>
          </w:p>
        </w:tc>
      </w:tr>
      <w:tr>
        <w:trPr/>
        <w:tc>
          <w:tcPr>
            <w:tcW w:w="1158" w:type="dxa"/>
            <w:tcBorders/>
            <w:shd w:fill="FFFFFF" w:val="clear"/>
          </w:tcPr>
          <w:p>
            <w:pPr>
              <w:pStyle w:val="TableContents"/>
              <w:widowControl w:val="false"/>
              <w:rPr>
                <w:rFonts w:ascii="Arial" w:hAnsi="Arial" w:cs="Arial"/>
                <w:b/>
                <w:b/>
                <w:bCs/>
                <w:sz w:val="18"/>
                <w:szCs w:val="18"/>
                <w:lang w:val="en-US" w:bidi="ar-SA"/>
              </w:rPr>
            </w:pPr>
            <w:r>
              <w:rPr>
                <w:rFonts w:cs="Arial" w:ascii="Arial" w:hAnsi="Arial"/>
                <w:b/>
                <w:bCs/>
                <w:sz w:val="18"/>
                <w:szCs w:val="18"/>
                <w:lang w:val="en-US" w:bidi="ar-SA"/>
              </w:rPr>
              <w:t>Water</w:t>
            </w:r>
          </w:p>
        </w:tc>
        <w:tc>
          <w:tcPr>
            <w:tcW w:w="565"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339</w:t>
            </w:r>
          </w:p>
        </w:tc>
        <w:tc>
          <w:tcPr>
            <w:tcW w:w="1621"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273.16 – 1,073.15</w:t>
            </w:r>
          </w:p>
        </w:tc>
        <w:tc>
          <w:tcPr>
            <w:tcW w:w="977"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0.1 – 1,000</w:t>
            </w:r>
          </w:p>
        </w:tc>
        <w:tc>
          <w:tcPr>
            <w:tcW w:w="2519" w:type="dxa"/>
            <w:tcBorders/>
            <w:shd w:fill="FFFFFF" w:val="clear"/>
          </w:tcPr>
          <w:p>
            <w:pPr>
              <w:pStyle w:val="TableContents"/>
              <w:widowControl w:val="false"/>
              <w:jc w:val="center"/>
              <w:rPr>
                <w:rFonts w:ascii="Arial" w:hAnsi="Arial" w:cs="Arial"/>
                <w:sz w:val="16"/>
                <w:szCs w:val="16"/>
                <w:lang w:val="en-US" w:bidi="ar-SA"/>
              </w:rPr>
            </w:pPr>
            <w:r>
              <w:rPr>
                <w:rFonts w:cs="Arial" w:ascii="Arial" w:hAnsi="Arial"/>
                <w:sz w:val="16"/>
                <w:szCs w:val="16"/>
                <w:lang w:val="en-US" w:bidi="ar-SA"/>
              </w:rPr>
              <w:t>NIST Webbook (2019)</w:t>
            </w:r>
          </w:p>
        </w:tc>
      </w:tr>
      <w:tr>
        <w:trPr/>
        <w:tc>
          <w:tcPr>
            <w:tcW w:w="1158" w:type="dxa"/>
            <w:tcBorders/>
            <w:shd w:fill="FFFFFF" w:val="clear"/>
          </w:tcPr>
          <w:p>
            <w:pPr>
              <w:pStyle w:val="TableContents"/>
              <w:widowControl w:val="false"/>
              <w:rPr>
                <w:rFonts w:ascii="Arial" w:hAnsi="Arial" w:cs="Arial"/>
                <w:b/>
                <w:b/>
                <w:bCs/>
                <w:position w:val="0"/>
                <w:sz w:val="18"/>
                <w:sz w:val="18"/>
                <w:szCs w:val="18"/>
                <w:vertAlign w:val="baseline"/>
                <w:lang w:val="en-US" w:bidi="ar-SA"/>
              </w:rPr>
            </w:pPr>
            <w:r>
              <w:rPr>
                <w:rFonts w:cs="Arial" w:ascii="Arial" w:hAnsi="Arial"/>
                <w:b/>
                <w:bCs/>
                <w:position w:val="0"/>
                <w:sz w:val="18"/>
                <w:sz w:val="18"/>
                <w:szCs w:val="18"/>
                <w:vertAlign w:val="baseline"/>
                <w:lang w:val="en-US" w:bidi="ar-SA"/>
              </w:rPr>
              <w:t>Methanol</w:t>
            </w:r>
          </w:p>
        </w:tc>
        <w:tc>
          <w:tcPr>
            <w:tcW w:w="565"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217</w:t>
            </w:r>
          </w:p>
        </w:tc>
        <w:tc>
          <w:tcPr>
            <w:tcW w:w="1621"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180 – 620</w:t>
            </w:r>
          </w:p>
        </w:tc>
        <w:tc>
          <w:tcPr>
            <w:tcW w:w="977"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0.1 – 1,000</w:t>
            </w:r>
          </w:p>
        </w:tc>
        <w:tc>
          <w:tcPr>
            <w:tcW w:w="2519" w:type="dxa"/>
            <w:tcBorders/>
            <w:shd w:fill="FFFFFF" w:val="clear"/>
          </w:tcPr>
          <w:p>
            <w:pPr>
              <w:pStyle w:val="TableContents"/>
              <w:widowControl w:val="false"/>
              <w:jc w:val="center"/>
              <w:rPr>
                <w:rFonts w:ascii="Arial" w:hAnsi="Arial" w:cs="Arial"/>
                <w:sz w:val="16"/>
                <w:szCs w:val="16"/>
                <w:lang w:val="en-US" w:bidi="ar-SA"/>
              </w:rPr>
            </w:pPr>
            <w:r>
              <w:rPr>
                <w:rFonts w:cs="Arial" w:ascii="Arial" w:hAnsi="Arial"/>
                <w:sz w:val="16"/>
                <w:szCs w:val="16"/>
                <w:lang w:val="en-US" w:bidi="ar-SA"/>
              </w:rPr>
              <w:t>NIST Webbook (2023)</w:t>
            </w:r>
          </w:p>
        </w:tc>
      </w:tr>
      <w:tr>
        <w:trPr/>
        <w:tc>
          <w:tcPr>
            <w:tcW w:w="1158" w:type="dxa"/>
            <w:tcBorders/>
            <w:shd w:fill="FFFFFF" w:val="clear"/>
          </w:tcPr>
          <w:p>
            <w:pPr>
              <w:pStyle w:val="TableContents"/>
              <w:widowControl w:val="false"/>
              <w:rPr>
                <w:lang w:bidi="ar-SA"/>
              </w:rPr>
            </w:pPr>
            <w:r>
              <w:rPr>
                <w:rFonts w:cs="Arial" w:ascii="Arial" w:hAnsi="Arial"/>
                <w:b/>
                <w:bCs/>
                <w:sz w:val="18"/>
                <w:szCs w:val="18"/>
                <w:lang w:val="en-US" w:bidi="ar-SA"/>
              </w:rPr>
              <w:t>CO</w:t>
            </w:r>
            <w:r>
              <w:rPr>
                <w:rFonts w:cs="Arial" w:ascii="Arial" w:hAnsi="Arial"/>
                <w:b/>
                <w:bCs/>
                <w:sz w:val="18"/>
                <w:szCs w:val="18"/>
                <w:vertAlign w:val="subscript"/>
                <w:lang w:val="en-US" w:bidi="ar-SA"/>
              </w:rPr>
              <w:t>2</w:t>
            </w:r>
          </w:p>
        </w:tc>
        <w:tc>
          <w:tcPr>
            <w:tcW w:w="565"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172</w:t>
            </w:r>
          </w:p>
        </w:tc>
        <w:tc>
          <w:tcPr>
            <w:tcW w:w="1621"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220 – 1,100</w:t>
            </w:r>
          </w:p>
        </w:tc>
        <w:tc>
          <w:tcPr>
            <w:tcW w:w="977"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0.1 – 1,000</w:t>
            </w:r>
          </w:p>
        </w:tc>
        <w:tc>
          <w:tcPr>
            <w:tcW w:w="2519" w:type="dxa"/>
            <w:tcBorders/>
            <w:shd w:fill="FFFFFF" w:val="clear"/>
          </w:tcPr>
          <w:p>
            <w:pPr>
              <w:pStyle w:val="TableContents"/>
              <w:widowControl w:val="false"/>
              <w:jc w:val="center"/>
              <w:rPr>
                <w:rFonts w:ascii="Arial" w:hAnsi="Arial" w:cs="Arial"/>
                <w:sz w:val="16"/>
                <w:szCs w:val="16"/>
                <w:lang w:val="en-US" w:bidi="ar-SA"/>
              </w:rPr>
            </w:pPr>
            <w:r>
              <w:rPr>
                <w:rFonts w:cs="Arial" w:ascii="Arial" w:hAnsi="Arial"/>
                <w:sz w:val="16"/>
                <w:szCs w:val="16"/>
                <w:lang w:val="en-US" w:bidi="ar-SA"/>
              </w:rPr>
              <w:t>NIST Webbook (2023)</w:t>
            </w:r>
          </w:p>
        </w:tc>
      </w:tr>
      <w:tr>
        <w:trPr/>
        <w:tc>
          <w:tcPr>
            <w:tcW w:w="1158" w:type="dxa"/>
            <w:tcBorders>
              <w:bottom w:val="single" w:sz="12" w:space="0" w:color="008000"/>
            </w:tcBorders>
            <w:shd w:fill="FFFFFF" w:val="clear"/>
          </w:tcPr>
          <w:p>
            <w:pPr>
              <w:pStyle w:val="TableContents"/>
              <w:widowControl w:val="false"/>
              <w:rPr>
                <w:rFonts w:ascii="Arial" w:hAnsi="Arial" w:cs="Arial"/>
                <w:b/>
                <w:b/>
                <w:bCs/>
                <w:sz w:val="18"/>
                <w:szCs w:val="18"/>
                <w:lang w:bidi="ar-SA"/>
              </w:rPr>
            </w:pPr>
            <w:r>
              <w:rPr>
                <w:rFonts w:cs="Arial" w:ascii="Arial" w:hAnsi="Arial"/>
                <w:b/>
                <w:bCs/>
                <w:i/>
                <w:iCs/>
                <w:sz w:val="18"/>
                <w:szCs w:val="18"/>
                <w:lang w:val="en-US" w:bidi="ar-SA"/>
              </w:rPr>
              <w:t>n</w:t>
            </w:r>
            <w:r>
              <w:rPr>
                <w:rFonts w:cs="Arial" w:ascii="Arial" w:hAnsi="Arial"/>
                <w:b/>
                <w:bCs/>
                <w:sz w:val="18"/>
                <w:szCs w:val="18"/>
                <w:lang w:val="en-US" w:bidi="ar-SA"/>
              </w:rPr>
              <w:t>-Decane</w:t>
            </w:r>
          </w:p>
        </w:tc>
        <w:tc>
          <w:tcPr>
            <w:tcW w:w="565" w:type="dxa"/>
            <w:tcBorders>
              <w:bottom w:val="single" w:sz="12" w:space="0" w:color="008000"/>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172</w:t>
            </w:r>
          </w:p>
        </w:tc>
        <w:tc>
          <w:tcPr>
            <w:tcW w:w="1621" w:type="dxa"/>
            <w:tcBorders>
              <w:bottom w:val="single" w:sz="12" w:space="0" w:color="008000"/>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250 – 675</w:t>
            </w:r>
          </w:p>
        </w:tc>
        <w:tc>
          <w:tcPr>
            <w:tcW w:w="977" w:type="dxa"/>
            <w:tcBorders>
              <w:bottom w:val="single" w:sz="12" w:space="0" w:color="008000"/>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0.1 – 1,000</w:t>
            </w:r>
          </w:p>
        </w:tc>
        <w:tc>
          <w:tcPr>
            <w:tcW w:w="2519" w:type="dxa"/>
            <w:tcBorders>
              <w:bottom w:val="single" w:sz="12" w:space="0" w:color="008000"/>
            </w:tcBorders>
            <w:shd w:fill="FFFFFF" w:val="clear"/>
          </w:tcPr>
          <w:p>
            <w:pPr>
              <w:pStyle w:val="TableContents"/>
              <w:widowControl w:val="false"/>
              <w:jc w:val="center"/>
              <w:rPr>
                <w:rFonts w:ascii="Arial" w:hAnsi="Arial" w:cs="Arial"/>
                <w:sz w:val="16"/>
                <w:szCs w:val="16"/>
                <w:lang w:val="en-US" w:bidi="ar-SA"/>
              </w:rPr>
            </w:pPr>
            <w:r>
              <w:rPr>
                <w:rFonts w:cs="Arial" w:ascii="Arial" w:hAnsi="Arial"/>
                <w:sz w:val="16"/>
                <w:szCs w:val="16"/>
                <w:lang w:val="en-US" w:bidi="ar-SA"/>
              </w:rPr>
              <w:t>NIST Webbook (2023)</w:t>
            </w:r>
          </w:p>
        </w:tc>
      </w:tr>
    </w:tbl>
    <w:p>
      <w:pPr>
        <w:pStyle w:val="CETheadingx"/>
        <w:rPr>
          <w:szCs w:val="18"/>
        </w:rPr>
      </w:pPr>
      <w:r>
        <w:rPr>
          <w:szCs w:val="18"/>
        </w:rPr>
      </w:r>
    </w:p>
    <w:p>
      <w:pPr>
        <w:pStyle w:val="CETBodytext"/>
        <w:rPr>
          <w:sz w:val="18"/>
          <w:szCs w:val="18"/>
          <w:lang w:val="en-US" w:bidi="ar-SA"/>
        </w:rPr>
      </w:pPr>
      <w:r>
        <w:rPr>
          <w:sz w:val="18"/>
          <w:szCs w:val="18"/>
          <w:lang w:val="en-US" w:bidi="ar-SA"/>
        </w:rPr>
        <w:t>Prior to the application of the present FVT-based viscosity model, critical properties, acentric factors, dipole moments and association factors of each fluid should be available as inputs needed by both CEoS and Eqs. (2) to (5). These properties are listed in Table 2.</w:t>
      </w:r>
    </w:p>
    <w:p>
      <w:pPr>
        <w:pStyle w:val="CETBodytext"/>
        <w:rPr>
          <w:sz w:val="18"/>
          <w:szCs w:val="18"/>
          <w:lang w:val="en-US" w:bidi="ar-SA"/>
        </w:rPr>
      </w:pPr>
      <w:r>
        <w:rPr>
          <w:sz w:val="18"/>
          <w:szCs w:val="18"/>
          <w:lang w:val="en-US" w:bidi="ar-SA"/>
        </w:rPr>
      </w:r>
    </w:p>
    <w:p>
      <w:pPr>
        <w:pStyle w:val="CETBodytext"/>
        <w:spacing w:lineRule="auto" w:line="240"/>
        <w:rPr>
          <w:b/>
          <w:b/>
          <w:bCs/>
          <w:iCs/>
          <w:szCs w:val="18"/>
          <w:lang w:val="en-US" w:bidi="ar-SA"/>
        </w:rPr>
      </w:pPr>
      <w:r>
        <w:rPr>
          <w:b/>
          <w:bCs/>
          <w:iCs/>
          <w:szCs w:val="18"/>
          <w:lang w:val="en-US" w:bidi="ar-SA"/>
        </w:rPr>
        <w:t>Table 2: Pure-component physical properties needed as model inputs</w:t>
      </w:r>
    </w:p>
    <w:tbl>
      <w:tblPr>
        <w:tblW w:w="8722" w:type="dxa"/>
        <w:jc w:val="left"/>
        <w:tblInd w:w="0" w:type="dxa"/>
        <w:tblLayout w:type="fixed"/>
        <w:tblCellMar>
          <w:top w:w="0" w:type="dxa"/>
          <w:left w:w="0" w:type="dxa"/>
          <w:bottom w:w="0" w:type="dxa"/>
          <w:right w:w="0" w:type="dxa"/>
        </w:tblCellMar>
      </w:tblPr>
      <w:tblGrid>
        <w:gridCol w:w="1246"/>
        <w:gridCol w:w="1068"/>
        <w:gridCol w:w="1068"/>
        <w:gridCol w:w="1068"/>
        <w:gridCol w:w="1068"/>
        <w:gridCol w:w="1068"/>
        <w:gridCol w:w="1068"/>
        <w:gridCol w:w="1068"/>
      </w:tblGrid>
      <w:tr>
        <w:trPr/>
        <w:tc>
          <w:tcPr>
            <w:tcW w:w="1246" w:type="dxa"/>
            <w:tcBorders>
              <w:top w:val="single" w:sz="12" w:space="0" w:color="008000"/>
              <w:bottom w:val="single" w:sz="6" w:space="0" w:color="008000"/>
            </w:tcBorders>
            <w:shd w:fill="FFFFFF" w:val="clear"/>
          </w:tcPr>
          <w:p>
            <w:pPr>
              <w:pStyle w:val="TableContents"/>
              <w:widowControl w:val="false"/>
              <w:spacing w:lineRule="auto" w:line="240"/>
              <w:jc w:val="left"/>
              <w:rPr>
                <w:rFonts w:ascii="Arial" w:hAnsi="Arial" w:cs="Arial"/>
                <w:b/>
                <w:b/>
                <w:bCs/>
                <w:i/>
                <w:i/>
                <w:iCs/>
                <w:sz w:val="18"/>
                <w:szCs w:val="18"/>
                <w:lang w:val="en-US" w:bidi="ar-SA"/>
              </w:rPr>
            </w:pPr>
            <w:r>
              <w:rPr>
                <w:rFonts w:cs="Arial" w:ascii="Arial" w:hAnsi="Arial"/>
                <w:b/>
                <w:bCs/>
                <w:i/>
                <w:iCs/>
                <w:sz w:val="18"/>
                <w:szCs w:val="18"/>
                <w:lang w:val="en-US" w:bidi="ar-SA"/>
              </w:rPr>
              <w:t>Component</w:t>
            </w:r>
          </w:p>
        </w:tc>
        <w:tc>
          <w:tcPr>
            <w:tcW w:w="1068" w:type="dxa"/>
            <w:tcBorders>
              <w:top w:val="single" w:sz="12" w:space="0" w:color="008000"/>
              <w:bottom w:val="single" w:sz="6" w:space="0" w:color="008000"/>
            </w:tcBorders>
            <w:shd w:fill="FFFFFF" w:val="clear"/>
          </w:tcPr>
          <w:p>
            <w:pPr>
              <w:pStyle w:val="TableContents"/>
              <w:widowControl w:val="false"/>
              <w:spacing w:lineRule="auto" w:line="240"/>
              <w:jc w:val="center"/>
              <w:rPr>
                <w:rFonts w:ascii="Arial" w:hAnsi="Arial" w:cs="Arial"/>
                <w:b/>
                <w:b/>
                <w:bCs/>
                <w:i/>
                <w:i/>
                <w:iCs/>
                <w:sz w:val="18"/>
                <w:szCs w:val="18"/>
                <w:lang w:val="en-US" w:bidi="ar-SA"/>
              </w:rPr>
            </w:pPr>
            <w:r>
              <w:rPr>
                <w:rFonts w:cs="Arial" w:ascii="Arial" w:hAnsi="Arial"/>
                <w:b/>
                <w:bCs/>
                <w:i/>
                <w:iCs/>
                <w:sz w:val="18"/>
                <w:szCs w:val="18"/>
                <w:lang w:val="en-US" w:bidi="ar-SA"/>
              </w:rPr>
              <w:t>M, g/mol</w:t>
            </w:r>
          </w:p>
        </w:tc>
        <w:tc>
          <w:tcPr>
            <w:tcW w:w="1068" w:type="dxa"/>
            <w:tcBorders>
              <w:top w:val="single" w:sz="12" w:space="0" w:color="008000"/>
              <w:bottom w:val="single" w:sz="6" w:space="0" w:color="008000"/>
            </w:tcBorders>
            <w:shd w:fill="FFFFFF" w:val="clear"/>
          </w:tcPr>
          <w:p>
            <w:pPr>
              <w:pStyle w:val="TableContents"/>
              <w:widowControl w:val="false"/>
              <w:spacing w:lineRule="auto" w:line="240"/>
              <w:jc w:val="center"/>
              <w:rPr>
                <w:rFonts w:ascii="Arial" w:hAnsi="Arial" w:cs="Arial"/>
                <w:b/>
                <w:b/>
                <w:bCs/>
                <w:i/>
                <w:i/>
                <w:iCs/>
                <w:sz w:val="18"/>
                <w:szCs w:val="18"/>
                <w:lang w:bidi="ar-SA"/>
              </w:rPr>
            </w:pPr>
            <w:r>
              <w:rPr>
                <w:rFonts w:cs="Arial" w:ascii="Arial" w:hAnsi="Arial"/>
                <w:b/>
                <w:bCs/>
                <w:i/>
                <w:iCs/>
                <w:sz w:val="18"/>
                <w:szCs w:val="18"/>
                <w:lang w:val="en-US" w:bidi="ar-SA"/>
              </w:rPr>
              <w:t>P</w:t>
            </w:r>
            <w:r>
              <w:rPr>
                <w:rFonts w:cs="Arial" w:ascii="Arial" w:hAnsi="Arial"/>
                <w:b/>
                <w:bCs/>
                <w:i/>
                <w:iCs/>
                <w:sz w:val="18"/>
                <w:szCs w:val="18"/>
                <w:vertAlign w:val="subscript"/>
                <w:lang w:val="en-US" w:bidi="ar-SA"/>
              </w:rPr>
              <w:t>c</w:t>
            </w:r>
            <w:r>
              <w:rPr>
                <w:rFonts w:cs="Arial" w:ascii="Arial" w:hAnsi="Arial"/>
                <w:b/>
                <w:bCs/>
                <w:i/>
                <w:iCs/>
                <w:sz w:val="18"/>
                <w:szCs w:val="18"/>
                <w:lang w:val="en-US" w:bidi="ar-SA"/>
              </w:rPr>
              <w:t>, bar</w:t>
            </w:r>
          </w:p>
        </w:tc>
        <w:tc>
          <w:tcPr>
            <w:tcW w:w="1068" w:type="dxa"/>
            <w:tcBorders>
              <w:top w:val="single" w:sz="12" w:space="0" w:color="008000"/>
              <w:bottom w:val="single" w:sz="6" w:space="0" w:color="008000"/>
            </w:tcBorders>
            <w:shd w:fill="FFFFFF" w:val="clear"/>
          </w:tcPr>
          <w:p>
            <w:pPr>
              <w:pStyle w:val="TableContents"/>
              <w:widowControl w:val="false"/>
              <w:spacing w:lineRule="auto" w:line="240"/>
              <w:jc w:val="center"/>
              <w:rPr>
                <w:rFonts w:ascii="Arial" w:hAnsi="Arial" w:cs="Arial"/>
                <w:b/>
                <w:b/>
                <w:bCs/>
                <w:i/>
                <w:i/>
                <w:iCs/>
                <w:sz w:val="18"/>
                <w:szCs w:val="18"/>
                <w:lang w:bidi="ar-SA"/>
              </w:rPr>
            </w:pPr>
            <w:r>
              <w:rPr>
                <w:rFonts w:cs="Arial" w:ascii="Arial" w:hAnsi="Arial"/>
                <w:b/>
                <w:bCs/>
                <w:i/>
                <w:iCs/>
                <w:sz w:val="18"/>
                <w:szCs w:val="18"/>
                <w:lang w:val="en-US" w:bidi="ar-SA"/>
              </w:rPr>
              <w:t>T</w:t>
            </w:r>
            <w:r>
              <w:rPr>
                <w:rFonts w:cs="Arial" w:ascii="Arial" w:hAnsi="Arial"/>
                <w:b/>
                <w:bCs/>
                <w:i/>
                <w:iCs/>
                <w:sz w:val="18"/>
                <w:szCs w:val="18"/>
                <w:vertAlign w:val="subscript"/>
                <w:lang w:val="en-US" w:bidi="ar-SA"/>
              </w:rPr>
              <w:t>c</w:t>
            </w:r>
            <w:r>
              <w:rPr>
                <w:rFonts w:cs="Arial" w:ascii="Arial" w:hAnsi="Arial"/>
                <w:b/>
                <w:bCs/>
                <w:i/>
                <w:iCs/>
                <w:sz w:val="18"/>
                <w:szCs w:val="18"/>
                <w:lang w:val="en-US" w:bidi="ar-SA"/>
              </w:rPr>
              <w:t>, K</w:t>
            </w:r>
          </w:p>
        </w:tc>
        <w:tc>
          <w:tcPr>
            <w:tcW w:w="1068" w:type="dxa"/>
            <w:tcBorders>
              <w:top w:val="single" w:sz="12" w:space="0" w:color="008000"/>
              <w:bottom w:val="single" w:sz="6" w:space="0" w:color="008000"/>
            </w:tcBorders>
            <w:shd w:fill="FFFFFF" w:val="clear"/>
          </w:tcPr>
          <w:p>
            <w:pPr>
              <w:pStyle w:val="TableContents"/>
              <w:widowControl w:val="false"/>
              <w:spacing w:lineRule="auto" w:line="240"/>
              <w:jc w:val="center"/>
              <w:rPr>
                <w:rFonts w:ascii="Arial" w:hAnsi="Arial" w:cs="Arial"/>
                <w:b/>
                <w:b/>
                <w:bCs/>
                <w:i/>
                <w:i/>
                <w:iCs/>
                <w:sz w:val="18"/>
                <w:szCs w:val="18"/>
                <w:lang w:bidi="ar-SA"/>
              </w:rPr>
            </w:pPr>
            <w:r>
              <w:rPr>
                <w:rFonts w:cs="Arial" w:ascii="Arial" w:hAnsi="Arial"/>
                <w:b/>
                <w:bCs/>
                <w:i/>
                <w:iCs/>
                <w:sz w:val="18"/>
                <w:szCs w:val="18"/>
                <w:lang w:val="en-US" w:bidi="ar-SA"/>
              </w:rPr>
              <w:t>V</w:t>
            </w:r>
            <w:r>
              <w:rPr>
                <w:rFonts w:cs="Arial" w:ascii="Arial" w:hAnsi="Arial"/>
                <w:b/>
                <w:bCs/>
                <w:i/>
                <w:iCs/>
                <w:sz w:val="18"/>
                <w:szCs w:val="18"/>
                <w:vertAlign w:val="subscript"/>
                <w:lang w:val="en-US" w:bidi="ar-SA"/>
              </w:rPr>
              <w:t>c</w:t>
            </w:r>
            <w:r>
              <w:rPr>
                <w:rFonts w:cs="Arial" w:ascii="Arial" w:hAnsi="Arial"/>
                <w:b/>
                <w:bCs/>
                <w:i/>
                <w:iCs/>
                <w:sz w:val="18"/>
                <w:szCs w:val="18"/>
                <w:lang w:val="en-US" w:bidi="ar-SA"/>
              </w:rPr>
              <w:t>, cm</w:t>
            </w:r>
            <w:r>
              <w:rPr>
                <w:rFonts w:cs="Arial" w:ascii="Arial" w:hAnsi="Arial"/>
                <w:b/>
                <w:bCs/>
                <w:i/>
                <w:iCs/>
                <w:sz w:val="18"/>
                <w:szCs w:val="18"/>
                <w:vertAlign w:val="superscript"/>
                <w:lang w:val="en-US" w:bidi="ar-SA"/>
              </w:rPr>
              <w:t>3</w:t>
            </w:r>
            <w:r>
              <w:rPr>
                <w:rFonts w:cs="Arial" w:ascii="Arial" w:hAnsi="Arial"/>
                <w:b/>
                <w:bCs/>
                <w:i/>
                <w:iCs/>
                <w:sz w:val="18"/>
                <w:szCs w:val="18"/>
                <w:lang w:val="en-US" w:bidi="ar-SA"/>
              </w:rPr>
              <w:t>/mol</w:t>
            </w:r>
          </w:p>
        </w:tc>
        <w:tc>
          <w:tcPr>
            <w:tcW w:w="1068" w:type="dxa"/>
            <w:tcBorders>
              <w:top w:val="single" w:sz="12" w:space="0" w:color="008000"/>
              <w:bottom w:val="single" w:sz="6" w:space="0" w:color="008000"/>
            </w:tcBorders>
            <w:shd w:fill="FFFFFF" w:val="clear"/>
          </w:tcPr>
          <w:p>
            <w:pPr>
              <w:pStyle w:val="Footer"/>
              <w:widowControl w:val="false"/>
              <w:tabs>
                <w:tab w:val="clear" w:pos="720"/>
                <w:tab w:val="center" w:pos="4410" w:leader="none"/>
                <w:tab w:val="right" w:pos="8730" w:leader="none"/>
                <w:tab w:val="right" w:pos="8789" w:leader="none"/>
              </w:tabs>
              <w:spacing w:lineRule="auto" w:line="240"/>
              <w:jc w:val="center"/>
              <w:rPr>
                <w:rFonts w:ascii="Arial" w:hAnsi="Arial" w:cs="Arial"/>
                <w:b/>
                <w:b/>
                <w:bCs/>
                <w:i/>
                <w:i/>
                <w:iCs/>
                <w:sz w:val="18"/>
                <w:szCs w:val="18"/>
                <w:lang w:val="en-US" w:bidi="ar-SA"/>
              </w:rPr>
            </w:pPr>
            <w:r>
              <w:rPr>
                <w:rFonts w:cs="Arial" w:ascii="Arial" w:hAnsi="Arial"/>
                <w:b/>
                <w:bCs/>
                <w:i/>
                <w:iCs/>
                <w:sz w:val="18"/>
                <w:szCs w:val="18"/>
                <w:lang w:val="en-US" w:bidi="ar-SA"/>
              </w:rPr>
              <w:t>ω</w:t>
            </w:r>
          </w:p>
        </w:tc>
        <w:tc>
          <w:tcPr>
            <w:tcW w:w="1068" w:type="dxa"/>
            <w:tcBorders>
              <w:top w:val="single" w:sz="12" w:space="0" w:color="008000"/>
              <w:bottom w:val="single" w:sz="6" w:space="0" w:color="008000"/>
            </w:tcBorders>
            <w:shd w:fill="FFFFFF" w:val="clear"/>
          </w:tcPr>
          <w:p>
            <w:pPr>
              <w:pStyle w:val="TableContents"/>
              <w:widowControl w:val="false"/>
              <w:spacing w:lineRule="auto" w:line="240"/>
              <w:jc w:val="center"/>
              <w:rPr>
                <w:rFonts w:ascii="Arial" w:hAnsi="Arial" w:cs="Arial"/>
                <w:b/>
                <w:b/>
                <w:bCs/>
                <w:i/>
                <w:i/>
                <w:iCs/>
                <w:sz w:val="18"/>
                <w:szCs w:val="18"/>
                <w:lang w:val="en-US" w:bidi="ar-SA"/>
              </w:rPr>
            </w:pPr>
            <w:r>
              <w:rPr>
                <w:rFonts w:cs="Arial" w:ascii="Arial" w:hAnsi="Arial"/>
                <w:b/>
                <w:bCs/>
                <w:i/>
                <w:iCs/>
                <w:sz w:val="18"/>
                <w:szCs w:val="18"/>
                <w:lang w:val="en-US" w:bidi="ar-SA"/>
              </w:rPr>
              <w:t>μ, debye</w:t>
            </w:r>
          </w:p>
        </w:tc>
        <w:tc>
          <w:tcPr>
            <w:tcW w:w="1068" w:type="dxa"/>
            <w:tcBorders>
              <w:top w:val="single" w:sz="12" w:space="0" w:color="008000"/>
              <w:bottom w:val="single" w:sz="6" w:space="0" w:color="008000"/>
            </w:tcBorders>
            <w:shd w:fill="FFFFFF" w:val="clear"/>
          </w:tcPr>
          <w:p>
            <w:pPr>
              <w:pStyle w:val="Footer"/>
              <w:widowControl w:val="false"/>
              <w:tabs>
                <w:tab w:val="clear" w:pos="720"/>
                <w:tab w:val="center" w:pos="4410" w:leader="none"/>
                <w:tab w:val="right" w:pos="8730" w:leader="none"/>
                <w:tab w:val="right" w:pos="8789" w:leader="none"/>
              </w:tabs>
              <w:spacing w:lineRule="auto" w:line="240"/>
              <w:jc w:val="center"/>
              <w:rPr>
                <w:rFonts w:ascii="Arial" w:hAnsi="Arial" w:cs="Arial"/>
                <w:b/>
                <w:b/>
                <w:bCs/>
                <w:i/>
                <w:i/>
                <w:iCs/>
                <w:sz w:val="18"/>
                <w:szCs w:val="18"/>
                <w:lang w:val="en-US" w:bidi="ar-SA"/>
              </w:rPr>
            </w:pPr>
            <w:r>
              <w:rPr>
                <w:rFonts w:cs="Arial" w:ascii="Arial" w:hAnsi="Arial"/>
                <w:b/>
                <w:bCs/>
                <w:i/>
                <w:iCs/>
                <w:sz w:val="18"/>
                <w:szCs w:val="18"/>
                <w:lang w:val="en-US" w:bidi="ar-SA"/>
              </w:rPr>
              <w:t>κ</w:t>
            </w:r>
          </w:p>
        </w:tc>
      </w:tr>
      <w:tr>
        <w:trPr>
          <w:trHeight w:val="1" w:hRule="atLeast"/>
        </w:trPr>
        <w:tc>
          <w:tcPr>
            <w:tcW w:w="1246" w:type="dxa"/>
            <w:tcBorders/>
            <w:shd w:fill="FFFFFF" w:val="clear"/>
          </w:tcPr>
          <w:p>
            <w:pPr>
              <w:pStyle w:val="TableContents"/>
              <w:widowControl w:val="false"/>
              <w:spacing w:lineRule="auto" w:line="240"/>
              <w:rPr>
                <w:rFonts w:ascii="Arial" w:hAnsi="Arial" w:cs="Arial"/>
                <w:b/>
                <w:b/>
                <w:bCs/>
                <w:sz w:val="18"/>
                <w:szCs w:val="18"/>
                <w:lang w:val="en-US" w:bidi="ar-SA"/>
              </w:rPr>
            </w:pPr>
            <w:r>
              <w:rPr>
                <w:rFonts w:cs="Arial" w:ascii="Arial" w:hAnsi="Arial"/>
                <w:b/>
                <w:bCs/>
                <w:sz w:val="18"/>
                <w:szCs w:val="18"/>
                <w:lang w:val="en-US" w:bidi="ar-SA"/>
              </w:rPr>
              <w:t>Water</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18.0153</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220.8975</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647.286</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55.9481</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0.3438</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1.855</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0.076</w:t>
            </w:r>
          </w:p>
        </w:tc>
      </w:tr>
      <w:tr>
        <w:trPr>
          <w:trHeight w:val="1" w:hRule="atLeast"/>
        </w:trPr>
        <w:tc>
          <w:tcPr>
            <w:tcW w:w="1246" w:type="dxa"/>
            <w:tcBorders/>
            <w:shd w:fill="FFFFFF" w:val="clear"/>
          </w:tcPr>
          <w:p>
            <w:pPr>
              <w:pStyle w:val="TableContents"/>
              <w:widowControl w:val="false"/>
              <w:spacing w:lineRule="auto" w:line="240"/>
              <w:rPr>
                <w:rFonts w:ascii="Arial" w:hAnsi="Arial" w:cs="Arial"/>
                <w:b/>
                <w:b/>
                <w:bCs/>
                <w:position w:val="0"/>
                <w:sz w:val="18"/>
                <w:sz w:val="18"/>
                <w:szCs w:val="18"/>
                <w:vertAlign w:val="baseline"/>
                <w:lang w:val="en-US" w:bidi="ar-SA"/>
              </w:rPr>
            </w:pPr>
            <w:r>
              <w:rPr>
                <w:rFonts w:cs="Arial" w:ascii="Arial" w:hAnsi="Arial"/>
                <w:b/>
                <w:bCs/>
                <w:position w:val="0"/>
                <w:sz w:val="18"/>
                <w:sz w:val="18"/>
                <w:szCs w:val="18"/>
                <w:vertAlign w:val="baseline"/>
                <w:lang w:val="en-US" w:bidi="ar-SA"/>
              </w:rPr>
              <w:t>Methanol</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32.0419</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81.035</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512.6</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116.2791</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0.5625</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1.7</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0.215</w:t>
            </w:r>
          </w:p>
        </w:tc>
      </w:tr>
      <w:tr>
        <w:trPr/>
        <w:tc>
          <w:tcPr>
            <w:tcW w:w="1246" w:type="dxa"/>
            <w:tcBorders/>
            <w:shd w:fill="FFFFFF" w:val="clear"/>
          </w:tcPr>
          <w:p>
            <w:pPr>
              <w:pStyle w:val="TableContents"/>
              <w:widowControl w:val="false"/>
              <w:spacing w:lineRule="auto" w:line="240"/>
              <w:rPr>
                <w:lang w:bidi="ar-SA"/>
              </w:rPr>
            </w:pPr>
            <w:r>
              <w:rPr>
                <w:rFonts w:cs="Arial" w:ascii="Arial" w:hAnsi="Arial"/>
                <w:b/>
                <w:bCs/>
                <w:sz w:val="18"/>
                <w:szCs w:val="18"/>
                <w:lang w:val="en-US" w:bidi="ar-SA"/>
              </w:rPr>
              <w:t>CO</w:t>
            </w:r>
            <w:r>
              <w:rPr>
                <w:rFonts w:cs="Arial" w:ascii="Arial" w:hAnsi="Arial"/>
                <w:b/>
                <w:bCs/>
                <w:sz w:val="18"/>
                <w:szCs w:val="18"/>
                <w:vertAlign w:val="subscript"/>
                <w:lang w:val="en-US" w:bidi="ar-SA"/>
              </w:rPr>
              <w:t>2</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44.0095</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73.773</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304.1282</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94.1185</w:t>
            </w:r>
          </w:p>
        </w:tc>
        <w:tc>
          <w:tcPr>
            <w:tcW w:w="1068" w:type="dxa"/>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0.22394</w:t>
            </w:r>
          </w:p>
        </w:tc>
        <w:tc>
          <w:tcPr>
            <w:tcW w:w="1068" w:type="dxa"/>
            <w:tcBorders/>
            <w:shd w:fill="FFFFFF" w:val="clear"/>
          </w:tcPr>
          <w:p>
            <w:pPr>
              <w:pStyle w:val="TableContents"/>
              <w:widowControl w:val="false"/>
              <w:spacing w:lineRule="auto" w:line="240"/>
              <w:jc w:val="center"/>
              <w:rPr>
                <w:rFonts w:ascii="Arial" w:hAnsi="Arial" w:cs="Arial"/>
                <w:sz w:val="16"/>
                <w:szCs w:val="16"/>
                <w:lang w:val="en-US" w:bidi="ar-SA"/>
              </w:rPr>
            </w:pPr>
            <w:r>
              <w:rPr>
                <w:rFonts w:cs="Arial" w:ascii="Arial" w:hAnsi="Arial"/>
                <w:sz w:val="16"/>
                <w:szCs w:val="16"/>
                <w:lang w:val="en-US" w:bidi="ar-SA"/>
              </w:rPr>
              <w:t>0</w:t>
            </w:r>
          </w:p>
        </w:tc>
        <w:tc>
          <w:tcPr>
            <w:tcW w:w="1068" w:type="dxa"/>
            <w:tcBorders/>
            <w:shd w:fill="FFFFFF" w:val="clear"/>
          </w:tcPr>
          <w:p>
            <w:pPr>
              <w:pStyle w:val="TableContents"/>
              <w:widowControl w:val="false"/>
              <w:spacing w:lineRule="auto" w:line="240"/>
              <w:jc w:val="center"/>
              <w:rPr>
                <w:rFonts w:ascii="Arial" w:hAnsi="Arial" w:cs="Arial"/>
                <w:sz w:val="16"/>
                <w:szCs w:val="16"/>
                <w:lang w:val="en-US" w:bidi="ar-SA"/>
              </w:rPr>
            </w:pPr>
            <w:r>
              <w:rPr>
                <w:rFonts w:cs="Arial" w:ascii="Arial" w:hAnsi="Arial"/>
                <w:sz w:val="16"/>
                <w:szCs w:val="16"/>
                <w:lang w:val="en-US" w:bidi="ar-SA"/>
              </w:rPr>
              <w:t>0</w:t>
            </w:r>
          </w:p>
        </w:tc>
      </w:tr>
      <w:tr>
        <w:trPr/>
        <w:tc>
          <w:tcPr>
            <w:tcW w:w="1246" w:type="dxa"/>
            <w:tcBorders>
              <w:bottom w:val="single" w:sz="12" w:space="0" w:color="008000"/>
            </w:tcBorders>
            <w:shd w:fill="FFFFFF" w:val="clear"/>
          </w:tcPr>
          <w:p>
            <w:pPr>
              <w:pStyle w:val="TableContents"/>
              <w:widowControl w:val="false"/>
              <w:spacing w:lineRule="auto" w:line="240"/>
              <w:rPr>
                <w:rFonts w:ascii="Arial" w:hAnsi="Arial" w:cs="Arial"/>
                <w:b/>
                <w:b/>
                <w:bCs/>
                <w:sz w:val="18"/>
                <w:szCs w:val="18"/>
                <w:lang w:bidi="ar-SA"/>
              </w:rPr>
            </w:pPr>
            <w:r>
              <w:rPr>
                <w:rFonts w:cs="Arial" w:ascii="Arial" w:hAnsi="Arial"/>
                <w:b/>
                <w:bCs/>
                <w:i/>
                <w:iCs/>
                <w:sz w:val="18"/>
                <w:szCs w:val="18"/>
                <w:lang w:val="en-US" w:bidi="ar-SA"/>
              </w:rPr>
              <w:t>n</w:t>
            </w:r>
            <w:r>
              <w:rPr>
                <w:rFonts w:cs="Arial" w:ascii="Arial" w:hAnsi="Arial"/>
                <w:b/>
                <w:bCs/>
                <w:sz w:val="18"/>
                <w:szCs w:val="18"/>
                <w:lang w:val="en-US" w:bidi="ar-SA"/>
              </w:rPr>
              <w:t>-Decane</w:t>
            </w:r>
          </w:p>
        </w:tc>
        <w:tc>
          <w:tcPr>
            <w:tcW w:w="1068" w:type="dxa"/>
            <w:tcBorders>
              <w:bottom w:val="single" w:sz="12" w:space="0" w:color="008000"/>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142.2817</w:t>
            </w:r>
          </w:p>
        </w:tc>
        <w:tc>
          <w:tcPr>
            <w:tcW w:w="1068" w:type="dxa"/>
            <w:tcBorders>
              <w:bottom w:val="single" w:sz="12" w:space="0" w:color="008000"/>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21.03</w:t>
            </w:r>
          </w:p>
        </w:tc>
        <w:tc>
          <w:tcPr>
            <w:tcW w:w="1068" w:type="dxa"/>
            <w:tcBorders>
              <w:bottom w:val="single" w:sz="12" w:space="0" w:color="008000"/>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617.7</w:t>
            </w:r>
          </w:p>
        </w:tc>
        <w:tc>
          <w:tcPr>
            <w:tcW w:w="1068" w:type="dxa"/>
            <w:tcBorders>
              <w:bottom w:val="single" w:sz="12" w:space="0" w:color="008000"/>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609.7561</w:t>
            </w:r>
          </w:p>
        </w:tc>
        <w:tc>
          <w:tcPr>
            <w:tcW w:w="1068" w:type="dxa"/>
            <w:tcBorders>
              <w:bottom w:val="single" w:sz="12" w:space="0" w:color="008000"/>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0.4884</w:t>
            </w:r>
          </w:p>
        </w:tc>
        <w:tc>
          <w:tcPr>
            <w:tcW w:w="1068" w:type="dxa"/>
            <w:tcBorders>
              <w:bottom w:val="single" w:sz="12" w:space="0" w:color="008000"/>
            </w:tcBorders>
            <w:shd w:fill="FFFFFF" w:val="clear"/>
          </w:tcPr>
          <w:p>
            <w:pPr>
              <w:pStyle w:val="CETBodytext"/>
              <w:widowControl w:val="false"/>
              <w:spacing w:lineRule="auto" w:line="240"/>
              <w:jc w:val="center"/>
              <w:rPr>
                <w:rFonts w:cs="Arial"/>
                <w:sz w:val="16"/>
                <w:szCs w:val="16"/>
                <w:lang w:val="en-US" w:bidi="ar-SA"/>
              </w:rPr>
            </w:pPr>
            <w:r>
              <w:rPr>
                <w:rFonts w:cs="Arial"/>
                <w:sz w:val="16"/>
                <w:szCs w:val="16"/>
                <w:lang w:val="en-US" w:bidi="ar-SA"/>
              </w:rPr>
              <w:t>0.07</w:t>
            </w:r>
          </w:p>
        </w:tc>
        <w:tc>
          <w:tcPr>
            <w:tcW w:w="1068" w:type="dxa"/>
            <w:tcBorders>
              <w:bottom w:val="single" w:sz="12" w:space="0" w:color="008000"/>
            </w:tcBorders>
            <w:shd w:fill="FFFFFF" w:val="clear"/>
          </w:tcPr>
          <w:p>
            <w:pPr>
              <w:pStyle w:val="TableContents"/>
              <w:widowControl w:val="false"/>
              <w:spacing w:lineRule="auto" w:line="240"/>
              <w:jc w:val="center"/>
              <w:rPr>
                <w:rFonts w:ascii="Arial" w:hAnsi="Arial" w:cs="Arial"/>
                <w:sz w:val="16"/>
                <w:szCs w:val="16"/>
                <w:lang w:val="en-US" w:bidi="ar-SA"/>
              </w:rPr>
            </w:pPr>
            <w:r>
              <w:rPr>
                <w:rFonts w:cs="Arial" w:ascii="Arial" w:hAnsi="Arial"/>
                <w:sz w:val="16"/>
                <w:szCs w:val="16"/>
                <w:lang w:val="en-US" w:bidi="ar-SA"/>
              </w:rPr>
              <w:t>0</w:t>
            </w:r>
          </w:p>
        </w:tc>
      </w:tr>
    </w:tbl>
    <w:p>
      <w:pPr>
        <w:pStyle w:val="CETheadingx"/>
        <w:spacing w:lineRule="auto" w:line="240"/>
        <w:rPr>
          <w:sz w:val="16"/>
          <w:szCs w:val="16"/>
          <w:lang w:val="en-US" w:bidi="ar-SA"/>
        </w:rPr>
      </w:pPr>
      <w:r>
        <w:rPr>
          <w:sz w:val="16"/>
          <w:szCs w:val="16"/>
          <w:lang w:val="en-US" w:bidi="ar-SA"/>
        </w:rPr>
      </w:r>
    </w:p>
    <w:p>
      <w:pPr>
        <w:pStyle w:val="CETBodytext"/>
        <w:rPr/>
      </w:pPr>
      <w:r>
        <w:rPr>
          <w:sz w:val="18"/>
          <w:szCs w:val="18"/>
          <w:lang w:val="en-US" w:bidi="ar-SA"/>
        </w:rPr>
        <w:t xml:space="preserve">On the other hand, Table 3 summarizes for each fluid the correlating results in terms of absolute average deviations </w:t>
      </w:r>
      <w:r>
        <w:rPr>
          <w:sz w:val="18"/>
          <w:szCs w:val="18"/>
          <w:lang w:val="en-US" w:bidi="ar-SA"/>
        </w:rPr>
        <w:t>(</w:t>
      </w:r>
      <w:r>
        <w:rPr>
          <w:i/>
          <w:iCs/>
          <w:sz w:val="18"/>
          <w:szCs w:val="18"/>
          <w:lang w:val="en-US" w:bidi="ar-SA"/>
        </w:rPr>
        <w:t>AAD</w:t>
      </w:r>
      <w:r>
        <w:rPr>
          <w:sz w:val="18"/>
          <w:szCs w:val="18"/>
          <w:lang w:val="en-US" w:bidi="ar-SA"/>
        </w:rPr>
        <w:t xml:space="preserve">) </w:t>
      </w:r>
      <w:r>
        <w:rPr>
          <w:sz w:val="18"/>
          <w:szCs w:val="18"/>
          <w:lang w:val="en-US" w:bidi="ar-SA"/>
        </w:rPr>
        <w:t xml:space="preserve">between experimental and calculated viscosities, that is the </w:t>
      </w:r>
      <w:r>
        <w:rPr>
          <w:i/>
          <w:iCs/>
          <w:sz w:val="18"/>
          <w:szCs w:val="18"/>
          <w:lang w:val="en-US" w:bidi="ar-SA"/>
        </w:rPr>
        <w:t>AAD</w:t>
      </w:r>
      <w:r>
        <w:rPr>
          <w:sz w:val="18"/>
          <w:szCs w:val="18"/>
          <w:lang w:val="en-US" w:bidi="ar-SA"/>
        </w:rPr>
        <w:t xml:space="preserve"> values yielded by the present parameter regression process for both original and modified FVT-based models which in turn were coupled to the SRK and PR CEoS (namely the FVT-SRK and FVT-PR approaches, respectively)</w:t>
      </w:r>
      <w:r>
        <w:rPr>
          <w:szCs w:val="18"/>
          <w:lang w:val="en-US" w:bidi="ar-SA"/>
        </w:rPr>
        <w:t xml:space="preserve">. Table 3 reveals that the ability of the original FVT approach (Eqs. (2), (6) and (7)) in representing the experimental viscosity data was reasonably good with overall </w:t>
      </w:r>
      <w:r>
        <w:rPr>
          <w:i/>
          <w:iCs/>
          <w:szCs w:val="18"/>
          <w:lang w:val="en-US" w:bidi="ar-SA"/>
        </w:rPr>
        <w:t>AAD</w:t>
      </w:r>
      <w:r>
        <w:rPr>
          <w:szCs w:val="18"/>
          <w:lang w:val="en-US" w:bidi="ar-SA"/>
        </w:rPr>
        <w:t xml:space="preserve"> values of 6.17% using the SRK CEoS, and 6.34% using the PR CEoS based on a total of 900 data points. Also shown in Table 3 are the overall </w:t>
      </w:r>
      <w:r>
        <w:rPr>
          <w:i/>
          <w:iCs/>
          <w:szCs w:val="18"/>
          <w:lang w:val="en-US" w:bidi="ar-SA"/>
        </w:rPr>
        <w:t>AAD</w:t>
      </w:r>
      <w:r>
        <w:rPr>
          <w:szCs w:val="18"/>
          <w:lang w:val="en-US" w:bidi="ar-SA"/>
        </w:rPr>
        <w:t xml:space="preserve"> values yielded by the modified FVT model (4.85% using the SRK CEoS and 4.93% using the PR CEoS) which are lower than those of the original approach thus demonstrating the suitability of the present modification through Eq. (8).</w:t>
      </w:r>
    </w:p>
    <w:p>
      <w:pPr>
        <w:pStyle w:val="CETBodytext"/>
        <w:rPr>
          <w:szCs w:val="18"/>
        </w:rPr>
      </w:pPr>
      <w:r>
        <w:rPr>
          <w:szCs w:val="18"/>
        </w:rPr>
      </w:r>
    </w:p>
    <w:p>
      <w:pPr>
        <w:pStyle w:val="CETBodytext"/>
        <w:rPr/>
      </w:pPr>
      <w:r>
        <w:rPr>
          <w:b/>
          <w:bCs/>
          <w:iCs/>
          <w:szCs w:val="18"/>
          <w:lang w:val="en-US" w:bidi="ar-SA"/>
        </w:rPr>
        <w:t xml:space="preserve">Table 3: Model performance in terms of </w:t>
      </w:r>
      <w:r>
        <w:rPr>
          <w:b/>
          <w:bCs/>
          <w:i/>
          <w:iCs/>
          <w:szCs w:val="18"/>
          <w:lang w:val="en-US" w:bidi="ar-SA"/>
        </w:rPr>
        <w:t>AAD</w:t>
      </w:r>
      <w:r>
        <w:rPr>
          <w:b/>
          <w:bCs/>
          <w:iCs/>
          <w:szCs w:val="18"/>
          <w:lang w:val="en-US" w:bidi="ar-SA"/>
        </w:rPr>
        <w:t xml:space="preserve"> values</w:t>
      </w:r>
    </w:p>
    <w:tbl>
      <w:tblPr>
        <w:tblW w:w="8282" w:type="dxa"/>
        <w:jc w:val="left"/>
        <w:tblInd w:w="0" w:type="dxa"/>
        <w:tblLayout w:type="fixed"/>
        <w:tblCellMar>
          <w:top w:w="0" w:type="dxa"/>
          <w:left w:w="0" w:type="dxa"/>
          <w:bottom w:w="0" w:type="dxa"/>
          <w:right w:w="0" w:type="dxa"/>
        </w:tblCellMar>
      </w:tblPr>
      <w:tblGrid>
        <w:gridCol w:w="1662"/>
        <w:gridCol w:w="1030"/>
        <w:gridCol w:w="2795"/>
        <w:gridCol w:w="2795"/>
      </w:tblGrid>
      <w:tr>
        <w:trPr/>
        <w:tc>
          <w:tcPr>
            <w:tcW w:w="1662" w:type="dxa"/>
            <w:tcBorders>
              <w:top w:val="single" w:sz="12" w:space="0" w:color="008000"/>
              <w:bottom w:val="single" w:sz="6" w:space="0" w:color="008000"/>
            </w:tcBorders>
            <w:shd w:fill="FFFFFF" w:val="clear"/>
          </w:tcPr>
          <w:p>
            <w:pPr>
              <w:pStyle w:val="TableContents"/>
              <w:widowControl w:val="false"/>
              <w:jc w:val="left"/>
              <w:rPr>
                <w:rFonts w:ascii="Arial" w:hAnsi="Arial" w:cs="Arial"/>
                <w:b/>
                <w:b/>
                <w:bCs/>
                <w:i/>
                <w:i/>
                <w:iCs/>
                <w:sz w:val="18"/>
                <w:szCs w:val="18"/>
                <w:lang w:val="en-US" w:bidi="ar-SA"/>
              </w:rPr>
            </w:pPr>
            <w:r>
              <w:rPr>
                <w:rFonts w:cs="Arial" w:ascii="Arial" w:hAnsi="Arial"/>
                <w:b/>
                <w:bCs/>
                <w:i/>
                <w:iCs/>
                <w:sz w:val="18"/>
                <w:szCs w:val="18"/>
                <w:lang w:val="en-US" w:bidi="ar-SA"/>
              </w:rPr>
              <w:t>Component</w:t>
            </w:r>
          </w:p>
        </w:tc>
        <w:tc>
          <w:tcPr>
            <w:tcW w:w="1030"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N</w:t>
            </w:r>
          </w:p>
        </w:tc>
        <w:tc>
          <w:tcPr>
            <w:tcW w:w="2795"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Original FVT model</w:t>
            </w:r>
          </w:p>
          <w:p>
            <w:pPr>
              <w:pStyle w:val="TableContents"/>
              <w:widowControl w:val="false"/>
              <w:jc w:val="both"/>
              <w:rPr>
                <w:rFonts w:ascii="Arial" w:hAnsi="Arial" w:cs="Arial"/>
                <w:b/>
                <w:b/>
                <w:bCs/>
                <w:i/>
                <w:i/>
                <w:iCs/>
                <w:sz w:val="18"/>
                <w:szCs w:val="18"/>
                <w:lang w:val="en-US" w:bidi="ar-SA"/>
              </w:rPr>
            </w:pPr>
            <w:r>
              <w:rPr>
                <w:rFonts w:cs="Arial" w:ascii="Arial" w:hAnsi="Arial"/>
                <w:b/>
                <w:bCs/>
                <w:i/>
                <w:iCs/>
                <w:sz w:val="18"/>
                <w:szCs w:val="18"/>
                <w:lang w:val="en-US" w:bidi="ar-SA"/>
              </w:rPr>
              <w:t xml:space="preserve">    </w:t>
            </w:r>
            <w:r>
              <w:rPr>
                <w:rFonts w:cs="Arial" w:ascii="Arial" w:hAnsi="Arial"/>
                <w:b/>
                <w:bCs/>
                <w:i/>
                <w:iCs/>
                <w:sz w:val="18"/>
                <w:szCs w:val="18"/>
                <w:lang w:val="en-US" w:bidi="ar-SA"/>
              </w:rPr>
              <w:t>% AAD SRK            % AAD PR</w:t>
            </w:r>
          </w:p>
        </w:tc>
        <w:tc>
          <w:tcPr>
            <w:tcW w:w="2795" w:type="dxa"/>
            <w:tcBorders>
              <w:top w:val="single" w:sz="12" w:space="0" w:color="008000"/>
              <w:bottom w:val="single" w:sz="6" w:space="0" w:color="008000"/>
            </w:tcBorders>
            <w:shd w:fill="FFFFFF" w:val="clear"/>
          </w:tcPr>
          <w:p>
            <w:pPr>
              <w:pStyle w:val="TableContents"/>
              <w:widowControl w:val="false"/>
              <w:jc w:val="center"/>
              <w:rPr>
                <w:rFonts w:ascii="Arial" w:hAnsi="Arial" w:cs="Arial"/>
                <w:b/>
                <w:b/>
                <w:bCs/>
                <w:i/>
                <w:i/>
                <w:iCs/>
                <w:sz w:val="18"/>
                <w:szCs w:val="18"/>
                <w:lang w:val="en-US" w:bidi="ar-SA"/>
              </w:rPr>
            </w:pPr>
            <w:r>
              <w:rPr>
                <w:rFonts w:cs="Arial" w:ascii="Arial" w:hAnsi="Arial"/>
                <w:b/>
                <w:bCs/>
                <w:i/>
                <w:iCs/>
                <w:sz w:val="18"/>
                <w:szCs w:val="18"/>
                <w:lang w:val="en-US" w:bidi="ar-SA"/>
              </w:rPr>
              <w:t>Modified FVT model</w:t>
            </w:r>
          </w:p>
          <w:p>
            <w:pPr>
              <w:pStyle w:val="TableContents"/>
              <w:widowControl w:val="false"/>
              <w:jc w:val="both"/>
              <w:rPr>
                <w:rFonts w:ascii="Arial" w:hAnsi="Arial" w:cs="Arial"/>
                <w:b/>
                <w:b/>
                <w:bCs/>
                <w:i/>
                <w:i/>
                <w:iCs/>
                <w:sz w:val="18"/>
                <w:szCs w:val="18"/>
                <w:lang w:val="en-US" w:bidi="ar-SA"/>
              </w:rPr>
            </w:pPr>
            <w:r>
              <w:rPr>
                <w:rFonts w:cs="Arial" w:ascii="Arial" w:hAnsi="Arial"/>
                <w:b/>
                <w:bCs/>
                <w:i/>
                <w:iCs/>
                <w:sz w:val="18"/>
                <w:szCs w:val="18"/>
                <w:lang w:val="en-US" w:bidi="ar-SA"/>
              </w:rPr>
              <w:t xml:space="preserve">   </w:t>
            </w:r>
            <w:r>
              <w:rPr>
                <w:rFonts w:cs="Arial" w:ascii="Arial" w:hAnsi="Arial"/>
                <w:b/>
                <w:bCs/>
                <w:i/>
                <w:iCs/>
                <w:sz w:val="18"/>
                <w:szCs w:val="18"/>
                <w:lang w:val="en-US" w:bidi="ar-SA"/>
              </w:rPr>
              <w:t>% AAD SRK            % AAD PR</w:t>
            </w:r>
          </w:p>
        </w:tc>
      </w:tr>
      <w:tr>
        <w:trPr/>
        <w:tc>
          <w:tcPr>
            <w:tcW w:w="1662" w:type="dxa"/>
            <w:tcBorders/>
            <w:shd w:fill="FFFFFF" w:val="clear"/>
          </w:tcPr>
          <w:p>
            <w:pPr>
              <w:pStyle w:val="TableContents"/>
              <w:widowControl w:val="false"/>
              <w:rPr>
                <w:rFonts w:ascii="Arial" w:hAnsi="Arial" w:cs="Arial"/>
                <w:b/>
                <w:b/>
                <w:bCs/>
                <w:sz w:val="18"/>
                <w:szCs w:val="18"/>
                <w:lang w:val="en-US" w:bidi="ar-SA"/>
              </w:rPr>
            </w:pPr>
            <w:r>
              <w:rPr>
                <w:rFonts w:cs="Arial" w:ascii="Arial" w:hAnsi="Arial"/>
                <w:b/>
                <w:bCs/>
                <w:sz w:val="18"/>
                <w:szCs w:val="18"/>
                <w:lang w:val="en-US" w:bidi="ar-SA"/>
              </w:rPr>
              <w:t>Water</w:t>
            </w:r>
          </w:p>
        </w:tc>
        <w:tc>
          <w:tcPr>
            <w:tcW w:w="1030"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339</w:t>
            </w:r>
          </w:p>
        </w:tc>
        <w:tc>
          <w:tcPr>
            <w:tcW w:w="2795" w:type="dxa"/>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9.88                         10.1</w:t>
            </w:r>
          </w:p>
        </w:tc>
        <w:tc>
          <w:tcPr>
            <w:tcW w:w="2795" w:type="dxa"/>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9.02                         9.13</w:t>
            </w:r>
          </w:p>
        </w:tc>
      </w:tr>
      <w:tr>
        <w:trPr/>
        <w:tc>
          <w:tcPr>
            <w:tcW w:w="1662" w:type="dxa"/>
            <w:tcBorders/>
            <w:shd w:fill="FFFFFF" w:val="clear"/>
          </w:tcPr>
          <w:p>
            <w:pPr>
              <w:pStyle w:val="TableContents"/>
              <w:widowControl w:val="false"/>
              <w:rPr>
                <w:rFonts w:ascii="Arial" w:hAnsi="Arial" w:cs="Arial"/>
                <w:b/>
                <w:b/>
                <w:bCs/>
                <w:position w:val="0"/>
                <w:sz w:val="18"/>
                <w:sz w:val="18"/>
                <w:szCs w:val="18"/>
                <w:vertAlign w:val="baseline"/>
                <w:lang w:val="en-US" w:bidi="ar-SA"/>
              </w:rPr>
            </w:pPr>
            <w:r>
              <w:rPr>
                <w:rFonts w:cs="Arial" w:ascii="Arial" w:hAnsi="Arial"/>
                <w:b/>
                <w:bCs/>
                <w:position w:val="0"/>
                <w:sz w:val="18"/>
                <w:sz w:val="18"/>
                <w:szCs w:val="18"/>
                <w:vertAlign w:val="baseline"/>
                <w:lang w:val="en-US" w:bidi="ar-SA"/>
              </w:rPr>
              <w:t>Methanol</w:t>
            </w:r>
          </w:p>
        </w:tc>
        <w:tc>
          <w:tcPr>
            <w:tcW w:w="1030"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217</w:t>
            </w:r>
          </w:p>
        </w:tc>
        <w:tc>
          <w:tcPr>
            <w:tcW w:w="2795" w:type="dxa"/>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5.23                         5.72</w:t>
            </w:r>
          </w:p>
        </w:tc>
        <w:tc>
          <w:tcPr>
            <w:tcW w:w="2795" w:type="dxa"/>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2.62                         2.81</w:t>
            </w:r>
          </w:p>
        </w:tc>
      </w:tr>
      <w:tr>
        <w:trPr/>
        <w:tc>
          <w:tcPr>
            <w:tcW w:w="1662" w:type="dxa"/>
            <w:tcBorders/>
            <w:shd w:fill="FFFFFF" w:val="clear"/>
          </w:tcPr>
          <w:p>
            <w:pPr>
              <w:pStyle w:val="TableContents"/>
              <w:widowControl w:val="false"/>
              <w:rPr>
                <w:lang w:bidi="ar-SA"/>
              </w:rPr>
            </w:pPr>
            <w:r>
              <w:rPr>
                <w:rFonts w:cs="Arial" w:ascii="Arial" w:hAnsi="Arial"/>
                <w:b/>
                <w:bCs/>
                <w:sz w:val="18"/>
                <w:szCs w:val="18"/>
                <w:lang w:val="en-US" w:bidi="ar-SA"/>
              </w:rPr>
              <w:t>CO</w:t>
            </w:r>
            <w:r>
              <w:rPr>
                <w:rFonts w:cs="Arial" w:ascii="Arial" w:hAnsi="Arial"/>
                <w:b/>
                <w:bCs/>
                <w:sz w:val="18"/>
                <w:szCs w:val="18"/>
                <w:vertAlign w:val="subscript"/>
                <w:lang w:val="en-US" w:bidi="ar-SA"/>
              </w:rPr>
              <w:t>2</w:t>
            </w:r>
          </w:p>
        </w:tc>
        <w:tc>
          <w:tcPr>
            <w:tcW w:w="1030" w:type="dxa"/>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172</w:t>
            </w:r>
          </w:p>
        </w:tc>
        <w:tc>
          <w:tcPr>
            <w:tcW w:w="2795" w:type="dxa"/>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2.04                         1.91</w:t>
            </w:r>
          </w:p>
        </w:tc>
        <w:tc>
          <w:tcPr>
            <w:tcW w:w="2795" w:type="dxa"/>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1.59                         1.51</w:t>
            </w:r>
          </w:p>
        </w:tc>
      </w:tr>
      <w:tr>
        <w:trPr/>
        <w:tc>
          <w:tcPr>
            <w:tcW w:w="1662" w:type="dxa"/>
            <w:tcBorders>
              <w:bottom w:val="single" w:sz="6" w:space="0" w:color="008000"/>
            </w:tcBorders>
            <w:shd w:fill="FFFFFF" w:val="clear"/>
          </w:tcPr>
          <w:p>
            <w:pPr>
              <w:pStyle w:val="TableContents"/>
              <w:widowControl w:val="false"/>
              <w:rPr>
                <w:rFonts w:ascii="Arial" w:hAnsi="Arial" w:cs="Arial"/>
                <w:b/>
                <w:b/>
                <w:bCs/>
                <w:sz w:val="18"/>
                <w:szCs w:val="18"/>
                <w:lang w:bidi="ar-SA"/>
              </w:rPr>
            </w:pPr>
            <w:r>
              <w:rPr>
                <w:rFonts w:cs="Arial" w:ascii="Arial" w:hAnsi="Arial"/>
                <w:b/>
                <w:bCs/>
                <w:i/>
                <w:iCs/>
                <w:sz w:val="18"/>
                <w:szCs w:val="18"/>
                <w:lang w:val="en-US" w:bidi="ar-SA"/>
              </w:rPr>
              <w:t>n</w:t>
            </w:r>
            <w:r>
              <w:rPr>
                <w:rFonts w:cs="Arial" w:ascii="Arial" w:hAnsi="Arial"/>
                <w:b/>
                <w:bCs/>
                <w:sz w:val="18"/>
                <w:szCs w:val="18"/>
                <w:lang w:val="en-US" w:bidi="ar-SA"/>
              </w:rPr>
              <w:t>-Decane</w:t>
            </w:r>
          </w:p>
        </w:tc>
        <w:tc>
          <w:tcPr>
            <w:tcW w:w="1030" w:type="dxa"/>
            <w:tcBorders>
              <w:bottom w:val="single" w:sz="6" w:space="0" w:color="008000"/>
            </w:tcBorders>
            <w:shd w:fill="FFFFFF" w:val="clear"/>
          </w:tcPr>
          <w:p>
            <w:pPr>
              <w:pStyle w:val="TableContents"/>
              <w:widowControl w:val="false"/>
              <w:jc w:val="center"/>
              <w:rPr>
                <w:rFonts w:ascii="Arial" w:hAnsi="Arial" w:cs="Arial"/>
                <w:sz w:val="18"/>
                <w:szCs w:val="18"/>
                <w:lang w:val="en-US" w:bidi="ar-SA"/>
              </w:rPr>
            </w:pPr>
            <w:r>
              <w:rPr>
                <w:rFonts w:cs="Arial" w:ascii="Arial" w:hAnsi="Arial"/>
                <w:sz w:val="18"/>
                <w:szCs w:val="18"/>
                <w:lang w:val="en-US" w:bidi="ar-SA"/>
              </w:rPr>
              <w:t>172</w:t>
            </w:r>
          </w:p>
        </w:tc>
        <w:tc>
          <w:tcPr>
            <w:tcW w:w="2795" w:type="dxa"/>
            <w:tcBorders>
              <w:bottom w:val="single" w:sz="6" w:space="0" w:color="008000"/>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4.19                         4.16</w:t>
            </w:r>
          </w:p>
        </w:tc>
        <w:tc>
          <w:tcPr>
            <w:tcW w:w="2795" w:type="dxa"/>
            <w:tcBorders>
              <w:bottom w:val="single" w:sz="6" w:space="0" w:color="008000"/>
            </w:tcBorders>
            <w:shd w:fill="FFFFFF" w:val="clear"/>
          </w:tcPr>
          <w:p>
            <w:pPr>
              <w:pStyle w:val="TableContents"/>
              <w:widowControl w:val="false"/>
              <w:jc w:val="both"/>
              <w:rPr>
                <w:rFonts w:ascii="Arial" w:hAnsi="Arial" w:cs="Arial"/>
                <w:b w:val="false"/>
                <w:b w:val="false"/>
                <w:bCs w:val="false"/>
                <w:i w:val="false"/>
                <w:i w:val="false"/>
                <w:iCs w:val="false"/>
                <w:sz w:val="18"/>
                <w:szCs w:val="18"/>
                <w:lang w:val="en-US" w:bidi="ar-SA"/>
              </w:rPr>
            </w:pPr>
            <w:r>
              <w:rPr>
                <w:rFonts w:cs="Arial" w:ascii="Arial" w:hAnsi="Arial"/>
                <w:b w:val="false"/>
                <w:bCs w:val="false"/>
                <w:i w:val="false"/>
                <w:iCs w:val="false"/>
                <w:sz w:val="18"/>
                <w:szCs w:val="18"/>
                <w:lang w:val="en-US" w:bidi="ar-SA"/>
              </w:rPr>
              <w:t xml:space="preserve">         </w:t>
            </w:r>
            <w:r>
              <w:rPr>
                <w:rFonts w:cs="Arial" w:ascii="Arial" w:hAnsi="Arial"/>
                <w:b w:val="false"/>
                <w:bCs w:val="false"/>
                <w:i w:val="false"/>
                <w:iCs w:val="false"/>
                <w:sz w:val="18"/>
                <w:szCs w:val="18"/>
                <w:lang w:val="en-US" w:bidi="ar-SA"/>
              </w:rPr>
              <w:t>2.72                         2.73</w:t>
            </w:r>
          </w:p>
        </w:tc>
      </w:tr>
      <w:tr>
        <w:trPr/>
        <w:tc>
          <w:tcPr>
            <w:tcW w:w="1662" w:type="dxa"/>
            <w:tcBorders>
              <w:bottom w:val="single" w:sz="12" w:space="0" w:color="008000"/>
            </w:tcBorders>
            <w:shd w:fill="FFFFFF" w:val="clear"/>
          </w:tcPr>
          <w:p>
            <w:pPr>
              <w:pStyle w:val="TableContents"/>
              <w:widowControl w:val="false"/>
              <w:rPr>
                <w:rFonts w:ascii="Arial" w:hAnsi="Arial" w:cs="Arial"/>
                <w:b/>
                <w:b/>
                <w:bCs/>
                <w:sz w:val="18"/>
                <w:szCs w:val="18"/>
                <w:lang w:val="en-US" w:bidi="ar-SA"/>
              </w:rPr>
            </w:pPr>
            <w:r>
              <w:rPr>
                <w:rFonts w:cs="Arial" w:ascii="Arial" w:hAnsi="Arial"/>
                <w:b/>
                <w:bCs/>
                <w:sz w:val="18"/>
                <w:szCs w:val="18"/>
                <w:lang w:val="en-US" w:bidi="ar-SA"/>
              </w:rPr>
              <w:t>OVERALL</w:t>
            </w:r>
          </w:p>
        </w:tc>
        <w:tc>
          <w:tcPr>
            <w:tcW w:w="1030" w:type="dxa"/>
            <w:tcBorders>
              <w:bottom w:val="single" w:sz="12" w:space="0" w:color="008000"/>
            </w:tcBorders>
            <w:shd w:fill="FFFFFF" w:val="clear"/>
          </w:tcPr>
          <w:p>
            <w:pPr>
              <w:pStyle w:val="TableContents"/>
              <w:widowControl w:val="false"/>
              <w:jc w:val="center"/>
              <w:rPr>
                <w:rFonts w:ascii="Arial" w:hAnsi="Arial" w:cs="Arial"/>
                <w:b/>
                <w:b/>
                <w:bCs/>
                <w:sz w:val="18"/>
                <w:szCs w:val="18"/>
                <w:lang w:val="en-US" w:bidi="ar-SA"/>
              </w:rPr>
            </w:pPr>
            <w:r>
              <w:rPr>
                <w:rFonts w:cs="Arial" w:ascii="Arial" w:hAnsi="Arial"/>
                <w:b/>
                <w:bCs/>
                <w:sz w:val="18"/>
                <w:szCs w:val="18"/>
                <w:lang w:val="en-US" w:bidi="ar-SA"/>
              </w:rPr>
              <w:t>900</w:t>
            </w:r>
          </w:p>
        </w:tc>
        <w:tc>
          <w:tcPr>
            <w:tcW w:w="2795" w:type="dxa"/>
            <w:tcBorders>
              <w:bottom w:val="single" w:sz="12" w:space="0" w:color="008000"/>
            </w:tcBorders>
            <w:shd w:fill="FFFFFF" w:val="clear"/>
          </w:tcPr>
          <w:p>
            <w:pPr>
              <w:pStyle w:val="TableContents"/>
              <w:widowControl w:val="false"/>
              <w:jc w:val="both"/>
              <w:rPr>
                <w:rFonts w:ascii="Arial" w:hAnsi="Arial" w:cs="Arial"/>
                <w:b/>
                <w:b/>
                <w:bCs/>
                <w:i w:val="false"/>
                <w:i w:val="false"/>
                <w:iCs w:val="false"/>
                <w:sz w:val="18"/>
                <w:szCs w:val="18"/>
                <w:lang w:val="en-US" w:bidi="ar-SA"/>
              </w:rPr>
            </w:pPr>
            <w:r>
              <w:rPr>
                <w:rFonts w:cs="Arial" w:ascii="Arial" w:hAnsi="Arial"/>
                <w:b/>
                <w:bCs/>
                <w:i w:val="false"/>
                <w:iCs w:val="false"/>
                <w:sz w:val="18"/>
                <w:szCs w:val="18"/>
                <w:lang w:val="en-US" w:bidi="ar-SA"/>
              </w:rPr>
              <w:t xml:space="preserve">          </w:t>
            </w:r>
            <w:r>
              <w:rPr>
                <w:rFonts w:cs="Arial" w:ascii="Arial" w:hAnsi="Arial"/>
                <w:b/>
                <w:bCs/>
                <w:i w:val="false"/>
                <w:iCs w:val="false"/>
                <w:sz w:val="18"/>
                <w:szCs w:val="18"/>
                <w:lang w:val="en-US" w:bidi="ar-SA"/>
              </w:rPr>
              <w:t>6.17                         6.34</w:t>
            </w:r>
          </w:p>
        </w:tc>
        <w:tc>
          <w:tcPr>
            <w:tcW w:w="2795" w:type="dxa"/>
            <w:tcBorders>
              <w:bottom w:val="single" w:sz="12" w:space="0" w:color="008000"/>
            </w:tcBorders>
            <w:shd w:fill="FFFFFF" w:val="clear"/>
          </w:tcPr>
          <w:p>
            <w:pPr>
              <w:pStyle w:val="TableContents"/>
              <w:widowControl w:val="false"/>
              <w:jc w:val="both"/>
              <w:rPr>
                <w:rFonts w:ascii="Arial" w:hAnsi="Arial" w:cs="Arial"/>
                <w:b/>
                <w:b/>
                <w:bCs/>
                <w:i w:val="false"/>
                <w:i w:val="false"/>
                <w:iCs w:val="false"/>
                <w:sz w:val="18"/>
                <w:szCs w:val="18"/>
                <w:lang w:val="en-US" w:bidi="ar-SA"/>
              </w:rPr>
            </w:pPr>
            <w:r>
              <w:rPr>
                <w:rFonts w:cs="Arial" w:ascii="Arial" w:hAnsi="Arial"/>
                <w:b/>
                <w:bCs/>
                <w:i w:val="false"/>
                <w:iCs w:val="false"/>
                <w:sz w:val="18"/>
                <w:szCs w:val="18"/>
                <w:lang w:val="en-US" w:bidi="ar-SA"/>
              </w:rPr>
              <w:t xml:space="preserve">         </w:t>
            </w:r>
            <w:r>
              <w:rPr>
                <w:rFonts w:cs="Arial" w:ascii="Arial" w:hAnsi="Arial"/>
                <w:b/>
                <w:bCs/>
                <w:i w:val="false"/>
                <w:iCs w:val="false"/>
                <w:sz w:val="18"/>
                <w:szCs w:val="18"/>
                <w:lang w:val="en-US" w:bidi="ar-SA"/>
              </w:rPr>
              <w:t>4.85                         4.93</w:t>
            </w:r>
          </w:p>
        </w:tc>
      </w:tr>
    </w:tbl>
    <w:p>
      <w:pPr>
        <w:pStyle w:val="CETheadingx"/>
        <w:rPr>
          <w:b/>
          <w:b/>
          <w:bCs/>
          <w:iCs/>
          <w:szCs w:val="18"/>
        </w:rPr>
      </w:pPr>
      <w:r>
        <w:rPr>
          <w:b/>
          <w:bCs/>
          <w:iCs/>
          <w:szCs w:val="18"/>
        </w:rPr>
      </w:r>
    </w:p>
    <w:p>
      <w:pPr>
        <w:pStyle w:val="CETBodytext"/>
        <w:rPr/>
      </w:pPr>
      <w:r>
        <w:rPr>
          <w:lang w:val="en-US" w:bidi="ar-SA"/>
        </w:rPr>
        <w:t>This finding also applies to each individual fluid where the present FVT model gave improved viscosity determinations using either the SRK or PR CEoS. As a matter of fact, the use of these two CEoS within the present FVT approach yielded quite comparable results for the four fluids; very likely, the capability differences between the two CEoS canceled out during the regression process of the viscosity data by being eventually absorbed by the three model parameters (</w:t>
      </w:r>
      <w:r>
        <w:rPr>
          <w:rFonts w:cs="Arial"/>
          <w:i/>
          <w:iCs/>
          <w:sz w:val="18"/>
          <w:szCs w:val="18"/>
          <w:lang w:val="en-US" w:bidi="ar-SA"/>
        </w:rPr>
        <w:t>L</w:t>
      </w:r>
      <w:r>
        <w:rPr>
          <w:rFonts w:cs="Arial"/>
          <w:sz w:val="18"/>
          <w:szCs w:val="18"/>
          <w:lang w:val="en-US" w:bidi="ar-SA"/>
        </w:rPr>
        <w:t xml:space="preserve">, </w:t>
      </w:r>
      <w:r>
        <w:rPr>
          <w:rFonts w:cs="Arial"/>
          <w:i/>
          <w:iCs/>
          <w:sz w:val="18"/>
          <w:szCs w:val="18"/>
          <w:lang w:val="en-US" w:bidi="ar-SA"/>
        </w:rPr>
        <w:t>α</w:t>
      </w:r>
      <w:r>
        <w:rPr>
          <w:rFonts w:cs="Arial"/>
          <w:sz w:val="18"/>
          <w:szCs w:val="18"/>
          <w:lang w:val="en-US" w:bidi="ar-SA"/>
        </w:rPr>
        <w:t xml:space="preserve">, and </w:t>
      </w:r>
      <w:r>
        <w:rPr>
          <w:rFonts w:cs="Arial"/>
          <w:i/>
          <w:iCs/>
          <w:sz w:val="18"/>
          <w:szCs w:val="18"/>
          <w:lang w:val="en-US" w:bidi="ar-SA"/>
        </w:rPr>
        <w:t>B</w:t>
      </w:r>
      <w:r>
        <w:rPr>
          <w:lang w:val="en-US" w:bidi="ar-SA"/>
        </w:rPr>
        <w:t>). Example correlating results are graphically shown for Methanol using the modified FVT-SRK approach and for CO</w:t>
      </w:r>
      <w:r>
        <w:rPr>
          <w:vertAlign w:val="subscript"/>
          <w:lang w:val="en-US" w:bidi="ar-SA"/>
        </w:rPr>
        <w:t>2</w:t>
      </w:r>
      <w:r>
        <w:rPr>
          <w:lang w:val="en-US" w:bidi="ar-SA"/>
        </w:rPr>
        <w:t xml:space="preserve"> using the modified FVT-PR approach in Figures 1 and 2, respectively. As shown by these figures, the present FVT-based model represents remarkably well the whole </w:t>
      </w:r>
      <w:r>
        <w:rPr>
          <w:i/>
          <w:iCs/>
          <w:lang w:val="en-US" w:bidi="ar-SA"/>
        </w:rPr>
        <w:t>P</w:t>
      </w:r>
      <w:r>
        <w:rPr>
          <w:lang w:val="en-US" w:bidi="ar-SA"/>
        </w:rPr>
        <w:t>-</w:t>
      </w:r>
      <w:r>
        <w:rPr>
          <w:rFonts w:eastAsia="MS Mincho;ＭＳ 明朝"/>
          <w:i/>
          <w:iCs/>
          <w:szCs w:val="18"/>
          <w:lang w:val="en-US" w:eastAsia="ja-JP" w:bidi="ar-SA"/>
        </w:rPr>
        <w:t>η</w:t>
      </w:r>
      <w:r>
        <w:rPr>
          <w:lang w:val="en-US" w:bidi="ar-SA"/>
        </w:rPr>
        <w:t>-</w:t>
      </w:r>
      <w:r>
        <w:rPr>
          <w:i/>
          <w:iCs/>
          <w:lang w:val="en-US" w:bidi="ar-SA"/>
        </w:rPr>
        <w:t>T</w:t>
      </w:r>
      <w:r>
        <w:rPr>
          <w:lang w:val="en-US" w:bidi="ar-SA"/>
        </w:rPr>
        <w:t xml:space="preserve"> surface of the two fluids, particularly those experimental viscosity isotherms near the critical point of the fluid (513 K for Methanol, 304 K for CO</w:t>
      </w:r>
      <w:r>
        <w:rPr>
          <w:vertAlign w:val="subscript"/>
          <w:lang w:val="en-US" w:bidi="ar-SA"/>
        </w:rPr>
        <w:t>2</w:t>
      </w:r>
      <w:r>
        <w:rPr>
          <w:lang w:val="en-US" w:bidi="ar-SA"/>
        </w:rPr>
        <w:t>) for which the model captures reasonably well the abrupt viscosity change (gas-liquid transition) with pressure across the critical pressure (</w:t>
      </w:r>
      <w:r>
        <w:rPr>
          <w:i w:val="false"/>
          <w:iCs w:val="false"/>
          <w:position w:val="0"/>
          <w:sz w:val="18"/>
          <w:sz w:val="18"/>
          <w:vertAlign w:val="baseline"/>
          <w:lang w:val="en-US" w:bidi="ar-SA"/>
        </w:rPr>
        <w:t>depicted by the red line in both figures</w:t>
      </w:r>
      <w:r>
        <w:rPr>
          <w:lang w:val="en-US" w:bidi="ar-SA"/>
        </w:rPr>
        <w:t>).</w:t>
      </w:r>
    </w:p>
    <w:p>
      <w:pPr>
        <w:pStyle w:val="CETBodytext"/>
        <w:rPr>
          <w:lang w:val="en-US" w:bidi="ar-SA"/>
        </w:rPr>
      </w:pPr>
      <w:r>
        <w:rPr>
          <w:lang w:val="en-US" w:bidi="ar-SA"/>
        </w:rPr>
      </w:r>
    </w:p>
    <w:tbl>
      <w:tblPr>
        <w:tblW w:w="8787" w:type="dxa"/>
        <w:jc w:val="left"/>
        <w:tblInd w:w="0" w:type="dxa"/>
        <w:tblLayout w:type="fixed"/>
        <w:tblCellMar>
          <w:top w:w="55" w:type="dxa"/>
          <w:left w:w="55" w:type="dxa"/>
          <w:bottom w:w="55" w:type="dxa"/>
          <w:right w:w="55" w:type="dxa"/>
        </w:tblCellMar>
      </w:tblPr>
      <w:tblGrid>
        <w:gridCol w:w="4393"/>
        <w:gridCol w:w="4394"/>
      </w:tblGrid>
      <w:tr>
        <w:trPr/>
        <w:tc>
          <w:tcPr>
            <w:tcW w:w="4393" w:type="dxa"/>
            <w:tcBorders/>
          </w:tcPr>
          <w:p>
            <w:pPr>
              <w:pStyle w:val="TableContents"/>
              <w:widowControl w:val="false"/>
              <w:snapToGrid w:val="false"/>
              <w:spacing w:lineRule="auto" w:line="240"/>
              <w:jc w:val="center"/>
              <w:rPr>
                <w:i/>
                <w:i/>
                <w:iCs/>
                <w:lang w:val="en-US" w:eastAsia="en-US" w:bidi="ar-SA"/>
              </w:rPr>
            </w:pPr>
            <w:r>
              <w:rPr>
                <w:i/>
                <w:iCs/>
                <w:lang w:val="en-US" w:eastAsia="en-US" w:bidi="ar-SA"/>
              </w:rPr>
              <w:drawing>
                <wp:anchor behindDoc="0" distT="0" distB="0" distL="0" distR="0" simplePos="0" locked="0" layoutInCell="0" allowOverlap="1" relativeHeight="4">
                  <wp:simplePos x="0" y="0"/>
                  <wp:positionH relativeFrom="column">
                    <wp:posOffset>-6985</wp:posOffset>
                  </wp:positionH>
                  <wp:positionV relativeFrom="paragraph">
                    <wp:posOffset>46355</wp:posOffset>
                  </wp:positionV>
                  <wp:extent cx="2839720" cy="2839720"/>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3"/>
                          <a:stretch>
                            <a:fillRect/>
                          </a:stretch>
                        </pic:blipFill>
                        <pic:spPr bwMode="auto">
                          <a:xfrm>
                            <a:off x="0" y="0"/>
                            <a:ext cx="2839720" cy="2839720"/>
                          </a:xfrm>
                          <a:prstGeom prst="rect">
                            <a:avLst/>
                          </a:prstGeom>
                        </pic:spPr>
                      </pic:pic>
                    </a:graphicData>
                  </a:graphic>
                </wp:anchor>
              </w:drawing>
            </w:r>
          </w:p>
          <w:p>
            <w:pPr>
              <w:pStyle w:val="CETBodytext"/>
              <w:widowControl w:val="false"/>
              <w:snapToGrid w:val="false"/>
              <w:spacing w:lineRule="auto" w:line="240"/>
              <w:jc w:val="center"/>
              <w:rPr>
                <w:i/>
                <w:i/>
                <w:iCs/>
                <w:sz w:val="14"/>
                <w:szCs w:val="14"/>
                <w:lang w:eastAsia="en-US" w:bidi="ar-SA"/>
              </w:rPr>
            </w:pPr>
            <w:r>
              <w:rPr>
                <w:b/>
                <w:bCs/>
                <w:i/>
                <w:iCs/>
                <w:sz w:val="14"/>
                <w:szCs w:val="14"/>
                <w:lang w:val="en-US" w:eastAsia="en-US" w:bidi="ar-SA"/>
              </w:rPr>
              <w:t>Figure 1:</w:t>
            </w:r>
            <w:r>
              <w:rPr>
                <w:i/>
                <w:iCs/>
                <w:sz w:val="14"/>
                <w:szCs w:val="14"/>
                <w:lang w:val="en-US" w:eastAsia="en-US" w:bidi="ar-SA"/>
              </w:rPr>
              <w:t xml:space="preserve"> Model performance in correlating the methanol viscosity</w:t>
            </w:r>
          </w:p>
        </w:tc>
        <w:tc>
          <w:tcPr>
            <w:tcW w:w="4394" w:type="dxa"/>
            <w:tcBorders/>
          </w:tcPr>
          <w:p>
            <w:pPr>
              <w:pStyle w:val="TableContents"/>
              <w:widowControl w:val="false"/>
              <w:snapToGrid w:val="false"/>
              <w:spacing w:lineRule="auto" w:line="240"/>
              <w:jc w:val="center"/>
              <w:rPr>
                <w:i/>
                <w:i/>
                <w:iCs/>
                <w:lang w:val="en-US" w:eastAsia="en-US" w:bidi="ar-SA"/>
              </w:rPr>
            </w:pPr>
            <w:r>
              <w:rPr>
                <w:i/>
                <w:iCs/>
                <w:lang w:val="en-US" w:eastAsia="en-US" w:bidi="ar-SA"/>
              </w:rPr>
              <w:drawing>
                <wp:anchor behindDoc="0" distT="0" distB="0" distL="0" distR="0" simplePos="0" locked="0" layoutInCell="0" allowOverlap="1" relativeHeight="5">
                  <wp:simplePos x="0" y="0"/>
                  <wp:positionH relativeFrom="column">
                    <wp:posOffset>-61595</wp:posOffset>
                  </wp:positionH>
                  <wp:positionV relativeFrom="paragraph">
                    <wp:posOffset>42545</wp:posOffset>
                  </wp:positionV>
                  <wp:extent cx="2843530" cy="2843530"/>
                  <wp:effectExtent l="0" t="0" r="0" b="0"/>
                  <wp:wrapSquare wrapText="largest"/>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4"/>
                          <a:stretch>
                            <a:fillRect/>
                          </a:stretch>
                        </pic:blipFill>
                        <pic:spPr bwMode="auto">
                          <a:xfrm>
                            <a:off x="0" y="0"/>
                            <a:ext cx="2843530" cy="2843530"/>
                          </a:xfrm>
                          <a:prstGeom prst="rect">
                            <a:avLst/>
                          </a:prstGeom>
                        </pic:spPr>
                      </pic:pic>
                    </a:graphicData>
                  </a:graphic>
                </wp:anchor>
              </w:drawing>
            </w:r>
          </w:p>
          <w:p>
            <w:pPr>
              <w:pStyle w:val="CETBodytext"/>
              <w:widowControl w:val="false"/>
              <w:snapToGrid w:val="false"/>
              <w:spacing w:lineRule="auto" w:line="240"/>
              <w:jc w:val="center"/>
              <w:rPr>
                <w:i/>
                <w:i/>
                <w:iCs/>
                <w:sz w:val="14"/>
                <w:szCs w:val="14"/>
                <w:lang w:eastAsia="en-US" w:bidi="ar-SA"/>
              </w:rPr>
            </w:pPr>
            <w:r>
              <w:rPr>
                <w:b/>
                <w:bCs/>
                <w:i/>
                <w:iCs/>
                <w:sz w:val="14"/>
                <w:szCs w:val="14"/>
                <w:lang w:val="en-US" w:eastAsia="en-US" w:bidi="ar-SA"/>
              </w:rPr>
              <w:t>Figure 2:</w:t>
            </w:r>
            <w:r>
              <w:rPr>
                <w:i/>
                <w:iCs/>
                <w:sz w:val="14"/>
                <w:szCs w:val="14"/>
                <w:lang w:val="en-US" w:eastAsia="en-US" w:bidi="ar-SA"/>
              </w:rPr>
              <w:t xml:space="preserve"> Model performance in correlating the CO</w:t>
            </w:r>
            <w:r>
              <w:rPr>
                <w:i/>
                <w:iCs/>
                <w:sz w:val="14"/>
                <w:szCs w:val="14"/>
                <w:vertAlign w:val="subscript"/>
                <w:lang w:val="en-US" w:eastAsia="en-US" w:bidi="ar-SA"/>
              </w:rPr>
              <w:t>2</w:t>
            </w:r>
            <w:r>
              <w:rPr>
                <w:i/>
                <w:iCs/>
                <w:sz w:val="14"/>
                <w:szCs w:val="14"/>
                <w:lang w:val="en-US" w:eastAsia="en-US" w:bidi="ar-SA"/>
              </w:rPr>
              <w:t xml:space="preserve"> viscosity</w:t>
            </w:r>
          </w:p>
        </w:tc>
      </w:tr>
    </w:tbl>
    <w:p>
      <w:pPr>
        <w:pStyle w:val="CETBodytext"/>
        <w:jc w:val="both"/>
        <w:rPr>
          <w:lang w:val="en-US" w:bidi="ar-SA"/>
        </w:rPr>
      </w:pPr>
      <w:r>
        <w:rPr>
          <w:lang w:val="en-US" w:bidi="ar-SA"/>
        </w:rPr>
      </w:r>
    </w:p>
    <w:p>
      <w:pPr>
        <w:pStyle w:val="CETBodytext"/>
        <w:rPr/>
      </w:pPr>
      <w:r>
        <w:rPr>
          <w:lang w:val="en-US" w:bidi="ar-SA"/>
        </w:rPr>
        <w:t xml:space="preserve">Lastly, of all pure fluids considered here, the variation of water viscosity with pressure and temperature was a difficult one to model using the present FVT approach. In this case, although the modified FVT approach yielded an slightly improved viscosity representation, the resulting </w:t>
      </w:r>
      <w:r>
        <w:rPr>
          <w:i/>
          <w:iCs/>
          <w:lang w:val="en-US" w:bidi="ar-SA"/>
        </w:rPr>
        <w:t>AAD</w:t>
      </w:r>
      <w:r>
        <w:rPr>
          <w:lang w:val="en-US" w:bidi="ar-SA"/>
        </w:rPr>
        <w:t xml:space="preserve"> values remained high (about 9% as shown in Table 3). Water is quite an important but also an intriguing substance (one of the few in nature, actually); besides being a highly polar and associating fluid, water exhibits minima behavior in its variation of viscosity with pressure from very low temperatures (about -15 ºC) up to 35 ºC. </w:t>
      </w:r>
      <w:r>
        <w:rPr>
          <w:i/>
          <w:iCs/>
          <w:lang w:val="en-US" w:bidi="ar-SA"/>
        </w:rPr>
        <w:t>De facto</w:t>
      </w:r>
      <w:r>
        <w:rPr>
          <w:lang w:val="en-US" w:bidi="ar-SA"/>
        </w:rPr>
        <w:t xml:space="preserve">, we do not expect to capture this peculiar viscosity behavior of water with the present modeling approach, however, we can substantially improve its correlating performance by treating water differently within the FVT formalism. </w:t>
      </w:r>
      <w:r>
        <w:rPr>
          <w:lang w:val="en-US" w:bidi="ar-SA"/>
        </w:rPr>
        <w:t xml:space="preserve">Some diffraction studies suggest that water has an open </w:t>
      </w:r>
      <w:r>
        <w:rPr>
          <w:lang w:val="en-US" w:bidi="ar-SA"/>
        </w:rPr>
        <w:t xml:space="preserve">3-D </w:t>
      </w:r>
      <w:r>
        <w:rPr>
          <w:lang w:val="en-US" w:bidi="ar-SA"/>
        </w:rPr>
        <w:t>struc</w:t>
      </w:r>
      <w:r>
        <w:rPr>
          <w:lang w:val="en-US" w:bidi="ar-SA"/>
        </w:rPr>
        <w:t xml:space="preserve">ture with hydrogen bonds </w:t>
      </w:r>
      <w:r>
        <w:rPr>
          <w:lang w:val="en-US" w:bidi="ar-SA"/>
        </w:rPr>
        <w:t>connecting</w:t>
      </w:r>
      <w:r>
        <w:rPr>
          <w:lang w:val="en-US" w:bidi="ar-SA"/>
        </w:rPr>
        <w:t xml:space="preserve"> </w:t>
      </w:r>
      <w:r>
        <w:rPr>
          <w:lang w:val="en-US" w:bidi="ar-SA"/>
        </w:rPr>
        <w:t>its</w:t>
      </w:r>
      <w:r>
        <w:rPr>
          <w:lang w:val="en-US" w:bidi="ar-SA"/>
        </w:rPr>
        <w:t xml:space="preserve"> molecules further apart than in a close-packed liquid; this holds at low temperatures but as temperature </w:t>
      </w:r>
      <w:r>
        <w:rPr>
          <w:lang w:val="en-US" w:bidi="ar-SA"/>
        </w:rPr>
        <w:t xml:space="preserve">increases </w:t>
      </w:r>
      <w:r>
        <w:rPr>
          <w:lang w:val="en-US" w:bidi="ar-SA"/>
        </w:rPr>
        <w:t>hydrogen bond</w:t>
      </w:r>
      <w:r>
        <w:rPr>
          <w:lang w:val="en-US" w:bidi="ar-SA"/>
        </w:rPr>
        <w:t>s</w:t>
      </w:r>
      <w:r>
        <w:rPr>
          <w:lang w:val="en-US" w:bidi="ar-SA"/>
        </w:rPr>
        <w:t xml:space="preserve"> are broken </w:t>
      </w:r>
      <w:r>
        <w:rPr>
          <w:lang w:val="en-US" w:bidi="ar-SA"/>
        </w:rPr>
        <w:t xml:space="preserve">thus liberating extra free volume. One way to take this into account within the present FVT approach is through the </w:t>
      </w:r>
      <w:r>
        <w:rPr>
          <w:lang w:val="en-US" w:bidi="ar-SA"/>
        </w:rPr>
        <w:t xml:space="preserve">length </w:t>
      </w:r>
      <w:r>
        <w:rPr>
          <w:lang w:val="en-US" w:bidi="ar-SA"/>
        </w:rPr>
        <w:t>parameter</w:t>
      </w:r>
      <w:r>
        <w:rPr>
          <w:i/>
          <w:iCs/>
          <w:lang w:val="en-US" w:bidi="ar-SA"/>
        </w:rPr>
        <w:t xml:space="preserve"> </w:t>
      </w:r>
      <w:r>
        <w:rPr>
          <w:i/>
          <w:iCs/>
          <w:lang w:val="en-US" w:bidi="ar-SA"/>
        </w:rPr>
        <w:t>L</w:t>
      </w:r>
      <w:r>
        <w:rPr>
          <w:lang w:val="en-US" w:bidi="ar-SA"/>
        </w:rPr>
        <w:t xml:space="preserve"> which is defined as </w:t>
      </w:r>
      <w:r>
        <w:rPr>
          <w:i/>
          <w:iCs/>
          <w:lang w:val="en-US" w:bidi="ar-SA"/>
        </w:rPr>
        <w:t>L</w:t>
      </w:r>
      <w:r>
        <w:rPr>
          <w:i/>
          <w:iCs/>
          <w:vertAlign w:val="subscript"/>
          <w:lang w:val="en-US" w:bidi="ar-SA"/>
        </w:rPr>
        <w:t>m</w:t>
      </w:r>
      <w:r>
        <w:rPr>
          <w:vertAlign w:val="superscript"/>
          <w:lang w:val="en-US" w:bidi="ar-SA"/>
        </w:rPr>
        <w:t>2</w:t>
      </w:r>
      <w:r>
        <w:rPr>
          <w:lang w:val="en-US" w:bidi="ar-SA"/>
        </w:rPr>
        <w:t>/</w:t>
      </w:r>
      <w:r>
        <w:rPr>
          <w:i/>
          <w:iCs/>
          <w:lang w:val="en-US" w:bidi="ar-SA"/>
        </w:rPr>
        <w:t>b</w:t>
      </w:r>
      <w:r>
        <w:rPr>
          <w:i/>
          <w:iCs/>
          <w:vertAlign w:val="subscript"/>
          <w:lang w:val="en-US" w:bidi="ar-SA"/>
        </w:rPr>
        <w:t>f</w:t>
      </w:r>
      <w:r>
        <w:rPr>
          <w:i/>
          <w:iCs/>
          <w:position w:val="0"/>
          <w:sz w:val="18"/>
          <w:vertAlign w:val="baseline"/>
          <w:lang w:val="en-US" w:bidi="ar-SA"/>
        </w:rPr>
        <w:t xml:space="preserve"> </w:t>
      </w:r>
      <w:r>
        <w:rPr>
          <w:i w:val="false"/>
          <w:iCs w:val="false"/>
          <w:position w:val="0"/>
          <w:sz w:val="18"/>
          <w:vertAlign w:val="baseline"/>
          <w:lang w:val="en-US" w:bidi="ar-SA"/>
        </w:rPr>
        <w:t xml:space="preserve">where </w:t>
      </w:r>
      <w:r>
        <w:rPr>
          <w:i/>
          <w:iCs/>
          <w:position w:val="0"/>
          <w:sz w:val="18"/>
          <w:vertAlign w:val="baseline"/>
          <w:lang w:val="en-US" w:bidi="ar-SA"/>
        </w:rPr>
        <w:t>L</w:t>
      </w:r>
      <w:r>
        <w:rPr>
          <w:i/>
          <w:iCs/>
          <w:vertAlign w:val="subscript"/>
          <w:lang w:val="en-US" w:bidi="ar-SA"/>
        </w:rPr>
        <w:t>m</w:t>
      </w:r>
      <w:r>
        <w:rPr>
          <w:i w:val="false"/>
          <w:iCs w:val="false"/>
          <w:vertAlign w:val="superscript"/>
          <w:lang w:val="en-US" w:bidi="ar-SA"/>
        </w:rPr>
        <w:t>2</w:t>
      </w:r>
      <w:r>
        <w:rPr>
          <w:i w:val="false"/>
          <w:iCs w:val="false"/>
          <w:position w:val="0"/>
          <w:sz w:val="18"/>
          <w:vertAlign w:val="baseline"/>
          <w:lang w:val="en-US" w:bidi="ar-SA"/>
        </w:rPr>
        <w:t xml:space="preserve"> is the average quadratic length (structure of the molecule) and </w:t>
      </w:r>
      <w:r>
        <w:rPr>
          <w:i/>
          <w:iCs/>
          <w:position w:val="0"/>
          <w:sz w:val="18"/>
          <w:vertAlign w:val="baseline"/>
          <w:lang w:val="en-US" w:bidi="ar-SA"/>
        </w:rPr>
        <w:t>b</w:t>
      </w:r>
      <w:r>
        <w:rPr>
          <w:i/>
          <w:iCs/>
          <w:vertAlign w:val="subscript"/>
          <w:lang w:val="en-US" w:bidi="ar-SA"/>
        </w:rPr>
        <w:t>f</w:t>
      </w:r>
      <w:r>
        <w:rPr>
          <w:i w:val="false"/>
          <w:iCs w:val="false"/>
          <w:position w:val="0"/>
          <w:sz w:val="18"/>
          <w:vertAlign w:val="baseline"/>
          <w:lang w:val="en-US" w:bidi="ar-SA"/>
        </w:rPr>
        <w:t xml:space="preserve"> is the </w:t>
      </w:r>
      <w:r>
        <w:rPr>
          <w:i w:val="false"/>
          <w:iCs w:val="false"/>
          <w:position w:val="0"/>
          <w:sz w:val="18"/>
          <w:vertAlign w:val="baseline"/>
          <w:lang w:val="en-US" w:bidi="ar-SA"/>
        </w:rPr>
        <w:t xml:space="preserve">dissipation length of the energy </w:t>
      </w:r>
      <w:r>
        <w:rPr>
          <w:i/>
          <w:iCs/>
          <w:position w:val="0"/>
          <w:sz w:val="18"/>
          <w:vertAlign w:val="baseline"/>
          <w:lang w:val="en-US" w:bidi="ar-SA"/>
        </w:rPr>
        <w:t>E</w:t>
      </w:r>
      <w:r>
        <w:rPr>
          <w:i w:val="false"/>
          <w:iCs w:val="false"/>
          <w:position w:val="0"/>
          <w:sz w:val="18"/>
          <w:vertAlign w:val="baseline"/>
          <w:lang w:val="en-US" w:bidi="ar-SA"/>
        </w:rPr>
        <w:t xml:space="preserve">; </w:t>
      </w:r>
      <w:r>
        <w:rPr>
          <w:i w:val="false"/>
          <w:iCs w:val="false"/>
          <w:position w:val="0"/>
          <w:sz w:val="18"/>
          <w:vertAlign w:val="baseline"/>
          <w:lang w:val="en-US" w:bidi="ar-SA"/>
        </w:rPr>
        <w:t xml:space="preserve">accordingly, we found that </w:t>
      </w:r>
      <w:r>
        <w:rPr>
          <w:i w:val="false"/>
          <w:iCs w:val="false"/>
          <w:position w:val="0"/>
          <w:sz w:val="18"/>
          <w:vertAlign w:val="baseline"/>
          <w:lang w:val="en-US" w:bidi="ar-SA"/>
        </w:rPr>
        <w:t xml:space="preserve">the quantity </w:t>
      </w:r>
      <w:r>
        <w:rPr>
          <w:i/>
          <w:iCs/>
          <w:position w:val="0"/>
          <w:sz w:val="18"/>
          <w:vertAlign w:val="baseline"/>
          <w:lang w:val="en-US" w:bidi="ar-SA"/>
        </w:rPr>
        <w:t>L</w:t>
      </w:r>
      <w:r>
        <w:rPr>
          <w:i/>
          <w:iCs/>
          <w:vertAlign w:val="subscript"/>
          <w:lang w:val="en-US" w:bidi="ar-SA"/>
        </w:rPr>
        <w:t>m</w:t>
      </w:r>
      <w:r>
        <w:rPr>
          <w:i w:val="false"/>
          <w:iCs w:val="false"/>
          <w:vertAlign w:val="superscript"/>
          <w:lang w:val="en-US" w:bidi="ar-SA"/>
        </w:rPr>
        <w:t>2</w:t>
      </w:r>
      <w:r>
        <w:rPr>
          <w:i w:val="false"/>
          <w:iCs w:val="false"/>
          <w:position w:val="0"/>
          <w:sz w:val="18"/>
          <w:vertAlign w:val="baseline"/>
          <w:lang w:val="en-US" w:bidi="ar-SA"/>
        </w:rPr>
        <w:t xml:space="preserve"> for water should vary with the free-volume fraction </w:t>
      </w:r>
      <w:r>
        <w:rPr>
          <w:i w:val="false"/>
          <w:iCs w:val="false"/>
          <w:position w:val="0"/>
          <w:sz w:val="18"/>
          <w:vertAlign w:val="baseline"/>
          <w:lang w:val="en-US" w:bidi="ar-SA"/>
        </w:rPr>
        <w:t>assuming that water is a</w:t>
      </w:r>
      <w:r>
        <w:rPr>
          <w:i w:val="false"/>
          <w:iCs w:val="false"/>
          <w:position w:val="0"/>
          <w:sz w:val="18"/>
          <w:vertAlign w:val="baseline"/>
          <w:lang w:val="en-US" w:bidi="ar-SA"/>
        </w:rPr>
        <w:t xml:space="preserve"> close-packed molecule</w:t>
      </w:r>
      <w:r>
        <w:rPr>
          <w:i w:val="false"/>
          <w:iCs w:val="false"/>
          <w:position w:val="0"/>
          <w:sz w:val="18"/>
          <w:vertAlign w:val="baseline"/>
          <w:lang w:val="en-US" w:bidi="ar-SA"/>
        </w:rPr>
        <w:t xml:space="preserve">, that is </w:t>
      </w:r>
      <w:r>
        <w:rPr>
          <w:i/>
          <w:iCs/>
          <w:position w:val="0"/>
          <w:sz w:val="18"/>
          <w:vertAlign w:val="baseline"/>
          <w:lang w:val="en-US" w:bidi="ar-SA"/>
        </w:rPr>
        <w:t>L</w:t>
      </w:r>
      <w:r>
        <w:rPr>
          <w:i/>
          <w:iCs/>
          <w:vertAlign w:val="subscript"/>
          <w:lang w:val="en-US" w:bidi="ar-SA"/>
        </w:rPr>
        <w:t>m</w:t>
      </w:r>
      <w:r>
        <w:rPr>
          <w:i w:val="false"/>
          <w:iCs w:val="false"/>
          <w:vertAlign w:val="superscript"/>
          <w:lang w:val="en-US" w:bidi="ar-SA"/>
        </w:rPr>
        <w:t>2</w:t>
      </w:r>
      <w:r>
        <w:rPr>
          <w:i w:val="false"/>
          <w:iCs w:val="false"/>
          <w:position w:val="0"/>
          <w:sz w:val="18"/>
          <w:vertAlign w:val="baseline"/>
          <w:lang w:val="en-US" w:bidi="ar-SA"/>
        </w:rPr>
        <w:t xml:space="preserve"> = </w:t>
      </w:r>
      <w:r>
        <w:rPr>
          <w:i w:val="false"/>
          <w:iCs w:val="false"/>
          <w:position w:val="0"/>
          <w:sz w:val="18"/>
          <w:vertAlign w:val="baseline"/>
          <w:lang w:val="en-US" w:bidi="ar-SA"/>
        </w:rPr>
        <w:t>(</w:t>
      </w:r>
      <w:r>
        <w:rPr>
          <w:i/>
          <w:iCs/>
          <w:position w:val="0"/>
          <w:sz w:val="18"/>
          <w:vertAlign w:val="baseline"/>
          <w:lang w:val="en-US" w:bidi="ar-SA"/>
        </w:rPr>
        <w:t>L</w:t>
      </w:r>
      <w:r>
        <w:rPr>
          <w:i/>
          <w:iCs/>
          <w:vertAlign w:val="subscript"/>
          <w:lang w:val="en-US" w:bidi="ar-SA"/>
        </w:rPr>
        <w:t>m</w:t>
      </w:r>
      <w:r>
        <w:rPr>
          <w:i w:val="false"/>
          <w:iCs w:val="false"/>
          <w:vertAlign w:val="superscript"/>
          <w:lang w:val="en-US" w:bidi="ar-SA"/>
        </w:rPr>
        <w:t>*</w:t>
      </w:r>
      <w:r>
        <w:rPr>
          <w:i w:val="false"/>
          <w:iCs w:val="false"/>
          <w:position w:val="0"/>
          <w:sz w:val="18"/>
          <w:vertAlign w:val="baseline"/>
          <w:lang w:val="en-US" w:bidi="ar-SA"/>
        </w:rPr>
        <w:t>)</w:t>
      </w:r>
      <w:r>
        <w:rPr>
          <w:i w:val="false"/>
          <w:iCs w:val="false"/>
          <w:vertAlign w:val="superscript"/>
          <w:lang w:val="en-US" w:bidi="ar-SA"/>
        </w:rPr>
        <w:t>2</w:t>
      </w:r>
      <w:r>
        <w:rPr>
          <w:i w:val="false"/>
          <w:iCs w:val="false"/>
          <w:position w:val="0"/>
          <w:sz w:val="18"/>
          <w:vertAlign w:val="baseline"/>
          <w:lang w:val="en-US" w:bidi="ar-SA"/>
        </w:rPr>
        <w:t xml:space="preserve"> </w:t>
      </w:r>
      <w:r>
        <w:rPr>
          <w:i w:val="false"/>
          <w:iCs w:val="false"/>
          <w:position w:val="0"/>
          <w:sz w:val="18"/>
          <w:vertAlign w:val="baseline"/>
          <w:lang w:val="en-US" w:bidi="ar-SA"/>
        </w:rPr>
        <w:t>(</w:t>
      </w:r>
      <w:r>
        <w:rPr>
          <w:i w:val="false"/>
          <w:iCs w:val="false"/>
          <w:position w:val="0"/>
          <w:sz w:val="18"/>
          <w:vertAlign w:val="baseline"/>
          <w:lang w:val="en-US" w:bidi="ar-SA"/>
        </w:rPr>
        <w:t xml:space="preserve">1 – </w:t>
      </w:r>
      <w:r>
        <w:rPr>
          <w:rFonts w:eastAsia="Times New Roman" w:cs="Arial" w:ascii="DejaVu Serif" w:hAnsi="DejaVu Serif"/>
          <w:i/>
          <w:iCs/>
          <w:position w:val="0"/>
          <w:sz w:val="18"/>
          <w:vertAlign w:val="baseline"/>
          <w:lang w:val="en-US" w:bidi="ar-SA"/>
        </w:rPr>
        <w:t>ρ</w:t>
      </w:r>
      <w:r>
        <w:rPr>
          <w:rFonts w:eastAsia="Times New Roman" w:cs="Arial"/>
          <w:i/>
          <w:iCs/>
          <w:position w:val="0"/>
          <w:sz w:val="18"/>
          <w:vertAlign w:val="baseline"/>
          <w:lang w:val="en-US" w:bidi="ar-SA"/>
        </w:rPr>
        <w:t>b</w:t>
      </w:r>
      <w:r>
        <w:rPr>
          <w:rFonts w:eastAsia="Times New Roman" w:cs="Arial"/>
          <w:i/>
          <w:iCs/>
          <w:vertAlign w:val="subscript"/>
          <w:lang w:val="en-US" w:bidi="ar-SA"/>
        </w:rPr>
        <w:t>w</w:t>
      </w:r>
      <w:r>
        <w:rPr>
          <w:rFonts w:eastAsia="Times New Roman" w:cs="Arial"/>
          <w:i w:val="false"/>
          <w:iCs w:val="false"/>
          <w:position w:val="0"/>
          <w:sz w:val="18"/>
          <w:vertAlign w:val="baseline"/>
          <w:lang w:val="en-US" w:bidi="ar-SA"/>
        </w:rPr>
        <w:t>)</w:t>
      </w:r>
      <w:r>
        <w:rPr>
          <w:rFonts w:eastAsia="Times New Roman" w:cs="Arial"/>
          <w:i w:val="false"/>
          <w:iCs w:val="false"/>
          <w:position w:val="0"/>
          <w:sz w:val="18"/>
          <w:vertAlign w:val="baseline"/>
          <w:lang w:val="en-US" w:bidi="ar-SA"/>
        </w:rPr>
        <w:t xml:space="preserve"> </w:t>
      </w:r>
      <w:r>
        <w:rPr>
          <w:rFonts w:eastAsia="Times New Roman" w:cs="Arial"/>
          <w:i w:val="false"/>
          <w:iCs w:val="false"/>
          <w:position w:val="0"/>
          <w:sz w:val="18"/>
          <w:vertAlign w:val="baseline"/>
          <w:lang w:val="en-US" w:bidi="ar-SA"/>
        </w:rPr>
        <w:t>where the close-packed molar volume</w:t>
      </w:r>
      <w:r>
        <w:rPr>
          <w:rFonts w:eastAsia="Times New Roman" w:cs="Arial"/>
          <w:i w:val="false"/>
          <w:iCs w:val="false"/>
          <w:position w:val="0"/>
          <w:sz w:val="18"/>
          <w:vertAlign w:val="baseline"/>
          <w:lang w:val="en-US" w:bidi="ar-SA"/>
        </w:rPr>
        <w:t xml:space="preserve"> </w:t>
      </w:r>
      <w:r>
        <w:rPr>
          <w:rFonts w:eastAsia="Times New Roman" w:cs="Arial"/>
          <w:i/>
          <w:iCs/>
          <w:position w:val="0"/>
          <w:sz w:val="18"/>
          <w:vertAlign w:val="baseline"/>
          <w:lang w:val="en-US" w:bidi="ar-SA"/>
        </w:rPr>
        <w:t>b</w:t>
      </w:r>
      <w:r>
        <w:rPr>
          <w:rFonts w:eastAsia="Times New Roman" w:cs="Arial"/>
          <w:i/>
          <w:iCs/>
          <w:vertAlign w:val="subscript"/>
          <w:lang w:val="en-US" w:bidi="ar-SA"/>
        </w:rPr>
        <w:t>w</w:t>
      </w:r>
      <w:r>
        <w:rPr>
          <w:rFonts w:eastAsia="Times New Roman" w:cs="Arial"/>
          <w:i w:val="false"/>
          <w:iCs w:val="false"/>
          <w:position w:val="0"/>
          <w:sz w:val="18"/>
          <w:vertAlign w:val="baseline"/>
          <w:lang w:val="en-US" w:bidi="ar-SA"/>
        </w:rPr>
        <w:t xml:space="preserve"> </w:t>
      </w:r>
      <w:r>
        <w:rPr>
          <w:rFonts w:eastAsia="Times New Roman" w:cs="Arial"/>
          <w:i w:val="false"/>
          <w:iCs w:val="false"/>
          <w:position w:val="0"/>
          <w:sz w:val="18"/>
          <w:vertAlign w:val="baseline"/>
          <w:lang w:val="en-US" w:bidi="ar-SA"/>
        </w:rPr>
        <w:t xml:space="preserve">of water </w:t>
      </w:r>
      <w:r>
        <w:rPr>
          <w:rFonts w:eastAsia="Times New Roman" w:cs="Arial"/>
          <w:i w:val="false"/>
          <w:iCs w:val="false"/>
          <w:position w:val="0"/>
          <w:sz w:val="18"/>
          <w:vertAlign w:val="baseline"/>
          <w:lang w:val="en-US" w:bidi="ar-SA"/>
        </w:rPr>
        <w:t xml:space="preserve">is </w:t>
      </w:r>
      <w:r>
        <w:rPr>
          <w:rFonts w:eastAsia="Times New Roman" w:cs="Arial"/>
          <w:i w:val="false"/>
          <w:iCs w:val="false"/>
          <w:position w:val="0"/>
          <w:sz w:val="18"/>
          <w:vertAlign w:val="baseline"/>
          <w:lang w:val="en-US" w:bidi="ar-SA"/>
        </w:rPr>
        <w:t xml:space="preserve">estimated from the </w:t>
      </w:r>
      <w:r>
        <w:rPr>
          <w:rFonts w:eastAsia="Times New Roman" w:cs="Arial"/>
          <w:i w:val="false"/>
          <w:iCs w:val="false"/>
          <w:position w:val="0"/>
          <w:sz w:val="18"/>
          <w:vertAlign w:val="baseline"/>
          <w:lang w:val="en-US" w:bidi="ar-SA"/>
        </w:rPr>
        <w:t xml:space="preserve">corresponding </w:t>
      </w:r>
      <w:r>
        <w:rPr>
          <w:rFonts w:eastAsia="Times New Roman" w:cs="Arial"/>
          <w:i w:val="false"/>
          <w:iCs w:val="false"/>
          <w:position w:val="0"/>
          <w:sz w:val="18"/>
          <w:vertAlign w:val="baseline"/>
          <w:lang w:val="en-US" w:bidi="ar-SA"/>
        </w:rPr>
        <w:t xml:space="preserve">CEoS. </w:t>
      </w:r>
      <w:r>
        <w:rPr>
          <w:rFonts w:eastAsia="Times New Roman" w:cs="Arial"/>
          <w:i w:val="false"/>
          <w:iCs w:val="false"/>
          <w:position w:val="0"/>
          <w:sz w:val="18"/>
          <w:vertAlign w:val="baseline"/>
          <w:lang w:val="en-US" w:bidi="ar-SA"/>
        </w:rPr>
        <w:t>S</w:t>
      </w:r>
      <w:r>
        <w:rPr>
          <w:rFonts w:eastAsia="Times New Roman" w:cs="Arial"/>
          <w:i w:val="false"/>
          <w:iCs w:val="false"/>
          <w:position w:val="0"/>
          <w:sz w:val="18"/>
          <w:vertAlign w:val="baseline"/>
          <w:lang w:val="en-US" w:bidi="ar-SA"/>
        </w:rPr>
        <w:t xml:space="preserve">ince </w:t>
      </w:r>
      <w:r>
        <w:rPr>
          <w:rFonts w:eastAsia="Times New Roman" w:cs="Arial"/>
          <w:i/>
          <w:iCs/>
          <w:position w:val="0"/>
          <w:sz w:val="18"/>
          <w:vertAlign w:val="baseline"/>
          <w:lang w:val="en-US" w:bidi="ar-SA"/>
        </w:rPr>
        <w:t>b</w:t>
      </w:r>
      <w:r>
        <w:rPr>
          <w:rFonts w:eastAsia="Times New Roman" w:cs="Arial"/>
          <w:i/>
          <w:iCs/>
          <w:vertAlign w:val="subscript"/>
          <w:lang w:val="en-US" w:bidi="ar-SA"/>
        </w:rPr>
        <w:t>f</w:t>
      </w:r>
      <w:r>
        <w:rPr>
          <w:rFonts w:eastAsia="Times New Roman" w:cs="Arial"/>
          <w:i w:val="false"/>
          <w:iCs w:val="false"/>
          <w:position w:val="0"/>
          <w:sz w:val="18"/>
          <w:vertAlign w:val="baseline"/>
          <w:lang w:val="en-US" w:bidi="ar-SA"/>
        </w:rPr>
        <w:t xml:space="preserve"> remains constant, the new length parameter in the particular case of water is </w:t>
      </w:r>
      <w:r>
        <w:rPr>
          <w:rFonts w:eastAsia="Times New Roman" w:cs="Arial"/>
          <w:i w:val="false"/>
          <w:iCs w:val="false"/>
          <w:position w:val="0"/>
          <w:sz w:val="18"/>
          <w:vertAlign w:val="baseline"/>
          <w:lang w:val="en-US" w:bidi="ar-SA"/>
        </w:rPr>
        <w:t>(</w:t>
      </w:r>
      <w:r>
        <w:rPr>
          <w:rFonts w:eastAsia="Times New Roman" w:cs="Arial"/>
          <w:i/>
          <w:iCs/>
          <w:position w:val="0"/>
          <w:sz w:val="18"/>
          <w:vertAlign w:val="baseline"/>
          <w:lang w:val="en-US" w:bidi="ar-SA"/>
        </w:rPr>
        <w:t>L</w:t>
      </w:r>
      <w:r>
        <w:rPr>
          <w:rFonts w:eastAsia="Times New Roman" w:cs="Arial"/>
          <w:i/>
          <w:iCs/>
          <w:vertAlign w:val="subscript"/>
          <w:lang w:val="en-US" w:bidi="ar-SA"/>
        </w:rPr>
        <w:t>m</w:t>
      </w:r>
      <w:r>
        <w:rPr>
          <w:rFonts w:eastAsia="Times New Roman" w:cs="Arial"/>
          <w:i w:val="false"/>
          <w:iCs w:val="false"/>
          <w:vertAlign w:val="superscript"/>
          <w:lang w:val="en-US" w:bidi="ar-SA"/>
        </w:rPr>
        <w:t>*</w:t>
      </w:r>
      <w:r>
        <w:rPr>
          <w:rFonts w:eastAsia="Times New Roman" w:cs="Arial"/>
          <w:i w:val="false"/>
          <w:iCs w:val="false"/>
          <w:position w:val="0"/>
          <w:sz w:val="18"/>
          <w:vertAlign w:val="baseline"/>
          <w:lang w:val="en-US" w:bidi="ar-SA"/>
        </w:rPr>
        <w:t>)</w:t>
      </w:r>
      <w:r>
        <w:rPr>
          <w:rFonts w:eastAsia="Times New Roman" w:cs="Arial"/>
          <w:i w:val="false"/>
          <w:iCs w:val="false"/>
          <w:vertAlign w:val="superscript"/>
          <w:lang w:val="en-US" w:bidi="ar-SA"/>
        </w:rPr>
        <w:t>2</w:t>
      </w:r>
      <w:r>
        <w:rPr>
          <w:rFonts w:eastAsia="Times New Roman" w:cs="Arial"/>
          <w:i w:val="false"/>
          <w:iCs w:val="false"/>
          <w:position w:val="0"/>
          <w:sz w:val="18"/>
          <w:vertAlign w:val="baseline"/>
          <w:lang w:val="en-US" w:bidi="ar-SA"/>
        </w:rPr>
        <w:t xml:space="preserve"> / </w:t>
      </w:r>
      <w:r>
        <w:rPr>
          <w:rFonts w:eastAsia="Times New Roman" w:cs="Arial"/>
          <w:i/>
          <w:iCs/>
          <w:position w:val="0"/>
          <w:sz w:val="18"/>
          <w:vertAlign w:val="baseline"/>
          <w:lang w:val="en-US" w:bidi="ar-SA"/>
        </w:rPr>
        <w:t>b</w:t>
      </w:r>
      <w:r>
        <w:rPr>
          <w:rFonts w:eastAsia="Times New Roman" w:cs="Arial"/>
          <w:i/>
          <w:iCs/>
          <w:vertAlign w:val="subscript"/>
          <w:lang w:val="en-US" w:bidi="ar-SA"/>
        </w:rPr>
        <w:t xml:space="preserve">f </w:t>
      </w:r>
      <w:r>
        <w:rPr>
          <w:rFonts w:eastAsia="Times New Roman" w:cs="Arial"/>
          <w:i w:val="false"/>
          <w:iCs w:val="false"/>
          <w:position w:val="0"/>
          <w:sz w:val="18"/>
          <w:vertAlign w:val="baseline"/>
          <w:lang w:val="en-US" w:bidi="ar-SA"/>
        </w:rPr>
        <w:t>(</w:t>
      </w:r>
      <w:r>
        <w:rPr>
          <w:rFonts w:eastAsia="Times New Roman" w:cs="Arial"/>
          <w:i w:val="false"/>
          <w:iCs w:val="false"/>
          <w:position w:val="0"/>
          <w:sz w:val="18"/>
          <w:vertAlign w:val="baseline"/>
          <w:lang w:val="en-US" w:bidi="ar-SA"/>
        </w:rPr>
        <w:t xml:space="preserve">1 – </w:t>
      </w:r>
      <w:r>
        <w:rPr>
          <w:rFonts w:eastAsia="Times New Roman" w:cs="Arial" w:ascii="DejaVu Serif" w:hAnsi="DejaVu Serif"/>
          <w:i/>
          <w:iCs/>
          <w:position w:val="0"/>
          <w:sz w:val="18"/>
          <w:vertAlign w:val="baseline"/>
          <w:lang w:val="en-US" w:bidi="ar-SA"/>
        </w:rPr>
        <w:t>ρ</w:t>
      </w:r>
      <w:r>
        <w:rPr>
          <w:rFonts w:eastAsia="Times New Roman" w:cs="Arial"/>
          <w:i/>
          <w:iCs/>
          <w:position w:val="0"/>
          <w:sz w:val="18"/>
          <w:vertAlign w:val="baseline"/>
          <w:lang w:val="en-US" w:bidi="ar-SA"/>
        </w:rPr>
        <w:t>b</w:t>
      </w:r>
      <w:r>
        <w:rPr>
          <w:rFonts w:eastAsia="Times New Roman" w:cs="Arial"/>
          <w:i/>
          <w:iCs/>
          <w:vertAlign w:val="subscript"/>
          <w:lang w:val="en-US" w:bidi="ar-SA"/>
        </w:rPr>
        <w:t>w</w:t>
      </w:r>
      <w:r>
        <w:rPr>
          <w:rFonts w:eastAsia="Times New Roman" w:cs="Arial"/>
          <w:i w:val="false"/>
          <w:iCs w:val="false"/>
          <w:position w:val="0"/>
          <w:sz w:val="18"/>
          <w:vertAlign w:val="baseline"/>
          <w:lang w:val="en-US" w:bidi="ar-SA"/>
        </w:rPr>
        <w:t xml:space="preserve">) or </w:t>
      </w:r>
      <w:r>
        <w:rPr>
          <w:rFonts w:eastAsia="Times New Roman" w:cs="Arial"/>
          <w:i/>
          <w:iCs/>
          <w:position w:val="0"/>
          <w:sz w:val="18"/>
          <w:vertAlign w:val="baseline"/>
          <w:lang w:val="en-US" w:bidi="ar-SA"/>
        </w:rPr>
        <w:t>L</w:t>
      </w:r>
      <w:r>
        <w:rPr>
          <w:rFonts w:eastAsia="Times New Roman" w:cs="Arial"/>
          <w:i w:val="false"/>
          <w:iCs w:val="false"/>
          <w:vertAlign w:val="superscript"/>
          <w:lang w:val="en-US" w:bidi="ar-SA"/>
        </w:rPr>
        <w:t>*</w:t>
      </w:r>
      <w:r>
        <w:rPr>
          <w:rFonts w:eastAsia="Times New Roman" w:cs="Arial"/>
          <w:i w:val="false"/>
          <w:iCs w:val="false"/>
          <w:position w:val="0"/>
          <w:sz w:val="18"/>
          <w:vertAlign w:val="baseline"/>
          <w:lang w:val="en-US" w:bidi="ar-SA"/>
        </w:rPr>
        <w:t>(</w:t>
      </w:r>
      <w:r>
        <w:rPr>
          <w:rFonts w:eastAsia="Times New Roman" w:cs="Arial"/>
          <w:i w:val="false"/>
          <w:iCs w:val="false"/>
          <w:position w:val="0"/>
          <w:sz w:val="18"/>
          <w:vertAlign w:val="baseline"/>
          <w:lang w:val="en-US" w:bidi="ar-SA"/>
        </w:rPr>
        <w:t xml:space="preserve">1 – </w:t>
      </w:r>
      <w:r>
        <w:rPr>
          <w:rFonts w:eastAsia="Times New Roman" w:cs="Arial" w:ascii="DejaVu Serif" w:hAnsi="DejaVu Serif"/>
          <w:i/>
          <w:iCs/>
          <w:position w:val="0"/>
          <w:sz w:val="18"/>
          <w:vertAlign w:val="baseline"/>
          <w:lang w:val="en-US" w:bidi="ar-SA"/>
        </w:rPr>
        <w:t>ρ</w:t>
      </w:r>
      <w:r>
        <w:rPr>
          <w:rFonts w:eastAsia="Times New Roman" w:cs="Arial"/>
          <w:i/>
          <w:iCs/>
          <w:position w:val="0"/>
          <w:sz w:val="18"/>
          <w:vertAlign w:val="baseline"/>
          <w:lang w:val="en-US" w:bidi="ar-SA"/>
        </w:rPr>
        <w:t>b</w:t>
      </w:r>
      <w:r>
        <w:rPr>
          <w:rFonts w:eastAsia="Times New Roman" w:cs="Arial"/>
          <w:i/>
          <w:iCs/>
          <w:vertAlign w:val="subscript"/>
          <w:lang w:val="en-US" w:bidi="ar-SA"/>
        </w:rPr>
        <w:t>w</w:t>
      </w:r>
      <w:r>
        <w:rPr>
          <w:rFonts w:eastAsia="Times New Roman" w:cs="Arial"/>
          <w:i w:val="false"/>
          <w:iCs w:val="false"/>
          <w:position w:val="0"/>
          <w:sz w:val="18"/>
          <w:vertAlign w:val="baseline"/>
          <w:lang w:val="en-US" w:bidi="ar-SA"/>
        </w:rPr>
        <w:t xml:space="preserve">). A regression process with </w:t>
      </w:r>
      <w:r>
        <w:rPr>
          <w:rFonts w:eastAsia="Times New Roman" w:cs="Arial"/>
          <w:i w:val="false"/>
          <w:iCs w:val="false"/>
          <w:position w:val="0"/>
          <w:sz w:val="18"/>
          <w:vertAlign w:val="baseline"/>
          <w:lang w:val="en-US" w:bidi="ar-SA"/>
        </w:rPr>
        <w:t xml:space="preserve">the </w:t>
      </w:r>
      <w:r>
        <w:rPr>
          <w:rFonts w:eastAsia="Times New Roman" w:cs="Arial"/>
          <w:i w:val="false"/>
          <w:iCs w:val="false"/>
          <w:position w:val="0"/>
          <w:sz w:val="18"/>
          <w:vertAlign w:val="baseline"/>
          <w:lang w:val="en-US" w:bidi="ar-SA"/>
        </w:rPr>
        <w:t>new set of characteristic parameters (</w:t>
      </w:r>
      <w:r>
        <w:rPr>
          <w:rFonts w:eastAsia="Times New Roman" w:cs="Arial"/>
          <w:i/>
          <w:iCs/>
          <w:position w:val="0"/>
          <w:sz w:val="18"/>
          <w:sz w:val="18"/>
          <w:szCs w:val="18"/>
          <w:vertAlign w:val="baseline"/>
          <w:lang w:val="en-US" w:bidi="ar-SA"/>
        </w:rPr>
        <w:t>L</w:t>
      </w:r>
      <w:r>
        <w:rPr>
          <w:rFonts w:eastAsia="Times New Roman" w:cs="Arial"/>
          <w:i w:val="false"/>
          <w:iCs w:val="false"/>
          <w:sz w:val="18"/>
          <w:szCs w:val="18"/>
          <w:vertAlign w:val="superscript"/>
          <w:lang w:val="en-US" w:bidi="ar-SA"/>
        </w:rPr>
        <w:t>*</w:t>
      </w:r>
      <w:r>
        <w:rPr>
          <w:rFonts w:eastAsia="Times New Roman" w:cs="Arial"/>
          <w:i w:val="false"/>
          <w:iCs w:val="false"/>
          <w:position w:val="0"/>
          <w:sz w:val="18"/>
          <w:sz w:val="18"/>
          <w:szCs w:val="18"/>
          <w:vertAlign w:val="baseline"/>
          <w:lang w:val="en-US" w:bidi="ar-SA"/>
        </w:rPr>
        <w:t xml:space="preserve">, </w:t>
      </w:r>
      <w:r>
        <w:rPr>
          <w:rFonts w:eastAsia="Times New Roman" w:cs="Arial"/>
          <w:i/>
          <w:iCs/>
          <w:position w:val="0"/>
          <w:sz w:val="18"/>
          <w:sz w:val="18"/>
          <w:szCs w:val="18"/>
          <w:vertAlign w:val="baseline"/>
          <w:lang w:val="en-US" w:bidi="ar-SA"/>
        </w:rPr>
        <w:t>α</w:t>
      </w:r>
      <w:r>
        <w:rPr>
          <w:rFonts w:eastAsia="Times New Roman" w:cs="Arial"/>
          <w:i w:val="false"/>
          <w:iCs w:val="false"/>
          <w:position w:val="0"/>
          <w:sz w:val="18"/>
          <w:sz w:val="18"/>
          <w:szCs w:val="18"/>
          <w:vertAlign w:val="baseline"/>
          <w:lang w:val="en-US" w:bidi="ar-SA"/>
        </w:rPr>
        <w:t xml:space="preserve">, and </w:t>
      </w:r>
      <w:r>
        <w:rPr>
          <w:rFonts w:eastAsia="Times New Roman" w:cs="Arial"/>
          <w:i/>
          <w:iCs/>
          <w:position w:val="0"/>
          <w:sz w:val="18"/>
          <w:sz w:val="18"/>
          <w:szCs w:val="18"/>
          <w:vertAlign w:val="baseline"/>
          <w:lang w:val="en-US" w:bidi="ar-SA"/>
        </w:rPr>
        <w:t>B</w:t>
      </w:r>
      <w:r>
        <w:rPr>
          <w:rFonts w:eastAsia="Times New Roman" w:cs="Arial"/>
          <w:i w:val="false"/>
          <w:iCs w:val="false"/>
          <w:position w:val="0"/>
          <w:sz w:val="18"/>
          <w:vertAlign w:val="baseline"/>
          <w:lang w:val="en-US" w:bidi="ar-SA"/>
        </w:rPr>
        <w:t xml:space="preserve">) </w:t>
      </w:r>
      <w:r>
        <w:rPr>
          <w:rFonts w:eastAsia="Times New Roman" w:cs="Arial"/>
          <w:i w:val="false"/>
          <w:iCs w:val="false"/>
          <w:position w:val="0"/>
          <w:sz w:val="18"/>
          <w:vertAlign w:val="baseline"/>
          <w:lang w:val="en-US" w:bidi="ar-SA"/>
        </w:rPr>
        <w:t xml:space="preserve">yielded quite encouraging results in the case of water with much lower </w:t>
      </w:r>
      <w:r>
        <w:rPr>
          <w:rFonts w:eastAsia="Times New Roman" w:cs="Arial"/>
          <w:i/>
          <w:iCs/>
          <w:position w:val="0"/>
          <w:sz w:val="18"/>
          <w:vertAlign w:val="baseline"/>
          <w:lang w:val="en-US" w:bidi="ar-SA"/>
        </w:rPr>
        <w:t>AAD</w:t>
      </w:r>
      <w:r>
        <w:rPr>
          <w:rFonts w:eastAsia="Times New Roman" w:cs="Arial"/>
          <w:i w:val="false"/>
          <w:iCs w:val="false"/>
          <w:position w:val="0"/>
          <w:sz w:val="18"/>
          <w:vertAlign w:val="baseline"/>
          <w:lang w:val="en-US" w:bidi="ar-SA"/>
        </w:rPr>
        <w:t xml:space="preserve"> values: </w:t>
      </w:r>
      <w:r>
        <w:rPr>
          <w:rFonts w:eastAsia="Times New Roman" w:cs="Arial"/>
          <w:i w:val="false"/>
          <w:iCs w:val="false"/>
          <w:position w:val="0"/>
          <w:sz w:val="18"/>
          <w:szCs w:val="18"/>
          <w:vertAlign w:val="baseline"/>
          <w:lang w:val="en-US" w:bidi="ar-SA"/>
        </w:rPr>
        <w:t>4.22% using the FVT-SRK approach and 4.20% using the FVT-PR approach.</w:t>
      </w:r>
    </w:p>
    <w:p>
      <w:pPr>
        <w:pStyle w:val="CETBodytext"/>
        <w:rPr>
          <w:i/>
          <w:i/>
          <w:iCs/>
          <w:lang w:val="en-US" w:bidi="ar-SA"/>
        </w:rPr>
      </w:pPr>
      <w:r>
        <w:rPr>
          <w:i/>
          <w:iCs/>
          <w:lang w:val="en-US" w:bidi="ar-SA"/>
        </w:rPr>
      </w:r>
    </w:p>
    <w:p>
      <w:pPr>
        <w:pStyle w:val="CETHeading1"/>
        <w:rPr>
          <w:lang w:val="en-US" w:bidi="ar-SA"/>
        </w:rPr>
      </w:pPr>
      <w:r>
        <w:rPr>
          <w:lang w:val="en-US" w:bidi="ar-SA"/>
        </w:rPr>
        <w:t>Conclusions</w:t>
      </w:r>
    </w:p>
    <w:p>
      <w:pPr>
        <w:pStyle w:val="CETBodytext"/>
        <w:rPr/>
      </w:pPr>
      <w:r>
        <w:rPr>
          <w:szCs w:val="18"/>
          <w:lang w:val="en-US" w:bidi="ar-SA"/>
        </w:rPr>
        <w:t xml:space="preserve">A </w:t>
      </w:r>
      <w:r>
        <w:rPr>
          <w:szCs w:val="18"/>
          <w:lang w:val="en-US" w:bidi="ar-SA"/>
        </w:rPr>
        <w:t>simple yet theoretically sound</w:t>
      </w:r>
      <w:r>
        <w:rPr>
          <w:szCs w:val="18"/>
          <w:lang w:val="en-US" w:bidi="ar-SA"/>
        </w:rPr>
        <w:t xml:space="preserve"> viscosity model, </w:t>
      </w:r>
      <w:r>
        <w:rPr>
          <w:rFonts w:eastAsia="MS Mincho;ＭＳ 明朝"/>
          <w:szCs w:val="18"/>
          <w:lang w:val="en-US" w:eastAsia="ja-JP" w:bidi="ar-SA"/>
        </w:rPr>
        <w:t xml:space="preserve">based on </w:t>
      </w:r>
      <w:r>
        <w:rPr>
          <w:rFonts w:eastAsia="MS Mincho;ＭＳ 明朝"/>
          <w:szCs w:val="18"/>
          <w:lang w:val="en-US" w:eastAsia="ja-JP" w:bidi="ar-SA"/>
        </w:rPr>
        <w:t>a modified free volume t</w:t>
      </w:r>
      <w:r>
        <w:rPr>
          <w:rFonts w:eastAsia="MS Mincho;ＭＳ 明朝"/>
          <w:szCs w:val="18"/>
          <w:lang w:val="en-US" w:eastAsia="ja-JP" w:bidi="ar-SA"/>
        </w:rPr>
        <w:t xml:space="preserve">heory </w:t>
      </w:r>
      <w:r>
        <w:rPr>
          <w:rFonts w:eastAsia="MS Mincho;ＭＳ 明朝"/>
          <w:szCs w:val="18"/>
          <w:lang w:val="en-US" w:eastAsia="ja-JP" w:bidi="ar-SA"/>
        </w:rPr>
        <w:t xml:space="preserve">and coupled to a simple cubic equation of state, </w:t>
      </w:r>
      <w:r>
        <w:rPr>
          <w:szCs w:val="18"/>
          <w:lang w:val="en-US" w:bidi="ar-SA"/>
        </w:rPr>
        <w:t xml:space="preserve">was developed here for the </w:t>
      </w:r>
      <w:r>
        <w:rPr>
          <w:szCs w:val="18"/>
          <w:lang w:val="en-US" w:bidi="ar-SA"/>
        </w:rPr>
        <w:t>improved viscosity representation</w:t>
      </w:r>
      <w:r>
        <w:rPr>
          <w:rFonts w:eastAsia="MS Mincho;ＭＳ 明朝"/>
          <w:szCs w:val="18"/>
          <w:lang w:val="en-US" w:eastAsia="ja-JP" w:bidi="ar-SA"/>
        </w:rPr>
        <w:t xml:space="preserve"> of </w:t>
      </w:r>
      <w:r>
        <w:rPr>
          <w:rFonts w:eastAsia="MS Mincho;ＭＳ 明朝"/>
          <w:szCs w:val="18"/>
          <w:lang w:val="en-US" w:eastAsia="ja-JP" w:bidi="ar-SA"/>
        </w:rPr>
        <w:t>pure</w:t>
      </w:r>
      <w:r>
        <w:rPr>
          <w:rFonts w:eastAsia="MS Mincho;ＭＳ 明朝"/>
          <w:szCs w:val="18"/>
          <w:lang w:val="en-US" w:eastAsia="ja-JP" w:bidi="ar-SA"/>
        </w:rPr>
        <w:t xml:space="preserve"> fluids over wide temperature and </w:t>
      </w:r>
      <w:r>
        <w:rPr>
          <w:rFonts w:eastAsia="MS Mincho;ＭＳ 明朝"/>
          <w:szCs w:val="18"/>
          <w:lang w:val="en-US" w:eastAsia="ja-JP" w:bidi="ar-SA"/>
        </w:rPr>
        <w:t>density</w:t>
      </w:r>
      <w:r>
        <w:rPr>
          <w:rFonts w:eastAsia="MS Mincho;ＭＳ 明朝"/>
          <w:szCs w:val="18"/>
          <w:lang w:val="en-US" w:eastAsia="ja-JP" w:bidi="ar-SA"/>
        </w:rPr>
        <w:t xml:space="preserve"> ranges. The performance of the present modeling approach was highly satisfactory during the representation of experimental viscosity data of </w:t>
      </w:r>
      <w:r>
        <w:rPr>
          <w:rFonts w:eastAsia="MS Mincho;ＭＳ 明朝"/>
          <w:szCs w:val="18"/>
          <w:lang w:val="en-US" w:eastAsia="ja-JP" w:bidi="ar-SA"/>
        </w:rPr>
        <w:t xml:space="preserve">several fluids varying in polarity from low to high molar masses. </w:t>
      </w:r>
      <w:r>
        <w:rPr>
          <w:rFonts w:eastAsia="MS Mincho;ＭＳ 明朝"/>
          <w:szCs w:val="18"/>
          <w:lang w:val="en-US" w:eastAsia="ja-JP" w:bidi="ar-SA"/>
        </w:rPr>
        <w:t>In the particular case of water, the present viscosity model yielded a significantly improved viscosity representation as compared to the original FVT formulation.</w:t>
      </w:r>
    </w:p>
    <w:p>
      <w:pPr>
        <w:pStyle w:val="CETBodytext"/>
        <w:rPr>
          <w:rFonts w:eastAsia="MS Mincho;ＭＳ 明朝"/>
          <w:szCs w:val="18"/>
          <w:lang w:val="en-US" w:eastAsia="ja-JP" w:bidi="ar-SA"/>
        </w:rPr>
      </w:pPr>
      <w:r>
        <w:rPr>
          <w:rFonts w:eastAsia="MS Mincho;ＭＳ 明朝"/>
          <w:szCs w:val="18"/>
          <w:lang w:val="en-US" w:eastAsia="ja-JP" w:bidi="ar-SA"/>
        </w:rPr>
      </w:r>
    </w:p>
    <w:p>
      <w:pPr>
        <w:pStyle w:val="CETReference"/>
        <w:rPr>
          <w:sz w:val="20"/>
          <w:lang w:val="en-US" w:bidi="ar-SA"/>
        </w:rPr>
      </w:pPr>
      <w:r>
        <w:rPr>
          <w:sz w:val="20"/>
          <w:lang w:val="en-US" w:bidi="ar-SA"/>
        </w:rPr>
        <w:t>References</w:t>
      </w:r>
    </w:p>
    <w:p>
      <w:pPr>
        <w:pStyle w:val="Footer"/>
        <w:tabs>
          <w:tab w:val="clear" w:pos="720"/>
          <w:tab w:val="right" w:pos="8789" w:leader="none"/>
        </w:tabs>
        <w:spacing w:lineRule="auto" w:line="240"/>
        <w:ind w:left="-7" w:right="0" w:hanging="0"/>
        <w:rPr/>
      </w:pPr>
      <w:r>
        <w:rPr>
          <w:rFonts w:cs="Arial" w:ascii="Arial" w:hAnsi="Arial"/>
          <w:sz w:val="18"/>
          <w:szCs w:val="18"/>
          <w:lang w:val="en-US" w:bidi="ar-SA"/>
        </w:rPr>
        <w:t>Allal A., Boned C., Baylaucq A., 2001</w:t>
      </w:r>
      <w:r>
        <w:rPr>
          <w:rFonts w:cs="Arial" w:ascii="Arial" w:hAnsi="Arial"/>
          <w:sz w:val="18"/>
          <w:szCs w:val="18"/>
          <w:lang w:val="en-US" w:bidi="ar-SA"/>
        </w:rPr>
        <w:t>a</w:t>
      </w:r>
      <w:r>
        <w:rPr>
          <w:rFonts w:cs="Arial" w:ascii="Arial" w:hAnsi="Arial"/>
          <w:sz w:val="18"/>
          <w:szCs w:val="18"/>
          <w:lang w:val="en-US" w:bidi="ar-SA"/>
        </w:rPr>
        <w:t>, Free-</w:t>
      </w:r>
      <w:r>
        <w:rPr>
          <w:rFonts w:cs="Arial" w:ascii="Arial" w:hAnsi="Arial"/>
          <w:sz w:val="18"/>
          <w:szCs w:val="18"/>
          <w:lang w:val="en-US" w:bidi="ar-SA"/>
        </w:rPr>
        <w:t>V</w:t>
      </w:r>
      <w:r>
        <w:rPr>
          <w:rFonts w:cs="Arial" w:ascii="Arial" w:hAnsi="Arial"/>
          <w:sz w:val="18"/>
          <w:szCs w:val="18"/>
          <w:lang w:val="en-US" w:bidi="ar-SA"/>
        </w:rPr>
        <w:t xml:space="preserve">olume </w:t>
      </w:r>
      <w:r>
        <w:rPr>
          <w:rFonts w:cs="Arial" w:ascii="Arial" w:hAnsi="Arial"/>
          <w:sz w:val="18"/>
          <w:szCs w:val="18"/>
          <w:lang w:val="en-US" w:bidi="ar-SA"/>
        </w:rPr>
        <w:t>V</w:t>
      </w:r>
      <w:r>
        <w:rPr>
          <w:rFonts w:cs="Arial" w:ascii="Arial" w:hAnsi="Arial"/>
          <w:sz w:val="18"/>
          <w:szCs w:val="18"/>
          <w:lang w:val="en-US" w:bidi="ar-SA"/>
        </w:rPr>
        <w:t xml:space="preserve">iscosity </w:t>
      </w:r>
      <w:r>
        <w:rPr>
          <w:rFonts w:cs="Arial" w:ascii="Arial" w:hAnsi="Arial"/>
          <w:sz w:val="18"/>
          <w:szCs w:val="18"/>
          <w:lang w:val="en-US" w:bidi="ar-SA"/>
        </w:rPr>
        <w:t>M</w:t>
      </w:r>
      <w:r>
        <w:rPr>
          <w:rFonts w:cs="Arial" w:ascii="Arial" w:hAnsi="Arial"/>
          <w:sz w:val="18"/>
          <w:szCs w:val="18"/>
          <w:lang w:val="en-US" w:bidi="ar-SA"/>
        </w:rPr>
        <w:t xml:space="preserve">odel for </w:t>
      </w:r>
      <w:r>
        <w:rPr>
          <w:rFonts w:cs="Arial" w:ascii="Arial" w:hAnsi="Arial"/>
          <w:sz w:val="18"/>
          <w:szCs w:val="18"/>
          <w:lang w:val="en-US" w:bidi="ar-SA"/>
        </w:rPr>
        <w:t>F</w:t>
      </w:r>
      <w:r>
        <w:rPr>
          <w:rFonts w:cs="Arial" w:ascii="Arial" w:hAnsi="Arial"/>
          <w:sz w:val="18"/>
          <w:szCs w:val="18"/>
          <w:lang w:val="en-US" w:bidi="ar-SA"/>
        </w:rPr>
        <w:t xml:space="preserve">luids in the </w:t>
      </w:r>
      <w:r>
        <w:rPr>
          <w:rFonts w:cs="Arial" w:ascii="Arial" w:hAnsi="Arial"/>
          <w:sz w:val="18"/>
          <w:szCs w:val="18"/>
          <w:lang w:val="en-US" w:bidi="ar-SA"/>
        </w:rPr>
        <w:t>D</w:t>
      </w:r>
      <w:r>
        <w:rPr>
          <w:rFonts w:cs="Arial" w:ascii="Arial" w:hAnsi="Arial"/>
          <w:sz w:val="18"/>
          <w:szCs w:val="18"/>
          <w:lang w:val="en-US" w:bidi="ar-SA"/>
        </w:rPr>
        <w:t xml:space="preserve">ense and </w:t>
      </w:r>
      <w:r>
        <w:rPr>
          <w:rFonts w:cs="Arial" w:ascii="Arial" w:hAnsi="Arial"/>
          <w:sz w:val="18"/>
          <w:szCs w:val="18"/>
          <w:lang w:val="en-US" w:bidi="ar-SA"/>
        </w:rPr>
        <w:t>G</w:t>
      </w:r>
      <w:r>
        <w:rPr>
          <w:rFonts w:cs="Arial" w:ascii="Arial" w:hAnsi="Arial"/>
          <w:sz w:val="18"/>
          <w:szCs w:val="18"/>
          <w:lang w:val="en-US" w:bidi="ar-SA"/>
        </w:rPr>
        <w:t>aseous</w:t>
      </w:r>
    </w:p>
    <w:p>
      <w:pPr>
        <w:pStyle w:val="Footer"/>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S</w:t>
      </w:r>
      <w:r>
        <w:rPr>
          <w:rFonts w:cs="Arial" w:ascii="Arial" w:hAnsi="Arial"/>
          <w:sz w:val="18"/>
          <w:szCs w:val="18"/>
          <w:lang w:val="en-US" w:bidi="ar-SA"/>
        </w:rPr>
        <w:t xml:space="preserve">tates. Phys Rev E, </w:t>
      </w:r>
      <w:r>
        <w:rPr>
          <w:rFonts w:cs="Arial" w:ascii="Arial" w:hAnsi="Arial"/>
          <w:sz w:val="18"/>
          <w:szCs w:val="18"/>
          <w:lang w:val="en-US" w:bidi="ar-SA"/>
        </w:rPr>
        <w:t>64, 011203.</w:t>
      </w:r>
    </w:p>
    <w:p>
      <w:pPr>
        <w:pStyle w:val="Footer"/>
        <w:tabs>
          <w:tab w:val="clear" w:pos="720"/>
          <w:tab w:val="right" w:pos="8789" w:leader="none"/>
        </w:tabs>
        <w:spacing w:lineRule="auto" w:line="240"/>
        <w:ind w:left="-7" w:right="0" w:hanging="0"/>
        <w:rPr/>
      </w:pPr>
      <w:r>
        <w:rPr>
          <w:rFonts w:cs="Arial" w:ascii="Arial" w:hAnsi="Arial"/>
          <w:sz w:val="18"/>
          <w:szCs w:val="18"/>
          <w:lang w:val="en-US" w:bidi="ar-SA"/>
        </w:rPr>
        <w:t>Allal A., Moha-Ouchane M., Boned C., 2001</w:t>
      </w:r>
      <w:r>
        <w:rPr>
          <w:rFonts w:cs="Arial" w:ascii="Arial" w:hAnsi="Arial"/>
          <w:sz w:val="18"/>
          <w:szCs w:val="18"/>
          <w:lang w:val="en-US" w:bidi="ar-SA"/>
        </w:rPr>
        <w:t>b,</w:t>
      </w:r>
      <w:r>
        <w:rPr>
          <w:rFonts w:cs="Arial" w:ascii="Arial" w:hAnsi="Arial"/>
          <w:sz w:val="18"/>
          <w:szCs w:val="18"/>
          <w:lang w:val="en-US" w:bidi="ar-SA"/>
        </w:rPr>
        <w:t xml:space="preserve"> A </w:t>
      </w:r>
      <w:r>
        <w:rPr>
          <w:rFonts w:cs="Arial" w:ascii="Arial" w:hAnsi="Arial"/>
          <w:sz w:val="18"/>
          <w:szCs w:val="18"/>
          <w:lang w:val="en-US" w:bidi="ar-SA"/>
        </w:rPr>
        <w:t>N</w:t>
      </w:r>
      <w:r>
        <w:rPr>
          <w:rFonts w:cs="Arial" w:ascii="Arial" w:hAnsi="Arial"/>
          <w:sz w:val="18"/>
          <w:szCs w:val="18"/>
          <w:lang w:val="en-US" w:bidi="ar-SA"/>
        </w:rPr>
        <w:t xml:space="preserve">ew </w:t>
      </w:r>
      <w:r>
        <w:rPr>
          <w:rFonts w:cs="Arial" w:ascii="Arial" w:hAnsi="Arial"/>
          <w:sz w:val="18"/>
          <w:szCs w:val="18"/>
          <w:lang w:val="en-US" w:bidi="ar-SA"/>
        </w:rPr>
        <w:t>F</w:t>
      </w:r>
      <w:r>
        <w:rPr>
          <w:rFonts w:cs="Arial" w:ascii="Arial" w:hAnsi="Arial"/>
          <w:sz w:val="18"/>
          <w:szCs w:val="18"/>
          <w:lang w:val="en-US" w:bidi="ar-SA"/>
        </w:rPr>
        <w:t xml:space="preserve">ree </w:t>
      </w:r>
      <w:r>
        <w:rPr>
          <w:rFonts w:cs="Arial" w:ascii="Arial" w:hAnsi="Arial"/>
          <w:sz w:val="18"/>
          <w:szCs w:val="18"/>
          <w:lang w:val="en-US" w:bidi="ar-SA"/>
        </w:rPr>
        <w:t>V</w:t>
      </w:r>
      <w:r>
        <w:rPr>
          <w:rFonts w:cs="Arial" w:ascii="Arial" w:hAnsi="Arial"/>
          <w:sz w:val="18"/>
          <w:szCs w:val="18"/>
          <w:lang w:val="en-US" w:bidi="ar-SA"/>
        </w:rPr>
        <w:t xml:space="preserve">olume </w:t>
      </w:r>
      <w:r>
        <w:rPr>
          <w:rFonts w:cs="Arial" w:ascii="Arial" w:hAnsi="Arial"/>
          <w:sz w:val="18"/>
          <w:szCs w:val="18"/>
          <w:lang w:val="en-US" w:bidi="ar-SA"/>
        </w:rPr>
        <w:t>M</w:t>
      </w:r>
      <w:r>
        <w:rPr>
          <w:rFonts w:cs="Arial" w:ascii="Arial" w:hAnsi="Arial"/>
          <w:sz w:val="18"/>
          <w:szCs w:val="18"/>
          <w:lang w:val="en-US" w:bidi="ar-SA"/>
        </w:rPr>
        <w:t xml:space="preserve">odel for </w:t>
      </w:r>
      <w:r>
        <w:rPr>
          <w:rFonts w:cs="Arial" w:ascii="Arial" w:hAnsi="Arial"/>
          <w:sz w:val="18"/>
          <w:szCs w:val="18"/>
          <w:lang w:val="en-US" w:bidi="ar-SA"/>
        </w:rPr>
        <w:t>D</w:t>
      </w:r>
      <w:r>
        <w:rPr>
          <w:rFonts w:cs="Arial" w:ascii="Arial" w:hAnsi="Arial"/>
          <w:sz w:val="18"/>
          <w:szCs w:val="18"/>
          <w:lang w:val="en-US" w:bidi="ar-SA"/>
        </w:rPr>
        <w:t xml:space="preserve">ynamic </w:t>
      </w:r>
      <w:r>
        <w:rPr>
          <w:rFonts w:cs="Arial" w:ascii="Arial" w:hAnsi="Arial"/>
          <w:sz w:val="18"/>
          <w:szCs w:val="18"/>
          <w:lang w:val="en-US" w:bidi="ar-SA"/>
        </w:rPr>
        <w:t>V</w:t>
      </w:r>
      <w:r>
        <w:rPr>
          <w:rFonts w:cs="Arial" w:ascii="Arial" w:hAnsi="Arial"/>
          <w:sz w:val="18"/>
          <w:szCs w:val="18"/>
          <w:lang w:val="en-US" w:bidi="ar-SA"/>
        </w:rPr>
        <w:t xml:space="preserve">iscosity and </w:t>
      </w:r>
      <w:r>
        <w:rPr>
          <w:rFonts w:cs="Arial" w:ascii="Arial" w:hAnsi="Arial"/>
          <w:sz w:val="18"/>
          <w:szCs w:val="18"/>
          <w:lang w:val="en-US" w:bidi="ar-SA"/>
        </w:rPr>
        <w:t>D</w:t>
      </w:r>
      <w:r>
        <w:rPr>
          <w:rFonts w:cs="Arial" w:ascii="Arial" w:hAnsi="Arial"/>
          <w:sz w:val="18"/>
          <w:szCs w:val="18"/>
          <w:lang w:val="en-US" w:bidi="ar-SA"/>
        </w:rPr>
        <w:t>ensity</w:t>
      </w:r>
    </w:p>
    <w:p>
      <w:pPr>
        <w:pStyle w:val="Footer"/>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 xml:space="preserve">of </w:t>
      </w:r>
      <w:r>
        <w:rPr>
          <w:rFonts w:cs="Arial" w:ascii="Arial" w:hAnsi="Arial"/>
          <w:sz w:val="18"/>
          <w:szCs w:val="18"/>
          <w:lang w:val="en-US" w:bidi="ar-SA"/>
        </w:rPr>
        <w:t>D</w:t>
      </w:r>
      <w:r>
        <w:rPr>
          <w:rFonts w:cs="Arial" w:ascii="Arial" w:hAnsi="Arial"/>
          <w:sz w:val="18"/>
          <w:szCs w:val="18"/>
          <w:lang w:val="en-US" w:bidi="ar-SA"/>
        </w:rPr>
        <w:t xml:space="preserve">ense </w:t>
      </w:r>
      <w:r>
        <w:rPr>
          <w:rFonts w:cs="Arial" w:ascii="Arial" w:hAnsi="Arial"/>
          <w:sz w:val="18"/>
          <w:szCs w:val="18"/>
          <w:lang w:val="en-US" w:bidi="ar-SA"/>
        </w:rPr>
        <w:t>F</w:t>
      </w:r>
      <w:r>
        <w:rPr>
          <w:rFonts w:cs="Arial" w:ascii="Arial" w:hAnsi="Arial"/>
          <w:sz w:val="18"/>
          <w:szCs w:val="18"/>
          <w:lang w:val="en-US" w:bidi="ar-SA"/>
        </w:rPr>
        <w:t xml:space="preserve">luids </w:t>
      </w:r>
      <w:r>
        <w:rPr>
          <w:rFonts w:cs="Arial" w:ascii="Arial" w:hAnsi="Arial"/>
          <w:sz w:val="18"/>
          <w:szCs w:val="18"/>
          <w:lang w:val="en-US" w:bidi="ar-SA"/>
        </w:rPr>
        <w:t>V</w:t>
      </w:r>
      <w:r>
        <w:rPr>
          <w:rFonts w:cs="Arial" w:ascii="Arial" w:hAnsi="Arial"/>
          <w:sz w:val="18"/>
          <w:szCs w:val="18"/>
          <w:lang w:val="en-US" w:bidi="ar-SA"/>
        </w:rPr>
        <w:t xml:space="preserve">ersus </w:t>
      </w:r>
      <w:r>
        <w:rPr>
          <w:rFonts w:cs="Arial" w:ascii="Arial" w:hAnsi="Arial"/>
          <w:sz w:val="18"/>
          <w:szCs w:val="18"/>
          <w:lang w:val="en-US" w:bidi="ar-SA"/>
        </w:rPr>
        <w:t>P</w:t>
      </w:r>
      <w:r>
        <w:rPr>
          <w:rFonts w:cs="Arial" w:ascii="Arial" w:hAnsi="Arial"/>
          <w:sz w:val="18"/>
          <w:szCs w:val="18"/>
          <w:lang w:val="en-US" w:bidi="ar-SA"/>
        </w:rPr>
        <w:t xml:space="preserve">ressure and </w:t>
      </w:r>
      <w:r>
        <w:rPr>
          <w:rFonts w:cs="Arial" w:ascii="Arial" w:hAnsi="Arial"/>
          <w:sz w:val="18"/>
          <w:szCs w:val="18"/>
          <w:lang w:val="en-US" w:bidi="ar-SA"/>
        </w:rPr>
        <w:t>T</w:t>
      </w:r>
      <w:r>
        <w:rPr>
          <w:rFonts w:cs="Arial" w:ascii="Arial" w:hAnsi="Arial"/>
          <w:sz w:val="18"/>
          <w:szCs w:val="18"/>
          <w:lang w:val="en-US" w:bidi="ar-SA"/>
        </w:rPr>
        <w:t>emperature. Phys. Chem. Liq., 39, 1.</w:t>
      </w:r>
    </w:p>
    <w:p>
      <w:pPr>
        <w:pStyle w:val="Footer"/>
        <w:tabs>
          <w:tab w:val="clear" w:pos="720"/>
          <w:tab w:val="right" w:pos="8789" w:leader="none"/>
        </w:tabs>
        <w:spacing w:lineRule="auto" w:line="240"/>
        <w:ind w:left="-7" w:right="0" w:hanging="0"/>
        <w:rPr/>
      </w:pPr>
      <w:r>
        <w:rPr>
          <w:rFonts w:cs="Arial" w:ascii="Arial" w:hAnsi="Arial"/>
          <w:sz w:val="18"/>
          <w:szCs w:val="18"/>
          <w:lang w:val="en-US" w:bidi="ar-SA"/>
        </w:rPr>
        <w:t xml:space="preserve">Burgess W.A., Tapriyal D., Gamwo I.K., Morreale B.D., McHugh M.A., Enick R.M., 2012, Viscosity </w:t>
      </w:r>
      <w:r>
        <w:rPr>
          <w:rFonts w:cs="Arial" w:ascii="Arial" w:hAnsi="Arial"/>
          <w:sz w:val="18"/>
          <w:szCs w:val="18"/>
          <w:lang w:val="en-US" w:bidi="ar-SA"/>
        </w:rPr>
        <w:t>M</w:t>
      </w:r>
      <w:r>
        <w:rPr>
          <w:rFonts w:cs="Arial" w:ascii="Arial" w:hAnsi="Arial"/>
          <w:sz w:val="18"/>
          <w:szCs w:val="18"/>
          <w:lang w:val="en-US" w:bidi="ar-SA"/>
        </w:rPr>
        <w:t>odels</w:t>
      </w:r>
    </w:p>
    <w:p>
      <w:pPr>
        <w:pStyle w:val="Footer"/>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B</w:t>
      </w:r>
      <w:r>
        <w:rPr>
          <w:rFonts w:cs="Arial" w:ascii="Arial" w:hAnsi="Arial"/>
          <w:sz w:val="18"/>
          <w:szCs w:val="18"/>
          <w:lang w:val="en-US" w:bidi="ar-SA"/>
        </w:rPr>
        <w:t xml:space="preserve">ased on the </w:t>
      </w:r>
      <w:r>
        <w:rPr>
          <w:rFonts w:cs="Arial" w:ascii="Arial" w:hAnsi="Arial"/>
          <w:sz w:val="18"/>
          <w:szCs w:val="18"/>
          <w:lang w:val="en-US" w:bidi="ar-SA"/>
        </w:rPr>
        <w:t>F</w:t>
      </w:r>
      <w:r>
        <w:rPr>
          <w:rFonts w:cs="Arial" w:ascii="Arial" w:hAnsi="Arial"/>
          <w:sz w:val="18"/>
          <w:szCs w:val="18"/>
          <w:lang w:val="en-US" w:bidi="ar-SA"/>
        </w:rPr>
        <w:t xml:space="preserve">ree </w:t>
      </w:r>
      <w:r>
        <w:rPr>
          <w:rFonts w:cs="Arial" w:ascii="Arial" w:hAnsi="Arial"/>
          <w:sz w:val="18"/>
          <w:szCs w:val="18"/>
          <w:lang w:val="en-US" w:bidi="ar-SA"/>
        </w:rPr>
        <w:t>V</w:t>
      </w:r>
      <w:r>
        <w:rPr>
          <w:rFonts w:cs="Arial" w:ascii="Arial" w:hAnsi="Arial"/>
          <w:sz w:val="18"/>
          <w:szCs w:val="18"/>
          <w:lang w:val="en-US" w:bidi="ar-SA"/>
        </w:rPr>
        <w:t xml:space="preserve">olume and </w:t>
      </w:r>
      <w:r>
        <w:rPr>
          <w:rFonts w:cs="Arial" w:ascii="Arial" w:hAnsi="Arial"/>
          <w:sz w:val="18"/>
          <w:szCs w:val="18"/>
          <w:lang w:val="en-US" w:bidi="ar-SA"/>
        </w:rPr>
        <w:t>F</w:t>
      </w:r>
      <w:r>
        <w:rPr>
          <w:rFonts w:cs="Arial" w:ascii="Arial" w:hAnsi="Arial"/>
          <w:sz w:val="18"/>
          <w:szCs w:val="18"/>
          <w:lang w:val="en-US" w:bidi="ar-SA"/>
        </w:rPr>
        <w:t xml:space="preserve">rictional </w:t>
      </w:r>
      <w:r>
        <w:rPr>
          <w:rFonts w:cs="Arial" w:ascii="Arial" w:hAnsi="Arial"/>
          <w:sz w:val="18"/>
          <w:szCs w:val="18"/>
          <w:lang w:val="en-US" w:bidi="ar-SA"/>
        </w:rPr>
        <w:t>T</w:t>
      </w:r>
      <w:r>
        <w:rPr>
          <w:rFonts w:cs="Arial" w:ascii="Arial" w:hAnsi="Arial"/>
          <w:sz w:val="18"/>
          <w:szCs w:val="18"/>
          <w:lang w:val="en-US" w:bidi="ar-SA"/>
        </w:rPr>
        <w:t xml:space="preserve">heories for </w:t>
      </w:r>
      <w:r>
        <w:rPr>
          <w:rFonts w:cs="Arial" w:ascii="Arial" w:hAnsi="Arial"/>
          <w:sz w:val="18"/>
          <w:szCs w:val="18"/>
          <w:lang w:val="en-US" w:bidi="ar-SA"/>
        </w:rPr>
        <w:t>S</w:t>
      </w:r>
      <w:r>
        <w:rPr>
          <w:rFonts w:cs="Arial" w:ascii="Arial" w:hAnsi="Arial"/>
          <w:sz w:val="18"/>
          <w:szCs w:val="18"/>
          <w:lang w:val="en-US" w:bidi="ar-SA"/>
        </w:rPr>
        <w:t xml:space="preserve">ystems at </w:t>
      </w:r>
      <w:r>
        <w:rPr>
          <w:rFonts w:cs="Arial" w:ascii="Arial" w:hAnsi="Arial"/>
          <w:sz w:val="18"/>
          <w:szCs w:val="18"/>
          <w:lang w:val="en-US" w:bidi="ar-SA"/>
        </w:rPr>
        <w:t>P</w:t>
      </w:r>
      <w:r>
        <w:rPr>
          <w:rFonts w:cs="Arial" w:ascii="Arial" w:hAnsi="Arial"/>
          <w:sz w:val="18"/>
          <w:szCs w:val="18"/>
          <w:lang w:val="en-US" w:bidi="ar-SA"/>
        </w:rPr>
        <w:t xml:space="preserve">ressures to 276 MPa and </w:t>
      </w:r>
      <w:r>
        <w:rPr>
          <w:rFonts w:cs="Arial" w:ascii="Arial" w:hAnsi="Arial"/>
          <w:sz w:val="18"/>
          <w:szCs w:val="18"/>
          <w:lang w:val="en-US" w:bidi="ar-SA"/>
        </w:rPr>
        <w:t>T</w:t>
      </w:r>
      <w:r>
        <w:rPr>
          <w:rFonts w:cs="Arial" w:ascii="Arial" w:hAnsi="Arial"/>
          <w:sz w:val="18"/>
          <w:szCs w:val="18"/>
          <w:lang w:val="en-US" w:bidi="ar-SA"/>
        </w:rPr>
        <w:t>emperatures</w:t>
      </w:r>
    </w:p>
    <w:p>
      <w:pPr>
        <w:pStyle w:val="Footer"/>
        <w:tabs>
          <w:tab w:val="clear" w:pos="720"/>
          <w:tab w:val="right" w:pos="8789" w:leader="none"/>
        </w:tabs>
        <w:spacing w:lineRule="auto" w:line="240"/>
        <w:ind w:left="-7" w:right="0" w:hanging="0"/>
        <w:rPr>
          <w:rFonts w:ascii="Arial" w:hAnsi="Arial" w:cs="Arial"/>
          <w:sz w:val="18"/>
          <w:szCs w:val="18"/>
          <w:lang w:val="en-US" w:bidi="ar-SA"/>
        </w:rPr>
      </w:pPr>
      <w:r>
        <w:rPr>
          <w:rFonts w:cs="Arial" w:ascii="Arial" w:hAnsi="Arial"/>
          <w:sz w:val="18"/>
          <w:szCs w:val="18"/>
          <w:lang w:val="en-US" w:bidi="ar-SA"/>
        </w:rPr>
        <w:t xml:space="preserve">    </w:t>
      </w:r>
      <w:r>
        <w:rPr>
          <w:rFonts w:cs="Arial" w:ascii="Arial" w:hAnsi="Arial"/>
          <w:sz w:val="18"/>
          <w:szCs w:val="18"/>
          <w:lang w:val="en-US" w:bidi="ar-SA"/>
        </w:rPr>
        <w:t>to 533 K. Ind. Eng. Chem. Res., 51, 16721.</w:t>
      </w:r>
    </w:p>
    <w:p>
      <w:pPr>
        <w:pStyle w:val="Footer"/>
        <w:tabs>
          <w:tab w:val="clear" w:pos="720"/>
          <w:tab w:val="right" w:pos="8789" w:leader="none"/>
        </w:tabs>
        <w:spacing w:lineRule="auto" w:line="240"/>
        <w:ind w:left="-7" w:right="0" w:hanging="0"/>
        <w:rPr>
          <w:rFonts w:ascii="Arial" w:hAnsi="Arial" w:cs="Arial"/>
          <w:sz w:val="18"/>
          <w:szCs w:val="18"/>
          <w:lang w:val="en-US" w:bidi="ar-SA"/>
        </w:rPr>
      </w:pPr>
      <w:r>
        <w:rPr>
          <w:rFonts w:cs="Arial" w:ascii="Arial" w:hAnsi="Arial"/>
          <w:sz w:val="18"/>
          <w:szCs w:val="18"/>
          <w:lang w:val="en-US" w:bidi="ar-SA"/>
        </w:rPr>
        <w:t xml:space="preserve">Chung T.-H., Ajlan M., Lee L.L., Starling K.E., 1988, Generalized Multiparameter Correlation for Nonpolar </w:t>
      </w:r>
    </w:p>
    <w:p>
      <w:pPr>
        <w:pStyle w:val="Footer"/>
        <w:tabs>
          <w:tab w:val="clear" w:pos="720"/>
          <w:tab w:val="right" w:pos="8789" w:leader="none"/>
        </w:tabs>
        <w:spacing w:lineRule="auto" w:line="240"/>
        <w:ind w:left="-7" w:right="0" w:hanging="0"/>
        <w:rPr/>
      </w:pPr>
      <w:r>
        <w:rPr>
          <w:rFonts w:eastAsia="Arial" w:cs="Arial" w:ascii="Arial" w:hAnsi="Arial"/>
          <w:sz w:val="18"/>
          <w:szCs w:val="18"/>
          <w:lang w:val="en-US" w:bidi="ar-SA"/>
        </w:rPr>
        <w:t xml:space="preserve">    </w:t>
      </w:r>
      <w:r>
        <w:rPr>
          <w:rFonts w:cs="Arial" w:ascii="Arial" w:hAnsi="Arial"/>
          <w:sz w:val="18"/>
          <w:szCs w:val="18"/>
          <w:lang w:val="en-US" w:bidi="ar-SA"/>
        </w:rPr>
        <w:t>and Polar Fluid</w:t>
      </w:r>
      <w:r>
        <w:rPr>
          <w:rFonts w:eastAsia="Arial" w:cs="Arial" w:ascii="Arial" w:hAnsi="Arial"/>
          <w:sz w:val="18"/>
          <w:szCs w:val="18"/>
          <w:lang w:val="en-US" w:bidi="ar-SA"/>
        </w:rPr>
        <w:t xml:space="preserve"> </w:t>
      </w:r>
      <w:r>
        <w:rPr>
          <w:rFonts w:cs="Arial" w:ascii="Arial" w:hAnsi="Arial"/>
          <w:sz w:val="18"/>
          <w:szCs w:val="18"/>
          <w:lang w:val="en-US" w:bidi="ar-SA"/>
        </w:rPr>
        <w:t>Transport Properties. Ind. Eng. Chem. Res., 27, 671.</w:t>
      </w:r>
    </w:p>
    <w:p>
      <w:pPr>
        <w:pStyle w:val="Footer"/>
        <w:tabs>
          <w:tab w:val="clear" w:pos="720"/>
          <w:tab w:val="right" w:pos="8789" w:leader="none"/>
        </w:tabs>
        <w:spacing w:lineRule="auto" w:line="240"/>
        <w:ind w:left="0" w:right="0" w:hanging="7"/>
        <w:rPr/>
      </w:pPr>
      <w:r>
        <w:rPr>
          <w:rFonts w:cs="Arial" w:ascii="Arial" w:hAnsi="Arial"/>
          <w:sz w:val="18"/>
          <w:szCs w:val="18"/>
          <w:lang w:val="en-US" w:bidi="ar-SA"/>
        </w:rPr>
        <w:t xml:space="preserve">Doolittle A.K., 1951, Studies in Newtonian </w:t>
      </w:r>
      <w:r>
        <w:rPr>
          <w:rFonts w:cs="Arial" w:ascii="Arial" w:hAnsi="Arial"/>
          <w:sz w:val="18"/>
          <w:szCs w:val="18"/>
          <w:lang w:val="en-US" w:bidi="ar-SA"/>
        </w:rPr>
        <w:t>F</w:t>
      </w:r>
      <w:r>
        <w:rPr>
          <w:rFonts w:cs="Arial" w:ascii="Arial" w:hAnsi="Arial"/>
          <w:sz w:val="18"/>
          <w:szCs w:val="18"/>
          <w:lang w:val="en-US" w:bidi="ar-SA"/>
        </w:rPr>
        <w:t xml:space="preserve">low. II. The </w:t>
      </w:r>
      <w:r>
        <w:rPr>
          <w:rFonts w:cs="Arial" w:ascii="Arial" w:hAnsi="Arial"/>
          <w:sz w:val="18"/>
          <w:szCs w:val="18"/>
          <w:lang w:val="en-US" w:bidi="ar-SA"/>
        </w:rPr>
        <w:t>D</w:t>
      </w:r>
      <w:r>
        <w:rPr>
          <w:rFonts w:cs="Arial" w:ascii="Arial" w:hAnsi="Arial"/>
          <w:sz w:val="18"/>
          <w:szCs w:val="18"/>
          <w:lang w:val="en-US" w:bidi="ar-SA"/>
        </w:rPr>
        <w:t xml:space="preserve">ependence of the </w:t>
      </w:r>
      <w:r>
        <w:rPr>
          <w:rFonts w:cs="Arial" w:ascii="Arial" w:hAnsi="Arial"/>
          <w:sz w:val="18"/>
          <w:szCs w:val="18"/>
          <w:lang w:val="en-US" w:bidi="ar-SA"/>
        </w:rPr>
        <w:t>V</w:t>
      </w:r>
      <w:r>
        <w:rPr>
          <w:rFonts w:cs="Arial" w:ascii="Arial" w:hAnsi="Arial"/>
          <w:sz w:val="18"/>
          <w:szCs w:val="18"/>
          <w:lang w:val="en-US" w:bidi="ar-SA"/>
        </w:rPr>
        <w:t xml:space="preserve">iscosity of </w:t>
      </w:r>
      <w:r>
        <w:rPr>
          <w:rFonts w:cs="Arial" w:ascii="Arial" w:hAnsi="Arial"/>
          <w:sz w:val="18"/>
          <w:szCs w:val="18"/>
          <w:lang w:val="en-US" w:bidi="ar-SA"/>
        </w:rPr>
        <w:t>L</w:t>
      </w:r>
      <w:r>
        <w:rPr>
          <w:rFonts w:cs="Arial" w:ascii="Arial" w:hAnsi="Arial"/>
          <w:sz w:val="18"/>
          <w:szCs w:val="18"/>
          <w:lang w:val="en-US" w:bidi="ar-SA"/>
        </w:rPr>
        <w:t xml:space="preserve">iquids on </w:t>
      </w:r>
      <w:r>
        <w:rPr>
          <w:rFonts w:cs="Arial" w:ascii="Arial" w:hAnsi="Arial"/>
          <w:sz w:val="18"/>
          <w:szCs w:val="18"/>
          <w:lang w:val="en-US" w:bidi="ar-SA"/>
        </w:rPr>
        <w:t>F</w:t>
      </w:r>
      <w:r>
        <w:rPr>
          <w:rFonts w:cs="Arial" w:ascii="Arial" w:hAnsi="Arial"/>
          <w:sz w:val="18"/>
          <w:szCs w:val="18"/>
          <w:lang w:val="en-US" w:bidi="ar-SA"/>
        </w:rPr>
        <w:t>ree-</w:t>
      </w:r>
    </w:p>
    <w:p>
      <w:pPr>
        <w:pStyle w:val="Footer"/>
        <w:tabs>
          <w:tab w:val="clear" w:pos="720"/>
          <w:tab w:val="right" w:pos="8789" w:leader="none"/>
        </w:tabs>
        <w:spacing w:lineRule="auto" w:line="240"/>
        <w:ind w:left="0" w:right="0" w:hanging="7"/>
        <w:rPr/>
      </w:pPr>
      <w:r>
        <w:rPr>
          <w:rFonts w:cs="Arial" w:ascii="Arial" w:hAnsi="Arial"/>
          <w:sz w:val="18"/>
          <w:szCs w:val="18"/>
          <w:lang w:val="en-US" w:bidi="ar-SA"/>
        </w:rPr>
        <w:t xml:space="preserve">    </w:t>
      </w:r>
      <w:r>
        <w:rPr>
          <w:rFonts w:cs="Arial" w:ascii="Arial" w:hAnsi="Arial"/>
          <w:sz w:val="18"/>
          <w:szCs w:val="18"/>
          <w:lang w:val="en-US" w:bidi="ar-SA"/>
        </w:rPr>
        <w:t>S</w:t>
      </w:r>
      <w:r>
        <w:rPr>
          <w:rFonts w:cs="Arial" w:ascii="Arial" w:hAnsi="Arial"/>
          <w:sz w:val="18"/>
          <w:szCs w:val="18"/>
          <w:lang w:val="en-US" w:bidi="ar-SA"/>
        </w:rPr>
        <w:t>pace. J. Appl. Phys., 22, 1471.</w:t>
      </w:r>
    </w:p>
    <w:p>
      <w:pPr>
        <w:pStyle w:val="Footer"/>
        <w:tabs>
          <w:tab w:val="clear" w:pos="720"/>
          <w:tab w:val="right" w:pos="8789" w:leader="none"/>
        </w:tabs>
        <w:spacing w:lineRule="auto" w:line="240"/>
        <w:ind w:left="0" w:right="0" w:hanging="7"/>
        <w:rPr/>
      </w:pPr>
      <w:r>
        <w:rPr>
          <w:rFonts w:cs="Arial" w:ascii="Arial" w:hAnsi="Arial"/>
          <w:sz w:val="18"/>
          <w:szCs w:val="18"/>
          <w:lang w:val="en-US" w:bidi="ar-SA"/>
        </w:rPr>
        <w:t xml:space="preserve">Eyring H., </w:t>
      </w:r>
      <w:r>
        <w:rPr>
          <w:rFonts w:cs="Arial" w:ascii="Arial" w:hAnsi="Arial"/>
          <w:sz w:val="18"/>
          <w:szCs w:val="18"/>
          <w:lang w:val="en-US" w:bidi="ar-SA"/>
        </w:rPr>
        <w:t>1935,</w:t>
      </w:r>
      <w:r>
        <w:rPr>
          <w:rFonts w:cs="Arial" w:ascii="Arial" w:hAnsi="Arial"/>
          <w:sz w:val="18"/>
          <w:szCs w:val="18"/>
          <w:lang w:val="en-US" w:bidi="ar-SA"/>
        </w:rPr>
        <w:t xml:space="preserve"> The </w:t>
      </w:r>
      <w:r>
        <w:rPr>
          <w:rFonts w:cs="Arial" w:ascii="Arial" w:hAnsi="Arial"/>
          <w:sz w:val="18"/>
          <w:szCs w:val="18"/>
          <w:lang w:val="en-US" w:bidi="ar-SA"/>
        </w:rPr>
        <w:t>A</w:t>
      </w:r>
      <w:r>
        <w:rPr>
          <w:rFonts w:cs="Arial" w:ascii="Arial" w:hAnsi="Arial"/>
          <w:sz w:val="18"/>
          <w:szCs w:val="18"/>
          <w:lang w:val="en-US" w:bidi="ar-SA"/>
        </w:rPr>
        <w:t xml:space="preserve">ctivated </w:t>
      </w:r>
      <w:r>
        <w:rPr>
          <w:rFonts w:cs="Arial" w:ascii="Arial" w:hAnsi="Arial"/>
          <w:sz w:val="18"/>
          <w:szCs w:val="18"/>
          <w:lang w:val="en-US" w:bidi="ar-SA"/>
        </w:rPr>
        <w:t>C</w:t>
      </w:r>
      <w:r>
        <w:rPr>
          <w:rFonts w:cs="Arial" w:ascii="Arial" w:hAnsi="Arial"/>
          <w:sz w:val="18"/>
          <w:szCs w:val="18"/>
          <w:lang w:val="en-US" w:bidi="ar-SA"/>
        </w:rPr>
        <w:t xml:space="preserve">omplex in </w:t>
      </w:r>
      <w:r>
        <w:rPr>
          <w:rFonts w:cs="Arial" w:ascii="Arial" w:hAnsi="Arial"/>
          <w:sz w:val="18"/>
          <w:szCs w:val="18"/>
          <w:lang w:val="en-US" w:bidi="ar-SA"/>
        </w:rPr>
        <w:t>C</w:t>
      </w:r>
      <w:r>
        <w:rPr>
          <w:rFonts w:cs="Arial" w:ascii="Arial" w:hAnsi="Arial"/>
          <w:sz w:val="18"/>
          <w:szCs w:val="18"/>
          <w:lang w:val="en-US" w:bidi="ar-SA"/>
        </w:rPr>
        <w:t xml:space="preserve">hemical </w:t>
      </w:r>
      <w:r>
        <w:rPr>
          <w:rFonts w:cs="Arial" w:ascii="Arial" w:hAnsi="Arial"/>
          <w:sz w:val="18"/>
          <w:szCs w:val="18"/>
          <w:lang w:val="en-US" w:bidi="ar-SA"/>
        </w:rPr>
        <w:t>R</w:t>
      </w:r>
      <w:r>
        <w:rPr>
          <w:rFonts w:cs="Arial" w:ascii="Arial" w:hAnsi="Arial"/>
          <w:sz w:val="18"/>
          <w:szCs w:val="18"/>
          <w:lang w:val="en-US" w:bidi="ar-SA"/>
        </w:rPr>
        <w:t>eactions. J. Chem. Phys., 3, 107.</w:t>
      </w:r>
    </w:p>
    <w:p>
      <w:pPr>
        <w:pStyle w:val="Footer"/>
        <w:tabs>
          <w:tab w:val="clear" w:pos="720"/>
          <w:tab w:val="right" w:pos="8789" w:leader="none"/>
        </w:tabs>
        <w:spacing w:lineRule="auto" w:line="240"/>
        <w:ind w:left="-7" w:right="0" w:hanging="0"/>
        <w:rPr>
          <w:rFonts w:ascii="Arial" w:hAnsi="Arial" w:cs="Arial"/>
          <w:sz w:val="18"/>
          <w:szCs w:val="18"/>
          <w:lang w:val="en-US" w:bidi="ar-SA"/>
        </w:rPr>
      </w:pPr>
      <w:r>
        <w:rPr>
          <w:rFonts w:cs="Arial" w:ascii="Arial" w:hAnsi="Arial"/>
          <w:sz w:val="18"/>
          <w:szCs w:val="18"/>
          <w:lang w:val="en-US" w:bidi="ar-SA"/>
        </w:rPr>
        <w:t xml:space="preserve">Guo X.-Q., Sun C.-Y., Rong S.-X., Chen G.-J., Guo T.-M., 2001, Equations of State Analog Correlations for </w:t>
      </w:r>
    </w:p>
    <w:p>
      <w:pPr>
        <w:pStyle w:val="Footer"/>
        <w:tabs>
          <w:tab w:val="clear" w:pos="720"/>
          <w:tab w:val="right" w:pos="8789" w:leader="none"/>
        </w:tabs>
        <w:spacing w:lineRule="auto" w:line="240"/>
        <w:ind w:left="-7" w:right="0" w:hanging="0"/>
        <w:rPr/>
      </w:pPr>
      <w:r>
        <w:rPr>
          <w:rFonts w:eastAsia="Arial" w:cs="Arial" w:ascii="Arial" w:hAnsi="Arial"/>
          <w:sz w:val="18"/>
          <w:szCs w:val="18"/>
          <w:lang w:val="en-US" w:bidi="ar-SA"/>
        </w:rPr>
        <w:t xml:space="preserve">    </w:t>
      </w:r>
      <w:r>
        <w:rPr>
          <w:rFonts w:cs="Arial" w:ascii="Arial" w:hAnsi="Arial"/>
          <w:sz w:val="18"/>
          <w:szCs w:val="18"/>
          <w:lang w:val="en-US" w:bidi="ar-SA"/>
        </w:rPr>
        <w:t>the Viscosity and</w:t>
      </w:r>
      <w:r>
        <w:rPr>
          <w:rFonts w:eastAsia="Arial" w:cs="Arial" w:ascii="Arial" w:hAnsi="Arial"/>
          <w:sz w:val="18"/>
          <w:szCs w:val="18"/>
          <w:lang w:val="en-US" w:bidi="ar-SA"/>
        </w:rPr>
        <w:t xml:space="preserve"> </w:t>
      </w:r>
      <w:r>
        <w:rPr>
          <w:rFonts w:cs="Arial" w:ascii="Arial" w:hAnsi="Arial"/>
          <w:sz w:val="18"/>
          <w:szCs w:val="18"/>
          <w:lang w:val="en-US" w:bidi="ar-SA"/>
        </w:rPr>
        <w:t>Thermal Conductivity of Hydrocarbons and Reservoir Fluids. J. Pet. Sci. Eng.</w:t>
      </w:r>
      <w:r>
        <w:rPr>
          <w:rFonts w:cs="Arial" w:ascii="Arial" w:hAnsi="Arial"/>
          <w:i/>
          <w:sz w:val="18"/>
          <w:szCs w:val="18"/>
          <w:lang w:val="en-US" w:bidi="ar-SA"/>
        </w:rPr>
        <w:t>,</w:t>
      </w:r>
      <w:r>
        <w:rPr>
          <w:rFonts w:cs="Arial" w:ascii="Arial" w:hAnsi="Arial"/>
          <w:sz w:val="18"/>
          <w:szCs w:val="18"/>
          <w:lang w:val="en-US" w:bidi="ar-SA"/>
        </w:rPr>
        <w:t xml:space="preserve"> 30, 15.</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López E.R., Pensado A.S., Comuñas M.J.P., Pádua A.A.H., Fernández J., Harris K.R., </w:t>
      </w:r>
      <w:r>
        <w:rPr>
          <w:rFonts w:cs="Arial" w:ascii="Arial" w:hAnsi="Arial"/>
          <w:sz w:val="18"/>
          <w:szCs w:val="18"/>
          <w:lang w:val="en-US" w:bidi="ar-SA"/>
        </w:rPr>
        <w:t xml:space="preserve">2011, </w:t>
      </w:r>
      <w:r>
        <w:rPr>
          <w:rFonts w:cs="Arial" w:ascii="Arial" w:hAnsi="Arial"/>
          <w:sz w:val="18"/>
          <w:szCs w:val="18"/>
          <w:lang w:val="en-US" w:bidi="ar-SA"/>
        </w:rPr>
        <w:t xml:space="preserve">Density  </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S</w:t>
      </w:r>
      <w:r>
        <w:rPr>
          <w:rFonts w:cs="Arial" w:ascii="Arial" w:hAnsi="Arial"/>
          <w:sz w:val="18"/>
          <w:szCs w:val="18"/>
          <w:lang w:val="en-US" w:bidi="ar-SA"/>
        </w:rPr>
        <w:t xml:space="preserve">caling of the </w:t>
      </w:r>
      <w:r>
        <w:rPr>
          <w:rFonts w:cs="Arial" w:ascii="Arial" w:hAnsi="Arial"/>
          <w:sz w:val="18"/>
          <w:szCs w:val="18"/>
          <w:lang w:val="en-US" w:bidi="ar-SA"/>
        </w:rPr>
        <w:t>T</w:t>
      </w:r>
      <w:r>
        <w:rPr>
          <w:rFonts w:cs="Arial" w:ascii="Arial" w:hAnsi="Arial"/>
          <w:sz w:val="18"/>
          <w:szCs w:val="18"/>
          <w:lang w:val="en-US" w:bidi="ar-SA"/>
        </w:rPr>
        <w:t xml:space="preserve">ransport </w:t>
      </w:r>
      <w:r>
        <w:rPr>
          <w:rFonts w:cs="Arial" w:ascii="Arial" w:hAnsi="Arial"/>
          <w:sz w:val="18"/>
          <w:szCs w:val="18"/>
          <w:lang w:val="en-US" w:bidi="ar-SA"/>
        </w:rPr>
        <w:t>P</w:t>
      </w:r>
      <w:r>
        <w:rPr>
          <w:rFonts w:cs="Arial" w:ascii="Arial" w:hAnsi="Arial"/>
          <w:sz w:val="18"/>
          <w:szCs w:val="18"/>
          <w:lang w:val="en-US" w:bidi="ar-SA"/>
        </w:rPr>
        <w:t xml:space="preserve">roperties of </w:t>
      </w:r>
      <w:r>
        <w:rPr>
          <w:rFonts w:cs="Arial" w:ascii="Arial" w:hAnsi="Arial"/>
          <w:sz w:val="18"/>
          <w:szCs w:val="18"/>
          <w:lang w:val="en-US" w:bidi="ar-SA"/>
        </w:rPr>
        <w:t>M</w:t>
      </w:r>
      <w:r>
        <w:rPr>
          <w:rFonts w:cs="Arial" w:ascii="Arial" w:hAnsi="Arial"/>
          <w:sz w:val="18"/>
          <w:szCs w:val="18"/>
          <w:lang w:val="en-US" w:bidi="ar-SA"/>
        </w:rPr>
        <w:t xml:space="preserve">olecular and </w:t>
      </w:r>
      <w:r>
        <w:rPr>
          <w:rFonts w:cs="Arial" w:ascii="Arial" w:hAnsi="Arial"/>
          <w:sz w:val="18"/>
          <w:szCs w:val="18"/>
          <w:lang w:val="en-US" w:bidi="ar-SA"/>
        </w:rPr>
        <w:t>I</w:t>
      </w:r>
      <w:r>
        <w:rPr>
          <w:rFonts w:cs="Arial" w:ascii="Arial" w:hAnsi="Arial"/>
          <w:sz w:val="18"/>
          <w:szCs w:val="18"/>
          <w:lang w:val="en-US" w:bidi="ar-SA"/>
        </w:rPr>
        <w:t xml:space="preserve">onic </w:t>
      </w:r>
      <w:r>
        <w:rPr>
          <w:rFonts w:cs="Arial" w:ascii="Arial" w:hAnsi="Arial"/>
          <w:sz w:val="18"/>
          <w:szCs w:val="18"/>
          <w:lang w:val="en-US" w:bidi="ar-SA"/>
        </w:rPr>
        <w:t>L</w:t>
      </w:r>
      <w:r>
        <w:rPr>
          <w:rFonts w:cs="Arial" w:ascii="Arial" w:hAnsi="Arial"/>
          <w:sz w:val="18"/>
          <w:szCs w:val="18"/>
          <w:lang w:val="en-US" w:bidi="ar-SA"/>
        </w:rPr>
        <w:t>iquids. J. Chem. Phys., 134, 144507.</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Llovell F., Marcos R.M., Vega L.F.,  </w:t>
      </w:r>
      <w:r>
        <w:rPr>
          <w:rFonts w:cs="Arial" w:ascii="Arial" w:hAnsi="Arial"/>
          <w:sz w:val="18"/>
          <w:szCs w:val="18"/>
          <w:lang w:val="en-US" w:bidi="ar-SA"/>
        </w:rPr>
        <w:t xml:space="preserve">2013, </w:t>
      </w:r>
      <w:r>
        <w:rPr>
          <w:rFonts w:cs="Arial" w:ascii="Arial" w:hAnsi="Arial"/>
          <w:sz w:val="18"/>
          <w:szCs w:val="18"/>
          <w:lang w:val="en-US" w:bidi="ar-SA"/>
        </w:rPr>
        <w:t>Free-</w:t>
      </w:r>
      <w:r>
        <w:rPr>
          <w:rFonts w:cs="Arial" w:ascii="Arial" w:hAnsi="Arial"/>
          <w:sz w:val="18"/>
          <w:szCs w:val="18"/>
          <w:lang w:val="en-US" w:bidi="ar-SA"/>
        </w:rPr>
        <w:t>V</w:t>
      </w:r>
      <w:r>
        <w:rPr>
          <w:rFonts w:cs="Arial" w:ascii="Arial" w:hAnsi="Arial"/>
          <w:sz w:val="18"/>
          <w:szCs w:val="18"/>
          <w:lang w:val="en-US" w:bidi="ar-SA"/>
        </w:rPr>
        <w:t xml:space="preserve">olume </w:t>
      </w:r>
      <w:r>
        <w:rPr>
          <w:rFonts w:cs="Arial" w:ascii="Arial" w:hAnsi="Arial"/>
          <w:sz w:val="18"/>
          <w:szCs w:val="18"/>
          <w:lang w:val="en-US" w:bidi="ar-SA"/>
        </w:rPr>
        <w:t>T</w:t>
      </w:r>
      <w:r>
        <w:rPr>
          <w:rFonts w:cs="Arial" w:ascii="Arial" w:hAnsi="Arial"/>
          <w:sz w:val="18"/>
          <w:szCs w:val="18"/>
          <w:lang w:val="en-US" w:bidi="ar-SA"/>
        </w:rPr>
        <w:t xml:space="preserve">heory </w:t>
      </w:r>
      <w:r>
        <w:rPr>
          <w:rFonts w:cs="Arial" w:ascii="Arial" w:hAnsi="Arial"/>
          <w:sz w:val="18"/>
          <w:szCs w:val="18"/>
          <w:lang w:val="en-US" w:bidi="ar-SA"/>
        </w:rPr>
        <w:t>C</w:t>
      </w:r>
      <w:r>
        <w:rPr>
          <w:rFonts w:cs="Arial" w:ascii="Arial" w:hAnsi="Arial"/>
          <w:sz w:val="18"/>
          <w:szCs w:val="18"/>
          <w:lang w:val="en-US" w:bidi="ar-SA"/>
        </w:rPr>
        <w:t xml:space="preserve">oupled with </w:t>
      </w:r>
      <w:r>
        <w:rPr>
          <w:rFonts w:cs="Arial" w:ascii="Arial" w:hAnsi="Arial"/>
          <w:sz w:val="18"/>
          <w:szCs w:val="18"/>
          <w:lang w:val="en-US" w:bidi="ar-SA"/>
        </w:rPr>
        <w:t>S</w:t>
      </w:r>
      <w:r>
        <w:rPr>
          <w:rFonts w:cs="Arial" w:ascii="Arial" w:hAnsi="Arial"/>
          <w:sz w:val="18"/>
          <w:szCs w:val="18"/>
          <w:lang w:val="en-US" w:bidi="ar-SA"/>
        </w:rPr>
        <w:t xml:space="preserve">oft-SAFT for </w:t>
      </w:r>
      <w:r>
        <w:rPr>
          <w:rFonts w:cs="Arial" w:ascii="Arial" w:hAnsi="Arial"/>
          <w:sz w:val="18"/>
          <w:szCs w:val="18"/>
          <w:lang w:val="en-US" w:bidi="ar-SA"/>
        </w:rPr>
        <w:t>V</w:t>
      </w:r>
      <w:r>
        <w:rPr>
          <w:rFonts w:cs="Arial" w:ascii="Arial" w:hAnsi="Arial"/>
          <w:sz w:val="18"/>
          <w:szCs w:val="18"/>
          <w:lang w:val="en-US" w:bidi="ar-SA"/>
        </w:rPr>
        <w:t>iscosity</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C</w:t>
      </w:r>
      <w:r>
        <w:rPr>
          <w:rFonts w:cs="Arial" w:ascii="Arial" w:hAnsi="Arial"/>
          <w:sz w:val="18"/>
          <w:szCs w:val="18"/>
          <w:lang w:val="en-US" w:bidi="ar-SA"/>
        </w:rPr>
        <w:t xml:space="preserve">alculations: </w:t>
      </w:r>
      <w:r>
        <w:rPr>
          <w:rFonts w:cs="Arial" w:ascii="Arial" w:hAnsi="Arial"/>
          <w:sz w:val="18"/>
          <w:szCs w:val="18"/>
          <w:lang w:val="en-US" w:bidi="ar-SA"/>
        </w:rPr>
        <w:t>C</w:t>
      </w:r>
      <w:r>
        <w:rPr>
          <w:rFonts w:cs="Arial" w:ascii="Arial" w:hAnsi="Arial"/>
          <w:sz w:val="18"/>
          <w:szCs w:val="18"/>
          <w:lang w:val="en-US" w:bidi="ar-SA"/>
        </w:rPr>
        <w:t xml:space="preserve">omparison with </w:t>
      </w:r>
      <w:r>
        <w:rPr>
          <w:rFonts w:cs="Arial" w:ascii="Arial" w:hAnsi="Arial"/>
          <w:sz w:val="18"/>
          <w:szCs w:val="18"/>
          <w:lang w:val="en-US" w:bidi="ar-SA"/>
        </w:rPr>
        <w:t>M</w:t>
      </w:r>
      <w:r>
        <w:rPr>
          <w:rFonts w:cs="Arial" w:ascii="Arial" w:hAnsi="Arial"/>
          <w:sz w:val="18"/>
          <w:szCs w:val="18"/>
          <w:lang w:val="en-US" w:bidi="ar-SA"/>
        </w:rPr>
        <w:t xml:space="preserve">olecular </w:t>
      </w:r>
      <w:r>
        <w:rPr>
          <w:rFonts w:cs="Arial" w:ascii="Arial" w:hAnsi="Arial"/>
          <w:sz w:val="18"/>
          <w:szCs w:val="18"/>
          <w:lang w:val="en-US" w:bidi="ar-SA"/>
        </w:rPr>
        <w:t>S</w:t>
      </w:r>
      <w:r>
        <w:rPr>
          <w:rFonts w:cs="Arial" w:ascii="Arial" w:hAnsi="Arial"/>
          <w:sz w:val="18"/>
          <w:szCs w:val="18"/>
          <w:lang w:val="en-US" w:bidi="ar-SA"/>
        </w:rPr>
        <w:t xml:space="preserve">imulation and </w:t>
      </w:r>
      <w:r>
        <w:rPr>
          <w:rFonts w:cs="Arial" w:ascii="Arial" w:hAnsi="Arial"/>
          <w:sz w:val="18"/>
          <w:szCs w:val="18"/>
          <w:lang w:val="en-US" w:bidi="ar-SA"/>
        </w:rPr>
        <w:t>E</w:t>
      </w:r>
      <w:r>
        <w:rPr>
          <w:rFonts w:cs="Arial" w:ascii="Arial" w:hAnsi="Arial"/>
          <w:sz w:val="18"/>
          <w:szCs w:val="18"/>
          <w:lang w:val="en-US" w:bidi="ar-SA"/>
        </w:rPr>
        <w:t xml:space="preserve">xperimental </w:t>
      </w:r>
      <w:r>
        <w:rPr>
          <w:rFonts w:cs="Arial" w:ascii="Arial" w:hAnsi="Arial"/>
          <w:sz w:val="18"/>
          <w:szCs w:val="18"/>
          <w:lang w:val="en-US" w:bidi="ar-SA"/>
        </w:rPr>
        <w:t>D</w:t>
      </w:r>
      <w:r>
        <w:rPr>
          <w:rFonts w:cs="Arial" w:ascii="Arial" w:hAnsi="Arial"/>
          <w:sz w:val="18"/>
          <w:szCs w:val="18"/>
          <w:lang w:val="en-US" w:bidi="ar-SA"/>
        </w:rPr>
        <w:t>ata. J. Phys. Chem. B, 117, 8159.</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Lötgering-Lin O., Gross J., </w:t>
      </w:r>
      <w:r>
        <w:rPr>
          <w:rFonts w:cs="Arial" w:ascii="Arial" w:hAnsi="Arial"/>
          <w:sz w:val="18"/>
          <w:szCs w:val="18"/>
          <w:lang w:val="en-US" w:bidi="ar-SA"/>
        </w:rPr>
        <w:t>2015,</w:t>
      </w:r>
      <w:r>
        <w:rPr>
          <w:rFonts w:cs="Arial" w:ascii="Arial" w:hAnsi="Arial"/>
          <w:sz w:val="18"/>
          <w:szCs w:val="18"/>
          <w:lang w:val="en-US" w:bidi="ar-SA"/>
        </w:rPr>
        <w:t xml:space="preserve"> Group </w:t>
      </w:r>
      <w:r>
        <w:rPr>
          <w:rFonts w:cs="Arial" w:ascii="Arial" w:hAnsi="Arial"/>
          <w:sz w:val="18"/>
          <w:szCs w:val="18"/>
          <w:lang w:val="en-US" w:bidi="ar-SA"/>
        </w:rPr>
        <w:t>C</w:t>
      </w:r>
      <w:r>
        <w:rPr>
          <w:rFonts w:cs="Arial" w:ascii="Arial" w:hAnsi="Arial"/>
          <w:sz w:val="18"/>
          <w:szCs w:val="18"/>
          <w:lang w:val="en-US" w:bidi="ar-SA"/>
        </w:rPr>
        <w:t xml:space="preserve">ontribution </w:t>
      </w:r>
      <w:r>
        <w:rPr>
          <w:rFonts w:cs="Arial" w:ascii="Arial" w:hAnsi="Arial"/>
          <w:sz w:val="18"/>
          <w:szCs w:val="18"/>
          <w:lang w:val="en-US" w:bidi="ar-SA"/>
        </w:rPr>
        <w:t>M</w:t>
      </w:r>
      <w:r>
        <w:rPr>
          <w:rFonts w:cs="Arial" w:ascii="Arial" w:hAnsi="Arial"/>
          <w:sz w:val="18"/>
          <w:szCs w:val="18"/>
          <w:lang w:val="en-US" w:bidi="ar-SA"/>
        </w:rPr>
        <w:t xml:space="preserve">ethod for </w:t>
      </w:r>
      <w:r>
        <w:rPr>
          <w:rFonts w:cs="Arial" w:ascii="Arial" w:hAnsi="Arial"/>
          <w:sz w:val="18"/>
          <w:szCs w:val="18"/>
          <w:lang w:val="en-US" w:bidi="ar-SA"/>
        </w:rPr>
        <w:t>V</w:t>
      </w:r>
      <w:r>
        <w:rPr>
          <w:rFonts w:cs="Arial" w:ascii="Arial" w:hAnsi="Arial"/>
          <w:sz w:val="18"/>
          <w:szCs w:val="18"/>
          <w:lang w:val="en-US" w:bidi="ar-SA"/>
        </w:rPr>
        <w:t xml:space="preserve">iscosities </w:t>
      </w:r>
      <w:r>
        <w:rPr>
          <w:rFonts w:cs="Arial" w:ascii="Arial" w:hAnsi="Arial"/>
          <w:sz w:val="18"/>
          <w:szCs w:val="18"/>
          <w:lang w:val="en-US" w:bidi="ar-SA"/>
        </w:rPr>
        <w:t>B</w:t>
      </w:r>
      <w:r>
        <w:rPr>
          <w:rFonts w:cs="Arial" w:ascii="Arial" w:hAnsi="Arial"/>
          <w:sz w:val="18"/>
          <w:szCs w:val="18"/>
          <w:lang w:val="en-US" w:bidi="ar-SA"/>
        </w:rPr>
        <w:t xml:space="preserve">ased on </w:t>
      </w:r>
      <w:r>
        <w:rPr>
          <w:rFonts w:cs="Arial" w:ascii="Arial" w:hAnsi="Arial"/>
          <w:sz w:val="18"/>
          <w:szCs w:val="18"/>
          <w:lang w:val="en-US" w:bidi="ar-SA"/>
        </w:rPr>
        <w:t>E</w:t>
      </w:r>
      <w:r>
        <w:rPr>
          <w:rFonts w:cs="Arial" w:ascii="Arial" w:hAnsi="Arial"/>
          <w:sz w:val="18"/>
          <w:szCs w:val="18"/>
          <w:lang w:val="en-US" w:bidi="ar-SA"/>
        </w:rPr>
        <w:t xml:space="preserve">ntropy </w:t>
      </w:r>
      <w:r>
        <w:rPr>
          <w:rFonts w:cs="Arial" w:ascii="Arial" w:hAnsi="Arial"/>
          <w:sz w:val="18"/>
          <w:szCs w:val="18"/>
          <w:lang w:val="en-US" w:bidi="ar-SA"/>
        </w:rPr>
        <w:t>S</w:t>
      </w:r>
      <w:r>
        <w:rPr>
          <w:rFonts w:cs="Arial" w:ascii="Arial" w:hAnsi="Arial"/>
          <w:sz w:val="18"/>
          <w:szCs w:val="18"/>
          <w:lang w:val="en-US" w:bidi="ar-SA"/>
        </w:rPr>
        <w:t xml:space="preserve">caling </w:t>
      </w:r>
      <w:r>
        <w:rPr>
          <w:rFonts w:cs="Arial" w:ascii="Arial" w:hAnsi="Arial"/>
          <w:sz w:val="18"/>
          <w:szCs w:val="18"/>
          <w:lang w:val="en-US" w:bidi="ar-SA"/>
        </w:rPr>
        <w:t>U</w:t>
      </w:r>
      <w:r>
        <w:rPr>
          <w:rFonts w:cs="Arial" w:ascii="Arial" w:hAnsi="Arial"/>
          <w:sz w:val="18"/>
          <w:szCs w:val="18"/>
          <w:lang w:val="en-US" w:bidi="ar-SA"/>
        </w:rPr>
        <w:t>sing</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 xml:space="preserve">the </w:t>
      </w:r>
      <w:r>
        <w:rPr>
          <w:rFonts w:cs="Arial" w:ascii="Arial" w:hAnsi="Arial"/>
          <w:sz w:val="18"/>
          <w:szCs w:val="18"/>
          <w:lang w:val="en-US" w:bidi="ar-SA"/>
        </w:rPr>
        <w:t>P</w:t>
      </w:r>
      <w:r>
        <w:rPr>
          <w:rFonts w:cs="Arial" w:ascii="Arial" w:hAnsi="Arial"/>
          <w:sz w:val="18"/>
          <w:szCs w:val="18"/>
          <w:lang w:val="en-US" w:bidi="ar-SA"/>
        </w:rPr>
        <w:t>erturbed-</w:t>
      </w:r>
      <w:r>
        <w:rPr>
          <w:rFonts w:cs="Arial" w:ascii="Arial" w:hAnsi="Arial"/>
          <w:sz w:val="18"/>
          <w:szCs w:val="18"/>
          <w:lang w:val="en-US" w:bidi="ar-SA"/>
        </w:rPr>
        <w:t>C</w:t>
      </w:r>
      <w:r>
        <w:rPr>
          <w:rFonts w:cs="Arial" w:ascii="Arial" w:hAnsi="Arial"/>
          <w:sz w:val="18"/>
          <w:szCs w:val="18"/>
          <w:lang w:val="en-US" w:bidi="ar-SA"/>
        </w:rPr>
        <w:t xml:space="preserve">hain </w:t>
      </w:r>
      <w:r>
        <w:rPr>
          <w:rFonts w:cs="Arial" w:ascii="Arial" w:hAnsi="Arial"/>
          <w:sz w:val="18"/>
          <w:szCs w:val="18"/>
          <w:lang w:val="en-US" w:bidi="ar-SA"/>
        </w:rPr>
        <w:t>P</w:t>
      </w:r>
      <w:r>
        <w:rPr>
          <w:rFonts w:cs="Arial" w:ascii="Arial" w:hAnsi="Arial"/>
          <w:sz w:val="18"/>
          <w:szCs w:val="18"/>
          <w:lang w:val="en-US" w:bidi="ar-SA"/>
        </w:rPr>
        <w:t xml:space="preserve">olar </w:t>
      </w:r>
      <w:r>
        <w:rPr>
          <w:rFonts w:cs="Arial" w:ascii="Arial" w:hAnsi="Arial"/>
          <w:sz w:val="18"/>
          <w:szCs w:val="18"/>
          <w:lang w:val="en-US" w:bidi="ar-SA"/>
        </w:rPr>
        <w:t>S</w:t>
      </w:r>
      <w:r>
        <w:rPr>
          <w:rFonts w:cs="Arial" w:ascii="Arial" w:hAnsi="Arial"/>
          <w:sz w:val="18"/>
          <w:szCs w:val="18"/>
          <w:lang w:val="en-US" w:bidi="ar-SA"/>
        </w:rPr>
        <w:t xml:space="preserve">tatistical </w:t>
      </w:r>
      <w:r>
        <w:rPr>
          <w:rFonts w:cs="Arial" w:ascii="Arial" w:hAnsi="Arial"/>
          <w:sz w:val="18"/>
          <w:szCs w:val="18"/>
          <w:lang w:val="en-US" w:bidi="ar-SA"/>
        </w:rPr>
        <w:t>A</w:t>
      </w:r>
      <w:r>
        <w:rPr>
          <w:rFonts w:cs="Arial" w:ascii="Arial" w:hAnsi="Arial"/>
          <w:sz w:val="18"/>
          <w:szCs w:val="18"/>
          <w:lang w:val="en-US" w:bidi="ar-SA"/>
        </w:rPr>
        <w:t xml:space="preserve">ssociating </w:t>
      </w:r>
      <w:r>
        <w:rPr>
          <w:rFonts w:cs="Arial" w:ascii="Arial" w:hAnsi="Arial"/>
          <w:sz w:val="18"/>
          <w:szCs w:val="18"/>
          <w:lang w:val="en-US" w:bidi="ar-SA"/>
        </w:rPr>
        <w:t>F</w:t>
      </w:r>
      <w:r>
        <w:rPr>
          <w:rFonts w:cs="Arial" w:ascii="Arial" w:hAnsi="Arial"/>
          <w:sz w:val="18"/>
          <w:szCs w:val="18"/>
          <w:lang w:val="en-US" w:bidi="ar-SA"/>
        </w:rPr>
        <w:t xml:space="preserve">luid </w:t>
      </w:r>
      <w:r>
        <w:rPr>
          <w:rFonts w:cs="Arial" w:ascii="Arial" w:hAnsi="Arial"/>
          <w:sz w:val="18"/>
          <w:szCs w:val="18"/>
          <w:lang w:val="en-US" w:bidi="ar-SA"/>
        </w:rPr>
        <w:t>T</w:t>
      </w:r>
      <w:r>
        <w:rPr>
          <w:rFonts w:cs="Arial" w:ascii="Arial" w:hAnsi="Arial"/>
          <w:sz w:val="18"/>
          <w:szCs w:val="18"/>
          <w:lang w:val="en-US" w:bidi="ar-SA"/>
        </w:rPr>
        <w:t>heory. Ind. Eng. Chem. Res., 54, 7942.</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Macías-Salinas R., 20</w:t>
      </w:r>
      <w:r>
        <w:rPr>
          <w:rFonts w:cs="Arial" w:ascii="Arial" w:hAnsi="Arial"/>
          <w:sz w:val="18"/>
          <w:szCs w:val="18"/>
          <w:lang w:val="en-US" w:bidi="ar-SA"/>
        </w:rPr>
        <w:t>18</w:t>
      </w:r>
      <w:r>
        <w:rPr>
          <w:rFonts w:cs="Arial" w:ascii="Arial" w:hAnsi="Arial"/>
          <w:sz w:val="18"/>
          <w:szCs w:val="18"/>
          <w:lang w:val="en-US" w:bidi="ar-SA"/>
        </w:rPr>
        <w:t xml:space="preserve">, </w:t>
      </w:r>
      <w:r>
        <w:rPr>
          <w:rFonts w:cs="Arial" w:ascii="Arial" w:hAnsi="Arial"/>
          <w:sz w:val="18"/>
          <w:szCs w:val="18"/>
          <w:lang w:val="en-US" w:bidi="ar-SA"/>
        </w:rPr>
        <w:t xml:space="preserve">A </w:t>
      </w:r>
      <w:r>
        <w:rPr>
          <w:rFonts w:cs="Arial" w:ascii="Arial" w:hAnsi="Arial"/>
          <w:sz w:val="18"/>
          <w:szCs w:val="18"/>
          <w:lang w:val="en-US" w:bidi="ar-SA"/>
        </w:rPr>
        <w:t xml:space="preserve">Viscosity Model for </w:t>
      </w:r>
      <w:r>
        <w:rPr>
          <w:rFonts w:cs="Arial" w:ascii="Arial" w:hAnsi="Arial"/>
          <w:sz w:val="18"/>
          <w:szCs w:val="18"/>
          <w:lang w:val="en-US" w:bidi="ar-SA"/>
        </w:rPr>
        <w:t>Ionic</w:t>
      </w:r>
      <w:r>
        <w:rPr>
          <w:rFonts w:cs="Arial" w:ascii="Arial" w:hAnsi="Arial"/>
          <w:sz w:val="18"/>
          <w:szCs w:val="18"/>
          <w:lang w:val="en-US" w:bidi="ar-SA"/>
        </w:rPr>
        <w:t xml:space="preserve"> Liquids </w:t>
      </w:r>
      <w:r>
        <w:rPr>
          <w:rFonts w:cs="Arial" w:ascii="Arial" w:hAnsi="Arial"/>
          <w:sz w:val="18"/>
          <w:szCs w:val="18"/>
          <w:lang w:val="en-US" w:bidi="ar-SA"/>
        </w:rPr>
        <w:t>B</w:t>
      </w:r>
      <w:r>
        <w:rPr>
          <w:rFonts w:cs="Arial" w:ascii="Arial" w:hAnsi="Arial"/>
          <w:sz w:val="18"/>
          <w:szCs w:val="18"/>
          <w:lang w:val="en-US" w:bidi="ar-SA"/>
        </w:rPr>
        <w:t xml:space="preserve">ased on </w:t>
      </w:r>
      <w:r>
        <w:rPr>
          <w:rFonts w:cs="Arial" w:ascii="Arial" w:hAnsi="Arial"/>
          <w:sz w:val="18"/>
          <w:szCs w:val="18"/>
          <w:lang w:val="en-US" w:bidi="ar-SA"/>
        </w:rPr>
        <w:t xml:space="preserve">the </w:t>
      </w:r>
      <w:r>
        <w:rPr>
          <w:rFonts w:cs="Arial" w:ascii="Arial" w:hAnsi="Arial"/>
          <w:sz w:val="18"/>
          <w:szCs w:val="18"/>
          <w:lang w:val="en-US" w:bidi="ar-SA"/>
        </w:rPr>
        <w:t>Eyring’</w:t>
      </w:r>
      <w:r>
        <w:rPr>
          <w:rFonts w:cs="Arial" w:ascii="Arial" w:hAnsi="Arial"/>
          <w:sz w:val="18"/>
          <w:szCs w:val="18"/>
          <w:lang w:val="en-US" w:bidi="ar-SA"/>
        </w:rPr>
        <w:t>s</w:t>
      </w:r>
      <w:r>
        <w:rPr>
          <w:rFonts w:cs="Arial" w:ascii="Arial" w:hAnsi="Arial"/>
          <w:sz w:val="18"/>
          <w:szCs w:val="18"/>
          <w:lang w:val="en-US" w:bidi="ar-SA"/>
        </w:rPr>
        <w:t xml:space="preserve"> Theory</w:t>
      </w:r>
      <w:r>
        <w:rPr>
          <w:rFonts w:eastAsia="Arial" w:cs="Arial" w:ascii="Arial" w:hAnsi="Arial"/>
          <w:sz w:val="18"/>
          <w:szCs w:val="18"/>
          <w:lang w:val="en-US" w:bidi="ar-SA"/>
        </w:rPr>
        <w:t xml:space="preserve"> </w:t>
      </w:r>
      <w:r>
        <w:rPr>
          <w:rFonts w:cs="Arial" w:ascii="Arial" w:hAnsi="Arial"/>
          <w:sz w:val="18"/>
          <w:szCs w:val="18"/>
          <w:lang w:val="en-US" w:bidi="ar-SA"/>
        </w:rPr>
        <w:t xml:space="preserve">and </w:t>
      </w:r>
      <w:r>
        <w:rPr>
          <w:rFonts w:cs="Arial" w:ascii="Arial" w:hAnsi="Arial"/>
          <w:sz w:val="18"/>
          <w:szCs w:val="18"/>
          <w:lang w:val="en-US" w:bidi="ar-SA"/>
        </w:rPr>
        <w:t xml:space="preserve">a </w:t>
      </w:r>
      <w:r>
        <w:rPr>
          <w:rFonts w:cs="Arial" w:ascii="Arial" w:hAnsi="Arial"/>
          <w:sz w:val="18"/>
          <w:szCs w:val="18"/>
          <w:lang w:val="en-US" w:bidi="ar-SA"/>
        </w:rPr>
        <w:t>Cubic EoS.</w:t>
      </w:r>
    </w:p>
    <w:p>
      <w:pPr>
        <w:pStyle w:val="Normal"/>
        <w:tabs>
          <w:tab w:val="clear" w:pos="720"/>
          <w:tab w:val="right" w:pos="8789" w:leader="none"/>
        </w:tabs>
        <w:spacing w:lineRule="auto" w:line="240"/>
        <w:ind w:left="-7" w:right="0" w:hanging="0"/>
        <w:rPr/>
      </w:pPr>
      <w:r>
        <w:rPr>
          <w:rFonts w:cs="Arial" w:ascii="Arial" w:hAnsi="Arial"/>
          <w:sz w:val="18"/>
          <w:szCs w:val="18"/>
          <w:lang w:val="en-US" w:bidi="ar-SA"/>
        </w:rPr>
        <w:t xml:space="preserve">    </w:t>
      </w:r>
      <w:r>
        <w:rPr>
          <w:rFonts w:cs="Arial" w:ascii="Arial" w:hAnsi="Arial"/>
          <w:sz w:val="18"/>
          <w:szCs w:val="18"/>
          <w:lang w:val="en-US" w:bidi="ar-SA"/>
        </w:rPr>
        <w:t>J. Mol. Liq., 262</w:t>
      </w:r>
      <w:r>
        <w:rPr>
          <w:rFonts w:cs="Arial" w:ascii="Arial" w:hAnsi="Arial"/>
          <w:sz w:val="18"/>
          <w:szCs w:val="18"/>
          <w:lang w:val="en-US" w:bidi="ar-SA"/>
        </w:rPr>
        <w:t xml:space="preserve">, </w:t>
      </w:r>
      <w:r>
        <w:rPr>
          <w:rFonts w:cs="Arial" w:ascii="Arial" w:hAnsi="Arial"/>
          <w:sz w:val="18"/>
          <w:szCs w:val="18"/>
          <w:lang w:val="en-US" w:bidi="ar-SA"/>
        </w:rPr>
        <w:t>161</w:t>
      </w:r>
      <w:r>
        <w:rPr>
          <w:rFonts w:cs="Arial" w:ascii="Arial" w:hAnsi="Arial"/>
          <w:sz w:val="18"/>
          <w:szCs w:val="18"/>
          <w:lang w:val="en-US" w:bidi="ar-SA"/>
        </w:rPr>
        <w:t>.</w:t>
      </w:r>
    </w:p>
    <w:p>
      <w:pPr>
        <w:pStyle w:val="Footer"/>
        <w:tabs>
          <w:tab w:val="clear" w:pos="720"/>
          <w:tab w:val="left" w:pos="567" w:leader="none"/>
          <w:tab w:val="center" w:pos="4410" w:leader="none"/>
          <w:tab w:val="right" w:pos="8730" w:leader="none"/>
        </w:tabs>
        <w:spacing w:lineRule="auto" w:line="240"/>
        <w:ind w:left="-21" w:right="0" w:hanging="0"/>
        <w:rPr/>
      </w:pPr>
      <w:r>
        <w:rPr>
          <w:rFonts w:cs="Arial" w:ascii="Arial" w:hAnsi="Arial"/>
          <w:sz w:val="18"/>
          <w:szCs w:val="18"/>
          <w:lang w:val="en-US" w:bidi="ar-SA"/>
        </w:rPr>
        <w:t xml:space="preserve">Novak L.T., </w:t>
      </w:r>
      <w:r>
        <w:rPr>
          <w:rFonts w:cs="Arial" w:ascii="Arial" w:hAnsi="Arial"/>
          <w:sz w:val="18"/>
          <w:szCs w:val="18"/>
          <w:lang w:val="en-US" w:bidi="ar-SA"/>
        </w:rPr>
        <w:t xml:space="preserve">2011, </w:t>
      </w:r>
      <w:r>
        <w:rPr>
          <w:rFonts w:cs="Arial" w:ascii="Arial" w:hAnsi="Arial"/>
          <w:sz w:val="18"/>
          <w:szCs w:val="18"/>
          <w:lang w:val="en-US" w:bidi="ar-SA"/>
        </w:rPr>
        <w:t xml:space="preserve">Fluid </w:t>
      </w:r>
      <w:r>
        <w:rPr>
          <w:rFonts w:cs="Arial" w:ascii="Arial" w:hAnsi="Arial"/>
          <w:sz w:val="18"/>
          <w:szCs w:val="18"/>
          <w:lang w:val="en-US" w:bidi="ar-SA"/>
        </w:rPr>
        <w:t>V</w:t>
      </w:r>
      <w:r>
        <w:rPr>
          <w:rFonts w:cs="Arial" w:ascii="Arial" w:hAnsi="Arial"/>
          <w:sz w:val="18"/>
          <w:szCs w:val="18"/>
          <w:lang w:val="en-US" w:bidi="ar-SA"/>
        </w:rPr>
        <w:t>iscosity-</w:t>
      </w:r>
      <w:r>
        <w:rPr>
          <w:rFonts w:cs="Arial" w:ascii="Arial" w:hAnsi="Arial"/>
          <w:sz w:val="18"/>
          <w:szCs w:val="18"/>
          <w:lang w:val="en-US" w:bidi="ar-SA"/>
        </w:rPr>
        <w:t>R</w:t>
      </w:r>
      <w:r>
        <w:rPr>
          <w:rFonts w:cs="Arial" w:ascii="Arial" w:hAnsi="Arial"/>
          <w:sz w:val="18"/>
          <w:szCs w:val="18"/>
          <w:lang w:val="en-US" w:bidi="ar-SA"/>
        </w:rPr>
        <w:t xml:space="preserve">esidual </w:t>
      </w:r>
      <w:r>
        <w:rPr>
          <w:rFonts w:cs="Arial" w:ascii="Arial" w:hAnsi="Arial"/>
          <w:sz w:val="18"/>
          <w:szCs w:val="18"/>
          <w:lang w:val="en-US" w:bidi="ar-SA"/>
        </w:rPr>
        <w:t>E</w:t>
      </w:r>
      <w:r>
        <w:rPr>
          <w:rFonts w:cs="Arial" w:ascii="Arial" w:hAnsi="Arial"/>
          <w:sz w:val="18"/>
          <w:szCs w:val="18"/>
          <w:lang w:val="en-US" w:bidi="ar-SA"/>
        </w:rPr>
        <w:t xml:space="preserve">ntropy </w:t>
      </w:r>
      <w:r>
        <w:rPr>
          <w:rFonts w:cs="Arial" w:ascii="Arial" w:hAnsi="Arial"/>
          <w:sz w:val="18"/>
          <w:szCs w:val="18"/>
          <w:lang w:val="en-US" w:bidi="ar-SA"/>
        </w:rPr>
        <w:t>C</w:t>
      </w:r>
      <w:r>
        <w:rPr>
          <w:rFonts w:cs="Arial" w:ascii="Arial" w:hAnsi="Arial"/>
          <w:sz w:val="18"/>
          <w:szCs w:val="18"/>
          <w:lang w:val="en-US" w:bidi="ar-SA"/>
        </w:rPr>
        <w:t>orrelation. Int. J. Chem. React. Eng., 9, A107.</w:t>
      </w:r>
    </w:p>
    <w:p>
      <w:pPr>
        <w:pStyle w:val="Footer"/>
        <w:tabs>
          <w:tab w:val="clear" w:pos="720"/>
          <w:tab w:val="left" w:pos="567" w:leader="none"/>
          <w:tab w:val="center" w:pos="4410" w:leader="none"/>
          <w:tab w:val="right" w:pos="8730" w:leader="none"/>
        </w:tabs>
        <w:spacing w:lineRule="auto" w:line="240"/>
        <w:ind w:left="-21" w:right="0" w:hanging="0"/>
        <w:rPr/>
      </w:pPr>
      <w:r>
        <w:rPr>
          <w:rFonts w:cs="Arial" w:ascii="Arial" w:hAnsi="Arial"/>
          <w:sz w:val="18"/>
          <w:szCs w:val="18"/>
          <w:lang w:val="en-US" w:bidi="ar-SA"/>
        </w:rPr>
        <w:t xml:space="preserve">Pensado A.S., Pádua A.A.H., Comuñas M.J.P., Fernández J., </w:t>
      </w:r>
      <w:r>
        <w:rPr>
          <w:rFonts w:cs="Arial" w:ascii="Arial" w:hAnsi="Arial"/>
          <w:sz w:val="18"/>
          <w:szCs w:val="18"/>
          <w:lang w:val="en-US" w:bidi="ar-SA"/>
        </w:rPr>
        <w:t>2008,</w:t>
      </w:r>
      <w:r>
        <w:rPr>
          <w:rFonts w:cs="Arial" w:ascii="Arial" w:hAnsi="Arial"/>
          <w:sz w:val="18"/>
          <w:szCs w:val="18"/>
          <w:lang w:val="en-US" w:bidi="ar-SA"/>
        </w:rPr>
        <w:t xml:space="preserve"> Relationship </w:t>
      </w:r>
      <w:r>
        <w:rPr>
          <w:rFonts w:cs="Arial" w:ascii="Arial" w:hAnsi="Arial"/>
          <w:sz w:val="18"/>
          <w:szCs w:val="18"/>
          <w:lang w:val="en-US" w:bidi="ar-SA"/>
        </w:rPr>
        <w:t>B</w:t>
      </w:r>
      <w:r>
        <w:rPr>
          <w:rFonts w:cs="Arial" w:ascii="Arial" w:hAnsi="Arial"/>
          <w:sz w:val="18"/>
          <w:szCs w:val="18"/>
          <w:lang w:val="en-US" w:bidi="ar-SA"/>
        </w:rPr>
        <w:t xml:space="preserve">etween </w:t>
      </w:r>
      <w:r>
        <w:rPr>
          <w:rFonts w:cs="Arial" w:ascii="Arial" w:hAnsi="Arial"/>
          <w:sz w:val="18"/>
          <w:szCs w:val="18"/>
          <w:lang w:val="en-US" w:bidi="ar-SA"/>
        </w:rPr>
        <w:t>V</w:t>
      </w:r>
      <w:r>
        <w:rPr>
          <w:rFonts w:cs="Arial" w:ascii="Arial" w:hAnsi="Arial"/>
          <w:sz w:val="18"/>
          <w:szCs w:val="18"/>
          <w:lang w:val="en-US" w:bidi="ar-SA"/>
        </w:rPr>
        <w:t>iscosity</w:t>
      </w:r>
    </w:p>
    <w:p>
      <w:pPr>
        <w:pStyle w:val="Footer"/>
        <w:tabs>
          <w:tab w:val="clear" w:pos="720"/>
          <w:tab w:val="left" w:pos="567" w:leader="none"/>
          <w:tab w:val="center" w:pos="4410" w:leader="none"/>
          <w:tab w:val="right" w:pos="8730" w:leader="none"/>
        </w:tabs>
        <w:spacing w:lineRule="auto" w:line="240"/>
        <w:ind w:left="-21" w:right="0" w:hanging="0"/>
        <w:rPr/>
      </w:pPr>
      <w:r>
        <w:rPr>
          <w:rFonts w:cs="Arial" w:ascii="Arial" w:hAnsi="Arial"/>
          <w:sz w:val="18"/>
          <w:szCs w:val="18"/>
          <w:lang w:val="en-US" w:bidi="ar-SA"/>
        </w:rPr>
        <w:t xml:space="preserve">    </w:t>
      </w:r>
      <w:r>
        <w:rPr>
          <w:rFonts w:cs="Arial" w:ascii="Arial" w:hAnsi="Arial"/>
          <w:sz w:val="18"/>
          <w:szCs w:val="18"/>
          <w:lang w:val="en-US" w:bidi="ar-SA"/>
        </w:rPr>
        <w:t>C</w:t>
      </w:r>
      <w:r>
        <w:rPr>
          <w:rFonts w:cs="Arial" w:ascii="Arial" w:hAnsi="Arial"/>
          <w:sz w:val="18"/>
          <w:szCs w:val="18"/>
          <w:lang w:val="en-US" w:bidi="ar-SA"/>
        </w:rPr>
        <w:t xml:space="preserve">oefficients and </w:t>
      </w:r>
      <w:r>
        <w:rPr>
          <w:rFonts w:cs="Arial" w:ascii="Arial" w:hAnsi="Arial"/>
          <w:sz w:val="18"/>
          <w:szCs w:val="18"/>
          <w:lang w:val="en-US" w:bidi="ar-SA"/>
        </w:rPr>
        <w:t>V</w:t>
      </w:r>
      <w:r>
        <w:rPr>
          <w:rFonts w:cs="Arial" w:ascii="Arial" w:hAnsi="Arial"/>
          <w:sz w:val="18"/>
          <w:szCs w:val="18"/>
          <w:lang w:val="en-US" w:bidi="ar-SA"/>
        </w:rPr>
        <w:t xml:space="preserve">olumetric </w:t>
      </w:r>
      <w:r>
        <w:rPr>
          <w:rFonts w:cs="Arial" w:ascii="Arial" w:hAnsi="Arial"/>
          <w:sz w:val="18"/>
          <w:szCs w:val="18"/>
          <w:lang w:val="en-US" w:bidi="ar-SA"/>
        </w:rPr>
        <w:t>P</w:t>
      </w:r>
      <w:r>
        <w:rPr>
          <w:rFonts w:cs="Arial" w:ascii="Arial" w:hAnsi="Arial"/>
          <w:sz w:val="18"/>
          <w:szCs w:val="18"/>
          <w:lang w:val="en-US" w:bidi="ar-SA"/>
        </w:rPr>
        <w:t xml:space="preserve">roperties </w:t>
      </w:r>
      <w:r>
        <w:rPr>
          <w:rFonts w:cs="Arial" w:ascii="Arial" w:hAnsi="Arial"/>
          <w:sz w:val="18"/>
          <w:szCs w:val="18"/>
          <w:lang w:val="en-US" w:bidi="ar-SA"/>
        </w:rPr>
        <w:t>U</w:t>
      </w:r>
      <w:r>
        <w:rPr>
          <w:rFonts w:cs="Arial" w:ascii="Arial" w:hAnsi="Arial"/>
          <w:sz w:val="18"/>
          <w:szCs w:val="18"/>
          <w:lang w:val="en-US" w:bidi="ar-SA"/>
        </w:rPr>
        <w:t xml:space="preserve">sing a </w:t>
      </w:r>
      <w:r>
        <w:rPr>
          <w:rFonts w:cs="Arial" w:ascii="Arial" w:hAnsi="Arial"/>
          <w:sz w:val="18"/>
          <w:szCs w:val="18"/>
          <w:lang w:val="en-US" w:bidi="ar-SA"/>
        </w:rPr>
        <w:t>S</w:t>
      </w:r>
      <w:r>
        <w:rPr>
          <w:rFonts w:cs="Arial" w:ascii="Arial" w:hAnsi="Arial"/>
          <w:sz w:val="18"/>
          <w:szCs w:val="18"/>
          <w:lang w:val="en-US" w:bidi="ar-SA"/>
        </w:rPr>
        <w:t xml:space="preserve">caling </w:t>
      </w:r>
      <w:r>
        <w:rPr>
          <w:rFonts w:cs="Arial" w:ascii="Arial" w:hAnsi="Arial"/>
          <w:sz w:val="18"/>
          <w:szCs w:val="18"/>
          <w:lang w:val="en-US" w:bidi="ar-SA"/>
        </w:rPr>
        <w:t>C</w:t>
      </w:r>
      <w:r>
        <w:rPr>
          <w:rFonts w:cs="Arial" w:ascii="Arial" w:hAnsi="Arial"/>
          <w:sz w:val="18"/>
          <w:szCs w:val="18"/>
          <w:lang w:val="en-US" w:bidi="ar-SA"/>
        </w:rPr>
        <w:t xml:space="preserve">oncept for </w:t>
      </w:r>
      <w:r>
        <w:rPr>
          <w:rFonts w:cs="Arial" w:ascii="Arial" w:hAnsi="Arial"/>
          <w:sz w:val="18"/>
          <w:szCs w:val="18"/>
          <w:lang w:val="en-US" w:bidi="ar-SA"/>
        </w:rPr>
        <w:t>M</w:t>
      </w:r>
      <w:r>
        <w:rPr>
          <w:rFonts w:cs="Arial" w:ascii="Arial" w:hAnsi="Arial"/>
          <w:sz w:val="18"/>
          <w:szCs w:val="18"/>
          <w:lang w:val="en-US" w:bidi="ar-SA"/>
        </w:rPr>
        <w:t xml:space="preserve">olecular and </w:t>
      </w:r>
      <w:r>
        <w:rPr>
          <w:rFonts w:cs="Arial" w:ascii="Arial" w:hAnsi="Arial"/>
          <w:sz w:val="18"/>
          <w:szCs w:val="18"/>
          <w:lang w:val="en-US" w:bidi="ar-SA"/>
        </w:rPr>
        <w:t>I</w:t>
      </w:r>
      <w:r>
        <w:rPr>
          <w:rFonts w:cs="Arial" w:ascii="Arial" w:hAnsi="Arial"/>
          <w:sz w:val="18"/>
          <w:szCs w:val="18"/>
          <w:lang w:val="en-US" w:bidi="ar-SA"/>
        </w:rPr>
        <w:t xml:space="preserve">onic </w:t>
      </w:r>
      <w:r>
        <w:rPr>
          <w:rFonts w:cs="Arial" w:ascii="Arial" w:hAnsi="Arial"/>
          <w:sz w:val="18"/>
          <w:szCs w:val="18"/>
          <w:lang w:val="en-US" w:bidi="ar-SA"/>
        </w:rPr>
        <w:t>L</w:t>
      </w:r>
      <w:r>
        <w:rPr>
          <w:rFonts w:cs="Arial" w:ascii="Arial" w:hAnsi="Arial"/>
          <w:sz w:val="18"/>
          <w:szCs w:val="18"/>
          <w:lang w:val="en-US" w:bidi="ar-SA"/>
        </w:rPr>
        <w:t>iquids. J. Phys.</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 xml:space="preserve">    </w:t>
      </w:r>
      <w:r>
        <w:rPr>
          <w:rFonts w:cs="Arial" w:ascii="Arial" w:hAnsi="Arial"/>
          <w:sz w:val="18"/>
          <w:szCs w:val="18"/>
          <w:lang w:val="en-US" w:bidi="ar-SA"/>
        </w:rPr>
        <w:t>Chem. B, 112, 5563.</w:t>
      </w:r>
    </w:p>
    <w:p>
      <w:pPr>
        <w:pStyle w:val="Footer"/>
        <w:tabs>
          <w:tab w:val="clear" w:pos="720"/>
          <w:tab w:val="left" w:pos="567" w:leader="none"/>
          <w:tab w:val="center" w:pos="4410" w:leader="none"/>
          <w:tab w:val="right" w:pos="8730" w:leader="none"/>
        </w:tabs>
        <w:spacing w:lineRule="auto" w:line="240"/>
        <w:ind w:left="-21" w:right="0" w:hanging="0"/>
        <w:rPr/>
      </w:pPr>
      <w:r>
        <w:rPr>
          <w:rFonts w:cs="Arial" w:ascii="Arial" w:hAnsi="Arial"/>
          <w:sz w:val="18"/>
          <w:szCs w:val="18"/>
          <w:lang w:val="en-US" w:bidi="ar-SA"/>
        </w:rPr>
        <w:t xml:space="preserve">Polishuk I., </w:t>
      </w:r>
      <w:r>
        <w:rPr>
          <w:rFonts w:cs="Arial" w:ascii="Arial" w:hAnsi="Arial"/>
          <w:sz w:val="18"/>
          <w:szCs w:val="18"/>
          <w:lang w:val="en-US" w:bidi="ar-SA"/>
        </w:rPr>
        <w:t>2012,</w:t>
      </w:r>
      <w:r>
        <w:rPr>
          <w:rFonts w:cs="Arial" w:ascii="Arial" w:hAnsi="Arial"/>
          <w:sz w:val="18"/>
          <w:szCs w:val="18"/>
          <w:lang w:val="en-US" w:bidi="ar-SA"/>
        </w:rPr>
        <w:t xml:space="preserve"> Modeling of </w:t>
      </w:r>
      <w:r>
        <w:rPr>
          <w:rFonts w:cs="Arial" w:ascii="Arial" w:hAnsi="Arial"/>
          <w:sz w:val="18"/>
          <w:szCs w:val="18"/>
          <w:lang w:val="en-US" w:bidi="ar-SA"/>
        </w:rPr>
        <w:t>V</w:t>
      </w:r>
      <w:r>
        <w:rPr>
          <w:rFonts w:cs="Arial" w:ascii="Arial" w:hAnsi="Arial"/>
          <w:sz w:val="18"/>
          <w:szCs w:val="18"/>
          <w:lang w:val="en-US" w:bidi="ar-SA"/>
        </w:rPr>
        <w:t xml:space="preserve">iscosities in </w:t>
      </w:r>
      <w:r>
        <w:rPr>
          <w:rFonts w:cs="Arial" w:ascii="Arial" w:hAnsi="Arial"/>
          <w:sz w:val="18"/>
          <w:szCs w:val="18"/>
          <w:lang w:val="en-US" w:bidi="ar-SA"/>
        </w:rPr>
        <w:t>E</w:t>
      </w:r>
      <w:r>
        <w:rPr>
          <w:rFonts w:cs="Arial" w:ascii="Arial" w:hAnsi="Arial"/>
          <w:sz w:val="18"/>
          <w:szCs w:val="18"/>
          <w:lang w:val="en-US" w:bidi="ar-SA"/>
        </w:rPr>
        <w:t xml:space="preserve">xtended </w:t>
      </w:r>
      <w:r>
        <w:rPr>
          <w:rFonts w:cs="Arial" w:ascii="Arial" w:hAnsi="Arial"/>
          <w:sz w:val="18"/>
          <w:szCs w:val="18"/>
          <w:lang w:val="en-US" w:bidi="ar-SA"/>
        </w:rPr>
        <w:t>P</w:t>
      </w:r>
      <w:r>
        <w:rPr>
          <w:rFonts w:cs="Arial" w:ascii="Arial" w:hAnsi="Arial"/>
          <w:sz w:val="18"/>
          <w:szCs w:val="18"/>
          <w:lang w:val="en-US" w:bidi="ar-SA"/>
        </w:rPr>
        <w:t xml:space="preserve">ressure </w:t>
      </w:r>
      <w:r>
        <w:rPr>
          <w:rFonts w:cs="Arial" w:ascii="Arial" w:hAnsi="Arial"/>
          <w:sz w:val="18"/>
          <w:szCs w:val="18"/>
          <w:lang w:val="en-US" w:bidi="ar-SA"/>
        </w:rPr>
        <w:t>R</w:t>
      </w:r>
      <w:r>
        <w:rPr>
          <w:rFonts w:cs="Arial" w:ascii="Arial" w:hAnsi="Arial"/>
          <w:sz w:val="18"/>
          <w:szCs w:val="18"/>
          <w:lang w:val="en-US" w:bidi="ar-SA"/>
        </w:rPr>
        <w:t xml:space="preserve">ange </w:t>
      </w:r>
      <w:r>
        <w:rPr>
          <w:rFonts w:cs="Arial" w:ascii="Arial" w:hAnsi="Arial"/>
          <w:sz w:val="18"/>
          <w:szCs w:val="18"/>
          <w:lang w:val="en-US" w:bidi="ar-SA"/>
        </w:rPr>
        <w:t>U</w:t>
      </w:r>
      <w:r>
        <w:rPr>
          <w:rFonts w:cs="Arial" w:ascii="Arial" w:hAnsi="Arial"/>
          <w:sz w:val="18"/>
          <w:szCs w:val="18"/>
          <w:lang w:val="en-US" w:bidi="ar-SA"/>
        </w:rPr>
        <w:t xml:space="preserve">sing SAFT + </w:t>
      </w:r>
      <w:r>
        <w:rPr>
          <w:rFonts w:cs="Arial" w:ascii="Arial" w:hAnsi="Arial"/>
          <w:sz w:val="18"/>
          <w:szCs w:val="18"/>
          <w:lang w:val="en-US" w:bidi="ar-SA"/>
        </w:rPr>
        <w:t>C</w:t>
      </w:r>
      <w:r>
        <w:rPr>
          <w:rFonts w:cs="Arial" w:ascii="Arial" w:hAnsi="Arial"/>
          <w:sz w:val="18"/>
          <w:szCs w:val="18"/>
          <w:lang w:val="en-US" w:bidi="ar-SA"/>
        </w:rPr>
        <w:t>ubic EoS and</w:t>
      </w:r>
    </w:p>
    <w:p>
      <w:pPr>
        <w:pStyle w:val="Footer"/>
        <w:tabs>
          <w:tab w:val="clear" w:pos="720"/>
          <w:tab w:val="left" w:pos="567" w:leader="none"/>
          <w:tab w:val="center" w:pos="4410" w:leader="none"/>
          <w:tab w:val="right" w:pos="8730" w:leader="none"/>
        </w:tabs>
        <w:spacing w:lineRule="auto" w:line="240"/>
        <w:ind w:left="-21" w:right="0" w:hanging="0"/>
        <w:rPr/>
      </w:pPr>
      <w:r>
        <w:rPr>
          <w:rFonts w:cs="Arial" w:ascii="Arial" w:hAnsi="Arial"/>
          <w:sz w:val="18"/>
          <w:szCs w:val="18"/>
          <w:lang w:val="en-US" w:bidi="ar-SA"/>
        </w:rPr>
        <w:t xml:space="preserve">    </w:t>
      </w:r>
      <w:r>
        <w:rPr>
          <w:rFonts w:cs="Arial" w:ascii="Arial" w:hAnsi="Arial"/>
          <w:sz w:val="18"/>
          <w:szCs w:val="18"/>
          <w:lang w:val="en-US" w:bidi="ar-SA"/>
        </w:rPr>
        <w:t>M</w:t>
      </w:r>
      <w:r>
        <w:rPr>
          <w:rFonts w:cs="Arial" w:ascii="Arial" w:hAnsi="Arial"/>
          <w:sz w:val="18"/>
          <w:szCs w:val="18"/>
          <w:lang w:val="en-US" w:bidi="ar-SA"/>
        </w:rPr>
        <w:t xml:space="preserve">odified Yarranton–Satyro </w:t>
      </w:r>
      <w:r>
        <w:rPr>
          <w:rFonts w:cs="Arial" w:ascii="Arial" w:hAnsi="Arial"/>
          <w:sz w:val="18"/>
          <w:szCs w:val="18"/>
          <w:lang w:val="en-US" w:bidi="ar-SA"/>
        </w:rPr>
        <w:t>C</w:t>
      </w:r>
      <w:r>
        <w:rPr>
          <w:rFonts w:cs="Arial" w:ascii="Arial" w:hAnsi="Arial"/>
          <w:sz w:val="18"/>
          <w:szCs w:val="18"/>
          <w:lang w:val="en-US" w:bidi="ar-SA"/>
        </w:rPr>
        <w:t>orrelation. Ind. Eng. Chem. Res., 51, 13527.</w:t>
      </w:r>
    </w:p>
    <w:p>
      <w:pPr>
        <w:pStyle w:val="Footer"/>
        <w:tabs>
          <w:tab w:val="clear" w:pos="720"/>
          <w:tab w:val="left" w:pos="567" w:leader="none"/>
          <w:tab w:val="center" w:pos="4410" w:leader="none"/>
          <w:tab w:val="right" w:pos="8730" w:leader="none"/>
        </w:tabs>
        <w:spacing w:lineRule="auto" w:line="240"/>
        <w:ind w:left="-21" w:right="0" w:hanging="0"/>
        <w:rPr/>
      </w:pPr>
      <w:r>
        <w:rPr>
          <w:rFonts w:cs="Arial" w:ascii="Arial" w:hAnsi="Arial"/>
          <w:sz w:val="18"/>
          <w:szCs w:val="18"/>
          <w:lang w:val="en-US" w:bidi="ar-SA"/>
        </w:rPr>
        <w:t>Quiñones-Cisneros S. E., Zéberg-Mikkelsen C. K., Stenby E. H., 2000, The Friction Theory (</w:t>
      </w:r>
      <w:r>
        <w:rPr>
          <w:rFonts w:cs="Arial" w:ascii="Arial" w:hAnsi="Arial"/>
          <w:i/>
          <w:iCs/>
          <w:sz w:val="18"/>
          <w:szCs w:val="18"/>
          <w:lang w:val="en-US" w:bidi="ar-SA"/>
        </w:rPr>
        <w:t>f-theory</w:t>
      </w:r>
      <w:r>
        <w:rPr>
          <w:rFonts w:cs="Arial" w:ascii="Arial" w:hAnsi="Arial"/>
          <w:sz w:val="18"/>
          <w:szCs w:val="18"/>
          <w:lang w:val="en-US" w:bidi="ar-SA"/>
        </w:rPr>
        <w:t>) for</w:t>
      </w:r>
    </w:p>
    <w:p>
      <w:pPr>
        <w:pStyle w:val="Footer"/>
        <w:tabs>
          <w:tab w:val="clear" w:pos="720"/>
          <w:tab w:val="left" w:pos="567" w:leader="none"/>
          <w:tab w:val="center" w:pos="4410" w:leader="none"/>
          <w:tab w:val="right" w:pos="8730" w:leader="none"/>
        </w:tabs>
        <w:spacing w:lineRule="auto" w:line="240"/>
        <w:ind w:left="-21" w:right="0" w:hanging="0"/>
        <w:rPr/>
      </w:pPr>
      <w:r>
        <w:rPr>
          <w:rFonts w:eastAsia="Arial" w:cs="Arial" w:ascii="Arial" w:hAnsi="Arial"/>
          <w:sz w:val="18"/>
          <w:szCs w:val="18"/>
          <w:lang w:val="en-US" w:bidi="ar-SA"/>
        </w:rPr>
        <w:t xml:space="preserve">    </w:t>
      </w:r>
      <w:r>
        <w:rPr>
          <w:rFonts w:cs="Arial" w:ascii="Arial" w:hAnsi="Arial"/>
          <w:sz w:val="18"/>
          <w:szCs w:val="18"/>
          <w:lang w:val="en-US" w:bidi="ar-SA"/>
        </w:rPr>
        <w:t>Viscosity Modeling. Fluid</w:t>
      </w:r>
      <w:r>
        <w:rPr>
          <w:rFonts w:eastAsia="Arial" w:cs="Arial" w:ascii="Arial" w:hAnsi="Arial"/>
          <w:sz w:val="18"/>
          <w:szCs w:val="18"/>
          <w:lang w:val="en-US" w:bidi="ar-SA"/>
        </w:rPr>
        <w:t xml:space="preserve"> </w:t>
      </w:r>
      <w:r>
        <w:rPr>
          <w:rFonts w:cs="Arial" w:ascii="Arial" w:hAnsi="Arial"/>
          <w:sz w:val="18"/>
          <w:szCs w:val="18"/>
          <w:lang w:val="en-US" w:bidi="ar-SA"/>
        </w:rPr>
        <w:t>Phase Equilib., 169, 249.</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 xml:space="preserve">Quiñones-Cisneros S. E., Dieters U., 2006, Generalization of the Friction Theory for Viscosity Modeling. J. </w:t>
      </w:r>
    </w:p>
    <w:p>
      <w:pPr>
        <w:pStyle w:val="Footer"/>
        <w:tabs>
          <w:tab w:val="clear" w:pos="720"/>
          <w:tab w:val="left" w:pos="567" w:leader="none"/>
          <w:tab w:val="center" w:pos="4410" w:leader="none"/>
          <w:tab w:val="right" w:pos="8730" w:leader="none"/>
        </w:tabs>
        <w:spacing w:lineRule="auto" w:line="240"/>
        <w:ind w:left="-21" w:right="0" w:hanging="0"/>
        <w:rPr/>
      </w:pPr>
      <w:r>
        <w:rPr>
          <w:rFonts w:eastAsia="Arial" w:cs="Arial" w:ascii="Arial" w:hAnsi="Arial"/>
          <w:sz w:val="18"/>
          <w:szCs w:val="18"/>
          <w:lang w:val="en-US" w:bidi="ar-SA"/>
        </w:rPr>
        <w:t xml:space="preserve">    </w:t>
      </w:r>
      <w:r>
        <w:rPr>
          <w:rFonts w:cs="Arial" w:ascii="Arial" w:hAnsi="Arial"/>
          <w:sz w:val="18"/>
          <w:szCs w:val="18"/>
          <w:lang w:val="en-US" w:bidi="ar-SA"/>
        </w:rPr>
        <w:t>Phys. Chem. B,</w:t>
      </w:r>
      <w:r>
        <w:rPr>
          <w:rFonts w:eastAsia="Arial" w:cs="Arial" w:ascii="Arial" w:hAnsi="Arial"/>
          <w:sz w:val="18"/>
          <w:szCs w:val="18"/>
          <w:lang w:val="en-US" w:bidi="ar-SA"/>
        </w:rPr>
        <w:t xml:space="preserve"> </w:t>
      </w:r>
      <w:r>
        <w:rPr>
          <w:rFonts w:cs="Arial" w:ascii="Arial" w:hAnsi="Arial"/>
          <w:sz w:val="18"/>
          <w:szCs w:val="18"/>
          <w:lang w:val="en-US" w:bidi="ar-SA"/>
        </w:rPr>
        <w:t>110, 12820.</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Tan S.P., Adidharma H., Towler B.F., Radosz M., 2005, Friction Theory and Free-Volume Theory Coupled</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 xml:space="preserve">    </w:t>
      </w:r>
      <w:r>
        <w:rPr>
          <w:rFonts w:cs="Arial" w:ascii="Arial" w:hAnsi="Arial"/>
          <w:sz w:val="18"/>
          <w:szCs w:val="18"/>
          <w:lang w:val="en-US" w:bidi="ar-SA"/>
        </w:rPr>
        <w:t>with Statistical Associating Fluid Theory for Estimating the Viscosity of Puro n-Alkanes. Ind. Eng. Chem.</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 xml:space="preserve">    </w:t>
      </w:r>
      <w:r>
        <w:rPr>
          <w:rFonts w:cs="Arial" w:ascii="Arial" w:hAnsi="Arial"/>
          <w:sz w:val="18"/>
          <w:szCs w:val="18"/>
          <w:lang w:val="en-US" w:bidi="ar-SA"/>
        </w:rPr>
        <w:t>Res., 44, 8409.</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Yarranton H.W., Satyro M.A., 2009, Expanded Fluid-Based Viscosity Correlation for Hydrocarbons. Ind. Eng.</w:t>
      </w:r>
    </w:p>
    <w:p>
      <w:pPr>
        <w:pStyle w:val="Footer"/>
        <w:tabs>
          <w:tab w:val="clear" w:pos="720"/>
          <w:tab w:val="left" w:pos="567" w:leader="none"/>
          <w:tab w:val="center" w:pos="4410" w:leader="none"/>
          <w:tab w:val="right" w:pos="8730" w:leader="none"/>
        </w:tabs>
        <w:spacing w:lineRule="auto" w:line="240"/>
        <w:ind w:left="-21" w:right="0" w:hanging="0"/>
        <w:rPr>
          <w:rFonts w:ascii="Arial" w:hAnsi="Arial" w:cs="Arial"/>
          <w:sz w:val="18"/>
          <w:szCs w:val="18"/>
          <w:lang w:val="en-US" w:bidi="ar-SA"/>
        </w:rPr>
      </w:pPr>
      <w:r>
        <w:rPr>
          <w:rFonts w:cs="Arial" w:ascii="Arial" w:hAnsi="Arial"/>
          <w:sz w:val="18"/>
          <w:szCs w:val="18"/>
          <w:lang w:val="en-US" w:bidi="ar-SA"/>
        </w:rPr>
        <w:t xml:space="preserve">    </w:t>
      </w:r>
      <w:r>
        <w:rPr>
          <w:rFonts w:cs="Arial" w:ascii="Arial" w:hAnsi="Arial"/>
          <w:sz w:val="18"/>
          <w:szCs w:val="18"/>
          <w:lang w:val="en-US" w:bidi="ar-SA"/>
        </w:rPr>
        <w:t>Chem. Res., 48, 3640.</w:t>
      </w:r>
    </w:p>
    <w:sectPr>
      <w:headerReference w:type="default" r:id="rId5"/>
      <w:headerReference w:type="first" r:id="rId6"/>
      <w:type w:val="nextPage"/>
      <w:pgSz w:w="11906" w:h="16838"/>
      <w:pgMar w:left="1701" w:right="1418" w:gutter="0" w:header="1701" w:top="1759" w:footer="0" w:bottom="1699"/>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Bookman Old Style">
    <w:charset w:val="01"/>
    <w:family w:val="roman"/>
    <w:pitch w:val="variable"/>
  </w:font>
  <w:font w:name="DejaVu Serif">
    <w:charset w:val="01"/>
    <w:family w:val="roman"/>
    <w:pitch w:val="variable"/>
  </w:font>
  <w:font w:name="DejaVu Serif">
    <w:charset w:val="01"/>
    <w:family w:val="roman"/>
    <w:pitch w:val="default"/>
  </w:font>
  <w:font w:name="AdvP6960">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920" w:type="dxa"/>
      <w:jc w:val="left"/>
      <w:tblInd w:w="-108" w:type="dxa"/>
      <w:tblLayout w:type="fixed"/>
      <w:tblCellMar>
        <w:top w:w="0" w:type="dxa"/>
        <w:left w:w="108" w:type="dxa"/>
        <w:bottom w:w="0" w:type="dxa"/>
        <w:right w:w="108" w:type="dxa"/>
      </w:tblCellMar>
    </w:tblPr>
    <w:tblGrid>
      <w:gridCol w:w="7111"/>
      <w:gridCol w:w="1809"/>
    </w:tblGrid>
    <w:tr>
      <w:trPr/>
      <w:tc>
        <w:tcPr>
          <w:tcW w:w="7111" w:type="dxa"/>
          <w:tcBorders/>
        </w:tcPr>
        <w:p>
          <w:pPr>
            <w:pStyle w:val="Normal"/>
            <w:widowControl w:val="false"/>
            <w:snapToGrid w:val="false"/>
            <w:ind w:left="0" w:right="-71" w:hanging="0"/>
            <w:jc w:val="left"/>
            <w:rPr/>
          </w:pPr>
          <w:r>
            <w:rPr/>
            <w:drawing>
              <wp:inline distT="0" distB="0" distL="0" distR="0">
                <wp:extent cx="638175" cy="372745"/>
                <wp:effectExtent l="0" t="0" r="0" b="0"/>
                <wp:docPr id="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 descr=""/>
                        <pic:cNvPicPr>
                          <a:picLocks noChangeAspect="1" noChangeArrowheads="1"/>
                        </pic:cNvPicPr>
                      </pic:nvPicPr>
                      <pic:blipFill>
                        <a:blip r:embed="rId1"/>
                        <a:srcRect l="-154" t="-262" r="-154" b="-262"/>
                        <a:stretch>
                          <a:fillRect/>
                        </a:stretch>
                      </pic:blipFill>
                      <pic:spPr bwMode="auto">
                        <a:xfrm>
                          <a:off x="0" y="0"/>
                          <a:ext cx="638175" cy="372745"/>
                        </a:xfrm>
                        <a:prstGeom prst="rect">
                          <a:avLst/>
                        </a:prstGeom>
                      </pic:spPr>
                    </pic:pic>
                  </a:graphicData>
                </a:graphic>
              </wp:inline>
            </w:drawing>
          </w:r>
          <w:r>
            <w:rPr>
              <w:rFonts w:eastAsia="AdvP6960;Times New Roman" w:cs="AdvP6960;Times New Roman" w:ascii="AdvP6960;Times New Roman" w:hAnsi="AdvP6960;Times New Roman"/>
              <w:color w:val="241F20"/>
              <w:sz w:val="18"/>
              <w:szCs w:val="18"/>
              <w:lang w:eastAsia="it-IT"/>
            </w:rPr>
            <w:t xml:space="preserve"> </w:t>
          </w:r>
          <w:r>
            <w:rPr>
              <w:rFonts w:cs="Arial" w:ascii="Arial" w:hAnsi="Arial"/>
              <w:b/>
              <w:bCs/>
              <w:i/>
              <w:iCs/>
              <w:shadow/>
              <w:color w:val="000066"/>
              <w:sz w:val="24"/>
              <w:szCs w:val="24"/>
              <w:lang w:eastAsia="it-IT"/>
            </w:rPr>
            <w:t>CHEMICAL ENGINEERING</w:t>
          </w:r>
          <w:r>
            <w:rPr>
              <w:rFonts w:cs="Arial" w:ascii="Arial" w:hAnsi="Arial"/>
              <w:b/>
              <w:bCs/>
              <w:i/>
              <w:iCs/>
              <w:shadow/>
              <w:color w:val="0033FF"/>
              <w:sz w:val="24"/>
              <w:szCs w:val="24"/>
              <w:lang w:eastAsia="it-IT"/>
            </w:rPr>
            <w:t xml:space="preserve"> </w:t>
          </w:r>
          <w:r>
            <w:rPr>
              <w:rFonts w:cs="Arial" w:ascii="Arial" w:hAnsi="Arial"/>
              <w:b/>
              <w:bCs/>
              <w:i/>
              <w:iCs/>
              <w:shadow/>
              <w:color w:val="666666"/>
              <w:sz w:val="24"/>
              <w:szCs w:val="24"/>
              <w:lang w:eastAsia="it-IT"/>
            </w:rPr>
            <w:t>TRANSACTIONS</w:t>
          </w:r>
          <w:r>
            <w:rPr>
              <w:color w:val="333333"/>
              <w:sz w:val="24"/>
              <w:szCs w:val="24"/>
              <w:lang w:eastAsia="it-IT"/>
            </w:rPr>
            <w:t xml:space="preserve"> </w:t>
          </w:r>
          <w:r>
            <w:rPr>
              <w:rFonts w:cs="Arial" w:ascii="Arial" w:hAnsi="Arial"/>
              <w:b/>
              <w:bCs/>
              <w:i/>
              <w:iCs/>
              <w:color w:val="000066"/>
              <w:sz w:val="27"/>
              <w:szCs w:val="27"/>
              <w:lang w:eastAsia="it-IT"/>
            </w:rPr>
            <w:br/>
          </w:r>
        </w:p>
        <w:p>
          <w:pPr>
            <w:pStyle w:val="Normal"/>
            <w:widowControl w:val="false"/>
            <w:ind w:left="0" w:right="-71" w:hanging="0"/>
            <w:jc w:val="left"/>
            <w:rPr>
              <w:rFonts w:ascii="Arial" w:hAnsi="Arial" w:cs="Arial"/>
              <w:b/>
              <w:b/>
              <w:bCs/>
              <w:i/>
              <w:i/>
              <w:iCs/>
              <w:color w:val="000066"/>
              <w:lang w:eastAsia="it-IT"/>
            </w:rPr>
          </w:pPr>
          <w:r>
            <w:rPr>
              <w:rFonts w:cs="Arial" w:ascii="Arial" w:hAnsi="Arial"/>
              <w:b/>
              <w:bCs/>
              <w:i/>
              <w:iCs/>
              <w:color w:val="000066"/>
              <w:lang w:eastAsia="it-IT"/>
            </w:rPr>
            <w:t>VOL.   , 2023</w:t>
          </w:r>
        </w:p>
      </w:tc>
      <w:tc>
        <w:tcPr>
          <w:tcW w:w="1809" w:type="dxa"/>
          <w:tcBorders>
            <w:left w:val="single" w:sz="4" w:space="0" w:color="000000"/>
            <w:right w:val="single" w:sz="4" w:space="0" w:color="000000"/>
          </w:tcBorders>
        </w:tcPr>
        <w:p>
          <w:pPr>
            <w:pStyle w:val="Normal"/>
            <w:widowControl w:val="false"/>
            <w:jc w:val="right"/>
            <w:rPr>
              <w:rFonts w:ascii="Arial" w:hAnsi="Arial" w:cs="Arial"/>
              <w:sz w:val="14"/>
              <w:szCs w:val="14"/>
            </w:rPr>
          </w:pPr>
          <w:r>
            <w:rPr>
              <w:rFonts w:cs="Arial" w:ascii="Arial" w:hAnsi="Arial"/>
              <w:sz w:val="14"/>
              <w:szCs w:val="14"/>
            </w:rPr>
            <w:t>A publication of</w:t>
          </w:r>
        </w:p>
        <w:p>
          <w:pPr>
            <w:pStyle w:val="Normal"/>
            <w:widowControl w:val="false"/>
            <w:ind w:left="155" w:right="0" w:hanging="0"/>
            <w:jc w:val="right"/>
            <w:rPr/>
          </w:pPr>
          <w:r>
            <w:rPr/>
            <w:drawing>
              <wp:inline distT="0" distB="0" distL="0" distR="0">
                <wp:extent cx="669290" cy="356235"/>
                <wp:effectExtent l="0" t="0" r="0" b="0"/>
                <wp:docPr id="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 descr=""/>
                        <pic:cNvPicPr>
                          <a:picLocks noChangeAspect="1" noChangeArrowheads="1"/>
                        </pic:cNvPicPr>
                      </pic:nvPicPr>
                      <pic:blipFill>
                        <a:blip r:embed="rId2"/>
                        <a:srcRect l="-18" t="-33" r="-18" b="-33"/>
                        <a:stretch>
                          <a:fillRect/>
                        </a:stretch>
                      </pic:blipFill>
                      <pic:spPr bwMode="auto">
                        <a:xfrm>
                          <a:off x="0" y="0"/>
                          <a:ext cx="669290" cy="356235"/>
                        </a:xfrm>
                        <a:prstGeom prst="rect">
                          <a:avLst/>
                        </a:prstGeom>
                      </pic:spPr>
                    </pic:pic>
                  </a:graphicData>
                </a:graphic>
              </wp:inline>
            </w:drawing>
          </w:r>
        </w:p>
      </w:tc>
    </w:tr>
    <w:tr>
      <w:trPr/>
      <w:tc>
        <w:tcPr>
          <w:tcW w:w="7111" w:type="dxa"/>
          <w:tcBorders/>
        </w:tcPr>
        <w:p>
          <w:pPr>
            <w:pStyle w:val="Normal"/>
            <w:widowControl w:val="false"/>
            <w:snapToGrid w:val="false"/>
            <w:rPr/>
          </w:pPr>
          <w:r>
            <w:rPr/>
          </w:r>
        </w:p>
      </w:tc>
      <w:tc>
        <w:tcPr>
          <w:tcW w:w="1809" w:type="dxa"/>
          <w:tcBorders>
            <w:left w:val="single" w:sz="4" w:space="0" w:color="000000"/>
            <w:right w:val="single" w:sz="4" w:space="0" w:color="000000"/>
          </w:tcBorders>
        </w:tcPr>
        <w:p>
          <w:pPr>
            <w:pStyle w:val="Normal"/>
            <w:widowControl w:val="false"/>
            <w:jc w:val="right"/>
            <w:rPr>
              <w:rFonts w:ascii="Arial" w:hAnsi="Arial" w:cs="Arial"/>
              <w:sz w:val="14"/>
              <w:szCs w:val="14"/>
            </w:rPr>
          </w:pPr>
          <w:r>
            <w:rPr>
              <w:rFonts w:cs="Arial" w:ascii="Arial" w:hAnsi="Arial"/>
              <w:sz w:val="14"/>
              <w:szCs w:val="14"/>
            </w:rPr>
            <w:t>The Italian Association</w:t>
          </w:r>
        </w:p>
        <w:p>
          <w:pPr>
            <w:pStyle w:val="Normal"/>
            <w:widowControl w:val="false"/>
            <w:ind w:left="-145" w:right="0" w:hanging="0"/>
            <w:jc w:val="right"/>
            <w:rPr>
              <w:rFonts w:ascii="Arial" w:hAnsi="Arial" w:cs="Arial"/>
              <w:sz w:val="14"/>
              <w:szCs w:val="14"/>
            </w:rPr>
          </w:pPr>
          <w:r>
            <w:rPr>
              <w:rFonts w:cs="Arial" w:ascii="Arial" w:hAnsi="Arial"/>
              <w:sz w:val="14"/>
              <w:szCs w:val="14"/>
            </w:rPr>
            <w:t>of Chemical Engineering</w:t>
          </w:r>
        </w:p>
        <w:p>
          <w:pPr>
            <w:pStyle w:val="Normal"/>
            <w:widowControl w:val="false"/>
            <w:ind w:left="-145" w:right="0" w:hanging="0"/>
            <w:jc w:val="right"/>
            <w:rPr>
              <w:rFonts w:ascii="Arial" w:hAnsi="Arial" w:cs="Arial"/>
              <w:sz w:val="14"/>
              <w:szCs w:val="14"/>
            </w:rPr>
          </w:pPr>
          <w:r>
            <w:rPr>
              <w:rFonts w:cs="Arial" w:ascii="Arial" w:hAnsi="Arial"/>
              <w:sz w:val="14"/>
              <w:szCs w:val="14"/>
            </w:rPr>
            <w:t>Online at: www.aidic.it/cet</w:t>
          </w:r>
        </w:p>
      </w:tc>
    </w:tr>
    <w:tr>
      <w:trPr/>
      <w:tc>
        <w:tcPr>
          <w:tcW w:w="8920" w:type="dxa"/>
          <w:gridSpan w:val="2"/>
          <w:tcBorders>
            <w:bottom w:val="single" w:sz="4" w:space="0" w:color="000000"/>
          </w:tcBorders>
        </w:tcPr>
        <w:p>
          <w:pPr>
            <w:pStyle w:val="Normal"/>
            <w:widowControl w:val="false"/>
            <w:jc w:val="left"/>
            <w:rPr/>
          </w:pPr>
          <w:r>
            <w:rPr>
              <w:rFonts w:cs="Tahoma" w:ascii="Tahoma" w:hAnsi="Tahoma"/>
              <w:iCs/>
              <w:sz w:val="14"/>
              <w:szCs w:val="14"/>
              <w:lang w:eastAsia="it-IT"/>
            </w:rPr>
            <w:t>Chief Editors:</w:t>
          </w:r>
          <w:r>
            <w:rPr>
              <w:rFonts w:cs="Tahoma" w:ascii="Tahoma" w:hAnsi="Tahoma"/>
              <w:i/>
              <w:iCs/>
              <w:sz w:val="14"/>
              <w:szCs w:val="14"/>
              <w:lang w:eastAsia="it-IT"/>
            </w:rPr>
            <w:t xml:space="preserve"> </w:t>
          </w:r>
          <w:r>
            <w:rPr>
              <w:rFonts w:cs="Tahoma" w:ascii="Tahoma" w:hAnsi="Tahoma"/>
              <w:iCs/>
              <w:sz w:val="14"/>
              <w:szCs w:val="14"/>
              <w:lang w:eastAsia="it-IT"/>
            </w:rPr>
            <w:t>Sauro Pierucci</w:t>
            <w:br/>
            <w:t>Copyright © 2023, AIDIC Servizi S.r.l.,</w:t>
            <w:br/>
          </w:r>
          <w:r>
            <w:rPr>
              <w:rFonts w:cs="Tahoma" w:ascii="Tahoma" w:hAnsi="Tahoma"/>
              <w:b/>
              <w:iCs/>
              <w:sz w:val="14"/>
              <w:szCs w:val="14"/>
              <w:lang w:eastAsia="it-IT"/>
            </w:rPr>
            <w:t>ISBN</w:t>
          </w:r>
          <w:r>
            <w:rPr>
              <w:rFonts w:cs="Tahoma" w:ascii="Tahoma" w:hAnsi="Tahoma"/>
              <w:iCs/>
              <w:sz w:val="14"/>
              <w:szCs w:val="14"/>
              <w:lang w:eastAsia="it-IT"/>
            </w:rPr>
            <w:t xml:space="preserve"> 978-88-95608-23-5; </w:t>
          </w:r>
          <w:r>
            <w:rPr>
              <w:rFonts w:cs="Tahoma" w:ascii="Tahoma" w:hAnsi="Tahoma"/>
              <w:b/>
              <w:iCs/>
              <w:sz w:val="14"/>
              <w:szCs w:val="14"/>
              <w:lang w:eastAsia="it-IT"/>
            </w:rPr>
            <w:t>ISSN</w:t>
          </w:r>
          <w:r>
            <w:rPr>
              <w:rFonts w:cs="Tahoma" w:ascii="Tahoma" w:hAnsi="Tahoma"/>
              <w:iCs/>
              <w:sz w:val="14"/>
              <w:szCs w:val="14"/>
              <w:lang w:eastAsia="it-IT"/>
            </w:rPr>
            <w:t xml:space="preserve"> 2283-9216</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220"/>
  <w:displayBackgroundShape/>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64" w:before="0" w:after="0"/>
      <w:jc w:val="both"/>
    </w:pPr>
    <w:rPr>
      <w:rFonts w:ascii="Times New Roman" w:hAnsi="Times New Roman" w:eastAsia="Times New Roman" w:cs="Times New Roman"/>
      <w:color w:val="auto"/>
      <w:kern w:val="0"/>
      <w:sz w:val="20"/>
      <w:szCs w:val="20"/>
      <w:lang w:val="en-GB" w:eastAsia="zh-CN" w:bidi="ar-SA"/>
    </w:rPr>
  </w:style>
  <w:style w:type="paragraph" w:styleId="Heading1">
    <w:name w:val="Heading 1"/>
    <w:basedOn w:val="Normal"/>
    <w:next w:val="Normal"/>
    <w:qFormat/>
    <w:pPr>
      <w:numPr>
        <w:ilvl w:val="0"/>
        <w:numId w:val="1"/>
      </w:numPr>
      <w:spacing w:before="0" w:after="120"/>
      <w:outlineLvl w:val="0"/>
    </w:pPr>
    <w:rPr/>
  </w:style>
  <w:style w:type="paragraph" w:styleId="Heading2">
    <w:name w:val="Heading 2"/>
    <w:basedOn w:val="CETheadingx"/>
    <w:next w:val="Normal"/>
    <w:qFormat/>
    <w:pPr>
      <w:outlineLvl w:val="1"/>
    </w:pPr>
    <w:rPr/>
  </w:style>
  <w:style w:type="paragraph" w:styleId="Heading3">
    <w:name w:val="Heading 3"/>
    <w:next w:val="Normal"/>
    <w:qFormat/>
    <w:pPr>
      <w:widowControl/>
      <w:numPr>
        <w:ilvl w:val="2"/>
        <w:numId w:val="1"/>
      </w:numPr>
      <w:suppressAutoHyphens w:val="true"/>
      <w:kinsoku w:val="true"/>
      <w:overflowPunct w:val="true"/>
      <w:autoSpaceDE w:val="true"/>
      <w:bidi w:val="0"/>
      <w:spacing w:before="0" w:after="0"/>
      <w:jc w:val="left"/>
      <w:outlineLvl w:val="2"/>
    </w:pPr>
    <w:rPr>
      <w:rFonts w:ascii="Arial" w:hAnsi="Arial" w:eastAsia="Times New Roman" w:cs="Arial"/>
      <w:color w:val="auto"/>
      <w:kern w:val="0"/>
      <w:sz w:val="36"/>
      <w:szCs w:val="20"/>
      <w:lang w:val="en-GB" w:eastAsia="zh-CN" w:bidi="ar-SA"/>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Fuentedeprrafopredeter">
    <w:name w:val="Fuente de párrafo predeter."/>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8Num12z0">
    <w:name w:val="WW8Num12z0"/>
    <w:qFormat/>
    <w:rPr>
      <w:rFonts w:ascii="Symbol" w:hAnsi="Symbol" w:cs="Symbol"/>
    </w:rPr>
  </w:style>
  <w:style w:type="character" w:styleId="WW8Num12z1">
    <w:name w:val="WW8Num12z1"/>
    <w:qFormat/>
    <w:rPr>
      <w:rFonts w:ascii="Times New Roman" w:hAnsi="Times New Roman" w:cs="Times New Roman"/>
      <w:color w:val="000000"/>
      <w:sz w:val="28"/>
    </w:rPr>
  </w:style>
  <w:style w:type="character" w:styleId="WW8Num12z2">
    <w:name w:val="WW8Num12z2"/>
    <w:qFormat/>
    <w:rPr>
      <w:rFonts w:ascii="Times New Roman" w:hAnsi="Times New Roman" w:cs="Times New Roman"/>
    </w:rPr>
  </w:style>
  <w:style w:type="character" w:styleId="WW8Num18z0">
    <w:name w:val="WW8Num18z0"/>
    <w:qFormat/>
    <w:rPr>
      <w:b/>
      <w:i w:val="false"/>
    </w:rPr>
  </w:style>
  <w:style w:type="character" w:styleId="WW8Num18z1">
    <w:name w:val="WW8Num18z1"/>
    <w:qFormat/>
    <w:rPr>
      <w:rFonts w:ascii="Times New Roman" w:hAnsi="Times New Roman" w:cs="Times New Roman"/>
      <w:b w:val="false"/>
      <w:i/>
      <w:sz w:val="20"/>
    </w:rPr>
  </w:style>
  <w:style w:type="character" w:styleId="WW8Num25z0">
    <w:name w:val="WW8Num25z0"/>
    <w:qFormat/>
    <w:rPr>
      <w:b/>
      <w:i w:val="false"/>
    </w:rPr>
  </w:style>
  <w:style w:type="character" w:styleId="WW8Num25z1">
    <w:name w:val="WW8Num25z1"/>
    <w:qFormat/>
    <w:rPr>
      <w:rFonts w:ascii="Times New Roman" w:hAnsi="Times New Roman" w:cs="Times New Roman"/>
      <w:b w:val="false"/>
      <w:i/>
      <w:sz w:val="20"/>
    </w:rPr>
  </w:style>
  <w:style w:type="character" w:styleId="WW8Num27z0">
    <w:name w:val="WW8Num27z0"/>
    <w:qFormat/>
    <w:rPr>
      <w:rFonts w:ascii="Symbol" w:hAnsi="Symbol" w:cs="Symbol"/>
    </w:rPr>
  </w:style>
  <w:style w:type="character" w:styleId="WW8Num27z1">
    <w:name w:val="WW8Num27z1"/>
    <w:qFormat/>
    <w:rPr>
      <w:rFonts w:ascii="Times New Roman" w:hAnsi="Times New Roman" w:cs="Times New Roman"/>
      <w:color w:val="000000"/>
      <w:sz w:val="28"/>
    </w:rPr>
  </w:style>
  <w:style w:type="character" w:styleId="WW8Num27z2">
    <w:name w:val="WW8Num27z2"/>
    <w:qFormat/>
    <w:rPr>
      <w:rFonts w:ascii="Times New Roman" w:hAnsi="Times New Roman" w:cs="Times New Roman"/>
    </w:rPr>
  </w:style>
  <w:style w:type="character" w:styleId="WW8Num28z0">
    <w:name w:val="WW8Num28z0"/>
    <w:qFormat/>
    <w:rPr>
      <w:rFonts w:ascii="Symbol" w:hAnsi="Symbol" w:cs="Symbol"/>
    </w:rPr>
  </w:style>
  <w:style w:type="character" w:styleId="Carpredefinitoparagrafo">
    <w:name w:val="Car. predefinito paragrafo"/>
    <w:qFormat/>
    <w:rPr/>
  </w:style>
  <w:style w:type="character" w:styleId="CETBodytextCarattere">
    <w:name w:val="CET Body text Carattere"/>
    <w:basedOn w:val="Carpredefinitoparagrafo"/>
    <w:qFormat/>
    <w:rPr>
      <w:rFonts w:ascii="Arial" w:hAnsi="Arial" w:cs="Arial"/>
      <w:sz w:val="18"/>
      <w:lang w:val="en-US" w:bidi="ar-SA"/>
    </w:rPr>
  </w:style>
  <w:style w:type="character" w:styleId="CETheadingxCarattere">
    <w:name w:val="CET headingx Carattere"/>
    <w:basedOn w:val="CETBodytextCarattere"/>
    <w:qFormat/>
    <w:rPr>
      <w:b/>
    </w:rPr>
  </w:style>
  <w:style w:type="character" w:styleId="CETCaptionCarattere">
    <w:name w:val="CET Caption Carattere"/>
    <w:basedOn w:val="Carpredefinitoparagrafo"/>
    <w:qFormat/>
    <w:rPr>
      <w:rFonts w:ascii="Arial" w:hAnsi="Arial" w:cs="Arial"/>
      <w:i/>
      <w:sz w:val="18"/>
      <w:lang w:val="en-GB" w:bidi="ar-SA"/>
    </w:rPr>
  </w:style>
  <w:style w:type="character" w:styleId="CETAuthorsCarattere">
    <w:name w:val="CET Authors Carattere"/>
    <w:basedOn w:val="Carpredefinitoparagrafo"/>
    <w:qFormat/>
    <w:rPr>
      <w:rFonts w:ascii="Arial" w:hAnsi="Arial" w:cs="Arial"/>
      <w:sz w:val="24"/>
      <w:lang w:val="en-GB" w:bidi="ar-SA"/>
    </w:rPr>
  </w:style>
  <w:style w:type="character" w:styleId="StileCETTOP1Grigio60CarattereCarattere">
    <w:name w:val="Stile CET_TOP1+ Grigio 60% Carattere Carattere"/>
    <w:basedOn w:val="Carpredefinitoparagrafo"/>
    <w:qFormat/>
    <w:rPr>
      <w:rFonts w:ascii="Arial" w:hAnsi="Arial" w:cs="Arial"/>
      <w:color w:val="666666"/>
      <w:sz w:val="16"/>
      <w:lang w:val="it-IT" w:bidi="ar-SA"/>
    </w:rPr>
  </w:style>
  <w:style w:type="character" w:styleId="CETTOP1CarattereCarattere">
    <w:name w:val="CET_TOP1 Carattere Carattere"/>
    <w:basedOn w:val="Carpredefinitoparagrafo"/>
    <w:qFormat/>
    <w:rPr>
      <w:rFonts w:ascii="Arial" w:hAnsi="Arial" w:cs="Arial"/>
      <w:sz w:val="16"/>
      <w:lang w:val="it-IT" w:bidi="ar-SA"/>
    </w:rPr>
  </w:style>
  <w:style w:type="character" w:styleId="CETTitleCarattere">
    <w:name w:val="CET Title Carattere"/>
    <w:basedOn w:val="Carpredefinitoparagrafo"/>
    <w:qFormat/>
    <w:rPr>
      <w:rFonts w:ascii="Arial" w:hAnsi="Arial" w:cs="Arial"/>
      <w:sz w:val="32"/>
      <w:lang w:val="en-GB" w:bidi="ar-SA"/>
    </w:rPr>
  </w:style>
  <w:style w:type="character" w:styleId="CETtitleCarattereCarattere">
    <w:name w:val="CET title Carattere Carattere"/>
    <w:basedOn w:val="CETTitleCarattere"/>
    <w:qFormat/>
    <w:rPr/>
  </w:style>
  <w:style w:type="character" w:styleId="AcronimoHTML">
    <w:name w:val="Acronimo HTML"/>
    <w:basedOn w:val="Carpredefinitoparagrafo"/>
    <w:qFormat/>
    <w:rPr/>
  </w:style>
  <w:style w:type="character" w:styleId="CitazioneHTML">
    <w:name w:val="Citazione HTML"/>
    <w:basedOn w:val="Carpredefinitoparagrafo"/>
    <w:qFormat/>
    <w:rPr>
      <w:i/>
      <w:iCs/>
    </w:rPr>
  </w:style>
  <w:style w:type="character" w:styleId="CodiceHTML">
    <w:name w:val="Codice HTML"/>
    <w:basedOn w:val="Carpredefinitoparagrafo"/>
    <w:qFormat/>
    <w:rPr>
      <w:rFonts w:ascii="Courier New" w:hAnsi="Courier New" w:cs="Courier New"/>
      <w:sz w:val="20"/>
      <w:szCs w:val="20"/>
    </w:rPr>
  </w:style>
  <w:style w:type="character" w:styleId="InternetLink">
    <w:name w:val="Hyperlink"/>
    <w:basedOn w:val="Carpredefinitoparagrafo"/>
    <w:rPr>
      <w:color w:val="0000FF"/>
      <w:u w:val="single"/>
    </w:rPr>
  </w:style>
  <w:style w:type="character" w:styleId="VisitedInternetLink">
    <w:name w:val="FollowedHyperlink"/>
    <w:basedOn w:val="Carpredefinitoparagrafo"/>
    <w:rPr>
      <w:color w:val="800080"/>
      <w:u w:val="single"/>
    </w:rPr>
  </w:style>
  <w:style w:type="character" w:styleId="DefinizioneHTML">
    <w:name w:val="Definizione HTML"/>
    <w:basedOn w:val="Carpredefinitoparagrafo"/>
    <w:qFormat/>
    <w:rPr>
      <w:i/>
      <w:iCs/>
    </w:rPr>
  </w:style>
  <w:style w:type="character" w:styleId="Emphasis">
    <w:name w:val="Emphasis"/>
    <w:basedOn w:val="Carpredefinitoparagrafo"/>
    <w:qFormat/>
    <w:rPr>
      <w:i/>
      <w:iCs/>
    </w:rPr>
  </w:style>
  <w:style w:type="character" w:styleId="StrongEmphasis">
    <w:name w:val="Strong Emphasis"/>
    <w:basedOn w:val="Carpredefinitoparagrafo"/>
    <w:qFormat/>
    <w:rPr>
      <w:b/>
      <w:bCs/>
    </w:rPr>
  </w:style>
  <w:style w:type="character" w:styleId="EsempioHTML">
    <w:name w:val="Esempio HTML"/>
    <w:basedOn w:val="Carpredefinitoparagrafo"/>
    <w:qFormat/>
    <w:rPr>
      <w:rFonts w:ascii="Courier New" w:hAnsi="Courier New" w:cs="Courier New"/>
    </w:rPr>
  </w:style>
  <w:style w:type="character" w:styleId="MacchinadascrivereHTML">
    <w:name w:val="Macchina da scrivere HTML"/>
    <w:basedOn w:val="Carpredefinitoparagrafo"/>
    <w:qFormat/>
    <w:rPr>
      <w:rFonts w:ascii="Courier New" w:hAnsi="Courier New" w:cs="Courier New"/>
      <w:sz w:val="20"/>
      <w:szCs w:val="20"/>
    </w:rPr>
  </w:style>
  <w:style w:type="character" w:styleId="PageNumber">
    <w:name w:val="Page Number"/>
    <w:basedOn w:val="Carpredefinitoparagrafo"/>
    <w:rPr/>
  </w:style>
  <w:style w:type="character" w:styleId="LineNumbering">
    <w:name w:val="Line Numbering"/>
    <w:basedOn w:val="Carpredefinitoparagrafo"/>
    <w:rPr/>
  </w:style>
  <w:style w:type="character" w:styleId="TastieraHTML">
    <w:name w:val="Tastiera HTML"/>
    <w:basedOn w:val="Carpredefinitoparagrafo"/>
    <w:qFormat/>
    <w:rPr>
      <w:rFonts w:ascii="Courier New" w:hAnsi="Courier New" w:cs="Courier New"/>
      <w:sz w:val="20"/>
      <w:szCs w:val="20"/>
    </w:rPr>
  </w:style>
  <w:style w:type="character" w:styleId="VariabileHTML">
    <w:name w:val="Variabile HTML"/>
    <w:basedOn w:val="Carpredefinitoparagrafo"/>
    <w:qFormat/>
    <w:rPr>
      <w:i/>
      <w:iCs/>
    </w:rPr>
  </w:style>
  <w:style w:type="character" w:styleId="Rimandocommento">
    <w:name w:val="Rimando commento"/>
    <w:basedOn w:val="Carpredefinitoparagrafo"/>
    <w:qFormat/>
    <w:rPr>
      <w:sz w:val="16"/>
      <w:szCs w:val="16"/>
    </w:rPr>
  </w:style>
  <w:style w:type="character" w:styleId="CarattereCarattere1">
    <w:name w:val="Carattere Carattere1"/>
    <w:basedOn w:val="Carpredefinitoparagrafo"/>
    <w:qFormat/>
    <w:rPr/>
  </w:style>
  <w:style w:type="character" w:styleId="CarattereCarattere">
    <w:name w:val="Carattere Carattere"/>
    <w:basedOn w:val="CarattereCarattere1"/>
    <w:qFormat/>
    <w:rPr>
      <w:b/>
      <w:bCs/>
    </w:rPr>
  </w:style>
  <w:style w:type="character" w:styleId="CarattereCarattere2">
    <w:name w:val="Carattere Carattere2"/>
    <w:basedOn w:val="Carpredefinitoparagrafo"/>
    <w:qFormat/>
    <w:rPr>
      <w:rFonts w:ascii="Courier New" w:hAnsi="Courier New" w:cs="Courier New"/>
    </w:rPr>
  </w:style>
  <w:style w:type="character" w:styleId="NumberingSymbols">
    <w:name w:val="Numbering Symbols"/>
    <w:qFormat/>
    <w:rPr/>
  </w:style>
  <w:style w:type="character" w:styleId="TextodegloboCar">
    <w:name w:val="Texto de globo Car"/>
    <w:basedOn w:val="Fuentedeprrafopredeter"/>
    <w:qFormat/>
    <w:rPr>
      <w:rFonts w:ascii="Tahoma" w:hAnsi="Tahoma" w:cs="Tahoma"/>
      <w:sz w:val="16"/>
      <w:szCs w:val="16"/>
      <w:lang w:val="en-GB" w:eastAsia="zh-CN"/>
    </w:rPr>
  </w:style>
  <w:style w:type="paragraph" w:styleId="Heading">
    <w:name w:val="Heading"/>
    <w:basedOn w:val="Normal"/>
    <w:next w:val="TextBody"/>
    <w:qFormat/>
    <w:pPr>
      <w:spacing w:before="240" w:after="60"/>
      <w:jc w:val="center"/>
    </w:pPr>
    <w:rPr>
      <w:rFonts w:ascii="Arial" w:hAnsi="Arial" w:cs="Arial"/>
      <w:b/>
      <w:bCs/>
      <w:kern w:val="2"/>
      <w:sz w:val="32"/>
      <w:szCs w:val="32"/>
    </w:rPr>
  </w:style>
  <w:style w:type="paragraph" w:styleId="TextBody">
    <w:name w:val="Body Text"/>
    <w:basedOn w:val="Normal"/>
    <w:pPr>
      <w:spacing w:before="0" w:after="120"/>
    </w:pPr>
    <w:rPr/>
  </w:style>
  <w:style w:type="paragraph" w:styleId="List">
    <w:name w:val="List"/>
    <w:basedOn w:val="Normal"/>
    <w:pPr>
      <w:ind w:left="283" w:right="0" w:hanging="283"/>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Lohit Hindi;MS Mincho"/>
    </w:rPr>
  </w:style>
  <w:style w:type="paragraph" w:styleId="CETBodytext">
    <w:name w:val="CET Body text"/>
    <w:qFormat/>
    <w:pPr>
      <w:widowControl/>
      <w:tabs>
        <w:tab w:val="clear" w:pos="720"/>
        <w:tab w:val="right" w:pos="7100" w:leader="none"/>
      </w:tabs>
      <w:suppressAutoHyphens w:val="true"/>
      <w:kinsoku w:val="true"/>
      <w:overflowPunct w:val="true"/>
      <w:autoSpaceDE w:val="true"/>
      <w:bidi w:val="0"/>
      <w:spacing w:lineRule="auto" w:line="264" w:before="0" w:after="0"/>
      <w:jc w:val="both"/>
    </w:pPr>
    <w:rPr>
      <w:rFonts w:ascii="Arial" w:hAnsi="Arial" w:eastAsia="Times New Roman" w:cs="Arial"/>
      <w:color w:val="auto"/>
      <w:kern w:val="0"/>
      <w:sz w:val="18"/>
      <w:szCs w:val="20"/>
      <w:lang w:val="en-US" w:eastAsia="zh-CN" w:bidi="ar-SA"/>
    </w:rPr>
  </w:style>
  <w:style w:type="paragraph" w:styleId="CETheadingx">
    <w:name w:val="CET headingx"/>
    <w:basedOn w:val="CETBodytext"/>
    <w:next w:val="CETBodytext"/>
    <w:qFormat/>
    <w:pPr>
      <w:keepNext w:val="true"/>
      <w:numPr>
        <w:ilvl w:val="0"/>
        <w:numId w:val="0"/>
      </w:numPr>
      <w:spacing w:lineRule="auto" w:line="240" w:before="120" w:after="0"/>
      <w:outlineLvl w:val="2"/>
    </w:pPr>
    <w:rPr>
      <w:b/>
    </w:rPr>
  </w:style>
  <w:style w:type="paragraph" w:styleId="Epgrafe">
    <w:name w:val="Epígrafe"/>
    <w:basedOn w:val="Normal"/>
    <w:qFormat/>
    <w:pPr>
      <w:suppressLineNumbers/>
      <w:spacing w:before="120" w:after="120"/>
    </w:pPr>
    <w:rPr>
      <w:rFonts w:cs="Lohit Hindi;MS Mincho"/>
      <w:i/>
      <w:iCs/>
      <w:sz w:val="24"/>
      <w:szCs w:val="24"/>
    </w:rPr>
  </w:style>
  <w:style w:type="paragraph" w:styleId="CETHeading1">
    <w:name w:val="CET Heading1"/>
    <w:basedOn w:val="CETBodytext"/>
    <w:next w:val="CETBodytext"/>
    <w:qFormat/>
    <w:pPr>
      <w:keepNext w:val="true"/>
      <w:numPr>
        <w:ilvl w:val="0"/>
        <w:numId w:val="0"/>
      </w:numPr>
      <w:spacing w:lineRule="auto" w:line="240" w:before="240" w:after="120"/>
      <w:outlineLvl w:val="1"/>
    </w:pPr>
    <w:rPr>
      <w:b/>
      <w:sz w:val="20"/>
    </w:rPr>
  </w:style>
  <w:style w:type="paragraph" w:styleId="CETTOP1">
    <w:name w:val="CET_TOP1"/>
    <w:qFormat/>
    <w:pPr>
      <w:keepNext w:val="true"/>
      <w:widowControl/>
      <w:suppressAutoHyphens w:val="true"/>
      <w:kinsoku w:val="true"/>
      <w:overflowPunct w:val="true"/>
      <w:autoSpaceDE w:val="true"/>
      <w:bidi w:val="0"/>
      <w:spacing w:before="0" w:after="0"/>
      <w:jc w:val="left"/>
    </w:pPr>
    <w:rPr>
      <w:rFonts w:ascii="Arial" w:hAnsi="Arial" w:eastAsia="Times New Roman" w:cs="Arial"/>
      <w:color w:val="auto"/>
      <w:kern w:val="0"/>
      <w:sz w:val="16"/>
      <w:szCs w:val="20"/>
      <w:lang w:val="it-IT" w:eastAsia="zh-CN" w:bidi="ar-SA"/>
    </w:rPr>
  </w:style>
  <w:style w:type="paragraph" w:styleId="CETAddress">
    <w:name w:val="CET Address"/>
    <w:basedOn w:val="Normal"/>
    <w:qFormat/>
    <w:pPr>
      <w:keepNext w:val="true"/>
      <w:spacing w:before="0" w:after="200"/>
      <w:jc w:val="left"/>
    </w:pPr>
    <w:rPr>
      <w:rFonts w:ascii="Arial" w:hAnsi="Arial" w:cs="Arial"/>
      <w:sz w:val="16"/>
      <w:lang w:val="es-MX"/>
    </w:rPr>
  </w:style>
  <w:style w:type="paragraph" w:styleId="CETAffiliation">
    <w:name w:val="CET Affiliation"/>
    <w:qFormat/>
    <w:pPr>
      <w:widowControl/>
      <w:suppressAutoHyphens w:val="true"/>
      <w:kinsoku w:val="true"/>
      <w:overflowPunct w:val="true"/>
      <w:autoSpaceDE w:val="true"/>
      <w:bidi w:val="0"/>
      <w:spacing w:lineRule="exact" w:line="240" w:before="0" w:after="0"/>
      <w:jc w:val="left"/>
    </w:pPr>
    <w:rPr>
      <w:rFonts w:ascii="Times New Roman" w:hAnsi="Times New Roman" w:eastAsia="Times New Roman" w:cs="Times New Roman"/>
      <w:color w:val="auto"/>
      <w:kern w:val="0"/>
      <w:sz w:val="20"/>
      <w:szCs w:val="20"/>
      <w:lang w:val="en-GB" w:eastAsia="zh-CN" w:bidi="ar-SA"/>
    </w:rPr>
  </w:style>
  <w:style w:type="paragraph" w:styleId="CETAuthors">
    <w:name w:val="CET Authors"/>
    <w:basedOn w:val="Normal"/>
    <w:qFormat/>
    <w:pPr>
      <w:keepNext w:val="true"/>
      <w:spacing w:before="0" w:after="120"/>
      <w:jc w:val="left"/>
    </w:pPr>
    <w:rPr>
      <w:rFonts w:ascii="Arial" w:hAnsi="Arial" w:cs="Arial"/>
      <w:sz w:val="24"/>
      <w:lang w:val="es-MX"/>
    </w:rPr>
  </w:style>
  <w:style w:type="paragraph" w:styleId="CETReference">
    <w:name w:val="CET_Reference"/>
    <w:basedOn w:val="CETHeading1"/>
    <w:next w:val="CETReferencetext"/>
    <w:qFormat/>
    <w:pPr>
      <w:spacing w:lineRule="auto" w:line="264"/>
      <w:outlineLvl w:val="9"/>
    </w:pPr>
    <w:rPr>
      <w:sz w:val="18"/>
    </w:rPr>
  </w:style>
  <w:style w:type="paragraph" w:styleId="CETReferencetext">
    <w:name w:val="CET Reference-text"/>
    <w:basedOn w:val="Normal"/>
    <w:qFormat/>
    <w:pPr>
      <w:ind w:left="284" w:right="0" w:hanging="284"/>
    </w:pPr>
    <w:rPr>
      <w:rFonts w:ascii="Arial" w:hAnsi="Arial" w:cs="Arial"/>
      <w:sz w:val="18"/>
    </w:rPr>
  </w:style>
  <w:style w:type="paragraph" w:styleId="CETTitle">
    <w:name w:val="CET Title"/>
    <w:next w:val="Normal"/>
    <w:qFormat/>
    <w:pPr>
      <w:widowControl/>
      <w:suppressAutoHyphens w:val="true"/>
      <w:kinsoku w:val="true"/>
      <w:overflowPunct w:val="true"/>
      <w:autoSpaceDE w:val="true"/>
      <w:bidi w:val="0"/>
      <w:spacing w:lineRule="auto" w:line="264" w:before="300" w:after="120"/>
      <w:jc w:val="center"/>
    </w:pPr>
    <w:rPr>
      <w:rFonts w:ascii="Arial" w:hAnsi="Arial" w:eastAsia="Times New Roman" w:cs="Arial"/>
      <w:color w:val="auto"/>
      <w:kern w:val="0"/>
      <w:sz w:val="32"/>
      <w:szCs w:val="20"/>
      <w:lang w:val="en-GB" w:eastAsia="zh-CN" w:bidi="ar-SA"/>
    </w:rPr>
  </w:style>
  <w:style w:type="paragraph" w:styleId="CETCaption">
    <w:name w:val="CET Caption"/>
    <w:basedOn w:val="Normal"/>
    <w:qFormat/>
    <w:pPr>
      <w:spacing w:before="240" w:after="240"/>
    </w:pPr>
    <w:rPr>
      <w:rFonts w:ascii="Arial" w:hAnsi="Arial" w:cs="Arial"/>
      <w:i/>
      <w:sz w:val="18"/>
    </w:rPr>
  </w:style>
  <w:style w:type="paragraph" w:styleId="CETtabletitle">
    <w:name w:val="CET-table-title"/>
    <w:qFormat/>
    <w:pPr>
      <w:keepNext w:val="true"/>
      <w:widowControl/>
      <w:suppressAutoHyphens w:val="true"/>
      <w:kinsoku w:val="true"/>
      <w:overflowPunct w:val="true"/>
      <w:autoSpaceDE w:val="true"/>
      <w:bidi w:val="0"/>
      <w:spacing w:lineRule="exact" w:line="240" w:before="240" w:after="80"/>
      <w:jc w:val="left"/>
    </w:pPr>
    <w:rPr>
      <w:rFonts w:ascii="Arial" w:hAnsi="Arial" w:eastAsia="Times New Roman" w:cs="Arial"/>
      <w:i/>
      <w:color w:val="auto"/>
      <w:kern w:val="0"/>
      <w:sz w:val="18"/>
      <w:szCs w:val="20"/>
      <w:lang w:val="en-US" w:eastAsia="zh-CN" w:bidi="ar-SA"/>
    </w:rPr>
  </w:style>
  <w:style w:type="paragraph" w:styleId="CETFormula">
    <w:name w:val="CET Formula"/>
    <w:basedOn w:val="CETBodytext"/>
    <w:qFormat/>
    <w:pPr>
      <w:spacing w:before="120" w:after="120"/>
    </w:pPr>
    <w:rPr/>
  </w:style>
  <w:style w:type="paragraph" w:styleId="StileCETTOP1Grigio60">
    <w:name w:val="Stile CET_TOP1+ Grigio 60%"/>
    <w:qFormat/>
    <w:pPr>
      <w:widowControl/>
      <w:suppressAutoHyphens w:val="true"/>
      <w:kinsoku w:val="true"/>
      <w:overflowPunct w:val="true"/>
      <w:autoSpaceDE w:val="true"/>
      <w:bidi w:val="0"/>
      <w:spacing w:before="0" w:after="0"/>
      <w:jc w:val="left"/>
    </w:pPr>
    <w:rPr>
      <w:rFonts w:ascii="Arial" w:hAnsi="Arial" w:eastAsia="Times New Roman" w:cs="Arial"/>
      <w:color w:val="666666"/>
      <w:kern w:val="0"/>
      <w:sz w:val="16"/>
      <w:szCs w:val="20"/>
      <w:lang w:val="it-IT" w:eastAsia="zh-CN" w:bidi="ar-SA"/>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style>
  <w:style w:type="paragraph" w:styleId="Corpodeltesto3">
    <w:name w:val="Corpo del testo 3"/>
    <w:basedOn w:val="Normal"/>
    <w:qFormat/>
    <w:pPr>
      <w:spacing w:before="0" w:after="120"/>
    </w:pPr>
    <w:rPr>
      <w:sz w:val="16"/>
      <w:szCs w:val="16"/>
    </w:rPr>
  </w:style>
  <w:style w:type="paragraph" w:styleId="Data">
    <w:name w:val="Data"/>
    <w:basedOn w:val="Normal"/>
    <w:next w:val="Normal"/>
    <w:qFormat/>
    <w:pPr/>
    <w:rPr/>
  </w:style>
  <w:style w:type="paragraph" w:styleId="Elenco2">
    <w:name w:val="Elenco 2"/>
    <w:basedOn w:val="Normal"/>
    <w:qFormat/>
    <w:pPr>
      <w:ind w:left="566" w:right="0" w:hanging="283"/>
    </w:pPr>
    <w:rPr/>
  </w:style>
  <w:style w:type="paragraph" w:styleId="Elenco3">
    <w:name w:val="Elenco 3"/>
    <w:basedOn w:val="Normal"/>
    <w:qFormat/>
    <w:pPr>
      <w:ind w:left="849" w:right="0" w:hanging="283"/>
    </w:pPr>
    <w:rPr/>
  </w:style>
  <w:style w:type="paragraph" w:styleId="Elenco4">
    <w:name w:val="Elenco 4"/>
    <w:basedOn w:val="Normal"/>
    <w:qFormat/>
    <w:pPr>
      <w:ind w:left="1132" w:right="0" w:hanging="283"/>
    </w:pPr>
    <w:rPr/>
  </w:style>
  <w:style w:type="paragraph" w:styleId="Elenco5">
    <w:name w:val="Elenco 5"/>
    <w:basedOn w:val="Normal"/>
    <w:qFormat/>
    <w:pPr>
      <w:ind w:left="1415" w:right="0" w:hanging="283"/>
    </w:pPr>
    <w:rPr/>
  </w:style>
  <w:style w:type="paragraph" w:styleId="Elencocontinua">
    <w:name w:val="Elenco continua"/>
    <w:basedOn w:val="Normal"/>
    <w:qFormat/>
    <w:pPr>
      <w:spacing w:before="0" w:after="120"/>
      <w:ind w:left="283" w:right="0" w:hanging="0"/>
    </w:pPr>
    <w:rPr/>
  </w:style>
  <w:style w:type="paragraph" w:styleId="Elencocontinua2">
    <w:name w:val="Elenco continua 2"/>
    <w:basedOn w:val="Normal"/>
    <w:qFormat/>
    <w:pPr>
      <w:spacing w:before="0" w:after="120"/>
      <w:ind w:left="566" w:right="0" w:hanging="0"/>
    </w:pPr>
    <w:rPr/>
  </w:style>
  <w:style w:type="paragraph" w:styleId="Elencocontinua3">
    <w:name w:val="Elenco continua 3"/>
    <w:basedOn w:val="Normal"/>
    <w:qFormat/>
    <w:pPr>
      <w:spacing w:before="0" w:after="120"/>
      <w:ind w:left="849" w:right="0" w:hanging="0"/>
    </w:pPr>
    <w:rPr/>
  </w:style>
  <w:style w:type="paragraph" w:styleId="Elencocontinua4">
    <w:name w:val="Elenco continua 4"/>
    <w:basedOn w:val="Normal"/>
    <w:qFormat/>
    <w:pPr>
      <w:spacing w:before="0" w:after="120"/>
      <w:ind w:left="1132" w:right="0" w:hanging="0"/>
    </w:pPr>
    <w:rPr/>
  </w:style>
  <w:style w:type="paragraph" w:styleId="Elencocontinua5">
    <w:name w:val="Elenco continua 5"/>
    <w:basedOn w:val="Normal"/>
    <w:qFormat/>
    <w:pPr>
      <w:spacing w:before="0" w:after="120"/>
      <w:ind w:left="1415" w:right="0" w:hanging="0"/>
    </w:pPr>
    <w:rPr/>
  </w:style>
  <w:style w:type="paragraph" w:styleId="Signature">
    <w:name w:val="Signature"/>
    <w:basedOn w:val="Normal"/>
    <w:pPr>
      <w:ind w:left="4252" w:right="0" w:hanging="0"/>
    </w:pPr>
    <w:rPr/>
  </w:style>
  <w:style w:type="paragraph" w:styleId="Firmadipostaelettronica">
    <w:name w:val="Firma di posta elettronica"/>
    <w:basedOn w:val="Normal"/>
    <w:qFormat/>
    <w:pPr/>
    <w:rPr/>
  </w:style>
  <w:style w:type="paragraph" w:styleId="Formuladiapertura">
    <w:name w:val="Formula di apertura"/>
    <w:basedOn w:val="Normal"/>
    <w:next w:val="Normal"/>
    <w:qFormat/>
    <w:pPr/>
    <w:rPr/>
  </w:style>
  <w:style w:type="paragraph" w:styleId="Formuladichiusura">
    <w:name w:val="Formula di chiusura"/>
    <w:basedOn w:val="Normal"/>
    <w:qFormat/>
    <w:pPr>
      <w:ind w:left="4252" w:right="0" w:hanging="0"/>
    </w:pPr>
    <w:rPr/>
  </w:style>
  <w:style w:type="paragraph" w:styleId="Addressee">
    <w:name w:val="Envelope Address"/>
    <w:basedOn w:val="Normal"/>
    <w:pPr>
      <w:ind w:left="2880" w:right="0" w:hanging="0"/>
    </w:pPr>
    <w:rPr>
      <w:rFonts w:ascii="Arial" w:hAnsi="Arial" w:cs="Arial"/>
      <w:sz w:val="24"/>
      <w:szCs w:val="24"/>
    </w:rPr>
  </w:style>
  <w:style w:type="paragraph" w:styleId="IndirizzoHTML">
    <w:name w:val="Indirizzo HTML"/>
    <w:basedOn w:val="Normal"/>
    <w:qFormat/>
    <w:pPr/>
    <w:rPr>
      <w:i/>
      <w:iCs/>
    </w:rPr>
  </w:style>
  <w:style w:type="paragraph" w:styleId="Sender">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Intestazionemessaggio">
    <w:name w:val="Intestazione messaggio"/>
    <w:basedOn w:val="Normal"/>
    <w:qFormat/>
    <w:pPr>
      <w:pBdr>
        <w:top w:val="single" w:sz="6" w:space="1" w:color="000000"/>
        <w:left w:val="single" w:sz="6" w:space="1" w:color="000000"/>
        <w:bottom w:val="single" w:sz="6" w:space="1" w:color="000000"/>
        <w:right w:val="single" w:sz="6" w:space="1" w:color="000000"/>
      </w:pBdr>
      <w:shd w:fill="CCCCCC" w:val="clear"/>
      <w:ind w:left="1134" w:right="0" w:hanging="1134"/>
    </w:pPr>
    <w:rPr>
      <w:rFonts w:ascii="Arial" w:hAnsi="Arial" w:cs="Arial"/>
      <w:sz w:val="24"/>
      <w:szCs w:val="24"/>
    </w:rPr>
  </w:style>
  <w:style w:type="paragraph" w:styleId="Intestazionenota">
    <w:name w:val="Intestazione nota"/>
    <w:basedOn w:val="Normal"/>
    <w:next w:val="Normal"/>
    <w:qFormat/>
    <w:pPr/>
    <w:rPr/>
  </w:style>
  <w:style w:type="paragraph" w:styleId="NormaleWeb">
    <w:name w:val="Normale (Web)"/>
    <w:basedOn w:val="Normal"/>
    <w:qFormat/>
    <w:pPr/>
    <w:rPr>
      <w:sz w:val="24"/>
      <w:szCs w:val="24"/>
    </w:rPr>
  </w:style>
  <w:style w:type="paragraph" w:styleId="Numeroelenco">
    <w:name w:val="Numero elenco"/>
    <w:basedOn w:val="Normal"/>
    <w:qFormat/>
    <w:pPr>
      <w:ind w:left="360" w:right="0" w:hanging="360"/>
    </w:pPr>
    <w:rPr/>
  </w:style>
  <w:style w:type="paragraph" w:styleId="Numeroelenco2">
    <w:name w:val="Numero elenco 2"/>
    <w:basedOn w:val="Normal"/>
    <w:qFormat/>
    <w:pPr>
      <w:ind w:left="643" w:right="0" w:hanging="360"/>
    </w:pPr>
    <w:rPr/>
  </w:style>
  <w:style w:type="paragraph" w:styleId="Numeroelenco3">
    <w:name w:val="Numero elenco 3"/>
    <w:basedOn w:val="Normal"/>
    <w:qFormat/>
    <w:pPr>
      <w:ind w:left="926" w:right="0" w:hanging="360"/>
    </w:pPr>
    <w:rPr/>
  </w:style>
  <w:style w:type="paragraph" w:styleId="Numeroelenco4">
    <w:name w:val="Numero elenco 4"/>
    <w:basedOn w:val="Normal"/>
    <w:qFormat/>
    <w:pPr>
      <w:ind w:left="1209" w:right="0" w:hanging="360"/>
    </w:pPr>
    <w:rPr/>
  </w:style>
  <w:style w:type="paragraph" w:styleId="Numeroelenco5">
    <w:name w:val="Numero elenco 5"/>
    <w:basedOn w:val="Normal"/>
    <w:qFormat/>
    <w:pPr>
      <w:ind w:left="1492" w:right="0" w:hanging="360"/>
    </w:pPr>
    <w:rPr/>
  </w:style>
  <w:style w:type="paragraph" w:styleId="Footer">
    <w:name w:val="Footer"/>
    <w:basedOn w:val="Normal"/>
    <w:pPr/>
    <w:rPr/>
  </w:style>
  <w:style w:type="paragraph" w:styleId="PreformattatoHTML">
    <w:name w:val="Preformattato HTML"/>
    <w:basedOn w:val="Normal"/>
    <w:qFormat/>
    <w:pPr/>
    <w:rPr>
      <w:rFonts w:ascii="Courier New" w:hAnsi="Courier New" w:cs="Courier New"/>
    </w:rPr>
  </w:style>
  <w:style w:type="paragraph" w:styleId="Primorientrocorpodeltesto">
    <w:name w:val="Primo rientro corpo del testo"/>
    <w:basedOn w:val="TextBody"/>
    <w:qFormat/>
    <w:pPr>
      <w:ind w:left="0" w:right="0" w:firstLine="210"/>
    </w:pPr>
    <w:rPr/>
  </w:style>
  <w:style w:type="paragraph" w:styleId="TextBodyIndent">
    <w:name w:val="Body Text Indent"/>
    <w:basedOn w:val="Normal"/>
    <w:pPr>
      <w:spacing w:before="0" w:after="120"/>
      <w:ind w:left="283" w:right="0" w:hanging="0"/>
    </w:pPr>
    <w:rPr/>
  </w:style>
  <w:style w:type="paragraph" w:styleId="Primorientrocorpodeltesto2">
    <w:name w:val="Primo rientro corpo del testo 2"/>
    <w:basedOn w:val="TextBodyIndent"/>
    <w:qFormat/>
    <w:pPr>
      <w:ind w:left="283" w:right="0" w:firstLine="210"/>
    </w:pPr>
    <w:rPr/>
  </w:style>
  <w:style w:type="paragraph" w:styleId="Puntoelenco">
    <w:name w:val="Punto elenco"/>
    <w:basedOn w:val="Normal"/>
    <w:qFormat/>
    <w:pPr>
      <w:ind w:left="360" w:right="0" w:hanging="360"/>
    </w:pPr>
    <w:rPr/>
  </w:style>
  <w:style w:type="paragraph" w:styleId="Puntoelenco2">
    <w:name w:val="Punto elenco 2"/>
    <w:basedOn w:val="Normal"/>
    <w:qFormat/>
    <w:pPr>
      <w:ind w:left="643" w:right="0" w:hanging="360"/>
    </w:pPr>
    <w:rPr/>
  </w:style>
  <w:style w:type="paragraph" w:styleId="Puntoelenco3">
    <w:name w:val="Punto elenco 3"/>
    <w:basedOn w:val="Normal"/>
    <w:qFormat/>
    <w:pPr>
      <w:ind w:left="926" w:right="0" w:hanging="360"/>
    </w:pPr>
    <w:rPr/>
  </w:style>
  <w:style w:type="paragraph" w:styleId="Puntoelenco4">
    <w:name w:val="Punto elenco 4"/>
    <w:basedOn w:val="Normal"/>
    <w:qFormat/>
    <w:pPr>
      <w:ind w:left="1209" w:right="0" w:hanging="360"/>
    </w:pPr>
    <w:rPr/>
  </w:style>
  <w:style w:type="paragraph" w:styleId="Puntoelenco5">
    <w:name w:val="Punto elenco 5"/>
    <w:basedOn w:val="Normal"/>
    <w:qFormat/>
    <w:pPr>
      <w:ind w:left="1492" w:right="0" w:hanging="360"/>
    </w:pPr>
    <w:rPr/>
  </w:style>
  <w:style w:type="paragraph" w:styleId="Rientrocorpodeltesto2">
    <w:name w:val="Rientro corpo del testo 2"/>
    <w:basedOn w:val="Normal"/>
    <w:qFormat/>
    <w:pPr>
      <w:spacing w:lineRule="auto" w:line="480" w:before="0" w:after="120"/>
      <w:ind w:left="283" w:right="0" w:hanging="0"/>
    </w:pPr>
    <w:rPr/>
  </w:style>
  <w:style w:type="paragraph" w:styleId="Rientrocorpodeltesto3">
    <w:name w:val="Rientro corpo del testo 3"/>
    <w:basedOn w:val="Normal"/>
    <w:qFormat/>
    <w:pPr>
      <w:spacing w:before="0" w:after="120"/>
      <w:ind w:left="283" w:right="0" w:hanging="0"/>
    </w:pPr>
    <w:rPr>
      <w:sz w:val="16"/>
      <w:szCs w:val="16"/>
    </w:rPr>
  </w:style>
  <w:style w:type="paragraph" w:styleId="Rientronormale">
    <w:name w:val="Rientro normale"/>
    <w:basedOn w:val="Normal"/>
    <w:qFormat/>
    <w:pPr>
      <w:ind w:left="708" w:right="0" w:hanging="0"/>
    </w:pPr>
    <w:rPr/>
  </w:style>
  <w:style w:type="paragraph" w:styleId="Subtitle">
    <w:name w:val="Subtitle"/>
    <w:basedOn w:val="Normal"/>
    <w:next w:val="TextBody"/>
    <w:qFormat/>
    <w:pPr>
      <w:spacing w:before="0" w:after="60"/>
      <w:jc w:val="center"/>
    </w:pPr>
    <w:rPr>
      <w:rFonts w:ascii="Arial" w:hAnsi="Arial" w:cs="Arial"/>
      <w:sz w:val="24"/>
      <w:szCs w:val="24"/>
    </w:rPr>
  </w:style>
  <w:style w:type="paragraph" w:styleId="Testodelblocco">
    <w:name w:val="Testo del blocco"/>
    <w:basedOn w:val="Normal"/>
    <w:qFormat/>
    <w:pPr>
      <w:spacing w:before="0" w:after="120"/>
      <w:ind w:left="1440" w:right="1440" w:hanging="0"/>
    </w:pPr>
    <w:rPr/>
  </w:style>
  <w:style w:type="paragraph" w:styleId="Testonormale">
    <w:name w:val="Testo normale"/>
    <w:basedOn w:val="Normal"/>
    <w:qFormat/>
    <w:pPr/>
    <w:rPr>
      <w:rFonts w:ascii="Courier New" w:hAnsi="Courier New" w:cs="Courier New"/>
    </w:rPr>
  </w:style>
  <w:style w:type="paragraph" w:styleId="CETFootnote">
    <w:name w:val="CET_Footnote"/>
    <w:qFormat/>
    <w:pPr>
      <w:widowControl/>
      <w:suppressAutoHyphens w:val="true"/>
      <w:kinsoku w:val="true"/>
      <w:overflowPunct w:val="true"/>
      <w:autoSpaceDE w:val="true"/>
      <w:bidi w:val="0"/>
      <w:spacing w:before="0" w:after="0"/>
      <w:jc w:val="both"/>
    </w:pPr>
    <w:rPr>
      <w:rFonts w:ascii="Arial" w:hAnsi="Arial" w:eastAsia="Times New Roman" w:cs="Arial"/>
      <w:color w:val="auto"/>
      <w:kern w:val="0"/>
      <w:sz w:val="16"/>
      <w:szCs w:val="20"/>
      <w:lang w:val="en-US" w:eastAsia="zh-CN" w:bidi="ar-SA"/>
    </w:rPr>
  </w:style>
  <w:style w:type="paragraph" w:styleId="Testocommento">
    <w:name w:val="Testo commento"/>
    <w:basedOn w:val="Normal"/>
    <w:qFormat/>
    <w:pPr/>
    <w:rPr/>
  </w:style>
  <w:style w:type="paragraph" w:styleId="Soggettocommento">
    <w:name w:val="Soggetto commento"/>
    <w:basedOn w:val="Testocommento"/>
    <w:next w:val="Testocommento"/>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paragraph" w:styleId="Textoindependiente21">
    <w:name w:val="Texto independiente 21"/>
    <w:basedOn w:val="Normal"/>
    <w:qFormat/>
    <w:pPr>
      <w:spacing w:lineRule="auto" w:line="360"/>
    </w:pPr>
    <w:rPr>
      <w:rFonts w:ascii="Bookman Old Style" w:hAnsi="Bookman Old Style" w:cs="Bookman Old Style"/>
      <w:sz w:val="22"/>
      <w:lang w:val="en-US"/>
    </w:rPr>
  </w:style>
  <w:style w:type="paragraph" w:styleId="Textodeglobo">
    <w:name w:val="Texto de globo"/>
    <w:basedOn w:val="Normal"/>
    <w:qFormat/>
    <w:pPr>
      <w:spacing w:lineRule="auto" w:line="240"/>
    </w:pPr>
    <w:rPr>
      <w:rFonts w:ascii="Tahoma" w:hAnsi="Tahoma" w:cs="Tahoma"/>
      <w:sz w:val="16"/>
      <w:szCs w:val="16"/>
    </w:rPr>
  </w:style>
  <w:style w:type="paragraph" w:styleId="FrameContents">
    <w:name w:val="Frame Contents"/>
    <w:basedOn w:val="Normal"/>
    <w:qFormat/>
    <w:pPr/>
    <w:rPr/>
  </w:style>
  <w:style w:type="paragraph" w:styleId="CETemail">
    <w:name w:val="CET email"/>
    <w:qFormat/>
    <w:pPr>
      <w:widowControl/>
      <w:suppressAutoHyphens w:val="true"/>
      <w:kinsoku w:val="true"/>
      <w:overflowPunct w:val="false"/>
      <w:autoSpaceDE w:val="true"/>
      <w:bidi w:val="0"/>
      <w:spacing w:before="0" w:after="240"/>
      <w:jc w:val="left"/>
    </w:pPr>
    <w:rPr>
      <w:rFonts w:ascii="Arial" w:hAnsi="Arial" w:eastAsia="Times New Roman" w:cs="Times New Roman"/>
      <w:color w:val="auto"/>
      <w:kern w:val="0"/>
      <w:sz w:val="16"/>
      <w:szCs w:val="20"/>
      <w:lang w:val="en-GB" w:eastAsia="en-US"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ms@ipn.mx" TargetMode="External"/><Relationship Id="rId3" Type="http://schemas.openxmlformats.org/officeDocument/2006/relationships/image" Target="media/image1.gif"/><Relationship Id="rId4" Type="http://schemas.openxmlformats.org/officeDocument/2006/relationships/image" Target="media/image2.gi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PROVA_CET_Template A4_x005F_x0000__x005F_x0000_</Template>
  <TotalTime>3588</TotalTime>
  <Application>LibreOffice/7.2.7.2$Linux_X86_64 LibreOffice_project/20$Build-2</Application>
  <AppVersion>15.0000</AppVersion>
  <Pages>6</Pages>
  <Words>3494</Words>
  <Characters>18519</Characters>
  <CharactersWithSpaces>22308</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2013-04-18T13:06:00Z</dcterms:created>
  <dc:creator>sara</dc:creator>
  <dc:description/>
  <dc:language>en-US</dc:language>
  <cp:lastModifiedBy/>
  <cp:lastPrinted>2023-02-16T20:28:24Z</cp:lastPrinted>
  <dcterms:modified xsi:type="dcterms:W3CDTF">2023-04-04T21:01:36Z</dcterms:modified>
  <cp:revision>111</cp:revision>
  <dc:subject/>
  <dc:title>Format And Type Fonts</dc:title>
</cp:coreProperties>
</file>

<file path=docProps/custom.xml><?xml version="1.0" encoding="utf-8"?>
<Properties xmlns="http://schemas.openxmlformats.org/officeDocument/2006/custom-properties" xmlns:vt="http://schemas.openxmlformats.org/officeDocument/2006/docPropsVTypes"/>
</file>