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1A232D" w:rsidRPr="00B57B36" w14:paraId="02150C45" w14:textId="77777777" w:rsidTr="007749AA">
        <w:trPr>
          <w:trHeight w:val="852"/>
          <w:jc w:val="center"/>
        </w:trPr>
        <w:tc>
          <w:tcPr>
            <w:tcW w:w="6940" w:type="dxa"/>
            <w:vMerge w:val="restart"/>
            <w:tcBorders>
              <w:right w:val="single" w:sz="4" w:space="0" w:color="auto"/>
            </w:tcBorders>
          </w:tcPr>
          <w:p w14:paraId="17DC3F87" w14:textId="77777777" w:rsidR="001A232D" w:rsidRPr="00B57B36" w:rsidRDefault="001A232D" w:rsidP="007749A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1658860B" wp14:editId="5D1B1389">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77DE3A6" w14:textId="77777777" w:rsidR="001A232D" w:rsidRPr="00B57B36" w:rsidRDefault="001A232D" w:rsidP="007749A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 xml:space="preserve"> </w:t>
            </w:r>
            <w:proofErr w:type="gramStart"/>
            <w:r>
              <w:rPr>
                <w:rFonts w:cs="Arial"/>
                <w:b/>
                <w:bCs/>
                <w:i/>
                <w:iCs/>
                <w:color w:val="000066"/>
                <w:sz w:val="22"/>
                <w:szCs w:val="22"/>
                <w:lang w:eastAsia="it-IT"/>
              </w:rPr>
              <w:t xml:space="preserve">  ,</w:t>
            </w:r>
            <w:proofErr w:type="gramEnd"/>
            <w:r>
              <w:rPr>
                <w:rFonts w:cs="Arial"/>
                <w:b/>
                <w:bCs/>
                <w:i/>
                <w:iCs/>
                <w:color w:val="000066"/>
                <w:sz w:val="22"/>
                <w:szCs w:val="22"/>
                <w:lang w:eastAsia="it-IT"/>
              </w:rPr>
              <w:t xml:space="preserve"> 2023</w:t>
            </w:r>
          </w:p>
        </w:tc>
        <w:tc>
          <w:tcPr>
            <w:tcW w:w="1842" w:type="dxa"/>
            <w:tcBorders>
              <w:left w:val="single" w:sz="4" w:space="0" w:color="auto"/>
              <w:bottom w:val="nil"/>
              <w:right w:val="single" w:sz="4" w:space="0" w:color="auto"/>
            </w:tcBorders>
          </w:tcPr>
          <w:p w14:paraId="33934DB1" w14:textId="77777777" w:rsidR="001A232D" w:rsidRPr="00B57B36" w:rsidRDefault="001A232D" w:rsidP="007749AA">
            <w:pPr>
              <w:spacing w:line="140" w:lineRule="atLeast"/>
              <w:jc w:val="right"/>
              <w:rPr>
                <w:rFonts w:cs="Arial"/>
                <w:sz w:val="14"/>
                <w:szCs w:val="14"/>
              </w:rPr>
            </w:pPr>
            <w:r w:rsidRPr="00B57B36">
              <w:rPr>
                <w:rFonts w:cs="Arial"/>
                <w:sz w:val="14"/>
                <w:szCs w:val="14"/>
              </w:rPr>
              <w:t>A publication of</w:t>
            </w:r>
          </w:p>
          <w:p w14:paraId="351858D7" w14:textId="77777777" w:rsidR="001A232D" w:rsidRPr="00B57B36" w:rsidRDefault="001A232D" w:rsidP="007749AA">
            <w:pPr>
              <w:jc w:val="right"/>
            </w:pPr>
            <w:r w:rsidRPr="00B57B36">
              <w:rPr>
                <w:noProof/>
                <w:lang w:val="it-IT" w:eastAsia="it-IT"/>
              </w:rPr>
              <w:drawing>
                <wp:inline distT="0" distB="0" distL="0" distR="0" wp14:anchorId="72C949CE" wp14:editId="2F21584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1A232D" w:rsidRPr="00B57B36" w14:paraId="63B96DEE" w14:textId="77777777" w:rsidTr="007749AA">
        <w:trPr>
          <w:trHeight w:val="567"/>
          <w:jc w:val="center"/>
        </w:trPr>
        <w:tc>
          <w:tcPr>
            <w:tcW w:w="6940" w:type="dxa"/>
            <w:vMerge/>
            <w:tcBorders>
              <w:right w:val="single" w:sz="4" w:space="0" w:color="auto"/>
            </w:tcBorders>
          </w:tcPr>
          <w:p w14:paraId="7C847693" w14:textId="77777777" w:rsidR="001A232D" w:rsidRPr="00B57B36" w:rsidRDefault="001A232D" w:rsidP="007749AA">
            <w:pPr>
              <w:tabs>
                <w:tab w:val="left" w:pos="-108"/>
              </w:tabs>
            </w:pPr>
          </w:p>
        </w:tc>
        <w:tc>
          <w:tcPr>
            <w:tcW w:w="1842" w:type="dxa"/>
            <w:tcBorders>
              <w:left w:val="single" w:sz="4" w:space="0" w:color="auto"/>
              <w:bottom w:val="nil"/>
              <w:right w:val="single" w:sz="4" w:space="0" w:color="auto"/>
            </w:tcBorders>
          </w:tcPr>
          <w:p w14:paraId="00C5D880" w14:textId="77777777" w:rsidR="001A232D" w:rsidRPr="00B57B36" w:rsidRDefault="001A232D" w:rsidP="007749AA">
            <w:pPr>
              <w:spacing w:line="140" w:lineRule="atLeast"/>
              <w:jc w:val="right"/>
              <w:rPr>
                <w:rFonts w:cs="Arial"/>
                <w:sz w:val="14"/>
                <w:szCs w:val="14"/>
              </w:rPr>
            </w:pPr>
            <w:r w:rsidRPr="00B57B36">
              <w:rPr>
                <w:rFonts w:cs="Arial"/>
                <w:sz w:val="14"/>
                <w:szCs w:val="14"/>
              </w:rPr>
              <w:t>The Italian Association</w:t>
            </w:r>
          </w:p>
          <w:p w14:paraId="410F4AB1" w14:textId="77777777" w:rsidR="001A232D" w:rsidRPr="00B57B36" w:rsidRDefault="001A232D" w:rsidP="007749AA">
            <w:pPr>
              <w:spacing w:line="140" w:lineRule="atLeast"/>
              <w:jc w:val="right"/>
              <w:rPr>
                <w:rFonts w:cs="Arial"/>
                <w:sz w:val="14"/>
                <w:szCs w:val="14"/>
              </w:rPr>
            </w:pPr>
            <w:r w:rsidRPr="00B57B36">
              <w:rPr>
                <w:rFonts w:cs="Arial"/>
                <w:sz w:val="14"/>
                <w:szCs w:val="14"/>
              </w:rPr>
              <w:t>of Chemical Engineering</w:t>
            </w:r>
          </w:p>
          <w:p w14:paraId="02B137E1" w14:textId="77777777" w:rsidR="001A232D" w:rsidRPr="000D0268" w:rsidRDefault="001A232D" w:rsidP="007749AA">
            <w:pPr>
              <w:spacing w:line="140" w:lineRule="atLeast"/>
              <w:jc w:val="right"/>
              <w:rPr>
                <w:rFonts w:cs="Arial"/>
                <w:sz w:val="13"/>
                <w:szCs w:val="13"/>
              </w:rPr>
            </w:pPr>
            <w:r w:rsidRPr="000D0268">
              <w:rPr>
                <w:rFonts w:cs="Arial"/>
                <w:sz w:val="13"/>
                <w:szCs w:val="13"/>
              </w:rPr>
              <w:t>Online at www.cetjournal.it</w:t>
            </w:r>
          </w:p>
        </w:tc>
      </w:tr>
      <w:tr w:rsidR="001A232D" w:rsidRPr="00B57B36" w14:paraId="4B22EFDB" w14:textId="77777777" w:rsidTr="007749AA">
        <w:trPr>
          <w:trHeight w:val="68"/>
          <w:jc w:val="center"/>
        </w:trPr>
        <w:tc>
          <w:tcPr>
            <w:tcW w:w="8782" w:type="dxa"/>
            <w:gridSpan w:val="2"/>
          </w:tcPr>
          <w:p w14:paraId="5BBB3055" w14:textId="77777777" w:rsidR="001A232D" w:rsidRPr="00F93EDF" w:rsidRDefault="001A232D" w:rsidP="007749AA">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373A1ACD" w14:textId="77777777" w:rsidR="001A232D" w:rsidRPr="00B57B36" w:rsidRDefault="001A232D" w:rsidP="007749AA">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701B262" w14:textId="77777777" w:rsidR="005B1B9D" w:rsidRDefault="005B1B9D" w:rsidP="0063221B">
      <w:pPr>
        <w:jc w:val="center"/>
        <w:rPr>
          <w:rFonts w:cs="Arial"/>
          <w:color w:val="202124"/>
          <w:sz w:val="28"/>
          <w:szCs w:val="28"/>
          <w:shd w:val="clear" w:color="auto" w:fill="F8F9FA"/>
          <w:lang w:val="en-US"/>
        </w:rPr>
      </w:pPr>
      <w:bookmarkStart w:id="0" w:name="_Hlk123201561"/>
    </w:p>
    <w:p w14:paraId="185FBE85" w14:textId="2C1CB235" w:rsidR="007D54B1" w:rsidRPr="007D54B1" w:rsidRDefault="007D54B1" w:rsidP="0063221B">
      <w:pPr>
        <w:jc w:val="center"/>
        <w:rPr>
          <w:sz w:val="32"/>
        </w:rPr>
      </w:pPr>
      <w:r w:rsidRPr="007D54B1">
        <w:rPr>
          <w:sz w:val="32"/>
        </w:rPr>
        <w:t xml:space="preserve">Application of CFD in </w:t>
      </w:r>
      <w:proofErr w:type="spellStart"/>
      <w:r w:rsidRPr="007D54B1">
        <w:rPr>
          <w:sz w:val="32"/>
        </w:rPr>
        <w:t>nanoremediation</w:t>
      </w:r>
      <w:proofErr w:type="spellEnd"/>
      <w:r w:rsidRPr="007D54B1">
        <w:rPr>
          <w:sz w:val="32"/>
        </w:rPr>
        <w:t xml:space="preserve"> problems with nanoscale zero-valent iron particles</w:t>
      </w:r>
    </w:p>
    <w:bookmarkEnd w:id="0"/>
    <w:p w14:paraId="5B58F8A3" w14:textId="77777777" w:rsidR="0063221B" w:rsidRPr="00495C92" w:rsidRDefault="0063221B" w:rsidP="0063221B">
      <w:pPr>
        <w:tabs>
          <w:tab w:val="left" w:pos="8505"/>
        </w:tabs>
        <w:jc w:val="center"/>
        <w:rPr>
          <w:rFonts w:cs="Arial"/>
          <w:sz w:val="20"/>
          <w:lang w:val="en-US"/>
        </w:rPr>
      </w:pPr>
    </w:p>
    <w:p w14:paraId="7EBFDB53" w14:textId="7AA8D4FE" w:rsidR="0063221B" w:rsidRPr="00227E63" w:rsidRDefault="0063221B" w:rsidP="00227E63">
      <w:pPr>
        <w:pStyle w:val="CETAuthors"/>
        <w:rPr>
          <w:lang w:val="pt-BR"/>
        </w:rPr>
      </w:pPr>
      <w:r w:rsidRPr="00227E63">
        <w:rPr>
          <w:lang w:val="pt-BR"/>
        </w:rPr>
        <w:t>Amanda B. de Almeida</w:t>
      </w:r>
      <w:r w:rsidRPr="00227E63">
        <w:rPr>
          <w:vertAlign w:val="superscript"/>
          <w:lang w:val="pt-BR"/>
        </w:rPr>
        <w:t>a</w:t>
      </w:r>
      <w:r w:rsidR="00227E63">
        <w:rPr>
          <w:vertAlign w:val="superscript"/>
          <w:lang w:val="pt-BR"/>
        </w:rPr>
        <w:t>,*</w:t>
      </w:r>
      <w:r w:rsidRPr="00227E63">
        <w:rPr>
          <w:lang w:val="pt-BR"/>
        </w:rPr>
        <w:t>, Eliton Fontana</w:t>
      </w:r>
      <w:r w:rsidR="00B06C79">
        <w:rPr>
          <w:vertAlign w:val="superscript"/>
          <w:lang w:val="pt-BR"/>
        </w:rPr>
        <w:t>a</w:t>
      </w:r>
      <w:r w:rsidRPr="00227E63">
        <w:rPr>
          <w:lang w:val="pt-BR"/>
        </w:rPr>
        <w:t>, Alex V. L. Machado</w:t>
      </w:r>
      <w:r w:rsidR="00897CD3">
        <w:rPr>
          <w:vertAlign w:val="superscript"/>
          <w:lang w:val="pt-BR"/>
        </w:rPr>
        <w:t>b</w:t>
      </w:r>
      <w:r w:rsidR="00B06C79">
        <w:rPr>
          <w:lang w:val="pt-BR"/>
        </w:rPr>
        <w:t xml:space="preserve">, </w:t>
      </w:r>
      <w:r w:rsidR="00B06C79" w:rsidRPr="00227E63">
        <w:rPr>
          <w:lang w:val="pt-BR"/>
        </w:rPr>
        <w:t>Lui</w:t>
      </w:r>
      <w:r w:rsidR="00B06C79">
        <w:rPr>
          <w:lang w:val="pt-BR"/>
        </w:rPr>
        <w:t>z</w:t>
      </w:r>
      <w:r w:rsidR="00B06C79" w:rsidRPr="00227E63">
        <w:rPr>
          <w:lang w:val="pt-BR"/>
        </w:rPr>
        <w:t xml:space="preserve"> F. L. Luz Jr.</w:t>
      </w:r>
      <w:r w:rsidR="00AA73E5">
        <w:rPr>
          <w:vertAlign w:val="superscript"/>
          <w:lang w:val="pt-BR"/>
        </w:rPr>
        <w:t>a</w:t>
      </w:r>
    </w:p>
    <w:p w14:paraId="6B2D21B3" w14:textId="44123C53" w:rsidR="00B57E6F" w:rsidRDefault="0063221B" w:rsidP="00B57E6F">
      <w:pPr>
        <w:pStyle w:val="CETAddress"/>
      </w:pPr>
      <w:r w:rsidRPr="0063221B">
        <w:rPr>
          <w:vertAlign w:val="superscript"/>
        </w:rPr>
        <w:t>a</w:t>
      </w:r>
      <w:r>
        <w:t xml:space="preserve"> </w:t>
      </w:r>
      <w:r w:rsidR="00DB39B9">
        <w:t xml:space="preserve">Chemical </w:t>
      </w:r>
      <w:r w:rsidRPr="0063221B">
        <w:t xml:space="preserve">Engineering Department, Federal University of Paraná, Curitiba, </w:t>
      </w:r>
      <w:r w:rsidR="0026606D">
        <w:t xml:space="preserve">PO Box 19011, </w:t>
      </w:r>
      <w:r w:rsidRPr="0063221B">
        <w:t>81531-980, Brazil</w:t>
      </w:r>
    </w:p>
    <w:p w14:paraId="5FCD3510" w14:textId="00258C5E" w:rsidR="0063221B" w:rsidRPr="0063221B" w:rsidRDefault="00AA73E5" w:rsidP="00B57E6F">
      <w:pPr>
        <w:pStyle w:val="CETAddress"/>
        <w:rPr>
          <w:lang w:val="pt-BR"/>
        </w:rPr>
      </w:pPr>
      <w:r>
        <w:rPr>
          <w:vertAlign w:val="superscript"/>
          <w:lang w:val="pt-BR"/>
        </w:rPr>
        <w:t>b</w:t>
      </w:r>
      <w:r w:rsidR="0063221B" w:rsidRPr="0063221B">
        <w:rPr>
          <w:lang w:val="pt-BR"/>
        </w:rPr>
        <w:t xml:space="preserve"> Chemical Engineering Program, Federal University of Rio de Janeiro, Rio de Janei</w:t>
      </w:r>
      <w:r w:rsidR="0063221B">
        <w:rPr>
          <w:lang w:val="pt-BR"/>
        </w:rPr>
        <w:t xml:space="preserve">ro, PO Box 68502, </w:t>
      </w:r>
      <w:r w:rsidR="00D05B16" w:rsidRPr="00D05B16">
        <w:rPr>
          <w:lang w:val="pt-BR"/>
        </w:rPr>
        <w:t>21941-972</w:t>
      </w:r>
      <w:r w:rsidR="00D05B16">
        <w:rPr>
          <w:lang w:val="pt-BR"/>
        </w:rPr>
        <w:t xml:space="preserve">, </w:t>
      </w:r>
      <w:bookmarkStart w:id="1" w:name="_GoBack"/>
      <w:bookmarkEnd w:id="1"/>
      <w:r w:rsidR="0063221B">
        <w:rPr>
          <w:lang w:val="pt-BR"/>
        </w:rPr>
        <w:t>Brasil</w:t>
      </w:r>
    </w:p>
    <w:p w14:paraId="12C274A6" w14:textId="4006862F" w:rsidR="0063221B" w:rsidRPr="00495C92" w:rsidRDefault="00DB39B9" w:rsidP="00B57E6F">
      <w:pPr>
        <w:pStyle w:val="CETAddress"/>
        <w:rPr>
          <w:lang w:val="en-US"/>
        </w:rPr>
      </w:pPr>
      <w:r>
        <w:rPr>
          <w:lang w:val="en-US"/>
        </w:rPr>
        <w:t>*</w:t>
      </w:r>
      <w:r w:rsidR="00227E63" w:rsidRPr="00495C92">
        <w:rPr>
          <w:lang w:val="en-US"/>
        </w:rPr>
        <w:t>amandaborges.almeida@gmail.com</w:t>
      </w:r>
    </w:p>
    <w:p w14:paraId="0A9613E1" w14:textId="4B47D52C" w:rsidR="00227E63" w:rsidRDefault="00227E63" w:rsidP="003E6293">
      <w:pPr>
        <w:pStyle w:val="CETHeading1"/>
        <w:numPr>
          <w:ilvl w:val="0"/>
          <w:numId w:val="0"/>
        </w:numPr>
        <w:jc w:val="both"/>
        <w:rPr>
          <w:b w:val="0"/>
          <w:sz w:val="18"/>
          <w:lang w:val="en-GB"/>
        </w:rPr>
      </w:pPr>
      <w:r w:rsidRPr="00227E63">
        <w:rPr>
          <w:b w:val="0"/>
          <w:sz w:val="18"/>
          <w:lang w:val="en-GB"/>
        </w:rPr>
        <w:t xml:space="preserve">TCE (Trichloroethylene) is a chlorinated solvent, known for its toxicity present in many underground water reservoirs and, as it is a less viscous and denser contaminant than water, it reaches the impermeable substrate of the reservoirs, remaining trapped in the water system pores for years or decades. The TCE removal technique studied in this work is the reduction by nanoparticles of zero valent iron. In this case, Fe0 acts as an electron donor so that TCE is reduced to less harmful compounds that are easier to remove. And, just as important as the reduction of TCE through the chemical reaction, are the pressure disturbances caused by the injection of the solution of nanoparticles and by the gas that is one of the products of the reaction. These disorders can displace the TCE from the interior of the pores, facilitating its later removal. Through computational fluid dynamics simulations, using </w:t>
      </w:r>
      <w:proofErr w:type="spellStart"/>
      <w:r w:rsidRPr="00227E63">
        <w:rPr>
          <w:b w:val="0"/>
          <w:sz w:val="18"/>
          <w:lang w:val="en-GB"/>
        </w:rPr>
        <w:t>openFOAM</w:t>
      </w:r>
      <w:proofErr w:type="spellEnd"/>
      <w:r w:rsidRPr="00227E63">
        <w:rPr>
          <w:b w:val="0"/>
          <w:sz w:val="18"/>
          <w:lang w:val="en-GB"/>
        </w:rPr>
        <w:t xml:space="preserve"> free software, it was possible to prove that ethylene, which is one of the products of the TCE reduction reaction, is capable of displacing DNAPL from the interior of the pores. Through two-dimensional simulations, a 97% reduction in TCE saturation was obtained due to displacement of the contaminant out of the field of view. It is also worth noting that the simulations performed were consistent with experimental results performed by other authors. In addition, the </w:t>
      </w:r>
      <w:r w:rsidR="003E6293" w:rsidRPr="00227E63">
        <w:rPr>
          <w:b w:val="0"/>
          <w:sz w:val="18"/>
          <w:lang w:val="en-GB"/>
        </w:rPr>
        <w:t>behaviour</w:t>
      </w:r>
      <w:r w:rsidRPr="00227E63">
        <w:rPr>
          <w:b w:val="0"/>
          <w:sz w:val="18"/>
          <w:lang w:val="en-GB"/>
        </w:rPr>
        <w:t xml:space="preserve"> of the TCE - water flow was also evaluated as a function of the contact angle TCE - water - grain wall. In this case, there was a greater recovery of the TCE for its drainage condition, with contact angles of approximately 140º.</w:t>
      </w:r>
    </w:p>
    <w:p w14:paraId="445B5B94" w14:textId="77777777" w:rsidR="00227E63" w:rsidRPr="00B57B36" w:rsidRDefault="00227E63" w:rsidP="00227E63">
      <w:pPr>
        <w:pStyle w:val="CETHeading1"/>
        <w:rPr>
          <w:lang w:val="en-GB"/>
        </w:rPr>
      </w:pPr>
      <w:r w:rsidRPr="00B57B36">
        <w:rPr>
          <w:lang w:val="en-GB"/>
        </w:rPr>
        <w:t>Introduction</w:t>
      </w:r>
    </w:p>
    <w:p w14:paraId="492DCA2E" w14:textId="7CADF668" w:rsidR="003E6293" w:rsidRPr="003E6293" w:rsidRDefault="003E6293" w:rsidP="003E6293">
      <w:pPr>
        <w:pStyle w:val="CETBodytext"/>
        <w:rPr>
          <w:lang w:val="en-GB"/>
        </w:rPr>
      </w:pPr>
      <w:r>
        <w:rPr>
          <w:lang w:val="en-GB"/>
        </w:rPr>
        <w:tab/>
      </w:r>
      <w:r w:rsidRPr="003E6293">
        <w:rPr>
          <w:lang w:val="en-GB"/>
        </w:rPr>
        <w:t xml:space="preserve">Trichloroethylene (TCE) is a non-flammable, volatile, colourless, slightly sweet-smelling chlorinated solvent belonging to the most abundant and common class of contaminants, chlorinated volatile organic compounds (VOCs), which pose a risk to human health and ecosystems. due to its known toxicity. TCE was first detected in the United States in 1977 and has since been one of the most common contaminants in groundwater </w:t>
      </w:r>
      <w:r w:rsidR="00D21BB4">
        <w:t>(Tabrez, 2009)</w:t>
      </w:r>
      <w:r w:rsidRPr="003E6293">
        <w:rPr>
          <w:lang w:val="en-GB"/>
        </w:rPr>
        <w:t xml:space="preserve">. The maximum contaminant level is 10 mg/L for trichloroethylene in the European Union and is lower for groundwater in some countries </w:t>
      </w:r>
      <w:r w:rsidR="00D21BB4">
        <w:rPr>
          <w:lang w:val="en-GB"/>
        </w:rPr>
        <w:t>(Pak et.al., 2020)</w:t>
      </w:r>
      <w:r w:rsidRPr="003E6293">
        <w:rPr>
          <w:lang w:val="en-GB"/>
        </w:rPr>
        <w:t>.</w:t>
      </w:r>
      <w:r w:rsidR="00CB126E">
        <w:rPr>
          <w:lang w:val="en-GB"/>
        </w:rPr>
        <w:t xml:space="preserve"> </w:t>
      </w:r>
      <w:r w:rsidRPr="003E6293">
        <w:rPr>
          <w:lang w:val="en-GB"/>
        </w:rPr>
        <w:tab/>
        <w:t xml:space="preserve">The need for alternative DNAPL remediation methods leads to the development of new technologies, such as soil washing, chemical oxidation, bioremediation, reactive barriers, and </w:t>
      </w:r>
      <w:proofErr w:type="spellStart"/>
      <w:r w:rsidRPr="003E6293">
        <w:rPr>
          <w:lang w:val="en-GB"/>
        </w:rPr>
        <w:t>nanoremediation</w:t>
      </w:r>
      <w:proofErr w:type="spellEnd"/>
      <w:r w:rsidR="00EE332C">
        <w:rPr>
          <w:lang w:val="en-GB"/>
        </w:rPr>
        <w:t xml:space="preserve"> (Pak et.al., 2019)</w:t>
      </w:r>
      <w:r w:rsidR="00321198">
        <w:rPr>
          <w:lang w:val="en-GB"/>
        </w:rPr>
        <w:t>.</w:t>
      </w:r>
    </w:p>
    <w:p w14:paraId="0C1964F8" w14:textId="106A582A" w:rsidR="003E6293" w:rsidRPr="003E6293" w:rsidRDefault="003E6293" w:rsidP="003E6293">
      <w:pPr>
        <w:pStyle w:val="CETBodytext"/>
        <w:rPr>
          <w:lang w:val="en-GB"/>
        </w:rPr>
      </w:pPr>
      <w:r w:rsidRPr="003E6293">
        <w:rPr>
          <w:lang w:val="en-GB"/>
        </w:rPr>
        <w:tab/>
        <w:t xml:space="preserve">The rates and pathways of the TCE reduction by zero-valent iron filings have been intensively studied and are well known. TCE is reduced and releases chloride ions, while iron is oxidized and supplies electrons. The oxidation mechanisms proposed by LIU, et.al. (2005) are </w:t>
      </w:r>
      <w:r w:rsidR="00EE332C" w:rsidRPr="00EE332C">
        <w:rPr>
          <w:rFonts w:ascii="Symbol" w:hAnsi="Symbol"/>
          <w:lang w:val="en-GB"/>
        </w:rPr>
        <w:t></w:t>
      </w:r>
      <w:r w:rsidRPr="003E6293">
        <w:rPr>
          <w:lang w:val="en-GB"/>
        </w:rPr>
        <w:t xml:space="preserve">-elimination (mainly), hydrogenolysis and hydrogenation (the last two are less expressive). These mechanisms explain the formation of ethylene and ethane as main products </w:t>
      </w:r>
      <w:r w:rsidR="00EE332C">
        <w:rPr>
          <w:lang w:val="en-GB"/>
        </w:rPr>
        <w:t>(Liu et al., 2005)</w:t>
      </w:r>
      <w:r w:rsidRPr="003E6293">
        <w:rPr>
          <w:lang w:val="en-GB"/>
        </w:rPr>
        <w:t>.</w:t>
      </w:r>
    </w:p>
    <w:p w14:paraId="3C7B6F1A" w14:textId="503161F7" w:rsidR="003E6293" w:rsidRPr="003E6293" w:rsidRDefault="003E6293" w:rsidP="003E6293">
      <w:pPr>
        <w:pStyle w:val="CETBodytext"/>
        <w:rPr>
          <w:lang w:val="en-GB"/>
        </w:rPr>
      </w:pPr>
      <w:r w:rsidRPr="003E6293">
        <w:rPr>
          <w:lang w:val="en-GB"/>
        </w:rPr>
        <w:tab/>
      </w:r>
      <w:proofErr w:type="spellStart"/>
      <w:r w:rsidRPr="003E6293">
        <w:rPr>
          <w:lang w:val="en-GB"/>
        </w:rPr>
        <w:t>Nanoremediation</w:t>
      </w:r>
      <w:proofErr w:type="spellEnd"/>
      <w:r w:rsidRPr="003E6293">
        <w:rPr>
          <w:lang w:val="en-GB"/>
        </w:rPr>
        <w:t xml:space="preserve"> employs nanoscale iron particles (</w:t>
      </w:r>
      <w:proofErr w:type="spellStart"/>
      <w:r w:rsidRPr="003E6293">
        <w:rPr>
          <w:lang w:val="en-GB"/>
        </w:rPr>
        <w:t>nZVI</w:t>
      </w:r>
      <w:proofErr w:type="spellEnd"/>
      <w:r w:rsidRPr="003E6293">
        <w:rPr>
          <w:lang w:val="en-GB"/>
        </w:rPr>
        <w:t xml:space="preserve">) that are extremely reactive and excellent electron donors </w:t>
      </w:r>
      <w:r w:rsidR="00EE332C">
        <w:rPr>
          <w:lang w:val="en-GB"/>
        </w:rPr>
        <w:t>(Pak et.al., 2019)</w:t>
      </w:r>
      <w:r w:rsidRPr="003E6293">
        <w:rPr>
          <w:lang w:val="en-GB"/>
        </w:rPr>
        <w:t>. Many studies report the degradation of NAPLs using iron particles, but the great advantage of using nanoparticles is the increase in the surface area and, therefore, an increase in the speed of the degradation reaction.</w:t>
      </w:r>
      <w:r w:rsidRPr="003E6293">
        <w:rPr>
          <w:lang w:val="en-GB"/>
        </w:rPr>
        <w:tab/>
      </w:r>
    </w:p>
    <w:p w14:paraId="69DE2D1F" w14:textId="4F96C19E" w:rsidR="003E6293" w:rsidRPr="003E6293" w:rsidRDefault="003E6293" w:rsidP="00321198">
      <w:pPr>
        <w:pStyle w:val="CETBodytext"/>
        <w:rPr>
          <w:lang w:val="en-GB"/>
        </w:rPr>
      </w:pPr>
      <w:r w:rsidRPr="003E6293">
        <w:rPr>
          <w:lang w:val="en-GB"/>
        </w:rPr>
        <w:tab/>
        <w:t>Pak, et al. (2020) showed how the TCE degradation reaction with nanoscale zero-valent iron particles (</w:t>
      </w:r>
      <w:proofErr w:type="spellStart"/>
      <w:r w:rsidRPr="003E6293">
        <w:rPr>
          <w:lang w:val="en-GB"/>
        </w:rPr>
        <w:t>nZVI</w:t>
      </w:r>
      <w:proofErr w:type="spellEnd"/>
      <w:r w:rsidRPr="003E6293">
        <w:rPr>
          <w:lang w:val="en-GB"/>
        </w:rPr>
        <w:t>) occurs in a condition similar to that which occurs in an aquifer, that is, what happens in the rock pores during this interaction between nanoparticles and contaminants. The main objective of this work was to show the redistribution of TCE inside the pores due to the formation of the gas (product of the chemical reaction that occurs in the TCE/</w:t>
      </w:r>
      <w:proofErr w:type="spellStart"/>
      <w:r w:rsidRPr="003E6293">
        <w:rPr>
          <w:lang w:val="en-GB"/>
        </w:rPr>
        <w:t>nZVI</w:t>
      </w:r>
      <w:proofErr w:type="spellEnd"/>
      <w:r w:rsidRPr="003E6293">
        <w:rPr>
          <w:lang w:val="en-GB"/>
        </w:rPr>
        <w:t xml:space="preserve"> interface) and, with that, to obtain a </w:t>
      </w:r>
      <w:proofErr w:type="spellStart"/>
      <w:r w:rsidRPr="003E6293">
        <w:rPr>
          <w:lang w:val="en-GB"/>
        </w:rPr>
        <w:t>favorable</w:t>
      </w:r>
      <w:proofErr w:type="spellEnd"/>
      <w:r w:rsidRPr="003E6293">
        <w:rPr>
          <w:lang w:val="en-GB"/>
        </w:rPr>
        <w:t xml:space="preserve"> redistribution to reduce the saturation of </w:t>
      </w:r>
      <w:r w:rsidRPr="003E6293">
        <w:rPr>
          <w:lang w:val="en-GB"/>
        </w:rPr>
        <w:lastRenderedPageBreak/>
        <w:t xml:space="preserve">the contaminants that are trapped inside aquifer pores. For this, 4D experiments (time - resolved three dimensions) were carried out using the X-ray microtomography (IMX) beamline at the Brazilian Synchrotron Light Laboratory (LNLS/CNPEM) using a bed of glass spheres of 250 to 500 </w:t>
      </w:r>
      <w:r w:rsidR="00EE332C" w:rsidRPr="00EE332C">
        <w:rPr>
          <w:rFonts w:ascii="Symbol" w:hAnsi="Symbol"/>
          <w:lang w:val="en-GB"/>
        </w:rPr>
        <w:t></w:t>
      </w:r>
      <w:r w:rsidRPr="003E6293">
        <w:rPr>
          <w:lang w:val="en-GB"/>
        </w:rPr>
        <w:t>m which represented medium and coarse sand with an estimated absolute permeability of 1.7 x 10</w:t>
      </w:r>
      <w:r w:rsidRPr="00EE332C">
        <w:rPr>
          <w:vertAlign w:val="superscript"/>
          <w:lang w:val="en-GB"/>
        </w:rPr>
        <w:t>-11</w:t>
      </w:r>
      <w:r w:rsidRPr="003E6293">
        <w:rPr>
          <w:lang w:val="en-GB"/>
        </w:rPr>
        <w:t xml:space="preserve"> m</w:t>
      </w:r>
      <w:r w:rsidRPr="00EE332C">
        <w:rPr>
          <w:vertAlign w:val="superscript"/>
          <w:lang w:val="en-GB"/>
        </w:rPr>
        <w:t>2</w:t>
      </w:r>
      <w:r w:rsidRPr="003E6293">
        <w:rPr>
          <w:lang w:val="en-GB"/>
        </w:rPr>
        <w:t xml:space="preserve"> (internal diameter = 2.5 mm, length = 33 mm and porosity of 38%). Within the imaged section of the sample TCE showed an approximate 57% reduction in saturation because of gas-induced remobilization </w:t>
      </w:r>
      <w:r w:rsidR="00EE332C">
        <w:rPr>
          <w:lang w:val="en-GB"/>
        </w:rPr>
        <w:t>(Pak et.al., 2020)</w:t>
      </w:r>
      <w:r w:rsidRPr="003E6293">
        <w:rPr>
          <w:lang w:val="en-GB"/>
        </w:rPr>
        <w:t>.</w:t>
      </w:r>
    </w:p>
    <w:p w14:paraId="23F86FEF" w14:textId="59BDBF6B" w:rsidR="00600535" w:rsidRDefault="003E6293" w:rsidP="003E6293">
      <w:pPr>
        <w:pStyle w:val="CETBodytext"/>
        <w:rPr>
          <w:lang w:val="en-GB"/>
        </w:rPr>
      </w:pPr>
      <w:r w:rsidRPr="003E6293">
        <w:rPr>
          <w:lang w:val="en-GB"/>
        </w:rPr>
        <w:tab/>
        <w:t xml:space="preserve">Many studies are published to understand and improve the mobility of the suspension of iron nanoparticles in porous media, but it is important to evaluate the dynamics of the two-phase reactive flow as a whole. This work aims to evaluate the </w:t>
      </w:r>
      <w:r w:rsidR="00EE332C" w:rsidRPr="003E6293">
        <w:rPr>
          <w:lang w:val="en-GB"/>
        </w:rPr>
        <w:t>behaviour</w:t>
      </w:r>
      <w:r w:rsidRPr="003E6293">
        <w:rPr>
          <w:lang w:val="en-GB"/>
        </w:rPr>
        <w:t xml:space="preserve"> of all components present inside the pore system during the treatment process of aquifers contaminated with TCE through CFD simulations using </w:t>
      </w:r>
      <w:proofErr w:type="spellStart"/>
      <w:r w:rsidRPr="003E6293">
        <w:rPr>
          <w:lang w:val="en-GB"/>
        </w:rPr>
        <w:t>openFOAM</w:t>
      </w:r>
      <w:proofErr w:type="spellEnd"/>
      <w:r w:rsidRPr="003E6293">
        <w:rPr>
          <w:lang w:val="en-GB"/>
        </w:rPr>
        <w:t>, which has the great advantage of being license free and presenting open code. In this way, it is possible to advance to the field treatment stage with greater assertiveness, saving resources and time in the remediation process.</w:t>
      </w:r>
      <w:r w:rsidR="00DA299E">
        <w:rPr>
          <w:lang w:val="en-GB"/>
        </w:rPr>
        <w:t xml:space="preserve"> Another goal of this paper </w:t>
      </w:r>
      <w:r w:rsidR="00321198">
        <w:rPr>
          <w:lang w:val="en-GB"/>
        </w:rPr>
        <w:t xml:space="preserve">is </w:t>
      </w:r>
      <w:r w:rsidRPr="003E6293">
        <w:rPr>
          <w:lang w:val="en-GB"/>
        </w:rPr>
        <w:t>the performance of CFD simulations using microtomography images in order to evaluate the dynamics of the TCE and the gases that can be generated by the chemical reaction inside the pores. Such simulations are of great importance due to the great difficulty of carrying out experiments using TCE, as it is extremely toxic, and all disposals must be done with complete safety.</w:t>
      </w:r>
    </w:p>
    <w:p w14:paraId="61A9B77A" w14:textId="33ED3385" w:rsidR="00600535" w:rsidRPr="00B57B36" w:rsidRDefault="00EC0D5F" w:rsidP="00EC0D5F">
      <w:pPr>
        <w:pStyle w:val="CETHeading1"/>
      </w:pPr>
      <w:r>
        <w:t xml:space="preserve">Materials and </w:t>
      </w:r>
      <w:r w:rsidRPr="00EC0D5F">
        <w:t>Methods</w:t>
      </w:r>
    </w:p>
    <w:p w14:paraId="388D44D6" w14:textId="62291FA0" w:rsidR="00EC0D5F" w:rsidRPr="00EC0D5F" w:rsidRDefault="00EC0D5F" w:rsidP="00EC0D5F">
      <w:pPr>
        <w:pStyle w:val="CETBodytext"/>
      </w:pPr>
      <w:r>
        <w:tab/>
      </w:r>
      <w:r w:rsidR="00770A37">
        <w:t xml:space="preserve"> </w:t>
      </w:r>
    </w:p>
    <w:p w14:paraId="1F7A89A5" w14:textId="3E597C2E" w:rsidR="00600535" w:rsidRDefault="00EC0D5F" w:rsidP="00EC0D5F">
      <w:pPr>
        <w:pStyle w:val="CETBodytext"/>
      </w:pPr>
      <w:r w:rsidRPr="00EC0D5F">
        <w:tab/>
        <w:t>In the pre-processing stage are defined the mathematical model of the physical problem, the geometric model, the discretization of the geometric model (mesh), the numerical method that will be used for the discretization of the differential equations, the solution algorithm and the criteria for convergence.</w:t>
      </w:r>
      <w:r w:rsidR="00FB37CA">
        <w:t xml:space="preserve"> </w:t>
      </w:r>
      <w:r w:rsidRPr="00EC0D5F">
        <w:tab/>
        <w:t xml:space="preserve">Regarding the geometric model, the simulation will be performed considering an orthogonal view of a bed of </w:t>
      </w:r>
      <w:r w:rsidR="00FB37CA">
        <w:t>glass beads</w:t>
      </w:r>
      <w:r w:rsidRPr="00EC0D5F">
        <w:t xml:space="preserve"> that represents the porous medium of a groundwater system. Pak et. al</w:t>
      </w:r>
      <w:r w:rsidR="00FB37CA">
        <w:t>, 2020</w:t>
      </w:r>
      <w:r w:rsidRPr="00EC0D5F">
        <w:t xml:space="preserve"> made available the images obtained by X-ray microtomography in their experiments. These images are formed by 624 slices that form a representation in three dimensions of 1</w:t>
      </w:r>
      <w:r w:rsidR="00540C7E">
        <w:t>,</w:t>
      </w:r>
      <w:r w:rsidRPr="00EC0D5F">
        <w:t>024 x 1</w:t>
      </w:r>
      <w:r w:rsidR="00540C7E">
        <w:t>,</w:t>
      </w:r>
      <w:r w:rsidRPr="00EC0D5F">
        <w:t>024 x 624 voxels (3.36 x 3.36 x 2.05 mm</w:t>
      </w:r>
      <w:r w:rsidRPr="00EC0D5F">
        <w:rPr>
          <w:vertAlign w:val="superscript"/>
        </w:rPr>
        <w:t>3</w:t>
      </w:r>
      <w:r w:rsidRPr="00EC0D5F">
        <w:t>).</w:t>
      </w:r>
      <w:r w:rsidR="00105D0E">
        <w:t xml:space="preserve"> </w:t>
      </w:r>
      <w:r w:rsidRPr="00EC0D5F">
        <w:t>The initial water injection flow rate ranged from 100 to 1</w:t>
      </w:r>
      <w:r w:rsidR="00540C7E">
        <w:t>,</w:t>
      </w:r>
      <w:r w:rsidRPr="00EC0D5F">
        <w:t xml:space="preserve">000 </w:t>
      </w:r>
      <w:r w:rsidRPr="00EC0D5F">
        <w:rPr>
          <w:rFonts w:ascii="Symbol" w:hAnsi="Symbol"/>
        </w:rPr>
        <w:t></w:t>
      </w:r>
      <w:r w:rsidRPr="00EC0D5F">
        <w:t>L/min on the lower face of the bed (Bottom face).</w:t>
      </w:r>
    </w:p>
    <w:p w14:paraId="487ED298" w14:textId="77777777" w:rsidR="00EC0D5F" w:rsidRDefault="00EC0D5F" w:rsidP="00EC0D5F">
      <w:pPr>
        <w:pStyle w:val="CETBodytext"/>
        <w:rPr>
          <w:lang w:val="en-GB"/>
        </w:rPr>
      </w:pPr>
      <w:r>
        <w:rPr>
          <w:noProof/>
        </w:rPr>
        <w:drawing>
          <wp:inline distT="0" distB="0" distL="0" distR="0" wp14:anchorId="3F8EFF15" wp14:editId="03FD9DFD">
            <wp:extent cx="2340820" cy="1304925"/>
            <wp:effectExtent l="0" t="0" r="2540" b="0"/>
            <wp:docPr id="3" name="Imagem 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iagrama&#10;&#10;Descrição gerada automaticamente"/>
                    <pic:cNvPicPr/>
                  </pic:nvPicPr>
                  <pic:blipFill>
                    <a:blip r:embed="rId13"/>
                    <a:stretch>
                      <a:fillRect/>
                    </a:stretch>
                  </pic:blipFill>
                  <pic:spPr>
                    <a:xfrm>
                      <a:off x="0" y="0"/>
                      <a:ext cx="2449644" cy="1365590"/>
                    </a:xfrm>
                    <a:prstGeom prst="rect">
                      <a:avLst/>
                    </a:prstGeom>
                  </pic:spPr>
                </pic:pic>
              </a:graphicData>
            </a:graphic>
          </wp:inline>
        </w:drawing>
      </w:r>
    </w:p>
    <w:p w14:paraId="4461FED7" w14:textId="2F388713" w:rsidR="00EC0D5F" w:rsidRDefault="00EC0D5F" w:rsidP="00AB37D2">
      <w:pPr>
        <w:pStyle w:val="CETCaption"/>
        <w:spacing w:before="0"/>
        <w:rPr>
          <w:lang w:eastAsia="de-DE"/>
        </w:rPr>
      </w:pPr>
      <w:r w:rsidRPr="00BD48D3">
        <w:rPr>
          <w:lang w:eastAsia="de-DE"/>
        </w:rPr>
        <w:t>Fig</w:t>
      </w:r>
      <w:r>
        <w:rPr>
          <w:lang w:eastAsia="de-DE"/>
        </w:rPr>
        <w:t>ure</w:t>
      </w:r>
      <w:r w:rsidRPr="00BD48D3">
        <w:rPr>
          <w:lang w:eastAsia="de-DE"/>
        </w:rPr>
        <w:t xml:space="preserve"> 1. </w:t>
      </w:r>
      <w:r>
        <w:rPr>
          <w:lang w:eastAsia="de-DE"/>
        </w:rPr>
        <w:t>B</w:t>
      </w:r>
      <w:r w:rsidRPr="00BD48D3">
        <w:rPr>
          <w:lang w:eastAsia="de-DE"/>
        </w:rPr>
        <w:t>inarized image</w:t>
      </w:r>
    </w:p>
    <w:p w14:paraId="6FB8110A" w14:textId="010F561A" w:rsidR="00770A37" w:rsidRDefault="00EC0D5F" w:rsidP="00770A37">
      <w:pPr>
        <w:pStyle w:val="CETBodytext"/>
      </w:pPr>
      <w:r>
        <w:rPr>
          <w:lang w:eastAsia="de-DE"/>
        </w:rPr>
        <w:tab/>
      </w:r>
      <w:r w:rsidRPr="00C2280D">
        <w:t xml:space="preserve">For the mesh generation, the algorithm developed by RAEINI et. al, </w:t>
      </w:r>
      <w:r w:rsidR="00FB37CA">
        <w:t>2012</w:t>
      </w:r>
      <w:r w:rsidR="00770A37">
        <w:t xml:space="preserve"> </w:t>
      </w:r>
      <w:proofErr w:type="spellStart"/>
      <w:r w:rsidRPr="00C2280D">
        <w:t>voxelToFoam</w:t>
      </w:r>
      <w:proofErr w:type="spellEnd"/>
      <w:r w:rsidRPr="00C2280D">
        <w:t xml:space="preserve">, was used, which was written in C++ language to be applied in </w:t>
      </w:r>
      <w:proofErr w:type="spellStart"/>
      <w:r w:rsidRPr="00C2280D">
        <w:t>OpenFOAM</w:t>
      </w:r>
      <w:proofErr w:type="spellEnd"/>
      <w:r w:rsidRPr="00C2280D">
        <w:t xml:space="preserve">. </w:t>
      </w:r>
    </w:p>
    <w:p w14:paraId="35628349" w14:textId="54F5AB43" w:rsidR="00AB37D2" w:rsidRDefault="00AB37D2" w:rsidP="00770A37">
      <w:pPr>
        <w:pStyle w:val="CETHeading1"/>
        <w:rPr>
          <w:lang w:eastAsia="de-DE"/>
        </w:rPr>
      </w:pPr>
      <w:r w:rsidRPr="005F6C3D">
        <w:rPr>
          <w:lang w:eastAsia="de-DE"/>
        </w:rPr>
        <w:t>Mathematical model of the two-phase problem</w:t>
      </w:r>
    </w:p>
    <w:p w14:paraId="50647444" w14:textId="38CD3703" w:rsidR="00AB37D2" w:rsidRPr="00C2280D" w:rsidRDefault="00AB37D2" w:rsidP="00C2280D">
      <w:pPr>
        <w:pStyle w:val="CETBodytext"/>
      </w:pPr>
    </w:p>
    <w:p w14:paraId="2F9CDDA9" w14:textId="09FDD1D2" w:rsidR="001535CF" w:rsidRPr="00C2280D" w:rsidRDefault="00AB37D2" w:rsidP="00C2280D">
      <w:pPr>
        <w:pStyle w:val="CETBodytext"/>
      </w:pPr>
      <w:r w:rsidRPr="00C2280D">
        <w:t xml:space="preserve">In the case of isothermal flows of two immiscible fluids, the physical quantities analyzed are mass and moment. The biggest challenge of multiphase flows is in the treatment of the interface, that is, in capturing the place where the discontinuities of properties and stresses occur. The Volume of Fluid (VOF) model, which will be used in this work through the </w:t>
      </w:r>
      <w:proofErr w:type="spellStart"/>
      <w:r w:rsidRPr="00C2280D">
        <w:t>interFOAM</w:t>
      </w:r>
      <w:proofErr w:type="spellEnd"/>
      <w:r w:rsidRPr="00C2280D">
        <w:t xml:space="preserve"> solver, is an adaptation of the Euler-Euler two-fluid model and was proposed in 1981 by Hirt and Nichols </w:t>
      </w:r>
      <w:r w:rsidR="001535CF" w:rsidRPr="00C2280D">
        <w:t>(</w:t>
      </w:r>
      <w:proofErr w:type="spellStart"/>
      <w:r w:rsidR="001535CF" w:rsidRPr="00C2280D">
        <w:t>Prosperetti</w:t>
      </w:r>
      <w:proofErr w:type="spellEnd"/>
      <w:r w:rsidR="001535CF" w:rsidRPr="00C2280D">
        <w:t>, 2009)</w:t>
      </w:r>
      <w:r w:rsidRPr="00C2280D">
        <w:t>.</w:t>
      </w:r>
      <w:r w:rsidR="00FB37CA">
        <w:t xml:space="preserve"> </w:t>
      </w:r>
      <w:r w:rsidR="0076697B">
        <w:t xml:space="preserve"> </w:t>
      </w:r>
      <w:r w:rsidR="00540C7E" w:rsidRPr="00C2280D">
        <w:t xml:space="preserve"> </w:t>
      </w:r>
      <w:r w:rsidR="001535CF" w:rsidRPr="00C2280D">
        <w:tab/>
        <w:t>A solver that implements the VOF technique for two immiscible, isothermal and incompressible fluids is employed. This means that the material properties are constant in the region filled by one of the two fluids, except at the interface. Therefore, the continuity and momentum equations must be solved for both fluids together with the transport equation of the alpha fluid fraction (</w:t>
      </w:r>
      <w:r w:rsidR="001535CF" w:rsidRPr="00C2280D">
        <w:rPr>
          <w:rFonts w:ascii="Symbol" w:hAnsi="Symbol"/>
        </w:rPr>
        <w:t></w:t>
      </w:r>
      <w:r w:rsidR="001535CF" w:rsidRPr="00C2280D">
        <w:t>) (Cano-Lozano, 201</w:t>
      </w:r>
      <w:r w:rsidR="00FB37CA">
        <w:t>4</w:t>
      </w:r>
      <w:r w:rsidR="001535CF" w:rsidRPr="00C2280D">
        <w:t xml:space="preserve">): </w:t>
      </w:r>
    </w:p>
    <w:tbl>
      <w:tblPr>
        <w:tblW w:w="5000" w:type="pct"/>
        <w:tblLook w:val="04A0" w:firstRow="1" w:lastRow="0" w:firstColumn="1" w:lastColumn="0" w:noHBand="0" w:noVBand="1"/>
      </w:tblPr>
      <w:tblGrid>
        <w:gridCol w:w="7982"/>
        <w:gridCol w:w="805"/>
      </w:tblGrid>
      <w:tr w:rsidR="001535CF" w:rsidRPr="001535CF" w14:paraId="126A46CC" w14:textId="77777777" w:rsidTr="001535CF">
        <w:tc>
          <w:tcPr>
            <w:tcW w:w="7982" w:type="dxa"/>
            <w:shd w:val="clear" w:color="auto" w:fill="auto"/>
            <w:vAlign w:val="center"/>
          </w:tcPr>
          <w:p w14:paraId="1C152A37" w14:textId="509D7D08" w:rsidR="001535CF" w:rsidRPr="001535CF" w:rsidRDefault="001535CF" w:rsidP="001535CF">
            <w:pPr>
              <w:pStyle w:val="CETEquation"/>
            </w:pPr>
            <m:oMathPara>
              <m:oMathParaPr>
                <m:jc m:val="left"/>
              </m:oMathParaPr>
              <m:oMath>
                <m:r>
                  <m:rPr>
                    <m:sty m:val="p"/>
                  </m:rPr>
                  <w:rPr>
                    <w:rFonts w:ascii="Cambria Math" w:hAnsi="Cambria Math"/>
                  </w:rPr>
                  <m:t>∇</m:t>
                </m:r>
                <m:r>
                  <m:rPr>
                    <m:sty m:val="bi"/>
                  </m:rPr>
                  <w:rPr>
                    <w:rFonts w:ascii="Cambria Math" w:hAnsi="Cambria Math"/>
                  </w:rPr>
                  <m:t>u</m:t>
                </m:r>
                <m:r>
                  <m:rPr>
                    <m:sty m:val="p"/>
                  </m:rPr>
                  <w:rPr>
                    <w:rFonts w:ascii="Cambria Math" w:hAnsi="Cambria Math"/>
                  </w:rPr>
                  <m:t>=0</m:t>
                </m:r>
              </m:oMath>
            </m:oMathPara>
          </w:p>
        </w:tc>
        <w:tc>
          <w:tcPr>
            <w:tcW w:w="805" w:type="dxa"/>
            <w:shd w:val="clear" w:color="auto" w:fill="auto"/>
            <w:vAlign w:val="center"/>
          </w:tcPr>
          <w:p w14:paraId="730142BD" w14:textId="4040A134" w:rsidR="001535CF" w:rsidRPr="001535CF" w:rsidRDefault="001535CF" w:rsidP="001535CF">
            <w:pPr>
              <w:pStyle w:val="CETEquation"/>
            </w:pPr>
            <w:r w:rsidRPr="001535CF">
              <w:t>(</w:t>
            </w:r>
            <w:r w:rsidR="00CE59E8">
              <w:t>1</w:t>
            </w:r>
            <w:r w:rsidRPr="001535CF">
              <w:t>)</w:t>
            </w:r>
          </w:p>
        </w:tc>
      </w:tr>
      <w:tr w:rsidR="001535CF" w:rsidRPr="001535CF" w14:paraId="6372C418" w14:textId="77777777" w:rsidTr="001535CF">
        <w:tc>
          <w:tcPr>
            <w:tcW w:w="7982" w:type="dxa"/>
            <w:shd w:val="clear" w:color="auto" w:fill="auto"/>
            <w:vAlign w:val="center"/>
          </w:tcPr>
          <w:p w14:paraId="6B25C2A9" w14:textId="6163E1B6" w:rsidR="001535CF" w:rsidRPr="001535CF" w:rsidRDefault="00D05B16" w:rsidP="001535CF">
            <w:pPr>
              <w:pStyle w:val="CETEquation"/>
              <w:rPr>
                <w:rFonts w:ascii="Cambria Math" w:hAnsi="Cambria Math"/>
                <w:oMath/>
              </w:rPr>
            </w:pPr>
            <m:oMathPara>
              <m:oMathParaPr>
                <m:jc m:val="left"/>
              </m:oMathParaPr>
              <m:oMath>
                <m:f>
                  <m:fPr>
                    <m:ctrlPr>
                      <w:rPr>
                        <w:rFonts w:ascii="Cambria Math" w:hAnsi="Cambria Math"/>
                      </w:rPr>
                    </m:ctrlPr>
                  </m:fPr>
                  <m:num>
                    <m:r>
                      <w:rPr>
                        <w:rFonts w:ascii="Cambria Math" w:hAnsi="Cambria Math"/>
                      </w:rPr>
                      <m:t>∂ρ</m:t>
                    </m:r>
                    <m:r>
                      <m:rPr>
                        <m:sty m:val="bi"/>
                      </m:rPr>
                      <w:rPr>
                        <w:rFonts w:ascii="Cambria Math" w:hAnsi="Cambria Math"/>
                      </w:rPr>
                      <m:t>u</m:t>
                    </m:r>
                  </m:num>
                  <m:den>
                    <m:r>
                      <w:rPr>
                        <w:rFonts w:ascii="Cambria Math" w:hAnsi="Cambria Math"/>
                      </w:rPr>
                      <m:t>∂t</m:t>
                    </m:r>
                  </m:den>
                </m:f>
                <m:r>
                  <m:rPr>
                    <m:sty m:val="p"/>
                  </m:rPr>
                  <w:rPr>
                    <w:rFonts w:ascii="Cambria Math" w:hAnsi="Cambria Math"/>
                  </w:rPr>
                  <m:t>+∇∙</m:t>
                </m:r>
                <m:d>
                  <m:dPr>
                    <m:ctrlPr>
                      <w:rPr>
                        <w:rFonts w:ascii="Cambria Math" w:hAnsi="Cambria Math"/>
                      </w:rPr>
                    </m:ctrlPr>
                  </m:dPr>
                  <m:e>
                    <m:r>
                      <w:rPr>
                        <w:rFonts w:ascii="Cambria Math" w:hAnsi="Cambria Math"/>
                      </w:rPr>
                      <m:t>ρ</m:t>
                    </m:r>
                    <m:r>
                      <m:rPr>
                        <m:sty m:val="bi"/>
                      </m:rPr>
                      <w:rPr>
                        <w:rFonts w:ascii="Cambria Math" w:hAnsi="Cambria Math"/>
                      </w:rPr>
                      <m:t>uu</m:t>
                    </m:r>
                  </m:e>
                </m:d>
                <m:r>
                  <m:rPr>
                    <m:sty m:val="p"/>
                  </m:rPr>
                  <w:rPr>
                    <w:rFonts w:ascii="Cambria Math" w:hAnsi="Cambria Math"/>
                  </w:rPr>
                  <m:t>=-∇</m:t>
                </m:r>
                <m:r>
                  <w:rPr>
                    <w:rFonts w:ascii="Cambria Math" w:hAnsi="Cambria Math"/>
                  </w:rPr>
                  <m:t>p</m:t>
                </m:r>
                <m:r>
                  <m:rPr>
                    <m:sty m:val="p"/>
                  </m:rPr>
                  <w:rPr>
                    <w:rFonts w:ascii="Cambria Math" w:hAnsi="Cambria Math"/>
                  </w:rPr>
                  <m:t>+∇</m:t>
                </m:r>
                <m:r>
                  <m:rPr>
                    <m:sty m:val="bi"/>
                  </m:rPr>
                  <w:rPr>
                    <w:rFonts w:ascii="Cambria Math" w:hAnsi="Cambria Math"/>
                  </w:rPr>
                  <m:t>τ</m:t>
                </m:r>
                <m:r>
                  <m:rPr>
                    <m:sty m:val="p"/>
                  </m:rPr>
                  <w:rPr>
                    <w:rFonts w:ascii="Cambria Math" w:hAnsi="Cambria Math"/>
                  </w:rPr>
                  <m:t>+</m:t>
                </m:r>
                <m:r>
                  <w:rPr>
                    <w:rFonts w:ascii="Cambria Math" w:hAnsi="Cambria Math"/>
                  </w:rPr>
                  <m:t>ρ</m:t>
                </m:r>
                <m:r>
                  <m:rPr>
                    <m:sty m:val="bi"/>
                  </m:rPr>
                  <w:rPr>
                    <w:rFonts w:ascii="Cambria Math" w:hAnsi="Cambria Math"/>
                  </w:rPr>
                  <m:t>g</m:t>
                </m:r>
                <m:r>
                  <m:rPr>
                    <m:sty m:val="p"/>
                  </m:rPr>
                  <w:rPr>
                    <w:rFonts w:ascii="Cambria Math" w:hAnsi="Cambria Math"/>
                  </w:rPr>
                  <m:t>+</m:t>
                </m:r>
                <m:r>
                  <w:rPr>
                    <w:rFonts w:ascii="Cambria Math" w:hAnsi="Cambria Math"/>
                  </w:rPr>
                  <m:t>σκ</m:t>
                </m:r>
                <m:r>
                  <m:rPr>
                    <m:sty m:val="p"/>
                  </m:rPr>
                  <w:rPr>
                    <w:rFonts w:ascii="Cambria Math" w:hAnsi="Cambria Math"/>
                  </w:rPr>
                  <m:t>∇</m:t>
                </m:r>
                <m:r>
                  <w:rPr>
                    <w:rFonts w:ascii="Cambria Math" w:hAnsi="Cambria Math"/>
                  </w:rPr>
                  <m:t>α</m:t>
                </m:r>
              </m:oMath>
            </m:oMathPara>
          </w:p>
        </w:tc>
        <w:tc>
          <w:tcPr>
            <w:tcW w:w="805" w:type="dxa"/>
            <w:shd w:val="clear" w:color="auto" w:fill="auto"/>
            <w:vAlign w:val="center"/>
          </w:tcPr>
          <w:p w14:paraId="22A9B433" w14:textId="4A767649" w:rsidR="001535CF" w:rsidRPr="001535CF" w:rsidRDefault="001535CF" w:rsidP="001535CF">
            <w:pPr>
              <w:pStyle w:val="CETEquation"/>
            </w:pPr>
            <w:r w:rsidRPr="001535CF">
              <w:t>(</w:t>
            </w:r>
            <w:r w:rsidR="00CE59E8">
              <w:t>2</w:t>
            </w:r>
            <w:r w:rsidRPr="001535CF">
              <w:t>)</w:t>
            </w:r>
          </w:p>
        </w:tc>
      </w:tr>
      <w:tr w:rsidR="001535CF" w:rsidRPr="001535CF" w14:paraId="4F508585" w14:textId="77777777" w:rsidTr="001535CF">
        <w:tc>
          <w:tcPr>
            <w:tcW w:w="7982" w:type="dxa"/>
            <w:shd w:val="clear" w:color="auto" w:fill="auto"/>
          </w:tcPr>
          <w:p w14:paraId="44D9B611" w14:textId="16AB6022" w:rsidR="001535CF" w:rsidRPr="001535CF" w:rsidRDefault="00D05B16" w:rsidP="001535CF">
            <w:pPr>
              <w:pStyle w:val="CETEquation"/>
              <w:rPr>
                <w:rFonts w:ascii="Cambria Math" w:hAnsi="Cambria Math"/>
                <w:oMath/>
              </w:rPr>
            </w:pPr>
            <m:oMathPara>
              <m:oMathParaPr>
                <m:jc m:val="left"/>
              </m:oMathParaPr>
              <m:oMath>
                <m:f>
                  <m:fPr>
                    <m:ctrlPr>
                      <w:rPr>
                        <w:rFonts w:ascii="Cambria Math" w:hAnsi="Cambria Math"/>
                      </w:rPr>
                    </m:ctrlPr>
                  </m:fPr>
                  <m:num>
                    <m:r>
                      <w:rPr>
                        <w:rFonts w:ascii="Cambria Math" w:eastAsiaTheme="minorEastAsia" w:hAnsi="Cambria Math"/>
                      </w:rPr>
                      <m:t>∂α</m:t>
                    </m:r>
                  </m:num>
                  <m:den>
                    <m:r>
                      <w:rPr>
                        <w:rFonts w:ascii="Cambria Math" w:eastAsiaTheme="minorEastAsia" w:hAnsi="Cambria Math"/>
                      </w:rPr>
                      <m:t>∂t</m:t>
                    </m:r>
                  </m:den>
                </m:f>
                <m:r>
                  <m:rPr>
                    <m:sty m:val="p"/>
                  </m:rPr>
                  <w:rPr>
                    <w:rFonts w:ascii="Cambria Math" w:hAnsi="Cambria Math"/>
                  </w:rPr>
                  <m:t>+∇∙(</m:t>
                </m:r>
                <m:r>
                  <m:rPr>
                    <m:sty m:val="bi"/>
                  </m:rPr>
                  <w:rPr>
                    <w:rFonts w:ascii="Cambria Math" w:hAnsi="Cambria Math"/>
                  </w:rPr>
                  <m:t>u</m:t>
                </m:r>
                <m:r>
                  <w:rPr>
                    <w:rFonts w:ascii="Cambria Math" w:hAnsi="Cambria Math"/>
                  </w:rPr>
                  <m:t>α</m:t>
                </m:r>
                <m:r>
                  <m:rPr>
                    <m:sty m:val="p"/>
                  </m:rPr>
                  <w:rPr>
                    <w:rFonts w:ascii="Cambria Math" w:hAnsi="Cambria Math"/>
                  </w:rPr>
                  <m:t>)=0</m:t>
                </m:r>
              </m:oMath>
            </m:oMathPara>
          </w:p>
        </w:tc>
        <w:tc>
          <w:tcPr>
            <w:tcW w:w="805" w:type="dxa"/>
            <w:shd w:val="clear" w:color="auto" w:fill="auto"/>
            <w:vAlign w:val="center"/>
          </w:tcPr>
          <w:p w14:paraId="6F2A92D9" w14:textId="7311E99D" w:rsidR="001535CF" w:rsidRPr="001535CF" w:rsidRDefault="001535CF" w:rsidP="001535CF">
            <w:pPr>
              <w:pStyle w:val="CETEquation"/>
            </w:pPr>
            <w:r w:rsidRPr="001535CF">
              <w:t>(</w:t>
            </w:r>
            <w:r w:rsidR="00CE59E8">
              <w:t>3</w:t>
            </w:r>
            <w:r w:rsidRPr="001535CF">
              <w:t>)</w:t>
            </w:r>
          </w:p>
        </w:tc>
      </w:tr>
    </w:tbl>
    <w:p w14:paraId="01FCA50D" w14:textId="77777777" w:rsidR="001535CF" w:rsidRPr="005035A2" w:rsidRDefault="001535CF" w:rsidP="00770A37">
      <w:pPr>
        <w:pStyle w:val="CETheadingx"/>
        <w:rPr>
          <w:lang w:eastAsia="de-DE"/>
        </w:rPr>
      </w:pPr>
      <w:r w:rsidRPr="005035A2">
        <w:rPr>
          <w:lang w:eastAsia="de-DE"/>
        </w:rPr>
        <w:t xml:space="preserve">Numerical implementation in </w:t>
      </w:r>
      <w:proofErr w:type="spellStart"/>
      <w:r>
        <w:rPr>
          <w:lang w:eastAsia="de-DE"/>
        </w:rPr>
        <w:t>OpenFOAM</w:t>
      </w:r>
      <w:proofErr w:type="spellEnd"/>
    </w:p>
    <w:p w14:paraId="528EB9E8" w14:textId="77777777" w:rsidR="00EC0D5F" w:rsidRPr="001535CF" w:rsidRDefault="00EC0D5F" w:rsidP="001535CF">
      <w:pPr>
        <w:pStyle w:val="CETBodytext"/>
      </w:pPr>
    </w:p>
    <w:p w14:paraId="2DE315E1" w14:textId="72B8218A" w:rsidR="001535CF" w:rsidRPr="00540C7E" w:rsidRDefault="001535CF" w:rsidP="00540C7E">
      <w:pPr>
        <w:pStyle w:val="CETBodytext"/>
      </w:pPr>
      <w:r w:rsidRPr="00540C7E">
        <w:t xml:space="preserve">In equations </w:t>
      </w:r>
      <w:r w:rsidR="00CE59E8">
        <w:t>1</w:t>
      </w:r>
      <w:r w:rsidRPr="00540C7E">
        <w:t xml:space="preserve">, </w:t>
      </w:r>
      <w:r w:rsidR="00CE59E8">
        <w:t>2</w:t>
      </w:r>
      <w:r w:rsidRPr="00540C7E">
        <w:t xml:space="preserve"> and </w:t>
      </w:r>
      <w:r w:rsidR="00CE59E8">
        <w:t>3</w:t>
      </w:r>
      <w:r w:rsidRPr="00540C7E">
        <w:t xml:space="preserve"> </w:t>
      </w:r>
      <m:oMath>
        <m:r>
          <m:rPr>
            <m:sty m:val="bi"/>
          </m:rPr>
          <w:rPr>
            <w:rFonts w:ascii="Cambria Math" w:hAnsi="Cambria Math"/>
          </w:rPr>
          <m:t>u</m:t>
        </m:r>
      </m:oMath>
      <w:r w:rsidRPr="00540C7E">
        <w:t xml:space="preserve"> is the velocity field defined as a weighted velocity, based on the volume fraction distribution:</w:t>
      </w:r>
    </w:p>
    <w:tbl>
      <w:tblPr>
        <w:tblW w:w="5000" w:type="pct"/>
        <w:tblLook w:val="04A0" w:firstRow="1" w:lastRow="0" w:firstColumn="1" w:lastColumn="0" w:noHBand="0" w:noVBand="1"/>
      </w:tblPr>
      <w:tblGrid>
        <w:gridCol w:w="7982"/>
        <w:gridCol w:w="805"/>
      </w:tblGrid>
      <w:tr w:rsidR="001535CF" w:rsidRPr="00B57B36" w14:paraId="23AED047" w14:textId="77777777" w:rsidTr="001535CF">
        <w:tc>
          <w:tcPr>
            <w:tcW w:w="7982" w:type="dxa"/>
            <w:shd w:val="clear" w:color="auto" w:fill="auto"/>
            <w:vAlign w:val="center"/>
          </w:tcPr>
          <w:p w14:paraId="3AD11A10" w14:textId="09930C87" w:rsidR="001535CF" w:rsidRPr="001535CF" w:rsidRDefault="001535CF" w:rsidP="001535CF">
            <w:pPr>
              <w:pStyle w:val="CETEquation"/>
              <w:rPr>
                <w:szCs w:val="18"/>
              </w:rPr>
            </w:pPr>
            <m:oMathPara>
              <m:oMathParaPr>
                <m:jc m:val="left"/>
              </m:oMathParaPr>
              <m:oMath>
                <m:r>
                  <m:rPr>
                    <m:sty m:val="bi"/>
                  </m:rPr>
                  <w:rPr>
                    <w:rFonts w:ascii="Cambria Math" w:hAnsi="Cambria Math"/>
                    <w:szCs w:val="18"/>
                  </w:rPr>
                  <m:t>u</m:t>
                </m:r>
                <m:r>
                  <w:rPr>
                    <w:rFonts w:ascii="Cambria Math" w:hAnsi="Cambria Math"/>
                    <w:szCs w:val="18"/>
                  </w:rPr>
                  <m:t>=</m:t>
                </m:r>
                <m:sSub>
                  <m:sSubPr>
                    <m:ctrlPr>
                      <w:rPr>
                        <w:rFonts w:ascii="Cambria Math" w:hAnsi="Cambria Math"/>
                        <w:b/>
                        <w:bCs/>
                        <w:i/>
                        <w:szCs w:val="18"/>
                      </w:rPr>
                    </m:ctrlPr>
                  </m:sSubPr>
                  <m:e>
                    <m:r>
                      <m:rPr>
                        <m:sty m:val="bi"/>
                      </m:rPr>
                      <w:rPr>
                        <w:rFonts w:ascii="Cambria Math" w:hAnsi="Cambria Math"/>
                        <w:szCs w:val="18"/>
                      </w:rPr>
                      <m:t>u</m:t>
                    </m:r>
                  </m:e>
                  <m:sub>
                    <m:r>
                      <m:rPr>
                        <m:sty m:val="bi"/>
                      </m:rPr>
                      <w:rPr>
                        <w:rFonts w:ascii="Cambria Math" w:hAnsi="Cambria Math"/>
                        <w:szCs w:val="18"/>
                      </w:rPr>
                      <m:t>1</m:t>
                    </m:r>
                  </m:sub>
                </m:sSub>
                <m:r>
                  <w:rPr>
                    <w:rFonts w:ascii="Cambria Math" w:hAnsi="Cambria Math"/>
                    <w:szCs w:val="18"/>
                  </w:rPr>
                  <m:t>α+</m:t>
                </m:r>
                <m:sSub>
                  <m:sSubPr>
                    <m:ctrlPr>
                      <w:rPr>
                        <w:rFonts w:ascii="Cambria Math" w:hAnsi="Cambria Math"/>
                        <w:b/>
                        <w:bCs/>
                        <w:i/>
                        <w:szCs w:val="18"/>
                      </w:rPr>
                    </m:ctrlPr>
                  </m:sSubPr>
                  <m:e>
                    <m:r>
                      <m:rPr>
                        <m:sty m:val="bi"/>
                      </m:rPr>
                      <w:rPr>
                        <w:rFonts w:ascii="Cambria Math" w:hAnsi="Cambria Math"/>
                        <w:szCs w:val="18"/>
                      </w:rPr>
                      <m:t>u</m:t>
                    </m:r>
                  </m:e>
                  <m:sub>
                    <m:r>
                      <m:rPr>
                        <m:sty m:val="bi"/>
                      </m:rPr>
                      <w:rPr>
                        <w:rFonts w:ascii="Cambria Math" w:hAnsi="Cambria Math"/>
                        <w:szCs w:val="18"/>
                      </w:rPr>
                      <m:t>2</m:t>
                    </m:r>
                  </m:sub>
                </m:sSub>
                <m:r>
                  <w:rPr>
                    <w:rFonts w:ascii="Cambria Math" w:hAnsi="Cambria Math"/>
                    <w:szCs w:val="18"/>
                  </w:rPr>
                  <m:t>(1-α)</m:t>
                </m:r>
              </m:oMath>
            </m:oMathPara>
          </w:p>
        </w:tc>
        <w:tc>
          <w:tcPr>
            <w:tcW w:w="805" w:type="dxa"/>
            <w:shd w:val="clear" w:color="auto" w:fill="auto"/>
            <w:vAlign w:val="center"/>
          </w:tcPr>
          <w:p w14:paraId="02E198C8" w14:textId="16BFE383" w:rsidR="001535CF" w:rsidRPr="00B57B36" w:rsidRDefault="001535CF" w:rsidP="001535CF">
            <w:pPr>
              <w:pStyle w:val="CETEquation"/>
            </w:pPr>
            <w:r w:rsidRPr="00B57B36">
              <w:t>(</w:t>
            </w:r>
            <w:r w:rsidR="00CE59E8">
              <w:t>4</w:t>
            </w:r>
            <w:r w:rsidRPr="00B57B36">
              <w:t>)</w:t>
            </w:r>
          </w:p>
        </w:tc>
      </w:tr>
    </w:tbl>
    <w:p w14:paraId="3324917B" w14:textId="4802DC91" w:rsidR="001535CF" w:rsidRPr="008F519B" w:rsidRDefault="00D05B16" w:rsidP="00C2280D">
      <w:pPr>
        <w:pStyle w:val="CETBodytext"/>
        <w:rPr>
          <w:lang w:eastAsia="de-DE"/>
        </w:rPr>
      </w:pPr>
      <m:oMath>
        <m:sSub>
          <m:sSubPr>
            <m:ctrlPr>
              <w:rPr>
                <w:rFonts w:ascii="Cambria Math" w:hAnsi="Cambria Math"/>
                <w:lang w:eastAsia="de-DE"/>
              </w:rPr>
            </m:ctrlPr>
          </m:sSubPr>
          <m:e>
            <m:r>
              <m:rPr>
                <m:sty m:val="bi"/>
              </m:rPr>
              <w:rPr>
                <w:rFonts w:ascii="Cambria Math" w:hAnsi="Cambria Math"/>
                <w:lang w:eastAsia="de-DE"/>
              </w:rPr>
              <m:t>u</m:t>
            </m:r>
          </m:e>
          <m:sub>
            <m:r>
              <m:rPr>
                <m:sty m:val="b"/>
              </m:rPr>
              <w:rPr>
                <w:rFonts w:ascii="Cambria Math" w:hAnsi="Cambria Math"/>
                <w:lang w:eastAsia="de-DE"/>
              </w:rPr>
              <m:t>1</m:t>
            </m:r>
          </m:sub>
        </m:sSub>
      </m:oMath>
      <w:r w:rsidR="001535CF" w:rsidRPr="005536DB">
        <w:t xml:space="preserve"> </w:t>
      </w:r>
      <w:r w:rsidR="001535CF" w:rsidRPr="005536DB">
        <w:rPr>
          <w:lang w:eastAsia="de-DE"/>
        </w:rPr>
        <w:t>denotes the velocity of the fluid 1</w:t>
      </w:r>
      <w:r w:rsidR="008F519B">
        <w:rPr>
          <w:lang w:eastAsia="de-DE"/>
        </w:rPr>
        <w:t xml:space="preserve">, </w:t>
      </w:r>
      <m:oMath>
        <m:sSub>
          <m:sSubPr>
            <m:ctrlPr>
              <w:rPr>
                <w:rFonts w:ascii="Cambria Math" w:hAnsi="Cambria Math"/>
                <w:lang w:eastAsia="de-DE"/>
              </w:rPr>
            </m:ctrlPr>
          </m:sSubPr>
          <m:e>
            <m:r>
              <m:rPr>
                <m:sty m:val="bi"/>
              </m:rPr>
              <w:rPr>
                <w:rFonts w:ascii="Cambria Math" w:hAnsi="Cambria Math"/>
                <w:lang w:eastAsia="de-DE"/>
              </w:rPr>
              <m:t>u</m:t>
            </m:r>
          </m:e>
          <m:sub>
            <m:r>
              <m:rPr>
                <m:sty m:val="b"/>
              </m:rPr>
              <w:rPr>
                <w:rFonts w:ascii="Cambria Math" w:hAnsi="Cambria Math"/>
                <w:lang w:eastAsia="de-DE"/>
              </w:rPr>
              <m:t>2</m:t>
            </m:r>
          </m:sub>
        </m:sSub>
        <m:r>
          <m:rPr>
            <m:sty m:val="p"/>
          </m:rPr>
          <w:rPr>
            <w:rFonts w:ascii="Cambria Math" w:hAnsi="Cambria Math"/>
            <w:lang w:eastAsia="de-DE"/>
          </w:rPr>
          <m:t xml:space="preserve"> </m:t>
        </m:r>
      </m:oMath>
      <w:r w:rsidR="001535CF">
        <w:rPr>
          <w:lang w:eastAsia="de-DE"/>
        </w:rPr>
        <w:t>the velocity of the fluid 2</w:t>
      </w:r>
      <w:r w:rsidR="008F519B">
        <w:rPr>
          <w:lang w:eastAsia="de-DE"/>
        </w:rPr>
        <w:t xml:space="preserve"> and </w:t>
      </w:r>
      <m:oMath>
        <m:r>
          <m:rPr>
            <m:sty m:val="bi"/>
          </m:rPr>
          <w:rPr>
            <w:rFonts w:ascii="Cambria Math" w:hAnsi="Cambria Math"/>
            <w:lang w:eastAsia="de-DE"/>
          </w:rPr>
          <m:t>τ</m:t>
        </m:r>
      </m:oMath>
      <w:r w:rsidR="001535CF" w:rsidRPr="005536DB">
        <w:rPr>
          <w:lang w:eastAsia="de-DE"/>
        </w:rPr>
        <w:t xml:space="preserve"> represents the viscous </w:t>
      </w:r>
      <w:r w:rsidR="001535CF">
        <w:rPr>
          <w:lang w:eastAsia="de-DE"/>
        </w:rPr>
        <w:t>stress</w:t>
      </w:r>
      <w:r w:rsidR="001535CF" w:rsidRPr="005536DB">
        <w:rPr>
          <w:lang w:eastAsia="de-DE"/>
        </w:rPr>
        <w:t xml:space="preserve"> tensor:</w:t>
      </w:r>
    </w:p>
    <w:tbl>
      <w:tblPr>
        <w:tblW w:w="5000" w:type="pct"/>
        <w:tblLook w:val="04A0" w:firstRow="1" w:lastRow="0" w:firstColumn="1" w:lastColumn="0" w:noHBand="0" w:noVBand="1"/>
      </w:tblPr>
      <w:tblGrid>
        <w:gridCol w:w="7983"/>
        <w:gridCol w:w="804"/>
      </w:tblGrid>
      <w:tr w:rsidR="00CA5CD8" w:rsidRPr="00B57B36" w14:paraId="3AF88CAC" w14:textId="77777777" w:rsidTr="00CA5CD8">
        <w:tc>
          <w:tcPr>
            <w:tcW w:w="7983" w:type="dxa"/>
            <w:shd w:val="clear" w:color="auto" w:fill="auto"/>
            <w:vAlign w:val="center"/>
          </w:tcPr>
          <w:p w14:paraId="647AC1D9" w14:textId="604BA998" w:rsidR="00CA5CD8" w:rsidRPr="00CA5CD8" w:rsidRDefault="00CA5CD8" w:rsidP="00C2280D">
            <w:pPr>
              <w:pStyle w:val="CETEquation"/>
              <w:rPr>
                <w:szCs w:val="18"/>
              </w:rPr>
            </w:pPr>
            <m:oMathPara>
              <m:oMathParaPr>
                <m:jc m:val="left"/>
              </m:oMathParaPr>
              <m:oMath>
                <m:r>
                  <w:rPr>
                    <w:rFonts w:ascii="Cambria Math" w:hAnsi="Cambria Math"/>
                    <w:szCs w:val="18"/>
                  </w:rPr>
                  <m:t>τ=μ</m:t>
                </m:r>
                <m:d>
                  <m:dPr>
                    <m:begChr m:val="["/>
                    <m:endChr m:val="]"/>
                    <m:ctrlPr>
                      <w:rPr>
                        <w:rFonts w:ascii="Cambria Math" w:hAnsi="Cambria Math"/>
                        <w:i/>
                        <w:szCs w:val="18"/>
                      </w:rPr>
                    </m:ctrlPr>
                  </m:dPr>
                  <m:e>
                    <m:r>
                      <m:rPr>
                        <m:sty m:val="p"/>
                      </m:rPr>
                      <w:rPr>
                        <w:rFonts w:ascii="Cambria Math" w:hAnsi="Cambria Math"/>
                        <w:szCs w:val="18"/>
                      </w:rPr>
                      <m:t>∇</m:t>
                    </m:r>
                    <m:r>
                      <m:rPr>
                        <m:sty m:val="bi"/>
                      </m:rPr>
                      <w:rPr>
                        <w:rFonts w:ascii="Cambria Math" w:hAnsi="Cambria Math"/>
                        <w:szCs w:val="18"/>
                      </w:rPr>
                      <m:t>u</m:t>
                    </m:r>
                    <m:r>
                      <w:rPr>
                        <w:rFonts w:ascii="Cambria Math" w:hAnsi="Cambria Math"/>
                        <w:szCs w:val="18"/>
                      </w:rPr>
                      <m:t>+</m:t>
                    </m:r>
                    <m:sSup>
                      <m:sSupPr>
                        <m:ctrlPr>
                          <w:rPr>
                            <w:rFonts w:ascii="Cambria Math" w:hAnsi="Cambria Math"/>
                            <w:i/>
                            <w:szCs w:val="18"/>
                          </w:rPr>
                        </m:ctrlPr>
                      </m:sSupPr>
                      <m:e>
                        <m:d>
                          <m:dPr>
                            <m:ctrlPr>
                              <w:rPr>
                                <w:rFonts w:ascii="Cambria Math" w:hAnsi="Cambria Math"/>
                                <w:i/>
                                <w:szCs w:val="18"/>
                              </w:rPr>
                            </m:ctrlPr>
                          </m:dPr>
                          <m:e>
                            <m:r>
                              <m:rPr>
                                <m:sty m:val="p"/>
                              </m:rPr>
                              <w:rPr>
                                <w:rFonts w:ascii="Cambria Math" w:hAnsi="Cambria Math"/>
                                <w:szCs w:val="18"/>
                              </w:rPr>
                              <m:t>∇</m:t>
                            </m:r>
                            <m:r>
                              <m:rPr>
                                <m:sty m:val="bi"/>
                              </m:rPr>
                              <w:rPr>
                                <w:rFonts w:ascii="Cambria Math" w:hAnsi="Cambria Math"/>
                                <w:szCs w:val="18"/>
                              </w:rPr>
                              <m:t>u</m:t>
                            </m:r>
                          </m:e>
                        </m:d>
                      </m:e>
                      <m:sup>
                        <m:r>
                          <w:rPr>
                            <w:rFonts w:ascii="Cambria Math" w:hAnsi="Cambria Math"/>
                            <w:szCs w:val="18"/>
                          </w:rPr>
                          <m:t>T</m:t>
                        </m:r>
                      </m:sup>
                    </m:sSup>
                  </m:e>
                </m:d>
              </m:oMath>
            </m:oMathPara>
          </w:p>
        </w:tc>
        <w:tc>
          <w:tcPr>
            <w:tcW w:w="804" w:type="dxa"/>
            <w:shd w:val="clear" w:color="auto" w:fill="auto"/>
            <w:vAlign w:val="center"/>
          </w:tcPr>
          <w:p w14:paraId="546B7F1E" w14:textId="270595D7" w:rsidR="00CA5CD8" w:rsidRPr="00B57B36" w:rsidRDefault="00CA5CD8" w:rsidP="00C2280D">
            <w:pPr>
              <w:pStyle w:val="CETEquation"/>
            </w:pPr>
            <w:r w:rsidRPr="00B57B36">
              <w:t>(</w:t>
            </w:r>
            <w:r w:rsidR="00CE59E8">
              <w:t>5</w:t>
            </w:r>
            <w:r w:rsidRPr="00B57B36">
              <w:t>)</w:t>
            </w:r>
          </w:p>
        </w:tc>
      </w:tr>
    </w:tbl>
    <w:p w14:paraId="16B116AF" w14:textId="10C81CE3" w:rsidR="00CA5CD8" w:rsidRDefault="00CA5CD8" w:rsidP="00C2280D">
      <w:pPr>
        <w:pStyle w:val="CETBodytext"/>
        <w:rPr>
          <w:lang w:eastAsia="de-DE"/>
        </w:rPr>
      </w:pPr>
      <m:oMath>
        <m:r>
          <w:rPr>
            <w:rFonts w:ascii="Cambria Math" w:hAnsi="Cambria Math"/>
            <w:lang w:eastAsia="de-DE"/>
          </w:rPr>
          <m:t>σ</m:t>
        </m:r>
      </m:oMath>
      <w:r w:rsidRPr="005536DB">
        <w:rPr>
          <w:lang w:eastAsia="de-DE"/>
        </w:rPr>
        <w:t xml:space="preserve"> is the surface tension, considered constant</w:t>
      </w:r>
      <w:r w:rsidR="008F519B">
        <w:rPr>
          <w:lang w:eastAsia="de-DE"/>
        </w:rPr>
        <w:t xml:space="preserve">; </w:t>
      </w:r>
      <m:oMath>
        <m:r>
          <m:rPr>
            <m:sty m:val="bi"/>
          </m:rPr>
          <w:rPr>
            <w:rFonts w:ascii="Cambria Math" w:hAnsi="Cambria Math"/>
            <w:lang w:eastAsia="de-DE"/>
          </w:rPr>
          <m:t>g</m:t>
        </m:r>
      </m:oMath>
      <w:r w:rsidRPr="005536DB">
        <w:rPr>
          <w:lang w:eastAsia="de-DE"/>
        </w:rPr>
        <w:t xml:space="preserve"> represents the acceleration of gravity</w:t>
      </w:r>
      <w:r w:rsidR="008F519B">
        <w:rPr>
          <w:lang w:eastAsia="de-DE"/>
        </w:rPr>
        <w:t xml:space="preserve"> and </w:t>
      </w:r>
      <m:oMath>
        <m:r>
          <w:rPr>
            <w:rFonts w:ascii="Cambria Math" w:hAnsi="Cambria Math"/>
            <w:lang w:eastAsia="de-DE"/>
          </w:rPr>
          <m:t>κ</m:t>
        </m:r>
        <m:r>
          <m:rPr>
            <m:sty m:val="p"/>
          </m:rPr>
          <w:rPr>
            <w:rFonts w:ascii="Cambria Math" w:hAnsi="Cambria Math"/>
            <w:lang w:eastAsia="de-DE"/>
          </w:rPr>
          <m:t xml:space="preserve"> </m:t>
        </m:r>
      </m:oMath>
      <w:r w:rsidRPr="005536DB">
        <w:rPr>
          <w:lang w:eastAsia="de-DE"/>
        </w:rPr>
        <w:t xml:space="preserve"> is the average curvature of the interface:</w:t>
      </w:r>
    </w:p>
    <w:tbl>
      <w:tblPr>
        <w:tblW w:w="5000" w:type="pct"/>
        <w:tblLook w:val="04A0" w:firstRow="1" w:lastRow="0" w:firstColumn="1" w:lastColumn="0" w:noHBand="0" w:noVBand="1"/>
      </w:tblPr>
      <w:tblGrid>
        <w:gridCol w:w="7983"/>
        <w:gridCol w:w="804"/>
      </w:tblGrid>
      <w:tr w:rsidR="00CA5CD8" w:rsidRPr="00B57B36" w14:paraId="019EC16A" w14:textId="77777777" w:rsidTr="00CA5CD8">
        <w:tc>
          <w:tcPr>
            <w:tcW w:w="7983" w:type="dxa"/>
            <w:shd w:val="clear" w:color="auto" w:fill="auto"/>
            <w:vAlign w:val="center"/>
          </w:tcPr>
          <w:p w14:paraId="2F3A854A" w14:textId="19098E5D" w:rsidR="00CA5CD8" w:rsidRPr="00CA5CD8" w:rsidRDefault="00CA5CD8" w:rsidP="00C2280D">
            <w:pPr>
              <w:pStyle w:val="CETEquation"/>
            </w:pPr>
            <m:oMathPara>
              <m:oMathParaPr>
                <m:jc m:val="left"/>
              </m:oMathParaPr>
              <m:oMath>
                <m:r>
                  <w:rPr>
                    <w:rFonts w:ascii="Cambria Math" w:hAnsi="Cambria Math"/>
                  </w:rPr>
                  <m:t>κ</m:t>
                </m:r>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α</m:t>
                        </m:r>
                      </m:num>
                      <m:den>
                        <m:d>
                          <m:dPr>
                            <m:begChr m:val="|"/>
                            <m:endChr m:val="|"/>
                            <m:ctrlPr>
                              <w:rPr>
                                <w:rFonts w:ascii="Cambria Math" w:hAnsi="Cambria Math"/>
                              </w:rPr>
                            </m:ctrlPr>
                          </m:dPr>
                          <m:e>
                            <m:r>
                              <m:rPr>
                                <m:sty m:val="p"/>
                              </m:rPr>
                              <w:rPr>
                                <w:rFonts w:ascii="Cambria Math" w:hAnsi="Cambria Math"/>
                              </w:rPr>
                              <m:t>∇</m:t>
                            </m:r>
                            <m:r>
                              <w:rPr>
                                <w:rFonts w:ascii="Cambria Math" w:hAnsi="Cambria Math"/>
                              </w:rPr>
                              <m:t>α</m:t>
                            </m:r>
                          </m:e>
                        </m:d>
                      </m:den>
                    </m:f>
                  </m:e>
                </m:d>
              </m:oMath>
            </m:oMathPara>
          </w:p>
        </w:tc>
        <w:tc>
          <w:tcPr>
            <w:tcW w:w="804" w:type="dxa"/>
            <w:shd w:val="clear" w:color="auto" w:fill="auto"/>
            <w:vAlign w:val="center"/>
          </w:tcPr>
          <w:p w14:paraId="73182DB7" w14:textId="16823639" w:rsidR="00CA5CD8" w:rsidRPr="00B57B36" w:rsidRDefault="00CA5CD8" w:rsidP="00C2280D">
            <w:pPr>
              <w:pStyle w:val="CETEquation"/>
            </w:pPr>
            <w:r w:rsidRPr="00B57B36">
              <w:t>(</w:t>
            </w:r>
            <w:r w:rsidR="00CE59E8">
              <w:t>6</w:t>
            </w:r>
            <w:r w:rsidRPr="00B57B36">
              <w:t>)</w:t>
            </w:r>
          </w:p>
        </w:tc>
      </w:tr>
    </w:tbl>
    <w:p w14:paraId="60B2E985" w14:textId="3160AB9B" w:rsidR="00CA5CD8" w:rsidRDefault="00CA5CD8" w:rsidP="00C2280D">
      <w:pPr>
        <w:pStyle w:val="CETBodytext"/>
        <w:rPr>
          <w:lang w:eastAsia="de-DE"/>
        </w:rPr>
      </w:pPr>
      <w:r w:rsidRPr="00BB545C">
        <w:rPr>
          <w:lang w:eastAsia="de-DE"/>
        </w:rPr>
        <w:t xml:space="preserve">The calculation of the local properties where the interface is present is based on the average of the properties of both fluids weighted by the scalar field </w:t>
      </w:r>
      <w:r>
        <w:rPr>
          <w:lang w:eastAsia="de-DE"/>
        </w:rPr>
        <w:t>a (Cano-Lozano, 201</w:t>
      </w:r>
      <w:r w:rsidR="0076697B">
        <w:rPr>
          <w:lang w:eastAsia="de-DE"/>
        </w:rPr>
        <w:t>4</w:t>
      </w:r>
      <w:r>
        <w:rPr>
          <w:lang w:eastAsia="de-DE"/>
        </w:rPr>
        <w:t xml:space="preserve">): </w:t>
      </w:r>
    </w:p>
    <w:tbl>
      <w:tblPr>
        <w:tblW w:w="5000" w:type="pct"/>
        <w:tblLook w:val="04A0" w:firstRow="1" w:lastRow="0" w:firstColumn="1" w:lastColumn="0" w:noHBand="0" w:noVBand="1"/>
      </w:tblPr>
      <w:tblGrid>
        <w:gridCol w:w="7986"/>
        <w:gridCol w:w="801"/>
      </w:tblGrid>
      <w:tr w:rsidR="00CA5CD8" w:rsidRPr="00CA5CD8" w14:paraId="193EC6CA" w14:textId="77777777" w:rsidTr="00CA5CD8">
        <w:tc>
          <w:tcPr>
            <w:tcW w:w="7986" w:type="dxa"/>
            <w:shd w:val="clear" w:color="auto" w:fill="auto"/>
            <w:vAlign w:val="center"/>
          </w:tcPr>
          <w:p w14:paraId="3B415025" w14:textId="6A32E953" w:rsidR="00CA5CD8" w:rsidRPr="00CA5CD8" w:rsidRDefault="00D05B16" w:rsidP="00C2280D">
            <w:pPr>
              <w:pStyle w:val="CETEquation"/>
            </w:pPr>
            <m:oMathPara>
              <m:oMathParaPr>
                <m:jc m:val="left"/>
              </m:oMathParaPr>
              <m:oMath>
                <m:sSub>
                  <m:sSubPr>
                    <m:ctrlPr>
                      <w:rPr>
                        <w:rFonts w:ascii="Cambria Math" w:hAnsi="Cambria Math"/>
                      </w:rPr>
                    </m:ctrlPr>
                  </m:sSubPr>
                  <m:e>
                    <m:r>
                      <w:rPr>
                        <w:rFonts w:ascii="Cambria Math" w:hAnsi="Cambria Math"/>
                      </w:rPr>
                      <m:t>ρ</m:t>
                    </m:r>
                  </m:e>
                  <m:sub>
                    <m:r>
                      <w:rPr>
                        <w:rFonts w:ascii="Cambria Math" w:hAnsi="Cambria Math"/>
                      </w:rPr>
                      <m:t>i</m:t>
                    </m:r>
                  </m:sub>
                </m:sSub>
                <m:r>
                  <m:rPr>
                    <m:sty m:val="p"/>
                  </m:rPr>
                  <w:rPr>
                    <w:rFonts w:ascii="Cambria Math" w:hAnsi="Cambria Math"/>
                  </w:rPr>
                  <m:t>=</m:t>
                </m:r>
                <m:r>
                  <w:rPr>
                    <w:rFonts w:ascii="Cambria Math" w:hAnsi="Cambria Math"/>
                  </w:rPr>
                  <m:t>α</m:t>
                </m:r>
                <m:sSub>
                  <m:sSubPr>
                    <m:ctrlPr>
                      <w:rPr>
                        <w:rFonts w:ascii="Cambria Math" w:hAnsi="Cambria Math"/>
                      </w:rPr>
                    </m:ctrlPr>
                  </m:sSubPr>
                  <m:e>
                    <m:r>
                      <w:rPr>
                        <w:rFonts w:ascii="Cambria Math" w:hAnsi="Cambria Math"/>
                      </w:rPr>
                      <m:t>ρ</m:t>
                    </m:r>
                  </m:e>
                  <m:sub>
                    <m:r>
                      <m:rPr>
                        <m:sty m:val="p"/>
                      </m:rPr>
                      <w:rPr>
                        <w:rFonts w:ascii="Cambria Math" w:hAnsi="Cambria Math"/>
                      </w:rPr>
                      <m:t>1</m:t>
                    </m:r>
                  </m:sub>
                </m:sSub>
                <m:r>
                  <m:rPr>
                    <m:sty m:val="p"/>
                  </m:rPr>
                  <w:rPr>
                    <w:rFonts w:ascii="Cambria Math" w:hAnsi="Cambria Math"/>
                  </w:rPr>
                  <m:t>+(1-</m:t>
                </m:r>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ρ</m:t>
                    </m:r>
                  </m:e>
                  <m:sub>
                    <m:r>
                      <m:rPr>
                        <m:sty m:val="p"/>
                      </m:rPr>
                      <w:rPr>
                        <w:rFonts w:ascii="Cambria Math" w:hAnsi="Cambria Math"/>
                      </w:rPr>
                      <m:t>2</m:t>
                    </m:r>
                  </m:sub>
                </m:sSub>
              </m:oMath>
            </m:oMathPara>
          </w:p>
        </w:tc>
        <w:tc>
          <w:tcPr>
            <w:tcW w:w="801" w:type="dxa"/>
            <w:shd w:val="clear" w:color="auto" w:fill="auto"/>
            <w:vAlign w:val="center"/>
          </w:tcPr>
          <w:p w14:paraId="53AC6F83" w14:textId="2FE076D8" w:rsidR="00CA5CD8" w:rsidRPr="00CA5CD8" w:rsidRDefault="00CA5CD8" w:rsidP="00C2280D">
            <w:pPr>
              <w:pStyle w:val="CETEquation"/>
            </w:pPr>
            <w:r w:rsidRPr="00CA5CD8">
              <w:t>(</w:t>
            </w:r>
            <w:r w:rsidR="00CE59E8">
              <w:t>7</w:t>
            </w:r>
            <w:r w:rsidRPr="00CA5CD8">
              <w:t>)</w:t>
            </w:r>
          </w:p>
        </w:tc>
      </w:tr>
      <w:tr w:rsidR="00CA5CD8" w:rsidRPr="00CA5CD8" w14:paraId="401F3062" w14:textId="77777777" w:rsidTr="00CA5CD8">
        <w:tc>
          <w:tcPr>
            <w:tcW w:w="7986" w:type="dxa"/>
            <w:shd w:val="clear" w:color="auto" w:fill="auto"/>
            <w:vAlign w:val="center"/>
          </w:tcPr>
          <w:p w14:paraId="61EF3F11" w14:textId="76D541D4" w:rsidR="00CA5CD8" w:rsidRPr="00CA5CD8" w:rsidRDefault="00D05B16" w:rsidP="00C2280D">
            <w:pPr>
              <w:pStyle w:val="CETEquation"/>
            </w:pPr>
            <m:oMathPara>
              <m:oMathParaPr>
                <m:jc m:val="left"/>
              </m:oMathParaPr>
              <m:oMath>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r>
                  <w:rPr>
                    <w:rFonts w:ascii="Cambria Math" w:hAnsi="Cambria Math"/>
                  </w:rPr>
                  <m:t>α</m:t>
                </m:r>
                <m:sSub>
                  <m:sSubPr>
                    <m:ctrlPr>
                      <w:rPr>
                        <w:rFonts w:ascii="Cambria Math" w:hAnsi="Cambria Math"/>
                      </w:rPr>
                    </m:ctrlPr>
                  </m:sSubPr>
                  <m:e>
                    <m:r>
                      <w:rPr>
                        <w:rFonts w:ascii="Cambria Math" w:hAnsi="Cambria Math"/>
                      </w:rPr>
                      <m:t>μ</m:t>
                    </m:r>
                  </m:e>
                  <m:sub>
                    <m:r>
                      <m:rPr>
                        <m:sty m:val="p"/>
                      </m:rPr>
                      <w:rPr>
                        <w:rFonts w:ascii="Cambria Math" w:hAnsi="Cambria Math"/>
                      </w:rPr>
                      <m:t>1</m:t>
                    </m:r>
                  </m:sub>
                </m:sSub>
                <m:r>
                  <m:rPr>
                    <m:sty m:val="p"/>
                  </m:rPr>
                  <w:rPr>
                    <w:rFonts w:ascii="Cambria Math" w:hAnsi="Cambria Math"/>
                  </w:rPr>
                  <m:t>+(1-</m:t>
                </m:r>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2</m:t>
                    </m:r>
                  </m:sub>
                </m:sSub>
              </m:oMath>
            </m:oMathPara>
          </w:p>
        </w:tc>
        <w:tc>
          <w:tcPr>
            <w:tcW w:w="801" w:type="dxa"/>
            <w:shd w:val="clear" w:color="auto" w:fill="auto"/>
            <w:vAlign w:val="center"/>
          </w:tcPr>
          <w:p w14:paraId="325348DE" w14:textId="65C946D9" w:rsidR="00CA5CD8" w:rsidRPr="00CA5CD8" w:rsidRDefault="00CA5CD8" w:rsidP="00C2280D">
            <w:pPr>
              <w:pStyle w:val="CETEquation"/>
            </w:pPr>
            <w:r w:rsidRPr="00CA5CD8">
              <w:t>(</w:t>
            </w:r>
            <w:r w:rsidR="00CE59E8">
              <w:t>8</w:t>
            </w:r>
            <w:r w:rsidRPr="00CA5CD8">
              <w:t>)</w:t>
            </w:r>
          </w:p>
        </w:tc>
      </w:tr>
    </w:tbl>
    <w:p w14:paraId="3EEA7958" w14:textId="53938349" w:rsidR="00CA5CD8" w:rsidRPr="008F519B" w:rsidRDefault="00CA5CD8" w:rsidP="00C2280D">
      <w:pPr>
        <w:pStyle w:val="CETEquation"/>
      </w:pPr>
      <w:r w:rsidRPr="008F519B">
        <w:t xml:space="preserve">In </w:t>
      </w:r>
      <w:proofErr w:type="spellStart"/>
      <w:r w:rsidRPr="008F519B">
        <w:t>interFOAM</w:t>
      </w:r>
      <w:proofErr w:type="spellEnd"/>
      <w:r w:rsidRPr="008F519B">
        <w:t xml:space="preserve">, the algorithm for solving the scalar transport a is known as MULES (Multi-Dimensional Limiter for Explicit Solution). </w:t>
      </w:r>
      <w:r w:rsidRPr="00C2280D">
        <w:rPr>
          <w:rStyle w:val="CETBodytextCarattere"/>
        </w:rPr>
        <w:t xml:space="preserve">In this case, it adds an artificial compression term to the transport equation of </w:t>
      </w:r>
      <w:r w:rsidRPr="00CE59E8">
        <w:rPr>
          <w:rStyle w:val="CETBodytextCarattere"/>
          <w:rFonts w:ascii="Symbol" w:hAnsi="Symbol"/>
        </w:rPr>
        <w:t></w:t>
      </w:r>
      <w:r w:rsidRPr="00C2280D">
        <w:rPr>
          <w:rStyle w:val="CETBodytextCarattere"/>
        </w:rPr>
        <w:t xml:space="preserve"> so that the interface is as dispersed as possible, resulting in:</w:t>
      </w:r>
    </w:p>
    <w:tbl>
      <w:tblPr>
        <w:tblW w:w="5000" w:type="pct"/>
        <w:tblLook w:val="04A0" w:firstRow="1" w:lastRow="0" w:firstColumn="1" w:lastColumn="0" w:noHBand="0" w:noVBand="1"/>
      </w:tblPr>
      <w:tblGrid>
        <w:gridCol w:w="7980"/>
        <w:gridCol w:w="807"/>
      </w:tblGrid>
      <w:tr w:rsidR="00CA5CD8" w:rsidRPr="00540C7E" w14:paraId="7792FFEC" w14:textId="77777777" w:rsidTr="00CA5CD8">
        <w:tc>
          <w:tcPr>
            <w:tcW w:w="7980" w:type="dxa"/>
            <w:shd w:val="clear" w:color="auto" w:fill="auto"/>
            <w:vAlign w:val="center"/>
          </w:tcPr>
          <w:p w14:paraId="69F3C5B1" w14:textId="12535FF4" w:rsidR="00CA5CD8" w:rsidRPr="00540C7E" w:rsidRDefault="00D05B16" w:rsidP="00C2280D">
            <w:pPr>
              <w:pStyle w:val="CETEquation"/>
            </w:pPr>
            <m:oMathPara>
              <m:oMathParaPr>
                <m:jc m:val="left"/>
              </m:oMathParaPr>
              <m:oMath>
                <m:f>
                  <m:fPr>
                    <m:ctrlPr>
                      <w:rPr>
                        <w:rFonts w:ascii="Cambria Math" w:hAnsi="Cambria Math"/>
                      </w:rPr>
                    </m:ctrlPr>
                  </m:fPr>
                  <m:num>
                    <m:r>
                      <w:rPr>
                        <w:rFonts w:ascii="Cambria Math" w:hAnsi="Cambria Math"/>
                      </w:rPr>
                      <m:t>∂α</m:t>
                    </m:r>
                  </m:num>
                  <m:den>
                    <m:r>
                      <w:rPr>
                        <w:rFonts w:ascii="Cambria Math" w:hAnsi="Cambria Math"/>
                      </w:rPr>
                      <m:t>∂t</m:t>
                    </m:r>
                  </m:den>
                </m:f>
                <m:r>
                  <m:rPr>
                    <m:sty m:val="p"/>
                  </m:rPr>
                  <w:rPr>
                    <w:rFonts w:ascii="Cambria Math" w:hAnsi="Cambria Math"/>
                  </w:rPr>
                  <m:t>+∇∙</m:t>
                </m:r>
                <m:d>
                  <m:dPr>
                    <m:ctrlPr>
                      <w:rPr>
                        <w:rFonts w:ascii="Cambria Math" w:hAnsi="Cambria Math"/>
                      </w:rPr>
                    </m:ctrlPr>
                  </m:dPr>
                  <m:e>
                    <m:r>
                      <m:rPr>
                        <m:sty m:val="bi"/>
                      </m:rPr>
                      <w:rPr>
                        <w:rFonts w:ascii="Cambria Math" w:hAnsi="Cambria Math"/>
                      </w:rPr>
                      <m:t>u</m:t>
                    </m:r>
                    <m:r>
                      <w:rPr>
                        <w:rFonts w:ascii="Cambria Math" w:hAnsi="Cambria Math"/>
                      </w:rPr>
                      <m:t>α</m:t>
                    </m:r>
                  </m:e>
                </m:d>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α</m:t>
                    </m:r>
                    <m:d>
                      <m:dPr>
                        <m:ctrlPr>
                          <w:rPr>
                            <w:rFonts w:ascii="Cambria Math" w:hAnsi="Cambria Math"/>
                          </w:rPr>
                        </m:ctrlPr>
                      </m:dPr>
                      <m:e>
                        <m:r>
                          <m:rPr>
                            <m:sty m:val="p"/>
                          </m:rPr>
                          <w:rPr>
                            <w:rFonts w:ascii="Cambria Math" w:hAnsi="Cambria Math"/>
                          </w:rPr>
                          <m:t>1-</m:t>
                        </m:r>
                        <m:r>
                          <w:rPr>
                            <w:rFonts w:ascii="Cambria Math" w:hAnsi="Cambria Math"/>
                          </w:rPr>
                          <m:t>α</m:t>
                        </m:r>
                      </m:e>
                    </m:d>
                  </m:e>
                </m:d>
                <m:r>
                  <m:rPr>
                    <m:sty m:val="p"/>
                  </m:rPr>
                  <w:rPr>
                    <w:rFonts w:ascii="Cambria Math" w:hAnsi="Cambria Math"/>
                  </w:rPr>
                  <m:t>=0</m:t>
                </m:r>
              </m:oMath>
            </m:oMathPara>
          </w:p>
        </w:tc>
        <w:tc>
          <w:tcPr>
            <w:tcW w:w="807" w:type="dxa"/>
            <w:shd w:val="clear" w:color="auto" w:fill="auto"/>
            <w:vAlign w:val="center"/>
          </w:tcPr>
          <w:p w14:paraId="47F405E5" w14:textId="15261DA5" w:rsidR="00CA5CD8" w:rsidRPr="00540C7E" w:rsidRDefault="00CA5CD8" w:rsidP="00C2280D">
            <w:pPr>
              <w:pStyle w:val="CETEquation"/>
            </w:pPr>
            <w:r w:rsidRPr="00540C7E">
              <w:t>(</w:t>
            </w:r>
            <w:r w:rsidR="00CE59E8">
              <w:t>9</w:t>
            </w:r>
            <w:r w:rsidRPr="00540C7E">
              <w:t>)</w:t>
            </w:r>
          </w:p>
        </w:tc>
      </w:tr>
    </w:tbl>
    <w:p w14:paraId="3DA8AFFC" w14:textId="63C9A1A7" w:rsidR="00CA5CD8" w:rsidRDefault="00CA5CD8" w:rsidP="00C2280D">
      <w:pPr>
        <w:pStyle w:val="CETBodytext"/>
        <w:rPr>
          <w:lang w:eastAsia="de-DE"/>
        </w:rPr>
      </w:pPr>
      <w:r>
        <w:rPr>
          <w:lang w:eastAsia="de-DE"/>
        </w:rPr>
        <w:t>W</w:t>
      </w:r>
      <w:r w:rsidRPr="00EF7836">
        <w:rPr>
          <w:lang w:eastAsia="de-DE"/>
        </w:rPr>
        <w:t>here</w:t>
      </w:r>
      <w:r>
        <w:rPr>
          <w:lang w:eastAsia="de-DE"/>
        </w:rPr>
        <w:t xml:space="preserve"> </w:t>
      </w:r>
      <w:r w:rsidRPr="00EF7836">
        <w:rPr>
          <w:lang w:eastAsia="de-DE"/>
        </w:rPr>
        <w:t xml:space="preserve">the compressibility term </w:t>
      </w:r>
      <m:oMath>
        <m:sSub>
          <m:sSubPr>
            <m:ctrlPr>
              <w:rPr>
                <w:rFonts w:ascii="Cambria Math" w:hAnsi="Cambria Math"/>
                <w:i/>
              </w:rPr>
            </m:ctrlPr>
          </m:sSubPr>
          <m:e>
            <m:r>
              <w:rPr>
                <w:rFonts w:ascii="Cambria Math" w:hAnsi="Cambria Math"/>
              </w:rPr>
              <m:t>u</m:t>
            </m:r>
          </m:e>
          <m:sub>
            <m:r>
              <w:rPr>
                <w:rFonts w:ascii="Cambria Math" w:hAnsi="Cambria Math"/>
              </w:rPr>
              <m:t>c</m:t>
            </m:r>
          </m:sub>
        </m:sSub>
      </m:oMath>
      <w:r>
        <w:t xml:space="preserve"> </w:t>
      </w:r>
      <w:r w:rsidRPr="00EF7836">
        <w:rPr>
          <w:lang w:eastAsia="de-DE"/>
        </w:rPr>
        <w:t>acts only in the interfacial region. Also called compression speed, this term is defined as follows:</w:t>
      </w:r>
    </w:p>
    <w:tbl>
      <w:tblPr>
        <w:tblW w:w="5000" w:type="pct"/>
        <w:tblLook w:val="04A0" w:firstRow="1" w:lastRow="0" w:firstColumn="1" w:lastColumn="0" w:noHBand="0" w:noVBand="1"/>
      </w:tblPr>
      <w:tblGrid>
        <w:gridCol w:w="7982"/>
        <w:gridCol w:w="805"/>
      </w:tblGrid>
      <w:tr w:rsidR="00CA5CD8" w:rsidRPr="00540C7E" w14:paraId="01698E82" w14:textId="77777777" w:rsidTr="00CA5CD8">
        <w:tc>
          <w:tcPr>
            <w:tcW w:w="7982" w:type="dxa"/>
            <w:shd w:val="clear" w:color="auto" w:fill="auto"/>
            <w:vAlign w:val="center"/>
          </w:tcPr>
          <w:p w14:paraId="18561BAC" w14:textId="2F4EDBBC" w:rsidR="00CA5CD8" w:rsidRPr="00540C7E" w:rsidRDefault="00D05B16" w:rsidP="00C2280D">
            <w:pPr>
              <w:pStyle w:val="CETEquation"/>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c</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α</m:t>
                            </m:r>
                          </m:sub>
                        </m:sSub>
                        <m:d>
                          <m:dPr>
                            <m:begChr m:val="|"/>
                            <m:endChr m:val="|"/>
                            <m:ctrlPr>
                              <w:rPr>
                                <w:rFonts w:ascii="Cambria Math" w:hAnsi="Cambria Math"/>
                              </w:rPr>
                            </m:ctrlPr>
                          </m:dPr>
                          <m:e>
                            <m:r>
                              <m:rPr>
                                <m:sty m:val="bi"/>
                              </m:rPr>
                              <w:rPr>
                                <w:rFonts w:ascii="Cambria Math" w:hAnsi="Cambria Math"/>
                              </w:rPr>
                              <m:t>u</m:t>
                            </m:r>
                          </m:e>
                        </m:d>
                        <m:r>
                          <m:rPr>
                            <m:sty m:val="p"/>
                          </m:rPr>
                          <w:rPr>
                            <w:rFonts w:ascii="Cambria Math" w:hAnsi="Cambria Math"/>
                          </w:rPr>
                          <m:t>, max⁡(</m:t>
                        </m:r>
                        <m:d>
                          <m:dPr>
                            <m:begChr m:val="|"/>
                            <m:endChr m:val="|"/>
                            <m:ctrlPr>
                              <w:rPr>
                                <w:rFonts w:ascii="Cambria Math" w:hAnsi="Cambria Math"/>
                              </w:rPr>
                            </m:ctrlPr>
                          </m:dPr>
                          <m:e>
                            <m:r>
                              <m:rPr>
                                <m:sty m:val="bi"/>
                              </m:rPr>
                              <w:rPr>
                                <w:rFonts w:ascii="Cambria Math" w:hAnsi="Cambria Math"/>
                              </w:rPr>
                              <m:t>u</m:t>
                            </m:r>
                          </m:e>
                        </m:d>
                        <m:r>
                          <m:rPr>
                            <m:sty m:val="p"/>
                          </m:rPr>
                          <w:rPr>
                            <w:rFonts w:ascii="Cambria Math" w:hAnsi="Cambria Math"/>
                          </w:rPr>
                          <m:t>)</m:t>
                        </m:r>
                      </m:e>
                    </m:d>
                    <m:f>
                      <m:fPr>
                        <m:ctrlPr>
                          <w:rPr>
                            <w:rFonts w:ascii="Cambria Math" w:hAnsi="Cambria Math"/>
                          </w:rPr>
                        </m:ctrlPr>
                      </m:fPr>
                      <m:num>
                        <m:r>
                          <m:rPr>
                            <m:sty m:val="p"/>
                          </m:rPr>
                          <w:rPr>
                            <w:rFonts w:ascii="Cambria Math" w:hAnsi="Cambria Math"/>
                          </w:rPr>
                          <m:t>∇</m:t>
                        </m:r>
                        <m:r>
                          <w:rPr>
                            <w:rFonts w:ascii="Cambria Math" w:hAnsi="Cambria Math"/>
                          </w:rPr>
                          <m:t>α</m:t>
                        </m:r>
                      </m:num>
                      <m:den>
                        <m:d>
                          <m:dPr>
                            <m:begChr m:val="|"/>
                            <m:endChr m:val="|"/>
                            <m:ctrlPr>
                              <w:rPr>
                                <w:rFonts w:ascii="Cambria Math" w:hAnsi="Cambria Math"/>
                              </w:rPr>
                            </m:ctrlPr>
                          </m:dPr>
                          <m:e>
                            <m:r>
                              <m:rPr>
                                <m:sty m:val="p"/>
                              </m:rPr>
                              <w:rPr>
                                <w:rFonts w:ascii="Cambria Math" w:hAnsi="Cambria Math"/>
                              </w:rPr>
                              <m:t>∇</m:t>
                            </m:r>
                            <m:r>
                              <w:rPr>
                                <w:rFonts w:ascii="Cambria Math" w:hAnsi="Cambria Math"/>
                              </w:rPr>
                              <m:t>α</m:t>
                            </m:r>
                          </m:e>
                        </m:d>
                      </m:den>
                    </m:f>
                  </m:e>
                </m:func>
              </m:oMath>
            </m:oMathPara>
          </w:p>
        </w:tc>
        <w:tc>
          <w:tcPr>
            <w:tcW w:w="805" w:type="dxa"/>
            <w:shd w:val="clear" w:color="auto" w:fill="auto"/>
            <w:vAlign w:val="center"/>
          </w:tcPr>
          <w:p w14:paraId="3A704DE8" w14:textId="1A966395" w:rsidR="00CA5CD8" w:rsidRPr="00540C7E" w:rsidRDefault="00CA5CD8" w:rsidP="00C2280D">
            <w:pPr>
              <w:pStyle w:val="CETEquation"/>
            </w:pPr>
            <w:r w:rsidRPr="00540C7E">
              <w:t>(</w:t>
            </w:r>
            <w:r w:rsidR="00CE59E8">
              <w:t>10</w:t>
            </w:r>
            <w:r w:rsidRPr="00540C7E">
              <w:t>)</w:t>
            </w:r>
          </w:p>
        </w:tc>
      </w:tr>
    </w:tbl>
    <w:p w14:paraId="10045BCB" w14:textId="3A789108" w:rsidR="00CA5CD8" w:rsidRPr="00C2280D" w:rsidRDefault="00CA5CD8" w:rsidP="00C2280D">
      <w:pPr>
        <w:pStyle w:val="CETBodytext"/>
      </w:pPr>
      <w:r w:rsidRPr="00C2280D">
        <w:t xml:space="preserve">The boundary conditions are defined in the time directory 0. In two-phase simulations, the constant volumetric flow was considered equal to 10 </w:t>
      </w:r>
      <w:r w:rsidRPr="00F47842">
        <w:rPr>
          <w:rFonts w:ascii="Symbol" w:hAnsi="Symbol"/>
        </w:rPr>
        <w:t></w:t>
      </w:r>
      <w:r w:rsidRPr="00C2280D">
        <w:t>L/min entering in the positive direction of the y-axis on the Bottom face. Consequently, the material output was defined by the Top face. The initial internal field (</w:t>
      </w:r>
      <w:proofErr w:type="spellStart"/>
      <w:r w:rsidRPr="00C2280D">
        <w:t>internalField</w:t>
      </w:r>
      <w:proofErr w:type="spellEnd"/>
      <w:r w:rsidRPr="00C2280D">
        <w:t>) in each control volume is considered uniform and equal to zero, that is, the initial velocity field is stagnant.</w:t>
      </w:r>
    </w:p>
    <w:p w14:paraId="747F29CA" w14:textId="77777777" w:rsidR="00B75893" w:rsidRDefault="00B75893" w:rsidP="00B75893">
      <w:pPr>
        <w:pStyle w:val="CETBodytext"/>
        <w:rPr>
          <w:lang w:eastAsia="de-DE"/>
        </w:rPr>
      </w:pPr>
      <w:r>
        <w:rPr>
          <w:lang w:eastAsia="de-DE"/>
        </w:rPr>
        <w:tab/>
      </w:r>
      <w:r w:rsidRPr="00256EBE">
        <w:rPr>
          <w:lang w:eastAsia="de-DE"/>
        </w:rPr>
        <w:t>As it is a two-phase simulation, it is necessary to define the initial volumetric fraction (</w:t>
      </w:r>
      <w:r w:rsidRPr="008F519B">
        <w:rPr>
          <w:rFonts w:ascii="Symbol" w:hAnsi="Symbol"/>
          <w:lang w:eastAsia="de-DE"/>
        </w:rPr>
        <w:t></w:t>
      </w:r>
      <w:r w:rsidRPr="00256EBE">
        <w:rPr>
          <w:lang w:eastAsia="de-DE"/>
        </w:rPr>
        <w:t xml:space="preserve">) of one of the components. Therefore, in the time directory 0 the </w:t>
      </w:r>
      <w:proofErr w:type="spellStart"/>
      <w:r w:rsidRPr="00256EBE">
        <w:rPr>
          <w:lang w:eastAsia="de-DE"/>
        </w:rPr>
        <w:t>alpha.TCE</w:t>
      </w:r>
      <w:proofErr w:type="spellEnd"/>
      <w:r w:rsidRPr="00256EBE">
        <w:rPr>
          <w:lang w:eastAsia="de-DE"/>
        </w:rPr>
        <w:t xml:space="preserve"> file is defined.</w:t>
      </w:r>
    </w:p>
    <w:p w14:paraId="4D732CE8" w14:textId="77777777" w:rsidR="00B75893" w:rsidRDefault="00B75893" w:rsidP="00B75893">
      <w:pPr>
        <w:pStyle w:val="CETBodytext"/>
        <w:rPr>
          <w:lang w:eastAsia="de-DE"/>
        </w:rPr>
      </w:pPr>
      <w:r>
        <w:rPr>
          <w:lang w:eastAsia="de-DE"/>
        </w:rPr>
        <w:tab/>
        <w:t>The simulations start</w:t>
      </w:r>
      <w:r w:rsidRPr="00256EBE">
        <w:rPr>
          <w:lang w:eastAsia="de-DE"/>
        </w:rPr>
        <w:t xml:space="preserve"> with water in the entire domain, so the </w:t>
      </w:r>
      <w:proofErr w:type="spellStart"/>
      <w:r w:rsidRPr="00256EBE">
        <w:rPr>
          <w:i/>
          <w:iCs/>
          <w:lang w:eastAsia="de-DE"/>
        </w:rPr>
        <w:t>internalField</w:t>
      </w:r>
      <w:proofErr w:type="spellEnd"/>
      <w:r w:rsidRPr="00256EBE">
        <w:rPr>
          <w:lang w:eastAsia="de-DE"/>
        </w:rPr>
        <w:t xml:space="preserve"> is uniform equal to zero and between the time instants 0 and 20ms it adds pure TCE. After 20ms pure water is fed again. In this case, the volumetric fraction of the TCE is varied, which at time 0 is null, between 0 and 20ms it is equal to 1 and after 20ms it becomes null again.</w:t>
      </w:r>
    </w:p>
    <w:p w14:paraId="1C8AE6DE" w14:textId="083EB67B" w:rsidR="00AD0245" w:rsidRDefault="00B75893" w:rsidP="00321198">
      <w:pPr>
        <w:pStyle w:val="CETHeading1"/>
      </w:pPr>
      <w:r>
        <w:rPr>
          <w:lang w:eastAsia="de-DE"/>
        </w:rPr>
        <w:tab/>
      </w:r>
      <w:r w:rsidR="00AD0245">
        <w:t>Results and discussion</w:t>
      </w:r>
    </w:p>
    <w:p w14:paraId="13BCBC68" w14:textId="4A94A105" w:rsidR="00AD0245" w:rsidRDefault="00AD0245" w:rsidP="00AD0245">
      <w:pPr>
        <w:pStyle w:val="CETBodytext"/>
      </w:pPr>
    </w:p>
    <w:p w14:paraId="68C18B98" w14:textId="34F9C5AC" w:rsidR="00B75893" w:rsidRPr="00B75893" w:rsidRDefault="00AD0245" w:rsidP="00B75893">
      <w:pPr>
        <w:pStyle w:val="CETBodytext"/>
        <w:rPr>
          <w:lang w:eastAsia="de-DE"/>
        </w:rPr>
      </w:pPr>
      <w:r w:rsidRPr="00CE4B7C">
        <w:rPr>
          <w:lang w:eastAsia="de-DE"/>
        </w:rPr>
        <w:t>As the objective is to understand the dynamics of the flow of TCE and water in porous media under different wettability conditions, the invading fluid (water) is considered injected into the porous medium saturated with the defen</w:t>
      </w:r>
      <w:r>
        <w:rPr>
          <w:lang w:eastAsia="de-DE"/>
        </w:rPr>
        <w:t>ding</w:t>
      </w:r>
      <w:r w:rsidRPr="00CE4B7C">
        <w:rPr>
          <w:lang w:eastAsia="de-DE"/>
        </w:rPr>
        <w:t xml:space="preserve"> fluid (TCE) with a constant flow rate of 10</w:t>
      </w:r>
      <w:r w:rsidRPr="00CE4B7C">
        <w:rPr>
          <w:vertAlign w:val="superscript"/>
          <w:lang w:eastAsia="de-DE"/>
        </w:rPr>
        <w:t>-6</w:t>
      </w:r>
      <w:r w:rsidRPr="00CE4B7C">
        <w:rPr>
          <w:lang w:eastAsia="de-DE"/>
        </w:rPr>
        <w:t xml:space="preserve"> L/min.</w:t>
      </w:r>
      <w:r w:rsidR="005662C6">
        <w:rPr>
          <w:lang w:eastAsia="de-DE"/>
        </w:rPr>
        <w:t xml:space="preserve"> </w:t>
      </w:r>
      <w:r>
        <w:rPr>
          <w:lang w:eastAsia="de-DE"/>
        </w:rPr>
        <w:tab/>
      </w:r>
      <w:r w:rsidRPr="00CE4B7C">
        <w:rPr>
          <w:lang w:eastAsia="de-DE"/>
        </w:rPr>
        <w:t>The defending fluid is what is intended to be recovered and the invading fluid is what will be injected into the pore system to displace the defen</w:t>
      </w:r>
      <w:r>
        <w:rPr>
          <w:lang w:eastAsia="de-DE"/>
        </w:rPr>
        <w:t xml:space="preserve">ding </w:t>
      </w:r>
      <w:r w:rsidRPr="00CE4B7C">
        <w:rPr>
          <w:lang w:eastAsia="de-DE"/>
        </w:rPr>
        <w:t>fluid.</w:t>
      </w:r>
      <w:r w:rsidR="005662C6">
        <w:rPr>
          <w:lang w:eastAsia="de-DE"/>
        </w:rPr>
        <w:t xml:space="preserve"> </w:t>
      </w:r>
      <w:r>
        <w:rPr>
          <w:lang w:eastAsia="de-DE"/>
        </w:rPr>
        <w:tab/>
      </w:r>
      <w:r w:rsidRPr="00CE4B7C">
        <w:rPr>
          <w:lang w:eastAsia="de-DE"/>
        </w:rPr>
        <w:t>The contact angle is defined as a function of the densest fluid, which in this case is the TCE.</w:t>
      </w:r>
      <w:r>
        <w:rPr>
          <w:lang w:eastAsia="de-DE"/>
        </w:rPr>
        <w:t xml:space="preserve"> </w:t>
      </w:r>
      <w:r w:rsidRPr="00CE4B7C">
        <w:rPr>
          <w:lang w:eastAsia="de-DE"/>
        </w:rPr>
        <w:t>In these simulations, it starts with water throughout the domain, then TCE (defense fluid) is added and after 20ms water is added again (invading fluid)</w:t>
      </w:r>
      <w:r>
        <w:rPr>
          <w:lang w:eastAsia="de-DE"/>
        </w:rPr>
        <w:t xml:space="preserve">. </w:t>
      </w:r>
      <w:r w:rsidRPr="00CE4B7C">
        <w:rPr>
          <w:lang w:eastAsia="de-DE"/>
        </w:rPr>
        <w:t>Four simulations were performed evaluating different scenarios of contact angles</w:t>
      </w:r>
      <w:r w:rsidR="00770A37">
        <w:rPr>
          <w:lang w:eastAsia="de-DE"/>
        </w:rPr>
        <w:t>.</w:t>
      </w:r>
    </w:p>
    <w:p w14:paraId="0A0C5232" w14:textId="59E5BBCE" w:rsidR="00AD0245" w:rsidRDefault="00AD0245" w:rsidP="00AD0245">
      <w:pPr>
        <w:pStyle w:val="CETBodytext"/>
        <w:rPr>
          <w:lang w:eastAsia="de-DE"/>
        </w:rPr>
      </w:pPr>
      <w:r>
        <w:rPr>
          <w:lang w:eastAsia="de-DE"/>
        </w:rPr>
        <w:lastRenderedPageBreak/>
        <w:t>I</w:t>
      </w:r>
      <w:r w:rsidRPr="009329DA">
        <w:rPr>
          <w:lang w:eastAsia="de-DE"/>
        </w:rPr>
        <w:t>n the next images it is possible to observe the</w:t>
      </w:r>
      <w:r>
        <w:rPr>
          <w:lang w:eastAsia="de-DE"/>
        </w:rPr>
        <w:t xml:space="preserve"> TCE saturation in time instant 0.089 seconds for different contact angles: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2110"/>
        <w:gridCol w:w="1999"/>
        <w:gridCol w:w="2569"/>
      </w:tblGrid>
      <w:tr w:rsidR="00B66748" w:rsidRPr="009329DA" w14:paraId="44B40F34" w14:textId="77777777" w:rsidTr="008360E0">
        <w:tc>
          <w:tcPr>
            <w:tcW w:w="2185" w:type="dxa"/>
            <w:vAlign w:val="center"/>
          </w:tcPr>
          <w:p w14:paraId="3D1603DD" w14:textId="77777777" w:rsidR="00B66748" w:rsidRPr="009329DA" w:rsidRDefault="00B66748" w:rsidP="008360E0">
            <w:pPr>
              <w:jc w:val="center"/>
              <w:rPr>
                <w:rFonts w:eastAsiaTheme="minorEastAsia"/>
                <w:lang w:val="en-US"/>
              </w:rPr>
            </w:pPr>
            <w:bookmarkStart w:id="2" w:name="_Hlk123210097"/>
            <w:r w:rsidRPr="009329DA">
              <w:rPr>
                <w:rFonts w:eastAsiaTheme="minorEastAsia"/>
                <w:lang w:val="en-US"/>
              </w:rPr>
              <w:t>Contact angle: 5º</w:t>
            </w:r>
          </w:p>
          <w:p w14:paraId="109EFA5F" w14:textId="77777777" w:rsidR="00B66748" w:rsidRPr="009329DA" w:rsidRDefault="00B66748" w:rsidP="00B66748">
            <w:pPr>
              <w:ind w:left="-389" w:firstLine="389"/>
              <w:jc w:val="center"/>
              <w:rPr>
                <w:rFonts w:eastAsiaTheme="minorEastAsia"/>
                <w:lang w:val="en-US"/>
              </w:rPr>
            </w:pPr>
            <w:r w:rsidRPr="009329DA">
              <w:rPr>
                <w:noProof/>
                <w:lang w:val="en-US"/>
              </w:rPr>
              <w:drawing>
                <wp:inline distT="0" distB="0" distL="0" distR="0" wp14:anchorId="119BC7D1" wp14:editId="3B923059">
                  <wp:extent cx="1286168" cy="1620000"/>
                  <wp:effectExtent l="0" t="0" r="9525" b="0"/>
                  <wp:docPr id="25" name="Imagem 25" descr="Desenho preto e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m 45" descr="Desenho preto e branco&#10;&#10;Descrição gerada automaticamente com confiança baixa"/>
                          <pic:cNvPicPr/>
                        </pic:nvPicPr>
                        <pic:blipFill rotWithShape="1">
                          <a:blip r:embed="rId14"/>
                          <a:srcRect l="16633" r="23498"/>
                          <a:stretch/>
                        </pic:blipFill>
                        <pic:spPr bwMode="auto">
                          <a:xfrm>
                            <a:off x="0" y="0"/>
                            <a:ext cx="1286168" cy="162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35" w:type="dxa"/>
            <w:vAlign w:val="center"/>
          </w:tcPr>
          <w:p w14:paraId="3DF7D41F" w14:textId="77777777" w:rsidR="00B66748" w:rsidRPr="009329DA" w:rsidRDefault="00B66748" w:rsidP="008360E0">
            <w:pPr>
              <w:jc w:val="center"/>
              <w:rPr>
                <w:rFonts w:eastAsiaTheme="minorEastAsia"/>
                <w:lang w:val="en-US"/>
              </w:rPr>
            </w:pPr>
            <w:r w:rsidRPr="009329DA">
              <w:rPr>
                <w:rFonts w:eastAsiaTheme="minorEastAsia"/>
                <w:lang w:val="en-US"/>
              </w:rPr>
              <w:t>Contact angle: 30º</w:t>
            </w:r>
          </w:p>
          <w:p w14:paraId="67917948" w14:textId="77777777" w:rsidR="00B66748" w:rsidRPr="009329DA" w:rsidRDefault="00B66748" w:rsidP="008360E0">
            <w:pPr>
              <w:jc w:val="center"/>
              <w:rPr>
                <w:rFonts w:eastAsiaTheme="minorEastAsia"/>
                <w:lang w:val="en-US"/>
              </w:rPr>
            </w:pPr>
            <w:r w:rsidRPr="009329DA">
              <w:rPr>
                <w:noProof/>
                <w:lang w:val="en-US"/>
              </w:rPr>
              <w:drawing>
                <wp:inline distT="0" distB="0" distL="0" distR="0" wp14:anchorId="548D68FF" wp14:editId="0FBCA1B2">
                  <wp:extent cx="1286470" cy="1620000"/>
                  <wp:effectExtent l="0" t="0" r="9525" b="0"/>
                  <wp:docPr id="26" name="Imagem 26" descr="Desenho preto e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descr="Desenho preto e branco&#10;&#10;Descrição gerada automaticamente com confiança baixa"/>
                          <pic:cNvPicPr/>
                        </pic:nvPicPr>
                        <pic:blipFill rotWithShape="1">
                          <a:blip r:embed="rId15"/>
                          <a:srcRect l="18177" r="23396"/>
                          <a:stretch/>
                        </pic:blipFill>
                        <pic:spPr bwMode="auto">
                          <a:xfrm>
                            <a:off x="0" y="0"/>
                            <a:ext cx="1286470" cy="1620000"/>
                          </a:xfrm>
                          <a:prstGeom prst="rect">
                            <a:avLst/>
                          </a:prstGeom>
                          <a:ln>
                            <a:noFill/>
                          </a:ln>
                          <a:extLst>
                            <a:ext uri="{53640926-AAD7-44D8-BBD7-CCE9431645EC}">
                              <a14:shadowObscured xmlns:a14="http://schemas.microsoft.com/office/drawing/2010/main"/>
                            </a:ext>
                          </a:extLst>
                        </pic:spPr>
                      </pic:pic>
                    </a:graphicData>
                  </a:graphic>
                </wp:inline>
              </w:drawing>
            </w:r>
          </w:p>
        </w:tc>
        <w:tc>
          <w:tcPr>
            <w:tcW w:w="2186" w:type="dxa"/>
          </w:tcPr>
          <w:p w14:paraId="52E6BF0F" w14:textId="77777777" w:rsidR="00B66748" w:rsidRPr="009329DA" w:rsidRDefault="00B66748" w:rsidP="008360E0">
            <w:pPr>
              <w:jc w:val="center"/>
              <w:rPr>
                <w:rFonts w:eastAsiaTheme="minorEastAsia"/>
                <w:lang w:val="en-US"/>
              </w:rPr>
            </w:pPr>
            <w:r w:rsidRPr="009329DA">
              <w:rPr>
                <w:rFonts w:eastAsiaTheme="minorEastAsia"/>
                <w:lang w:val="en-US"/>
              </w:rPr>
              <w:t>Contact angle</w:t>
            </w:r>
            <w:r>
              <w:rPr>
                <w:rFonts w:eastAsiaTheme="minorEastAsia"/>
                <w:lang w:val="en-US"/>
              </w:rPr>
              <w:t>:</w:t>
            </w:r>
            <w:r w:rsidRPr="009329DA">
              <w:rPr>
                <w:rFonts w:eastAsiaTheme="minorEastAsia"/>
                <w:lang w:val="en-US"/>
              </w:rPr>
              <w:t xml:space="preserve"> 60º</w:t>
            </w:r>
          </w:p>
          <w:p w14:paraId="793C7E9C" w14:textId="77777777" w:rsidR="00B66748" w:rsidRPr="009329DA" w:rsidRDefault="00B66748" w:rsidP="008360E0">
            <w:pPr>
              <w:jc w:val="center"/>
              <w:rPr>
                <w:rFonts w:eastAsiaTheme="minorEastAsia"/>
                <w:lang w:val="en-US"/>
              </w:rPr>
            </w:pPr>
            <w:r w:rsidRPr="009329DA">
              <w:rPr>
                <w:rFonts w:eastAsiaTheme="minorEastAsia"/>
                <w:noProof/>
                <w:lang w:val="en-US"/>
              </w:rPr>
              <w:drawing>
                <wp:inline distT="0" distB="0" distL="0" distR="0" wp14:anchorId="75CE6477" wp14:editId="52638B62">
                  <wp:extent cx="1215605" cy="1620000"/>
                  <wp:effectExtent l="0" t="0" r="3810" b="0"/>
                  <wp:docPr id="27" name="Imagem 27" descr="Desenho de estrelas&#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Desenho de estrelas&#10;&#10;Descrição gerada automaticamente com confiança baixa"/>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2618" r="20809"/>
                          <a:stretch/>
                        </pic:blipFill>
                        <pic:spPr bwMode="auto">
                          <a:xfrm>
                            <a:off x="0" y="0"/>
                            <a:ext cx="1215605" cy="16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81" w:type="dxa"/>
          </w:tcPr>
          <w:p w14:paraId="20D2108C" w14:textId="77777777" w:rsidR="00B66748" w:rsidRPr="009329DA" w:rsidRDefault="00B66748" w:rsidP="008360E0">
            <w:pPr>
              <w:jc w:val="center"/>
              <w:rPr>
                <w:rFonts w:eastAsiaTheme="minorEastAsia"/>
                <w:lang w:val="en-US"/>
              </w:rPr>
            </w:pPr>
            <w:r w:rsidRPr="009329DA">
              <w:rPr>
                <w:rFonts w:eastAsiaTheme="minorEastAsia"/>
                <w:lang w:val="en-US"/>
              </w:rPr>
              <w:t>Contact angle: 140º</w:t>
            </w:r>
          </w:p>
          <w:p w14:paraId="35D197A9" w14:textId="77777777" w:rsidR="00B66748" w:rsidRPr="009329DA" w:rsidRDefault="00B66748" w:rsidP="008360E0">
            <w:pPr>
              <w:jc w:val="center"/>
              <w:rPr>
                <w:rFonts w:eastAsiaTheme="minorEastAsia"/>
                <w:lang w:val="en-US"/>
              </w:rPr>
            </w:pPr>
            <w:r w:rsidRPr="009329DA">
              <w:rPr>
                <w:rFonts w:eastAsiaTheme="minorEastAsia"/>
                <w:noProof/>
                <w:lang w:val="en-US"/>
              </w:rPr>
              <w:drawing>
                <wp:inline distT="0" distB="0" distL="0" distR="0" wp14:anchorId="04D20D70" wp14:editId="3A2CDBBA">
                  <wp:extent cx="1609154" cy="1620000"/>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3727" r="875"/>
                          <a:stretch/>
                        </pic:blipFill>
                        <pic:spPr bwMode="auto">
                          <a:xfrm>
                            <a:off x="0" y="0"/>
                            <a:ext cx="1609154" cy="1620000"/>
                          </a:xfrm>
                          <a:prstGeom prst="rect">
                            <a:avLst/>
                          </a:prstGeom>
                          <a:noFill/>
                          <a:ln>
                            <a:noFill/>
                          </a:ln>
                          <a:extLst>
                            <a:ext uri="{53640926-AAD7-44D8-BBD7-CCE9431645EC}">
                              <a14:shadowObscured xmlns:a14="http://schemas.microsoft.com/office/drawing/2010/main"/>
                            </a:ext>
                          </a:extLst>
                        </pic:spPr>
                      </pic:pic>
                    </a:graphicData>
                  </a:graphic>
                </wp:inline>
              </w:drawing>
            </w:r>
          </w:p>
        </w:tc>
      </w:tr>
    </w:tbl>
    <w:bookmarkEnd w:id="2"/>
    <w:p w14:paraId="4AB80B71" w14:textId="77777777" w:rsidR="00B66748" w:rsidRDefault="00B66748" w:rsidP="00B66748">
      <w:pPr>
        <w:pStyle w:val="CETCaption"/>
        <w:spacing w:before="0"/>
        <w:rPr>
          <w:lang w:val="en-US" w:eastAsia="de-DE"/>
        </w:rPr>
      </w:pPr>
      <w:r>
        <w:rPr>
          <w:lang w:val="en-US" w:eastAsia="de-DE"/>
        </w:rPr>
        <w:t xml:space="preserve">Figure 2: </w:t>
      </w:r>
      <w:r w:rsidRPr="00AD0245">
        <w:rPr>
          <w:lang w:val="en-US" w:eastAsia="de-DE"/>
        </w:rPr>
        <w:t>TCE saturation in time instant 0.089 seconds for different contact angles</w:t>
      </w:r>
    </w:p>
    <w:p w14:paraId="16AC3DEE" w14:textId="25AE6B99" w:rsidR="00AD0245" w:rsidRDefault="00AD0245" w:rsidP="00AD0245">
      <w:pPr>
        <w:pStyle w:val="CETBodytext"/>
      </w:pPr>
      <w:r w:rsidRPr="00C2280D">
        <w:t xml:space="preserve">Comparing the images obtained at the end of the simulation, it is possible to observe that the TCE is more easily drained in the condition of greater contact angle. In Figure </w:t>
      </w:r>
      <w:r w:rsidR="00CE59E8">
        <w:t>2</w:t>
      </w:r>
      <w:r w:rsidRPr="00C2280D">
        <w:t xml:space="preserve"> the volume is almost all occupied by water, indicating that most of the TCE has left the field of view. As the contact angle increases, the TCE becomes less wetting, so it does not even enter the smaller pores, making it easier to drain. Newell et al. emphasize in their work that the wetting fluid is the one that has the property of covering solid surfaces and occupying the smallest pores of the soil and the non-wetting fluid, in turn, is restricted to occupying the largest pores. </w:t>
      </w:r>
    </w:p>
    <w:p w14:paraId="59B217F8" w14:textId="77777777" w:rsidR="000B6F2D" w:rsidRDefault="000B6F2D" w:rsidP="00AD0245">
      <w:pPr>
        <w:pStyle w:val="CETBodytext"/>
        <w:rPr>
          <w:rFonts w:cs="Arial"/>
          <w:sz w:val="16"/>
          <w:szCs w:val="16"/>
          <w:lang w:eastAsia="de-DE"/>
        </w:rPr>
      </w:pPr>
    </w:p>
    <w:p w14:paraId="1F4F1F0B" w14:textId="1C99CBD0" w:rsidR="00AD0245" w:rsidRDefault="000B6F2D" w:rsidP="008941B8">
      <w:pPr>
        <w:pStyle w:val="CETBodytext"/>
        <w:jc w:val="left"/>
        <w:rPr>
          <w:rFonts w:cs="Arial"/>
          <w:sz w:val="16"/>
          <w:szCs w:val="16"/>
          <w:lang w:eastAsia="de-DE"/>
        </w:rPr>
      </w:pPr>
      <w:r>
        <w:rPr>
          <w:noProof/>
        </w:rPr>
        <w:drawing>
          <wp:inline distT="0" distB="0" distL="0" distR="0" wp14:anchorId="532CA18F" wp14:editId="5EF9D60B">
            <wp:extent cx="5628640" cy="2114550"/>
            <wp:effectExtent l="0" t="0" r="10160" b="0"/>
            <wp:docPr id="1" name="Gráfico 1">
              <a:extLst xmlns:a="http://schemas.openxmlformats.org/drawingml/2006/main">
                <a:ext uri="{FF2B5EF4-FFF2-40B4-BE49-F238E27FC236}">
                  <a16:creationId xmlns:a16="http://schemas.microsoft.com/office/drawing/2014/main" id="{10BDDB3C-B3BC-9EB7-B296-9472049342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45664F" w14:textId="2C49FAE8" w:rsidR="00AD0245" w:rsidRDefault="00AD0245" w:rsidP="00AD0245">
      <w:pPr>
        <w:pStyle w:val="CETCaption"/>
        <w:spacing w:before="0"/>
        <w:rPr>
          <w:rFonts w:cs="Arial"/>
          <w:sz w:val="16"/>
          <w:szCs w:val="16"/>
          <w:lang w:eastAsia="de-DE"/>
        </w:rPr>
      </w:pPr>
      <w:r>
        <w:rPr>
          <w:lang w:val="en-US" w:eastAsia="de-DE"/>
        </w:rPr>
        <w:t xml:space="preserve">Figure </w:t>
      </w:r>
      <w:r w:rsidR="00CE59E8">
        <w:rPr>
          <w:lang w:val="en-US" w:eastAsia="de-DE"/>
        </w:rPr>
        <w:t>3:</w:t>
      </w:r>
      <w:r>
        <w:rPr>
          <w:lang w:val="en-US" w:eastAsia="de-DE"/>
        </w:rPr>
        <w:t xml:space="preserve"> </w:t>
      </w:r>
      <w:r w:rsidRPr="00AD0245">
        <w:rPr>
          <w:lang w:val="en-US" w:eastAsia="de-DE"/>
        </w:rPr>
        <w:t>TCE saturation as a function of contact angle</w:t>
      </w:r>
    </w:p>
    <w:p w14:paraId="4E74639E" w14:textId="487A504C" w:rsidR="00AD0245" w:rsidRDefault="00AD0245" w:rsidP="00321198">
      <w:pPr>
        <w:pStyle w:val="CETBodytext"/>
        <w:rPr>
          <w:lang w:eastAsia="de-DE"/>
        </w:rPr>
      </w:pPr>
      <w:r w:rsidRPr="000B6F2D">
        <w:t xml:space="preserve">Evaluating Figure </w:t>
      </w:r>
      <w:r w:rsidR="00CE59E8">
        <w:t>3</w:t>
      </w:r>
      <w:r w:rsidRPr="000B6F2D">
        <w:t>, it is observed that in the case of a contact angle of 140º, the saturation of the TCE does not reach unity, as in the case of smaller contact angles, indicating once again that, as it is a drainage condition, the wetting fluid is water, so the TCE preferentially occupies the larger pores. As TCE is denser than water, for contact angles greater than 90º the water wets</w:t>
      </w:r>
      <w:r w:rsidRPr="002C38B3">
        <w:rPr>
          <w:lang w:eastAsia="de-DE"/>
        </w:rPr>
        <w:t xml:space="preserve"> the solid more and a situation of drainage of the denser fluid (TCE) is observed.</w:t>
      </w:r>
      <w:r w:rsidR="0076697B">
        <w:rPr>
          <w:lang w:eastAsia="de-DE"/>
        </w:rPr>
        <w:t xml:space="preserve"> </w:t>
      </w:r>
      <w:r>
        <w:rPr>
          <w:lang w:eastAsia="de-DE"/>
        </w:rPr>
        <w:tab/>
      </w:r>
      <w:r w:rsidRPr="002C38B3">
        <w:rPr>
          <w:lang w:eastAsia="de-DE"/>
        </w:rPr>
        <w:t>It is important to highlight the influence of density and viscosity on defens</w:t>
      </w:r>
      <w:r>
        <w:rPr>
          <w:lang w:eastAsia="de-DE"/>
        </w:rPr>
        <w:t>ing</w:t>
      </w:r>
      <w:r w:rsidRPr="002C38B3">
        <w:rPr>
          <w:lang w:eastAsia="de-DE"/>
        </w:rPr>
        <w:t xml:space="preserve"> fluid recovery. In this case, the defens</w:t>
      </w:r>
      <w:r>
        <w:rPr>
          <w:lang w:eastAsia="de-DE"/>
        </w:rPr>
        <w:t>ing</w:t>
      </w:r>
      <w:r w:rsidRPr="002C38B3">
        <w:rPr>
          <w:lang w:eastAsia="de-DE"/>
        </w:rPr>
        <w:t xml:space="preserve"> fluid (TCE) is the densest, so the contact angle is defined for the TCE. Thus, a contact angle of 140º indicates low wettability of the defens</w:t>
      </w:r>
      <w:r>
        <w:rPr>
          <w:lang w:eastAsia="de-DE"/>
        </w:rPr>
        <w:t xml:space="preserve">ing </w:t>
      </w:r>
      <w:r w:rsidRPr="002C38B3">
        <w:rPr>
          <w:lang w:eastAsia="de-DE"/>
        </w:rPr>
        <w:t>fluid, therefore a greater recovery of the same, since from the beginning of the simulation its occupation is restricted to the largest pores.</w:t>
      </w:r>
      <w:r w:rsidR="005662C6">
        <w:rPr>
          <w:lang w:eastAsia="de-DE"/>
        </w:rPr>
        <w:t xml:space="preserve"> </w:t>
      </w:r>
      <w:r>
        <w:rPr>
          <w:lang w:eastAsia="de-DE"/>
        </w:rPr>
        <w:tab/>
      </w:r>
      <w:r w:rsidRPr="00451E11">
        <w:rPr>
          <w:lang w:eastAsia="de-DE"/>
        </w:rPr>
        <w:t>Comparing the simulations with different values of contact angle, is observed that the situation of drainage of the defense fluid (TCE) is reached for an angle of 140º (low wettability of the defens</w:t>
      </w:r>
      <w:r>
        <w:rPr>
          <w:lang w:eastAsia="de-DE"/>
        </w:rPr>
        <w:t>ing</w:t>
      </w:r>
      <w:r w:rsidRPr="00451E11">
        <w:rPr>
          <w:lang w:eastAsia="de-DE"/>
        </w:rPr>
        <w:t xml:space="preserve"> fluid), given that after the injection of water in the time after 20ms the TCE saturation drops to values below 5%. In this case, the invading fluid (water) presents greater wettability and the TCE, by presenting lower wettability, did not even enter the smallest pores. For the case of strong wettability of the defense fluid (TCE), it enters the smaller pores, as it is the most wetting fluid, being retained in the porous medium and at the end of the simulation (t=89ms) its saturation is still 43%</w:t>
      </w:r>
      <w:r>
        <w:rPr>
          <w:lang w:eastAsia="de-DE"/>
        </w:rPr>
        <w:t>.</w:t>
      </w:r>
    </w:p>
    <w:p w14:paraId="3ACEAD58" w14:textId="09A19B22" w:rsidR="00AD0245" w:rsidRDefault="00AD0245" w:rsidP="00AD0245">
      <w:pPr>
        <w:pStyle w:val="CETBodytext"/>
        <w:rPr>
          <w:lang w:eastAsia="de-DE"/>
        </w:rPr>
      </w:pPr>
      <w:r w:rsidRPr="00451E11">
        <w:rPr>
          <w:lang w:eastAsia="de-DE"/>
        </w:rPr>
        <w:t xml:space="preserve">To evaluate the TCE flow in the pore system in the presence of a gas phase, a simulation was performed using the </w:t>
      </w:r>
      <w:proofErr w:type="spellStart"/>
      <w:r w:rsidRPr="00451E11">
        <w:rPr>
          <w:i/>
          <w:iCs/>
          <w:lang w:eastAsia="de-DE"/>
        </w:rPr>
        <w:t>multiphaseInterFoam</w:t>
      </w:r>
      <w:proofErr w:type="spellEnd"/>
      <w:r w:rsidRPr="00451E11">
        <w:rPr>
          <w:lang w:eastAsia="de-DE"/>
        </w:rPr>
        <w:t xml:space="preserve"> solver, which is based on the Fluid Volume (VOF) method.</w:t>
      </w:r>
      <w:r w:rsidR="005662C6">
        <w:rPr>
          <w:lang w:eastAsia="de-DE"/>
        </w:rPr>
        <w:t xml:space="preserve"> </w:t>
      </w:r>
      <w:r>
        <w:rPr>
          <w:lang w:eastAsia="de-DE"/>
        </w:rPr>
        <w:tab/>
      </w:r>
      <w:r w:rsidRPr="00451E11">
        <w:rPr>
          <w:lang w:eastAsia="de-DE"/>
        </w:rPr>
        <w:t>In</w:t>
      </w:r>
      <w:r w:rsidR="00D127D6">
        <w:rPr>
          <w:lang w:eastAsia="de-DE"/>
        </w:rPr>
        <w:t xml:space="preserve"> </w:t>
      </w:r>
      <w:r w:rsidRPr="00451E11">
        <w:rPr>
          <w:lang w:eastAsia="de-DE"/>
        </w:rPr>
        <w:t xml:space="preserve">this simulation, the volume starts saturated with water, TCE is fed into the Bottom face, at 100ms it feeds water again into the Bottom face and at 130ms it feeds ethylene into the same face. The objective is to verify if the gas (which would be one of the products of the TCE reduction reaction), helps to remove TCE from the interior of the pores. The </w:t>
      </w:r>
      <w:r w:rsidRPr="00451E11">
        <w:rPr>
          <w:lang w:eastAsia="de-DE"/>
        </w:rPr>
        <w:lastRenderedPageBreak/>
        <w:t xml:space="preserve">simulation was performed considering the contact angle of 90º (which is the default contact angle used in </w:t>
      </w:r>
      <w:proofErr w:type="spellStart"/>
      <w:r>
        <w:rPr>
          <w:lang w:eastAsia="de-DE"/>
        </w:rPr>
        <w:t>openFOAM</w:t>
      </w:r>
      <w:proofErr w:type="spellEnd"/>
      <w:r w:rsidRPr="00451E11">
        <w:rPr>
          <w:lang w:eastAsia="de-DE"/>
        </w:rPr>
        <w:t xml:space="preserve">). The ethylene feed that will be defined in </w:t>
      </w:r>
      <w:proofErr w:type="spellStart"/>
      <w:r>
        <w:rPr>
          <w:lang w:eastAsia="de-DE"/>
        </w:rPr>
        <w:t>OpenFOAM</w:t>
      </w:r>
      <w:proofErr w:type="spellEnd"/>
      <w:r w:rsidRPr="00451E11">
        <w:rPr>
          <w:lang w:eastAsia="de-DE"/>
        </w:rPr>
        <w:t xml:space="preserve"> is calculated based on the chemical reaction kinetics and reaction stoichiometry</w:t>
      </w:r>
      <w:r w:rsidR="005662C6">
        <w:rPr>
          <w:lang w:eastAsia="de-DE"/>
        </w:rPr>
        <w:t xml:space="preserve">. </w:t>
      </w:r>
      <w:r>
        <w:rPr>
          <w:lang w:eastAsia="de-DE"/>
        </w:rPr>
        <w:tab/>
      </w:r>
      <w:r w:rsidRPr="00451E11">
        <w:rPr>
          <w:lang w:eastAsia="de-DE"/>
        </w:rPr>
        <w:t xml:space="preserve">The ethylene feed rate is determined from the kinetics of the chemical reaction proposed by </w:t>
      </w:r>
      <w:r w:rsidR="00A475FE">
        <w:rPr>
          <w:lang w:eastAsia="de-DE"/>
        </w:rPr>
        <w:t>(Liu et al., 2005)</w:t>
      </w:r>
      <w:r>
        <w:rPr>
          <w:lang w:eastAsia="de-DE"/>
        </w:rPr>
        <w:t>.</w:t>
      </w:r>
    </w:p>
    <w:tbl>
      <w:tblPr>
        <w:tblW w:w="5000" w:type="pct"/>
        <w:tblLook w:val="04A0" w:firstRow="1" w:lastRow="0" w:firstColumn="1" w:lastColumn="0" w:noHBand="0" w:noVBand="1"/>
      </w:tblPr>
      <w:tblGrid>
        <w:gridCol w:w="7980"/>
        <w:gridCol w:w="807"/>
      </w:tblGrid>
      <w:tr w:rsidR="00A475FE" w:rsidRPr="00A475FE" w14:paraId="3D3B1241" w14:textId="77777777" w:rsidTr="00F20181">
        <w:tc>
          <w:tcPr>
            <w:tcW w:w="7980" w:type="dxa"/>
            <w:shd w:val="clear" w:color="auto" w:fill="auto"/>
            <w:vAlign w:val="center"/>
          </w:tcPr>
          <w:p w14:paraId="4927FD77" w14:textId="69034DE5" w:rsidR="00A475FE" w:rsidRPr="00A475FE" w:rsidRDefault="00D05B16" w:rsidP="00A475FE">
            <w:pPr>
              <w:pStyle w:val="CETEquation"/>
            </w:pPr>
            <m:oMathPara>
              <m:oMathParaPr>
                <m:jc m:val="left"/>
              </m:oMathPara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C</m:t>
                        </m:r>
                      </m:e>
                      <m:sub>
                        <m:r>
                          <w:rPr>
                            <w:rFonts w:ascii="Cambria Math" w:hAnsi="Cambria Math"/>
                          </w:rPr>
                          <m:t>TCE</m:t>
                        </m:r>
                      </m:sub>
                    </m:sSub>
                  </m:num>
                  <m:den>
                    <m:r>
                      <w:rPr>
                        <w:rFonts w:ascii="Cambria Math" w:hAnsi="Cambria Math"/>
                      </w:rPr>
                      <m:t>dt</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SA</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TCE</m:t>
                    </m:r>
                  </m:sub>
                </m:sSub>
              </m:oMath>
            </m:oMathPara>
          </w:p>
        </w:tc>
        <w:tc>
          <w:tcPr>
            <w:tcW w:w="807" w:type="dxa"/>
            <w:shd w:val="clear" w:color="auto" w:fill="auto"/>
            <w:vAlign w:val="center"/>
          </w:tcPr>
          <w:p w14:paraId="1E339DD7" w14:textId="1413621C" w:rsidR="00A475FE" w:rsidRPr="00A475FE" w:rsidRDefault="00A475FE" w:rsidP="00A475FE">
            <w:pPr>
              <w:pStyle w:val="CETEquation"/>
            </w:pPr>
            <w:r w:rsidRPr="00A475FE">
              <w:t>(1</w:t>
            </w:r>
            <w:r w:rsidR="00CE59E8">
              <w:t>1</w:t>
            </w:r>
            <w:r w:rsidRPr="00A475FE">
              <w:t>)</w:t>
            </w:r>
          </w:p>
        </w:tc>
      </w:tr>
    </w:tbl>
    <w:p w14:paraId="267D8F53" w14:textId="7E38A70C" w:rsidR="00A475FE" w:rsidRDefault="00A475FE" w:rsidP="00A475FE">
      <w:pPr>
        <w:pStyle w:val="CETBodytext"/>
        <w:rPr>
          <w:lang w:eastAsia="de-DE"/>
        </w:rPr>
      </w:pPr>
      <w:r w:rsidRPr="00451E11">
        <w:rPr>
          <w:lang w:eastAsia="de-DE"/>
        </w:rPr>
        <w:t xml:space="preserve">The use of RNIP-type nanoparticles and excess TCE are considered, therefore, according to TABLE </w:t>
      </w:r>
      <w:r w:rsidR="00F36D6B">
        <w:rPr>
          <w:lang w:eastAsia="de-DE"/>
        </w:rPr>
        <w:t>1</w:t>
      </w:r>
      <w:r w:rsidRPr="00451E11">
        <w:rPr>
          <w:lang w:eastAsia="de-DE"/>
        </w:rPr>
        <w:t>, the chemical reaction and the specific kinetic constant of the reaction is:</w:t>
      </w:r>
    </w:p>
    <w:p w14:paraId="0C51CEC2" w14:textId="346751D0" w:rsidR="00A475FE" w:rsidRPr="00AD0245" w:rsidRDefault="00A475FE" w:rsidP="00A475FE">
      <w:pPr>
        <w:pStyle w:val="CETTabletitle"/>
      </w:pPr>
      <w:r w:rsidRPr="00833DFE">
        <w:t xml:space="preserve">Table </w:t>
      </w:r>
      <w:r w:rsidR="00F36D6B">
        <w:t>1</w:t>
      </w:r>
      <w:r w:rsidRPr="00833DFE">
        <w:t xml:space="preserve">: </w:t>
      </w:r>
      <w:r w:rsidRPr="00A475FE">
        <w:t xml:space="preserve">Chemical reaction and kinetic constant considered in this </w:t>
      </w:r>
      <w:r w:rsidR="00DF245E" w:rsidRPr="00A475FE">
        <w:t>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111"/>
        <w:gridCol w:w="3969"/>
      </w:tblGrid>
      <w:tr w:rsidR="00A475FE" w:rsidRPr="00A475FE" w14:paraId="0DDA5204" w14:textId="77777777" w:rsidTr="00A475FE">
        <w:tc>
          <w:tcPr>
            <w:tcW w:w="4111" w:type="dxa"/>
            <w:tcBorders>
              <w:top w:val="single" w:sz="12" w:space="0" w:color="008000"/>
              <w:bottom w:val="single" w:sz="6" w:space="0" w:color="008000"/>
            </w:tcBorders>
            <w:shd w:val="clear" w:color="auto" w:fill="FFFFFF"/>
            <w:vAlign w:val="center"/>
          </w:tcPr>
          <w:p w14:paraId="39759775" w14:textId="48B11B68" w:rsidR="00A475FE" w:rsidRPr="00A475FE" w:rsidRDefault="00A475FE" w:rsidP="00A475FE">
            <w:pPr>
              <w:pStyle w:val="CETBodytext"/>
              <w:rPr>
                <w:szCs w:val="18"/>
              </w:rPr>
            </w:pPr>
            <w:r w:rsidRPr="00A475FE">
              <w:rPr>
                <w:szCs w:val="18"/>
              </w:rPr>
              <w:t>Excess TCE</w:t>
            </w:r>
          </w:p>
        </w:tc>
        <w:tc>
          <w:tcPr>
            <w:tcW w:w="3969" w:type="dxa"/>
            <w:tcBorders>
              <w:top w:val="single" w:sz="12" w:space="0" w:color="008000"/>
              <w:bottom w:val="single" w:sz="6" w:space="0" w:color="008000"/>
            </w:tcBorders>
            <w:shd w:val="clear" w:color="auto" w:fill="FFFFFF"/>
            <w:vAlign w:val="center"/>
          </w:tcPr>
          <w:p w14:paraId="6F403912" w14:textId="1380B670" w:rsidR="00A475FE" w:rsidRPr="00A475FE" w:rsidRDefault="00A475FE" w:rsidP="00A475FE">
            <w:pPr>
              <w:jc w:val="left"/>
              <w:rPr>
                <w:szCs w:val="18"/>
                <w:lang w:val="en-US"/>
              </w:rPr>
            </w:pPr>
            <w:r w:rsidRPr="00A475FE">
              <w:rPr>
                <w:szCs w:val="18"/>
                <w:lang w:val="en-US"/>
              </w:rPr>
              <w:t>Kinetic Constant</w:t>
            </w:r>
            <w:r>
              <w:rPr>
                <w:szCs w:val="18"/>
                <w:lang w:val="en-US"/>
              </w:rPr>
              <w:t xml:space="preserve"> (</w:t>
            </w:r>
            <w:r w:rsidRPr="00A475FE">
              <w:rPr>
                <w:szCs w:val="18"/>
                <w:lang w:val="en-US"/>
              </w:rPr>
              <w:t>L h</w:t>
            </w:r>
            <w:r w:rsidRPr="00A475FE">
              <w:rPr>
                <w:szCs w:val="18"/>
                <w:vertAlign w:val="superscript"/>
                <w:lang w:val="en-US"/>
              </w:rPr>
              <w:t>-1</w:t>
            </w:r>
            <w:r w:rsidRPr="00A475FE">
              <w:rPr>
                <w:szCs w:val="18"/>
                <w:lang w:val="en-US"/>
              </w:rPr>
              <w:t>m</w:t>
            </w:r>
            <w:r w:rsidRPr="00A475FE">
              <w:rPr>
                <w:szCs w:val="18"/>
                <w:vertAlign w:val="superscript"/>
                <w:lang w:val="en-US"/>
              </w:rPr>
              <w:t>-2</w:t>
            </w:r>
            <w:r w:rsidRPr="00A475FE">
              <w:rPr>
                <w:szCs w:val="18"/>
                <w:lang w:val="en-US"/>
              </w:rPr>
              <w:t>)</w:t>
            </w:r>
          </w:p>
        </w:tc>
      </w:tr>
      <w:tr w:rsidR="00A475FE" w:rsidRPr="00A475FE" w14:paraId="57EB4166" w14:textId="77777777" w:rsidTr="00A475FE">
        <w:tc>
          <w:tcPr>
            <w:tcW w:w="4111" w:type="dxa"/>
            <w:shd w:val="clear" w:color="auto" w:fill="FFFFFF"/>
            <w:vAlign w:val="center"/>
          </w:tcPr>
          <w:p w14:paraId="0B891B47" w14:textId="45D625F8" w:rsidR="00A475FE" w:rsidRPr="00A475FE" w:rsidRDefault="00A475FE" w:rsidP="00A475FE">
            <w:pPr>
              <w:pStyle w:val="CETBodytext"/>
              <w:rPr>
                <w:szCs w:val="18"/>
              </w:rPr>
            </w:pPr>
            <m:oMathPara>
              <m:oMathParaPr>
                <m:jc m:val="left"/>
              </m:oMathParaPr>
              <m:oMath>
                <m:r>
                  <w:rPr>
                    <w:rFonts w:ascii="Cambria Math" w:hAnsi="Cambria Math"/>
                    <w:color w:val="000000" w:themeColor="text1"/>
                    <w:szCs w:val="18"/>
                  </w:rPr>
                  <m:t>CHC</m:t>
                </m:r>
                <m:sSub>
                  <m:sSubPr>
                    <m:ctrlPr>
                      <w:rPr>
                        <w:rFonts w:ascii="Cambria Math" w:hAnsi="Cambria Math"/>
                        <w:i/>
                        <w:color w:val="000000" w:themeColor="text1"/>
                        <w:szCs w:val="18"/>
                      </w:rPr>
                    </m:ctrlPr>
                  </m:sSubPr>
                  <m:e>
                    <m:r>
                      <w:rPr>
                        <w:rFonts w:ascii="Cambria Math" w:hAnsi="Cambria Math"/>
                        <w:color w:val="000000" w:themeColor="text1"/>
                        <w:szCs w:val="18"/>
                      </w:rPr>
                      <m:t>Cl</m:t>
                    </m:r>
                  </m:e>
                  <m:sub>
                    <m:r>
                      <w:rPr>
                        <w:rFonts w:ascii="Cambria Math" w:hAnsi="Cambria Math"/>
                        <w:color w:val="000000" w:themeColor="text1"/>
                        <w:szCs w:val="18"/>
                      </w:rPr>
                      <m:t>3</m:t>
                    </m:r>
                  </m:sub>
                </m:sSub>
                <m:r>
                  <w:rPr>
                    <w:rFonts w:ascii="Cambria Math" w:hAnsi="Cambria Math"/>
                    <w:color w:val="000000" w:themeColor="text1"/>
                    <w:szCs w:val="18"/>
                  </w:rPr>
                  <m:t>+3</m:t>
                </m:r>
                <m:sSup>
                  <m:sSupPr>
                    <m:ctrlPr>
                      <w:rPr>
                        <w:rFonts w:ascii="Cambria Math" w:hAnsi="Cambria Math"/>
                        <w:i/>
                        <w:color w:val="000000" w:themeColor="text1"/>
                        <w:szCs w:val="18"/>
                      </w:rPr>
                    </m:ctrlPr>
                  </m:sSupPr>
                  <m:e>
                    <m:r>
                      <w:rPr>
                        <w:rFonts w:ascii="Cambria Math" w:hAnsi="Cambria Math"/>
                        <w:color w:val="000000" w:themeColor="text1"/>
                        <w:szCs w:val="18"/>
                      </w:rPr>
                      <m:t>Fe</m:t>
                    </m:r>
                  </m:e>
                  <m:sup>
                    <m:r>
                      <w:rPr>
                        <w:rFonts w:ascii="Cambria Math" w:hAnsi="Cambria Math"/>
                        <w:color w:val="000000" w:themeColor="text1"/>
                        <w:szCs w:val="18"/>
                      </w:rPr>
                      <m:t>0</m:t>
                    </m:r>
                  </m:sup>
                </m:sSup>
                <m:r>
                  <w:rPr>
                    <w:rFonts w:ascii="Cambria Math" w:hAnsi="Cambria Math"/>
                    <w:color w:val="000000" w:themeColor="text1"/>
                    <w:szCs w:val="18"/>
                  </w:rPr>
                  <m:t>+</m:t>
                </m:r>
                <m:sSup>
                  <m:sSupPr>
                    <m:ctrlPr>
                      <w:rPr>
                        <w:rFonts w:ascii="Cambria Math" w:hAnsi="Cambria Math"/>
                        <w:i/>
                        <w:color w:val="000000" w:themeColor="text1"/>
                        <w:szCs w:val="18"/>
                      </w:rPr>
                    </m:ctrlPr>
                  </m:sSupPr>
                  <m:e>
                    <m:r>
                      <w:rPr>
                        <w:rFonts w:ascii="Cambria Math" w:hAnsi="Cambria Math"/>
                        <w:color w:val="000000" w:themeColor="text1"/>
                        <w:szCs w:val="18"/>
                      </w:rPr>
                      <m:t>H</m:t>
                    </m:r>
                  </m:e>
                  <m:sup>
                    <m:r>
                      <w:rPr>
                        <w:rFonts w:ascii="Cambria Math" w:hAnsi="Cambria Math"/>
                        <w:color w:val="000000" w:themeColor="text1"/>
                        <w:szCs w:val="18"/>
                      </w:rPr>
                      <m:t>+</m:t>
                    </m:r>
                  </m:sup>
                </m:sSup>
                <m:r>
                  <w:rPr>
                    <w:rFonts w:ascii="Cambria Math" w:hAnsi="Cambria Math"/>
                    <w:color w:val="000000" w:themeColor="text1"/>
                    <w:szCs w:val="18"/>
                  </w:rPr>
                  <m:t>→</m:t>
                </m:r>
                <m:sSub>
                  <m:sSubPr>
                    <m:ctrlPr>
                      <w:rPr>
                        <w:rFonts w:ascii="Cambria Math" w:hAnsi="Cambria Math"/>
                        <w:i/>
                        <w:color w:val="000000" w:themeColor="text1"/>
                        <w:szCs w:val="18"/>
                      </w:rPr>
                    </m:ctrlPr>
                  </m:sSubPr>
                  <m:e>
                    <m:r>
                      <w:rPr>
                        <w:rFonts w:ascii="Cambria Math" w:hAnsi="Cambria Math"/>
                        <w:color w:val="000000" w:themeColor="text1"/>
                        <w:szCs w:val="18"/>
                      </w:rPr>
                      <m:t>C</m:t>
                    </m:r>
                  </m:e>
                  <m:sub>
                    <m:r>
                      <w:rPr>
                        <w:rFonts w:ascii="Cambria Math" w:hAnsi="Cambria Math"/>
                        <w:color w:val="000000" w:themeColor="text1"/>
                        <w:szCs w:val="18"/>
                      </w:rPr>
                      <m:t>2</m:t>
                    </m:r>
                  </m:sub>
                </m:sSub>
                <m:sSub>
                  <m:sSubPr>
                    <m:ctrlPr>
                      <w:rPr>
                        <w:rFonts w:ascii="Cambria Math" w:hAnsi="Cambria Math"/>
                        <w:i/>
                        <w:color w:val="000000" w:themeColor="text1"/>
                        <w:szCs w:val="18"/>
                      </w:rPr>
                    </m:ctrlPr>
                  </m:sSubPr>
                  <m:e>
                    <m:r>
                      <w:rPr>
                        <w:rFonts w:ascii="Cambria Math" w:hAnsi="Cambria Math"/>
                        <w:color w:val="000000" w:themeColor="text1"/>
                        <w:szCs w:val="18"/>
                      </w:rPr>
                      <m:t>H</m:t>
                    </m:r>
                  </m:e>
                  <m:sub>
                    <m:r>
                      <w:rPr>
                        <w:rFonts w:ascii="Cambria Math" w:hAnsi="Cambria Math"/>
                        <w:color w:val="000000" w:themeColor="text1"/>
                        <w:szCs w:val="18"/>
                      </w:rPr>
                      <m:t>2</m:t>
                    </m:r>
                  </m:sub>
                </m:sSub>
                <m:r>
                  <w:rPr>
                    <w:rFonts w:ascii="Cambria Math" w:hAnsi="Cambria Math"/>
                    <w:color w:val="000000" w:themeColor="text1"/>
                    <w:szCs w:val="18"/>
                  </w:rPr>
                  <m:t>+3</m:t>
                </m:r>
                <m:sSup>
                  <m:sSupPr>
                    <m:ctrlPr>
                      <w:rPr>
                        <w:rFonts w:ascii="Cambria Math" w:hAnsi="Cambria Math"/>
                        <w:i/>
                        <w:color w:val="000000" w:themeColor="text1"/>
                        <w:szCs w:val="18"/>
                      </w:rPr>
                    </m:ctrlPr>
                  </m:sSupPr>
                  <m:e>
                    <m:r>
                      <w:rPr>
                        <w:rFonts w:ascii="Cambria Math" w:hAnsi="Cambria Math"/>
                        <w:color w:val="000000" w:themeColor="text1"/>
                        <w:szCs w:val="18"/>
                      </w:rPr>
                      <m:t>Fe</m:t>
                    </m:r>
                  </m:e>
                  <m:sup>
                    <m:r>
                      <w:rPr>
                        <w:rFonts w:ascii="Cambria Math" w:hAnsi="Cambria Math"/>
                        <w:color w:val="000000" w:themeColor="text1"/>
                        <w:szCs w:val="18"/>
                      </w:rPr>
                      <m:t>2+</m:t>
                    </m:r>
                  </m:sup>
                </m:sSup>
                <m:r>
                  <w:rPr>
                    <w:rFonts w:ascii="Cambria Math" w:hAnsi="Cambria Math"/>
                    <w:color w:val="000000" w:themeColor="text1"/>
                    <w:szCs w:val="18"/>
                  </w:rPr>
                  <m:t>+3</m:t>
                </m:r>
                <m:sSup>
                  <m:sSupPr>
                    <m:ctrlPr>
                      <w:rPr>
                        <w:rFonts w:ascii="Cambria Math" w:hAnsi="Cambria Math"/>
                        <w:i/>
                        <w:color w:val="000000" w:themeColor="text1"/>
                        <w:szCs w:val="18"/>
                      </w:rPr>
                    </m:ctrlPr>
                  </m:sSupPr>
                  <m:e>
                    <m:r>
                      <w:rPr>
                        <w:rFonts w:ascii="Cambria Math" w:hAnsi="Cambria Math"/>
                        <w:color w:val="000000" w:themeColor="text1"/>
                        <w:szCs w:val="18"/>
                      </w:rPr>
                      <m:t>Cl</m:t>
                    </m:r>
                  </m:e>
                  <m:sup>
                    <m:r>
                      <w:rPr>
                        <w:rFonts w:ascii="Cambria Math" w:hAnsi="Cambria Math"/>
                        <w:color w:val="000000" w:themeColor="text1"/>
                        <w:szCs w:val="18"/>
                      </w:rPr>
                      <m:t>-</m:t>
                    </m:r>
                  </m:sup>
                </m:sSup>
              </m:oMath>
            </m:oMathPara>
          </w:p>
        </w:tc>
        <w:tc>
          <w:tcPr>
            <w:tcW w:w="3969" w:type="dxa"/>
            <w:shd w:val="clear" w:color="auto" w:fill="auto"/>
            <w:vAlign w:val="center"/>
          </w:tcPr>
          <w:p w14:paraId="25E832A2" w14:textId="578BAE4D" w:rsidR="00A475FE" w:rsidRPr="00A475FE" w:rsidRDefault="00D05B16" w:rsidP="00A475FE">
            <w:pPr>
              <w:pStyle w:val="CETBodytext"/>
              <w:rPr>
                <w:szCs w:val="18"/>
              </w:rPr>
            </w:pPr>
            <m:oMathPara>
              <m:oMathParaPr>
                <m:jc m:val="left"/>
              </m:oMathParaPr>
              <m:oMath>
                <m:sSub>
                  <m:sSubPr>
                    <m:ctrlPr>
                      <w:rPr>
                        <w:rFonts w:ascii="Cambria Math" w:hAnsi="Cambria Math"/>
                        <w:i/>
                        <w:noProof/>
                        <w:szCs w:val="18"/>
                      </w:rPr>
                    </m:ctrlPr>
                  </m:sSubPr>
                  <m:e>
                    <m:r>
                      <w:rPr>
                        <w:rFonts w:ascii="Cambria Math" w:hAnsi="Cambria Math"/>
                        <w:noProof/>
                        <w:szCs w:val="18"/>
                      </w:rPr>
                      <m:t>k</m:t>
                    </m:r>
                  </m:e>
                  <m:sub>
                    <m:r>
                      <w:rPr>
                        <w:rFonts w:ascii="Cambria Math" w:hAnsi="Cambria Math"/>
                        <w:noProof/>
                        <w:szCs w:val="18"/>
                      </w:rPr>
                      <m:t>SA</m:t>
                    </m:r>
                  </m:sub>
                </m:sSub>
                <m:r>
                  <w:rPr>
                    <w:rFonts w:ascii="Cambria Math" w:hAnsi="Cambria Math"/>
                    <w:noProof/>
                    <w:szCs w:val="18"/>
                  </w:rPr>
                  <m:t>=3.3±0.06 ×</m:t>
                </m:r>
                <m:sSup>
                  <m:sSupPr>
                    <m:ctrlPr>
                      <w:rPr>
                        <w:rFonts w:ascii="Cambria Math" w:hAnsi="Cambria Math"/>
                        <w:i/>
                        <w:noProof/>
                        <w:szCs w:val="18"/>
                      </w:rPr>
                    </m:ctrlPr>
                  </m:sSupPr>
                  <m:e>
                    <m:r>
                      <w:rPr>
                        <w:rFonts w:ascii="Cambria Math" w:hAnsi="Cambria Math"/>
                        <w:noProof/>
                        <w:szCs w:val="18"/>
                      </w:rPr>
                      <m:t>10</m:t>
                    </m:r>
                  </m:e>
                  <m:sup>
                    <m:r>
                      <w:rPr>
                        <w:rFonts w:ascii="Cambria Math" w:hAnsi="Cambria Math"/>
                        <w:noProof/>
                        <w:szCs w:val="18"/>
                      </w:rPr>
                      <m:t>-4</m:t>
                    </m:r>
                  </m:sup>
                </m:sSup>
              </m:oMath>
            </m:oMathPara>
          </w:p>
        </w:tc>
      </w:tr>
    </w:tbl>
    <w:p w14:paraId="491D83B0" w14:textId="4BE3AA0C" w:rsidR="00A475FE" w:rsidRDefault="00A475FE" w:rsidP="00A475FE">
      <w:pPr>
        <w:pStyle w:val="CETBodytext"/>
        <w:rPr>
          <w:lang w:eastAsia="de-DE"/>
        </w:rPr>
      </w:pPr>
    </w:p>
    <w:p w14:paraId="02E38255" w14:textId="64189CE4" w:rsidR="00A475FE" w:rsidRDefault="00A475FE" w:rsidP="00A475FE">
      <w:pPr>
        <w:pStyle w:val="CETBodytext"/>
      </w:pPr>
      <w:r w:rsidRPr="00A475FE">
        <w:t>The specific area of RNIP nanoparticles (</w:t>
      </w:r>
      <m:oMath>
        <m:sSub>
          <m:sSubPr>
            <m:ctrlPr>
              <w:rPr>
                <w:rFonts w:ascii="Cambria Math" w:hAnsi="Cambria Math"/>
              </w:rPr>
            </m:ctrlPr>
          </m:sSubPr>
          <m:e>
            <m:r>
              <w:rPr>
                <w:rFonts w:ascii="Cambria Math" w:hAnsi="Cambria Math"/>
              </w:rPr>
              <m:t>a</m:t>
            </m:r>
          </m:e>
          <m:sub>
            <m:r>
              <w:rPr>
                <w:rFonts w:ascii="Cambria Math" w:hAnsi="Cambria Math"/>
              </w:rPr>
              <m:t>s</m:t>
            </m:r>
          </m:sub>
        </m:sSub>
      </m:oMath>
      <w:r w:rsidRPr="00A475FE">
        <w:rPr>
          <w:rFonts w:eastAsiaTheme="minorEastAsia"/>
        </w:rPr>
        <w:t>)</w:t>
      </w:r>
      <w:r w:rsidRPr="00A475FE">
        <w:t xml:space="preserve"> </w:t>
      </w:r>
      <w:r w:rsidRPr="00A475FE">
        <w:rPr>
          <w:rFonts w:eastAsiaTheme="minorEastAsia"/>
        </w:rPr>
        <w:t>is 23 m</w:t>
      </w:r>
      <w:r w:rsidRPr="00A475FE">
        <w:rPr>
          <w:rFonts w:eastAsiaTheme="minorEastAsia"/>
          <w:vertAlign w:val="superscript"/>
        </w:rPr>
        <w:t>2</w:t>
      </w:r>
      <w:r w:rsidRPr="00A475FE">
        <w:rPr>
          <w:rFonts w:eastAsiaTheme="minorEastAsia"/>
        </w:rPr>
        <w:t>g</w:t>
      </w:r>
      <w:r w:rsidRPr="00A475FE">
        <w:rPr>
          <w:rFonts w:eastAsiaTheme="minorEastAsia"/>
          <w:vertAlign w:val="superscript"/>
        </w:rPr>
        <w:t>-1</w:t>
      </w:r>
      <w:r w:rsidRPr="00A475FE">
        <w:t xml:space="preserve"> and the iron concentration </w:t>
      </w:r>
      <m:oMath>
        <m:sSub>
          <m:sSubPr>
            <m:ctrlPr>
              <w:rPr>
                <w:rFonts w:ascii="Cambria Math" w:hAnsi="Cambria Math"/>
              </w:rPr>
            </m:ctrlPr>
          </m:sSubPr>
          <m:e>
            <m:r>
              <m:rPr>
                <m:sty m:val="p"/>
              </m:rPr>
              <w:rPr>
                <w:rFonts w:ascii="Cambria Math" w:hAnsi="Cambria Math"/>
              </w:rPr>
              <m:t>(</m:t>
            </m:r>
            <m:r>
              <w:rPr>
                <w:rFonts w:ascii="Cambria Math" w:hAnsi="Cambria Math"/>
              </w:rPr>
              <m:t>ρ</m:t>
            </m:r>
          </m:e>
          <m:sub>
            <m:r>
              <w:rPr>
                <w:rFonts w:ascii="Cambria Math" w:hAnsi="Cambria Math"/>
              </w:rPr>
              <m:t>m</m:t>
            </m:r>
          </m:sub>
        </m:sSub>
        <m:r>
          <m:rPr>
            <m:sty m:val="p"/>
          </m:rPr>
          <w:rPr>
            <w:rFonts w:ascii="Cambria Math" w:hAnsi="Cambria Math"/>
          </w:rPr>
          <m:t>)</m:t>
        </m:r>
      </m:oMath>
      <w:r w:rsidRPr="00A475FE">
        <w:rPr>
          <w:rFonts w:eastAsiaTheme="minorEastAsia"/>
        </w:rPr>
        <w:t xml:space="preserve"> is 0</w:t>
      </w:r>
      <w:r w:rsidR="003C487C">
        <w:rPr>
          <w:rFonts w:eastAsiaTheme="minorEastAsia"/>
        </w:rPr>
        <w:t>.</w:t>
      </w:r>
      <w:r w:rsidRPr="00A475FE">
        <w:rPr>
          <w:rFonts w:eastAsiaTheme="minorEastAsia"/>
        </w:rPr>
        <w:t>36 gL</w:t>
      </w:r>
      <w:r w:rsidRPr="00A475FE">
        <w:rPr>
          <w:rFonts w:eastAsiaTheme="minorEastAsia"/>
          <w:vertAlign w:val="superscript"/>
        </w:rPr>
        <w:t>-1</w:t>
      </w:r>
      <w:r w:rsidRPr="00A475FE">
        <w:t xml:space="preserve">  (Liu et al., 2005).</w:t>
      </w:r>
      <w:r>
        <w:t xml:space="preserve"> </w:t>
      </w:r>
      <w:r w:rsidRPr="00A475FE">
        <w:t>Integrating equation (1</w:t>
      </w:r>
      <w:r w:rsidR="00F36D6B">
        <w:t>1</w:t>
      </w:r>
      <w:r w:rsidRPr="00A475FE">
        <w:t>) we obtain the relationship between the concentration of TCE as a function of reaction time</w:t>
      </w:r>
      <w:r w:rsidR="00770A37">
        <w:t>, w</w:t>
      </w:r>
      <w:r w:rsidRPr="00F47842">
        <w:t xml:space="preserve">here </w:t>
      </w:r>
      <m:oMath>
        <m:sSub>
          <m:sSubPr>
            <m:ctrlPr>
              <w:rPr>
                <w:rFonts w:ascii="Cambria Math" w:hAnsi="Cambria Math"/>
                <w:i/>
              </w:rPr>
            </m:ctrlPr>
          </m:sSubPr>
          <m:e>
            <m:r>
              <w:rPr>
                <w:rFonts w:ascii="Cambria Math" w:hAnsi="Cambria Math"/>
              </w:rPr>
              <m:t>C</m:t>
            </m:r>
          </m:e>
          <m:sub>
            <m:r>
              <w:rPr>
                <w:rFonts w:ascii="Cambria Math" w:hAnsi="Cambria Math"/>
              </w:rPr>
              <m:t>TCE,0</m:t>
            </m:r>
          </m:sub>
        </m:sSub>
        <m:r>
          <w:rPr>
            <w:rFonts w:ascii="Cambria Math" w:hAnsi="Cambria Math"/>
          </w:rPr>
          <m:t xml:space="preserve"> </m:t>
        </m:r>
      </m:oMath>
      <w:r w:rsidRPr="00F47842">
        <w:t xml:space="preserve">is the initial TCE saturation equal to </w:t>
      </w:r>
      <w:r w:rsidR="003C487C">
        <w:t xml:space="preserve">7%. </w:t>
      </w:r>
      <w:r w:rsidRPr="00F47842">
        <w:t>This value was obtained through the simulation, considering</w:t>
      </w:r>
      <w:r w:rsidRPr="00A7386A">
        <w:rPr>
          <w:lang w:eastAsia="de-DE"/>
        </w:rPr>
        <w:t xml:space="preserve"> only the water flow to reduce the TCE, that is, it is the saturation of the TCE just before starting the ethylene feed.</w:t>
      </w:r>
      <w:r w:rsidR="003C487C">
        <w:rPr>
          <w:lang w:eastAsia="de-DE"/>
        </w:rPr>
        <w:t xml:space="preserve"> </w:t>
      </w:r>
      <w:r w:rsidRPr="00A7386A">
        <w:rPr>
          <w:lang w:eastAsia="de-DE"/>
        </w:rPr>
        <w:t xml:space="preserve">In the experiments by </w:t>
      </w:r>
      <w:r w:rsidRPr="008D20CA">
        <w:rPr>
          <w:lang w:eastAsia="de-DE"/>
        </w:rPr>
        <w:t>Liu et. al</w:t>
      </w:r>
      <w:r w:rsidRPr="00A7386A">
        <w:rPr>
          <w:lang w:eastAsia="de-DE"/>
        </w:rPr>
        <w:t xml:space="preserve"> TCE is no longer consumed after 6 days (144 hours) of experiment, so this reaction time is considered.</w:t>
      </w:r>
      <w:r>
        <w:rPr>
          <w:lang w:eastAsia="de-DE"/>
        </w:rPr>
        <w:t xml:space="preserve"> </w:t>
      </w:r>
      <w:r w:rsidR="00DF245E">
        <w:rPr>
          <w:lang w:eastAsia="de-DE"/>
        </w:rPr>
        <w:t>T</w:t>
      </w:r>
      <w:r w:rsidRPr="00A7386A">
        <w:rPr>
          <w:lang w:eastAsia="de-DE"/>
        </w:rPr>
        <w:t>he result is the saturation of the TCE after 6 days of reaction:</w:t>
      </w:r>
    </w:p>
    <w:tbl>
      <w:tblPr>
        <w:tblW w:w="5000" w:type="pct"/>
        <w:tblLook w:val="04A0" w:firstRow="1" w:lastRow="0" w:firstColumn="1" w:lastColumn="0" w:noHBand="0" w:noVBand="1"/>
      </w:tblPr>
      <w:tblGrid>
        <w:gridCol w:w="7986"/>
        <w:gridCol w:w="801"/>
      </w:tblGrid>
      <w:tr w:rsidR="00A475FE" w:rsidRPr="00A475FE" w14:paraId="0A2CCDBD" w14:textId="77777777" w:rsidTr="00A475FE">
        <w:tc>
          <w:tcPr>
            <w:tcW w:w="7986" w:type="dxa"/>
            <w:shd w:val="clear" w:color="auto" w:fill="auto"/>
            <w:vAlign w:val="center"/>
          </w:tcPr>
          <w:p w14:paraId="5F91F669" w14:textId="74FC24FA" w:rsidR="00A475FE" w:rsidRPr="00A475FE" w:rsidRDefault="00D05B16" w:rsidP="00A475FE">
            <w:pPr>
              <w:pStyle w:val="CETEquation"/>
            </w:pPr>
            <m:oMathPara>
              <m:oMathParaPr>
                <m:jc m:val="left"/>
              </m:oMathParaPr>
              <m:oMath>
                <m:sSub>
                  <m:sSubPr>
                    <m:ctrlPr>
                      <w:rPr>
                        <w:rFonts w:ascii="Cambria Math" w:hAnsi="Cambria Math"/>
                      </w:rPr>
                    </m:ctrlPr>
                  </m:sSubPr>
                  <m:e>
                    <m:r>
                      <m:rPr>
                        <m:sty m:val="p"/>
                      </m:rPr>
                      <w:rPr>
                        <w:rFonts w:ascii="Cambria Math" w:hAnsi="Cambria Math"/>
                      </w:rPr>
                      <m:t>%</m:t>
                    </m:r>
                  </m:e>
                  <m:sub>
                    <m:r>
                      <w:rPr>
                        <w:rFonts w:ascii="Cambria Math" w:hAnsi="Cambria Math"/>
                      </w:rPr>
                      <m:t>TCE</m:t>
                    </m:r>
                  </m:sub>
                </m:sSub>
                <m:r>
                  <m:rPr>
                    <m:sty m:val="p"/>
                  </m:rPr>
                  <w:rPr>
                    <w:rFonts w:ascii="Cambria Math" w:hAnsi="Cambria Math"/>
                  </w:rPr>
                  <m:t>=0.07∙</m:t>
                </m:r>
                <m:sSup>
                  <m:sSupPr>
                    <m:ctrlPr>
                      <w:rPr>
                        <w:rFonts w:ascii="Cambria Math" w:hAnsi="Cambria Math"/>
                      </w:rPr>
                    </m:ctrlPr>
                  </m:sSupPr>
                  <m:e>
                    <m:r>
                      <w:rPr>
                        <w:rFonts w:ascii="Cambria Math" w:hAnsi="Cambria Math"/>
                      </w:rPr>
                      <m:t>e</m:t>
                    </m:r>
                  </m:e>
                  <m:sup>
                    <m:d>
                      <m:dPr>
                        <m:ctrlPr>
                          <w:rPr>
                            <w:rFonts w:ascii="Cambria Math" w:hAnsi="Cambria Math"/>
                          </w:rPr>
                        </m:ctrlPr>
                      </m:dPr>
                      <m:e>
                        <m:r>
                          <m:rPr>
                            <m:sty m:val="p"/>
                          </m:rPr>
                          <w:rPr>
                            <w:rFonts w:ascii="Cambria Math" w:hAnsi="Cambria Math"/>
                          </w:rPr>
                          <m:t>-3.3×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×23×∙036</m:t>
                        </m:r>
                      </m:e>
                    </m:d>
                    <m:r>
                      <m:rPr>
                        <m:sty m:val="p"/>
                      </m:rPr>
                      <w:rPr>
                        <w:rFonts w:ascii="Cambria Math" w:hAnsi="Cambria Math"/>
                      </w:rPr>
                      <m:t xml:space="preserve">×144 </m:t>
                    </m:r>
                  </m:sup>
                </m:sSup>
                <m:r>
                  <m:rPr>
                    <m:sty m:val="p"/>
                  </m:rPr>
                  <w:rPr>
                    <w:rFonts w:ascii="Cambria Math" w:hAnsi="Cambria Math"/>
                  </w:rPr>
                  <m:t>=0,047</m:t>
                </m:r>
              </m:oMath>
            </m:oMathPara>
          </w:p>
        </w:tc>
        <w:tc>
          <w:tcPr>
            <w:tcW w:w="801" w:type="dxa"/>
            <w:shd w:val="clear" w:color="auto" w:fill="auto"/>
            <w:vAlign w:val="center"/>
          </w:tcPr>
          <w:p w14:paraId="7DA6FC5F" w14:textId="1FCACBF3" w:rsidR="00A475FE" w:rsidRPr="00A475FE" w:rsidRDefault="00A475FE" w:rsidP="00A475FE">
            <w:pPr>
              <w:pStyle w:val="CETEquation"/>
            </w:pPr>
            <w:r w:rsidRPr="00A475FE">
              <w:t>(1</w:t>
            </w:r>
            <w:r w:rsidR="00F36D6B">
              <w:t>2</w:t>
            </w:r>
            <w:r w:rsidRPr="00A475FE">
              <w:t>)</w:t>
            </w:r>
          </w:p>
        </w:tc>
      </w:tr>
    </w:tbl>
    <w:p w14:paraId="2A7090AE" w14:textId="17C9235F" w:rsidR="00A475FE" w:rsidRDefault="00A475FE" w:rsidP="00A475FE">
      <w:pPr>
        <w:pStyle w:val="CETBodytext"/>
        <w:rPr>
          <w:lang w:eastAsia="de-DE"/>
        </w:rPr>
      </w:pPr>
      <w:r w:rsidRPr="00A7386A">
        <w:rPr>
          <w:lang w:eastAsia="de-DE"/>
        </w:rPr>
        <w:t>That is, at the end of the reaction, 0.047g of TCE per 100g of solution remains in the medium, which represents a consumption of 0.023g of TCE per 100g of solution. (</w:t>
      </w:r>
      <m:oMath>
        <m:r>
          <w:rPr>
            <w:rFonts w:ascii="Cambria Math" w:eastAsiaTheme="minorEastAsia" w:hAnsi="Cambria Math"/>
            <w:color w:val="000000" w:themeColor="text1"/>
            <w:vertAlign w:val="superscript"/>
          </w:rPr>
          <m:t>1.75×</m:t>
        </m:r>
        <m:sSup>
          <m:sSupPr>
            <m:ctrlPr>
              <w:rPr>
                <w:rFonts w:ascii="Cambria Math" w:eastAsiaTheme="minorEastAsia" w:hAnsi="Cambria Math"/>
                <w:i/>
                <w:color w:val="000000" w:themeColor="text1"/>
                <w:vertAlign w:val="superscript"/>
              </w:rPr>
            </m:ctrlPr>
          </m:sSupPr>
          <m:e>
            <m:r>
              <w:rPr>
                <w:rFonts w:ascii="Cambria Math" w:eastAsiaTheme="minorEastAsia" w:hAnsi="Cambria Math"/>
                <w:color w:val="000000" w:themeColor="text1"/>
                <w:vertAlign w:val="superscript"/>
              </w:rPr>
              <m:t>10</m:t>
            </m:r>
          </m:e>
          <m:sup>
            <m:r>
              <w:rPr>
                <w:rFonts w:ascii="Cambria Math" w:eastAsiaTheme="minorEastAsia" w:hAnsi="Cambria Math"/>
                <w:color w:val="000000" w:themeColor="text1"/>
                <w:vertAlign w:val="superscript"/>
              </w:rPr>
              <m:t>-4</m:t>
            </m:r>
          </m:sup>
        </m:sSup>
        <m:r>
          <w:rPr>
            <w:rFonts w:ascii="Cambria Math" w:eastAsiaTheme="minorEastAsia" w:hAnsi="Cambria Math"/>
            <w:color w:val="000000" w:themeColor="text1"/>
            <w:vertAlign w:val="superscript"/>
          </w:rPr>
          <m:t xml:space="preserve"> </m:t>
        </m:r>
      </m:oMath>
      <w:r w:rsidRPr="00A7386A">
        <w:rPr>
          <w:lang w:eastAsia="de-DE"/>
        </w:rPr>
        <w:t>mol of TCE per 100g of solution).</w:t>
      </w:r>
      <w:r>
        <w:rPr>
          <w:lang w:eastAsia="de-DE"/>
        </w:rPr>
        <w:tab/>
      </w:r>
      <w:r w:rsidRPr="00A7386A">
        <w:rPr>
          <w:lang w:eastAsia="de-DE"/>
        </w:rPr>
        <w:t xml:space="preserve">The rate of ethylene formation is obtained through the </w:t>
      </w:r>
      <w:r w:rsidR="003C487C" w:rsidRPr="00A7386A">
        <w:rPr>
          <w:lang w:eastAsia="de-DE"/>
        </w:rPr>
        <w:t>st</w:t>
      </w:r>
      <w:r w:rsidR="003C487C">
        <w:rPr>
          <w:lang w:eastAsia="de-DE"/>
        </w:rPr>
        <w:t>o</w:t>
      </w:r>
      <w:r w:rsidR="003C487C" w:rsidRPr="00A7386A">
        <w:rPr>
          <w:lang w:eastAsia="de-DE"/>
        </w:rPr>
        <w:t>ichiometry</w:t>
      </w:r>
      <w:r w:rsidRPr="00A7386A">
        <w:rPr>
          <w:lang w:eastAsia="de-DE"/>
        </w:rPr>
        <w:t xml:space="preserve"> of the reaction. It is observed that 1 mol of TCE produces 1 mol of ethylene.</w:t>
      </w:r>
      <w:r>
        <w:rPr>
          <w:lang w:eastAsia="de-DE"/>
        </w:rPr>
        <w:t xml:space="preserve"> </w:t>
      </w:r>
      <m:oMath>
        <m:r>
          <w:rPr>
            <w:rFonts w:ascii="Cambria Math" w:eastAsiaTheme="minorEastAsia" w:hAnsi="Cambria Math"/>
            <w:color w:val="000000" w:themeColor="text1"/>
            <w:vertAlign w:val="superscript"/>
          </w:rPr>
          <m:t>1,75×</m:t>
        </m:r>
        <m:sSup>
          <m:sSupPr>
            <m:ctrlPr>
              <w:rPr>
                <w:rFonts w:ascii="Cambria Math" w:eastAsiaTheme="minorEastAsia" w:hAnsi="Cambria Math"/>
                <w:i/>
                <w:color w:val="000000" w:themeColor="text1"/>
                <w:vertAlign w:val="superscript"/>
              </w:rPr>
            </m:ctrlPr>
          </m:sSupPr>
          <m:e>
            <m:r>
              <w:rPr>
                <w:rFonts w:ascii="Cambria Math" w:eastAsiaTheme="minorEastAsia" w:hAnsi="Cambria Math"/>
                <w:color w:val="000000" w:themeColor="text1"/>
                <w:vertAlign w:val="superscript"/>
              </w:rPr>
              <m:t>10</m:t>
            </m:r>
          </m:e>
          <m:sup>
            <m:r>
              <w:rPr>
                <w:rFonts w:ascii="Cambria Math" w:eastAsiaTheme="minorEastAsia" w:hAnsi="Cambria Math"/>
                <w:color w:val="000000" w:themeColor="text1"/>
                <w:vertAlign w:val="superscript"/>
              </w:rPr>
              <m:t>-4</m:t>
            </m:r>
          </m:sup>
        </m:sSup>
      </m:oMath>
      <w:r w:rsidRPr="00A7386A">
        <w:rPr>
          <w:lang w:eastAsia="de-DE"/>
        </w:rPr>
        <w:t xml:space="preserve">mol of ethylene, in 100g of solution in a time of 144 hours, represents a mass flow rate of </w:t>
      </w:r>
      <w:r w:rsidRPr="00A7386A">
        <w:rPr>
          <w:rFonts w:eastAsiaTheme="minorEastAsia"/>
          <w:color w:val="000000" w:themeColor="text1"/>
          <w:vertAlign w:val="superscript"/>
        </w:rPr>
        <w:t xml:space="preserve"> </w:t>
      </w:r>
      <m:oMath>
        <m:r>
          <w:rPr>
            <w:rFonts w:ascii="Cambria Math" w:eastAsiaTheme="minorEastAsia" w:hAnsi="Cambria Math"/>
            <w:color w:val="000000" w:themeColor="text1"/>
            <w:vertAlign w:val="superscript"/>
          </w:rPr>
          <m:t>9,47×</m:t>
        </m:r>
        <m:sSup>
          <m:sSupPr>
            <m:ctrlPr>
              <w:rPr>
                <w:rFonts w:ascii="Cambria Math" w:eastAsiaTheme="minorEastAsia" w:hAnsi="Cambria Math"/>
                <w:i/>
                <w:color w:val="000000" w:themeColor="text1"/>
                <w:vertAlign w:val="superscript"/>
              </w:rPr>
            </m:ctrlPr>
          </m:sSupPr>
          <m:e>
            <m:r>
              <w:rPr>
                <w:rFonts w:ascii="Cambria Math" w:eastAsiaTheme="minorEastAsia" w:hAnsi="Cambria Math"/>
                <w:color w:val="000000" w:themeColor="text1"/>
                <w:vertAlign w:val="superscript"/>
              </w:rPr>
              <m:t>10</m:t>
            </m:r>
          </m:e>
          <m:sup>
            <m:r>
              <w:rPr>
                <w:rFonts w:ascii="Cambria Math" w:eastAsiaTheme="minorEastAsia" w:hAnsi="Cambria Math"/>
                <w:color w:val="000000" w:themeColor="text1"/>
                <w:vertAlign w:val="superscript"/>
              </w:rPr>
              <m:t>-11</m:t>
            </m:r>
          </m:sup>
        </m:sSup>
        <m:f>
          <m:fPr>
            <m:ctrlPr>
              <w:rPr>
                <w:rFonts w:ascii="Cambria Math" w:eastAsiaTheme="minorEastAsia" w:hAnsi="Cambria Math"/>
                <w:i/>
                <w:color w:val="000000" w:themeColor="text1"/>
                <w:vertAlign w:val="superscript"/>
              </w:rPr>
            </m:ctrlPr>
          </m:fPr>
          <m:num>
            <m:r>
              <w:rPr>
                <w:rFonts w:ascii="Cambria Math" w:eastAsiaTheme="minorEastAsia" w:hAnsi="Cambria Math"/>
                <w:color w:val="000000" w:themeColor="text1"/>
                <w:vertAlign w:val="superscript"/>
              </w:rPr>
              <m:t>kg</m:t>
            </m:r>
          </m:num>
          <m:den>
            <m:r>
              <w:rPr>
                <w:rFonts w:ascii="Cambria Math" w:eastAsiaTheme="minorEastAsia" w:hAnsi="Cambria Math"/>
                <w:color w:val="000000" w:themeColor="text1"/>
                <w:vertAlign w:val="superscript"/>
              </w:rPr>
              <m:t>s</m:t>
            </m:r>
          </m:den>
        </m:f>
      </m:oMath>
      <w:r w:rsidR="003C487C">
        <w:rPr>
          <w:rFonts w:eastAsiaTheme="minorEastAsia"/>
          <w:color w:val="000000" w:themeColor="text1"/>
          <w:vertAlign w:val="superscript"/>
        </w:rPr>
        <w:t xml:space="preserve"> </w:t>
      </w:r>
      <w:r w:rsidR="003C487C" w:rsidRPr="003C487C">
        <w:rPr>
          <w:rFonts w:eastAsiaTheme="minorEastAsia"/>
          <w:color w:val="000000" w:themeColor="text1"/>
        </w:rPr>
        <w:t>(</w:t>
      </w:r>
      <w:r w:rsidR="003C487C" w:rsidRPr="003C487C">
        <w:rPr>
          <w:lang w:eastAsia="de-DE"/>
        </w:rPr>
        <w:t>considered in the simulations as ethylene feed</w:t>
      </w:r>
      <w:r w:rsidR="003C487C">
        <w:rPr>
          <w:lang w:eastAsia="de-DE"/>
        </w:rPr>
        <w:t>).</w:t>
      </w:r>
    </w:p>
    <w:p w14:paraId="3FC68EBE" w14:textId="77777777" w:rsidR="003C487C" w:rsidRDefault="003C487C" w:rsidP="00A475FE">
      <w:pPr>
        <w:pStyle w:val="CETBodytext"/>
        <w:rPr>
          <w:rFonts w:eastAsiaTheme="minorEastAsia"/>
          <w:color w:val="000000" w:themeColor="text1"/>
          <w:vertAlign w:val="superscript"/>
        </w:rPr>
      </w:pPr>
    </w:p>
    <w:tbl>
      <w:tblPr>
        <w:tblStyle w:val="Tabelacomgrade"/>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567"/>
        <w:gridCol w:w="4541"/>
      </w:tblGrid>
      <w:tr w:rsidR="00B66748" w14:paraId="7744A37B" w14:textId="77777777" w:rsidTr="00B66748">
        <w:tc>
          <w:tcPr>
            <w:tcW w:w="3681" w:type="dxa"/>
            <w:vAlign w:val="center"/>
          </w:tcPr>
          <w:p w14:paraId="478C3178" w14:textId="4560DC51" w:rsidR="00B66748" w:rsidRDefault="00B66748" w:rsidP="00A475FE">
            <w:pPr>
              <w:jc w:val="left"/>
              <w:rPr>
                <w:rFonts w:eastAsiaTheme="minorEastAsia"/>
              </w:rPr>
            </w:pPr>
            <w:r>
              <w:rPr>
                <w:noProof/>
              </w:rPr>
              <w:drawing>
                <wp:inline distT="0" distB="0" distL="0" distR="0" wp14:anchorId="1F40921B" wp14:editId="2B213A04">
                  <wp:extent cx="2247900" cy="1733484"/>
                  <wp:effectExtent l="0" t="0" r="0" b="635"/>
                  <wp:docPr id="20" name="Imagem 20"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Padrão do plano de fundo&#10;&#10;Descrição gerada automaticamente com confiança média"/>
                          <pic:cNvPicPr/>
                        </pic:nvPicPr>
                        <pic:blipFill rotWithShape="1">
                          <a:blip r:embed="rId19"/>
                          <a:srcRect l="17465" r="18915"/>
                          <a:stretch/>
                        </pic:blipFill>
                        <pic:spPr bwMode="auto">
                          <a:xfrm>
                            <a:off x="0" y="0"/>
                            <a:ext cx="2247900" cy="1733484"/>
                          </a:xfrm>
                          <a:prstGeom prst="rect">
                            <a:avLst/>
                          </a:prstGeom>
                          <a:ln>
                            <a:noFill/>
                          </a:ln>
                          <a:extLst>
                            <a:ext uri="{53640926-AAD7-44D8-BBD7-CCE9431645EC}">
                              <a14:shadowObscured xmlns:a14="http://schemas.microsoft.com/office/drawing/2010/main"/>
                            </a:ext>
                          </a:extLst>
                        </pic:spPr>
                      </pic:pic>
                    </a:graphicData>
                  </a:graphic>
                </wp:inline>
              </w:drawing>
            </w:r>
          </w:p>
          <w:p w14:paraId="622342FB" w14:textId="39629D93" w:rsidR="00B66748" w:rsidRPr="00805816" w:rsidRDefault="00B66748" w:rsidP="00805816">
            <w:pPr>
              <w:pStyle w:val="CETCaption"/>
              <w:spacing w:before="0"/>
              <w:rPr>
                <w:lang w:val="en-US" w:eastAsia="de-DE"/>
              </w:rPr>
            </w:pPr>
            <w:r>
              <w:rPr>
                <w:lang w:val="en-US" w:eastAsia="de-DE"/>
              </w:rPr>
              <w:t xml:space="preserve">Figure 4: </w:t>
            </w:r>
            <w:r w:rsidRPr="00A475FE">
              <w:rPr>
                <w:lang w:val="en-US" w:eastAsia="de-DE"/>
              </w:rPr>
              <w:t>Simulation in the instant of time 130ms, before starting the feeding of ethylene on the bottom face</w:t>
            </w:r>
          </w:p>
        </w:tc>
        <w:tc>
          <w:tcPr>
            <w:tcW w:w="567" w:type="dxa"/>
          </w:tcPr>
          <w:p w14:paraId="05C87D47" w14:textId="77777777" w:rsidR="00B66748" w:rsidRDefault="00B66748" w:rsidP="00E76663">
            <w:pPr>
              <w:jc w:val="left"/>
              <w:rPr>
                <w:noProof/>
              </w:rPr>
            </w:pPr>
          </w:p>
        </w:tc>
        <w:tc>
          <w:tcPr>
            <w:tcW w:w="4541" w:type="dxa"/>
          </w:tcPr>
          <w:p w14:paraId="4BCD3859" w14:textId="42F32B14" w:rsidR="00B66748" w:rsidRDefault="00B66748" w:rsidP="00E76663">
            <w:pPr>
              <w:jc w:val="left"/>
              <w:rPr>
                <w:rFonts w:eastAsiaTheme="minorEastAsia"/>
              </w:rPr>
            </w:pPr>
            <w:r>
              <w:rPr>
                <w:noProof/>
              </w:rPr>
              <w:drawing>
                <wp:inline distT="0" distB="0" distL="0" distR="0" wp14:anchorId="14D20FD8" wp14:editId="49CAC7A2">
                  <wp:extent cx="2866083" cy="1731600"/>
                  <wp:effectExtent l="0" t="0" r="0" b="2540"/>
                  <wp:docPr id="22" name="Imagem 22" descr="Desenho de estrel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descr="Desenho de estrelas&#10;&#10;Descrição gerada automaticamente com confiança média"/>
                          <pic:cNvPicPr/>
                        </pic:nvPicPr>
                        <pic:blipFill rotWithShape="1">
                          <a:blip r:embed="rId20"/>
                          <a:srcRect l="18702"/>
                          <a:stretch/>
                        </pic:blipFill>
                        <pic:spPr bwMode="auto">
                          <a:xfrm>
                            <a:off x="0" y="0"/>
                            <a:ext cx="2866083" cy="1731600"/>
                          </a:xfrm>
                          <a:prstGeom prst="rect">
                            <a:avLst/>
                          </a:prstGeom>
                          <a:ln>
                            <a:noFill/>
                          </a:ln>
                          <a:extLst>
                            <a:ext uri="{53640926-AAD7-44D8-BBD7-CCE9431645EC}">
                              <a14:shadowObscured xmlns:a14="http://schemas.microsoft.com/office/drawing/2010/main"/>
                            </a:ext>
                          </a:extLst>
                        </pic:spPr>
                      </pic:pic>
                    </a:graphicData>
                  </a:graphic>
                </wp:inline>
              </w:drawing>
            </w:r>
          </w:p>
          <w:p w14:paraId="06BA0F51" w14:textId="23EB5948" w:rsidR="00B66748" w:rsidRDefault="00B66748" w:rsidP="00A475FE">
            <w:pPr>
              <w:pStyle w:val="CETCaption"/>
              <w:spacing w:before="0"/>
              <w:rPr>
                <w:lang w:val="en-US" w:eastAsia="de-DE"/>
              </w:rPr>
            </w:pPr>
            <w:r>
              <w:rPr>
                <w:lang w:val="en-US" w:eastAsia="de-DE"/>
              </w:rPr>
              <w:t xml:space="preserve">Figure 5: </w:t>
            </w:r>
            <w:r w:rsidRPr="00A475FE">
              <w:rPr>
                <w:lang w:val="en-US" w:eastAsia="de-DE"/>
              </w:rPr>
              <w:t>Simulation in the instant of time 200ms, after the feeding of ethylene on the bottom face</w:t>
            </w:r>
          </w:p>
          <w:p w14:paraId="59178B37" w14:textId="1AF7919D" w:rsidR="00B66748" w:rsidRPr="00A475FE" w:rsidRDefault="00B66748" w:rsidP="00E76CC1">
            <w:pPr>
              <w:jc w:val="center"/>
              <w:rPr>
                <w:rFonts w:eastAsiaTheme="minorEastAsia"/>
                <w:lang w:val="en-US"/>
              </w:rPr>
            </w:pPr>
          </w:p>
        </w:tc>
      </w:tr>
    </w:tbl>
    <w:p w14:paraId="3F2CDEF9" w14:textId="3066230B" w:rsidR="00A475FE" w:rsidRDefault="006E3C0B" w:rsidP="00805816">
      <w:pPr>
        <w:pStyle w:val="CETCaption"/>
        <w:spacing w:before="0" w:after="0"/>
        <w:rPr>
          <w:lang w:val="en-US" w:eastAsia="de-DE"/>
        </w:rPr>
      </w:pPr>
      <w:r>
        <w:rPr>
          <w:noProof/>
        </w:rPr>
        <w:drawing>
          <wp:inline distT="0" distB="0" distL="0" distR="0" wp14:anchorId="595B2F91" wp14:editId="06509F5A">
            <wp:extent cx="5257800" cy="1676400"/>
            <wp:effectExtent l="0" t="0" r="0" b="0"/>
            <wp:docPr id="37" name="Gráfico 37">
              <a:extLst xmlns:a="http://schemas.openxmlformats.org/drawingml/2006/main">
                <a:ext uri="{FF2B5EF4-FFF2-40B4-BE49-F238E27FC236}">
                  <a16:creationId xmlns:a16="http://schemas.microsoft.com/office/drawing/2014/main" id="{BDD4B94B-BE6D-020D-B3D9-00E721F4DA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B44582" w14:textId="4FEF2684" w:rsidR="00805816" w:rsidRPr="00805816" w:rsidRDefault="00805816" w:rsidP="00805816">
      <w:pPr>
        <w:rPr>
          <w:i/>
          <w:lang w:val="en-US" w:eastAsia="de-DE"/>
        </w:rPr>
      </w:pPr>
      <w:r>
        <w:rPr>
          <w:lang w:val="en-US" w:eastAsia="de-DE"/>
        </w:rPr>
        <w:t xml:space="preserve">Figure </w:t>
      </w:r>
      <w:r w:rsidR="003C487C">
        <w:rPr>
          <w:lang w:val="en-US" w:eastAsia="de-DE"/>
        </w:rPr>
        <w:t>6</w:t>
      </w:r>
      <w:r>
        <w:rPr>
          <w:lang w:val="en-US" w:eastAsia="de-DE"/>
        </w:rPr>
        <w:t xml:space="preserve">: </w:t>
      </w:r>
      <w:r w:rsidRPr="00805816">
        <w:rPr>
          <w:i/>
          <w:lang w:val="en-US" w:eastAsia="de-DE"/>
        </w:rPr>
        <w:t xml:space="preserve">Variation of the saturation over time </w:t>
      </w:r>
    </w:p>
    <w:p w14:paraId="641AE325" w14:textId="77777777" w:rsidR="00540C7E" w:rsidRDefault="00540C7E" w:rsidP="00805816">
      <w:pPr>
        <w:pStyle w:val="CETBodytext"/>
        <w:rPr>
          <w:lang w:eastAsia="de-DE"/>
        </w:rPr>
      </w:pPr>
    </w:p>
    <w:p w14:paraId="76672AB5" w14:textId="723F5DD6" w:rsidR="00805816" w:rsidRDefault="005662C6" w:rsidP="00805816">
      <w:pPr>
        <w:pStyle w:val="CETBodytext"/>
        <w:rPr>
          <w:lang w:eastAsia="de-DE"/>
        </w:rPr>
      </w:pPr>
      <w:r>
        <w:rPr>
          <w:lang w:eastAsia="de-DE"/>
        </w:rPr>
        <w:tab/>
      </w:r>
      <w:r w:rsidRPr="00152BC6">
        <w:rPr>
          <w:lang w:eastAsia="de-DE"/>
        </w:rPr>
        <w:t xml:space="preserve">Through the images obtained through </w:t>
      </w:r>
      <w:r>
        <w:rPr>
          <w:lang w:eastAsia="de-DE"/>
        </w:rPr>
        <w:t>PARAVIEW™</w:t>
      </w:r>
      <w:r w:rsidR="0076697B">
        <w:rPr>
          <w:lang w:eastAsia="de-DE"/>
        </w:rPr>
        <w:t xml:space="preserve"> (Figures 4 and 5)</w:t>
      </w:r>
      <w:r w:rsidRPr="00152BC6">
        <w:rPr>
          <w:lang w:eastAsia="de-DE"/>
        </w:rPr>
        <w:t>, it is possible to verify that there was a displacement of the TCE from the interior of the pores to outside the field of view. Therefore, to prove the visual results of the images, an analysis of the saturation of the TCE was carried out over time. The graph is shown in F</w:t>
      </w:r>
      <w:r>
        <w:rPr>
          <w:lang w:eastAsia="de-DE"/>
        </w:rPr>
        <w:t xml:space="preserve">igure 6. </w:t>
      </w:r>
      <w:r w:rsidR="00805816" w:rsidRPr="00152BC6">
        <w:rPr>
          <w:lang w:eastAsia="de-DE"/>
        </w:rPr>
        <w:t>It is observed that after the ethylene supply, the TCE saturation drops from approximately 7</w:t>
      </w:r>
      <w:r w:rsidR="007F58E9">
        <w:rPr>
          <w:lang w:eastAsia="de-DE"/>
        </w:rPr>
        <w:t>.0</w:t>
      </w:r>
      <w:r w:rsidR="00805816" w:rsidRPr="00152BC6">
        <w:rPr>
          <w:lang w:eastAsia="de-DE"/>
        </w:rPr>
        <w:t>% to 0.</w:t>
      </w:r>
      <w:r w:rsidR="006E3C0B">
        <w:rPr>
          <w:lang w:eastAsia="de-DE"/>
        </w:rPr>
        <w:t>2</w:t>
      </w:r>
      <w:r w:rsidR="00805816" w:rsidRPr="00152BC6">
        <w:rPr>
          <w:lang w:eastAsia="de-DE"/>
        </w:rPr>
        <w:t>%, which represents a decrease of 97%, indicating that the gas is really capable of displacing the contaminant out of the pores in which it is trapped. The fluctuation observed before the addition of water is normal due to TCE entering and leaving the control volume (this is a physical fluctuation, not a numerical one).</w:t>
      </w:r>
    </w:p>
    <w:p w14:paraId="6152E8ED" w14:textId="77777777" w:rsidR="00805816" w:rsidRPr="00152BC6" w:rsidRDefault="00805816" w:rsidP="00805816">
      <w:pPr>
        <w:pStyle w:val="CETHeading1"/>
        <w:rPr>
          <w:lang w:eastAsia="de-DE"/>
        </w:rPr>
      </w:pPr>
      <w:r w:rsidRPr="00152BC6">
        <w:rPr>
          <w:lang w:eastAsia="de-DE"/>
        </w:rPr>
        <w:t>CONCLUSIONS</w:t>
      </w:r>
    </w:p>
    <w:p w14:paraId="44BEB4EC" w14:textId="77777777" w:rsidR="00805816" w:rsidRDefault="00805816" w:rsidP="00805816">
      <w:pPr>
        <w:tabs>
          <w:tab w:val="left" w:pos="8505"/>
        </w:tabs>
        <w:spacing w:line="276" w:lineRule="auto"/>
        <w:rPr>
          <w:rFonts w:cs="Arial"/>
          <w:sz w:val="16"/>
          <w:szCs w:val="16"/>
          <w:lang w:val="en-US" w:eastAsia="de-DE"/>
        </w:rPr>
      </w:pPr>
    </w:p>
    <w:p w14:paraId="37F8A1D7" w14:textId="13A7586E" w:rsidR="00805816" w:rsidRDefault="00805816" w:rsidP="00805816">
      <w:pPr>
        <w:pStyle w:val="CETBodytext"/>
        <w:rPr>
          <w:lang w:eastAsia="de-DE"/>
        </w:rPr>
      </w:pPr>
      <w:r w:rsidRPr="00152BC6">
        <w:rPr>
          <w:lang w:eastAsia="de-DE"/>
        </w:rPr>
        <w:t>It was possible to create the 2D mesh from the binarized microtomography images and perform the multiphase simulation to evaluate the behavior of fluids (TCE – water – ethylene) in the pore system.</w:t>
      </w:r>
      <w:r w:rsidR="001277BF">
        <w:rPr>
          <w:lang w:eastAsia="de-DE"/>
        </w:rPr>
        <w:t xml:space="preserve"> </w:t>
      </w:r>
      <w:r>
        <w:rPr>
          <w:lang w:eastAsia="de-DE"/>
        </w:rPr>
        <w:t>E</w:t>
      </w:r>
      <w:r w:rsidRPr="00152BC6">
        <w:rPr>
          <w:lang w:eastAsia="de-DE"/>
        </w:rPr>
        <w:t>valuating the flow in different conditions of contact angle, it was possible to observe that the highest percentage of TCE recovery is obtained in conditions of drainage of the same, with high values ​​of contact angle.</w:t>
      </w:r>
      <w:r w:rsidR="001277BF">
        <w:rPr>
          <w:lang w:eastAsia="de-DE"/>
        </w:rPr>
        <w:t xml:space="preserve"> </w:t>
      </w:r>
      <w:r w:rsidRPr="00152BC6">
        <w:rPr>
          <w:lang w:eastAsia="de-DE"/>
        </w:rPr>
        <w:t>It was also observed that ethylene, one of the products of the TCE reduction reaction in aqueous medium with zero valent iron nanoparticles, contributes to its redistribution, with this it is possible to obtain a reduction in the saturation of DNAPL contaminants that are trapped in the inside the pores. Through the simulation, after the addition of ethylene at a rate simulating the one that would be obtained through the chemical reaction, a reduction of 97% of the TCE that was in the field of view was obtained and the final saturation of the contaminant was 0.002 %. This result is more positive than that obtained in the experiments by Pak, et al (2020), who obtained a final TCE saturation of 2.34% after 387 minutes of experiment. In this case, it is important to note that simulations were performed in only 2 dimensions.</w:t>
      </w:r>
    </w:p>
    <w:p w14:paraId="4F1327F8" w14:textId="7C3BB7EF" w:rsidR="00600535" w:rsidRPr="00B57B36" w:rsidRDefault="00600535" w:rsidP="00600535">
      <w:pPr>
        <w:pStyle w:val="CETReference"/>
      </w:pPr>
      <w:r w:rsidRPr="00B57B36">
        <w:t>References</w:t>
      </w:r>
    </w:p>
    <w:p w14:paraId="2687D386" w14:textId="77777777" w:rsidR="00105D0E" w:rsidRDefault="00105D0E" w:rsidP="00817BBF">
      <w:pPr>
        <w:pStyle w:val="CETReferencetext"/>
      </w:pPr>
    </w:p>
    <w:p w14:paraId="16570148" w14:textId="3A277C61" w:rsidR="00817BBF" w:rsidRDefault="00680830" w:rsidP="00817BBF">
      <w:pPr>
        <w:pStyle w:val="CETReferencetext"/>
      </w:pPr>
      <w:r>
        <w:t>Hirt</w:t>
      </w:r>
      <w:r w:rsidR="00817BBF">
        <w:t xml:space="preserve"> C. W.</w:t>
      </w:r>
      <w:r w:rsidR="008D5F45">
        <w:t>,</w:t>
      </w:r>
      <w:r w:rsidR="00817BBF">
        <w:t xml:space="preserve"> </w:t>
      </w:r>
      <w:r>
        <w:t>Nichols</w:t>
      </w:r>
      <w:r w:rsidR="00817BBF">
        <w:t xml:space="preserve"> B. D.</w:t>
      </w:r>
      <w:r>
        <w:t>,1981,</w:t>
      </w:r>
      <w:r w:rsidR="00817BBF">
        <w:t xml:space="preserve"> Volume of fluid (VOF) method for the dynamics of free boundaries. Journal of Computational Physics, 39, 201–225</w:t>
      </w:r>
      <w:r w:rsidR="00C73EBF">
        <w:t>.</w:t>
      </w:r>
      <w:r w:rsidR="00817BBF">
        <w:t xml:space="preserve"> </w:t>
      </w:r>
      <w:r>
        <w:t>&lt;</w:t>
      </w:r>
      <w:r w:rsidR="00817BBF">
        <w:t>doi.org/10.1016/0021-9991(81)90145-5</w:t>
      </w:r>
      <w:r>
        <w:t>&gt;</w:t>
      </w:r>
    </w:p>
    <w:p w14:paraId="73739417" w14:textId="1635B109" w:rsidR="00817BBF" w:rsidRDefault="00680830" w:rsidP="00817BBF">
      <w:pPr>
        <w:pStyle w:val="CETReferencetext"/>
      </w:pPr>
      <w:r>
        <w:t>Liu</w:t>
      </w:r>
      <w:r w:rsidR="00817BBF">
        <w:t xml:space="preserve"> Y.</w:t>
      </w:r>
      <w:r w:rsidR="008D5F45">
        <w:t>,</w:t>
      </w:r>
      <w:r w:rsidR="00817BBF">
        <w:t xml:space="preserve"> </w:t>
      </w:r>
      <w:proofErr w:type="spellStart"/>
      <w:r>
        <w:t>Majetich</w:t>
      </w:r>
      <w:proofErr w:type="spellEnd"/>
      <w:r w:rsidR="00817BBF">
        <w:t xml:space="preserve"> S. A.</w:t>
      </w:r>
      <w:r>
        <w:t>,</w:t>
      </w:r>
      <w:r w:rsidR="00817BBF">
        <w:t xml:space="preserve"> </w:t>
      </w:r>
      <w:r>
        <w:t>Tilton</w:t>
      </w:r>
      <w:r w:rsidR="00817BBF">
        <w:t xml:space="preserve"> R. D.</w:t>
      </w:r>
      <w:r>
        <w:t>,</w:t>
      </w:r>
      <w:r w:rsidR="00817BBF">
        <w:t xml:space="preserve"> </w:t>
      </w:r>
      <w:proofErr w:type="spellStart"/>
      <w:r>
        <w:t>Sholl</w:t>
      </w:r>
      <w:proofErr w:type="spellEnd"/>
      <w:r w:rsidR="00817BBF">
        <w:t xml:space="preserve"> D. S.</w:t>
      </w:r>
      <w:r>
        <w:t>, Lowry</w:t>
      </w:r>
      <w:r w:rsidR="00817BBF">
        <w:t xml:space="preserve"> G. V.</w:t>
      </w:r>
      <w:r>
        <w:t>, 2005,</w:t>
      </w:r>
      <w:r w:rsidR="00817BBF">
        <w:t xml:space="preserve"> TCE </w:t>
      </w:r>
      <w:proofErr w:type="spellStart"/>
      <w:r w:rsidR="00817BBF">
        <w:t>dechlorination</w:t>
      </w:r>
      <w:proofErr w:type="spellEnd"/>
      <w:r w:rsidR="00817BBF">
        <w:t xml:space="preserve"> rates, pathways, and efficiency of nanoscale iron particles with different properties. Environmental Science and Technology, 39, 1338–1345</w:t>
      </w:r>
      <w:r>
        <w:t>.</w:t>
      </w:r>
      <w:r w:rsidR="00817BBF">
        <w:t xml:space="preserve"> </w:t>
      </w:r>
      <w:r>
        <w:t>&lt;</w:t>
      </w:r>
      <w:r w:rsidR="00817BBF">
        <w:t>doi.org/10.1021/es049195r</w:t>
      </w:r>
      <w:r>
        <w:t>&gt;</w:t>
      </w:r>
    </w:p>
    <w:p w14:paraId="74217FFA" w14:textId="21D26D2A" w:rsidR="00817BBF" w:rsidRDefault="00680830" w:rsidP="00817BBF">
      <w:pPr>
        <w:pStyle w:val="CETReferencetext"/>
      </w:pPr>
      <w:r>
        <w:t>Newell</w:t>
      </w:r>
      <w:r w:rsidR="00817BBF">
        <w:t xml:space="preserve"> C. J.</w:t>
      </w:r>
      <w:r w:rsidR="008D5F45">
        <w:t>,</w:t>
      </w:r>
      <w:r w:rsidR="00817BBF">
        <w:t xml:space="preserve"> </w:t>
      </w:r>
      <w:proofErr w:type="spellStart"/>
      <w:r>
        <w:t>Acree</w:t>
      </w:r>
      <w:proofErr w:type="spellEnd"/>
      <w:r w:rsidR="00817BBF">
        <w:t xml:space="preserve"> D. A.</w:t>
      </w:r>
      <w:r w:rsidR="008D5F45">
        <w:t>,</w:t>
      </w:r>
      <w:r w:rsidR="00817BBF">
        <w:t xml:space="preserve"> </w:t>
      </w:r>
      <w:r>
        <w:t>Randall</w:t>
      </w:r>
      <w:r w:rsidR="00817BBF">
        <w:t xml:space="preserve"> R. R.</w:t>
      </w:r>
      <w:r w:rsidR="008D5F45">
        <w:t>,</w:t>
      </w:r>
      <w:r w:rsidR="00817BBF">
        <w:t xml:space="preserve"> </w:t>
      </w:r>
      <w:proofErr w:type="spellStart"/>
      <w:r>
        <w:t>Huling</w:t>
      </w:r>
      <w:proofErr w:type="spellEnd"/>
      <w:r w:rsidR="00817BBF">
        <w:t xml:space="preserve"> S. G.</w:t>
      </w:r>
      <w:r>
        <w:t>, 1995,</w:t>
      </w:r>
      <w:r w:rsidR="00817BBF">
        <w:t xml:space="preserve"> Light Nonaqueous Phase Liquids. Ground Water Issue, 1–28</w:t>
      </w:r>
      <w:r>
        <w:t>.</w:t>
      </w:r>
      <w:r w:rsidR="00817BBF">
        <w:t xml:space="preserve"> </w:t>
      </w:r>
    </w:p>
    <w:p w14:paraId="50225A26" w14:textId="61EF0A1B" w:rsidR="00392F9A" w:rsidRPr="006B4888" w:rsidRDefault="00680830" w:rsidP="00392F9A">
      <w:pPr>
        <w:pStyle w:val="CETReferencetext"/>
      </w:pPr>
      <w:r>
        <w:t>Pak</w:t>
      </w:r>
      <w:r w:rsidR="00817BBF">
        <w:t xml:space="preserve"> T.</w:t>
      </w:r>
      <w:r w:rsidR="008D5F45">
        <w:t>,</w:t>
      </w:r>
      <w:r w:rsidR="00817BBF">
        <w:t xml:space="preserve"> </w:t>
      </w:r>
      <w:r>
        <w:t>Archilha</w:t>
      </w:r>
      <w:r w:rsidR="00817BBF">
        <w:t xml:space="preserve"> N. L.</w:t>
      </w:r>
      <w:r w:rsidR="008D5F45">
        <w:t>,</w:t>
      </w:r>
      <w:r w:rsidR="00817BBF">
        <w:t xml:space="preserve"> </w:t>
      </w:r>
      <w:r>
        <w:t>Lima Luz</w:t>
      </w:r>
      <w:r w:rsidR="00817BBF">
        <w:t xml:space="preserve"> L. F.</w:t>
      </w:r>
      <w:r>
        <w:t xml:space="preserve">, 2019, </w:t>
      </w:r>
      <w:r w:rsidR="00817BBF">
        <w:t xml:space="preserve">Nanotechnology Characterization Tools for Environment, Health, and Safety. </w:t>
      </w:r>
      <w:r w:rsidR="00817BBF" w:rsidRPr="00495C92">
        <w:rPr>
          <w:lang w:val="en-US"/>
        </w:rPr>
        <w:t>1ª ed. Springer</w:t>
      </w:r>
      <w:r w:rsidR="00392F9A">
        <w:rPr>
          <w:lang w:val="en-US"/>
        </w:rPr>
        <w:t xml:space="preserve">, </w:t>
      </w:r>
      <w:r w:rsidR="00392F9A" w:rsidRPr="006B4888">
        <w:t xml:space="preserve">Cambridge, </w:t>
      </w:r>
      <w:r w:rsidR="00392F9A">
        <w:t>MA, USA.</w:t>
      </w:r>
    </w:p>
    <w:p w14:paraId="46AEE1D6" w14:textId="5CCE9A84" w:rsidR="00817BBF" w:rsidRDefault="00680830" w:rsidP="00817BBF">
      <w:pPr>
        <w:pStyle w:val="CETReferencetext"/>
      </w:pPr>
      <w:r w:rsidRPr="00680830">
        <w:rPr>
          <w:lang w:val="en-US"/>
        </w:rPr>
        <w:t>Pak</w:t>
      </w:r>
      <w:r w:rsidR="00817BBF" w:rsidRPr="00680830">
        <w:rPr>
          <w:lang w:val="en-US"/>
        </w:rPr>
        <w:t xml:space="preserve"> T.</w:t>
      </w:r>
      <w:r w:rsidR="008D5F45">
        <w:rPr>
          <w:lang w:val="en-US"/>
        </w:rPr>
        <w:t>,</w:t>
      </w:r>
      <w:r w:rsidR="00817BBF" w:rsidRPr="00680830">
        <w:rPr>
          <w:lang w:val="en-US"/>
        </w:rPr>
        <w:t xml:space="preserve"> </w:t>
      </w:r>
      <w:r w:rsidRPr="00680830">
        <w:rPr>
          <w:lang w:val="en-US"/>
        </w:rPr>
        <w:t>Lima Luz</w:t>
      </w:r>
      <w:r w:rsidR="00817BBF" w:rsidRPr="00680830">
        <w:rPr>
          <w:lang w:val="en-US"/>
        </w:rPr>
        <w:t xml:space="preserve"> L. F.</w:t>
      </w:r>
      <w:r w:rsidR="008D5F45">
        <w:rPr>
          <w:lang w:val="en-US"/>
        </w:rPr>
        <w:t>,</w:t>
      </w:r>
      <w:r w:rsidR="00817BBF" w:rsidRPr="00680830">
        <w:rPr>
          <w:lang w:val="en-US"/>
        </w:rPr>
        <w:t xml:space="preserve"> </w:t>
      </w:r>
      <w:r w:rsidRPr="00680830">
        <w:rPr>
          <w:lang w:val="en-US"/>
        </w:rPr>
        <w:t>Tosco</w:t>
      </w:r>
      <w:r w:rsidR="00817BBF" w:rsidRPr="00680830">
        <w:rPr>
          <w:lang w:val="en-US"/>
        </w:rPr>
        <w:t>, T.</w:t>
      </w:r>
      <w:r w:rsidR="008D5F45">
        <w:rPr>
          <w:lang w:val="en-US"/>
        </w:rPr>
        <w:t>, 2020,</w:t>
      </w:r>
      <w:r w:rsidR="00817BBF" w:rsidRPr="00680830">
        <w:rPr>
          <w:lang w:val="en-US"/>
        </w:rPr>
        <w:t xml:space="preserve"> </w:t>
      </w:r>
      <w:r w:rsidR="00817BBF">
        <w:t>Pore-scale investigation of the use of reactive nanoparticles for in situ remediation of contaminated groundwater source. Proceedings of the National Academy of Sciences of the United States of America, 117, 13366–13373</w:t>
      </w:r>
      <w:r w:rsidR="008D5F45">
        <w:t>. &lt;</w:t>
      </w:r>
      <w:r w:rsidR="00817BBF">
        <w:t>doi.org/10.1073/pnas.1918683117</w:t>
      </w:r>
      <w:r w:rsidR="008D5F45">
        <w:t>&gt;</w:t>
      </w:r>
    </w:p>
    <w:p w14:paraId="1D8067CC" w14:textId="545544C6" w:rsidR="00817BBF" w:rsidRDefault="008D5F45" w:rsidP="00817BBF">
      <w:pPr>
        <w:pStyle w:val="CETReferencetext"/>
      </w:pPr>
      <w:proofErr w:type="spellStart"/>
      <w:r>
        <w:t>Prosperetti</w:t>
      </w:r>
      <w:proofErr w:type="spellEnd"/>
      <w:r w:rsidR="00817BBF">
        <w:t xml:space="preserve"> A.</w:t>
      </w:r>
      <w:r>
        <w:t>,</w:t>
      </w:r>
      <w:r w:rsidR="00817BBF">
        <w:t xml:space="preserve"> </w:t>
      </w:r>
      <w:r>
        <w:t>Tryggvason</w:t>
      </w:r>
      <w:r w:rsidR="00817BBF">
        <w:t xml:space="preserve"> G.</w:t>
      </w:r>
      <w:r>
        <w:t>, 2009,</w:t>
      </w:r>
      <w:r w:rsidR="00817BBF">
        <w:t xml:space="preserve"> Computational Methods for Multiphase Flow. Cambridge University Press, 2009</w:t>
      </w:r>
    </w:p>
    <w:p w14:paraId="0D8AEAD7" w14:textId="55C300A6" w:rsidR="00817BBF" w:rsidRDefault="008D5F45" w:rsidP="00817BBF">
      <w:pPr>
        <w:pStyle w:val="CETReferencetext"/>
      </w:pPr>
      <w:proofErr w:type="spellStart"/>
      <w:r>
        <w:t>Raeini</w:t>
      </w:r>
      <w:proofErr w:type="spellEnd"/>
      <w:r w:rsidR="00817BBF">
        <w:t xml:space="preserve"> A. Q.</w:t>
      </w:r>
      <w:r>
        <w:t>,</w:t>
      </w:r>
      <w:r w:rsidR="00817BBF">
        <w:t xml:space="preserve"> </w:t>
      </w:r>
      <w:r>
        <w:t>Blunt</w:t>
      </w:r>
      <w:r w:rsidR="00817BBF">
        <w:t xml:space="preserve"> M. J.</w:t>
      </w:r>
      <w:r>
        <w:t>,</w:t>
      </w:r>
      <w:r w:rsidR="00817BBF">
        <w:t xml:space="preserve"> </w:t>
      </w:r>
      <w:proofErr w:type="spellStart"/>
      <w:r>
        <w:t>Bijeljic</w:t>
      </w:r>
      <w:proofErr w:type="spellEnd"/>
      <w:r w:rsidR="00817BBF">
        <w:t xml:space="preserve"> B.</w:t>
      </w:r>
      <w:r>
        <w:t xml:space="preserve">, 2012, </w:t>
      </w:r>
      <w:r w:rsidR="00817BBF">
        <w:t>Modelling two-phase flow in porous media at the pore scale using the volume-of-fluid method. Journal of Computational Physics, 231,</w:t>
      </w:r>
      <w:r w:rsidR="00C73EBF">
        <w:t xml:space="preserve"> </w:t>
      </w:r>
      <w:r w:rsidR="00817BBF">
        <w:t>5653–5668</w:t>
      </w:r>
      <w:r w:rsidR="00C73EBF">
        <w:t>.</w:t>
      </w:r>
      <w:r w:rsidR="00392F9A">
        <w:t xml:space="preserve"> </w:t>
      </w:r>
      <w:r>
        <w:t>&lt;</w:t>
      </w:r>
      <w:r w:rsidR="00817BBF">
        <w:t>dx.doi.org/10.1016/j.jcp.2012.04.011</w:t>
      </w:r>
      <w:r>
        <w:t>&gt;</w:t>
      </w:r>
    </w:p>
    <w:p w14:paraId="384AF5C1" w14:textId="4CE9C790" w:rsidR="00817BBF" w:rsidRDefault="008D5F45" w:rsidP="00817BBF">
      <w:pPr>
        <w:pStyle w:val="CETReferencetext"/>
      </w:pPr>
      <w:proofErr w:type="spellStart"/>
      <w:r>
        <w:t>Scardovelli</w:t>
      </w:r>
      <w:proofErr w:type="spellEnd"/>
      <w:r w:rsidR="00817BBF">
        <w:t xml:space="preserve"> R.</w:t>
      </w:r>
      <w:r>
        <w:t>,</w:t>
      </w:r>
      <w:r w:rsidR="00817BBF">
        <w:t xml:space="preserve"> </w:t>
      </w:r>
      <w:r>
        <w:t>Zaleski</w:t>
      </w:r>
      <w:r w:rsidR="00817BBF">
        <w:t xml:space="preserve"> S.</w:t>
      </w:r>
      <w:r>
        <w:t>, 1999,</w:t>
      </w:r>
      <w:r w:rsidR="00817BBF">
        <w:t xml:space="preserve"> Direct numerical simulation of free-surface and interfacial flow. Annual Review of Fluid Mechanics, 31, 567–603</w:t>
      </w:r>
      <w:r w:rsidR="00C73EBF">
        <w:t>.</w:t>
      </w:r>
      <w:r>
        <w:t xml:space="preserve"> &lt;</w:t>
      </w:r>
      <w:r w:rsidR="00817BBF">
        <w:t>doi.org/10.1146/annurev.fluid.31.1.567</w:t>
      </w:r>
      <w:r>
        <w:t>&gt;</w:t>
      </w:r>
    </w:p>
    <w:p w14:paraId="2EC2CA2D" w14:textId="34FCB3DA" w:rsidR="00817BBF" w:rsidRDefault="008D5F45" w:rsidP="00817BBF">
      <w:pPr>
        <w:pStyle w:val="CETReferencetext"/>
      </w:pPr>
      <w:r>
        <w:t>Tabrez</w:t>
      </w:r>
      <w:r w:rsidR="00817BBF">
        <w:t xml:space="preserve"> S.</w:t>
      </w:r>
      <w:r>
        <w:t>,</w:t>
      </w:r>
      <w:r w:rsidR="00817BBF">
        <w:t xml:space="preserve"> </w:t>
      </w:r>
      <w:r>
        <w:t>Ahmad</w:t>
      </w:r>
      <w:r w:rsidR="00817BBF">
        <w:t xml:space="preserve"> M.</w:t>
      </w:r>
      <w:r>
        <w:t xml:space="preserve">, 2009, </w:t>
      </w:r>
      <w:r w:rsidR="00817BBF">
        <w:t>Toxicity, biomarkers, genotoxicity, and carcinogenicity of trichloroethylene and its metabolites: A review. Journal of Environmental Science and Health - Part C Environmental Carcinogenesis and Ecotoxicology Reviews, 27, 178–196</w:t>
      </w:r>
      <w:r w:rsidR="00C73EBF">
        <w:t>.</w:t>
      </w:r>
      <w:r w:rsidR="00817BBF">
        <w:t xml:space="preserve"> </w:t>
      </w:r>
      <w:r>
        <w:t>&lt;</w:t>
      </w:r>
      <w:r w:rsidR="00817BBF">
        <w:t>doi.org/10.1080/10590500903091340</w:t>
      </w:r>
      <w:r>
        <w:t>&gt;</w:t>
      </w:r>
    </w:p>
    <w:p w14:paraId="6E3BB0B6" w14:textId="36FAB07E" w:rsidR="00817BBF" w:rsidRDefault="008D5F45" w:rsidP="00B365B9">
      <w:pPr>
        <w:pStyle w:val="CETReferencetext"/>
      </w:pPr>
      <w:r>
        <w:t>Tosco</w:t>
      </w:r>
      <w:r w:rsidR="00817BBF">
        <w:t xml:space="preserve"> T.</w:t>
      </w:r>
      <w:r>
        <w:t>,</w:t>
      </w:r>
      <w:r w:rsidR="00817BBF">
        <w:t xml:space="preserve"> </w:t>
      </w:r>
      <w:proofErr w:type="spellStart"/>
      <w:r>
        <w:t>Petrangeli</w:t>
      </w:r>
      <w:proofErr w:type="spellEnd"/>
      <w:r>
        <w:t xml:space="preserve"> P</w:t>
      </w:r>
      <w:r w:rsidR="00B365B9">
        <w:t>.</w:t>
      </w:r>
      <w:r w:rsidR="00817BBF">
        <w:t>, M.</w:t>
      </w:r>
      <w:r>
        <w:t>,</w:t>
      </w:r>
      <w:r w:rsidR="00817BBF">
        <w:t xml:space="preserve"> </w:t>
      </w:r>
      <w:r>
        <w:t xml:space="preserve">Cruz </w:t>
      </w:r>
      <w:r w:rsidR="00B365B9">
        <w:t>V.</w:t>
      </w:r>
      <w:r w:rsidR="00817BBF">
        <w:t xml:space="preserve"> C.</w:t>
      </w:r>
      <w:r>
        <w:t>,</w:t>
      </w:r>
      <w:r w:rsidR="00817BBF">
        <w:t xml:space="preserve"> </w:t>
      </w:r>
      <w:proofErr w:type="spellStart"/>
      <w:r>
        <w:t>Sethi</w:t>
      </w:r>
      <w:proofErr w:type="spellEnd"/>
      <w:r w:rsidR="00817BBF">
        <w:t xml:space="preserve"> R.</w:t>
      </w:r>
      <w:r>
        <w:t>, 2014,</w:t>
      </w:r>
      <w:r w:rsidR="00817BBF">
        <w:t xml:space="preserve"> Nanoscale zerovalent iron particles for groundwater remediation: A review. Journal of Cleaner Production,</w:t>
      </w:r>
      <w:r w:rsidR="00C73EBF">
        <w:t xml:space="preserve"> </w:t>
      </w:r>
      <w:r w:rsidR="00817BBF">
        <w:t>77,</w:t>
      </w:r>
      <w:r w:rsidR="00C73EBF">
        <w:t xml:space="preserve"> </w:t>
      </w:r>
      <w:r w:rsidR="00817BBF">
        <w:t>10–21</w:t>
      </w:r>
      <w:r>
        <w:t>.</w:t>
      </w:r>
      <w:r w:rsidR="00817BBF">
        <w:t xml:space="preserve"> </w:t>
      </w:r>
      <w:r>
        <w:t>&lt;</w:t>
      </w:r>
      <w:r w:rsidR="00817BBF">
        <w:t>dx.doi.org/10.1016/j.jclepro.2013.12.026</w:t>
      </w:r>
      <w:r>
        <w:t>&gt;</w:t>
      </w:r>
    </w:p>
    <w:sectPr w:rsidR="00817BB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F9B3A" w14:textId="77777777" w:rsidR="007378BF" w:rsidRDefault="007378BF" w:rsidP="004F5E36">
      <w:r>
        <w:separator/>
      </w:r>
    </w:p>
  </w:endnote>
  <w:endnote w:type="continuationSeparator" w:id="0">
    <w:p w14:paraId="50CD583E" w14:textId="77777777" w:rsidR="007378BF" w:rsidRDefault="007378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560A4" w14:textId="77777777" w:rsidR="007378BF" w:rsidRDefault="007378BF" w:rsidP="004F5E36">
      <w:r>
        <w:separator/>
      </w:r>
    </w:p>
  </w:footnote>
  <w:footnote w:type="continuationSeparator" w:id="0">
    <w:p w14:paraId="6F58222C" w14:textId="77777777" w:rsidR="007378BF" w:rsidRDefault="007378B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2C04C2D"/>
    <w:multiLevelType w:val="multilevel"/>
    <w:tmpl w:val="1DA83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38217E"/>
    <w:multiLevelType w:val="multilevel"/>
    <w:tmpl w:val="5B02E3C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4C435E"/>
    <w:multiLevelType w:val="hybridMultilevel"/>
    <w:tmpl w:val="3438BC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391D21"/>
    <w:multiLevelType w:val="hybridMultilevel"/>
    <w:tmpl w:val="1E6212B8"/>
    <w:lvl w:ilvl="0" w:tplc="1F6CEA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20"/>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A03B2"/>
    <w:rsid w:val="000B53ED"/>
    <w:rsid w:val="000B6F2D"/>
    <w:rsid w:val="000D0268"/>
    <w:rsid w:val="000D34BE"/>
    <w:rsid w:val="000E102F"/>
    <w:rsid w:val="000E36F1"/>
    <w:rsid w:val="000E3A73"/>
    <w:rsid w:val="000E414A"/>
    <w:rsid w:val="000F093C"/>
    <w:rsid w:val="000F787B"/>
    <w:rsid w:val="00105D0E"/>
    <w:rsid w:val="0012091F"/>
    <w:rsid w:val="00126BC2"/>
    <w:rsid w:val="001277BF"/>
    <w:rsid w:val="001308B6"/>
    <w:rsid w:val="0013121F"/>
    <w:rsid w:val="00131FE6"/>
    <w:rsid w:val="0013263F"/>
    <w:rsid w:val="001331DF"/>
    <w:rsid w:val="00134DE4"/>
    <w:rsid w:val="0014034D"/>
    <w:rsid w:val="00144D16"/>
    <w:rsid w:val="00150E59"/>
    <w:rsid w:val="00152DE3"/>
    <w:rsid w:val="001535CF"/>
    <w:rsid w:val="00155C75"/>
    <w:rsid w:val="00164CF9"/>
    <w:rsid w:val="001667A6"/>
    <w:rsid w:val="00184AD6"/>
    <w:rsid w:val="001A232D"/>
    <w:rsid w:val="001A4AF7"/>
    <w:rsid w:val="001B0349"/>
    <w:rsid w:val="001B1E93"/>
    <w:rsid w:val="001B65C1"/>
    <w:rsid w:val="001C684B"/>
    <w:rsid w:val="001D0CFB"/>
    <w:rsid w:val="001D21AF"/>
    <w:rsid w:val="001D53FC"/>
    <w:rsid w:val="001F42A5"/>
    <w:rsid w:val="001F7B9D"/>
    <w:rsid w:val="00201C93"/>
    <w:rsid w:val="002224B4"/>
    <w:rsid w:val="00227E63"/>
    <w:rsid w:val="002447EF"/>
    <w:rsid w:val="00251550"/>
    <w:rsid w:val="00263B05"/>
    <w:rsid w:val="0026606D"/>
    <w:rsid w:val="0027221A"/>
    <w:rsid w:val="00275B61"/>
    <w:rsid w:val="00280FAF"/>
    <w:rsid w:val="00282656"/>
    <w:rsid w:val="00285F0F"/>
    <w:rsid w:val="00296B83"/>
    <w:rsid w:val="002B4015"/>
    <w:rsid w:val="002B78CE"/>
    <w:rsid w:val="002C2FB6"/>
    <w:rsid w:val="002E5FA7"/>
    <w:rsid w:val="002F3309"/>
    <w:rsid w:val="003008CE"/>
    <w:rsid w:val="003009B7"/>
    <w:rsid w:val="00300E56"/>
    <w:rsid w:val="0030152C"/>
    <w:rsid w:val="0030469C"/>
    <w:rsid w:val="00321198"/>
    <w:rsid w:val="00321CA6"/>
    <w:rsid w:val="00323763"/>
    <w:rsid w:val="00323C5F"/>
    <w:rsid w:val="00334C09"/>
    <w:rsid w:val="003723D4"/>
    <w:rsid w:val="00381905"/>
    <w:rsid w:val="00384CC8"/>
    <w:rsid w:val="003871FD"/>
    <w:rsid w:val="00392F9A"/>
    <w:rsid w:val="003A1E30"/>
    <w:rsid w:val="003A2829"/>
    <w:rsid w:val="003A7D1C"/>
    <w:rsid w:val="003B304B"/>
    <w:rsid w:val="003B3146"/>
    <w:rsid w:val="003C487C"/>
    <w:rsid w:val="003E6293"/>
    <w:rsid w:val="003F015E"/>
    <w:rsid w:val="00400414"/>
    <w:rsid w:val="0041446B"/>
    <w:rsid w:val="0044071E"/>
    <w:rsid w:val="0044329C"/>
    <w:rsid w:val="00443530"/>
    <w:rsid w:val="00453E24"/>
    <w:rsid w:val="00457456"/>
    <w:rsid w:val="004577FE"/>
    <w:rsid w:val="00457B9C"/>
    <w:rsid w:val="0046164A"/>
    <w:rsid w:val="004628D2"/>
    <w:rsid w:val="00462DCD"/>
    <w:rsid w:val="004648AD"/>
    <w:rsid w:val="004703A9"/>
    <w:rsid w:val="004760DE"/>
    <w:rsid w:val="004763D7"/>
    <w:rsid w:val="00492E5E"/>
    <w:rsid w:val="00495244"/>
    <w:rsid w:val="00495C92"/>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0C7E"/>
    <w:rsid w:val="00543E7D"/>
    <w:rsid w:val="00547A68"/>
    <w:rsid w:val="005531C9"/>
    <w:rsid w:val="005662C6"/>
    <w:rsid w:val="00570C43"/>
    <w:rsid w:val="005B1B9D"/>
    <w:rsid w:val="005B2110"/>
    <w:rsid w:val="005B61E6"/>
    <w:rsid w:val="005C77E1"/>
    <w:rsid w:val="005D668A"/>
    <w:rsid w:val="005D6A2F"/>
    <w:rsid w:val="005E1A82"/>
    <w:rsid w:val="005E794C"/>
    <w:rsid w:val="005F0A28"/>
    <w:rsid w:val="005F0E5E"/>
    <w:rsid w:val="00600535"/>
    <w:rsid w:val="00610CD6"/>
    <w:rsid w:val="0061298D"/>
    <w:rsid w:val="00620DEE"/>
    <w:rsid w:val="00621F92"/>
    <w:rsid w:val="0062280A"/>
    <w:rsid w:val="00625639"/>
    <w:rsid w:val="00631B33"/>
    <w:rsid w:val="0063221B"/>
    <w:rsid w:val="0064184D"/>
    <w:rsid w:val="006422CC"/>
    <w:rsid w:val="00660E3E"/>
    <w:rsid w:val="00662E74"/>
    <w:rsid w:val="00680830"/>
    <w:rsid w:val="00680C23"/>
    <w:rsid w:val="00693766"/>
    <w:rsid w:val="006A3281"/>
    <w:rsid w:val="006B4888"/>
    <w:rsid w:val="006C102F"/>
    <w:rsid w:val="006C2E45"/>
    <w:rsid w:val="006C359C"/>
    <w:rsid w:val="006C5579"/>
    <w:rsid w:val="006D6E8B"/>
    <w:rsid w:val="006E3C0B"/>
    <w:rsid w:val="006E737D"/>
    <w:rsid w:val="00713973"/>
    <w:rsid w:val="00720A24"/>
    <w:rsid w:val="00732386"/>
    <w:rsid w:val="0073514D"/>
    <w:rsid w:val="007378BF"/>
    <w:rsid w:val="007447F3"/>
    <w:rsid w:val="0075499F"/>
    <w:rsid w:val="007661C8"/>
    <w:rsid w:val="0076697B"/>
    <w:rsid w:val="0077098D"/>
    <w:rsid w:val="00770A37"/>
    <w:rsid w:val="007931FA"/>
    <w:rsid w:val="007A1E75"/>
    <w:rsid w:val="007A4861"/>
    <w:rsid w:val="007A7BBA"/>
    <w:rsid w:val="007B0C50"/>
    <w:rsid w:val="007B48F9"/>
    <w:rsid w:val="007C1A43"/>
    <w:rsid w:val="007D0951"/>
    <w:rsid w:val="007D54B1"/>
    <w:rsid w:val="007F58E9"/>
    <w:rsid w:val="0080013E"/>
    <w:rsid w:val="00805816"/>
    <w:rsid w:val="00813288"/>
    <w:rsid w:val="008168FC"/>
    <w:rsid w:val="00817BBF"/>
    <w:rsid w:val="00830996"/>
    <w:rsid w:val="00833DFE"/>
    <w:rsid w:val="008345F1"/>
    <w:rsid w:val="00865B07"/>
    <w:rsid w:val="008667EA"/>
    <w:rsid w:val="00871B9F"/>
    <w:rsid w:val="0087637F"/>
    <w:rsid w:val="00892AD5"/>
    <w:rsid w:val="008941B8"/>
    <w:rsid w:val="00897CD3"/>
    <w:rsid w:val="008A1512"/>
    <w:rsid w:val="008D32B9"/>
    <w:rsid w:val="008D433B"/>
    <w:rsid w:val="008D4A16"/>
    <w:rsid w:val="008D5F45"/>
    <w:rsid w:val="008E566E"/>
    <w:rsid w:val="008E62B9"/>
    <w:rsid w:val="008F519B"/>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B2F11"/>
    <w:rsid w:val="009C37C3"/>
    <w:rsid w:val="009C7C86"/>
    <w:rsid w:val="009D2FF7"/>
    <w:rsid w:val="009E7884"/>
    <w:rsid w:val="009E788A"/>
    <w:rsid w:val="009F0E08"/>
    <w:rsid w:val="00A1763D"/>
    <w:rsid w:val="00A17CEC"/>
    <w:rsid w:val="00A27EF0"/>
    <w:rsid w:val="00A42361"/>
    <w:rsid w:val="00A475FE"/>
    <w:rsid w:val="00A50B20"/>
    <w:rsid w:val="00A51390"/>
    <w:rsid w:val="00A60D13"/>
    <w:rsid w:val="00A7223D"/>
    <w:rsid w:val="00A72745"/>
    <w:rsid w:val="00A76EFC"/>
    <w:rsid w:val="00A87D50"/>
    <w:rsid w:val="00A91010"/>
    <w:rsid w:val="00A97F29"/>
    <w:rsid w:val="00AA702E"/>
    <w:rsid w:val="00AA73E5"/>
    <w:rsid w:val="00AA7D26"/>
    <w:rsid w:val="00AB0964"/>
    <w:rsid w:val="00AB37D2"/>
    <w:rsid w:val="00AB5011"/>
    <w:rsid w:val="00AC7368"/>
    <w:rsid w:val="00AD0245"/>
    <w:rsid w:val="00AD16B9"/>
    <w:rsid w:val="00AE377D"/>
    <w:rsid w:val="00AF0EBA"/>
    <w:rsid w:val="00AF35BC"/>
    <w:rsid w:val="00B02C8A"/>
    <w:rsid w:val="00B06C79"/>
    <w:rsid w:val="00B17FBD"/>
    <w:rsid w:val="00B27030"/>
    <w:rsid w:val="00B315A6"/>
    <w:rsid w:val="00B31813"/>
    <w:rsid w:val="00B33365"/>
    <w:rsid w:val="00B365B9"/>
    <w:rsid w:val="00B37737"/>
    <w:rsid w:val="00B57B36"/>
    <w:rsid w:val="00B57E6F"/>
    <w:rsid w:val="00B66748"/>
    <w:rsid w:val="00B75893"/>
    <w:rsid w:val="00B8686D"/>
    <w:rsid w:val="00B93F69"/>
    <w:rsid w:val="00BB1DDC"/>
    <w:rsid w:val="00BC30C9"/>
    <w:rsid w:val="00BC68EF"/>
    <w:rsid w:val="00BD077D"/>
    <w:rsid w:val="00BD71CD"/>
    <w:rsid w:val="00BE3E58"/>
    <w:rsid w:val="00C01616"/>
    <w:rsid w:val="00C0162B"/>
    <w:rsid w:val="00C068ED"/>
    <w:rsid w:val="00C13F4A"/>
    <w:rsid w:val="00C2280D"/>
    <w:rsid w:val="00C22E0C"/>
    <w:rsid w:val="00C33058"/>
    <w:rsid w:val="00C345B1"/>
    <w:rsid w:val="00C40142"/>
    <w:rsid w:val="00C52C3C"/>
    <w:rsid w:val="00C57182"/>
    <w:rsid w:val="00C57863"/>
    <w:rsid w:val="00C640AF"/>
    <w:rsid w:val="00C655FD"/>
    <w:rsid w:val="00C73EBF"/>
    <w:rsid w:val="00C75407"/>
    <w:rsid w:val="00C81C9A"/>
    <w:rsid w:val="00C870A8"/>
    <w:rsid w:val="00C94434"/>
    <w:rsid w:val="00CA0D75"/>
    <w:rsid w:val="00CA1C95"/>
    <w:rsid w:val="00CA5A9C"/>
    <w:rsid w:val="00CA5CD8"/>
    <w:rsid w:val="00CB126E"/>
    <w:rsid w:val="00CC4C20"/>
    <w:rsid w:val="00CD3517"/>
    <w:rsid w:val="00CD5FE2"/>
    <w:rsid w:val="00CE59E8"/>
    <w:rsid w:val="00CE7C68"/>
    <w:rsid w:val="00D02B4C"/>
    <w:rsid w:val="00D040C4"/>
    <w:rsid w:val="00D05B16"/>
    <w:rsid w:val="00D127D6"/>
    <w:rsid w:val="00D15233"/>
    <w:rsid w:val="00D20AD1"/>
    <w:rsid w:val="00D21BB4"/>
    <w:rsid w:val="00D46B7E"/>
    <w:rsid w:val="00D57C84"/>
    <w:rsid w:val="00D6057D"/>
    <w:rsid w:val="00D71640"/>
    <w:rsid w:val="00D8326F"/>
    <w:rsid w:val="00D836C5"/>
    <w:rsid w:val="00D84576"/>
    <w:rsid w:val="00DA1399"/>
    <w:rsid w:val="00DA24C6"/>
    <w:rsid w:val="00DA299E"/>
    <w:rsid w:val="00DA4D7B"/>
    <w:rsid w:val="00DB39B9"/>
    <w:rsid w:val="00DD271C"/>
    <w:rsid w:val="00DE264A"/>
    <w:rsid w:val="00DE4314"/>
    <w:rsid w:val="00DF245E"/>
    <w:rsid w:val="00DF5072"/>
    <w:rsid w:val="00E02D18"/>
    <w:rsid w:val="00E041E7"/>
    <w:rsid w:val="00E23CA1"/>
    <w:rsid w:val="00E409A8"/>
    <w:rsid w:val="00E50C12"/>
    <w:rsid w:val="00E65B91"/>
    <w:rsid w:val="00E7209D"/>
    <w:rsid w:val="00E72EAD"/>
    <w:rsid w:val="00E76663"/>
    <w:rsid w:val="00E77223"/>
    <w:rsid w:val="00E8528B"/>
    <w:rsid w:val="00E85B94"/>
    <w:rsid w:val="00E978D0"/>
    <w:rsid w:val="00EA4613"/>
    <w:rsid w:val="00EA7F91"/>
    <w:rsid w:val="00EB1523"/>
    <w:rsid w:val="00EB4743"/>
    <w:rsid w:val="00EC0D5F"/>
    <w:rsid w:val="00EC0E49"/>
    <w:rsid w:val="00EC101F"/>
    <w:rsid w:val="00EC1D9F"/>
    <w:rsid w:val="00EE0131"/>
    <w:rsid w:val="00EE17B0"/>
    <w:rsid w:val="00EE332C"/>
    <w:rsid w:val="00EF06D9"/>
    <w:rsid w:val="00F20181"/>
    <w:rsid w:val="00F3049E"/>
    <w:rsid w:val="00F30C64"/>
    <w:rsid w:val="00F32BA2"/>
    <w:rsid w:val="00F32CDB"/>
    <w:rsid w:val="00F36D6B"/>
    <w:rsid w:val="00F47842"/>
    <w:rsid w:val="00F565FE"/>
    <w:rsid w:val="00F63A70"/>
    <w:rsid w:val="00F63D8C"/>
    <w:rsid w:val="00F7534E"/>
    <w:rsid w:val="00F93EDF"/>
    <w:rsid w:val="00FA1802"/>
    <w:rsid w:val="00FA21D0"/>
    <w:rsid w:val="00FA4AB5"/>
    <w:rsid w:val="00FA5F5F"/>
    <w:rsid w:val="00FA7C2D"/>
    <w:rsid w:val="00FB37CA"/>
    <w:rsid w:val="00FB730C"/>
    <w:rsid w:val="00FC1404"/>
    <w:rsid w:val="00FC2695"/>
    <w:rsid w:val="00FC3317"/>
    <w:rsid w:val="00FC3E03"/>
    <w:rsid w:val="00FC3FC1"/>
    <w:rsid w:val="00FF054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70A37"/>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70A3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qFormat/>
    <w:rsid w:val="00280FAF"/>
    <w:pPr>
      <w:ind w:left="720"/>
      <w:contextualSpacing/>
    </w:pPr>
  </w:style>
  <w:style w:type="character" w:styleId="TextodoEspaoReservado">
    <w:name w:val="Placeholder Text"/>
    <w:basedOn w:val="Fontepargpadro"/>
    <w:uiPriority w:val="99"/>
    <w:semiHidden/>
    <w:rsid w:val="001535CF"/>
    <w:rPr>
      <w:color w:val="808080"/>
    </w:rPr>
  </w:style>
  <w:style w:type="character" w:styleId="MenoPendente">
    <w:name w:val="Unresolved Mention"/>
    <w:basedOn w:val="Fontepargpadro"/>
    <w:uiPriority w:val="99"/>
    <w:semiHidden/>
    <w:unhideWhenUsed/>
    <w:rsid w:val="00817BBF"/>
    <w:rPr>
      <w:color w:val="605E5C"/>
      <w:shd w:val="clear" w:color="auto" w:fill="E1DFDD"/>
    </w:rPr>
  </w:style>
  <w:style w:type="paragraph" w:styleId="Reviso">
    <w:name w:val="Revision"/>
    <w:hidden/>
    <w:uiPriority w:val="99"/>
    <w:semiHidden/>
    <w:rsid w:val="00EB474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4820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5771">
      <w:bodyDiv w:val="1"/>
      <w:marLeft w:val="0"/>
      <w:marRight w:val="0"/>
      <w:marTop w:val="0"/>
      <w:marBottom w:val="0"/>
      <w:divBdr>
        <w:top w:val="none" w:sz="0" w:space="0" w:color="auto"/>
        <w:left w:val="none" w:sz="0" w:space="0" w:color="auto"/>
        <w:bottom w:val="none" w:sz="0" w:space="0" w:color="auto"/>
        <w:right w:val="none" w:sz="0" w:space="0" w:color="auto"/>
      </w:divBdr>
    </w:div>
    <w:div w:id="139377431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gráfico!$A$1</c:f>
              <c:strCache>
                <c:ptCount val="1"/>
                <c:pt idx="0">
                  <c:v>q=5</c:v>
                </c:pt>
              </c:strCache>
            </c:strRef>
          </c:tx>
          <c:spPr>
            <a:ln w="15875" cap="rnd">
              <a:solidFill>
                <a:srgbClr val="000000">
                  <a:alpha val="96000"/>
                </a:srgbClr>
              </a:solidFill>
              <a:prstDash val="sysDot"/>
              <a:round/>
            </a:ln>
          </c:spPr>
          <c:marker>
            <c:symbol val="none"/>
          </c:marker>
          <c:cat>
            <c:numRef>
              <c:f>gráfico!$M$2:$M$91</c:f>
              <c:numCache>
                <c:formatCode>General</c:formatCode>
                <c:ptCount val="9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numCache>
            </c:numRef>
          </c:cat>
          <c:val>
            <c:numRef>
              <c:f>gráfico!$A$2:$A$91</c:f>
              <c:numCache>
                <c:formatCode>General</c:formatCode>
                <c:ptCount val="90"/>
                <c:pt idx="0">
                  <c:v>1.88777E-3</c:v>
                </c:pt>
                <c:pt idx="1">
                  <c:v>0.79945200000000005</c:v>
                </c:pt>
                <c:pt idx="2">
                  <c:v>0.92465299999999995</c:v>
                </c:pt>
                <c:pt idx="3">
                  <c:v>0.95079000000000002</c:v>
                </c:pt>
                <c:pt idx="4">
                  <c:v>0.95552599999999999</c:v>
                </c:pt>
                <c:pt idx="5">
                  <c:v>0.95642899999999997</c:v>
                </c:pt>
                <c:pt idx="6">
                  <c:v>0.95673799999999998</c:v>
                </c:pt>
                <c:pt idx="7">
                  <c:v>0.95782599999999996</c:v>
                </c:pt>
                <c:pt idx="8">
                  <c:v>0.957959</c:v>
                </c:pt>
                <c:pt idx="9">
                  <c:v>0.95780900000000002</c:v>
                </c:pt>
                <c:pt idx="10">
                  <c:v>0.95749799999999996</c:v>
                </c:pt>
                <c:pt idx="11">
                  <c:v>0.95773299999999995</c:v>
                </c:pt>
                <c:pt idx="12">
                  <c:v>0.95725199999999999</c:v>
                </c:pt>
                <c:pt idx="13">
                  <c:v>0.95835999999999999</c:v>
                </c:pt>
                <c:pt idx="14">
                  <c:v>0.95734399999999997</c:v>
                </c:pt>
                <c:pt idx="15">
                  <c:v>0.95772999999999997</c:v>
                </c:pt>
                <c:pt idx="16">
                  <c:v>0.95651699999999995</c:v>
                </c:pt>
                <c:pt idx="17">
                  <c:v>0.95856799999999998</c:v>
                </c:pt>
                <c:pt idx="18">
                  <c:v>0.95811100000000005</c:v>
                </c:pt>
                <c:pt idx="19">
                  <c:v>0.95797200000000005</c:v>
                </c:pt>
                <c:pt idx="20">
                  <c:v>0.95630800000000005</c:v>
                </c:pt>
                <c:pt idx="21">
                  <c:v>0.44272699999999998</c:v>
                </c:pt>
                <c:pt idx="22">
                  <c:v>0.41975400000000002</c:v>
                </c:pt>
                <c:pt idx="23">
                  <c:v>0.42599900000000002</c:v>
                </c:pt>
                <c:pt idx="24">
                  <c:v>0.42472599999999999</c:v>
                </c:pt>
                <c:pt idx="25">
                  <c:v>0.424402</c:v>
                </c:pt>
                <c:pt idx="26">
                  <c:v>0.41818300000000003</c:v>
                </c:pt>
                <c:pt idx="27">
                  <c:v>0.42375099999999999</c:v>
                </c:pt>
                <c:pt idx="28">
                  <c:v>0.42861100000000002</c:v>
                </c:pt>
                <c:pt idx="29">
                  <c:v>0.423095</c:v>
                </c:pt>
                <c:pt idx="30">
                  <c:v>0.42767699999999997</c:v>
                </c:pt>
                <c:pt idx="31">
                  <c:v>0.41983799999999999</c:v>
                </c:pt>
                <c:pt idx="32">
                  <c:v>0.42769600000000002</c:v>
                </c:pt>
                <c:pt idx="33">
                  <c:v>0.42793599999999998</c:v>
                </c:pt>
                <c:pt idx="34">
                  <c:v>0.422842</c:v>
                </c:pt>
                <c:pt idx="35">
                  <c:v>0.43668499999999999</c:v>
                </c:pt>
                <c:pt idx="36">
                  <c:v>0.42217300000000002</c:v>
                </c:pt>
                <c:pt idx="37">
                  <c:v>0.426732</c:v>
                </c:pt>
                <c:pt idx="38">
                  <c:v>0.42812299999999998</c:v>
                </c:pt>
                <c:pt idx="39">
                  <c:v>0.42154900000000001</c:v>
                </c:pt>
                <c:pt idx="40">
                  <c:v>0.42622599999999999</c:v>
                </c:pt>
                <c:pt idx="41">
                  <c:v>0.42948199999999997</c:v>
                </c:pt>
                <c:pt idx="42">
                  <c:v>0.42588500000000001</c:v>
                </c:pt>
                <c:pt idx="43">
                  <c:v>0.42094900000000002</c:v>
                </c:pt>
                <c:pt idx="44">
                  <c:v>0.42406700000000003</c:v>
                </c:pt>
                <c:pt idx="45">
                  <c:v>0.42244599999999999</c:v>
                </c:pt>
                <c:pt idx="46">
                  <c:v>0.42511900000000002</c:v>
                </c:pt>
                <c:pt idx="47">
                  <c:v>0.42864999999999998</c:v>
                </c:pt>
                <c:pt idx="48">
                  <c:v>0.42753400000000003</c:v>
                </c:pt>
                <c:pt idx="49">
                  <c:v>0.42445699999999997</c:v>
                </c:pt>
                <c:pt idx="50">
                  <c:v>0.43065199999999998</c:v>
                </c:pt>
                <c:pt idx="51">
                  <c:v>0.42652800000000002</c:v>
                </c:pt>
                <c:pt idx="52">
                  <c:v>0.42811700000000003</c:v>
                </c:pt>
                <c:pt idx="53">
                  <c:v>0.42518600000000001</c:v>
                </c:pt>
                <c:pt idx="54">
                  <c:v>0.42150700000000002</c:v>
                </c:pt>
                <c:pt idx="55">
                  <c:v>0.42464499999999999</c:v>
                </c:pt>
                <c:pt idx="56">
                  <c:v>0.42350599999999999</c:v>
                </c:pt>
                <c:pt idx="57">
                  <c:v>0.42444300000000001</c:v>
                </c:pt>
                <c:pt idx="58">
                  <c:v>0.426348</c:v>
                </c:pt>
                <c:pt idx="59">
                  <c:v>0.42074099999999998</c:v>
                </c:pt>
                <c:pt idx="60">
                  <c:v>0.43299100000000001</c:v>
                </c:pt>
                <c:pt idx="61">
                  <c:v>0.42755799999999999</c:v>
                </c:pt>
                <c:pt idx="62">
                  <c:v>0.42202800000000001</c:v>
                </c:pt>
                <c:pt idx="63">
                  <c:v>0.424483</c:v>
                </c:pt>
                <c:pt idx="64">
                  <c:v>0.42044300000000001</c:v>
                </c:pt>
                <c:pt idx="65">
                  <c:v>0.42032700000000001</c:v>
                </c:pt>
                <c:pt idx="66">
                  <c:v>0.42471500000000001</c:v>
                </c:pt>
                <c:pt idx="67">
                  <c:v>0.43191400000000002</c:v>
                </c:pt>
                <c:pt idx="68">
                  <c:v>0.423786</c:v>
                </c:pt>
                <c:pt idx="69">
                  <c:v>0.41833500000000001</c:v>
                </c:pt>
                <c:pt idx="70">
                  <c:v>0.42233100000000001</c:v>
                </c:pt>
                <c:pt idx="71">
                  <c:v>0.42158699999999999</c:v>
                </c:pt>
                <c:pt idx="72">
                  <c:v>0.42471900000000001</c:v>
                </c:pt>
                <c:pt idx="73">
                  <c:v>0.42691699999999999</c:v>
                </c:pt>
                <c:pt idx="74">
                  <c:v>0.42752400000000002</c:v>
                </c:pt>
                <c:pt idx="75">
                  <c:v>0.42864600000000003</c:v>
                </c:pt>
                <c:pt idx="76">
                  <c:v>0.42808499999999999</c:v>
                </c:pt>
                <c:pt idx="77">
                  <c:v>0.42305199999999998</c:v>
                </c:pt>
                <c:pt idx="78">
                  <c:v>0.42598599999999998</c:v>
                </c:pt>
                <c:pt idx="79">
                  <c:v>0.42113400000000001</c:v>
                </c:pt>
                <c:pt idx="80">
                  <c:v>0.42578899999999997</c:v>
                </c:pt>
                <c:pt idx="81">
                  <c:v>0.42962800000000001</c:v>
                </c:pt>
                <c:pt idx="82">
                  <c:v>0.428064</c:v>
                </c:pt>
                <c:pt idx="83">
                  <c:v>0.419155</c:v>
                </c:pt>
                <c:pt idx="84">
                  <c:v>0.42000900000000002</c:v>
                </c:pt>
                <c:pt idx="85">
                  <c:v>0.43012800000000001</c:v>
                </c:pt>
                <c:pt idx="86">
                  <c:v>0.42410799999999998</c:v>
                </c:pt>
                <c:pt idx="87">
                  <c:v>0.41733199999999998</c:v>
                </c:pt>
                <c:pt idx="88">
                  <c:v>0.42922700000000003</c:v>
                </c:pt>
                <c:pt idx="89">
                  <c:v>0.43131900000000001</c:v>
                </c:pt>
              </c:numCache>
            </c:numRef>
          </c:val>
          <c:smooth val="0"/>
          <c:extLst>
            <c:ext xmlns:c16="http://schemas.microsoft.com/office/drawing/2014/chart" uri="{C3380CC4-5D6E-409C-BE32-E72D297353CC}">
              <c16:uniqueId val="{00000000-A55A-4F26-BC6C-4B26CDBEAC4F}"/>
            </c:ext>
          </c:extLst>
        </c:ser>
        <c:ser>
          <c:idx val="1"/>
          <c:order val="1"/>
          <c:tx>
            <c:strRef>
              <c:f>gráfico!$C$1</c:f>
              <c:strCache>
                <c:ptCount val="1"/>
                <c:pt idx="0">
                  <c:v>q=30</c:v>
                </c:pt>
              </c:strCache>
            </c:strRef>
          </c:tx>
          <c:spPr>
            <a:ln w="15875" cap="rnd">
              <a:solidFill>
                <a:schemeClr val="accent2"/>
              </a:solidFill>
              <a:prstDash val="dash"/>
              <a:round/>
            </a:ln>
          </c:spPr>
          <c:marker>
            <c:symbol val="none"/>
          </c:marker>
          <c:cat>
            <c:numRef>
              <c:f>gráfico!$M$2:$M$91</c:f>
              <c:numCache>
                <c:formatCode>General</c:formatCode>
                <c:ptCount val="9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numCache>
            </c:numRef>
          </c:cat>
          <c:val>
            <c:numRef>
              <c:f>gráfico!$C$2:$C$91</c:f>
              <c:numCache>
                <c:formatCode>General</c:formatCode>
                <c:ptCount val="90"/>
                <c:pt idx="0">
                  <c:v>1.88777E-3</c:v>
                </c:pt>
                <c:pt idx="1">
                  <c:v>0.67478099999999996</c:v>
                </c:pt>
                <c:pt idx="2">
                  <c:v>0.87925399999999998</c:v>
                </c:pt>
                <c:pt idx="3">
                  <c:v>0.94216299999999997</c:v>
                </c:pt>
                <c:pt idx="4">
                  <c:v>0.96834399999999998</c:v>
                </c:pt>
                <c:pt idx="5">
                  <c:v>0.97655099999999995</c:v>
                </c:pt>
                <c:pt idx="6">
                  <c:v>0.97899999999999998</c:v>
                </c:pt>
                <c:pt idx="7">
                  <c:v>0.97908799999999996</c:v>
                </c:pt>
                <c:pt idx="8">
                  <c:v>0.97950199999999998</c:v>
                </c:pt>
                <c:pt idx="9">
                  <c:v>0.981043</c:v>
                </c:pt>
                <c:pt idx="10">
                  <c:v>0.98069399999999995</c:v>
                </c:pt>
                <c:pt idx="11">
                  <c:v>0.98033599999999999</c:v>
                </c:pt>
                <c:pt idx="12">
                  <c:v>0.982927</c:v>
                </c:pt>
                <c:pt idx="13">
                  <c:v>0.98362000000000005</c:v>
                </c:pt>
                <c:pt idx="14">
                  <c:v>0.98365100000000005</c:v>
                </c:pt>
                <c:pt idx="15">
                  <c:v>0.98266299999999995</c:v>
                </c:pt>
                <c:pt idx="16">
                  <c:v>0.98273999999999995</c:v>
                </c:pt>
                <c:pt idx="17">
                  <c:v>0.98365199999999997</c:v>
                </c:pt>
                <c:pt idx="18">
                  <c:v>0.98334500000000002</c:v>
                </c:pt>
                <c:pt idx="19">
                  <c:v>0.98480699999999999</c:v>
                </c:pt>
                <c:pt idx="20">
                  <c:v>0.984514</c:v>
                </c:pt>
                <c:pt idx="21">
                  <c:v>0.41732200000000003</c:v>
                </c:pt>
                <c:pt idx="22">
                  <c:v>0.31309799999999999</c:v>
                </c:pt>
                <c:pt idx="23">
                  <c:v>0.30660700000000002</c:v>
                </c:pt>
                <c:pt idx="24">
                  <c:v>0.31276300000000001</c:v>
                </c:pt>
                <c:pt idx="25">
                  <c:v>0.316693</c:v>
                </c:pt>
                <c:pt idx="26">
                  <c:v>0.31692999999999999</c:v>
                </c:pt>
                <c:pt idx="27">
                  <c:v>0.31813000000000002</c:v>
                </c:pt>
                <c:pt idx="28">
                  <c:v>0.32501000000000002</c:v>
                </c:pt>
                <c:pt idx="29">
                  <c:v>0.31151099999999998</c:v>
                </c:pt>
                <c:pt idx="30">
                  <c:v>0.30573499999999998</c:v>
                </c:pt>
                <c:pt idx="31">
                  <c:v>0.31061100000000003</c:v>
                </c:pt>
                <c:pt idx="32">
                  <c:v>0.31787100000000001</c:v>
                </c:pt>
                <c:pt idx="33">
                  <c:v>0.31696099999999999</c:v>
                </c:pt>
                <c:pt idx="34">
                  <c:v>0.32445600000000002</c:v>
                </c:pt>
                <c:pt idx="35">
                  <c:v>0.315639</c:v>
                </c:pt>
                <c:pt idx="36">
                  <c:v>0.31670799999999999</c:v>
                </c:pt>
                <c:pt idx="37">
                  <c:v>0.31433</c:v>
                </c:pt>
                <c:pt idx="38">
                  <c:v>0.32020999999999999</c:v>
                </c:pt>
                <c:pt idx="39">
                  <c:v>0.324075</c:v>
                </c:pt>
                <c:pt idx="40">
                  <c:v>0.32009399999999999</c:v>
                </c:pt>
                <c:pt idx="41">
                  <c:v>0.319718</c:v>
                </c:pt>
                <c:pt idx="42">
                  <c:v>0.31617400000000001</c:v>
                </c:pt>
                <c:pt idx="43">
                  <c:v>0.31592500000000001</c:v>
                </c:pt>
                <c:pt idx="44">
                  <c:v>0.30934400000000001</c:v>
                </c:pt>
                <c:pt idx="45">
                  <c:v>0.30936599999999997</c:v>
                </c:pt>
                <c:pt idx="46">
                  <c:v>0.30746499999999999</c:v>
                </c:pt>
                <c:pt idx="47">
                  <c:v>0.31757400000000002</c:v>
                </c:pt>
                <c:pt idx="48">
                  <c:v>0.32083400000000001</c:v>
                </c:pt>
                <c:pt idx="49">
                  <c:v>0.32255699999999998</c:v>
                </c:pt>
                <c:pt idx="50">
                  <c:v>0.32069599999999998</c:v>
                </c:pt>
                <c:pt idx="51">
                  <c:v>0.31690299999999999</c:v>
                </c:pt>
                <c:pt idx="52">
                  <c:v>0.32550299999999999</c:v>
                </c:pt>
                <c:pt idx="53">
                  <c:v>0.322575</c:v>
                </c:pt>
                <c:pt idx="54">
                  <c:v>0.32231599999999999</c:v>
                </c:pt>
                <c:pt idx="55">
                  <c:v>0.31909100000000001</c:v>
                </c:pt>
                <c:pt idx="56">
                  <c:v>0.31691999999999998</c:v>
                </c:pt>
                <c:pt idx="57">
                  <c:v>0.322573</c:v>
                </c:pt>
                <c:pt idx="58">
                  <c:v>0.32085999999999998</c:v>
                </c:pt>
                <c:pt idx="59">
                  <c:v>0.32261899999999999</c:v>
                </c:pt>
                <c:pt idx="60">
                  <c:v>0.32729399999999997</c:v>
                </c:pt>
                <c:pt idx="61">
                  <c:v>0.31429000000000001</c:v>
                </c:pt>
                <c:pt idx="62">
                  <c:v>0.31443199999999999</c:v>
                </c:pt>
                <c:pt idx="63">
                  <c:v>0.32428200000000001</c:v>
                </c:pt>
                <c:pt idx="64">
                  <c:v>0.31659500000000002</c:v>
                </c:pt>
                <c:pt idx="65">
                  <c:v>0.32015900000000003</c:v>
                </c:pt>
                <c:pt idx="66">
                  <c:v>0.31607400000000002</c:v>
                </c:pt>
                <c:pt idx="67">
                  <c:v>0.31537300000000001</c:v>
                </c:pt>
                <c:pt idx="68">
                  <c:v>0.32013200000000003</c:v>
                </c:pt>
                <c:pt idx="69">
                  <c:v>0.31878800000000002</c:v>
                </c:pt>
                <c:pt idx="70">
                  <c:v>0.31891900000000001</c:v>
                </c:pt>
                <c:pt idx="71">
                  <c:v>0.31575799999999998</c:v>
                </c:pt>
                <c:pt idx="72">
                  <c:v>0.32089600000000001</c:v>
                </c:pt>
                <c:pt idx="73">
                  <c:v>0.318832</c:v>
                </c:pt>
                <c:pt idx="74">
                  <c:v>0.31252600000000003</c:v>
                </c:pt>
                <c:pt idx="75">
                  <c:v>0.31659399999999999</c:v>
                </c:pt>
                <c:pt idx="76">
                  <c:v>0.31245000000000001</c:v>
                </c:pt>
                <c:pt idx="77">
                  <c:v>0.31639800000000001</c:v>
                </c:pt>
                <c:pt idx="78">
                  <c:v>0.32211499999999998</c:v>
                </c:pt>
                <c:pt idx="79">
                  <c:v>0.32176700000000003</c:v>
                </c:pt>
                <c:pt idx="80">
                  <c:v>0.31641799999999998</c:v>
                </c:pt>
                <c:pt idx="81">
                  <c:v>0.31001899999999999</c:v>
                </c:pt>
                <c:pt idx="82">
                  <c:v>0.31512099999999998</c:v>
                </c:pt>
                <c:pt idx="83">
                  <c:v>0.31573600000000002</c:v>
                </c:pt>
                <c:pt idx="84">
                  <c:v>0.31455100000000003</c:v>
                </c:pt>
                <c:pt idx="85">
                  <c:v>0.31014199999999997</c:v>
                </c:pt>
                <c:pt idx="86">
                  <c:v>0.309143</c:v>
                </c:pt>
                <c:pt idx="87">
                  <c:v>0.31366699999999997</c:v>
                </c:pt>
                <c:pt idx="88">
                  <c:v>0.31895699999999999</c:v>
                </c:pt>
                <c:pt idx="89">
                  <c:v>0.31226900000000002</c:v>
                </c:pt>
              </c:numCache>
            </c:numRef>
          </c:val>
          <c:smooth val="0"/>
          <c:extLst>
            <c:ext xmlns:c16="http://schemas.microsoft.com/office/drawing/2014/chart" uri="{C3380CC4-5D6E-409C-BE32-E72D297353CC}">
              <c16:uniqueId val="{00000001-A55A-4F26-BC6C-4B26CDBEAC4F}"/>
            </c:ext>
          </c:extLst>
        </c:ser>
        <c:ser>
          <c:idx val="2"/>
          <c:order val="2"/>
          <c:tx>
            <c:strRef>
              <c:f>gráfico!$E$1</c:f>
              <c:strCache>
                <c:ptCount val="1"/>
                <c:pt idx="0">
                  <c:v>q=60</c:v>
                </c:pt>
              </c:strCache>
            </c:strRef>
          </c:tx>
          <c:spPr>
            <a:ln w="15875" cap="rnd">
              <a:solidFill>
                <a:srgbClr val="62993E"/>
              </a:solidFill>
              <a:prstDash val="lgDashDot"/>
              <a:round/>
            </a:ln>
          </c:spPr>
          <c:marker>
            <c:symbol val="none"/>
          </c:marker>
          <c:cat>
            <c:numRef>
              <c:f>gráfico!$M$2:$M$91</c:f>
              <c:numCache>
                <c:formatCode>General</c:formatCode>
                <c:ptCount val="9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numCache>
            </c:numRef>
          </c:cat>
          <c:val>
            <c:numRef>
              <c:f>gráfico!$E$2:$E$91</c:f>
              <c:numCache>
                <c:formatCode>General</c:formatCode>
                <c:ptCount val="90"/>
                <c:pt idx="0">
                  <c:v>1.88777E-3</c:v>
                </c:pt>
                <c:pt idx="1">
                  <c:v>0.60311999999999999</c:v>
                </c:pt>
                <c:pt idx="2">
                  <c:v>0.83123899999999995</c:v>
                </c:pt>
                <c:pt idx="3">
                  <c:v>0.89986699999999997</c:v>
                </c:pt>
                <c:pt idx="4">
                  <c:v>0.93260900000000002</c:v>
                </c:pt>
                <c:pt idx="5">
                  <c:v>0.95309999999999995</c:v>
                </c:pt>
                <c:pt idx="6">
                  <c:v>0.95459000000000005</c:v>
                </c:pt>
                <c:pt idx="7">
                  <c:v>0.957484</c:v>
                </c:pt>
                <c:pt idx="8">
                  <c:v>0.95790299999999995</c:v>
                </c:pt>
                <c:pt idx="9">
                  <c:v>0.95779499999999995</c:v>
                </c:pt>
                <c:pt idx="10">
                  <c:v>0.95744799999999997</c:v>
                </c:pt>
                <c:pt idx="11">
                  <c:v>0.955847</c:v>
                </c:pt>
                <c:pt idx="12">
                  <c:v>0.95239300000000005</c:v>
                </c:pt>
                <c:pt idx="13">
                  <c:v>0.95174899999999996</c:v>
                </c:pt>
                <c:pt idx="14">
                  <c:v>0.95339300000000005</c:v>
                </c:pt>
                <c:pt idx="15">
                  <c:v>0.95120199999999999</c:v>
                </c:pt>
                <c:pt idx="16">
                  <c:v>0.94875500000000001</c:v>
                </c:pt>
                <c:pt idx="17">
                  <c:v>0.946357</c:v>
                </c:pt>
                <c:pt idx="18">
                  <c:v>0.94382699999999997</c:v>
                </c:pt>
                <c:pt idx="19">
                  <c:v>0.94239300000000004</c:v>
                </c:pt>
                <c:pt idx="20">
                  <c:v>0.94655299999999998</c:v>
                </c:pt>
                <c:pt idx="21">
                  <c:v>0.81722099999999998</c:v>
                </c:pt>
                <c:pt idx="22">
                  <c:v>0.69156399999999996</c:v>
                </c:pt>
                <c:pt idx="23">
                  <c:v>0.56859000000000004</c:v>
                </c:pt>
                <c:pt idx="24">
                  <c:v>0.462673</c:v>
                </c:pt>
                <c:pt idx="25">
                  <c:v>0.39513999999999999</c:v>
                </c:pt>
                <c:pt idx="26">
                  <c:v>0.33704800000000001</c:v>
                </c:pt>
                <c:pt idx="27">
                  <c:v>0.28290599999999999</c:v>
                </c:pt>
                <c:pt idx="28">
                  <c:v>0.24934500000000001</c:v>
                </c:pt>
                <c:pt idx="29">
                  <c:v>0.21323300000000001</c:v>
                </c:pt>
                <c:pt idx="30">
                  <c:v>0.18392</c:v>
                </c:pt>
                <c:pt idx="31">
                  <c:v>0.172234</c:v>
                </c:pt>
                <c:pt idx="32">
                  <c:v>0.17172200000000001</c:v>
                </c:pt>
                <c:pt idx="33">
                  <c:v>0.171044</c:v>
                </c:pt>
                <c:pt idx="34">
                  <c:v>0.16825899999999999</c:v>
                </c:pt>
                <c:pt idx="35">
                  <c:v>0.168322</c:v>
                </c:pt>
                <c:pt idx="36">
                  <c:v>0.163108</c:v>
                </c:pt>
                <c:pt idx="37">
                  <c:v>0.167291</c:v>
                </c:pt>
                <c:pt idx="38">
                  <c:v>0.17441400000000001</c:v>
                </c:pt>
                <c:pt idx="39">
                  <c:v>0.18512300000000001</c:v>
                </c:pt>
                <c:pt idx="40">
                  <c:v>0.17693999999999999</c:v>
                </c:pt>
                <c:pt idx="41">
                  <c:v>0.17442299999999999</c:v>
                </c:pt>
                <c:pt idx="42">
                  <c:v>0.17363799999999999</c:v>
                </c:pt>
                <c:pt idx="43">
                  <c:v>0.17444999999999999</c:v>
                </c:pt>
                <c:pt idx="44">
                  <c:v>0.17335400000000001</c:v>
                </c:pt>
                <c:pt idx="45">
                  <c:v>0.171075</c:v>
                </c:pt>
                <c:pt idx="46">
                  <c:v>0.16726199999999999</c:v>
                </c:pt>
                <c:pt idx="47">
                  <c:v>0.16694899999999999</c:v>
                </c:pt>
                <c:pt idx="48">
                  <c:v>0.16700499999999999</c:v>
                </c:pt>
                <c:pt idx="49">
                  <c:v>0.168713</c:v>
                </c:pt>
                <c:pt idx="50">
                  <c:v>0.170047</c:v>
                </c:pt>
                <c:pt idx="51">
                  <c:v>0.168795</c:v>
                </c:pt>
                <c:pt idx="52">
                  <c:v>0.17091100000000001</c:v>
                </c:pt>
                <c:pt idx="53">
                  <c:v>0.17497199999999999</c:v>
                </c:pt>
                <c:pt idx="54">
                  <c:v>0.18287800000000001</c:v>
                </c:pt>
                <c:pt idx="55">
                  <c:v>0.185892</c:v>
                </c:pt>
                <c:pt idx="56">
                  <c:v>0.183675</c:v>
                </c:pt>
                <c:pt idx="57">
                  <c:v>0.180508</c:v>
                </c:pt>
                <c:pt idx="58">
                  <c:v>0.17632600000000001</c:v>
                </c:pt>
                <c:pt idx="59">
                  <c:v>0.17879800000000001</c:v>
                </c:pt>
                <c:pt idx="60">
                  <c:v>0.17974399999999999</c:v>
                </c:pt>
                <c:pt idx="61">
                  <c:v>0.18135399999999999</c:v>
                </c:pt>
                <c:pt idx="62">
                  <c:v>0.17555599999999999</c:v>
                </c:pt>
                <c:pt idx="63">
                  <c:v>0.174404</c:v>
                </c:pt>
                <c:pt idx="64">
                  <c:v>0.17887600000000001</c:v>
                </c:pt>
                <c:pt idx="65">
                  <c:v>0.18764</c:v>
                </c:pt>
                <c:pt idx="66">
                  <c:v>0.195937</c:v>
                </c:pt>
                <c:pt idx="67">
                  <c:v>0.18965599999999999</c:v>
                </c:pt>
                <c:pt idx="68">
                  <c:v>0.18424399999999999</c:v>
                </c:pt>
                <c:pt idx="69">
                  <c:v>0.18570400000000001</c:v>
                </c:pt>
                <c:pt idx="70">
                  <c:v>0.18664900000000001</c:v>
                </c:pt>
                <c:pt idx="71">
                  <c:v>0.18665699999999999</c:v>
                </c:pt>
                <c:pt idx="72">
                  <c:v>0.18699099999999999</c:v>
                </c:pt>
                <c:pt idx="73">
                  <c:v>0.18845600000000001</c:v>
                </c:pt>
                <c:pt idx="74">
                  <c:v>0.19325700000000001</c:v>
                </c:pt>
                <c:pt idx="75">
                  <c:v>0.19395399999999999</c:v>
                </c:pt>
                <c:pt idx="76">
                  <c:v>0.20355599999999999</c:v>
                </c:pt>
                <c:pt idx="77">
                  <c:v>0.208927</c:v>
                </c:pt>
                <c:pt idx="78">
                  <c:v>0.20191400000000001</c:v>
                </c:pt>
                <c:pt idx="79">
                  <c:v>0.19515299999999999</c:v>
                </c:pt>
                <c:pt idx="80">
                  <c:v>0.19516700000000001</c:v>
                </c:pt>
                <c:pt idx="81">
                  <c:v>0.19676399999999999</c:v>
                </c:pt>
                <c:pt idx="82">
                  <c:v>0.195108</c:v>
                </c:pt>
                <c:pt idx="83">
                  <c:v>0.19480600000000001</c:v>
                </c:pt>
                <c:pt idx="84">
                  <c:v>0.198185</c:v>
                </c:pt>
                <c:pt idx="85">
                  <c:v>0.203343</c:v>
                </c:pt>
                <c:pt idx="86">
                  <c:v>0.205287</c:v>
                </c:pt>
                <c:pt idx="87">
                  <c:v>0.20611099999999999</c:v>
                </c:pt>
                <c:pt idx="88">
                  <c:v>0.208622</c:v>
                </c:pt>
                <c:pt idx="89">
                  <c:v>0.20393800000000001</c:v>
                </c:pt>
              </c:numCache>
            </c:numRef>
          </c:val>
          <c:smooth val="0"/>
          <c:extLst>
            <c:ext xmlns:c16="http://schemas.microsoft.com/office/drawing/2014/chart" uri="{C3380CC4-5D6E-409C-BE32-E72D297353CC}">
              <c16:uniqueId val="{00000002-A55A-4F26-BC6C-4B26CDBEAC4F}"/>
            </c:ext>
          </c:extLst>
        </c:ser>
        <c:ser>
          <c:idx val="3"/>
          <c:order val="3"/>
          <c:tx>
            <c:strRef>
              <c:f>gráfico!$I$1</c:f>
              <c:strCache>
                <c:ptCount val="1"/>
                <c:pt idx="0">
                  <c:v>q=140</c:v>
                </c:pt>
              </c:strCache>
            </c:strRef>
          </c:tx>
          <c:spPr>
            <a:ln w="12700" cap="rnd">
              <a:solidFill>
                <a:srgbClr val="0070C0"/>
              </a:solidFill>
              <a:prstDash val="solid"/>
              <a:round/>
            </a:ln>
          </c:spPr>
          <c:marker>
            <c:symbol val="none"/>
          </c:marker>
          <c:cat>
            <c:numRef>
              <c:f>gráfico!$M$2:$M$91</c:f>
              <c:numCache>
                <c:formatCode>General</c:formatCode>
                <c:ptCount val="9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numCache>
            </c:numRef>
          </c:cat>
          <c:val>
            <c:numRef>
              <c:f>gráfico!$I$2:$I$91</c:f>
              <c:numCache>
                <c:formatCode>General</c:formatCode>
                <c:ptCount val="90"/>
                <c:pt idx="0">
                  <c:v>1.88777E-3</c:v>
                </c:pt>
                <c:pt idx="1">
                  <c:v>0.56265299999999996</c:v>
                </c:pt>
                <c:pt idx="2">
                  <c:v>0.74175199999999997</c:v>
                </c:pt>
                <c:pt idx="3">
                  <c:v>0.79310899999999995</c:v>
                </c:pt>
                <c:pt idx="4">
                  <c:v>0.80290700000000004</c:v>
                </c:pt>
                <c:pt idx="5">
                  <c:v>0.80756499999999998</c:v>
                </c:pt>
                <c:pt idx="6">
                  <c:v>0.79927599999999999</c:v>
                </c:pt>
                <c:pt idx="7">
                  <c:v>0.79456599999999999</c:v>
                </c:pt>
                <c:pt idx="8">
                  <c:v>0.78672900000000001</c:v>
                </c:pt>
                <c:pt idx="9">
                  <c:v>0.77776100000000004</c:v>
                </c:pt>
                <c:pt idx="10">
                  <c:v>0.76381299999999996</c:v>
                </c:pt>
                <c:pt idx="11">
                  <c:v>0.75398399999999999</c:v>
                </c:pt>
                <c:pt idx="12">
                  <c:v>0.74306300000000003</c:v>
                </c:pt>
                <c:pt idx="13">
                  <c:v>0.73025499999999999</c:v>
                </c:pt>
                <c:pt idx="14">
                  <c:v>0.71454200000000001</c:v>
                </c:pt>
                <c:pt idx="15">
                  <c:v>0.708175</c:v>
                </c:pt>
                <c:pt idx="16">
                  <c:v>0.68914699999999995</c:v>
                </c:pt>
                <c:pt idx="17">
                  <c:v>0.66579999999999995</c:v>
                </c:pt>
                <c:pt idx="18">
                  <c:v>0.64106399999999997</c:v>
                </c:pt>
                <c:pt idx="19">
                  <c:v>0.63259900000000002</c:v>
                </c:pt>
                <c:pt idx="20">
                  <c:v>0.61772899999999997</c:v>
                </c:pt>
                <c:pt idx="21">
                  <c:v>0.46468799999999999</c:v>
                </c:pt>
                <c:pt idx="22">
                  <c:v>0.31215500000000002</c:v>
                </c:pt>
                <c:pt idx="23">
                  <c:v>0.190497</c:v>
                </c:pt>
                <c:pt idx="24">
                  <c:v>0.13120399999999999</c:v>
                </c:pt>
                <c:pt idx="25">
                  <c:v>8.2369100000000001E-2</c:v>
                </c:pt>
                <c:pt idx="26">
                  <c:v>6.3843200000000003E-2</c:v>
                </c:pt>
                <c:pt idx="27">
                  <c:v>5.23087E-2</c:v>
                </c:pt>
                <c:pt idx="28">
                  <c:v>3.1505100000000001E-2</c:v>
                </c:pt>
                <c:pt idx="29">
                  <c:v>3.0328899999999999E-2</c:v>
                </c:pt>
                <c:pt idx="30">
                  <c:v>3.2223799999999997E-2</c:v>
                </c:pt>
                <c:pt idx="31">
                  <c:v>3.3899400000000003E-2</c:v>
                </c:pt>
                <c:pt idx="32">
                  <c:v>3.3497199999999998E-2</c:v>
                </c:pt>
                <c:pt idx="33">
                  <c:v>2.9704000000000001E-2</c:v>
                </c:pt>
                <c:pt idx="34">
                  <c:v>3.0539199999999999E-2</c:v>
                </c:pt>
                <c:pt idx="35">
                  <c:v>3.1440200000000001E-2</c:v>
                </c:pt>
                <c:pt idx="36">
                  <c:v>3.1873899999999997E-2</c:v>
                </c:pt>
                <c:pt idx="37">
                  <c:v>3.2015399999999999E-2</c:v>
                </c:pt>
                <c:pt idx="38">
                  <c:v>3.0416800000000001E-2</c:v>
                </c:pt>
                <c:pt idx="39">
                  <c:v>3.06214E-2</c:v>
                </c:pt>
                <c:pt idx="40">
                  <c:v>3.0950499999999999E-2</c:v>
                </c:pt>
                <c:pt idx="41">
                  <c:v>3.1345499999999998E-2</c:v>
                </c:pt>
                <c:pt idx="42">
                  <c:v>3.1781799999999999E-2</c:v>
                </c:pt>
                <c:pt idx="43">
                  <c:v>3.2080200000000003E-2</c:v>
                </c:pt>
                <c:pt idx="44">
                  <c:v>3.3171699999999998E-2</c:v>
                </c:pt>
                <c:pt idx="45">
                  <c:v>3.3772200000000002E-2</c:v>
                </c:pt>
                <c:pt idx="46">
                  <c:v>3.4050900000000002E-2</c:v>
                </c:pt>
                <c:pt idx="47">
                  <c:v>3.4445200000000002E-2</c:v>
                </c:pt>
                <c:pt idx="48">
                  <c:v>3.4496699999999998E-2</c:v>
                </c:pt>
                <c:pt idx="49">
                  <c:v>3.23407E-2</c:v>
                </c:pt>
                <c:pt idx="50">
                  <c:v>3.2268699999999997E-2</c:v>
                </c:pt>
                <c:pt idx="51">
                  <c:v>3.2041600000000003E-2</c:v>
                </c:pt>
                <c:pt idx="52">
                  <c:v>3.1638399999999997E-2</c:v>
                </c:pt>
                <c:pt idx="53">
                  <c:v>3.1378299999999998E-2</c:v>
                </c:pt>
                <c:pt idx="54">
                  <c:v>3.1460599999999998E-2</c:v>
                </c:pt>
                <c:pt idx="55">
                  <c:v>3.1062300000000001E-2</c:v>
                </c:pt>
                <c:pt idx="56">
                  <c:v>3.0846700000000001E-2</c:v>
                </c:pt>
                <c:pt idx="57">
                  <c:v>3.0757E-2</c:v>
                </c:pt>
                <c:pt idx="58">
                  <c:v>3.0570799999999999E-2</c:v>
                </c:pt>
                <c:pt idx="59">
                  <c:v>3.04572E-2</c:v>
                </c:pt>
                <c:pt idx="60">
                  <c:v>3.0440999999999999E-2</c:v>
                </c:pt>
                <c:pt idx="61">
                  <c:v>3.0477199999999999E-2</c:v>
                </c:pt>
                <c:pt idx="62">
                  <c:v>3.0506499999999999E-2</c:v>
                </c:pt>
                <c:pt idx="63">
                  <c:v>3.0509000000000001E-2</c:v>
                </c:pt>
                <c:pt idx="64">
                  <c:v>3.0538200000000001E-2</c:v>
                </c:pt>
                <c:pt idx="65">
                  <c:v>3.05356E-2</c:v>
                </c:pt>
                <c:pt idx="66">
                  <c:v>3.0443100000000001E-2</c:v>
                </c:pt>
                <c:pt idx="67">
                  <c:v>3.04228E-2</c:v>
                </c:pt>
                <c:pt idx="68">
                  <c:v>3.04788E-2</c:v>
                </c:pt>
                <c:pt idx="69">
                  <c:v>3.0504300000000002E-2</c:v>
                </c:pt>
                <c:pt idx="70">
                  <c:v>3.0595299999999999E-2</c:v>
                </c:pt>
                <c:pt idx="71">
                  <c:v>3.0668500000000001E-2</c:v>
                </c:pt>
                <c:pt idx="72">
                  <c:v>3.0692899999999999E-2</c:v>
                </c:pt>
                <c:pt idx="73">
                  <c:v>3.0790000000000001E-2</c:v>
                </c:pt>
                <c:pt idx="74">
                  <c:v>3.08037E-2</c:v>
                </c:pt>
                <c:pt idx="75">
                  <c:v>3.0817199999999999E-2</c:v>
                </c:pt>
                <c:pt idx="76">
                  <c:v>3.0928299999999999E-2</c:v>
                </c:pt>
                <c:pt idx="77">
                  <c:v>3.10865E-2</c:v>
                </c:pt>
                <c:pt idx="78">
                  <c:v>3.1085399999999999E-2</c:v>
                </c:pt>
                <c:pt idx="79">
                  <c:v>3.1152599999999999E-2</c:v>
                </c:pt>
                <c:pt idx="80">
                  <c:v>3.1369500000000002E-2</c:v>
                </c:pt>
                <c:pt idx="81">
                  <c:v>3.1555899999999998E-2</c:v>
                </c:pt>
                <c:pt idx="82">
                  <c:v>3.1655999999999997E-2</c:v>
                </c:pt>
                <c:pt idx="83">
                  <c:v>3.1730800000000003E-2</c:v>
                </c:pt>
                <c:pt idx="84">
                  <c:v>3.17893E-2</c:v>
                </c:pt>
                <c:pt idx="85">
                  <c:v>3.1818899999999997E-2</c:v>
                </c:pt>
                <c:pt idx="86">
                  <c:v>3.1803999999999999E-2</c:v>
                </c:pt>
                <c:pt idx="87">
                  <c:v>3.1864000000000003E-2</c:v>
                </c:pt>
                <c:pt idx="88">
                  <c:v>3.1979599999999997E-2</c:v>
                </c:pt>
                <c:pt idx="89">
                  <c:v>3.2016200000000002E-2</c:v>
                </c:pt>
              </c:numCache>
            </c:numRef>
          </c:val>
          <c:smooth val="0"/>
          <c:extLst>
            <c:ext xmlns:c16="http://schemas.microsoft.com/office/drawing/2014/chart" uri="{C3380CC4-5D6E-409C-BE32-E72D297353CC}">
              <c16:uniqueId val="{00000003-A55A-4F26-BC6C-4B26CDBEAC4F}"/>
            </c:ext>
          </c:extLst>
        </c:ser>
        <c:dLbls>
          <c:showLegendKey val="0"/>
          <c:showVal val="0"/>
          <c:showCatName val="0"/>
          <c:showSerName val="0"/>
          <c:showPercent val="0"/>
          <c:showBubbleSize val="0"/>
        </c:dLbls>
        <c:smooth val="0"/>
        <c:axId val="1367522640"/>
        <c:axId val="1367530128"/>
      </c:lineChart>
      <c:valAx>
        <c:axId val="1367530128"/>
        <c:scaling>
          <c:orientation val="minMax"/>
        </c:scaling>
        <c:delete val="0"/>
        <c:axPos val="l"/>
        <c:majorGridlines>
          <c:spPr>
            <a:ln w="9528" cap="flat">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600" b="0" i="0" u="none" strike="noStrike" kern="1200" baseline="0">
                    <a:solidFill>
                      <a:srgbClr val="595959"/>
                    </a:solidFill>
                    <a:latin typeface="Calibri"/>
                  </a:defRPr>
                </a:pPr>
                <a:r>
                  <a:rPr lang="pt-BR" sz="600" b="0" i="0" u="none" strike="noStrike" kern="1200" cap="none" spc="0" baseline="0">
                    <a:solidFill>
                      <a:srgbClr val="595959"/>
                    </a:solidFill>
                    <a:uFillTx/>
                    <a:latin typeface="Calibri"/>
                  </a:rPr>
                  <a:t>TCE Saturation</a:t>
                </a:r>
              </a:p>
            </c:rich>
          </c:tx>
          <c:overlay val="0"/>
          <c:spPr>
            <a:noFill/>
            <a:ln>
              <a:noFill/>
            </a:ln>
          </c:spPr>
        </c:title>
        <c:numFmt formatCode="General"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600" b="0" i="0" u="none" strike="noStrike" kern="1200" baseline="0">
                <a:solidFill>
                  <a:srgbClr val="595959"/>
                </a:solidFill>
                <a:latin typeface="Calibri"/>
              </a:defRPr>
            </a:pPr>
            <a:endParaRPr lang="pt-BR"/>
          </a:p>
        </c:txPr>
        <c:crossAx val="1367522640"/>
        <c:crosses val="autoZero"/>
        <c:crossBetween val="between"/>
      </c:valAx>
      <c:catAx>
        <c:axId val="1367522640"/>
        <c:scaling>
          <c:orientation val="minMax"/>
        </c:scaling>
        <c:delete val="0"/>
        <c:axPos val="b"/>
        <c:title>
          <c:tx>
            <c:rich>
              <a:bodyPr lIns="0" tIns="0" rIns="0" bIns="0"/>
              <a:lstStyle/>
              <a:p>
                <a:pPr marL="0" marR="0" indent="0" algn="ctr" defTabSz="914400" fontAlgn="auto" hangingPunct="1">
                  <a:lnSpc>
                    <a:spcPct val="100000"/>
                  </a:lnSpc>
                  <a:spcBef>
                    <a:spcPts val="0"/>
                  </a:spcBef>
                  <a:spcAft>
                    <a:spcPts val="0"/>
                  </a:spcAft>
                  <a:tabLst/>
                  <a:defRPr sz="600" b="0" i="0" u="none" strike="noStrike" kern="1200" baseline="0">
                    <a:solidFill>
                      <a:srgbClr val="595959"/>
                    </a:solidFill>
                    <a:latin typeface="Calibri"/>
                  </a:defRPr>
                </a:pPr>
                <a:r>
                  <a:rPr lang="pt-BR" sz="600" b="0" i="0" u="none" strike="noStrike" kern="1200" cap="none" spc="0" baseline="0">
                    <a:solidFill>
                      <a:srgbClr val="595959"/>
                    </a:solidFill>
                    <a:uFillTx/>
                    <a:latin typeface="Calibri"/>
                  </a:rPr>
                  <a:t>Time (ms)</a:t>
                </a:r>
              </a:p>
            </c:rich>
          </c:tx>
          <c:overlay val="0"/>
          <c:spPr>
            <a:noFill/>
            <a:ln>
              <a:noFill/>
            </a:ln>
          </c:spPr>
        </c:title>
        <c:numFmt formatCode="General" sourceLinked="1"/>
        <c:majorTickMark val="out"/>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600" b="0" i="0" u="none" strike="noStrike" kern="1200" baseline="0">
                <a:solidFill>
                  <a:srgbClr val="595959"/>
                </a:solidFill>
                <a:latin typeface="Calibri"/>
              </a:defRPr>
            </a:pPr>
            <a:endParaRPr lang="pt-BR"/>
          </a:p>
        </c:txPr>
        <c:crossAx val="1367530128"/>
        <c:crosses val="autoZero"/>
        <c:auto val="1"/>
        <c:lblAlgn val="ctr"/>
        <c:lblOffset val="100"/>
        <c:tickLblSkip val="10"/>
        <c:tickMarkSkip val="10"/>
        <c:noMultiLvlLbl val="0"/>
      </c:catAx>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sz="600" b="0" i="0" u="none" strike="noStrike" kern="1200" baseline="0">
              <a:solidFill>
                <a:srgbClr val="595959"/>
              </a:solidFill>
              <a:latin typeface="Symbol" pitchFamily="18"/>
            </a:defRPr>
          </a:pPr>
          <a:endParaRPr lang="pt-BR"/>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pt-BR" sz="1000" b="0" i="0" u="none" strike="noStrike" kern="1200" baseline="0">
          <a:solidFill>
            <a:srgbClr val="000000"/>
          </a:solidFill>
          <a:latin typeface="Calibri"/>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teste6time!$A$1</c:f>
              <c:strCache>
                <c:ptCount val="1"/>
                <c:pt idx="0">
                  <c:v>avg(alpha,TCE)</c:v>
                </c:pt>
              </c:strCache>
            </c:strRef>
          </c:tx>
          <c:spPr>
            <a:ln w="12700" cap="rnd">
              <a:solidFill>
                <a:srgbClr val="203864"/>
              </a:solidFill>
              <a:prstDash val="solid"/>
              <a:round/>
            </a:ln>
          </c:spPr>
          <c:marker>
            <c:symbol val="none"/>
          </c:marker>
          <c:dPt>
            <c:idx val="114"/>
            <c:bubble3D val="0"/>
            <c:spPr>
              <a:ln w="12700" cap="rnd">
                <a:solidFill>
                  <a:srgbClr val="203864"/>
                </a:solidFill>
                <a:prstDash val="solid"/>
                <a:round/>
              </a:ln>
            </c:spPr>
            <c:extLst>
              <c:ext xmlns:c16="http://schemas.microsoft.com/office/drawing/2014/chart" uri="{C3380CC4-5D6E-409C-BE32-E72D297353CC}">
                <c16:uniqueId val="{00000001-F5BF-4DA1-8803-319601ABF196}"/>
              </c:ext>
            </c:extLst>
          </c:dPt>
          <c:dPt>
            <c:idx val="151"/>
            <c:bubble3D val="0"/>
            <c:spPr>
              <a:ln w="12700" cap="rnd">
                <a:solidFill>
                  <a:srgbClr val="203864"/>
                </a:solidFill>
                <a:prstDash val="solid"/>
                <a:round/>
              </a:ln>
            </c:spPr>
            <c:extLst>
              <c:ext xmlns:c16="http://schemas.microsoft.com/office/drawing/2014/chart" uri="{C3380CC4-5D6E-409C-BE32-E72D297353CC}">
                <c16:uniqueId val="{00000003-F5BF-4DA1-8803-319601ABF196}"/>
              </c:ext>
            </c:extLst>
          </c:dPt>
          <c:cat>
            <c:numRef>
              <c:f>teste6time!$D$2:$D$202</c:f>
              <c:numCache>
                <c:formatCode>General</c:formatCode>
                <c:ptCount val="2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10</c:v>
                </c:pt>
                <c:pt idx="21">
                  <c:v>21</c:v>
                </c:pt>
                <c:pt idx="22">
                  <c:v>22</c:v>
                </c:pt>
                <c:pt idx="23">
                  <c:v>23</c:v>
                </c:pt>
                <c:pt idx="24">
                  <c:v>24</c:v>
                </c:pt>
                <c:pt idx="25">
                  <c:v>25</c:v>
                </c:pt>
                <c:pt idx="26">
                  <c:v>26</c:v>
                </c:pt>
                <c:pt idx="27">
                  <c:v>27</c:v>
                </c:pt>
                <c:pt idx="28">
                  <c:v>28</c:v>
                </c:pt>
                <c:pt idx="29">
                  <c:v>29</c:v>
                </c:pt>
                <c:pt idx="30">
                  <c:v>20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numCache>
            </c:numRef>
          </c:cat>
          <c:val>
            <c:numRef>
              <c:f>teste6time!$A$2:$A$202</c:f>
              <c:numCache>
                <c:formatCode>0%</c:formatCode>
                <c:ptCount val="201"/>
                <c:pt idx="0">
                  <c:v>1.3505399999999999E-3</c:v>
                </c:pt>
                <c:pt idx="1">
                  <c:v>0.31474400000000002</c:v>
                </c:pt>
                <c:pt idx="2">
                  <c:v>0.51303200000000004</c:v>
                </c:pt>
                <c:pt idx="3">
                  <c:v>0.60948999999999998</c:v>
                </c:pt>
                <c:pt idx="4">
                  <c:v>0.65687399999999996</c:v>
                </c:pt>
                <c:pt idx="5">
                  <c:v>0.68088400000000004</c:v>
                </c:pt>
                <c:pt idx="6">
                  <c:v>0.69971399999999995</c:v>
                </c:pt>
                <c:pt idx="7">
                  <c:v>0.70266200000000001</c:v>
                </c:pt>
                <c:pt idx="8">
                  <c:v>0.70882500000000004</c:v>
                </c:pt>
                <c:pt idx="9">
                  <c:v>0.71639299999999995</c:v>
                </c:pt>
                <c:pt idx="10">
                  <c:v>0.72001199999999999</c:v>
                </c:pt>
                <c:pt idx="11">
                  <c:v>0.73986600000000002</c:v>
                </c:pt>
                <c:pt idx="12">
                  <c:v>0.74429999999999996</c:v>
                </c:pt>
                <c:pt idx="13">
                  <c:v>0.73990299999999998</c:v>
                </c:pt>
                <c:pt idx="14">
                  <c:v>0.73244900000000002</c:v>
                </c:pt>
                <c:pt idx="15">
                  <c:v>0.73255199999999998</c:v>
                </c:pt>
                <c:pt idx="16">
                  <c:v>0.74096399999999996</c:v>
                </c:pt>
                <c:pt idx="17">
                  <c:v>0.75995400000000002</c:v>
                </c:pt>
                <c:pt idx="18">
                  <c:v>0.75860799999999995</c:v>
                </c:pt>
                <c:pt idx="19">
                  <c:v>0.754193</c:v>
                </c:pt>
                <c:pt idx="20">
                  <c:v>0.74805600000000005</c:v>
                </c:pt>
                <c:pt idx="21">
                  <c:v>0.74297100000000005</c:v>
                </c:pt>
                <c:pt idx="22">
                  <c:v>0.73728899999999997</c:v>
                </c:pt>
                <c:pt idx="23">
                  <c:v>0.737842</c:v>
                </c:pt>
                <c:pt idx="24">
                  <c:v>0.75261699999999998</c:v>
                </c:pt>
                <c:pt idx="25">
                  <c:v>0.75146299999999999</c:v>
                </c:pt>
                <c:pt idx="26">
                  <c:v>0.74139100000000002</c:v>
                </c:pt>
                <c:pt idx="27">
                  <c:v>0.73689099999999996</c:v>
                </c:pt>
                <c:pt idx="28">
                  <c:v>0.74651900000000004</c:v>
                </c:pt>
                <c:pt idx="29">
                  <c:v>0.75105699999999997</c:v>
                </c:pt>
                <c:pt idx="30">
                  <c:v>0.75008600000000003</c:v>
                </c:pt>
                <c:pt idx="31">
                  <c:v>0.75123899999999999</c:v>
                </c:pt>
                <c:pt idx="32">
                  <c:v>0.74407699999999999</c:v>
                </c:pt>
                <c:pt idx="33">
                  <c:v>0.74813799999999997</c:v>
                </c:pt>
                <c:pt idx="34">
                  <c:v>0.743537</c:v>
                </c:pt>
                <c:pt idx="35">
                  <c:v>0.741761</c:v>
                </c:pt>
                <c:pt idx="36">
                  <c:v>0.739977</c:v>
                </c:pt>
                <c:pt idx="37">
                  <c:v>0.74329500000000004</c:v>
                </c:pt>
                <c:pt idx="38">
                  <c:v>0.74543700000000002</c:v>
                </c:pt>
                <c:pt idx="39">
                  <c:v>0.74835099999999999</c:v>
                </c:pt>
                <c:pt idx="40">
                  <c:v>0.73681399999999997</c:v>
                </c:pt>
                <c:pt idx="41">
                  <c:v>0.74024000000000001</c:v>
                </c:pt>
                <c:pt idx="42">
                  <c:v>0.736815</c:v>
                </c:pt>
                <c:pt idx="43">
                  <c:v>0.73939500000000002</c:v>
                </c:pt>
                <c:pt idx="44">
                  <c:v>0.74094800000000005</c:v>
                </c:pt>
                <c:pt idx="45">
                  <c:v>0.73230200000000001</c:v>
                </c:pt>
                <c:pt idx="46">
                  <c:v>0.74479600000000001</c:v>
                </c:pt>
                <c:pt idx="47">
                  <c:v>0.74723700000000004</c:v>
                </c:pt>
                <c:pt idx="48">
                  <c:v>0.75903100000000001</c:v>
                </c:pt>
                <c:pt idx="49">
                  <c:v>0.75218300000000005</c:v>
                </c:pt>
                <c:pt idx="50">
                  <c:v>0.74298500000000001</c:v>
                </c:pt>
                <c:pt idx="51">
                  <c:v>0.75356500000000004</c:v>
                </c:pt>
                <c:pt idx="52">
                  <c:v>0.74554200000000004</c:v>
                </c:pt>
                <c:pt idx="53">
                  <c:v>0.74146299999999998</c:v>
                </c:pt>
                <c:pt idx="54">
                  <c:v>0.74849600000000005</c:v>
                </c:pt>
                <c:pt idx="55">
                  <c:v>0.74625799999999998</c:v>
                </c:pt>
                <c:pt idx="56">
                  <c:v>0.75082700000000002</c:v>
                </c:pt>
                <c:pt idx="57">
                  <c:v>0.75146400000000002</c:v>
                </c:pt>
                <c:pt idx="58">
                  <c:v>0.76443099999999997</c:v>
                </c:pt>
                <c:pt idx="59">
                  <c:v>0.75780899999999995</c:v>
                </c:pt>
                <c:pt idx="60">
                  <c:v>0.74874200000000002</c:v>
                </c:pt>
                <c:pt idx="61">
                  <c:v>0.74623499999999998</c:v>
                </c:pt>
                <c:pt idx="62">
                  <c:v>0.74465899999999996</c:v>
                </c:pt>
                <c:pt idx="63">
                  <c:v>0.752502</c:v>
                </c:pt>
                <c:pt idx="64">
                  <c:v>0.74806700000000004</c:v>
                </c:pt>
                <c:pt idx="65">
                  <c:v>0.76051299999999999</c:v>
                </c:pt>
                <c:pt idx="66">
                  <c:v>0.76325900000000002</c:v>
                </c:pt>
                <c:pt idx="67">
                  <c:v>0.76176600000000005</c:v>
                </c:pt>
                <c:pt idx="68">
                  <c:v>0.74272400000000005</c:v>
                </c:pt>
                <c:pt idx="69">
                  <c:v>0.75185100000000005</c:v>
                </c:pt>
                <c:pt idx="70">
                  <c:v>0.75460000000000005</c:v>
                </c:pt>
                <c:pt idx="71">
                  <c:v>0.74526000000000003</c:v>
                </c:pt>
                <c:pt idx="72">
                  <c:v>0.73538099999999995</c:v>
                </c:pt>
                <c:pt idx="73">
                  <c:v>0.75001799999999996</c:v>
                </c:pt>
                <c:pt idx="74">
                  <c:v>0.74762600000000001</c:v>
                </c:pt>
                <c:pt idx="75">
                  <c:v>0.74794300000000002</c:v>
                </c:pt>
                <c:pt idx="76">
                  <c:v>0.76077499999999998</c:v>
                </c:pt>
                <c:pt idx="77">
                  <c:v>0.753745</c:v>
                </c:pt>
                <c:pt idx="78">
                  <c:v>0.74973500000000004</c:v>
                </c:pt>
                <c:pt idx="79">
                  <c:v>0.743641</c:v>
                </c:pt>
                <c:pt idx="80">
                  <c:v>0.74100200000000005</c:v>
                </c:pt>
                <c:pt idx="81">
                  <c:v>0.74172000000000005</c:v>
                </c:pt>
                <c:pt idx="82">
                  <c:v>0.75096399999999996</c:v>
                </c:pt>
                <c:pt idx="83">
                  <c:v>0.75439199999999995</c:v>
                </c:pt>
                <c:pt idx="84">
                  <c:v>0.75289600000000001</c:v>
                </c:pt>
                <c:pt idx="85">
                  <c:v>0.74404400000000004</c:v>
                </c:pt>
                <c:pt idx="86">
                  <c:v>0.75071900000000003</c:v>
                </c:pt>
                <c:pt idx="87">
                  <c:v>0.74908699999999995</c:v>
                </c:pt>
                <c:pt idx="88">
                  <c:v>0.75080499999999994</c:v>
                </c:pt>
                <c:pt idx="89">
                  <c:v>0.74223600000000001</c:v>
                </c:pt>
                <c:pt idx="90">
                  <c:v>0.73784099999999997</c:v>
                </c:pt>
                <c:pt idx="91">
                  <c:v>0.75132200000000005</c:v>
                </c:pt>
                <c:pt idx="92">
                  <c:v>0.75567499999999999</c:v>
                </c:pt>
                <c:pt idx="93">
                  <c:v>0.75655700000000004</c:v>
                </c:pt>
                <c:pt idx="94">
                  <c:v>0.75175400000000003</c:v>
                </c:pt>
                <c:pt idx="95">
                  <c:v>0.74987999999999999</c:v>
                </c:pt>
                <c:pt idx="96">
                  <c:v>0.76529599999999998</c:v>
                </c:pt>
                <c:pt idx="97">
                  <c:v>0.74941000000000002</c:v>
                </c:pt>
                <c:pt idx="98">
                  <c:v>0.75544</c:v>
                </c:pt>
                <c:pt idx="99">
                  <c:v>0.75181699999999996</c:v>
                </c:pt>
                <c:pt idx="100">
                  <c:v>0.74582099999999996</c:v>
                </c:pt>
                <c:pt idx="101">
                  <c:v>0.40146700000000002</c:v>
                </c:pt>
                <c:pt idx="102">
                  <c:v>0.21133099999999999</c:v>
                </c:pt>
                <c:pt idx="103">
                  <c:v>0.130798</c:v>
                </c:pt>
                <c:pt idx="104">
                  <c:v>0.1033</c:v>
                </c:pt>
                <c:pt idx="105">
                  <c:v>9.4214599999999996E-2</c:v>
                </c:pt>
                <c:pt idx="106">
                  <c:v>9.0477799999999997E-2</c:v>
                </c:pt>
                <c:pt idx="107">
                  <c:v>8.5976800000000006E-2</c:v>
                </c:pt>
                <c:pt idx="108">
                  <c:v>8.2098000000000004E-2</c:v>
                </c:pt>
                <c:pt idx="109">
                  <c:v>7.8249299999999994E-2</c:v>
                </c:pt>
                <c:pt idx="110">
                  <c:v>7.6477199999999995E-2</c:v>
                </c:pt>
                <c:pt idx="111">
                  <c:v>7.4928300000000003E-2</c:v>
                </c:pt>
                <c:pt idx="112">
                  <c:v>7.2865700000000005E-2</c:v>
                </c:pt>
                <c:pt idx="113">
                  <c:v>7.1395100000000003E-2</c:v>
                </c:pt>
                <c:pt idx="114">
                  <c:v>7.0297399999999996E-2</c:v>
                </c:pt>
                <c:pt idx="115">
                  <c:v>7.0134600000000005E-2</c:v>
                </c:pt>
                <c:pt idx="116">
                  <c:v>6.9719799999999998E-2</c:v>
                </c:pt>
                <c:pt idx="117">
                  <c:v>6.9417000000000006E-2</c:v>
                </c:pt>
                <c:pt idx="118">
                  <c:v>6.9045599999999999E-2</c:v>
                </c:pt>
                <c:pt idx="119">
                  <c:v>6.7566100000000004E-2</c:v>
                </c:pt>
                <c:pt idx="120">
                  <c:v>6.7278699999999997E-2</c:v>
                </c:pt>
                <c:pt idx="121">
                  <c:v>6.7140599999999995E-2</c:v>
                </c:pt>
                <c:pt idx="122">
                  <c:v>6.7004400000000006E-2</c:v>
                </c:pt>
                <c:pt idx="123">
                  <c:v>6.6890099999999994E-2</c:v>
                </c:pt>
                <c:pt idx="124">
                  <c:v>6.6797599999999999E-2</c:v>
                </c:pt>
                <c:pt idx="125">
                  <c:v>6.6692799999999997E-2</c:v>
                </c:pt>
                <c:pt idx="126">
                  <c:v>6.6598299999999999E-2</c:v>
                </c:pt>
                <c:pt idx="127">
                  <c:v>6.6505700000000001E-2</c:v>
                </c:pt>
                <c:pt idx="128">
                  <c:v>6.6432199999999997E-2</c:v>
                </c:pt>
                <c:pt idx="129">
                  <c:v>6.6336900000000004E-2</c:v>
                </c:pt>
                <c:pt idx="130">
                  <c:v>6.6225099999999995E-2</c:v>
                </c:pt>
                <c:pt idx="131">
                  <c:v>6.5873699999999993E-2</c:v>
                </c:pt>
                <c:pt idx="132">
                  <c:v>5.3973699999999999E-2</c:v>
                </c:pt>
                <c:pt idx="133">
                  <c:v>3.6676399999999998E-2</c:v>
                </c:pt>
                <c:pt idx="134">
                  <c:v>2.4020900000000001E-2</c:v>
                </c:pt>
                <c:pt idx="135">
                  <c:v>1.8113400000000002E-2</c:v>
                </c:pt>
                <c:pt idx="136">
                  <c:v>1.38935E-2</c:v>
                </c:pt>
                <c:pt idx="137">
                  <c:v>1.2713E-2</c:v>
                </c:pt>
                <c:pt idx="138">
                  <c:v>1.09812E-2</c:v>
                </c:pt>
                <c:pt idx="139">
                  <c:v>9.9982700000000001E-3</c:v>
                </c:pt>
                <c:pt idx="140">
                  <c:v>6.5797099999999999E-3</c:v>
                </c:pt>
                <c:pt idx="141">
                  <c:v>6.3674500000000002E-3</c:v>
                </c:pt>
                <c:pt idx="142">
                  <c:v>6.3035499999999998E-3</c:v>
                </c:pt>
                <c:pt idx="143">
                  <c:v>4.6611100000000004E-3</c:v>
                </c:pt>
                <c:pt idx="144">
                  <c:v>4.5753599999999997E-3</c:v>
                </c:pt>
                <c:pt idx="145">
                  <c:v>4.5637400000000002E-3</c:v>
                </c:pt>
                <c:pt idx="146">
                  <c:v>4.5298200000000004E-3</c:v>
                </c:pt>
                <c:pt idx="147">
                  <c:v>4.4800899999999999E-3</c:v>
                </c:pt>
                <c:pt idx="148">
                  <c:v>4.4606300000000002E-3</c:v>
                </c:pt>
                <c:pt idx="149">
                  <c:v>4.43233E-3</c:v>
                </c:pt>
                <c:pt idx="150">
                  <c:v>4.4341500000000004E-3</c:v>
                </c:pt>
                <c:pt idx="151">
                  <c:v>4.4332599999999996E-3</c:v>
                </c:pt>
                <c:pt idx="152">
                  <c:v>4.3700800000000001E-3</c:v>
                </c:pt>
                <c:pt idx="153">
                  <c:v>4.35608E-3</c:v>
                </c:pt>
                <c:pt idx="154">
                  <c:v>4.3304499999999996E-3</c:v>
                </c:pt>
                <c:pt idx="155">
                  <c:v>4.3418099999999998E-3</c:v>
                </c:pt>
                <c:pt idx="156">
                  <c:v>4.3329299999999996E-3</c:v>
                </c:pt>
                <c:pt idx="157">
                  <c:v>4.3198300000000002E-3</c:v>
                </c:pt>
                <c:pt idx="158">
                  <c:v>4.3292399999999998E-3</c:v>
                </c:pt>
                <c:pt idx="159">
                  <c:v>4.3743100000000002E-3</c:v>
                </c:pt>
                <c:pt idx="160">
                  <c:v>4.2712499999999999E-3</c:v>
                </c:pt>
                <c:pt idx="161">
                  <c:v>3.9010500000000001E-3</c:v>
                </c:pt>
                <c:pt idx="162">
                  <c:v>3.5853199999999999E-3</c:v>
                </c:pt>
                <c:pt idx="163">
                  <c:v>3.4555900000000001E-3</c:v>
                </c:pt>
                <c:pt idx="164">
                  <c:v>3.4593699999999998E-3</c:v>
                </c:pt>
                <c:pt idx="165">
                  <c:v>3.4641799999999999E-3</c:v>
                </c:pt>
                <c:pt idx="166">
                  <c:v>3.4191600000000001E-3</c:v>
                </c:pt>
                <c:pt idx="167">
                  <c:v>3.3958700000000001E-3</c:v>
                </c:pt>
                <c:pt idx="168">
                  <c:v>3.3488200000000002E-3</c:v>
                </c:pt>
                <c:pt idx="169">
                  <c:v>3.3439199999999998E-3</c:v>
                </c:pt>
                <c:pt idx="170">
                  <c:v>3.3319700000000001E-3</c:v>
                </c:pt>
                <c:pt idx="171">
                  <c:v>3.32987E-3</c:v>
                </c:pt>
                <c:pt idx="172">
                  <c:v>3.2964399999999999E-3</c:v>
                </c:pt>
                <c:pt idx="173">
                  <c:v>3.2956399999999999E-3</c:v>
                </c:pt>
                <c:pt idx="174">
                  <c:v>3.32168E-3</c:v>
                </c:pt>
                <c:pt idx="175">
                  <c:v>3.2679200000000001E-3</c:v>
                </c:pt>
                <c:pt idx="176">
                  <c:v>3.2752200000000001E-3</c:v>
                </c:pt>
                <c:pt idx="177">
                  <c:v>3.2914799999999998E-3</c:v>
                </c:pt>
                <c:pt idx="178">
                  <c:v>3.25523E-3</c:v>
                </c:pt>
                <c:pt idx="179">
                  <c:v>3.2589099999999998E-3</c:v>
                </c:pt>
                <c:pt idx="180">
                  <c:v>3.2441000000000002E-3</c:v>
                </c:pt>
                <c:pt idx="181">
                  <c:v>3.2313400000000001E-3</c:v>
                </c:pt>
                <c:pt idx="182">
                  <c:v>3.2823100000000001E-3</c:v>
                </c:pt>
                <c:pt idx="183">
                  <c:v>3.173E-3</c:v>
                </c:pt>
                <c:pt idx="184">
                  <c:v>3.2245799999999999E-3</c:v>
                </c:pt>
                <c:pt idx="185">
                  <c:v>2.8281999999999999E-3</c:v>
                </c:pt>
                <c:pt idx="186">
                  <c:v>2.7029300000000001E-3</c:v>
                </c:pt>
                <c:pt idx="187">
                  <c:v>2.58662E-3</c:v>
                </c:pt>
                <c:pt idx="188">
                  <c:v>1.78801E-3</c:v>
                </c:pt>
                <c:pt idx="189">
                  <c:v>1.7060700000000001E-3</c:v>
                </c:pt>
                <c:pt idx="190">
                  <c:v>1.69206E-3</c:v>
                </c:pt>
                <c:pt idx="191">
                  <c:v>1.69232E-3</c:v>
                </c:pt>
                <c:pt idx="192">
                  <c:v>1.6311100000000001E-3</c:v>
                </c:pt>
                <c:pt idx="193">
                  <c:v>1.63083E-3</c:v>
                </c:pt>
                <c:pt idx="194">
                  <c:v>1.6143900000000001E-3</c:v>
                </c:pt>
                <c:pt idx="195">
                  <c:v>1.6096299999999999E-3</c:v>
                </c:pt>
                <c:pt idx="196">
                  <c:v>1.6106099999999999E-3</c:v>
                </c:pt>
                <c:pt idx="197">
                  <c:v>1.6161000000000001E-3</c:v>
                </c:pt>
                <c:pt idx="198">
                  <c:v>1.6180999999999999E-3</c:v>
                </c:pt>
                <c:pt idx="199">
                  <c:v>1.6147799999999999E-3</c:v>
                </c:pt>
                <c:pt idx="200" formatCode="0.00000%">
                  <c:v>1.58555E-3</c:v>
                </c:pt>
              </c:numCache>
            </c:numRef>
          </c:val>
          <c:smooth val="0"/>
          <c:extLst>
            <c:ext xmlns:c16="http://schemas.microsoft.com/office/drawing/2014/chart" uri="{C3380CC4-5D6E-409C-BE32-E72D297353CC}">
              <c16:uniqueId val="{00000004-F5BF-4DA1-8803-319601ABF196}"/>
            </c:ext>
          </c:extLst>
        </c:ser>
        <c:dLbls>
          <c:showLegendKey val="0"/>
          <c:showVal val="0"/>
          <c:showCatName val="0"/>
          <c:showSerName val="0"/>
          <c:showPercent val="0"/>
          <c:showBubbleSize val="0"/>
        </c:dLbls>
        <c:smooth val="0"/>
        <c:axId val="1116701216"/>
        <c:axId val="1116705792"/>
      </c:lineChart>
      <c:valAx>
        <c:axId val="1116705792"/>
        <c:scaling>
          <c:orientation val="minMax"/>
          <c:min val="-5.000000000000001E-2"/>
        </c:scaling>
        <c:delete val="0"/>
        <c:axPos val="l"/>
        <c:title>
          <c:tx>
            <c:rich>
              <a:bodyPr lIns="0" tIns="0" rIns="0" bIns="0"/>
              <a:lstStyle/>
              <a:p>
                <a:pPr marL="0" marR="0" indent="0" algn="ctr" defTabSz="914400" fontAlgn="auto" hangingPunct="1">
                  <a:lnSpc>
                    <a:spcPct val="100000"/>
                  </a:lnSpc>
                  <a:spcBef>
                    <a:spcPts val="0"/>
                  </a:spcBef>
                  <a:spcAft>
                    <a:spcPts val="0"/>
                  </a:spcAft>
                  <a:tabLst/>
                  <a:defRPr lang="pt-BR" sz="600" b="0" i="0" u="none" strike="noStrike" kern="1200" baseline="0">
                    <a:solidFill>
                      <a:srgbClr val="595959"/>
                    </a:solidFill>
                    <a:latin typeface="Calibri"/>
                  </a:defRPr>
                </a:pPr>
                <a:r>
                  <a:rPr lang="pt-BR" sz="600" b="0" i="0" u="none" strike="noStrike" kern="1200" cap="none" spc="0" baseline="0">
                    <a:solidFill>
                      <a:srgbClr val="595959"/>
                    </a:solidFill>
                    <a:uFillTx/>
                    <a:latin typeface="Calibri"/>
                  </a:rPr>
                  <a:t>Saturation of TCE (%)</a:t>
                </a:r>
              </a:p>
            </c:rich>
          </c:tx>
          <c:overlay val="0"/>
          <c:spPr>
            <a:noFill/>
            <a:ln>
              <a:noFill/>
            </a:ln>
          </c:spPr>
        </c:title>
        <c:numFmt formatCode="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pt-BR" sz="600" b="0" i="0" u="none" strike="noStrike" kern="1200" baseline="0">
                <a:solidFill>
                  <a:srgbClr val="595959"/>
                </a:solidFill>
                <a:latin typeface="Calibri"/>
              </a:defRPr>
            </a:pPr>
            <a:endParaRPr lang="pt-BR"/>
          </a:p>
        </c:txPr>
        <c:crossAx val="1116701216"/>
        <c:crosses val="autoZero"/>
        <c:crossBetween val="between"/>
      </c:valAx>
      <c:catAx>
        <c:axId val="1116701216"/>
        <c:scaling>
          <c:orientation val="minMax"/>
        </c:scaling>
        <c:delete val="0"/>
        <c:axPos val="b"/>
        <c:title>
          <c:tx>
            <c:rich>
              <a:bodyPr lIns="0" tIns="0" rIns="0" bIns="0"/>
              <a:lstStyle/>
              <a:p>
                <a:pPr marL="0" marR="0" indent="0" algn="ctr" defTabSz="914400" fontAlgn="auto" hangingPunct="1">
                  <a:lnSpc>
                    <a:spcPct val="100000"/>
                  </a:lnSpc>
                  <a:spcBef>
                    <a:spcPts val="0"/>
                  </a:spcBef>
                  <a:spcAft>
                    <a:spcPts val="0"/>
                  </a:spcAft>
                  <a:tabLst/>
                  <a:defRPr lang="pt-BR" sz="600" b="0" i="0" u="none" strike="noStrike" kern="1200" baseline="0">
                    <a:solidFill>
                      <a:srgbClr val="595959"/>
                    </a:solidFill>
                    <a:latin typeface="Calibri"/>
                  </a:defRPr>
                </a:pPr>
                <a:r>
                  <a:rPr lang="pt-BR" sz="600" b="0" i="0" u="none" strike="noStrike" kern="1200" cap="none" spc="0" baseline="0">
                    <a:solidFill>
                      <a:srgbClr val="595959"/>
                    </a:solidFill>
                    <a:uFillTx/>
                    <a:latin typeface="Calibri"/>
                  </a:rPr>
                  <a:t>t(ms)</a:t>
                </a:r>
              </a:p>
            </c:rich>
          </c:tx>
          <c:overlay val="0"/>
          <c:spPr>
            <a:noFill/>
            <a:ln>
              <a:noFill/>
            </a:ln>
          </c:spPr>
        </c:title>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pt-BR" sz="600" b="0" i="0" u="none" strike="noStrike" kern="1200" baseline="0">
                <a:solidFill>
                  <a:srgbClr val="595959"/>
                </a:solidFill>
                <a:latin typeface="Calibri"/>
              </a:defRPr>
            </a:pPr>
            <a:endParaRPr lang="pt-BR"/>
          </a:p>
        </c:txPr>
        <c:crossAx val="1116705792"/>
        <c:crosses val="autoZero"/>
        <c:auto val="1"/>
        <c:lblAlgn val="ctr"/>
        <c:lblOffset val="100"/>
        <c:tickLblSkip val="2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pt-BR" sz="1000" b="0" i="0" u="none" strike="noStrike" kern="1200" baseline="0">
          <a:solidFill>
            <a:srgbClr val="000000"/>
          </a:solidFill>
          <a:latin typeface="Calibri"/>
        </a:defRPr>
      </a:pPr>
      <a:endParaRPr lang="pt-B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0.614</cdr:x>
      <cdr:y>0.60344</cdr:y>
    </cdr:from>
    <cdr:to>
      <cdr:x>0.69845</cdr:x>
      <cdr:y>0.71091</cdr:y>
    </cdr:to>
    <cdr:sp macro="" textlink="">
      <cdr:nvSpPr>
        <cdr:cNvPr id="2" name="Caixa de Texto 1"/>
        <cdr:cNvSpPr txBox="1"/>
      </cdr:nvSpPr>
      <cdr:spPr>
        <a:xfrm xmlns:a="http://schemas.openxmlformats.org/drawingml/2006/main">
          <a:off x="3125338" y="996287"/>
          <a:ext cx="429906" cy="1774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600"/>
            <a:t>7.0%</a:t>
          </a:r>
        </a:p>
      </cdr:txBody>
    </cdr:sp>
  </cdr:relSizeAnchor>
  <cdr:relSizeAnchor xmlns:cdr="http://schemas.openxmlformats.org/drawingml/2006/chartDrawing">
    <cdr:from>
      <cdr:x>0.9012</cdr:x>
      <cdr:y>0.65258</cdr:y>
    </cdr:from>
    <cdr:to>
      <cdr:x>0.98566</cdr:x>
      <cdr:y>0.76005</cdr:y>
    </cdr:to>
    <cdr:sp macro="" textlink="">
      <cdr:nvSpPr>
        <cdr:cNvPr id="4" name="Caixa de Texto 1"/>
        <cdr:cNvSpPr txBox="1"/>
      </cdr:nvSpPr>
      <cdr:spPr>
        <a:xfrm xmlns:a="http://schemas.openxmlformats.org/drawingml/2006/main">
          <a:off x="4587267" y="1077415"/>
          <a:ext cx="429906" cy="1774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600"/>
            <a:t>0.2%</a:t>
          </a:r>
        </a:p>
      </cdr:txBody>
    </cdr:sp>
  </cdr:relSizeAnchor>
  <cdr:relSizeAnchor xmlns:cdr="http://schemas.openxmlformats.org/drawingml/2006/chartDrawing">
    <cdr:from>
      <cdr:x>0.69756</cdr:x>
      <cdr:y>0.40643</cdr:y>
    </cdr:from>
    <cdr:to>
      <cdr:x>0.81643</cdr:x>
      <cdr:y>0.51389</cdr:y>
    </cdr:to>
    <cdr:sp macro="" textlink="">
      <cdr:nvSpPr>
        <cdr:cNvPr id="5" name="Caixa de Texto 1"/>
        <cdr:cNvSpPr txBox="1"/>
      </cdr:nvSpPr>
      <cdr:spPr>
        <a:xfrm xmlns:a="http://schemas.openxmlformats.org/drawingml/2006/main">
          <a:off x="3550693" y="671015"/>
          <a:ext cx="605050" cy="1774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600"/>
            <a:t>Addition</a:t>
          </a:r>
          <a:r>
            <a:rPr lang="pt-BR" sz="600" baseline="0"/>
            <a:t> of Ethylene</a:t>
          </a:r>
          <a:endParaRPr lang="pt-BR" sz="600"/>
        </a:p>
      </cdr:txBody>
    </cdr:sp>
  </cdr:relSizeAnchor>
  <cdr:relSizeAnchor xmlns:cdr="http://schemas.openxmlformats.org/drawingml/2006/chartDrawing">
    <cdr:from>
      <cdr:x>0.57348</cdr:x>
      <cdr:y>0</cdr:y>
    </cdr:from>
    <cdr:to>
      <cdr:x>0.69235</cdr:x>
      <cdr:y>0.10746</cdr:y>
    </cdr:to>
    <cdr:sp macro="" textlink="">
      <cdr:nvSpPr>
        <cdr:cNvPr id="6" name="Caixa de Texto 1"/>
        <cdr:cNvSpPr txBox="1"/>
      </cdr:nvSpPr>
      <cdr:spPr>
        <a:xfrm xmlns:a="http://schemas.openxmlformats.org/drawingml/2006/main">
          <a:off x="2919105" y="-7417558"/>
          <a:ext cx="605050" cy="1774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600"/>
            <a:t>First addition of water</a:t>
          </a:r>
        </a:p>
      </cdr:txBody>
    </cdr:sp>
  </cdr:relSizeAnchor>
  <cdr:relSizeAnchor xmlns:cdr="http://schemas.openxmlformats.org/drawingml/2006/chartDrawing">
    <cdr:from>
      <cdr:x>0.53624</cdr:x>
      <cdr:y>0.08266</cdr:y>
    </cdr:from>
    <cdr:to>
      <cdr:x>0.5845</cdr:x>
      <cdr:y>0.15293</cdr:y>
    </cdr:to>
    <cdr:cxnSp macro="">
      <cdr:nvCxnSpPr>
        <cdr:cNvPr id="8" name="Conector de Seta Reta 7"/>
        <cdr:cNvCxnSpPr/>
      </cdr:nvCxnSpPr>
      <cdr:spPr>
        <a:xfrm xmlns:a="http://schemas.openxmlformats.org/drawingml/2006/main" flipH="1">
          <a:off x="2729552" y="136478"/>
          <a:ext cx="245660" cy="11600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0.66762</cdr:x>
      <cdr:y>0.54145</cdr:y>
    </cdr:from>
    <cdr:to>
      <cdr:x>0.70918</cdr:x>
      <cdr:y>0.68611</cdr:y>
    </cdr:to>
    <cdr:cxnSp macro="">
      <cdr:nvCxnSpPr>
        <cdr:cNvPr id="9" name="Conector de Seta Reta 8"/>
        <cdr:cNvCxnSpPr/>
      </cdr:nvCxnSpPr>
      <cdr:spPr>
        <a:xfrm xmlns:a="http://schemas.openxmlformats.org/drawingml/2006/main" flipH="1">
          <a:off x="3398293" y="893929"/>
          <a:ext cx="211540" cy="238835"/>
        </a:xfrm>
        <a:prstGeom xmlns:a="http://schemas.openxmlformats.org/drawingml/2006/main" prst="straightConnector1">
          <a:avLst/>
        </a:prstGeom>
        <a:ln xmlns:a="http://schemas.openxmlformats.org/drawingml/2006/main" w="6350">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8971B39D0AD949B68060F93C713B87" ma:contentTypeVersion="15" ma:contentTypeDescription="Crie um novo documento." ma:contentTypeScope="" ma:versionID="3941a10f22e98b570dd44d867ca710ec">
  <xsd:schema xmlns:xsd="http://www.w3.org/2001/XMLSchema" xmlns:xs="http://www.w3.org/2001/XMLSchema" xmlns:p="http://schemas.microsoft.com/office/2006/metadata/properties" xmlns:ns3="d521b0d7-bacc-41f9-bcf1-80fc368a9fbf" xmlns:ns4="11bc2d12-f0da-42b6-9770-6c30f8244659" targetNamespace="http://schemas.microsoft.com/office/2006/metadata/properties" ma:root="true" ma:fieldsID="bd0bf206fcb59c0cbe5d984ce0c91a2f" ns3:_="" ns4:_="">
    <xsd:import namespace="d521b0d7-bacc-41f9-bcf1-80fc368a9fbf"/>
    <xsd:import namespace="11bc2d12-f0da-42b6-9770-6c30f82446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1b0d7-bacc-41f9-bcf1-80fc368a9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c2d12-f0da-42b6-9770-6c30f8244659"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SharingHintHash" ma:index="14"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21b0d7-bacc-41f9-bcf1-80fc368a9f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8FAD7-2490-4C4C-A968-96877B6A3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1b0d7-bacc-41f9-bcf1-80fc368a9fbf"/>
    <ds:schemaRef ds:uri="11bc2d12-f0da-42b6-9770-6c30f8244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AC44F-FDC1-4706-9C48-108A277C408F}">
  <ds:schemaRefs>
    <ds:schemaRef ds:uri="http://schemas.microsoft.com/sharepoint/v3/contenttype/forms"/>
  </ds:schemaRefs>
</ds:datastoreItem>
</file>

<file path=customXml/itemProps3.xml><?xml version="1.0" encoding="utf-8"?>
<ds:datastoreItem xmlns:ds="http://schemas.openxmlformats.org/officeDocument/2006/customXml" ds:itemID="{54B2F744-BE53-4170-8927-F7B579EC3486}">
  <ds:schemaRefs>
    <ds:schemaRef ds:uri="http://purl.org/dc/elements/1.1/"/>
    <ds:schemaRef ds:uri="http://www.w3.org/XML/1998/namespace"/>
    <ds:schemaRef ds:uri="http://schemas.microsoft.com/office/2006/documentManagement/types"/>
    <ds:schemaRef ds:uri="11bc2d12-f0da-42b6-9770-6c30f8244659"/>
    <ds:schemaRef ds:uri="http://schemas.openxmlformats.org/package/2006/metadata/core-properties"/>
    <ds:schemaRef ds:uri="http://schemas.microsoft.com/office/infopath/2007/PartnerControls"/>
    <ds:schemaRef ds:uri="http://schemas.microsoft.com/office/2006/metadata/properties"/>
    <ds:schemaRef ds:uri="http://purl.org/dc/terms/"/>
    <ds:schemaRef ds:uri="d521b0d7-bacc-41f9-bcf1-80fc368a9fbf"/>
    <ds:schemaRef ds:uri="http://purl.org/dc/dcmitype/"/>
  </ds:schemaRefs>
</ds:datastoreItem>
</file>

<file path=customXml/itemProps4.xml><?xml version="1.0" encoding="utf-8"?>
<ds:datastoreItem xmlns:ds="http://schemas.openxmlformats.org/officeDocument/2006/customXml" ds:itemID="{95EBD883-5D27-4208-9FAF-A4FBF8E5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3275</Words>
  <Characters>17690</Characters>
  <Application>Microsoft Office Word</Application>
  <DocSecurity>0</DocSecurity>
  <Lines>147</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Luiz Fernando de Lima Luz Junior</cp:lastModifiedBy>
  <cp:revision>11</cp:revision>
  <cp:lastPrinted>2015-05-12T18:31:00Z</cp:lastPrinted>
  <dcterms:created xsi:type="dcterms:W3CDTF">2023-03-13T12:48:00Z</dcterms:created>
  <dcterms:modified xsi:type="dcterms:W3CDTF">2023-03-16T12:10:00Z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0x010100A68971B39D0AD949B68060F93C713B87</vt:lpwstr>
  </property>
</Properties>
</file>