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3380EC9" w:rsidR="00E978D0" w:rsidRPr="00B57B36" w:rsidRDefault="00F87E59" w:rsidP="00E978D0">
      <w:pPr>
        <w:pStyle w:val="CETTitle"/>
      </w:pPr>
      <w:r>
        <w:t>Modelling</w:t>
      </w:r>
      <w:r w:rsidR="00173948">
        <w:t xml:space="preserve"> the </w:t>
      </w:r>
      <w:r w:rsidR="00DA115E">
        <w:t>S</w:t>
      </w:r>
      <w:r w:rsidR="00173948">
        <w:t xml:space="preserve">olubility of </w:t>
      </w:r>
      <w:r w:rsidR="00DA115E">
        <w:t>A</w:t>
      </w:r>
      <w:r w:rsidR="00173948">
        <w:t xml:space="preserve">cid and </w:t>
      </w:r>
      <w:r w:rsidR="00DA115E">
        <w:t>S</w:t>
      </w:r>
      <w:r w:rsidR="00173948">
        <w:t xml:space="preserve">our </w:t>
      </w:r>
      <w:r w:rsidR="00DA115E">
        <w:t>G</w:t>
      </w:r>
      <w:r w:rsidR="00173948">
        <w:t xml:space="preserve">ases in </w:t>
      </w:r>
      <w:r w:rsidR="00DA115E">
        <w:t>D</w:t>
      </w:r>
      <w:r w:rsidR="00173948">
        <w:t xml:space="preserve">eep </w:t>
      </w:r>
      <w:r w:rsidR="00DA115E">
        <w:t>E</w:t>
      </w:r>
      <w:r w:rsidR="00173948">
        <w:t xml:space="preserve">utectic </w:t>
      </w:r>
      <w:r w:rsidR="00DA115E">
        <w:t>S</w:t>
      </w:r>
      <w:r w:rsidR="00173948">
        <w:t>olvents</w:t>
      </w:r>
    </w:p>
    <w:p w14:paraId="0488FED2" w14:textId="02C649EC" w:rsidR="00B57E6F" w:rsidRPr="00CF4018" w:rsidRDefault="00173948" w:rsidP="00B57E6F">
      <w:pPr>
        <w:pStyle w:val="CETAuthors"/>
        <w:rPr>
          <w:lang w:val="es-MX"/>
        </w:rPr>
      </w:pPr>
      <w:r w:rsidRPr="00CF4018">
        <w:rPr>
          <w:lang w:val="es-MX"/>
        </w:rPr>
        <w:t>Valeria Alejandra Villegas-Peña</w:t>
      </w:r>
      <w:r w:rsidR="00B57E6F" w:rsidRPr="00CF4018">
        <w:rPr>
          <w:lang w:val="es-MX"/>
        </w:rPr>
        <w:t xml:space="preserve">, </w:t>
      </w:r>
      <w:r w:rsidRPr="00CF4018">
        <w:rPr>
          <w:lang w:val="es-MX"/>
        </w:rPr>
        <w:t>Ricardo Macías-Salinas</w:t>
      </w:r>
      <w:r w:rsidR="00DA115E" w:rsidRPr="00CF4018">
        <w:rPr>
          <w:vertAlign w:val="superscript"/>
          <w:lang w:val="es-MX"/>
        </w:rPr>
        <w:t>*</w:t>
      </w:r>
    </w:p>
    <w:p w14:paraId="3D72B0B0" w14:textId="4D3B9B30" w:rsidR="00B57E6F" w:rsidRPr="00CF4018" w:rsidRDefault="00CF4018" w:rsidP="00B57E6F">
      <w:pPr>
        <w:pStyle w:val="CETAddress"/>
        <w:rPr>
          <w:lang w:val="es-MX"/>
        </w:rPr>
      </w:pPr>
      <w:r w:rsidRPr="00CF4018">
        <w:rPr>
          <w:lang w:val="es-MX"/>
        </w:rPr>
        <w:t xml:space="preserve">ESIQIE-Departamento de Ingeniería Química, Instituto Politécnico </w:t>
      </w:r>
      <w:r>
        <w:rPr>
          <w:lang w:val="es-MX"/>
        </w:rPr>
        <w:t>Nacional, Zacatenco, México, D.F. 07738</w:t>
      </w:r>
    </w:p>
    <w:p w14:paraId="355C8031" w14:textId="53A43C2E" w:rsidR="00AB0FB0" w:rsidRPr="000D605D" w:rsidRDefault="00CF4018" w:rsidP="00AB0FB0">
      <w:pPr>
        <w:pStyle w:val="CETemail"/>
        <w:rPr>
          <w:lang w:val="en-US"/>
        </w:rPr>
      </w:pPr>
      <w:r w:rsidRPr="000D605D">
        <w:rPr>
          <w:lang w:val="en-US"/>
        </w:rPr>
        <w:t>*</w:t>
      </w:r>
      <w:r w:rsidR="00AB0FB0" w:rsidRPr="000D605D">
        <w:rPr>
          <w:lang w:val="en-US"/>
        </w:rPr>
        <w:t>rms@ipn.mx</w:t>
      </w:r>
    </w:p>
    <w:p w14:paraId="0355DAEF" w14:textId="7EDBA2A9" w:rsidR="00AB0FB0" w:rsidRPr="008E1F78" w:rsidRDefault="00AB0FB0" w:rsidP="0086587C">
      <w:pPr>
        <w:pStyle w:val="CETemail"/>
        <w:spacing w:line="264" w:lineRule="auto"/>
        <w:jc w:val="both"/>
        <w:rPr>
          <w:lang w:val="en-US"/>
        </w:rPr>
      </w:pPr>
      <w:r w:rsidRPr="00AB0FB0">
        <w:rPr>
          <w:sz w:val="18"/>
        </w:rPr>
        <w:t>In the present work, an equation-of-state-based approach has been used to correlate the experimental gas solubility data of carbon monoxide (CO), carbon dioxide (CO</w:t>
      </w:r>
      <w:r w:rsidRPr="00AB0FB0">
        <w:rPr>
          <w:sz w:val="18"/>
          <w:vertAlign w:val="subscript"/>
        </w:rPr>
        <w:t>2</w:t>
      </w:r>
      <w:r w:rsidRPr="00AB0FB0">
        <w:rPr>
          <w:sz w:val="18"/>
        </w:rPr>
        <w:t>), methane (CH</w:t>
      </w:r>
      <w:r w:rsidRPr="00AB0FB0">
        <w:rPr>
          <w:sz w:val="18"/>
          <w:vertAlign w:val="subscript"/>
        </w:rPr>
        <w:t>4</w:t>
      </w:r>
      <w:r w:rsidRPr="00AB0FB0">
        <w:rPr>
          <w:sz w:val="18"/>
        </w:rPr>
        <w:t>), ammonia (NH</w:t>
      </w:r>
      <w:r w:rsidRPr="00AB0FB0">
        <w:rPr>
          <w:sz w:val="18"/>
          <w:vertAlign w:val="subscript"/>
        </w:rPr>
        <w:t>3</w:t>
      </w:r>
      <w:r w:rsidRPr="00AB0FB0">
        <w:rPr>
          <w:sz w:val="18"/>
        </w:rPr>
        <w:t>), nitrogen dioxide (NO</w:t>
      </w:r>
      <w:r w:rsidRPr="00AB0FB0">
        <w:rPr>
          <w:sz w:val="18"/>
          <w:vertAlign w:val="subscript"/>
        </w:rPr>
        <w:t>2</w:t>
      </w:r>
      <w:r w:rsidRPr="00AB0FB0">
        <w:rPr>
          <w:sz w:val="18"/>
        </w:rPr>
        <w:t>), sulfur dioxide (SO</w:t>
      </w:r>
      <w:r w:rsidRPr="00AB0FB0">
        <w:rPr>
          <w:sz w:val="18"/>
          <w:vertAlign w:val="subscript"/>
        </w:rPr>
        <w:t>2</w:t>
      </w:r>
      <w:r w:rsidRPr="00AB0FB0">
        <w:rPr>
          <w:sz w:val="18"/>
        </w:rPr>
        <w:t>) and hydrogen sulfide (H</w:t>
      </w:r>
      <w:r w:rsidRPr="00AB0FB0">
        <w:rPr>
          <w:sz w:val="18"/>
          <w:vertAlign w:val="subscript"/>
        </w:rPr>
        <w:t>2</w:t>
      </w:r>
      <w:r w:rsidRPr="00AB0FB0">
        <w:rPr>
          <w:sz w:val="18"/>
        </w:rPr>
        <w:t>S) in some representative deep eutectic solvents (DESs) having a common halide salt (choline chloride). Accordingly, two cubic equations of state (CEoS): Peng-Robinson and Soave-Redlich-Kwong coupled with van der Waals mixing rules, were considered her</w:t>
      </w:r>
      <w:r w:rsidR="00DA115E">
        <w:rPr>
          <w:sz w:val="18"/>
        </w:rPr>
        <w:t>e</w:t>
      </w:r>
      <w:r>
        <w:rPr>
          <w:sz w:val="18"/>
        </w:rPr>
        <w:t>. As a matter of fact, i</w:t>
      </w:r>
      <w:r w:rsidRPr="00AB0FB0">
        <w:rPr>
          <w:sz w:val="18"/>
        </w:rPr>
        <w:t xml:space="preserve">n addition to the Soave </w:t>
      </w:r>
      <w:r w:rsidRPr="001C0E35">
        <w:rPr>
          <w:i/>
          <w:iCs/>
          <w:sz w:val="18"/>
        </w:rPr>
        <w:t>alpha</w:t>
      </w:r>
      <w:r w:rsidRPr="00AB0FB0">
        <w:rPr>
          <w:sz w:val="18"/>
        </w:rPr>
        <w:t xml:space="preserve"> function, the one proposed by Yokozeki was also tested in an attempt to obtain improved solubility estimations at low gas concentrations. The best possible representation of experimental solubility data was achieved by adjusting the value of two binary interaction parameters present in the mixing rules (assuming that the DES is a pseudo-pure component), namely, </w:t>
      </w:r>
      <m:oMath>
        <m:sSub>
          <m:sSubPr>
            <m:ctrlPr>
              <w:rPr>
                <w:rFonts w:ascii="Cambria Math" w:hAnsi="Cambria Math"/>
                <w:i/>
                <w:sz w:val="18"/>
              </w:rPr>
            </m:ctrlPr>
          </m:sSubPr>
          <m:e>
            <m:r>
              <w:rPr>
                <w:rFonts w:ascii="Cambria Math" w:hAnsi="Cambria Math"/>
                <w:sz w:val="18"/>
              </w:rPr>
              <m:t>k</m:t>
            </m:r>
          </m:e>
          <m:sub>
            <m:r>
              <w:rPr>
                <w:rFonts w:ascii="Cambria Math" w:hAnsi="Cambria Math"/>
                <w:sz w:val="18"/>
              </w:rPr>
              <m:t>i,j</m:t>
            </m:r>
          </m:sub>
        </m:sSub>
      </m:oMath>
      <w:r>
        <w:rPr>
          <w:sz w:val="18"/>
        </w:rPr>
        <w:t xml:space="preserve"> </w:t>
      </w:r>
      <w:r w:rsidRPr="00AB0FB0">
        <w:rPr>
          <w:sz w:val="18"/>
        </w:rPr>
        <w:t xml:space="preserve">(enthalpic differences due to hydrogen-bonding effects) and </w:t>
      </w:r>
      <m:oMath>
        <m:sSub>
          <m:sSubPr>
            <m:ctrlPr>
              <w:rPr>
                <w:rFonts w:ascii="Cambria Math" w:hAnsi="Cambria Math"/>
                <w:i/>
                <w:sz w:val="18"/>
              </w:rPr>
            </m:ctrlPr>
          </m:sSubPr>
          <m:e>
            <m:r>
              <w:rPr>
                <w:rFonts w:ascii="Cambria Math" w:hAnsi="Cambria Math"/>
                <w:sz w:val="18"/>
              </w:rPr>
              <m:t>l</m:t>
            </m:r>
          </m:e>
          <m:sub>
            <m:r>
              <w:rPr>
                <w:rFonts w:ascii="Cambria Math" w:hAnsi="Cambria Math"/>
                <w:sz w:val="18"/>
              </w:rPr>
              <m:t>i,j</m:t>
            </m:r>
          </m:sub>
        </m:sSub>
      </m:oMath>
      <w:r>
        <w:rPr>
          <w:sz w:val="18"/>
        </w:rPr>
        <w:t xml:space="preserve"> </w:t>
      </w:r>
      <w:r w:rsidRPr="00AB0FB0">
        <w:rPr>
          <w:sz w:val="18"/>
        </w:rPr>
        <w:t xml:space="preserve">(entropic differences due to diverse molecular structures of the constituents) using a least-square procedure for each CEoS. Furthermore, it was found that the Yokozeki </w:t>
      </w:r>
      <w:r w:rsidRPr="001C0E35">
        <w:rPr>
          <w:i/>
          <w:iCs/>
          <w:sz w:val="18"/>
        </w:rPr>
        <w:t>alpha</w:t>
      </w:r>
      <w:r w:rsidRPr="00AB0FB0">
        <w:rPr>
          <w:sz w:val="18"/>
        </w:rPr>
        <w:t xml:space="preserve"> function in the CEoS correlates the phase equilibria of some of the </w:t>
      </w:r>
      <w:r w:rsidR="003E1AB7">
        <w:rPr>
          <w:sz w:val="18"/>
        </w:rPr>
        <w:t>G</w:t>
      </w:r>
      <w:r w:rsidRPr="00AB0FB0">
        <w:rPr>
          <w:sz w:val="18"/>
        </w:rPr>
        <w:t xml:space="preserve">as-DES systems slightly better than the Soave </w:t>
      </w:r>
      <w:r w:rsidRPr="001C0E35">
        <w:rPr>
          <w:i/>
          <w:iCs/>
          <w:sz w:val="18"/>
        </w:rPr>
        <w:t>alpha</w:t>
      </w:r>
      <w:r w:rsidRPr="00AB0FB0">
        <w:rPr>
          <w:sz w:val="18"/>
        </w:rPr>
        <w:t xml:space="preserve"> function. Overall speaking, the performance of the present mode</w:t>
      </w:r>
      <w:r w:rsidR="003E1AB7">
        <w:rPr>
          <w:sz w:val="18"/>
        </w:rPr>
        <w:t>l</w:t>
      </w:r>
      <w:r w:rsidRPr="00AB0FB0">
        <w:rPr>
          <w:sz w:val="18"/>
        </w:rPr>
        <w:t>ling approach was quite good in representing the experimental solubility of the aforementioned acid and sour gases in several choline chloride-based DESs within their corresponding experimental uncertainties in the majority of the cases.</w:t>
      </w:r>
    </w:p>
    <w:p w14:paraId="476B2F2E" w14:textId="61187BE5" w:rsidR="00600535" w:rsidRPr="00B57B36" w:rsidRDefault="00600535" w:rsidP="00600535">
      <w:pPr>
        <w:pStyle w:val="CETHeading1"/>
        <w:rPr>
          <w:lang w:val="en-GB"/>
        </w:rPr>
      </w:pPr>
      <w:r w:rsidRPr="00B57B36">
        <w:rPr>
          <w:lang w:val="en-GB"/>
        </w:rPr>
        <w:t>Introduction</w:t>
      </w:r>
    </w:p>
    <w:p w14:paraId="0EE28C64" w14:textId="29C83A26" w:rsidR="00485327" w:rsidRDefault="00485327" w:rsidP="0086587C">
      <w:pPr>
        <w:pStyle w:val="CETheadingx"/>
        <w:rPr>
          <w:noProof/>
          <w:lang w:val="en-GB"/>
        </w:rPr>
      </w:pPr>
      <w:r w:rsidRPr="00485327">
        <w:rPr>
          <w:noProof/>
          <w:lang w:val="en-GB"/>
        </w:rPr>
        <w:t xml:space="preserve">A deep eutectic solvent (DES) is a mixture of two solid components known as HBA (hydrogen bond acceptor) and HBD (hydrogen bond donor), the resulting mixture is a liquid at room temperature. A very popular compound widely used to synthesize DESs, due to its cost and availability, is the quaternary ammonium salt of choline chloride, this salt mixed with hydrogen bond donors such as urea, glycerol and ethylene glycol, produces the so-called DESs based on choline chloride </w:t>
      </w:r>
      <w:r w:rsidR="00CF4188">
        <w:rPr>
          <w:noProof/>
          <w:lang w:val="en-GB"/>
        </w:rPr>
        <w:t>(Moura et al., 2021)</w:t>
      </w:r>
      <w:r w:rsidRPr="00485327">
        <w:rPr>
          <w:noProof/>
          <w:lang w:val="en-GB"/>
        </w:rPr>
        <w:t>.</w:t>
      </w:r>
    </w:p>
    <w:p w14:paraId="59970775" w14:textId="77777777" w:rsidR="0086587C" w:rsidRPr="0086587C" w:rsidRDefault="0086587C" w:rsidP="0086587C">
      <w:pPr>
        <w:pStyle w:val="CETBodytext"/>
        <w:rPr>
          <w:lang w:val="en-GB"/>
        </w:rPr>
      </w:pPr>
    </w:p>
    <w:p w14:paraId="78A36AA6" w14:textId="2277C86E" w:rsidR="00485327" w:rsidRPr="00485327" w:rsidRDefault="00485327" w:rsidP="0086587C">
      <w:pPr>
        <w:pStyle w:val="CETBodytext"/>
        <w:rPr>
          <w:noProof/>
          <w:lang w:val="en-GB"/>
        </w:rPr>
      </w:pPr>
      <w:r w:rsidRPr="00485327">
        <w:rPr>
          <w:noProof/>
          <w:lang w:val="en-GB"/>
        </w:rPr>
        <w:t>Choline</w:t>
      </w:r>
      <w:r w:rsidR="00DA115E">
        <w:rPr>
          <w:noProof/>
          <w:lang w:val="en-GB"/>
        </w:rPr>
        <w:t xml:space="preserve"> chloride </w:t>
      </w:r>
      <w:r w:rsidRPr="00485327">
        <w:rPr>
          <w:noProof/>
          <w:lang w:val="en-GB"/>
        </w:rPr>
        <w:t>based DESs possess low vapo</w:t>
      </w:r>
      <w:r w:rsidR="00131C77">
        <w:rPr>
          <w:noProof/>
          <w:lang w:val="en-GB"/>
        </w:rPr>
        <w:t>u</w:t>
      </w:r>
      <w:r w:rsidRPr="00485327">
        <w:rPr>
          <w:noProof/>
          <w:lang w:val="en-GB"/>
        </w:rPr>
        <w:t>r pressures, low toxicity and are non-flammable, thus the use of these solvents has been considered in different areas of science</w:t>
      </w:r>
      <w:r w:rsidR="00DA115E">
        <w:rPr>
          <w:noProof/>
          <w:lang w:val="en-GB"/>
        </w:rPr>
        <w:t xml:space="preserve">, for example, </w:t>
      </w:r>
      <w:r w:rsidRPr="00485327">
        <w:rPr>
          <w:noProof/>
          <w:lang w:val="en-GB"/>
        </w:rPr>
        <w:t xml:space="preserve">pharmaceutics, electro-chemistry, separation processes and catalysis </w:t>
      </w:r>
      <w:r w:rsidR="00045A0E">
        <w:rPr>
          <w:noProof/>
          <w:lang w:val="en-GB"/>
        </w:rPr>
        <w:t>(Moura et al., 2021)</w:t>
      </w:r>
      <w:r w:rsidRPr="00485327">
        <w:rPr>
          <w:noProof/>
          <w:lang w:val="en-GB"/>
        </w:rPr>
        <w:t xml:space="preserve">. One of the most important contributions of these solvents is their application in the capture/separation of toxic gases </w:t>
      </w:r>
      <w:r w:rsidR="00DA115E">
        <w:rPr>
          <w:noProof/>
          <w:lang w:val="en-GB"/>
        </w:rPr>
        <w:t>such as</w:t>
      </w:r>
      <w:r w:rsidRPr="00485327">
        <w:rPr>
          <w:noProof/>
          <w:lang w:val="en-GB"/>
        </w:rPr>
        <w:t xml:space="preserve"> CO</w:t>
      </w:r>
      <w:r w:rsidRPr="00485327">
        <w:rPr>
          <w:noProof/>
          <w:vertAlign w:val="subscript"/>
          <w:lang w:val="en-GB"/>
        </w:rPr>
        <w:t>2</w:t>
      </w:r>
      <w:r w:rsidRPr="00485327">
        <w:rPr>
          <w:noProof/>
          <w:lang w:val="en-GB"/>
        </w:rPr>
        <w:t>, H</w:t>
      </w:r>
      <w:r w:rsidRPr="00485327">
        <w:rPr>
          <w:noProof/>
          <w:vertAlign w:val="subscript"/>
          <w:lang w:val="en-GB"/>
        </w:rPr>
        <w:t>2</w:t>
      </w:r>
      <w:r w:rsidRPr="00485327">
        <w:rPr>
          <w:noProof/>
          <w:lang w:val="en-GB"/>
        </w:rPr>
        <w:t>S, NO</w:t>
      </w:r>
      <w:r w:rsidRPr="00485327">
        <w:rPr>
          <w:noProof/>
          <w:vertAlign w:val="subscript"/>
          <w:lang w:val="en-GB"/>
        </w:rPr>
        <w:t>x</w:t>
      </w:r>
      <w:r w:rsidRPr="00485327">
        <w:rPr>
          <w:noProof/>
          <w:lang w:val="en-GB"/>
        </w:rPr>
        <w:t xml:space="preserve">, etc. It has been </w:t>
      </w:r>
      <w:r>
        <w:rPr>
          <w:noProof/>
          <w:lang w:val="en-GB"/>
        </w:rPr>
        <w:t>demonstrated</w:t>
      </w:r>
      <w:r w:rsidRPr="00485327">
        <w:rPr>
          <w:noProof/>
          <w:lang w:val="en-GB"/>
        </w:rPr>
        <w:t xml:space="preserve"> that several choline chloride-based DESs are capable of separating the previously mentioned gases and have been considered as an alternative to another solvents called "Ionic Liquids" or ILs, which are deemed as being high cost and environmentally unfriendly. Although DESs share similar physicochemical properties with ILs, the formers have the advantage of being able to be synthesized at a low cost therefore they are the perfect choice for using in various large-scale industrial processes since they can be produced in large quantities, in less time and at an affordable cost </w:t>
      </w:r>
      <w:r w:rsidR="00045A0E">
        <w:rPr>
          <w:noProof/>
          <w:lang w:val="en-GB"/>
        </w:rPr>
        <w:t>(García et al., 2015)</w:t>
      </w:r>
      <w:r w:rsidRPr="00485327">
        <w:rPr>
          <w:noProof/>
          <w:lang w:val="en-GB"/>
        </w:rPr>
        <w:t xml:space="preserve">. </w:t>
      </w:r>
      <w:r w:rsidR="00B170F8">
        <w:rPr>
          <w:noProof/>
          <w:lang w:val="en-GB"/>
        </w:rPr>
        <w:t>Several authors including</w:t>
      </w:r>
      <w:r w:rsidR="00DA115E">
        <w:rPr>
          <w:noProof/>
          <w:lang w:val="en-GB"/>
        </w:rPr>
        <w:t xml:space="preserve"> </w:t>
      </w:r>
      <w:r w:rsidRPr="00485327">
        <w:rPr>
          <w:noProof/>
          <w:lang w:val="en-GB"/>
        </w:rPr>
        <w:t>Rhoda et al.</w:t>
      </w:r>
      <w:r w:rsidR="00512130">
        <w:rPr>
          <w:noProof/>
          <w:lang w:val="en-GB"/>
        </w:rPr>
        <w:t xml:space="preserve"> (2013)</w:t>
      </w:r>
      <w:r w:rsidRPr="00485327">
        <w:rPr>
          <w:noProof/>
          <w:lang w:val="en-GB"/>
        </w:rPr>
        <w:t>, Li et al.</w:t>
      </w:r>
      <w:r w:rsidR="00512130">
        <w:rPr>
          <w:noProof/>
          <w:lang w:val="en-GB"/>
        </w:rPr>
        <w:t xml:space="preserve"> (2022)</w:t>
      </w:r>
      <w:r w:rsidRPr="00485327">
        <w:rPr>
          <w:noProof/>
          <w:lang w:val="en-GB"/>
        </w:rPr>
        <w:t>, and Yang et al.</w:t>
      </w:r>
      <w:r w:rsidR="00512130">
        <w:rPr>
          <w:noProof/>
          <w:lang w:val="en-GB"/>
        </w:rPr>
        <w:t xml:space="preserve"> (2013)</w:t>
      </w:r>
      <w:r w:rsidRPr="00485327">
        <w:rPr>
          <w:noProof/>
          <w:lang w:val="en-GB"/>
        </w:rPr>
        <w:t xml:space="preserve"> have determined the solubility of different gases in </w:t>
      </w:r>
      <w:r w:rsidR="00580058">
        <w:rPr>
          <w:noProof/>
          <w:lang w:val="en-GB"/>
        </w:rPr>
        <w:t xml:space="preserve">various choline chloride based </w:t>
      </w:r>
      <w:r w:rsidRPr="00485327">
        <w:rPr>
          <w:noProof/>
          <w:lang w:val="en-GB"/>
        </w:rPr>
        <w:t xml:space="preserve">DESs, and thermodynamic models have been proposed to evaluate the </w:t>
      </w:r>
      <w:r w:rsidR="00204030">
        <w:rPr>
          <w:noProof/>
          <w:lang w:val="en-GB"/>
        </w:rPr>
        <w:t>phase behaviour of</w:t>
      </w:r>
      <w:r w:rsidRPr="00485327">
        <w:rPr>
          <w:noProof/>
          <w:lang w:val="en-GB"/>
        </w:rPr>
        <w:t xml:space="preserve"> these Gas-DES systems. Among the most common used thermodynamic models are those that utili</w:t>
      </w:r>
      <w:r w:rsidR="00801FD0">
        <w:rPr>
          <w:noProof/>
          <w:lang w:val="en-GB"/>
        </w:rPr>
        <w:t>s</w:t>
      </w:r>
      <w:r w:rsidRPr="00485327">
        <w:rPr>
          <w:noProof/>
          <w:lang w:val="en-GB"/>
        </w:rPr>
        <w:t xml:space="preserve">e the equations of state of van der Waals, Redlich-Kwong, Peng-Robinson, Soave-Redlich-Kwong, </w:t>
      </w:r>
      <w:r w:rsidRPr="00485327">
        <w:rPr>
          <w:noProof/>
          <w:lang w:val="en-GB"/>
        </w:rPr>
        <w:lastRenderedPageBreak/>
        <w:t xml:space="preserve">COSMO-RS, PC-SAFT, CPA, etc., </w:t>
      </w:r>
      <w:r w:rsidR="00DA115E">
        <w:rPr>
          <w:noProof/>
          <w:lang w:val="en-GB"/>
        </w:rPr>
        <w:t xml:space="preserve">some of them </w:t>
      </w:r>
      <w:r w:rsidRPr="00485327">
        <w:rPr>
          <w:noProof/>
          <w:lang w:val="en-GB"/>
        </w:rPr>
        <w:t>coupled with activity coefficient models such as NRTL and UNIQUAC</w:t>
      </w:r>
      <w:r>
        <w:rPr>
          <w:noProof/>
          <w:lang w:val="en-GB"/>
        </w:rPr>
        <w:t>.</w:t>
      </w:r>
    </w:p>
    <w:p w14:paraId="6E6CBBED" w14:textId="77777777" w:rsidR="00B170F8" w:rsidRDefault="00B170F8" w:rsidP="0086587C">
      <w:pPr>
        <w:pStyle w:val="CETBodytext"/>
      </w:pPr>
    </w:p>
    <w:p w14:paraId="303F4A75" w14:textId="1D156D1C" w:rsidR="00485327" w:rsidRDefault="00485327" w:rsidP="0086587C">
      <w:pPr>
        <w:pStyle w:val="CETBodytext"/>
      </w:pPr>
      <w:r>
        <w:t xml:space="preserve">A thermodynamic model that </w:t>
      </w:r>
      <w:r w:rsidR="00F929BE">
        <w:t xml:space="preserve">uses either </w:t>
      </w:r>
      <w:r>
        <w:t xml:space="preserve">the Peng-Robinson </w:t>
      </w:r>
      <w:r w:rsidR="00F929BE">
        <w:t>or the</w:t>
      </w:r>
      <w:r>
        <w:t xml:space="preserve"> Soave-Redlich-</w:t>
      </w:r>
      <w:r w:rsidR="00204030">
        <w:t>Kw</w:t>
      </w:r>
      <w:r>
        <w:t xml:space="preserve">ong cubic equations of state to correlate the experimental solubility data of various gases in choline chloride based deep eutectic solvents has been proposed in this research work. It should also be stated that </w:t>
      </w:r>
      <w:r w:rsidR="006A2D8B">
        <w:t>to</w:t>
      </w:r>
      <w:r>
        <w:t xml:space="preserve"> get a better fit of the experimental data, the </w:t>
      </w:r>
      <w:r w:rsidRPr="001C0E35">
        <w:rPr>
          <w:i/>
          <w:iCs/>
        </w:rPr>
        <w:t>alpha</w:t>
      </w:r>
      <w:r>
        <w:t xml:space="preserve"> function originally presented by author Yokozeki</w:t>
      </w:r>
      <w:r w:rsidR="00F84A39">
        <w:t xml:space="preserve"> </w:t>
      </w:r>
      <w:r>
        <w:t>has been included in the model.</w:t>
      </w:r>
    </w:p>
    <w:p w14:paraId="6F9E33D9" w14:textId="5C6F0F6F" w:rsidR="00B53F79" w:rsidRDefault="00A87A2C" w:rsidP="00B53F79">
      <w:pPr>
        <w:pStyle w:val="CETHeading1"/>
      </w:pPr>
      <w:r>
        <w:t>Model Description</w:t>
      </w:r>
    </w:p>
    <w:p w14:paraId="7D25B934" w14:textId="00A212A6" w:rsidR="00F84A39" w:rsidRDefault="00F84A39" w:rsidP="0086587C">
      <w:pPr>
        <w:pStyle w:val="ListParagraph"/>
        <w:ind w:left="0"/>
      </w:pPr>
      <w:r>
        <w:t xml:space="preserve">Experimental solubility data were </w:t>
      </w:r>
      <w:r w:rsidR="000F186C">
        <w:t>fitted</w:t>
      </w:r>
      <w:r>
        <w:t xml:space="preserve"> </w:t>
      </w:r>
      <w:r w:rsidR="00F929BE">
        <w:t>by means of</w:t>
      </w:r>
      <w:r>
        <w:t xml:space="preserve"> the cubic equations of state of Peng-Robinson and Soave-Redlich-Kwong coupled with the classic van der Waals mixing rules </w:t>
      </w:r>
      <w:r w:rsidR="00F929BE">
        <w:t xml:space="preserve">by </w:t>
      </w:r>
      <w:r w:rsidR="006A2D8B">
        <w:t>optimising</w:t>
      </w:r>
      <w:r w:rsidR="00F929BE">
        <w:t xml:space="preserve"> the</w:t>
      </w:r>
      <w:r>
        <w:t xml:space="preserve"> value for the binary interaction parameters </w:t>
      </w:r>
      <m:oMath>
        <m:sSub>
          <m:sSubPr>
            <m:ctrlPr>
              <w:rPr>
                <w:rFonts w:ascii="Cambria Math" w:hAnsi="Cambria Math"/>
                <w:i/>
              </w:rPr>
            </m:ctrlPr>
          </m:sSubPr>
          <m:e>
            <m:r>
              <w:rPr>
                <w:rFonts w:ascii="Cambria Math" w:hAnsi="Cambria Math"/>
              </w:rPr>
              <m:t>k</m:t>
            </m:r>
          </m:e>
          <m:sub>
            <m:r>
              <w:rPr>
                <w:rFonts w:ascii="Cambria Math" w:hAnsi="Cambria Math"/>
              </w:rPr>
              <m:t>i,j</m:t>
            </m:r>
          </m:sub>
        </m:sSub>
      </m:oMath>
      <w:r>
        <w:t xml:space="preserve"> (energetic interactions) and </w:t>
      </w:r>
      <m:oMath>
        <m:sSub>
          <m:sSubPr>
            <m:ctrlPr>
              <w:rPr>
                <w:rFonts w:ascii="Cambria Math" w:hAnsi="Cambria Math"/>
                <w:i/>
              </w:rPr>
            </m:ctrlPr>
          </m:sSubPr>
          <m:e>
            <m:r>
              <w:rPr>
                <w:rFonts w:ascii="Cambria Math" w:hAnsi="Cambria Math"/>
              </w:rPr>
              <m:t>l</m:t>
            </m:r>
          </m:e>
          <m:sub>
            <m:r>
              <w:rPr>
                <w:rFonts w:ascii="Cambria Math" w:hAnsi="Cambria Math"/>
              </w:rPr>
              <m:t>i,j</m:t>
            </m:r>
          </m:sub>
        </m:sSub>
      </m:oMath>
      <w:r>
        <w:t xml:space="preserve"> (size and shape</w:t>
      </w:r>
      <w:r w:rsidRPr="00F84A39">
        <w:t xml:space="preserve"> </w:t>
      </w:r>
      <w:r>
        <w:t xml:space="preserve">differences) for each CEoS </w:t>
      </w:r>
      <w:r w:rsidR="006A2D8B">
        <w:t>to</w:t>
      </w:r>
      <w:r>
        <w:t xml:space="preserve"> minimi</w:t>
      </w:r>
      <w:r w:rsidR="00801FD0">
        <w:t>s</w:t>
      </w:r>
      <w:r>
        <w:t>e the relative error</w:t>
      </w:r>
      <w:r w:rsidR="000F186C">
        <w:t>s</w:t>
      </w:r>
      <w:r>
        <w:t xml:space="preserve"> between the experimental </w:t>
      </w:r>
      <w:r w:rsidR="000F186C">
        <w:t xml:space="preserve">equilibrium </w:t>
      </w:r>
      <w:r>
        <w:t xml:space="preserve">data and the </w:t>
      </w:r>
      <w:r w:rsidR="00204030">
        <w:t xml:space="preserve">ones </w:t>
      </w:r>
      <w:r>
        <w:t>calculated by the equation of state</w:t>
      </w:r>
      <w:r w:rsidR="000F186C">
        <w:t>.</w:t>
      </w:r>
    </w:p>
    <w:p w14:paraId="1098A5F9" w14:textId="77777777" w:rsidR="003914EB" w:rsidRDefault="003914EB" w:rsidP="00F84A39">
      <w:pPr>
        <w:pStyle w:val="ListParagraph"/>
        <w:ind w:left="0"/>
      </w:pPr>
    </w:p>
    <w:p w14:paraId="0E0CCF37" w14:textId="1CF4E6F4" w:rsidR="00F84A39" w:rsidRDefault="00970EBE" w:rsidP="00F84A39">
      <w:pPr>
        <w:pStyle w:val="ListParagraph"/>
        <w:ind w:left="0"/>
      </w:pPr>
      <w:r>
        <w:t>Soave’s equation</w:t>
      </w:r>
      <w:r w:rsidR="003914EB">
        <w:t xml:space="preserve"> (Soave</w:t>
      </w:r>
      <w:r w:rsidR="00512130">
        <w:t>, 1972</w:t>
      </w:r>
      <w:r w:rsidR="003914EB">
        <w:t>)</w:t>
      </w:r>
      <w:r>
        <w:t>, commonly known as Soave-Red</w:t>
      </w:r>
      <w:r w:rsidR="003914EB">
        <w:t>lich-Kwong equation or SRK is given by:</w:t>
      </w:r>
    </w:p>
    <w:tbl>
      <w:tblPr>
        <w:tblW w:w="8640" w:type="dxa"/>
        <w:tblInd w:w="72" w:type="dxa"/>
        <w:tblLayout w:type="fixed"/>
        <w:tblLook w:val="04A0" w:firstRow="1" w:lastRow="0" w:firstColumn="1" w:lastColumn="0" w:noHBand="0" w:noVBand="1"/>
      </w:tblPr>
      <w:tblGrid>
        <w:gridCol w:w="7441"/>
        <w:gridCol w:w="1199"/>
      </w:tblGrid>
      <w:tr w:rsidR="003914EB" w14:paraId="516C4BC5" w14:textId="77777777" w:rsidTr="00141E5D">
        <w:trPr>
          <w:trHeight w:val="680"/>
        </w:trPr>
        <w:tc>
          <w:tcPr>
            <w:tcW w:w="7441" w:type="dxa"/>
            <w:shd w:val="clear" w:color="auto" w:fill="auto"/>
            <w:vAlign w:val="center"/>
          </w:tcPr>
          <w:p w14:paraId="06174B5C" w14:textId="5F72B0B9" w:rsidR="003914EB" w:rsidRDefault="00141E5D" w:rsidP="00EF454F">
            <w:pPr>
              <w:pStyle w:val="CETEquation"/>
              <w:widowControl w:val="0"/>
            </w:pPr>
            <m:oMathPara>
              <m:oMathParaPr>
                <m:jc m:val="left"/>
              </m:oMathParaPr>
              <m:oMath>
                <m:r>
                  <w:rPr>
                    <w:rFonts w:ascii="Cambria Math" w:eastAsiaTheme="minorEastAsia" w:hAnsi="Cambria Math" w:cs="Arial"/>
                  </w:rPr>
                  <m:t>P=</m:t>
                </m:r>
                <m:f>
                  <m:fPr>
                    <m:ctrlPr>
                      <w:rPr>
                        <w:rFonts w:ascii="Cambria Math" w:eastAsiaTheme="minorEastAsia" w:hAnsi="Cambria Math" w:cs="Arial"/>
                      </w:rPr>
                    </m:ctrlPr>
                  </m:fPr>
                  <m:num>
                    <m:r>
                      <w:rPr>
                        <w:rFonts w:ascii="Cambria Math" w:eastAsiaTheme="minorEastAsia" w:hAnsi="Cambria Math" w:cs="Arial"/>
                      </w:rPr>
                      <m:t>RT</m:t>
                    </m:r>
                  </m:num>
                  <m:den>
                    <m:r>
                      <w:rPr>
                        <w:rFonts w:ascii="Cambria Math" w:eastAsiaTheme="minorEastAsia" w:hAnsi="Cambria Math" w:cs="Arial"/>
                      </w:rPr>
                      <m:t>V-b</m:t>
                    </m:r>
                  </m:den>
                </m:f>
                <m:r>
                  <w:rPr>
                    <w:rFonts w:ascii="Cambria Math" w:eastAsiaTheme="minorEastAsia" w:hAnsi="Cambria Math" w:cs="Arial"/>
                  </w:rPr>
                  <m:t>-</m:t>
                </m:r>
                <m:f>
                  <m:fPr>
                    <m:ctrlPr>
                      <w:rPr>
                        <w:rFonts w:ascii="Cambria Math" w:eastAsiaTheme="minorEastAsia" w:hAnsi="Cambria Math" w:cs="Arial"/>
                      </w:rPr>
                    </m:ctrlPr>
                  </m:fPr>
                  <m:num>
                    <m:sSub>
                      <m:sSubPr>
                        <m:ctrlPr>
                          <w:rPr>
                            <w:rFonts w:ascii="Cambria Math" w:eastAsiaTheme="minorEastAsia" w:hAnsi="Cambria Math" w:cs="Arial"/>
                          </w:rPr>
                        </m:ctrlPr>
                      </m:sSubPr>
                      <m:e>
                        <m:r>
                          <w:rPr>
                            <w:rFonts w:ascii="Cambria Math" w:eastAsiaTheme="minorEastAsia" w:hAnsi="Cambria Math" w:cs="Arial"/>
                          </w:rPr>
                          <m:t>a</m:t>
                        </m:r>
                      </m:e>
                      <m:sub>
                        <m:r>
                          <w:rPr>
                            <w:rFonts w:ascii="Cambria Math" w:eastAsiaTheme="minorEastAsia" w:hAnsi="Cambria Math" w:cs="Arial"/>
                          </w:rPr>
                          <m:t>c</m:t>
                        </m:r>
                      </m:sub>
                    </m:sSub>
                    <m:r>
                      <w:rPr>
                        <w:rFonts w:ascii="Cambria Math" w:eastAsiaTheme="minorEastAsia" w:hAnsi="Cambria Math" w:cs="Arial"/>
                      </w:rPr>
                      <m:t>α</m:t>
                    </m:r>
                    <m:d>
                      <m:dPr>
                        <m:ctrlPr>
                          <w:rPr>
                            <w:rFonts w:ascii="Cambria Math" w:eastAsiaTheme="minorEastAsia" w:hAnsi="Cambria Math" w:cs="Arial"/>
                          </w:rPr>
                        </m:ctrlPr>
                      </m:dPr>
                      <m:e>
                        <m:sSub>
                          <m:sSubPr>
                            <m:ctrlPr>
                              <w:rPr>
                                <w:rFonts w:ascii="Cambria Math" w:eastAsiaTheme="minorEastAsia" w:hAnsi="Cambria Math" w:cs="Arial"/>
                              </w:rPr>
                            </m:ctrlPr>
                          </m:sSubPr>
                          <m:e>
                            <m:r>
                              <w:rPr>
                                <w:rFonts w:ascii="Cambria Math" w:eastAsiaTheme="minorEastAsia" w:hAnsi="Cambria Math" w:cs="Arial"/>
                              </w:rPr>
                              <m:t>T</m:t>
                            </m:r>
                          </m:e>
                          <m:sub>
                            <m:r>
                              <m:rPr>
                                <m:sty m:val="p"/>
                              </m:rPr>
                              <w:rPr>
                                <w:rFonts w:ascii="Cambria Math" w:eastAsiaTheme="minorEastAsia" w:hAnsi="Cambria Math" w:cs="Arial"/>
                              </w:rPr>
                              <m:t>R</m:t>
                            </m:r>
                          </m:sub>
                        </m:sSub>
                        <m:r>
                          <w:rPr>
                            <w:rFonts w:ascii="Cambria Math" w:eastAsiaTheme="minorEastAsia" w:hAnsi="Cambria Math" w:cs="Arial"/>
                          </w:rPr>
                          <m:t>,ω</m:t>
                        </m:r>
                      </m:e>
                    </m:d>
                  </m:num>
                  <m:den>
                    <m:r>
                      <w:rPr>
                        <w:rFonts w:ascii="Cambria Math" w:eastAsiaTheme="minorEastAsia" w:hAnsi="Cambria Math" w:cs="Arial"/>
                      </w:rPr>
                      <m:t>V(V+b)</m:t>
                    </m:r>
                  </m:den>
                </m:f>
              </m:oMath>
            </m:oMathPara>
          </w:p>
        </w:tc>
        <w:tc>
          <w:tcPr>
            <w:tcW w:w="1199" w:type="dxa"/>
            <w:shd w:val="clear" w:color="auto" w:fill="auto"/>
            <w:vAlign w:val="center"/>
          </w:tcPr>
          <w:p w14:paraId="46B2B8E7" w14:textId="4DBF14CC" w:rsidR="00C85AFB" w:rsidRPr="00C85AFB" w:rsidRDefault="003914EB" w:rsidP="00C85AFB">
            <w:pPr>
              <w:pStyle w:val="CETEquation"/>
              <w:widowControl w:val="0"/>
              <w:jc w:val="right"/>
            </w:pPr>
            <w:r>
              <w:t>(1)</w:t>
            </w:r>
          </w:p>
        </w:tc>
      </w:tr>
      <w:tr w:rsidR="00C85AFB" w14:paraId="22C837C5" w14:textId="77777777" w:rsidTr="00141E5D">
        <w:trPr>
          <w:trHeight w:val="283"/>
        </w:trPr>
        <w:tc>
          <w:tcPr>
            <w:tcW w:w="7441" w:type="dxa"/>
            <w:shd w:val="clear" w:color="auto" w:fill="auto"/>
            <w:vAlign w:val="center"/>
          </w:tcPr>
          <w:p w14:paraId="0E408CDF" w14:textId="4453766E" w:rsidR="00C85AFB" w:rsidRDefault="002A1DCD" w:rsidP="00EF454F">
            <w:pPr>
              <w:pStyle w:val="CETEquation"/>
              <w:widowControl w:val="0"/>
            </w:pPr>
            <w:r>
              <w:t>with,</w:t>
            </w:r>
          </w:p>
        </w:tc>
        <w:tc>
          <w:tcPr>
            <w:tcW w:w="1199" w:type="dxa"/>
            <w:shd w:val="clear" w:color="auto" w:fill="auto"/>
            <w:vAlign w:val="center"/>
          </w:tcPr>
          <w:p w14:paraId="5D691144" w14:textId="77777777" w:rsidR="00C85AFB" w:rsidRDefault="00C85AFB" w:rsidP="00C85AFB">
            <w:pPr>
              <w:pStyle w:val="CETEquation"/>
              <w:widowControl w:val="0"/>
              <w:jc w:val="right"/>
            </w:pPr>
          </w:p>
        </w:tc>
      </w:tr>
      <w:tr w:rsidR="00E038D1" w14:paraId="2207B07F" w14:textId="77777777" w:rsidTr="00452E69">
        <w:trPr>
          <w:trHeight w:val="454"/>
        </w:trPr>
        <w:tc>
          <w:tcPr>
            <w:tcW w:w="7441" w:type="dxa"/>
            <w:shd w:val="clear" w:color="auto" w:fill="auto"/>
            <w:vAlign w:val="center"/>
          </w:tcPr>
          <w:p w14:paraId="778D97BC" w14:textId="3C86CF96" w:rsidR="00E038D1" w:rsidRDefault="00000000" w:rsidP="00EF454F">
            <w:pPr>
              <w:pStyle w:val="CETEquation"/>
              <w:widowControl w:val="0"/>
            </w:pPr>
            <m:oMathPara>
              <m:oMathParaPr>
                <m:jc m:val="left"/>
              </m:oMathParaPr>
              <m:oMath>
                <m:sSub>
                  <m:sSubPr>
                    <m:ctrlPr>
                      <w:rPr>
                        <w:rFonts w:ascii="Cambria Math" w:eastAsiaTheme="minorEastAsia" w:hAnsi="Cambria Math" w:cs="Arial"/>
                      </w:rPr>
                    </m:ctrlPr>
                  </m:sSubPr>
                  <m:e>
                    <m:r>
                      <w:rPr>
                        <w:rFonts w:ascii="Cambria Math" w:eastAsiaTheme="minorEastAsia" w:hAnsi="Cambria Math" w:cs="Arial"/>
                      </w:rPr>
                      <m:t>a</m:t>
                    </m:r>
                  </m:e>
                  <m:sub>
                    <m:r>
                      <w:rPr>
                        <w:rFonts w:ascii="Cambria Math" w:eastAsiaTheme="minorEastAsia" w:hAnsi="Cambria Math" w:cs="Arial"/>
                      </w:rPr>
                      <m:t>c</m:t>
                    </m:r>
                  </m:sub>
                </m:sSub>
                <m:r>
                  <w:rPr>
                    <w:rFonts w:ascii="Cambria Math" w:eastAsiaTheme="minorEastAsia" w:hAnsi="Cambria Math" w:cs="Arial"/>
                  </w:rPr>
                  <m:t>=0.42748</m:t>
                </m:r>
                <m:f>
                  <m:fPr>
                    <m:ctrlPr>
                      <w:rPr>
                        <w:rFonts w:ascii="Cambria Math" w:eastAsiaTheme="minorEastAsia" w:hAnsi="Cambria Math" w:cs="Arial"/>
                      </w:rPr>
                    </m:ctrlPr>
                  </m:fPr>
                  <m:num>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sSubSup>
                      <m:sSubSupPr>
                        <m:ctrlPr>
                          <w:rPr>
                            <w:rFonts w:ascii="Cambria Math" w:eastAsiaTheme="minorEastAsia" w:hAnsi="Cambria Math" w:cs="Arial"/>
                          </w:rPr>
                        </m:ctrlPr>
                      </m:sSubSupPr>
                      <m:e>
                        <m:r>
                          <w:rPr>
                            <w:rFonts w:ascii="Cambria Math" w:eastAsiaTheme="minorEastAsia" w:hAnsi="Cambria Math" w:cs="Arial"/>
                          </w:rPr>
                          <m:t>T</m:t>
                        </m:r>
                      </m:e>
                      <m:sub>
                        <m:r>
                          <m:rPr>
                            <m:sty m:val="p"/>
                          </m:rPr>
                          <w:rPr>
                            <w:rFonts w:ascii="Cambria Math" w:eastAsiaTheme="minorEastAsia" w:hAnsi="Cambria Math" w:cs="Arial"/>
                          </w:rPr>
                          <m:t>c</m:t>
                        </m:r>
                      </m:sub>
                      <m:sup>
                        <m:r>
                          <w:rPr>
                            <w:rFonts w:ascii="Cambria Math" w:eastAsiaTheme="minorEastAsia" w:hAnsi="Cambria Math" w:cs="Arial"/>
                          </w:rPr>
                          <m:t>2</m:t>
                        </m:r>
                      </m:sup>
                    </m:sSubSup>
                  </m:num>
                  <m:den>
                    <m:sSub>
                      <m:sSubPr>
                        <m:ctrlPr>
                          <w:rPr>
                            <w:rFonts w:ascii="Cambria Math" w:eastAsiaTheme="minorEastAsia" w:hAnsi="Cambria Math" w:cs="Arial"/>
                          </w:rPr>
                        </m:ctrlPr>
                      </m:sSubPr>
                      <m:e>
                        <m:r>
                          <w:rPr>
                            <w:rFonts w:ascii="Cambria Math" w:eastAsiaTheme="minorEastAsia" w:hAnsi="Cambria Math" w:cs="Arial"/>
                          </w:rPr>
                          <m:t>P</m:t>
                        </m:r>
                      </m:e>
                      <m:sub>
                        <m:r>
                          <m:rPr>
                            <m:sty m:val="p"/>
                          </m:rPr>
                          <w:rPr>
                            <w:rFonts w:ascii="Cambria Math" w:eastAsiaTheme="minorEastAsia" w:hAnsi="Cambria Math" w:cs="Arial"/>
                          </w:rPr>
                          <m:t>c</m:t>
                        </m:r>
                      </m:sub>
                    </m:sSub>
                  </m:den>
                </m:f>
              </m:oMath>
            </m:oMathPara>
          </w:p>
        </w:tc>
        <w:tc>
          <w:tcPr>
            <w:tcW w:w="1199" w:type="dxa"/>
            <w:shd w:val="clear" w:color="auto" w:fill="auto"/>
            <w:vAlign w:val="center"/>
          </w:tcPr>
          <w:p w14:paraId="0E02F1EC" w14:textId="77777777" w:rsidR="00E038D1" w:rsidRDefault="00E038D1" w:rsidP="00EF454F">
            <w:pPr>
              <w:pStyle w:val="CETEquation"/>
              <w:widowControl w:val="0"/>
              <w:jc w:val="right"/>
            </w:pPr>
            <w:r>
              <w:t>(2)</w:t>
            </w:r>
          </w:p>
        </w:tc>
      </w:tr>
      <w:tr w:rsidR="00E038D1" w14:paraId="072BF422" w14:textId="77777777" w:rsidTr="00452E69">
        <w:trPr>
          <w:trHeight w:val="454"/>
        </w:trPr>
        <w:tc>
          <w:tcPr>
            <w:tcW w:w="7441" w:type="dxa"/>
            <w:shd w:val="clear" w:color="auto" w:fill="auto"/>
            <w:vAlign w:val="center"/>
          </w:tcPr>
          <w:p w14:paraId="1C0AAFBC" w14:textId="2BA136A7" w:rsidR="00E038D1" w:rsidRDefault="00141E5D" w:rsidP="00EF454F">
            <w:pPr>
              <w:pStyle w:val="CETEquation"/>
              <w:widowControl w:val="0"/>
            </w:pPr>
            <m:oMath>
              <m:r>
                <w:rPr>
                  <w:rFonts w:ascii="Cambria Math" w:eastAsiaTheme="minorEastAsia" w:hAnsi="Cambria Math" w:cs="Arial"/>
                </w:rPr>
                <m:t>α</m:t>
              </m:r>
              <m:d>
                <m:dPr>
                  <m:ctrlPr>
                    <w:rPr>
                      <w:rFonts w:ascii="Cambria Math" w:eastAsiaTheme="minorEastAsia" w:hAnsi="Cambria Math" w:cs="Arial"/>
                    </w:rPr>
                  </m:ctrlPr>
                </m:dPr>
                <m:e>
                  <m:sSub>
                    <m:sSubPr>
                      <m:ctrlPr>
                        <w:rPr>
                          <w:rFonts w:ascii="Cambria Math" w:eastAsiaTheme="minorEastAsia" w:hAnsi="Cambria Math" w:cs="Arial"/>
                        </w:rPr>
                      </m:ctrlPr>
                    </m:sSubPr>
                    <m:e>
                      <m:r>
                        <w:rPr>
                          <w:rFonts w:ascii="Cambria Math" w:eastAsiaTheme="minorEastAsia" w:hAnsi="Cambria Math" w:cs="Arial"/>
                        </w:rPr>
                        <m:t>T</m:t>
                      </m:r>
                    </m:e>
                    <m:sub>
                      <m:r>
                        <m:rPr>
                          <m:sty m:val="p"/>
                        </m:rPr>
                        <w:rPr>
                          <w:rFonts w:ascii="Cambria Math" w:eastAsiaTheme="minorEastAsia" w:hAnsi="Cambria Math" w:cs="Arial"/>
                        </w:rPr>
                        <m:t>R</m:t>
                      </m:r>
                    </m:sub>
                  </m:sSub>
                  <m:r>
                    <w:rPr>
                      <w:rFonts w:ascii="Cambria Math" w:eastAsiaTheme="minorEastAsia" w:hAnsi="Cambria Math" w:cs="Arial"/>
                    </w:rPr>
                    <m:t>,ω</m:t>
                  </m:r>
                </m:e>
              </m:d>
              <m:r>
                <w:rPr>
                  <w:rFonts w:ascii="Cambria Math" w:eastAsiaTheme="minorEastAsia" w:hAnsi="Cambria Math" w:cs="Arial"/>
                </w:rPr>
                <m:t>=</m:t>
              </m:r>
              <m:sSup>
                <m:sSupPr>
                  <m:ctrlPr>
                    <w:rPr>
                      <w:rFonts w:ascii="Cambria Math" w:eastAsiaTheme="minorEastAsia" w:hAnsi="Cambria Math" w:cs="Arial"/>
                    </w:rPr>
                  </m:ctrlPr>
                </m:sSupPr>
                <m:e>
                  <m:d>
                    <m:dPr>
                      <m:begChr m:val="["/>
                      <m:endChr m:val="]"/>
                      <m:ctrlPr>
                        <w:rPr>
                          <w:rFonts w:ascii="Cambria Math" w:eastAsiaTheme="minorEastAsia" w:hAnsi="Cambria Math" w:cs="Arial"/>
                        </w:rPr>
                      </m:ctrlPr>
                    </m:dPr>
                    <m:e>
                      <m:r>
                        <w:rPr>
                          <w:rFonts w:ascii="Cambria Math" w:eastAsiaTheme="minorEastAsia" w:hAnsi="Cambria Math" w:cs="Arial"/>
                        </w:rPr>
                        <m:t>1+m</m:t>
                      </m:r>
                      <m:d>
                        <m:dPr>
                          <m:ctrlPr>
                            <w:rPr>
                              <w:rFonts w:ascii="Cambria Math" w:eastAsiaTheme="minorEastAsia" w:hAnsi="Cambria Math" w:cs="Arial"/>
                            </w:rPr>
                          </m:ctrlPr>
                        </m:dPr>
                        <m:e>
                          <m:r>
                            <w:rPr>
                              <w:rFonts w:ascii="Cambria Math" w:eastAsiaTheme="minorEastAsia" w:hAnsi="Cambria Math" w:cs="Arial"/>
                            </w:rPr>
                            <m:t>1-</m:t>
                          </m:r>
                          <m:sSubSup>
                            <m:sSubSupPr>
                              <m:ctrlPr>
                                <w:rPr>
                                  <w:rFonts w:ascii="Cambria Math" w:eastAsiaTheme="minorEastAsia" w:hAnsi="Cambria Math" w:cs="Arial"/>
                                </w:rPr>
                              </m:ctrlPr>
                            </m:sSubSupPr>
                            <m:e>
                              <m:r>
                                <w:rPr>
                                  <w:rFonts w:ascii="Cambria Math" w:eastAsiaTheme="minorEastAsia" w:hAnsi="Cambria Math" w:cs="Arial"/>
                                </w:rPr>
                                <m:t>T</m:t>
                              </m:r>
                            </m:e>
                            <m:sub>
                              <m:r>
                                <m:rPr>
                                  <m:sty m:val="p"/>
                                </m:rPr>
                                <w:rPr>
                                  <w:rFonts w:ascii="Cambria Math" w:eastAsiaTheme="minorEastAsia" w:hAnsi="Cambria Math" w:cs="Arial"/>
                                </w:rPr>
                                <m:t>R</m:t>
                              </m:r>
                            </m:sub>
                            <m:sup>
                              <m:r>
                                <w:rPr>
                                  <w:rFonts w:ascii="Cambria Math" w:eastAsiaTheme="minorEastAsia" w:hAnsi="Cambria Math" w:cs="Arial"/>
                                </w:rPr>
                                <m:t>0.5</m:t>
                              </m:r>
                            </m:sup>
                          </m:sSubSup>
                        </m:e>
                      </m:d>
                    </m:e>
                  </m:d>
                </m:e>
                <m:sup>
                  <m:r>
                    <w:rPr>
                      <w:rFonts w:ascii="Cambria Math" w:eastAsiaTheme="minorEastAsia" w:hAnsi="Cambria Math" w:cs="Arial"/>
                    </w:rPr>
                    <m:t>2</m:t>
                  </m:r>
                </m:sup>
              </m:sSup>
              <m:r>
                <w:rPr>
                  <w:rFonts w:ascii="Cambria Math" w:eastAsiaTheme="minorEastAsia" w:hAnsi="Cambria Math" w:cs="Arial"/>
                </w:rPr>
                <m:t xml:space="preserve"> </m:t>
              </m:r>
            </m:oMath>
            <w:r>
              <w:t xml:space="preserve">and </w:t>
            </w:r>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p>
        </w:tc>
        <w:tc>
          <w:tcPr>
            <w:tcW w:w="1199" w:type="dxa"/>
            <w:shd w:val="clear" w:color="auto" w:fill="auto"/>
            <w:vAlign w:val="center"/>
          </w:tcPr>
          <w:p w14:paraId="61049098" w14:textId="419C8FB7" w:rsidR="00E038D1" w:rsidRDefault="00141E5D" w:rsidP="00141E5D">
            <w:pPr>
              <w:pStyle w:val="CETEquation"/>
              <w:widowControl w:val="0"/>
              <w:jc w:val="right"/>
            </w:pPr>
            <w:r>
              <w:t xml:space="preserve">      </w:t>
            </w:r>
            <w:r w:rsidR="00E038D1">
              <w:t>(3</w:t>
            </w:r>
            <w:r>
              <w:t>a, 3b</w:t>
            </w:r>
            <w:r w:rsidR="00E038D1">
              <w:t>)</w:t>
            </w:r>
          </w:p>
        </w:tc>
      </w:tr>
      <w:tr w:rsidR="00E038D1" w14:paraId="73024E91" w14:textId="77777777" w:rsidTr="00452E69">
        <w:trPr>
          <w:trHeight w:val="454"/>
        </w:trPr>
        <w:tc>
          <w:tcPr>
            <w:tcW w:w="7441" w:type="dxa"/>
            <w:shd w:val="clear" w:color="auto" w:fill="auto"/>
            <w:vAlign w:val="center"/>
          </w:tcPr>
          <w:p w14:paraId="3B6ED257" w14:textId="2ACFA285" w:rsidR="00E038D1" w:rsidRDefault="003E034C" w:rsidP="00EF454F">
            <w:pPr>
              <w:pStyle w:val="CETEquation"/>
              <w:widowControl w:val="0"/>
            </w:pPr>
            <m:oMathPara>
              <m:oMathParaPr>
                <m:jc m:val="left"/>
              </m:oMathParaPr>
              <m:oMath>
                <m:r>
                  <w:rPr>
                    <w:rFonts w:ascii="Cambria Math" w:eastAsiaTheme="minorEastAsia" w:hAnsi="Cambria Math" w:cs="CMU Serif"/>
                  </w:rPr>
                  <m:t>b=0.08664</m:t>
                </m:r>
                <m:f>
                  <m:fPr>
                    <m:ctrlPr>
                      <w:rPr>
                        <w:rFonts w:ascii="Cambria Math" w:eastAsiaTheme="minorEastAsia" w:hAnsi="Cambria Math" w:cs="CMU Serif"/>
                      </w:rPr>
                    </m:ctrlPr>
                  </m:fPr>
                  <m:num>
                    <m:r>
                      <w:rPr>
                        <w:rFonts w:ascii="Cambria Math" w:eastAsiaTheme="minorEastAsia" w:hAnsi="Cambria Math" w:cs="CMU Serif"/>
                      </w:rPr>
                      <m:t>R</m:t>
                    </m:r>
                    <m:sSub>
                      <m:sSubPr>
                        <m:ctrlPr>
                          <w:rPr>
                            <w:rFonts w:ascii="Cambria Math" w:eastAsiaTheme="minorEastAsia" w:hAnsi="Cambria Math" w:cs="CMU Serif"/>
                          </w:rPr>
                        </m:ctrlPr>
                      </m:sSubPr>
                      <m:e>
                        <m:r>
                          <w:rPr>
                            <w:rFonts w:ascii="Cambria Math" w:eastAsiaTheme="minorEastAsia" w:hAnsi="Cambria Math" w:cs="CMU Serif"/>
                          </w:rPr>
                          <m:t>T</m:t>
                        </m:r>
                      </m:e>
                      <m:sub>
                        <m:r>
                          <w:rPr>
                            <w:rFonts w:ascii="Cambria Math" w:eastAsiaTheme="minorEastAsia" w:hAnsi="Cambria Math" w:cs="CMU Serif"/>
                          </w:rPr>
                          <m:t>c</m:t>
                        </m:r>
                      </m:sub>
                    </m:sSub>
                  </m:num>
                  <m:den>
                    <m:sSub>
                      <m:sSubPr>
                        <m:ctrlPr>
                          <w:rPr>
                            <w:rFonts w:ascii="Cambria Math" w:eastAsiaTheme="minorEastAsia" w:hAnsi="Cambria Math" w:cs="CMU Serif"/>
                          </w:rPr>
                        </m:ctrlPr>
                      </m:sSubPr>
                      <m:e>
                        <m:r>
                          <w:rPr>
                            <w:rFonts w:ascii="Cambria Math" w:eastAsiaTheme="minorEastAsia" w:hAnsi="Cambria Math" w:cs="CMU Serif"/>
                          </w:rPr>
                          <m:t>P</m:t>
                        </m:r>
                      </m:e>
                      <m:sub>
                        <m:r>
                          <w:rPr>
                            <w:rFonts w:ascii="Cambria Math" w:eastAsiaTheme="minorEastAsia" w:hAnsi="Cambria Math" w:cs="CMU Serif"/>
                          </w:rPr>
                          <m:t>c</m:t>
                        </m:r>
                      </m:sub>
                    </m:sSub>
                  </m:den>
                </m:f>
              </m:oMath>
            </m:oMathPara>
          </w:p>
        </w:tc>
        <w:tc>
          <w:tcPr>
            <w:tcW w:w="1199" w:type="dxa"/>
            <w:shd w:val="clear" w:color="auto" w:fill="auto"/>
            <w:vAlign w:val="center"/>
          </w:tcPr>
          <w:p w14:paraId="2588250E" w14:textId="5F0E435F" w:rsidR="00E038D1" w:rsidRDefault="00E038D1" w:rsidP="00EF454F">
            <w:pPr>
              <w:pStyle w:val="CETEquation"/>
              <w:widowControl w:val="0"/>
              <w:jc w:val="right"/>
            </w:pPr>
            <w:r>
              <w:t>(4)</w:t>
            </w:r>
          </w:p>
        </w:tc>
      </w:tr>
      <w:tr w:rsidR="00E038D1" w14:paraId="3FAEED50" w14:textId="77777777" w:rsidTr="00452E69">
        <w:trPr>
          <w:trHeight w:val="454"/>
        </w:trPr>
        <w:tc>
          <w:tcPr>
            <w:tcW w:w="7441" w:type="dxa"/>
            <w:shd w:val="clear" w:color="auto" w:fill="auto"/>
            <w:vAlign w:val="center"/>
          </w:tcPr>
          <w:p w14:paraId="3A8D11A1" w14:textId="18350572" w:rsidR="00E038D1" w:rsidRDefault="00141E5D" w:rsidP="00EF454F">
            <w:pPr>
              <w:pStyle w:val="CETEquation"/>
              <w:widowControl w:val="0"/>
            </w:pPr>
            <m:oMathPara>
              <m:oMathParaPr>
                <m:jc m:val="left"/>
              </m:oMathParaPr>
              <m:oMath>
                <m:r>
                  <w:rPr>
                    <w:rFonts w:ascii="Cambria Math" w:eastAsiaTheme="minorEastAsia" w:hAnsi="Cambria Math" w:cs="Arial"/>
                  </w:rPr>
                  <m:t>m=0.480+1.574ω-0.176</m:t>
                </m:r>
                <m:sSup>
                  <m:sSupPr>
                    <m:ctrlPr>
                      <w:rPr>
                        <w:rFonts w:ascii="Cambria Math" w:eastAsiaTheme="minorEastAsia" w:hAnsi="Cambria Math" w:cs="Arial"/>
                      </w:rPr>
                    </m:ctrlPr>
                  </m:sSupPr>
                  <m:e>
                    <m:r>
                      <w:rPr>
                        <w:rFonts w:ascii="Cambria Math" w:eastAsiaTheme="minorEastAsia" w:hAnsi="Cambria Math" w:cs="Arial"/>
                      </w:rPr>
                      <m:t>ω</m:t>
                    </m:r>
                  </m:e>
                  <m:sup>
                    <m:r>
                      <w:rPr>
                        <w:rFonts w:ascii="Cambria Math" w:eastAsiaTheme="minorEastAsia" w:hAnsi="Cambria Math" w:cs="Arial"/>
                      </w:rPr>
                      <m:t>2</m:t>
                    </m:r>
                  </m:sup>
                </m:sSup>
              </m:oMath>
            </m:oMathPara>
          </w:p>
        </w:tc>
        <w:tc>
          <w:tcPr>
            <w:tcW w:w="1199" w:type="dxa"/>
            <w:shd w:val="clear" w:color="auto" w:fill="auto"/>
            <w:vAlign w:val="center"/>
          </w:tcPr>
          <w:p w14:paraId="50EA1831" w14:textId="20B95D8A" w:rsidR="00E038D1" w:rsidRDefault="00E038D1" w:rsidP="00EF454F">
            <w:pPr>
              <w:pStyle w:val="CETEquation"/>
              <w:widowControl w:val="0"/>
              <w:jc w:val="right"/>
            </w:pPr>
            <w:r>
              <w:t>(5)</w:t>
            </w:r>
          </w:p>
        </w:tc>
      </w:tr>
    </w:tbl>
    <w:p w14:paraId="6214E3B5" w14:textId="0D003CF1" w:rsidR="006B46F9" w:rsidRPr="006B46F9" w:rsidRDefault="006B46F9" w:rsidP="006B46F9">
      <w:pPr>
        <w:rPr>
          <w:rFonts w:eastAsiaTheme="minorEastAsia" w:cs="Arial"/>
        </w:rPr>
      </w:pPr>
      <w:r w:rsidRPr="006B46F9">
        <w:rPr>
          <w:rFonts w:eastAsiaTheme="minorEastAsia" w:cs="Arial"/>
        </w:rPr>
        <w:t xml:space="preserve">With </w:t>
      </w:r>
      <m:oMath>
        <m:sSub>
          <m:sSubPr>
            <m:ctrlPr>
              <w:rPr>
                <w:rFonts w:ascii="Cambria Math" w:eastAsiaTheme="minorEastAsia" w:hAnsi="Cambria Math" w:cs="Arial"/>
              </w:rPr>
            </m:ctrlPr>
          </m:sSubPr>
          <m:e>
            <m:r>
              <w:rPr>
                <w:rFonts w:ascii="Cambria Math" w:eastAsiaTheme="minorEastAsia" w:hAnsi="Cambria Math" w:cs="Arial"/>
              </w:rPr>
              <m:t>T</m:t>
            </m:r>
          </m:e>
          <m:sub>
            <m:r>
              <w:rPr>
                <w:rFonts w:ascii="Cambria Math" w:eastAsiaTheme="minorEastAsia" w:hAnsi="Cambria Math" w:cs="Arial"/>
              </w:rPr>
              <m:t>c</m:t>
            </m:r>
          </m:sub>
        </m:sSub>
      </m:oMath>
      <w:r w:rsidRPr="006B46F9">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rPr>
              <m:t>c</m:t>
            </m:r>
          </m:sub>
        </m:sSub>
      </m:oMath>
      <w:r w:rsidRPr="006B46F9">
        <w:rPr>
          <w:rFonts w:eastAsiaTheme="minorEastAsia" w:cs="Arial"/>
        </w:rPr>
        <w:t xml:space="preserve">, and </w:t>
      </w:r>
      <m:oMath>
        <m:r>
          <w:rPr>
            <w:rFonts w:ascii="Cambria Math" w:eastAsiaTheme="minorEastAsia" w:hAnsi="Cambria Math" w:cs="Arial"/>
          </w:rPr>
          <m:t>ω</m:t>
        </m:r>
      </m:oMath>
      <w:r w:rsidRPr="006B46F9">
        <w:rPr>
          <w:rFonts w:eastAsiaTheme="minorEastAsia" w:cs="Arial"/>
        </w:rPr>
        <w:t xml:space="preserve"> corresponding to the critical temperature</w:t>
      </w:r>
      <w:r w:rsidR="00AA037B">
        <w:rPr>
          <w:rFonts w:eastAsiaTheme="minorEastAsia" w:cs="Arial"/>
        </w:rPr>
        <w:t xml:space="preserve"> (K)</w:t>
      </w:r>
      <w:r w:rsidRPr="006B46F9">
        <w:rPr>
          <w:rFonts w:eastAsiaTheme="minorEastAsia" w:cs="Arial"/>
        </w:rPr>
        <w:t>, critical pressure</w:t>
      </w:r>
      <w:r w:rsidR="00AA037B">
        <w:rPr>
          <w:rFonts w:eastAsiaTheme="minorEastAsia" w:cs="Arial"/>
        </w:rPr>
        <w:t xml:space="preserve"> (bar)</w:t>
      </w:r>
      <w:r w:rsidRPr="006B46F9">
        <w:rPr>
          <w:rFonts w:eastAsiaTheme="minorEastAsia" w:cs="Arial"/>
        </w:rPr>
        <w:t>, and acentric factor</w:t>
      </w:r>
      <w:r w:rsidR="005618DB">
        <w:rPr>
          <w:rFonts w:eastAsiaTheme="minorEastAsia" w:cs="Arial"/>
        </w:rPr>
        <w:t xml:space="preserve"> </w:t>
      </w:r>
      <w:r w:rsidR="005618DB" w:rsidRPr="006000FD">
        <w:rPr>
          <w:rFonts w:cs="Arial"/>
          <w:szCs w:val="18"/>
        </w:rPr>
        <w:t>(</w:t>
      </w:r>
      <m:oMath>
        <m:r>
          <w:rPr>
            <w:rFonts w:ascii="Cambria Math" w:eastAsiaTheme="minorEastAsia" w:hAnsi="Cambria Math" w:cs="Arial"/>
            <w:szCs w:val="18"/>
          </w:rPr>
          <m:t>ω</m:t>
        </m:r>
      </m:oMath>
      <w:r w:rsidR="005618DB" w:rsidRPr="006000FD">
        <w:rPr>
          <w:rFonts w:cs="Arial"/>
          <w:szCs w:val="18"/>
        </w:rPr>
        <w:t>)</w:t>
      </w:r>
      <w:r w:rsidRPr="006B46F9">
        <w:rPr>
          <w:rFonts w:eastAsiaTheme="minorEastAsia" w:cs="Arial"/>
        </w:rPr>
        <w:t>, respectively.</w:t>
      </w:r>
    </w:p>
    <w:p w14:paraId="1BFD5E3C" w14:textId="77777777" w:rsidR="006B46F9" w:rsidRDefault="006B46F9" w:rsidP="00946349"/>
    <w:p w14:paraId="004F87BF" w14:textId="76BE6451" w:rsidR="003914EB" w:rsidRDefault="00EB618E" w:rsidP="0086587C">
      <w:r>
        <w:t xml:space="preserve">After Soave's proposal, </w:t>
      </w:r>
      <w:r w:rsidR="006000FD">
        <w:t>several</w:t>
      </w:r>
      <w:r>
        <w:t xml:space="preserve"> modifications</w:t>
      </w:r>
      <w:r w:rsidR="00CA6658">
        <w:t xml:space="preserve"> were proposed </w:t>
      </w:r>
      <w:r>
        <w:t xml:space="preserve">to improve the </w:t>
      </w:r>
      <w:r w:rsidR="006A2D8B">
        <w:t>determination</w:t>
      </w:r>
      <w:r>
        <w:t xml:space="preserve"> of one or another property. These works were not limited to </w:t>
      </w:r>
      <w:r w:rsidR="00CA6658">
        <w:t>suggesting</w:t>
      </w:r>
      <w:r>
        <w:t xml:space="preserve"> new temperature models for </w:t>
      </w:r>
      <m:oMath>
        <m:r>
          <w:rPr>
            <w:rFonts w:ascii="Cambria Math" w:eastAsiaTheme="minorEastAsia" w:hAnsi="Cambria Math" w:cs="Arial"/>
          </w:rPr>
          <m:t>α</m:t>
        </m:r>
        <m:d>
          <m:dPr>
            <m:ctrlPr>
              <w:rPr>
                <w:rFonts w:ascii="Cambria Math" w:eastAsiaTheme="minorEastAsia" w:hAnsi="Cambria Math" w:cs="Arial"/>
              </w:rPr>
            </m:ctrlPr>
          </m:dPr>
          <m:e>
            <m:sSub>
              <m:sSubPr>
                <m:ctrlPr>
                  <w:rPr>
                    <w:rFonts w:ascii="Cambria Math" w:eastAsiaTheme="minorEastAsia" w:hAnsi="Cambria Math" w:cs="Arial"/>
                  </w:rPr>
                </m:ctrlPr>
              </m:sSubPr>
              <m:e>
                <m:r>
                  <w:rPr>
                    <w:rFonts w:ascii="Cambria Math" w:eastAsiaTheme="minorEastAsia" w:hAnsi="Cambria Math" w:cs="Arial"/>
                  </w:rPr>
                  <m:t>T</m:t>
                </m:r>
              </m:e>
              <m:sub>
                <m:r>
                  <m:rPr>
                    <m:sty m:val="p"/>
                  </m:rPr>
                  <w:rPr>
                    <w:rFonts w:ascii="Cambria Math" w:eastAsiaTheme="minorEastAsia" w:hAnsi="Cambria Math" w:cs="Arial"/>
                  </w:rPr>
                  <m:t>R</m:t>
                </m:r>
              </m:sub>
            </m:sSub>
            <m:r>
              <w:rPr>
                <w:rFonts w:ascii="Cambria Math" w:eastAsiaTheme="minorEastAsia" w:hAnsi="Cambria Math" w:cs="Arial"/>
              </w:rPr>
              <m:t>,ω</m:t>
            </m:r>
          </m:e>
        </m:d>
        <m:r>
          <w:rPr>
            <w:rFonts w:ascii="Cambria Math" w:eastAsiaTheme="minorEastAsia" w:hAnsi="Cambria Math" w:cs="Arial"/>
          </w:rPr>
          <m:t xml:space="preserve"> </m:t>
        </m:r>
      </m:oMath>
      <w:r>
        <w:t>but also considered modifications of the volume dependence of the attractive pressure term. The most popular of these modifications is the one proposed by Peng and Robinson</w:t>
      </w:r>
      <w:r w:rsidR="00CA6658">
        <w:t xml:space="preserve"> (Valderram</w:t>
      </w:r>
      <w:r w:rsidR="00512130">
        <w:t>a</w:t>
      </w:r>
      <w:r w:rsidR="00946349">
        <w:t>,</w:t>
      </w:r>
      <w:r w:rsidR="00512130">
        <w:t xml:space="preserve"> 2003)</w:t>
      </w:r>
      <w:r w:rsidR="00946349">
        <w:t xml:space="preserve"> which </w:t>
      </w:r>
      <w:r>
        <w:t xml:space="preserve">improved </w:t>
      </w:r>
      <w:r w:rsidR="00CF7CC1">
        <w:t xml:space="preserve">Soave’s </w:t>
      </w:r>
      <w:r>
        <w:t>equation by recalculating the</w:t>
      </w:r>
      <w:r w:rsidR="00CF7CC1">
        <w:t xml:space="preserve"> </w:t>
      </w:r>
      <m:oMath>
        <m:r>
          <w:rPr>
            <w:rFonts w:ascii="Cambria Math" w:eastAsiaTheme="minorEastAsia" w:hAnsi="Cambria Math" w:cs="Arial"/>
          </w:rPr>
          <m:t>α</m:t>
        </m:r>
        <m:d>
          <m:dPr>
            <m:ctrlPr>
              <w:rPr>
                <w:rFonts w:ascii="Cambria Math" w:eastAsiaTheme="minorEastAsia" w:hAnsi="Cambria Math" w:cs="Arial"/>
              </w:rPr>
            </m:ctrlPr>
          </m:dPr>
          <m:e>
            <m:sSub>
              <m:sSubPr>
                <m:ctrlPr>
                  <w:rPr>
                    <w:rFonts w:ascii="Cambria Math" w:eastAsiaTheme="minorEastAsia" w:hAnsi="Cambria Math" w:cs="Arial"/>
                  </w:rPr>
                </m:ctrlPr>
              </m:sSubPr>
              <m:e>
                <m:r>
                  <w:rPr>
                    <w:rFonts w:ascii="Cambria Math" w:eastAsiaTheme="minorEastAsia" w:hAnsi="Cambria Math" w:cs="Arial"/>
                  </w:rPr>
                  <m:t>T</m:t>
                </m:r>
              </m:e>
              <m:sub>
                <m:r>
                  <m:rPr>
                    <m:sty m:val="p"/>
                  </m:rPr>
                  <w:rPr>
                    <w:rFonts w:ascii="Cambria Math" w:eastAsiaTheme="minorEastAsia" w:hAnsi="Cambria Math" w:cs="Arial"/>
                  </w:rPr>
                  <m:t>R</m:t>
                </m:r>
              </m:sub>
            </m:sSub>
            <m:r>
              <w:rPr>
                <w:rFonts w:ascii="Cambria Math" w:eastAsiaTheme="minorEastAsia" w:hAnsi="Cambria Math" w:cs="Arial"/>
              </w:rPr>
              <m:t>,ω</m:t>
            </m:r>
          </m:e>
        </m:d>
        <m:r>
          <w:rPr>
            <w:rFonts w:ascii="Cambria Math" w:eastAsiaTheme="minorEastAsia" w:hAnsi="Cambria Math" w:cs="Arial"/>
          </w:rPr>
          <m:t xml:space="preserve"> </m:t>
        </m:r>
      </m:oMath>
      <w:r>
        <w:t xml:space="preserve">function and </w:t>
      </w:r>
      <w:r w:rsidR="00CF7CC1">
        <w:t xml:space="preserve">by </w:t>
      </w:r>
      <w:r>
        <w:t>modifying the volume dependence of the attractive term</w:t>
      </w:r>
      <w:r w:rsidR="00512130">
        <w:t xml:space="preserve"> (Peng and Robinson, 1976)</w:t>
      </w:r>
      <w:r>
        <w:t xml:space="preserve">. </w:t>
      </w:r>
      <w:r w:rsidR="00CF7CC1">
        <w:t>Peng and Robinson (PR) proposed equation is the following</w:t>
      </w:r>
      <w:r>
        <w:t>:</w:t>
      </w:r>
    </w:p>
    <w:tbl>
      <w:tblPr>
        <w:tblW w:w="8640" w:type="dxa"/>
        <w:tblInd w:w="72" w:type="dxa"/>
        <w:tblLayout w:type="fixed"/>
        <w:tblLook w:val="04A0" w:firstRow="1" w:lastRow="0" w:firstColumn="1" w:lastColumn="0" w:noHBand="0" w:noVBand="1"/>
      </w:tblPr>
      <w:tblGrid>
        <w:gridCol w:w="7817"/>
        <w:gridCol w:w="823"/>
      </w:tblGrid>
      <w:tr w:rsidR="00C85AFB" w14:paraId="0585CA68" w14:textId="77777777" w:rsidTr="00EF454F">
        <w:trPr>
          <w:trHeight w:val="680"/>
        </w:trPr>
        <w:tc>
          <w:tcPr>
            <w:tcW w:w="7817" w:type="dxa"/>
            <w:shd w:val="clear" w:color="auto" w:fill="auto"/>
            <w:vAlign w:val="center"/>
          </w:tcPr>
          <w:p w14:paraId="1CA55C9B" w14:textId="660F9908" w:rsidR="00C85AFB" w:rsidRDefault="00452E69" w:rsidP="00EF454F">
            <w:pPr>
              <w:pStyle w:val="CETEquation"/>
              <w:widowControl w:val="0"/>
            </w:pPr>
            <m:oMathPara>
              <m:oMathParaPr>
                <m:jc m:val="left"/>
              </m:oMathParaPr>
              <m:oMath>
                <m:r>
                  <w:rPr>
                    <w:rFonts w:ascii="Cambria Math" w:eastAsiaTheme="minorEastAsia" w:hAnsi="Cambria Math" w:cs="Arial"/>
                  </w:rPr>
                  <m:t>P=</m:t>
                </m:r>
                <m:f>
                  <m:fPr>
                    <m:ctrlPr>
                      <w:rPr>
                        <w:rFonts w:ascii="Cambria Math" w:eastAsiaTheme="minorEastAsia" w:hAnsi="Cambria Math" w:cs="Arial"/>
                      </w:rPr>
                    </m:ctrlPr>
                  </m:fPr>
                  <m:num>
                    <m:r>
                      <w:rPr>
                        <w:rFonts w:ascii="Cambria Math" w:eastAsiaTheme="minorEastAsia" w:hAnsi="Cambria Math" w:cs="Arial"/>
                      </w:rPr>
                      <m:t>RT</m:t>
                    </m:r>
                  </m:num>
                  <m:den>
                    <m:r>
                      <w:rPr>
                        <w:rFonts w:ascii="Cambria Math" w:eastAsiaTheme="minorEastAsia" w:hAnsi="Cambria Math" w:cs="Arial"/>
                      </w:rPr>
                      <m:t>V-b</m:t>
                    </m:r>
                  </m:den>
                </m:f>
                <m:r>
                  <w:rPr>
                    <w:rFonts w:ascii="Cambria Math" w:eastAsiaTheme="minorEastAsia" w:hAnsi="Cambria Math" w:cs="Arial"/>
                  </w:rPr>
                  <m:t>-</m:t>
                </m:r>
                <m:f>
                  <m:fPr>
                    <m:ctrlPr>
                      <w:rPr>
                        <w:rFonts w:ascii="Cambria Math" w:eastAsiaTheme="minorEastAsia" w:hAnsi="Cambria Math" w:cs="Arial"/>
                      </w:rPr>
                    </m:ctrlPr>
                  </m:fPr>
                  <m:num>
                    <m:sSub>
                      <m:sSubPr>
                        <m:ctrlPr>
                          <w:rPr>
                            <w:rFonts w:ascii="Cambria Math" w:eastAsiaTheme="minorEastAsia" w:hAnsi="Cambria Math" w:cs="Arial"/>
                          </w:rPr>
                        </m:ctrlPr>
                      </m:sSubPr>
                      <m:e>
                        <m:r>
                          <w:rPr>
                            <w:rFonts w:ascii="Cambria Math" w:eastAsiaTheme="minorEastAsia" w:hAnsi="Cambria Math" w:cs="Arial"/>
                          </w:rPr>
                          <m:t>a</m:t>
                        </m:r>
                      </m:e>
                      <m:sub>
                        <m:r>
                          <w:rPr>
                            <w:rFonts w:ascii="Cambria Math" w:eastAsiaTheme="minorEastAsia" w:hAnsi="Cambria Math" w:cs="Arial"/>
                          </w:rPr>
                          <m:t>c</m:t>
                        </m:r>
                      </m:sub>
                    </m:sSub>
                    <m:r>
                      <w:rPr>
                        <w:rFonts w:ascii="Cambria Math" w:eastAsiaTheme="minorEastAsia" w:hAnsi="Cambria Math" w:cs="Arial"/>
                      </w:rPr>
                      <m:t>α</m:t>
                    </m:r>
                    <m:d>
                      <m:dPr>
                        <m:ctrlPr>
                          <w:rPr>
                            <w:rFonts w:ascii="Cambria Math" w:eastAsiaTheme="minorEastAsia" w:hAnsi="Cambria Math" w:cs="Arial"/>
                          </w:rPr>
                        </m:ctrlPr>
                      </m:dPr>
                      <m:e>
                        <m:sSub>
                          <m:sSubPr>
                            <m:ctrlPr>
                              <w:rPr>
                                <w:rFonts w:ascii="Cambria Math" w:eastAsiaTheme="minorEastAsia" w:hAnsi="Cambria Math" w:cs="Arial"/>
                              </w:rPr>
                            </m:ctrlPr>
                          </m:sSubPr>
                          <m:e>
                            <m:r>
                              <w:rPr>
                                <w:rFonts w:ascii="Cambria Math" w:eastAsiaTheme="minorEastAsia" w:hAnsi="Cambria Math" w:cs="Arial"/>
                              </w:rPr>
                              <m:t>T</m:t>
                            </m:r>
                          </m:e>
                          <m:sub>
                            <m:r>
                              <m:rPr>
                                <m:sty m:val="p"/>
                              </m:rPr>
                              <w:rPr>
                                <w:rFonts w:ascii="Cambria Math" w:eastAsiaTheme="minorEastAsia" w:hAnsi="Cambria Math" w:cs="Arial"/>
                              </w:rPr>
                              <m:t>R</m:t>
                            </m:r>
                          </m:sub>
                        </m:sSub>
                        <m:r>
                          <w:rPr>
                            <w:rFonts w:ascii="Cambria Math" w:eastAsiaTheme="minorEastAsia" w:hAnsi="Cambria Math" w:cs="Arial"/>
                          </w:rPr>
                          <m:t>,ω</m:t>
                        </m:r>
                      </m:e>
                    </m:d>
                  </m:num>
                  <m:den>
                    <m:r>
                      <w:rPr>
                        <w:rFonts w:ascii="Cambria Math" w:eastAsiaTheme="minorEastAsia" w:hAnsi="Cambria Math" w:cs="Arial"/>
                      </w:rPr>
                      <m:t>V(V+b)+b(V-b)</m:t>
                    </m:r>
                  </m:den>
                </m:f>
                <m:r>
                  <w:rPr>
                    <w:rFonts w:ascii="Cambria Math" w:eastAsiaTheme="minorEastAsia" w:hAnsi="Cambria Math" w:cs="Arial"/>
                  </w:rPr>
                  <m:t xml:space="preserve"> </m:t>
                </m:r>
              </m:oMath>
            </m:oMathPara>
          </w:p>
        </w:tc>
        <w:tc>
          <w:tcPr>
            <w:tcW w:w="823" w:type="dxa"/>
            <w:shd w:val="clear" w:color="auto" w:fill="auto"/>
            <w:vAlign w:val="center"/>
          </w:tcPr>
          <w:p w14:paraId="0EDE6999" w14:textId="7BA20CA4" w:rsidR="00C85AFB" w:rsidRDefault="00C85AFB" w:rsidP="00EF454F">
            <w:pPr>
              <w:pStyle w:val="CETEquation"/>
              <w:widowControl w:val="0"/>
              <w:jc w:val="right"/>
            </w:pPr>
            <w:r>
              <w:t>(</w:t>
            </w:r>
            <w:r w:rsidR="009F22ED">
              <w:t>6</w:t>
            </w:r>
            <w:r>
              <w:t>)</w:t>
            </w:r>
          </w:p>
        </w:tc>
      </w:tr>
      <w:tr w:rsidR="00C0399E" w14:paraId="227192DA" w14:textId="77777777" w:rsidTr="00C0399E">
        <w:trPr>
          <w:trHeight w:val="283"/>
        </w:trPr>
        <w:tc>
          <w:tcPr>
            <w:tcW w:w="7817" w:type="dxa"/>
            <w:shd w:val="clear" w:color="auto" w:fill="auto"/>
            <w:vAlign w:val="center"/>
          </w:tcPr>
          <w:p w14:paraId="47D83B20" w14:textId="1D369DEA" w:rsidR="00C0399E" w:rsidRDefault="002A1DCD" w:rsidP="00EF454F">
            <w:pPr>
              <w:pStyle w:val="CETEquation"/>
              <w:widowControl w:val="0"/>
            </w:pPr>
            <w:r>
              <w:t>w</w:t>
            </w:r>
            <w:r w:rsidR="00C0399E">
              <w:t>ith</w:t>
            </w:r>
            <w:r>
              <w:t>,</w:t>
            </w:r>
          </w:p>
        </w:tc>
        <w:tc>
          <w:tcPr>
            <w:tcW w:w="823" w:type="dxa"/>
            <w:shd w:val="clear" w:color="auto" w:fill="auto"/>
            <w:vAlign w:val="center"/>
          </w:tcPr>
          <w:p w14:paraId="4D612266" w14:textId="77777777" w:rsidR="00C0399E" w:rsidRDefault="00C0399E" w:rsidP="00EF454F">
            <w:pPr>
              <w:pStyle w:val="CETEquation"/>
              <w:widowControl w:val="0"/>
              <w:jc w:val="right"/>
            </w:pPr>
          </w:p>
        </w:tc>
      </w:tr>
      <w:tr w:rsidR="00C85AFB" w14:paraId="262CFDBB" w14:textId="77777777" w:rsidTr="00452E69">
        <w:trPr>
          <w:trHeight w:val="454"/>
        </w:trPr>
        <w:tc>
          <w:tcPr>
            <w:tcW w:w="7817" w:type="dxa"/>
            <w:shd w:val="clear" w:color="auto" w:fill="auto"/>
            <w:vAlign w:val="center"/>
          </w:tcPr>
          <w:p w14:paraId="78B2B79E" w14:textId="2B5B7298" w:rsidR="00C85AFB" w:rsidRDefault="00000000" w:rsidP="00EF454F">
            <w:pPr>
              <w:pStyle w:val="CETEquation"/>
              <w:widowControl w:val="0"/>
            </w:pPr>
            <m:oMathPara>
              <m:oMathParaPr>
                <m:jc m:val="left"/>
              </m:oMathParaPr>
              <m:oMath>
                <m:sSub>
                  <m:sSubPr>
                    <m:ctrlPr>
                      <w:rPr>
                        <w:rFonts w:ascii="Cambria Math" w:eastAsiaTheme="minorEastAsia" w:hAnsi="Cambria Math" w:cs="Arial"/>
                      </w:rPr>
                    </m:ctrlPr>
                  </m:sSubPr>
                  <m:e>
                    <m:r>
                      <w:rPr>
                        <w:rFonts w:ascii="Cambria Math" w:eastAsiaTheme="minorEastAsia" w:hAnsi="Cambria Math" w:cs="Arial"/>
                      </w:rPr>
                      <m:t>a</m:t>
                    </m:r>
                  </m:e>
                  <m:sub>
                    <m:r>
                      <w:rPr>
                        <w:rFonts w:ascii="Cambria Math" w:eastAsiaTheme="minorEastAsia" w:hAnsi="Cambria Math" w:cs="Arial"/>
                      </w:rPr>
                      <m:t>c</m:t>
                    </m:r>
                  </m:sub>
                </m:sSub>
                <m:r>
                  <w:rPr>
                    <w:rFonts w:ascii="Cambria Math" w:eastAsiaTheme="minorEastAsia" w:hAnsi="Cambria Math" w:cs="Arial"/>
                  </w:rPr>
                  <m:t>=0.45724</m:t>
                </m:r>
                <m:f>
                  <m:fPr>
                    <m:ctrlPr>
                      <w:rPr>
                        <w:rFonts w:ascii="Cambria Math" w:eastAsiaTheme="minorEastAsia" w:hAnsi="Cambria Math" w:cs="Arial"/>
                      </w:rPr>
                    </m:ctrlPr>
                  </m:fPr>
                  <m:num>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sSubSup>
                      <m:sSubSupPr>
                        <m:ctrlPr>
                          <w:rPr>
                            <w:rFonts w:ascii="Cambria Math" w:eastAsiaTheme="minorEastAsia" w:hAnsi="Cambria Math" w:cs="Arial"/>
                          </w:rPr>
                        </m:ctrlPr>
                      </m:sSubSupPr>
                      <m:e>
                        <m:r>
                          <w:rPr>
                            <w:rFonts w:ascii="Cambria Math" w:eastAsiaTheme="minorEastAsia" w:hAnsi="Cambria Math" w:cs="Arial"/>
                          </w:rPr>
                          <m:t>T</m:t>
                        </m:r>
                      </m:e>
                      <m:sub>
                        <m:r>
                          <w:rPr>
                            <w:rFonts w:ascii="Cambria Math" w:eastAsiaTheme="minorEastAsia" w:hAnsi="Cambria Math" w:cs="Arial"/>
                          </w:rPr>
                          <m:t>c</m:t>
                        </m:r>
                      </m:sub>
                      <m:sup>
                        <m:r>
                          <w:rPr>
                            <w:rFonts w:ascii="Cambria Math" w:eastAsiaTheme="minorEastAsia" w:hAnsi="Cambria Math" w:cs="Arial"/>
                          </w:rPr>
                          <m:t>2</m:t>
                        </m:r>
                      </m:sup>
                    </m:sSubSup>
                  </m:num>
                  <m:den>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den>
                </m:f>
              </m:oMath>
            </m:oMathPara>
          </w:p>
        </w:tc>
        <w:tc>
          <w:tcPr>
            <w:tcW w:w="823" w:type="dxa"/>
            <w:shd w:val="clear" w:color="auto" w:fill="auto"/>
            <w:vAlign w:val="center"/>
          </w:tcPr>
          <w:p w14:paraId="7B3B1F4E" w14:textId="31C69F58" w:rsidR="00C85AFB" w:rsidRDefault="00C85AFB" w:rsidP="00EF454F">
            <w:pPr>
              <w:pStyle w:val="CETEquation"/>
              <w:widowControl w:val="0"/>
              <w:jc w:val="right"/>
            </w:pPr>
            <w:r>
              <w:t>(</w:t>
            </w:r>
            <w:r w:rsidR="009F22ED">
              <w:t>7</w:t>
            </w:r>
            <w:r>
              <w:t>)</w:t>
            </w:r>
          </w:p>
        </w:tc>
      </w:tr>
      <w:tr w:rsidR="00C85AFB" w14:paraId="047BB288" w14:textId="77777777" w:rsidTr="00452E69">
        <w:trPr>
          <w:trHeight w:val="454"/>
        </w:trPr>
        <w:tc>
          <w:tcPr>
            <w:tcW w:w="7817" w:type="dxa"/>
            <w:shd w:val="clear" w:color="auto" w:fill="auto"/>
            <w:vAlign w:val="center"/>
          </w:tcPr>
          <w:p w14:paraId="100262D4" w14:textId="4E79E7A0" w:rsidR="00C85AFB" w:rsidRDefault="006B46F9" w:rsidP="00EF454F">
            <w:pPr>
              <w:pStyle w:val="CETEquation"/>
              <w:widowControl w:val="0"/>
            </w:pPr>
            <m:oMathPara>
              <m:oMathParaPr>
                <m:jc m:val="left"/>
              </m:oMathParaPr>
              <m:oMath>
                <m:r>
                  <w:rPr>
                    <w:rFonts w:ascii="Cambria Math" w:hAnsi="Cambria Math" w:cs="CMU Serif"/>
                  </w:rPr>
                  <m:t>b=0.07780</m:t>
                </m:r>
                <m:f>
                  <m:fPr>
                    <m:ctrlPr>
                      <w:rPr>
                        <w:rFonts w:ascii="Cambria Math" w:hAnsi="Cambria Math" w:cs="CMU Serif"/>
                      </w:rPr>
                    </m:ctrlPr>
                  </m:fPr>
                  <m:num>
                    <m:r>
                      <w:rPr>
                        <w:rFonts w:ascii="Cambria Math" w:hAnsi="Cambria Math" w:cs="CMU Serif"/>
                      </w:rPr>
                      <m:t>R</m:t>
                    </m:r>
                    <m:sSub>
                      <m:sSubPr>
                        <m:ctrlPr>
                          <w:rPr>
                            <w:rFonts w:ascii="Cambria Math" w:hAnsi="Cambria Math" w:cs="CMU Serif"/>
                          </w:rPr>
                        </m:ctrlPr>
                      </m:sSubPr>
                      <m:e>
                        <m:r>
                          <w:rPr>
                            <w:rFonts w:ascii="Cambria Math" w:hAnsi="Cambria Math" w:cs="CMU Serif"/>
                          </w:rPr>
                          <m:t>T</m:t>
                        </m:r>
                      </m:e>
                      <m:sub>
                        <m:r>
                          <w:rPr>
                            <w:rFonts w:ascii="Cambria Math" w:hAnsi="Cambria Math" w:cs="CMU Serif"/>
                          </w:rPr>
                          <m:t>c</m:t>
                        </m:r>
                      </m:sub>
                    </m:sSub>
                  </m:num>
                  <m:den>
                    <m:sSub>
                      <m:sSubPr>
                        <m:ctrlPr>
                          <w:rPr>
                            <w:rFonts w:ascii="Cambria Math" w:hAnsi="Cambria Math" w:cs="CMU Serif"/>
                          </w:rPr>
                        </m:ctrlPr>
                      </m:sSubPr>
                      <m:e>
                        <m:r>
                          <w:rPr>
                            <w:rFonts w:ascii="Cambria Math" w:hAnsi="Cambria Math" w:cs="CMU Serif"/>
                          </w:rPr>
                          <m:t>P</m:t>
                        </m:r>
                      </m:e>
                      <m:sub>
                        <m:r>
                          <w:rPr>
                            <w:rFonts w:ascii="Cambria Math" w:hAnsi="Cambria Math" w:cs="CMU Serif"/>
                          </w:rPr>
                          <m:t>c</m:t>
                        </m:r>
                      </m:sub>
                    </m:sSub>
                  </m:den>
                </m:f>
              </m:oMath>
            </m:oMathPara>
          </w:p>
        </w:tc>
        <w:tc>
          <w:tcPr>
            <w:tcW w:w="823" w:type="dxa"/>
            <w:shd w:val="clear" w:color="auto" w:fill="auto"/>
            <w:vAlign w:val="center"/>
          </w:tcPr>
          <w:p w14:paraId="46960647" w14:textId="5C697FA6" w:rsidR="00452E69" w:rsidRPr="00452E69" w:rsidRDefault="00C85AFB" w:rsidP="00452E69">
            <w:pPr>
              <w:pStyle w:val="CETEquation"/>
              <w:widowControl w:val="0"/>
              <w:jc w:val="right"/>
            </w:pPr>
            <w:r>
              <w:t>(</w:t>
            </w:r>
            <w:r w:rsidR="00204030">
              <w:t>8</w:t>
            </w:r>
            <w:r>
              <w:t>)</w:t>
            </w:r>
          </w:p>
        </w:tc>
      </w:tr>
    </w:tbl>
    <w:p w14:paraId="5074D346" w14:textId="5302D15F" w:rsidR="00C85AFB" w:rsidRDefault="006000FD" w:rsidP="00946349">
      <w:pPr>
        <w:rPr>
          <w:rFonts w:ascii="Century Schoolbook" w:hAnsi="Century Schoolbook" w:cs="CMU Serif"/>
        </w:rPr>
      </w:pPr>
      <w:r w:rsidRPr="006000FD">
        <w:rPr>
          <w:rFonts w:cs="Arial"/>
          <w:szCs w:val="18"/>
        </w:rPr>
        <w:t xml:space="preserve">Since some DESs are highly non-spherical, as reflected in their acentric factor, Peng and Robinson suggested a modified expression for </w:t>
      </w:r>
      <m:oMath>
        <m:r>
          <w:rPr>
            <w:rFonts w:ascii="Cambria Math" w:hAnsi="Cambria Math" w:cs="Arial"/>
            <w:color w:val="000000" w:themeColor="text1"/>
            <w:kern w:val="24"/>
            <w:szCs w:val="18"/>
          </w:rPr>
          <m:t>m</m:t>
        </m:r>
        <m:d>
          <m:dPr>
            <m:ctrlPr>
              <w:rPr>
                <w:rFonts w:ascii="Cambria Math" w:eastAsiaTheme="minorEastAsia" w:hAnsi="Cambria Math" w:cs="Arial"/>
                <w:i/>
                <w:iCs/>
                <w:color w:val="000000" w:themeColor="text1"/>
                <w:kern w:val="24"/>
                <w:szCs w:val="18"/>
              </w:rPr>
            </m:ctrlPr>
          </m:dPr>
          <m:e>
            <m:r>
              <w:rPr>
                <w:rFonts w:ascii="Cambria Math" w:hAnsi="Cambria Math" w:cs="Arial"/>
                <w:color w:val="000000" w:themeColor="text1"/>
                <w:kern w:val="24"/>
                <w:szCs w:val="18"/>
              </w:rPr>
              <m:t>ω</m:t>
            </m:r>
          </m:e>
        </m:d>
      </m:oMath>
      <w:r w:rsidRPr="006000FD">
        <w:rPr>
          <w:rFonts w:eastAsiaTheme="minorEastAsia" w:cs="Arial"/>
          <w:iCs/>
          <w:color w:val="000000" w:themeColor="text1"/>
          <w:kern w:val="24"/>
          <w:szCs w:val="18"/>
        </w:rPr>
        <w:t xml:space="preserve"> </w:t>
      </w:r>
      <w:r w:rsidR="00F87E59" w:rsidRPr="006000FD">
        <w:rPr>
          <w:rFonts w:eastAsiaTheme="minorEastAsia" w:cs="Arial"/>
          <w:iCs/>
          <w:color w:val="000000" w:themeColor="text1"/>
          <w:kern w:val="24"/>
          <w:szCs w:val="18"/>
        </w:rPr>
        <w:t>hence</w:t>
      </w:r>
      <w:r w:rsidRPr="006000FD">
        <w:rPr>
          <w:rFonts w:eastAsiaTheme="minorEastAsia" w:cs="Arial"/>
          <w:iCs/>
          <w:color w:val="000000" w:themeColor="text1"/>
          <w:kern w:val="24"/>
          <w:szCs w:val="18"/>
        </w:rPr>
        <w:t xml:space="preserve"> adding </w:t>
      </w:r>
      <w:r w:rsidRPr="006000FD">
        <w:rPr>
          <w:rFonts w:cs="Arial"/>
          <w:szCs w:val="18"/>
        </w:rPr>
        <w:t>a fourth term to the original equation</w:t>
      </w:r>
      <w:r>
        <w:rPr>
          <w:rFonts w:ascii="Century Schoolbook" w:hAnsi="Century Schoolbook" w:cs="CMU Serif"/>
        </w:rPr>
        <w:t>.</w:t>
      </w:r>
    </w:p>
    <w:p w14:paraId="5A7BAB89" w14:textId="77777777" w:rsidR="00204030" w:rsidRPr="00427994" w:rsidRDefault="00204030" w:rsidP="00946349">
      <w:pPr>
        <w:rPr>
          <w:rFonts w:cs="Arial"/>
          <w:szCs w:val="18"/>
        </w:rPr>
      </w:pPr>
    </w:p>
    <w:tbl>
      <w:tblPr>
        <w:tblW w:w="8640" w:type="dxa"/>
        <w:tblInd w:w="72" w:type="dxa"/>
        <w:tblLayout w:type="fixed"/>
        <w:tblLook w:val="04A0" w:firstRow="1" w:lastRow="0" w:firstColumn="1" w:lastColumn="0" w:noHBand="0" w:noVBand="1"/>
      </w:tblPr>
      <w:tblGrid>
        <w:gridCol w:w="7817"/>
        <w:gridCol w:w="823"/>
      </w:tblGrid>
      <w:tr w:rsidR="00C0399E" w14:paraId="7190E792" w14:textId="77777777" w:rsidTr="00EF454F">
        <w:trPr>
          <w:trHeight w:val="680"/>
        </w:trPr>
        <w:tc>
          <w:tcPr>
            <w:tcW w:w="7817" w:type="dxa"/>
            <w:shd w:val="clear" w:color="auto" w:fill="auto"/>
            <w:vAlign w:val="center"/>
          </w:tcPr>
          <w:p w14:paraId="5FC2F3FD" w14:textId="282E4E3E" w:rsidR="00C0399E" w:rsidRDefault="00C0399E" w:rsidP="00EF454F">
            <w:pPr>
              <w:pStyle w:val="CETEquation"/>
              <w:widowControl w:val="0"/>
            </w:pPr>
            <m:oMathPara>
              <m:oMathParaPr>
                <m:jc m:val="left"/>
              </m:oMathParaPr>
              <m:oMath>
                <m:r>
                  <w:rPr>
                    <w:rFonts w:ascii="Cambria Math" w:hAnsi="Cambria Math"/>
                    <w:color w:val="000000" w:themeColor="text1"/>
                    <w:kern w:val="24"/>
                    <w:szCs w:val="24"/>
                  </w:rPr>
                  <w:lastRenderedPageBreak/>
                  <m:t>m</m:t>
                </m:r>
                <m:d>
                  <m:dPr>
                    <m:ctrlPr>
                      <w:rPr>
                        <w:rFonts w:ascii="Cambria Math" w:eastAsiaTheme="minorEastAsia" w:hAnsi="Cambria Math"/>
                        <w:i/>
                        <w:iCs/>
                        <w:color w:val="000000" w:themeColor="text1"/>
                        <w:kern w:val="24"/>
                        <w:szCs w:val="24"/>
                      </w:rPr>
                    </m:ctrlPr>
                  </m:dPr>
                  <m:e>
                    <m:r>
                      <w:rPr>
                        <w:rFonts w:ascii="Cambria Math" w:hAnsi="Cambria Math"/>
                        <w:color w:val="000000" w:themeColor="text1"/>
                        <w:kern w:val="24"/>
                        <w:szCs w:val="24"/>
                      </w:rPr>
                      <m:t>ω</m:t>
                    </m:r>
                  </m:e>
                </m:d>
                <m:r>
                  <m:rPr>
                    <m:sty m:val="p"/>
                  </m:rPr>
                  <w:rPr>
                    <w:rFonts w:ascii="Cambria Math" w:hAnsi="Cambria Math"/>
                    <w:color w:val="000000" w:themeColor="text1"/>
                    <w:kern w:val="24"/>
                    <w:szCs w:val="24"/>
                  </w:rPr>
                  <m:t>=</m:t>
                </m:r>
                <m:r>
                  <w:rPr>
                    <w:rFonts w:ascii="Cambria Math" w:eastAsiaTheme="minorEastAsia" w:hAnsi="Cambria Math" w:cs="CMU Serif"/>
                  </w:rPr>
                  <m:t>0.37464+1.54226ω-0.26992</m:t>
                </m:r>
                <m:sSup>
                  <m:sSupPr>
                    <m:ctrlPr>
                      <w:rPr>
                        <w:rFonts w:ascii="Cambria Math" w:eastAsiaTheme="minorEastAsia" w:hAnsi="Cambria Math" w:cs="CMU Serif"/>
                      </w:rPr>
                    </m:ctrlPr>
                  </m:sSupPr>
                  <m:e>
                    <m:r>
                      <w:rPr>
                        <w:rFonts w:ascii="Cambria Math" w:eastAsiaTheme="minorEastAsia" w:hAnsi="Cambria Math" w:cs="CMU Serif"/>
                      </w:rPr>
                      <m:t>ω</m:t>
                    </m:r>
                  </m:e>
                  <m:sup>
                    <m:r>
                      <w:rPr>
                        <w:rFonts w:ascii="Cambria Math" w:eastAsiaTheme="minorEastAsia" w:hAnsi="Cambria Math" w:cs="CMU Serif"/>
                      </w:rPr>
                      <m:t>2</m:t>
                    </m:r>
                  </m:sup>
                </m:sSup>
              </m:oMath>
            </m:oMathPara>
          </w:p>
        </w:tc>
        <w:tc>
          <w:tcPr>
            <w:tcW w:w="823" w:type="dxa"/>
            <w:shd w:val="clear" w:color="auto" w:fill="auto"/>
            <w:vAlign w:val="center"/>
          </w:tcPr>
          <w:p w14:paraId="55171517" w14:textId="4CB5DAB4" w:rsidR="00C0399E" w:rsidRDefault="00C0399E" w:rsidP="00EF454F">
            <w:pPr>
              <w:pStyle w:val="CETEquation"/>
              <w:widowControl w:val="0"/>
              <w:jc w:val="right"/>
            </w:pPr>
            <w:r>
              <w:t>(</w:t>
            </w:r>
            <w:r w:rsidR="00204030">
              <w:t>9</w:t>
            </w:r>
            <w:r>
              <w:t>)</w:t>
            </w:r>
          </w:p>
        </w:tc>
      </w:tr>
      <w:tr w:rsidR="002A1DCD" w14:paraId="56698BE5" w14:textId="77777777" w:rsidTr="002A1DCD">
        <w:trPr>
          <w:trHeight w:val="283"/>
        </w:trPr>
        <w:tc>
          <w:tcPr>
            <w:tcW w:w="7817" w:type="dxa"/>
            <w:shd w:val="clear" w:color="auto" w:fill="auto"/>
            <w:vAlign w:val="center"/>
          </w:tcPr>
          <w:p w14:paraId="24065811" w14:textId="572B6697" w:rsidR="002A1DCD" w:rsidRDefault="002A1DCD" w:rsidP="00EF454F">
            <w:pPr>
              <w:pStyle w:val="CETEquation"/>
              <w:widowControl w:val="0"/>
              <w:rPr>
                <w:color w:val="000000" w:themeColor="text1"/>
                <w:kern w:val="24"/>
                <w:szCs w:val="24"/>
              </w:rPr>
            </w:pPr>
            <w:r>
              <w:rPr>
                <w:color w:val="000000" w:themeColor="text1"/>
                <w:kern w:val="24"/>
                <w:szCs w:val="24"/>
              </w:rPr>
              <w:t xml:space="preserve">If </w:t>
            </w:r>
            <m:oMath>
              <m:r>
                <w:rPr>
                  <w:rFonts w:ascii="Cambria Math" w:hAnsi="Cambria Math"/>
                  <w:color w:val="000000" w:themeColor="text1"/>
                  <w:kern w:val="24"/>
                  <w:szCs w:val="24"/>
                </w:rPr>
                <m:t>ω</m:t>
              </m:r>
              <m:r>
                <m:rPr>
                  <m:sty m:val="p"/>
                </m:rPr>
                <w:rPr>
                  <w:rFonts w:ascii="Cambria Math" w:hAnsi="Cambria Math"/>
                  <w:color w:val="000000" w:themeColor="text1"/>
                  <w:kern w:val="24"/>
                  <w:szCs w:val="24"/>
                </w:rPr>
                <m:t>≤0.49</m:t>
              </m:r>
            </m:oMath>
            <w:r>
              <w:rPr>
                <w:color w:val="000000" w:themeColor="text1"/>
                <w:kern w:val="24"/>
                <w:szCs w:val="24"/>
              </w:rPr>
              <w:t xml:space="preserve">. </w:t>
            </w:r>
            <w:r w:rsidR="00F87E59">
              <w:rPr>
                <w:color w:val="000000" w:themeColor="text1"/>
                <w:kern w:val="24"/>
                <w:szCs w:val="24"/>
              </w:rPr>
              <w:t>And</w:t>
            </w:r>
          </w:p>
        </w:tc>
        <w:tc>
          <w:tcPr>
            <w:tcW w:w="823" w:type="dxa"/>
            <w:shd w:val="clear" w:color="auto" w:fill="auto"/>
            <w:vAlign w:val="center"/>
          </w:tcPr>
          <w:p w14:paraId="226D4E82" w14:textId="77777777" w:rsidR="002A1DCD" w:rsidRDefault="002A1DCD" w:rsidP="00EF454F">
            <w:pPr>
              <w:pStyle w:val="CETEquation"/>
              <w:widowControl w:val="0"/>
              <w:jc w:val="right"/>
            </w:pPr>
          </w:p>
        </w:tc>
      </w:tr>
      <w:tr w:rsidR="00C0399E" w14:paraId="352E2A64" w14:textId="77777777" w:rsidTr="00EF454F">
        <w:trPr>
          <w:trHeight w:val="680"/>
        </w:trPr>
        <w:tc>
          <w:tcPr>
            <w:tcW w:w="7817" w:type="dxa"/>
            <w:shd w:val="clear" w:color="auto" w:fill="auto"/>
            <w:vAlign w:val="center"/>
          </w:tcPr>
          <w:p w14:paraId="3040C056" w14:textId="7582DAF7" w:rsidR="00C0399E" w:rsidRDefault="002A1DCD" w:rsidP="00EF454F">
            <w:pPr>
              <w:pStyle w:val="CETEquation"/>
              <w:widowControl w:val="0"/>
            </w:pPr>
            <m:oMathPara>
              <m:oMathParaPr>
                <m:jc m:val="left"/>
              </m:oMathParaPr>
              <m:oMath>
                <m:r>
                  <w:rPr>
                    <w:rFonts w:ascii="Cambria Math" w:eastAsiaTheme="minorEastAsia" w:hAnsi="Cambria Math" w:cs="CMU Serif"/>
                    <w:color w:val="000000" w:themeColor="text1"/>
                    <w:kern w:val="24"/>
                    <w:szCs w:val="24"/>
                  </w:rPr>
                  <m:t>m</m:t>
                </m:r>
                <m:d>
                  <m:dPr>
                    <m:ctrlPr>
                      <w:rPr>
                        <w:rFonts w:ascii="Cambria Math" w:eastAsiaTheme="minorEastAsia" w:hAnsi="Cambria Math"/>
                        <w:i/>
                        <w:iCs/>
                        <w:color w:val="000000" w:themeColor="text1"/>
                        <w:kern w:val="24"/>
                        <w:szCs w:val="24"/>
                      </w:rPr>
                    </m:ctrlPr>
                  </m:dPr>
                  <m:e>
                    <m:r>
                      <w:rPr>
                        <w:rFonts w:ascii="Cambria Math" w:hAnsi="Cambria Math"/>
                        <w:color w:val="000000" w:themeColor="text1"/>
                        <w:kern w:val="24"/>
                        <w:szCs w:val="24"/>
                      </w:rPr>
                      <m:t>ω</m:t>
                    </m:r>
                  </m:e>
                </m:d>
                <m:r>
                  <w:rPr>
                    <w:rFonts w:ascii="Cambria Math" w:eastAsiaTheme="minorEastAsia" w:hAnsi="Cambria Math" w:cs="CMU Serif"/>
                    <w:color w:val="000000" w:themeColor="text1"/>
                    <w:kern w:val="24"/>
                    <w:szCs w:val="24"/>
                  </w:rPr>
                  <m:t>=0.379642+1.48503ω-0.1644</m:t>
                </m:r>
                <m:sSup>
                  <m:sSupPr>
                    <m:ctrlPr>
                      <w:rPr>
                        <w:rFonts w:ascii="Cambria Math" w:eastAsiaTheme="minorEastAsia" w:hAnsi="Cambria Math" w:cs="CMU Serif"/>
                        <w:iCs/>
                        <w:color w:val="000000" w:themeColor="text1"/>
                        <w:kern w:val="24"/>
                        <w:szCs w:val="24"/>
                      </w:rPr>
                    </m:ctrlPr>
                  </m:sSupPr>
                  <m:e>
                    <m:r>
                      <w:rPr>
                        <w:rFonts w:ascii="Cambria Math" w:eastAsiaTheme="minorEastAsia" w:hAnsi="Cambria Math" w:cs="CMU Serif"/>
                        <w:color w:val="000000" w:themeColor="text1"/>
                        <w:kern w:val="24"/>
                        <w:szCs w:val="24"/>
                      </w:rPr>
                      <m:t>ω</m:t>
                    </m:r>
                  </m:e>
                  <m:sup>
                    <m:r>
                      <w:rPr>
                        <w:rFonts w:ascii="Cambria Math" w:eastAsiaTheme="minorEastAsia" w:hAnsi="Cambria Math" w:cs="CMU Serif"/>
                        <w:color w:val="000000" w:themeColor="text1"/>
                        <w:kern w:val="24"/>
                        <w:szCs w:val="24"/>
                      </w:rPr>
                      <m:t>2</m:t>
                    </m:r>
                  </m:sup>
                </m:sSup>
                <m:r>
                  <w:rPr>
                    <w:rFonts w:ascii="Cambria Math" w:eastAsiaTheme="minorEastAsia" w:hAnsi="Cambria Math" w:cs="CMU Serif"/>
                    <w:color w:val="000000" w:themeColor="text1"/>
                    <w:kern w:val="24"/>
                    <w:szCs w:val="24"/>
                  </w:rPr>
                  <m:t>+0.016667</m:t>
                </m:r>
                <m:sSup>
                  <m:sSupPr>
                    <m:ctrlPr>
                      <w:rPr>
                        <w:rFonts w:ascii="Cambria Math" w:eastAsiaTheme="minorEastAsia" w:hAnsi="Cambria Math" w:cs="CMU Serif"/>
                        <w:iCs/>
                        <w:color w:val="000000" w:themeColor="text1"/>
                        <w:kern w:val="24"/>
                        <w:szCs w:val="24"/>
                      </w:rPr>
                    </m:ctrlPr>
                  </m:sSupPr>
                  <m:e>
                    <m:r>
                      <w:rPr>
                        <w:rFonts w:ascii="Cambria Math" w:eastAsiaTheme="minorEastAsia" w:hAnsi="Cambria Math" w:cs="CMU Serif"/>
                        <w:color w:val="000000" w:themeColor="text1"/>
                        <w:kern w:val="24"/>
                        <w:szCs w:val="24"/>
                      </w:rPr>
                      <m:t>ω</m:t>
                    </m:r>
                  </m:e>
                  <m:sup>
                    <m:r>
                      <w:rPr>
                        <w:rFonts w:ascii="Cambria Math" w:eastAsiaTheme="minorEastAsia" w:hAnsi="Cambria Math" w:cs="CMU Serif"/>
                        <w:color w:val="000000" w:themeColor="text1"/>
                        <w:kern w:val="24"/>
                        <w:szCs w:val="24"/>
                      </w:rPr>
                      <m:t>3</m:t>
                    </m:r>
                  </m:sup>
                </m:sSup>
              </m:oMath>
            </m:oMathPara>
          </w:p>
        </w:tc>
        <w:tc>
          <w:tcPr>
            <w:tcW w:w="823" w:type="dxa"/>
            <w:shd w:val="clear" w:color="auto" w:fill="auto"/>
            <w:vAlign w:val="center"/>
          </w:tcPr>
          <w:p w14:paraId="3F1F773D" w14:textId="05209408" w:rsidR="00C0399E" w:rsidRDefault="00C0399E" w:rsidP="00EF454F">
            <w:pPr>
              <w:pStyle w:val="CETEquation"/>
              <w:widowControl w:val="0"/>
              <w:jc w:val="right"/>
            </w:pPr>
            <w:r>
              <w:t>(</w:t>
            </w:r>
            <w:r w:rsidR="009F22ED">
              <w:t>1</w:t>
            </w:r>
            <w:r w:rsidR="00204030">
              <w:t>0</w:t>
            </w:r>
            <w:r>
              <w:t>)</w:t>
            </w:r>
          </w:p>
        </w:tc>
      </w:tr>
      <w:tr w:rsidR="002A1DCD" w14:paraId="176F730B" w14:textId="77777777" w:rsidTr="002A1DCD">
        <w:trPr>
          <w:trHeight w:val="283"/>
        </w:trPr>
        <w:tc>
          <w:tcPr>
            <w:tcW w:w="7817" w:type="dxa"/>
            <w:shd w:val="clear" w:color="auto" w:fill="auto"/>
            <w:vAlign w:val="center"/>
          </w:tcPr>
          <w:p w14:paraId="33285B98" w14:textId="0AC5370C" w:rsidR="002A1DCD" w:rsidRPr="002A1DCD" w:rsidRDefault="002A1DCD" w:rsidP="00EF454F">
            <w:pPr>
              <w:pStyle w:val="CETEquation"/>
              <w:widowControl w:val="0"/>
              <w:rPr>
                <w:color w:val="000000" w:themeColor="text1"/>
                <w:kern w:val="24"/>
                <w:szCs w:val="24"/>
              </w:rPr>
            </w:pPr>
            <w:r>
              <w:rPr>
                <w:color w:val="000000" w:themeColor="text1"/>
                <w:kern w:val="24"/>
                <w:szCs w:val="24"/>
              </w:rPr>
              <w:t xml:space="preserve">if </w:t>
            </w:r>
            <m:oMath>
              <m:r>
                <w:rPr>
                  <w:rFonts w:ascii="Cambria Math" w:hAnsi="Cambria Math"/>
                  <w:color w:val="000000" w:themeColor="text1"/>
                  <w:kern w:val="24"/>
                  <w:szCs w:val="24"/>
                </w:rPr>
                <m:t>ω</m:t>
              </m:r>
              <m:r>
                <m:rPr>
                  <m:sty m:val="p"/>
                </m:rPr>
                <w:rPr>
                  <w:rFonts w:ascii="Cambria Math" w:hAnsi="Cambria Math"/>
                  <w:color w:val="000000" w:themeColor="text1"/>
                  <w:kern w:val="24"/>
                  <w:szCs w:val="24"/>
                </w:rPr>
                <m:t>&gt;0.49</m:t>
              </m:r>
            </m:oMath>
            <w:r>
              <w:rPr>
                <w:color w:val="000000" w:themeColor="text1"/>
                <w:kern w:val="24"/>
                <w:szCs w:val="24"/>
              </w:rPr>
              <w:t>.</w:t>
            </w:r>
          </w:p>
        </w:tc>
        <w:tc>
          <w:tcPr>
            <w:tcW w:w="823" w:type="dxa"/>
            <w:shd w:val="clear" w:color="auto" w:fill="auto"/>
            <w:vAlign w:val="center"/>
          </w:tcPr>
          <w:p w14:paraId="2E4E9323" w14:textId="77777777" w:rsidR="002A1DCD" w:rsidRDefault="002A1DCD" w:rsidP="00EF454F">
            <w:pPr>
              <w:pStyle w:val="CETEquation"/>
              <w:widowControl w:val="0"/>
              <w:jc w:val="right"/>
            </w:pPr>
          </w:p>
        </w:tc>
      </w:tr>
    </w:tbl>
    <w:p w14:paraId="42C8C6F9" w14:textId="77777777" w:rsidR="00427994" w:rsidRDefault="00427994" w:rsidP="00427994">
      <w:pPr>
        <w:rPr>
          <w:rFonts w:cs="Arial"/>
          <w:szCs w:val="18"/>
        </w:rPr>
      </w:pPr>
      <w:r w:rsidRPr="006000FD">
        <w:rPr>
          <w:rFonts w:cs="Arial"/>
          <w:szCs w:val="18"/>
        </w:rPr>
        <w:t xml:space="preserve">For both SRK and PR equations, the parameters </w:t>
      </w:r>
      <m:oMath>
        <m:r>
          <w:rPr>
            <w:rFonts w:ascii="Cambria Math" w:hAnsi="Cambria Math" w:cs="Arial"/>
            <w:szCs w:val="18"/>
          </w:rPr>
          <m:t>a</m:t>
        </m:r>
      </m:oMath>
      <w:r w:rsidRPr="006000FD">
        <w:rPr>
          <w:rFonts w:cs="Arial"/>
          <w:szCs w:val="18"/>
        </w:rPr>
        <w:t xml:space="preserve">, </w:t>
      </w:r>
      <m:oMath>
        <m:r>
          <w:rPr>
            <w:rFonts w:ascii="Cambria Math" w:hAnsi="Cambria Math" w:cs="Arial"/>
            <w:szCs w:val="18"/>
          </w:rPr>
          <m:t>b</m:t>
        </m:r>
      </m:oMath>
      <w:r w:rsidRPr="006000FD">
        <w:rPr>
          <w:rFonts w:cs="Arial"/>
          <w:szCs w:val="18"/>
        </w:rPr>
        <w:t xml:space="preserve"> and </w:t>
      </w:r>
      <m:oMath>
        <m:r>
          <w:rPr>
            <w:rFonts w:ascii="Cambria Math" w:hAnsi="Cambria Math" w:cs="Arial"/>
            <w:szCs w:val="18"/>
          </w:rPr>
          <m:t>α</m:t>
        </m:r>
      </m:oMath>
      <w:r w:rsidRPr="006000FD">
        <w:rPr>
          <w:rFonts w:cs="Arial"/>
          <w:szCs w:val="18"/>
        </w:rPr>
        <w:t xml:space="preserve"> are empirical functions of the critical temperature, critical pressure, Pitzer's acentric factor and the temperature of the system.</w:t>
      </w:r>
    </w:p>
    <w:p w14:paraId="1B0C9B07" w14:textId="77777777" w:rsidR="003914EB" w:rsidRDefault="003914EB" w:rsidP="00F84A39">
      <w:pPr>
        <w:pStyle w:val="ListParagraph"/>
        <w:ind w:left="0"/>
      </w:pPr>
    </w:p>
    <w:p w14:paraId="32BEF8E3" w14:textId="69D84B44" w:rsidR="00114C4A" w:rsidRDefault="001D614A" w:rsidP="00114C4A">
      <w:pPr>
        <w:pStyle w:val="ListParagraph"/>
        <w:numPr>
          <w:ilvl w:val="2"/>
          <w:numId w:val="1"/>
        </w:numPr>
        <w:spacing w:line="240" w:lineRule="auto"/>
        <w:rPr>
          <w:b/>
          <w:bCs/>
        </w:rPr>
      </w:pPr>
      <w:r w:rsidRPr="001D614A">
        <w:rPr>
          <w:b/>
          <w:bCs/>
        </w:rPr>
        <w:t xml:space="preserve">van der Waals </w:t>
      </w:r>
      <w:r w:rsidR="00D709A4">
        <w:rPr>
          <w:b/>
          <w:bCs/>
        </w:rPr>
        <w:t>M</w:t>
      </w:r>
      <w:r w:rsidRPr="001D614A">
        <w:rPr>
          <w:b/>
          <w:bCs/>
        </w:rPr>
        <w:t xml:space="preserve">ixing </w:t>
      </w:r>
      <w:r w:rsidR="00D709A4">
        <w:rPr>
          <w:b/>
          <w:bCs/>
        </w:rPr>
        <w:t>R</w:t>
      </w:r>
      <w:r w:rsidRPr="001D614A">
        <w:rPr>
          <w:b/>
          <w:bCs/>
        </w:rPr>
        <w:t>ules</w:t>
      </w:r>
    </w:p>
    <w:p w14:paraId="3348BD92" w14:textId="77777777" w:rsidR="001C70C6" w:rsidRPr="0078342F" w:rsidRDefault="001C70C6" w:rsidP="00114C4A">
      <w:pPr>
        <w:pStyle w:val="ListParagraph"/>
        <w:spacing w:line="240" w:lineRule="auto"/>
        <w:ind w:left="0"/>
        <w:rPr>
          <w:b/>
          <w:bCs/>
          <w:sz w:val="10"/>
          <w:szCs w:val="10"/>
        </w:rPr>
      </w:pPr>
    </w:p>
    <w:p w14:paraId="4A14C6F7" w14:textId="7668FECB" w:rsidR="009F22ED" w:rsidRDefault="00506EB4" w:rsidP="0086587C">
      <w:pPr>
        <w:pStyle w:val="ListParagraph"/>
        <w:ind w:left="0"/>
        <w:rPr>
          <w:rFonts w:ascii="Century Schoolbook" w:hAnsi="Century Schoolbook" w:cs="CMU Serif"/>
        </w:rPr>
      </w:pPr>
      <w:r>
        <w:rPr>
          <w:rFonts w:cs="Arial"/>
        </w:rPr>
        <w:t>Classical m</w:t>
      </w:r>
      <w:r w:rsidR="00AC1298" w:rsidRPr="00114C4A">
        <w:rPr>
          <w:rFonts w:cs="Arial"/>
        </w:rPr>
        <w:t>ixing rules have been proposed to calculate the mixing parameters of equations of state, one of them being the van der Waals mixing rules. They provide the mixing parameters from the parameters of the constituent</w:t>
      </w:r>
      <w:r w:rsidR="00A3461A">
        <w:rPr>
          <w:rFonts w:cs="Arial"/>
        </w:rPr>
        <w:t>s</w:t>
      </w:r>
      <w:r w:rsidR="00AC1298" w:rsidRPr="00114C4A">
        <w:rPr>
          <w:rFonts w:cs="Arial"/>
        </w:rPr>
        <w:t xml:space="preserve"> </w:t>
      </w:r>
      <w:r w:rsidR="00A3461A">
        <w:rPr>
          <w:rFonts w:cs="Arial"/>
        </w:rPr>
        <w:t xml:space="preserve">of </w:t>
      </w:r>
      <w:r w:rsidR="00AC1298" w:rsidRPr="00114C4A">
        <w:rPr>
          <w:rFonts w:cs="Arial"/>
        </w:rPr>
        <w:t xml:space="preserve">pure species. For a </w:t>
      </w:r>
      <w:r w:rsidR="00724F0E">
        <w:rPr>
          <w:rFonts w:cs="Arial"/>
        </w:rPr>
        <w:t>multi-component</w:t>
      </w:r>
      <w:r w:rsidR="00AC1298" w:rsidRPr="00114C4A">
        <w:rPr>
          <w:rFonts w:cs="Arial"/>
        </w:rPr>
        <w:t xml:space="preserve"> system mixing rules </w:t>
      </w:r>
      <w:r>
        <w:rPr>
          <w:rFonts w:cs="Arial"/>
        </w:rPr>
        <w:t>are</w:t>
      </w:r>
      <w:r w:rsidR="00AC1298" w:rsidRPr="00114C4A">
        <w:rPr>
          <w:rFonts w:cs="Arial"/>
        </w:rPr>
        <w:t xml:space="preserve"> defined as shown</w:t>
      </w:r>
      <w:r w:rsidR="00AC1298" w:rsidRPr="00AC1298">
        <w:rPr>
          <w:rFonts w:ascii="Century Schoolbook" w:hAnsi="Century Schoolbook" w:cs="CMU Serif"/>
        </w:rPr>
        <w:t>:</w:t>
      </w:r>
    </w:p>
    <w:tbl>
      <w:tblPr>
        <w:tblW w:w="8815" w:type="dxa"/>
        <w:tblInd w:w="72" w:type="dxa"/>
        <w:tblLayout w:type="fixed"/>
        <w:tblLook w:val="04A0" w:firstRow="1" w:lastRow="0" w:firstColumn="1" w:lastColumn="0" w:noHBand="0" w:noVBand="1"/>
      </w:tblPr>
      <w:tblGrid>
        <w:gridCol w:w="7738"/>
        <w:gridCol w:w="1077"/>
      </w:tblGrid>
      <w:tr w:rsidR="009F22ED" w14:paraId="70100154" w14:textId="77777777" w:rsidTr="00141E5D">
        <w:tc>
          <w:tcPr>
            <w:tcW w:w="7738" w:type="dxa"/>
            <w:shd w:val="clear" w:color="auto" w:fill="auto"/>
            <w:vAlign w:val="center"/>
          </w:tcPr>
          <w:p w14:paraId="56ADA590" w14:textId="14DA28C4" w:rsidR="009F22ED" w:rsidRDefault="009F22ED" w:rsidP="00EF454F">
            <w:pPr>
              <w:pStyle w:val="CETEquation"/>
              <w:widowControl w:val="0"/>
            </w:pPr>
            <m:oMath>
              <m:r>
                <w:rPr>
                  <w:rFonts w:ascii="Cambria Math" w:eastAsia="Calibri" w:hAnsi="Cambria Math"/>
                  <w:color w:val="000000" w:themeColor="text1"/>
                  <w:kern w:val="24"/>
                </w:rPr>
                <m:t>a</m:t>
              </m:r>
              <m:r>
                <m:rPr>
                  <m:sty m:val="p"/>
                </m:rPr>
                <w:rPr>
                  <w:rFonts w:ascii="Cambria Math" w:hAnsi="Cambria Math"/>
                  <w:color w:val="000000" w:themeColor="text1"/>
                  <w:kern w:val="24"/>
                </w:rPr>
                <m:t>=</m:t>
              </m:r>
              <m:nary>
                <m:naryPr>
                  <m:chr m:val="∑"/>
                  <m:limLoc m:val="undOvr"/>
                  <m:grow m:val="1"/>
                  <m:supHide m:val="1"/>
                  <m:ctrlPr>
                    <w:rPr>
                      <w:rFonts w:ascii="Cambria Math" w:eastAsiaTheme="minorEastAsia" w:hAnsi="Cambria Math"/>
                      <w:i/>
                      <w:iCs/>
                      <w:color w:val="000000" w:themeColor="text1"/>
                      <w:kern w:val="24"/>
                    </w:rPr>
                  </m:ctrlPr>
                </m:naryPr>
                <m:sub>
                  <m:r>
                    <w:rPr>
                      <w:rFonts w:ascii="Cambria Math" w:hAnsi="Cambria Math"/>
                      <w:color w:val="000000" w:themeColor="text1"/>
                      <w:kern w:val="24"/>
                    </w:rPr>
                    <m:t>i</m:t>
                  </m:r>
                </m:sub>
                <m:sup/>
                <m:e>
                  <m:r>
                    <m:rPr>
                      <m:sty m:val="p"/>
                    </m:rPr>
                    <w:rPr>
                      <w:rFonts w:ascii="Cambria Math" w:hAnsi="Cambria Math"/>
                      <w:color w:val="000000" w:themeColor="text1"/>
                      <w:kern w:val="24"/>
                    </w:rPr>
                    <m:t> </m:t>
                  </m:r>
                </m:e>
              </m:nary>
              <m:nary>
                <m:naryPr>
                  <m:chr m:val="∑"/>
                  <m:limLoc m:val="undOvr"/>
                  <m:grow m:val="1"/>
                  <m:supHide m:val="1"/>
                  <m:ctrlPr>
                    <w:rPr>
                      <w:rFonts w:ascii="Cambria Math" w:eastAsiaTheme="minorEastAsia" w:hAnsi="Cambria Math"/>
                      <w:i/>
                      <w:iCs/>
                      <w:color w:val="000000" w:themeColor="text1"/>
                      <w:kern w:val="24"/>
                    </w:rPr>
                  </m:ctrlPr>
                </m:naryPr>
                <m:sub>
                  <m:r>
                    <w:rPr>
                      <w:rFonts w:ascii="Cambria Math" w:hAnsi="Cambria Math"/>
                      <w:color w:val="000000" w:themeColor="text1"/>
                      <w:kern w:val="24"/>
                    </w:rPr>
                    <m:t>j</m:t>
                  </m:r>
                </m:sub>
                <m:sup/>
                <m:e>
                  <m:r>
                    <m:rPr>
                      <m:sty m:val="p"/>
                    </m:rPr>
                    <w:rPr>
                      <w:rFonts w:ascii="Cambria Math" w:hAnsi="Cambria Math"/>
                      <w:color w:val="000000" w:themeColor="text1"/>
                      <w:kern w:val="24"/>
                    </w:rPr>
                    <m:t> </m:t>
                  </m:r>
                </m:e>
              </m:nary>
              <m:sSub>
                <m:sSubPr>
                  <m:ctrlPr>
                    <w:rPr>
                      <w:rFonts w:ascii="Cambria Math" w:eastAsiaTheme="minorEastAsia" w:hAnsi="Cambria Math"/>
                      <w:i/>
                      <w:iCs/>
                      <w:color w:val="836967"/>
                      <w:kern w:val="24"/>
                    </w:rPr>
                  </m:ctrlPr>
                </m:sSubPr>
                <m:e>
                  <m:r>
                    <w:rPr>
                      <w:rFonts w:ascii="Cambria Math" w:hAnsi="Cambria Math"/>
                      <w:color w:val="000000" w:themeColor="text1"/>
                      <w:kern w:val="24"/>
                    </w:rPr>
                    <m:t>x</m:t>
                  </m:r>
                </m:e>
                <m:sub>
                  <m:r>
                    <w:rPr>
                      <w:rFonts w:ascii="Cambria Math" w:hAnsi="Cambria Math"/>
                      <w:color w:val="000000" w:themeColor="text1"/>
                      <w:kern w:val="24"/>
                    </w:rPr>
                    <m:t>i</m:t>
                  </m:r>
                </m:sub>
              </m:sSub>
              <m:sSub>
                <m:sSubPr>
                  <m:ctrlPr>
                    <w:rPr>
                      <w:rFonts w:ascii="Cambria Math" w:eastAsiaTheme="minorEastAsia" w:hAnsi="Cambria Math"/>
                      <w:i/>
                      <w:iCs/>
                      <w:color w:val="836967"/>
                      <w:kern w:val="24"/>
                    </w:rPr>
                  </m:ctrlPr>
                </m:sSubPr>
                <m:e>
                  <m:r>
                    <w:rPr>
                      <w:rFonts w:ascii="Cambria Math" w:hAnsi="Cambria Math"/>
                      <w:color w:val="000000" w:themeColor="text1"/>
                      <w:kern w:val="24"/>
                    </w:rPr>
                    <m:t>x</m:t>
                  </m:r>
                </m:e>
                <m:sub>
                  <m:r>
                    <w:rPr>
                      <w:rFonts w:ascii="Cambria Math" w:hAnsi="Cambria Math"/>
                      <w:color w:val="000000" w:themeColor="text1"/>
                      <w:kern w:val="24"/>
                    </w:rPr>
                    <m:t>j</m:t>
                  </m:r>
                </m:sub>
              </m:sSub>
              <m:sSub>
                <m:sSubPr>
                  <m:ctrlPr>
                    <w:rPr>
                      <w:rFonts w:ascii="Cambria Math" w:eastAsiaTheme="minorEastAsia" w:hAnsi="Cambria Math"/>
                      <w:i/>
                      <w:iCs/>
                      <w:color w:val="836967"/>
                      <w:kern w:val="24"/>
                    </w:rPr>
                  </m:ctrlPr>
                </m:sSubPr>
                <m:e>
                  <m:r>
                    <w:rPr>
                      <w:rFonts w:ascii="Cambria Math" w:hAnsi="Cambria Math"/>
                      <w:color w:val="000000" w:themeColor="text1"/>
                      <w:kern w:val="24"/>
                    </w:rPr>
                    <m:t>a</m:t>
                  </m:r>
                </m:e>
                <m:sub>
                  <m:r>
                    <w:rPr>
                      <w:rFonts w:ascii="Cambria Math" w:hAnsi="Cambria Math"/>
                      <w:color w:val="000000" w:themeColor="text1"/>
                      <w:kern w:val="24"/>
                    </w:rPr>
                    <m:t>ij</m:t>
                  </m:r>
                </m:sub>
              </m:sSub>
            </m:oMath>
            <w:r>
              <w:t xml:space="preserve">  and  </w:t>
            </w:r>
            <m:oMath>
              <m:sSub>
                <m:sSubPr>
                  <m:ctrlPr>
                    <w:rPr>
                      <w:rFonts w:ascii="Cambria Math" w:hAnsi="Cambria Math"/>
                      <w:i/>
                      <w:iCs/>
                      <w:color w:val="000000" w:themeColor="text1"/>
                      <w:kern w:val="24"/>
                    </w:rPr>
                  </m:ctrlPr>
                </m:sSubPr>
                <m:e>
                  <m:r>
                    <w:rPr>
                      <w:rFonts w:ascii="Cambria Math" w:hAnsi="Cambria Math"/>
                      <w:color w:val="000000" w:themeColor="text1"/>
                      <w:kern w:val="24"/>
                    </w:rPr>
                    <m:t>a</m:t>
                  </m:r>
                </m:e>
                <m:sub>
                  <m:r>
                    <w:rPr>
                      <w:rFonts w:ascii="Cambria Math" w:hAnsi="Cambria Math"/>
                      <w:color w:val="000000" w:themeColor="text1"/>
                      <w:kern w:val="24"/>
                    </w:rPr>
                    <m:t>ij</m:t>
                  </m:r>
                </m:sub>
              </m:sSub>
              <m:r>
                <w:rPr>
                  <w:rFonts w:ascii="Cambria Math" w:hAnsi="Cambria Math"/>
                  <w:color w:val="000000" w:themeColor="text1"/>
                  <w:kern w:val="24"/>
                </w:rPr>
                <m:t>=</m:t>
              </m:r>
              <m:rad>
                <m:radPr>
                  <m:degHide m:val="1"/>
                  <m:ctrlPr>
                    <w:rPr>
                      <w:rFonts w:ascii="Cambria Math" w:hAnsi="Cambria Math"/>
                      <w:i/>
                      <w:iCs/>
                      <w:color w:val="000000" w:themeColor="text1"/>
                      <w:kern w:val="24"/>
                    </w:rPr>
                  </m:ctrlPr>
                </m:radPr>
                <m:deg/>
                <m:e>
                  <m:sSub>
                    <m:sSubPr>
                      <m:ctrlPr>
                        <w:rPr>
                          <w:rFonts w:ascii="Cambria Math" w:hAnsi="Cambria Math"/>
                          <w:i/>
                          <w:iCs/>
                          <w:color w:val="000000" w:themeColor="text1"/>
                          <w:kern w:val="24"/>
                        </w:rPr>
                      </m:ctrlPr>
                    </m:sSubPr>
                    <m:e>
                      <m:r>
                        <w:rPr>
                          <w:rFonts w:ascii="Cambria Math" w:hAnsi="Cambria Math"/>
                          <w:color w:val="000000" w:themeColor="text1"/>
                          <w:kern w:val="24"/>
                        </w:rPr>
                        <m:t>a</m:t>
                      </m:r>
                    </m:e>
                    <m:sub>
                      <m:r>
                        <w:rPr>
                          <w:rFonts w:ascii="Cambria Math" w:hAnsi="Cambria Math"/>
                          <w:color w:val="000000" w:themeColor="text1"/>
                          <w:kern w:val="24"/>
                        </w:rPr>
                        <m:t>i</m:t>
                      </m:r>
                    </m:sub>
                  </m:sSub>
                  <m:sSub>
                    <m:sSubPr>
                      <m:ctrlPr>
                        <w:rPr>
                          <w:rFonts w:ascii="Cambria Math" w:hAnsi="Cambria Math"/>
                          <w:i/>
                          <w:iCs/>
                          <w:color w:val="000000" w:themeColor="text1"/>
                          <w:kern w:val="24"/>
                        </w:rPr>
                      </m:ctrlPr>
                    </m:sSubPr>
                    <m:e>
                      <m:r>
                        <w:rPr>
                          <w:rFonts w:ascii="Cambria Math" w:hAnsi="Cambria Math"/>
                          <w:color w:val="000000" w:themeColor="text1"/>
                          <w:kern w:val="24"/>
                        </w:rPr>
                        <m:t>a</m:t>
                      </m:r>
                    </m:e>
                    <m:sub>
                      <m:r>
                        <w:rPr>
                          <w:rFonts w:ascii="Cambria Math" w:hAnsi="Cambria Math"/>
                          <w:color w:val="000000" w:themeColor="text1"/>
                          <w:kern w:val="24"/>
                        </w:rPr>
                        <m:t>j</m:t>
                      </m:r>
                    </m:sub>
                  </m:sSub>
                </m:e>
              </m:rad>
              <m:d>
                <m:dPr>
                  <m:ctrlPr>
                    <w:rPr>
                      <w:rFonts w:ascii="Cambria Math" w:hAnsi="Cambria Math"/>
                      <w:i/>
                      <w:iCs/>
                      <w:color w:val="000000" w:themeColor="text1"/>
                      <w:kern w:val="24"/>
                    </w:rPr>
                  </m:ctrlPr>
                </m:dPr>
                <m:e>
                  <m:r>
                    <w:rPr>
                      <w:rFonts w:ascii="Cambria Math" w:hAnsi="Cambria Math"/>
                      <w:color w:val="000000" w:themeColor="text1"/>
                      <w:kern w:val="24"/>
                    </w:rPr>
                    <m:t>1-</m:t>
                  </m:r>
                  <m:sSub>
                    <m:sSubPr>
                      <m:ctrlPr>
                        <w:rPr>
                          <w:rFonts w:ascii="Cambria Math" w:hAnsi="Cambria Math"/>
                          <w:i/>
                          <w:iCs/>
                          <w:color w:val="000000" w:themeColor="text1"/>
                          <w:kern w:val="24"/>
                        </w:rPr>
                      </m:ctrlPr>
                    </m:sSubPr>
                    <m:e>
                      <m:r>
                        <w:rPr>
                          <w:rFonts w:ascii="Cambria Math" w:hAnsi="Cambria Math"/>
                          <w:color w:val="000000" w:themeColor="text1"/>
                          <w:kern w:val="24"/>
                        </w:rPr>
                        <m:t>k</m:t>
                      </m:r>
                    </m:e>
                    <m:sub>
                      <m:r>
                        <w:rPr>
                          <w:rFonts w:ascii="Cambria Math" w:hAnsi="Cambria Math"/>
                          <w:color w:val="000000" w:themeColor="text1"/>
                          <w:kern w:val="24"/>
                        </w:rPr>
                        <m:t>ij</m:t>
                      </m:r>
                    </m:sub>
                  </m:sSub>
                </m:e>
              </m:d>
            </m:oMath>
          </w:p>
        </w:tc>
        <w:tc>
          <w:tcPr>
            <w:tcW w:w="1077" w:type="dxa"/>
            <w:shd w:val="clear" w:color="auto" w:fill="auto"/>
            <w:vAlign w:val="center"/>
          </w:tcPr>
          <w:p w14:paraId="5EB565D2" w14:textId="1C68B982" w:rsidR="009F22ED" w:rsidRDefault="009F22ED" w:rsidP="00141E5D">
            <w:pPr>
              <w:pStyle w:val="CETEquation"/>
              <w:widowControl w:val="0"/>
            </w:pPr>
            <w:r>
              <w:t>(1</w:t>
            </w:r>
            <w:r w:rsidR="00204030">
              <w:t>1</w:t>
            </w:r>
            <w:r>
              <w:t>a, 1</w:t>
            </w:r>
            <w:r w:rsidR="00204030">
              <w:t>1</w:t>
            </w:r>
            <w:r>
              <w:t>b)</w:t>
            </w:r>
          </w:p>
        </w:tc>
      </w:tr>
      <w:tr w:rsidR="009F22ED" w14:paraId="121AF5AF" w14:textId="77777777" w:rsidTr="00141E5D">
        <w:tc>
          <w:tcPr>
            <w:tcW w:w="7738" w:type="dxa"/>
            <w:shd w:val="clear" w:color="auto" w:fill="auto"/>
            <w:vAlign w:val="center"/>
          </w:tcPr>
          <w:p w14:paraId="1D7B012E" w14:textId="507ED21F" w:rsidR="009F22ED" w:rsidRDefault="009F22ED" w:rsidP="00EF454F">
            <w:pPr>
              <w:pStyle w:val="CETEquation"/>
              <w:widowControl w:val="0"/>
            </w:pPr>
            <m:oMath>
              <m:r>
                <w:rPr>
                  <w:rFonts w:ascii="Cambria Math" w:hAnsi="Cambria Math"/>
                  <w:color w:val="000000" w:themeColor="text1"/>
                  <w:kern w:val="24"/>
                </w:rPr>
                <m:t>b</m:t>
              </m:r>
              <m:r>
                <m:rPr>
                  <m:sty m:val="p"/>
                </m:rPr>
                <w:rPr>
                  <w:rFonts w:ascii="Cambria Math" w:hAnsi="Cambria Math"/>
                  <w:color w:val="000000" w:themeColor="text1"/>
                  <w:kern w:val="24"/>
                </w:rPr>
                <m:t>=</m:t>
              </m:r>
              <m:nary>
                <m:naryPr>
                  <m:chr m:val="∑"/>
                  <m:limLoc m:val="undOvr"/>
                  <m:grow m:val="1"/>
                  <m:supHide m:val="1"/>
                  <m:ctrlPr>
                    <w:rPr>
                      <w:rFonts w:ascii="Cambria Math" w:eastAsiaTheme="minorEastAsia" w:hAnsi="Cambria Math"/>
                      <w:i/>
                      <w:iCs/>
                      <w:color w:val="000000" w:themeColor="text1"/>
                      <w:kern w:val="24"/>
                    </w:rPr>
                  </m:ctrlPr>
                </m:naryPr>
                <m:sub>
                  <m:r>
                    <w:rPr>
                      <w:rFonts w:ascii="Cambria Math" w:hAnsi="Cambria Math"/>
                      <w:color w:val="000000" w:themeColor="text1"/>
                      <w:kern w:val="24"/>
                    </w:rPr>
                    <m:t>i</m:t>
                  </m:r>
                </m:sub>
                <m:sup/>
                <m:e>
                  <m:r>
                    <m:rPr>
                      <m:sty m:val="p"/>
                    </m:rPr>
                    <w:rPr>
                      <w:rFonts w:ascii="Cambria Math" w:hAnsi="Cambria Math"/>
                      <w:color w:val="000000" w:themeColor="text1"/>
                      <w:kern w:val="24"/>
                    </w:rPr>
                    <m:t> </m:t>
                  </m:r>
                </m:e>
              </m:nary>
              <m:nary>
                <m:naryPr>
                  <m:chr m:val="∑"/>
                  <m:limLoc m:val="undOvr"/>
                  <m:grow m:val="1"/>
                  <m:supHide m:val="1"/>
                  <m:ctrlPr>
                    <w:rPr>
                      <w:rFonts w:ascii="Cambria Math" w:eastAsiaTheme="minorEastAsia" w:hAnsi="Cambria Math"/>
                      <w:i/>
                      <w:iCs/>
                      <w:color w:val="000000" w:themeColor="text1"/>
                      <w:kern w:val="24"/>
                    </w:rPr>
                  </m:ctrlPr>
                </m:naryPr>
                <m:sub>
                  <m:r>
                    <w:rPr>
                      <w:rFonts w:ascii="Cambria Math" w:hAnsi="Cambria Math"/>
                      <w:color w:val="000000" w:themeColor="text1"/>
                      <w:kern w:val="24"/>
                    </w:rPr>
                    <m:t>j</m:t>
                  </m:r>
                </m:sub>
                <m:sup/>
                <m:e>
                  <m:r>
                    <m:rPr>
                      <m:sty m:val="p"/>
                    </m:rPr>
                    <w:rPr>
                      <w:rFonts w:ascii="Cambria Math" w:hAnsi="Cambria Math"/>
                      <w:color w:val="000000" w:themeColor="text1"/>
                      <w:kern w:val="24"/>
                    </w:rPr>
                    <m:t> </m:t>
                  </m:r>
                </m:e>
              </m:nary>
              <m:sSub>
                <m:sSubPr>
                  <m:ctrlPr>
                    <w:rPr>
                      <w:rFonts w:ascii="Cambria Math" w:eastAsiaTheme="minorEastAsia" w:hAnsi="Cambria Math"/>
                      <w:i/>
                      <w:iCs/>
                      <w:color w:val="836967"/>
                      <w:kern w:val="24"/>
                    </w:rPr>
                  </m:ctrlPr>
                </m:sSubPr>
                <m:e>
                  <m:r>
                    <w:rPr>
                      <w:rFonts w:ascii="Cambria Math" w:hAnsi="Cambria Math"/>
                      <w:color w:val="000000" w:themeColor="text1"/>
                      <w:kern w:val="24"/>
                    </w:rPr>
                    <m:t>x</m:t>
                  </m:r>
                </m:e>
                <m:sub>
                  <m:r>
                    <w:rPr>
                      <w:rFonts w:ascii="Cambria Math" w:hAnsi="Cambria Math"/>
                      <w:color w:val="000000" w:themeColor="text1"/>
                      <w:kern w:val="24"/>
                    </w:rPr>
                    <m:t>i</m:t>
                  </m:r>
                </m:sub>
              </m:sSub>
              <m:sSub>
                <m:sSubPr>
                  <m:ctrlPr>
                    <w:rPr>
                      <w:rFonts w:ascii="Cambria Math" w:eastAsiaTheme="minorEastAsia" w:hAnsi="Cambria Math"/>
                      <w:i/>
                      <w:iCs/>
                      <w:color w:val="836967"/>
                      <w:kern w:val="24"/>
                    </w:rPr>
                  </m:ctrlPr>
                </m:sSubPr>
                <m:e>
                  <m:r>
                    <w:rPr>
                      <w:rFonts w:ascii="Cambria Math" w:hAnsi="Cambria Math"/>
                      <w:color w:val="000000" w:themeColor="text1"/>
                      <w:kern w:val="24"/>
                    </w:rPr>
                    <m:t>x</m:t>
                  </m:r>
                </m:e>
                <m:sub>
                  <m:r>
                    <w:rPr>
                      <w:rFonts w:ascii="Cambria Math" w:hAnsi="Cambria Math"/>
                      <w:color w:val="000000" w:themeColor="text1"/>
                      <w:kern w:val="24"/>
                    </w:rPr>
                    <m:t>j</m:t>
                  </m:r>
                </m:sub>
              </m:sSub>
              <m:sSub>
                <m:sSubPr>
                  <m:ctrlPr>
                    <w:rPr>
                      <w:rFonts w:ascii="Cambria Math" w:eastAsiaTheme="minorEastAsia" w:hAnsi="Cambria Math"/>
                      <w:i/>
                      <w:iCs/>
                      <w:color w:val="836967"/>
                      <w:kern w:val="24"/>
                    </w:rPr>
                  </m:ctrlPr>
                </m:sSubPr>
                <m:e>
                  <m:r>
                    <w:rPr>
                      <w:rFonts w:ascii="Cambria Math" w:hAnsi="Cambria Math"/>
                      <w:color w:val="000000" w:themeColor="text1"/>
                      <w:kern w:val="24"/>
                    </w:rPr>
                    <m:t>b</m:t>
                  </m:r>
                </m:e>
                <m:sub>
                  <m:r>
                    <w:rPr>
                      <w:rFonts w:ascii="Cambria Math" w:hAnsi="Cambria Math"/>
                      <w:color w:val="000000" w:themeColor="text1"/>
                      <w:kern w:val="24"/>
                    </w:rPr>
                    <m:t>ij</m:t>
                  </m:r>
                </m:sub>
              </m:sSub>
            </m:oMath>
            <w:r>
              <w:t xml:space="preserve">  and  </w:t>
            </w:r>
            <m:oMath>
              <m:sSub>
                <m:sSubPr>
                  <m:ctrlPr>
                    <w:rPr>
                      <w:rFonts w:ascii="Cambria Math" w:hAnsi="Cambria Math"/>
                      <w:i/>
                      <w:iCs/>
                      <w:color w:val="000000" w:themeColor="text1"/>
                      <w:kern w:val="24"/>
                    </w:rPr>
                  </m:ctrlPr>
                </m:sSubPr>
                <m:e>
                  <m:r>
                    <w:rPr>
                      <w:rFonts w:ascii="Cambria Math" w:hAnsi="Cambria Math"/>
                      <w:color w:val="000000" w:themeColor="text1"/>
                      <w:kern w:val="24"/>
                    </w:rPr>
                    <m:t>b</m:t>
                  </m:r>
                </m:e>
                <m:sub>
                  <m:r>
                    <w:rPr>
                      <w:rFonts w:ascii="Cambria Math" w:hAnsi="Cambria Math"/>
                      <w:color w:val="000000" w:themeColor="text1"/>
                      <w:kern w:val="24"/>
                    </w:rPr>
                    <m:t>ij</m:t>
                  </m:r>
                </m:sub>
              </m:sSub>
              <m:r>
                <w:rPr>
                  <w:rFonts w:ascii="Cambria Math" w:hAnsi="Cambria Math"/>
                  <w:color w:val="000000" w:themeColor="text1"/>
                  <w:kern w:val="24"/>
                </w:rPr>
                <m:t>=</m:t>
              </m:r>
              <m:f>
                <m:fPr>
                  <m:ctrlPr>
                    <w:rPr>
                      <w:rFonts w:ascii="Cambria Math" w:hAnsi="Cambria Math"/>
                      <w:i/>
                      <w:iCs/>
                      <w:color w:val="000000" w:themeColor="text1"/>
                      <w:kern w:val="24"/>
                    </w:rPr>
                  </m:ctrlPr>
                </m:fPr>
                <m:num>
                  <m:d>
                    <m:dPr>
                      <m:ctrlPr>
                        <w:rPr>
                          <w:rFonts w:ascii="Cambria Math" w:hAnsi="Cambria Math"/>
                          <w:i/>
                          <w:iCs/>
                          <w:color w:val="000000" w:themeColor="text1"/>
                          <w:kern w:val="24"/>
                        </w:rPr>
                      </m:ctrlPr>
                    </m:dPr>
                    <m:e>
                      <m:sSub>
                        <m:sSubPr>
                          <m:ctrlPr>
                            <w:rPr>
                              <w:rFonts w:ascii="Cambria Math" w:hAnsi="Cambria Math"/>
                              <w:i/>
                              <w:iCs/>
                              <w:color w:val="000000" w:themeColor="text1"/>
                              <w:kern w:val="24"/>
                            </w:rPr>
                          </m:ctrlPr>
                        </m:sSubPr>
                        <m:e>
                          <m:r>
                            <w:rPr>
                              <w:rFonts w:ascii="Cambria Math" w:hAnsi="Cambria Math"/>
                              <w:color w:val="000000" w:themeColor="text1"/>
                              <w:kern w:val="24"/>
                            </w:rPr>
                            <m:t>b</m:t>
                          </m:r>
                        </m:e>
                        <m:sub>
                          <m:r>
                            <w:rPr>
                              <w:rFonts w:ascii="Cambria Math" w:hAnsi="Cambria Math"/>
                              <w:color w:val="000000" w:themeColor="text1"/>
                              <w:kern w:val="24"/>
                            </w:rPr>
                            <m:t>i</m:t>
                          </m:r>
                        </m:sub>
                      </m:sSub>
                      <m:r>
                        <w:rPr>
                          <w:rFonts w:ascii="Cambria Math" w:hAnsi="Cambria Math"/>
                          <w:color w:val="000000" w:themeColor="text1"/>
                          <w:kern w:val="24"/>
                        </w:rPr>
                        <m:t>+</m:t>
                      </m:r>
                      <m:sSub>
                        <m:sSubPr>
                          <m:ctrlPr>
                            <w:rPr>
                              <w:rFonts w:ascii="Cambria Math" w:hAnsi="Cambria Math"/>
                              <w:i/>
                              <w:iCs/>
                              <w:color w:val="000000" w:themeColor="text1"/>
                              <w:kern w:val="24"/>
                            </w:rPr>
                          </m:ctrlPr>
                        </m:sSubPr>
                        <m:e>
                          <m:r>
                            <w:rPr>
                              <w:rFonts w:ascii="Cambria Math" w:hAnsi="Cambria Math"/>
                              <w:color w:val="000000" w:themeColor="text1"/>
                              <w:kern w:val="24"/>
                            </w:rPr>
                            <m:t>b</m:t>
                          </m:r>
                        </m:e>
                        <m:sub>
                          <m:r>
                            <w:rPr>
                              <w:rFonts w:ascii="Cambria Math" w:hAnsi="Cambria Math"/>
                              <w:color w:val="000000" w:themeColor="text1"/>
                              <w:kern w:val="24"/>
                            </w:rPr>
                            <m:t>j</m:t>
                          </m:r>
                        </m:sub>
                      </m:sSub>
                    </m:e>
                  </m:d>
                </m:num>
                <m:den>
                  <m:r>
                    <w:rPr>
                      <w:rFonts w:ascii="Cambria Math" w:hAnsi="Cambria Math"/>
                      <w:color w:val="000000" w:themeColor="text1"/>
                      <w:kern w:val="24"/>
                    </w:rPr>
                    <m:t>2</m:t>
                  </m:r>
                </m:den>
              </m:f>
              <m:d>
                <m:dPr>
                  <m:ctrlPr>
                    <w:rPr>
                      <w:rFonts w:ascii="Cambria Math" w:hAnsi="Cambria Math"/>
                      <w:i/>
                      <w:iCs/>
                      <w:color w:val="000000" w:themeColor="text1"/>
                      <w:kern w:val="24"/>
                    </w:rPr>
                  </m:ctrlPr>
                </m:dPr>
                <m:e>
                  <m:r>
                    <w:rPr>
                      <w:rFonts w:ascii="Cambria Math" w:hAnsi="Cambria Math"/>
                      <w:color w:val="000000" w:themeColor="text1"/>
                      <w:kern w:val="24"/>
                    </w:rPr>
                    <m:t>1-</m:t>
                  </m:r>
                  <m:sSub>
                    <m:sSubPr>
                      <m:ctrlPr>
                        <w:rPr>
                          <w:rFonts w:ascii="Cambria Math"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ij</m:t>
                      </m:r>
                    </m:sub>
                  </m:sSub>
                </m:e>
              </m:d>
            </m:oMath>
          </w:p>
        </w:tc>
        <w:tc>
          <w:tcPr>
            <w:tcW w:w="1077" w:type="dxa"/>
            <w:shd w:val="clear" w:color="auto" w:fill="auto"/>
            <w:vAlign w:val="center"/>
          </w:tcPr>
          <w:p w14:paraId="12E91017" w14:textId="57DFD09F" w:rsidR="009F22ED" w:rsidRDefault="009F22ED" w:rsidP="00141E5D">
            <w:pPr>
              <w:pStyle w:val="CETEquation"/>
              <w:widowControl w:val="0"/>
            </w:pPr>
            <w:r>
              <w:t>(1</w:t>
            </w:r>
            <w:r w:rsidR="00204030">
              <w:t>2</w:t>
            </w:r>
            <w:r>
              <w:t>a, 1</w:t>
            </w:r>
            <w:r w:rsidR="00204030">
              <w:t>2</w:t>
            </w:r>
            <w:r>
              <w:t>b)</w:t>
            </w:r>
          </w:p>
        </w:tc>
      </w:tr>
    </w:tbl>
    <w:p w14:paraId="48734023" w14:textId="37933C49" w:rsidR="00D268CE" w:rsidRPr="00D268CE" w:rsidRDefault="00D268CE" w:rsidP="0086587C">
      <w:pPr>
        <w:rPr>
          <w:rFonts w:cs="Arial"/>
        </w:rPr>
      </w:pPr>
      <w:r w:rsidRPr="00D268CE">
        <w:rPr>
          <w:rFonts w:cs="Arial"/>
        </w:rPr>
        <w:t xml:space="preserve">With </w:t>
      </w: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ji</m:t>
            </m:r>
          </m:sub>
        </m:sSub>
      </m:oMath>
      <w:r w:rsidRPr="00D268CE">
        <w:rPr>
          <w:rFonts w:cs="Arial"/>
        </w:rPr>
        <w:t xml:space="preserve"> and </w:t>
      </w:r>
      <m:oMath>
        <m:sSub>
          <m:sSubPr>
            <m:ctrlPr>
              <w:rPr>
                <w:rFonts w:ascii="Cambria Math" w:hAnsi="Cambria Math" w:cs="Arial"/>
                <w:i/>
              </w:rPr>
            </m:ctrlPr>
          </m:sSubPr>
          <m:e>
            <m:r>
              <w:rPr>
                <w:rFonts w:ascii="Cambria Math" w:hAnsi="Cambria Math" w:cs="Arial"/>
              </w:rPr>
              <m:t>b</m:t>
            </m:r>
          </m:e>
          <m:sub>
            <m:r>
              <w:rPr>
                <w:rFonts w:ascii="Cambria Math" w:hAnsi="Cambria Math" w:cs="Arial"/>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ji</m:t>
            </m:r>
          </m:sub>
        </m:sSub>
      </m:oMath>
      <w:r w:rsidRPr="00D268CE">
        <w:rPr>
          <w:rFonts w:cs="Arial"/>
        </w:rPr>
        <w:t xml:space="preserve">. The mole fraction, </w:t>
      </w:r>
      <m:oMath>
        <m:sSub>
          <m:sSubPr>
            <m:ctrlPr>
              <w:rPr>
                <w:rFonts w:ascii="Cambria Math" w:eastAsiaTheme="minorEastAsia" w:hAnsi="Cambria Math" w:cs="Arial"/>
                <w:i/>
                <w:iCs/>
                <w:color w:val="836967"/>
                <w:kern w:val="24"/>
              </w:rPr>
            </m:ctrlPr>
          </m:sSubPr>
          <m:e>
            <m:r>
              <w:rPr>
                <w:rFonts w:ascii="Cambria Math" w:hAnsi="Cambria Math" w:cs="Arial"/>
                <w:color w:val="000000" w:themeColor="text1"/>
                <w:kern w:val="24"/>
              </w:rPr>
              <m:t>x</m:t>
            </m:r>
          </m:e>
          <m:sub>
            <m:r>
              <w:rPr>
                <w:rFonts w:ascii="Cambria Math" w:hAnsi="Cambria Math" w:cs="Arial"/>
                <w:color w:val="000000" w:themeColor="text1"/>
                <w:kern w:val="24"/>
              </w:rPr>
              <m:t>i</m:t>
            </m:r>
          </m:sub>
        </m:sSub>
      </m:oMath>
      <w:r w:rsidRPr="00D268CE">
        <w:rPr>
          <w:rFonts w:cs="Arial"/>
        </w:rPr>
        <w:t>, applies to both liquid and vapo</w:t>
      </w:r>
      <w:r w:rsidR="00131C77">
        <w:rPr>
          <w:rFonts w:cs="Arial"/>
        </w:rPr>
        <w:t>u</w:t>
      </w:r>
      <w:r w:rsidRPr="00D268CE">
        <w:rPr>
          <w:rFonts w:cs="Arial"/>
        </w:rPr>
        <w:t xml:space="preserve">r mixtures. </w:t>
      </w: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oMath>
      <w:r w:rsidRPr="00D268CE">
        <w:rPr>
          <w:rFonts w:cs="Arial"/>
        </w:rPr>
        <w:t xml:space="preserve"> and </w:t>
      </w:r>
      <m:oMath>
        <m:sSub>
          <m:sSubPr>
            <m:ctrlPr>
              <w:rPr>
                <w:rFonts w:ascii="Cambria Math" w:hAnsi="Cambria Math" w:cs="Arial"/>
                <w:i/>
              </w:rPr>
            </m:ctrlPr>
          </m:sSubPr>
          <m:e>
            <m:r>
              <w:rPr>
                <w:rFonts w:ascii="Cambria Math" w:hAnsi="Cambria Math" w:cs="Arial"/>
              </w:rPr>
              <m:t>b</m:t>
            </m:r>
          </m:e>
          <m:sub>
            <m:r>
              <w:rPr>
                <w:rFonts w:ascii="Cambria Math" w:hAnsi="Cambria Math" w:cs="Arial"/>
              </w:rPr>
              <m:t>ij</m:t>
            </m:r>
          </m:sub>
        </m:sSub>
      </m:oMath>
      <w:r w:rsidRPr="00D268CE">
        <w:rPr>
          <w:rFonts w:cs="Arial"/>
        </w:rPr>
        <w:t xml:space="preserve"> can be of two types: pure species parameters for same subscripts and interaction parameters for different subscripts. The interaction parameters </w:t>
      </w: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oMath>
      <w:r w:rsidRPr="00D268CE">
        <w:rPr>
          <w:rFonts w:cs="Arial"/>
          <w:vertAlign w:val="subscript"/>
        </w:rPr>
        <w:t xml:space="preserve"> </w:t>
      </w:r>
      <w:r w:rsidRPr="00D268CE">
        <w:rPr>
          <w:rFonts w:cs="Arial"/>
        </w:rPr>
        <w:t xml:space="preserve">and </w:t>
      </w:r>
      <m:oMath>
        <m:sSub>
          <m:sSubPr>
            <m:ctrlPr>
              <w:rPr>
                <w:rFonts w:ascii="Cambria Math" w:hAnsi="Cambria Math" w:cs="Arial"/>
                <w:i/>
              </w:rPr>
            </m:ctrlPr>
          </m:sSubPr>
          <m:e>
            <m:r>
              <w:rPr>
                <w:rFonts w:ascii="Cambria Math" w:hAnsi="Cambria Math" w:cs="Arial"/>
              </w:rPr>
              <m:t>b</m:t>
            </m:r>
          </m:e>
          <m:sub>
            <m:r>
              <w:rPr>
                <w:rFonts w:ascii="Cambria Math" w:hAnsi="Cambria Math" w:cs="Arial"/>
              </w:rPr>
              <m:t>ij</m:t>
            </m:r>
          </m:sub>
        </m:sSub>
      </m:oMath>
      <w:r w:rsidRPr="00D268CE">
        <w:rPr>
          <w:rFonts w:cs="Arial"/>
        </w:rPr>
        <w:t xml:space="preserve"> are often evaluated by combination rules</w:t>
      </w:r>
      <w:r w:rsidR="00506EB4">
        <w:rPr>
          <w:rFonts w:cs="Arial"/>
        </w:rPr>
        <w:t xml:space="preserve"> involving a geometric</w:t>
      </w:r>
      <w:r w:rsidRPr="00D268CE">
        <w:rPr>
          <w:rFonts w:cs="Arial"/>
        </w:rPr>
        <w:t xml:space="preserve"> and </w:t>
      </w:r>
      <w:r w:rsidR="00506EB4">
        <w:rPr>
          <w:rFonts w:cs="Arial"/>
        </w:rPr>
        <w:t xml:space="preserve">an </w:t>
      </w:r>
      <w:r w:rsidRPr="00D268CE">
        <w:rPr>
          <w:rFonts w:cs="Arial"/>
        </w:rPr>
        <w:t>arithmetic mean, respectively.</w:t>
      </w:r>
      <w:r w:rsidR="00506EB4">
        <w:rPr>
          <w:rFonts w:cs="Arial"/>
        </w:rPr>
        <w:t xml:space="preserve"> </w:t>
      </w:r>
      <w:r w:rsidRPr="00D268CE">
        <w:rPr>
          <w:rFonts w:cs="Arial"/>
        </w:rPr>
        <w:t xml:space="preserve">The binary interaction parameters </w:t>
      </w:r>
      <m:oMath>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k</m:t>
            </m:r>
          </m:e>
          <m:sub>
            <m:r>
              <w:rPr>
                <w:rFonts w:ascii="Cambria Math" w:hAnsi="Cambria Math" w:cs="Arial"/>
                <w:color w:val="000000" w:themeColor="text1"/>
                <w:kern w:val="24"/>
              </w:rPr>
              <m:t>ij</m:t>
            </m:r>
          </m:sub>
        </m:sSub>
      </m:oMath>
      <w:r w:rsidRPr="00D268CE">
        <w:rPr>
          <w:rFonts w:cs="Arial"/>
        </w:rPr>
        <w:t xml:space="preserve"> and </w:t>
      </w:r>
      <m:oMath>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l</m:t>
            </m:r>
          </m:e>
          <m:sub>
            <m:r>
              <w:rPr>
                <w:rFonts w:ascii="Cambria Math" w:hAnsi="Cambria Math" w:cs="Arial"/>
                <w:color w:val="000000" w:themeColor="text1"/>
                <w:kern w:val="24"/>
              </w:rPr>
              <m:t>ij</m:t>
            </m:r>
          </m:sub>
        </m:sSub>
      </m:oMath>
      <w:r w:rsidRPr="00D268CE">
        <w:rPr>
          <w:rFonts w:cs="Arial"/>
        </w:rPr>
        <w:t xml:space="preserve"> are determined by regression of </w:t>
      </w:r>
      <w:r w:rsidR="00506EB4">
        <w:rPr>
          <w:rFonts w:cs="Arial"/>
        </w:rPr>
        <w:t xml:space="preserve">phase-equilibria </w:t>
      </w:r>
      <w:r w:rsidRPr="00D268CE">
        <w:rPr>
          <w:rFonts w:cs="Arial"/>
        </w:rPr>
        <w:t>experimental dat</w:t>
      </w:r>
      <w:r w:rsidR="00506EB4">
        <w:rPr>
          <w:rFonts w:cs="Arial"/>
        </w:rPr>
        <w:t>a</w:t>
      </w:r>
      <w:r w:rsidRPr="00D268CE">
        <w:rPr>
          <w:rFonts w:cs="Arial"/>
        </w:rPr>
        <w:t>.</w:t>
      </w:r>
    </w:p>
    <w:p w14:paraId="6CF9B9F7" w14:textId="77777777" w:rsidR="00AC1298" w:rsidRPr="00AC1298" w:rsidRDefault="00AC1298" w:rsidP="00AC1298">
      <w:pPr>
        <w:pStyle w:val="ListParagraph"/>
        <w:ind w:left="0"/>
        <w:rPr>
          <w:b/>
          <w:bCs/>
        </w:rPr>
      </w:pPr>
    </w:p>
    <w:p w14:paraId="35A95937" w14:textId="0C7BFDBE" w:rsidR="001C70C6" w:rsidRDefault="001D614A" w:rsidP="001C70C6">
      <w:pPr>
        <w:pStyle w:val="ListParagraph"/>
        <w:numPr>
          <w:ilvl w:val="2"/>
          <w:numId w:val="1"/>
        </w:numPr>
        <w:rPr>
          <w:b/>
          <w:bCs/>
        </w:rPr>
      </w:pPr>
      <w:r w:rsidRPr="001D614A">
        <w:rPr>
          <w:b/>
          <w:bCs/>
        </w:rPr>
        <w:t xml:space="preserve">The Yokozeki </w:t>
      </w:r>
      <w:r w:rsidR="00506EB4">
        <w:rPr>
          <w:b/>
          <w:bCs/>
          <w:i/>
          <w:iCs/>
        </w:rPr>
        <w:t>A</w:t>
      </w:r>
      <w:r w:rsidRPr="00687B51">
        <w:rPr>
          <w:b/>
          <w:bCs/>
          <w:i/>
          <w:iCs/>
        </w:rPr>
        <w:t>lpha</w:t>
      </w:r>
      <w:r w:rsidR="00687B51">
        <w:rPr>
          <w:b/>
          <w:bCs/>
          <w:i/>
          <w:iCs/>
        </w:rPr>
        <w:t xml:space="preserve"> </w:t>
      </w:r>
      <m:oMath>
        <m:d>
          <m:dPr>
            <m:ctrlPr>
              <w:rPr>
                <w:rFonts w:ascii="Cambria Math" w:hAnsi="Cambria Math"/>
                <w:b/>
                <w:bCs/>
                <w:i/>
                <w:iCs/>
                <w:lang w:val="en-US"/>
              </w:rPr>
            </m:ctrlPr>
          </m:dPr>
          <m:e>
            <m:r>
              <m:rPr>
                <m:sty m:val="bi"/>
              </m:rPr>
              <w:rPr>
                <w:rFonts w:ascii="Cambria Math" w:hAnsi="Cambria Math"/>
              </w:rPr>
              <m:t>α</m:t>
            </m:r>
          </m:e>
        </m:d>
      </m:oMath>
      <w:r w:rsidRPr="001D614A">
        <w:rPr>
          <w:b/>
          <w:bCs/>
        </w:rPr>
        <w:t xml:space="preserve"> </w:t>
      </w:r>
      <w:r w:rsidR="00506EB4">
        <w:rPr>
          <w:b/>
          <w:bCs/>
        </w:rPr>
        <w:t>F</w:t>
      </w:r>
      <w:r w:rsidRPr="001D614A">
        <w:rPr>
          <w:b/>
          <w:bCs/>
        </w:rPr>
        <w:t>unction</w:t>
      </w:r>
    </w:p>
    <w:p w14:paraId="0355D37B" w14:textId="77777777" w:rsidR="0078342F" w:rsidRPr="0078342F" w:rsidRDefault="0078342F" w:rsidP="0078342F">
      <w:pPr>
        <w:pStyle w:val="ListParagraph"/>
        <w:ind w:left="0"/>
        <w:rPr>
          <w:b/>
          <w:bCs/>
          <w:sz w:val="10"/>
          <w:szCs w:val="10"/>
        </w:rPr>
      </w:pPr>
    </w:p>
    <w:p w14:paraId="1636C88A" w14:textId="0BC228AF" w:rsidR="00B87B23" w:rsidRPr="00CF79F1" w:rsidRDefault="00B87B23" w:rsidP="00B87B23">
      <w:pPr>
        <w:rPr>
          <w:rFonts w:cs="Arial"/>
        </w:rPr>
      </w:pPr>
      <w:r w:rsidRPr="00CF79F1">
        <w:rPr>
          <w:rFonts w:cs="Arial"/>
        </w:rPr>
        <w:t>Yokozeki (20</w:t>
      </w:r>
      <w:r w:rsidR="00CF79F1">
        <w:rPr>
          <w:rFonts w:cs="Arial"/>
        </w:rPr>
        <w:t>0</w:t>
      </w:r>
      <w:r w:rsidR="00512130">
        <w:rPr>
          <w:rFonts w:cs="Arial"/>
        </w:rPr>
        <w:t>1</w:t>
      </w:r>
      <w:r w:rsidRPr="00CF79F1">
        <w:rPr>
          <w:rFonts w:cs="Arial"/>
        </w:rPr>
        <w:t xml:space="preserve">) </w:t>
      </w:r>
      <w:r w:rsidR="00724F0E" w:rsidRPr="00CF79F1">
        <w:rPr>
          <w:rFonts w:cs="Arial"/>
        </w:rPr>
        <w:t>modelled</w:t>
      </w:r>
      <w:r w:rsidRPr="00CF79F1">
        <w:rPr>
          <w:rFonts w:cs="Arial"/>
        </w:rPr>
        <w:t xml:space="preserve"> the solubility data of refrigerant-lubricant mixtures using the cubic equations of state of van der Waals (vdW), Soave-Redlich-Kwong (SRK) and Peng-Robinson (PR). The temperature-dependence part of the </w:t>
      </w:r>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oMath>
      <w:r w:rsidRPr="00CF79F1">
        <w:rPr>
          <w:rFonts w:cs="Arial"/>
        </w:rPr>
        <w:t>parameter in the CEoS was model</w:t>
      </w:r>
      <w:r w:rsidR="00506EB4">
        <w:rPr>
          <w:rFonts w:cs="Arial"/>
        </w:rPr>
        <w:t>l</w:t>
      </w:r>
      <w:r w:rsidRPr="00CF79F1">
        <w:rPr>
          <w:rFonts w:cs="Arial"/>
        </w:rPr>
        <w:t>ed with the following empirical function for pure refrigerants, including oils:</w:t>
      </w:r>
    </w:p>
    <w:tbl>
      <w:tblPr>
        <w:tblW w:w="8640" w:type="dxa"/>
        <w:tblInd w:w="72" w:type="dxa"/>
        <w:tblLayout w:type="fixed"/>
        <w:tblLook w:val="04A0" w:firstRow="1" w:lastRow="0" w:firstColumn="1" w:lastColumn="0" w:noHBand="0" w:noVBand="1"/>
      </w:tblPr>
      <w:tblGrid>
        <w:gridCol w:w="7817"/>
        <w:gridCol w:w="823"/>
      </w:tblGrid>
      <w:tr w:rsidR="00CF79F1" w14:paraId="7A672F00" w14:textId="77777777" w:rsidTr="00EF454F">
        <w:trPr>
          <w:trHeight w:val="680"/>
        </w:trPr>
        <w:tc>
          <w:tcPr>
            <w:tcW w:w="7817" w:type="dxa"/>
            <w:shd w:val="clear" w:color="auto" w:fill="auto"/>
            <w:vAlign w:val="center"/>
          </w:tcPr>
          <w:p w14:paraId="0E66661D" w14:textId="5843088B" w:rsidR="00CF79F1" w:rsidRDefault="00CF79F1" w:rsidP="00CF79F1">
            <w:pPr>
              <w:pStyle w:val="CETEquation"/>
              <w:widowControl w:val="0"/>
            </w:pPr>
            <m:oMathPara>
              <m:oMathParaPr>
                <m:jc m:val="left"/>
              </m:oMathParaPr>
              <m:oMath>
                <m:r>
                  <w:rPr>
                    <w:rFonts w:ascii="Cambria Math" w:hAnsi="Cambria Math" w:cs="CMU Serif"/>
                  </w:rPr>
                  <m:t>α(T)=</m:t>
                </m:r>
                <m:nary>
                  <m:naryPr>
                    <m:chr m:val="∑"/>
                    <m:limLoc m:val="undOvr"/>
                    <m:grow m:val="1"/>
                    <m:ctrlPr>
                      <w:rPr>
                        <w:rFonts w:ascii="Cambria Math" w:hAnsi="Cambria Math" w:cs="CMU Serif"/>
                      </w:rPr>
                    </m:ctrlPr>
                  </m:naryPr>
                  <m:sub>
                    <m:r>
                      <w:rPr>
                        <w:rFonts w:ascii="Cambria Math" w:hAnsi="Cambria Math" w:cs="CMU Serif"/>
                      </w:rPr>
                      <m:t>k=0</m:t>
                    </m:r>
                  </m:sub>
                  <m:sup>
                    <m:r>
                      <w:rPr>
                        <w:rFonts w:ascii="Cambria Math" w:hAnsi="Cambria Math" w:cs="CMU Serif"/>
                      </w:rPr>
                      <m:t>⩽3</m:t>
                    </m:r>
                  </m:sup>
                  <m:e>
                    <m:r>
                      <w:rPr>
                        <w:rFonts w:ascii="Cambria Math" w:hAnsi="Cambria Math" w:cs="CMU Serif"/>
                      </w:rPr>
                      <m:t> </m:t>
                    </m:r>
                  </m:e>
                </m:nary>
                <m:sSub>
                  <m:sSubPr>
                    <m:ctrlPr>
                      <w:rPr>
                        <w:rFonts w:ascii="Cambria Math" w:hAnsi="Cambria Math" w:cs="CMU Serif"/>
                      </w:rPr>
                    </m:ctrlPr>
                  </m:sSubPr>
                  <m:e>
                    <m:r>
                      <w:rPr>
                        <w:rFonts w:ascii="Cambria Math" w:hAnsi="Cambria Math" w:cs="CMU Serif"/>
                      </w:rPr>
                      <m:t>β</m:t>
                    </m:r>
                  </m:e>
                  <m:sub>
                    <m:r>
                      <w:rPr>
                        <w:rFonts w:ascii="Cambria Math" w:hAnsi="Cambria Math" w:cs="CMU Serif"/>
                      </w:rPr>
                      <m:t>k</m:t>
                    </m:r>
                  </m:sub>
                </m:sSub>
                <m:sSup>
                  <m:sSupPr>
                    <m:ctrlPr>
                      <w:rPr>
                        <w:rFonts w:ascii="Cambria Math" w:hAnsi="Cambria Math" w:cs="CMU Serif"/>
                      </w:rPr>
                    </m:ctrlPr>
                  </m:sSupPr>
                  <m:e>
                    <m:d>
                      <m:dPr>
                        <m:ctrlPr>
                          <w:rPr>
                            <w:rFonts w:ascii="Cambria Math" w:hAnsi="Cambria Math" w:cs="CMU Serif"/>
                          </w:rPr>
                        </m:ctrlPr>
                      </m:dPr>
                      <m:e>
                        <m:f>
                          <m:fPr>
                            <m:ctrlPr>
                              <w:rPr>
                                <w:rFonts w:ascii="Cambria Math" w:hAnsi="Cambria Math" w:cs="CMU Serif"/>
                              </w:rPr>
                            </m:ctrlPr>
                          </m:fPr>
                          <m:num>
                            <m:sSub>
                              <m:sSubPr>
                                <m:ctrlPr>
                                  <w:rPr>
                                    <w:rFonts w:ascii="Cambria Math" w:hAnsi="Cambria Math" w:cs="CMU Serif"/>
                                  </w:rPr>
                                </m:ctrlPr>
                              </m:sSubPr>
                              <m:e>
                                <m:r>
                                  <w:rPr>
                                    <w:rFonts w:ascii="Cambria Math" w:hAnsi="Cambria Math" w:cs="CMU Serif"/>
                                  </w:rPr>
                                  <m:t>T</m:t>
                                </m:r>
                              </m:e>
                              <m:sub>
                                <m:r>
                                  <w:rPr>
                                    <w:rFonts w:ascii="Cambria Math" w:hAnsi="Cambria Math" w:cs="CMU Serif"/>
                                  </w:rPr>
                                  <m:t>c</m:t>
                                </m:r>
                              </m:sub>
                            </m:sSub>
                          </m:num>
                          <m:den>
                            <m:r>
                              <w:rPr>
                                <w:rFonts w:ascii="Cambria Math" w:hAnsi="Cambria Math" w:cs="CMU Serif"/>
                              </w:rPr>
                              <m:t>T</m:t>
                            </m:r>
                          </m:den>
                        </m:f>
                        <m:r>
                          <w:rPr>
                            <w:rFonts w:ascii="Cambria Math" w:hAnsi="Cambria Math" w:cs="CMU Serif"/>
                          </w:rPr>
                          <m:t>-</m:t>
                        </m:r>
                        <m:f>
                          <m:fPr>
                            <m:ctrlPr>
                              <w:rPr>
                                <w:rFonts w:ascii="Cambria Math" w:hAnsi="Cambria Math" w:cs="CMU Serif"/>
                              </w:rPr>
                            </m:ctrlPr>
                          </m:fPr>
                          <m:num>
                            <m:r>
                              <w:rPr>
                                <w:rFonts w:ascii="Cambria Math" w:hAnsi="Cambria Math" w:cs="CMU Serif"/>
                              </w:rPr>
                              <m:t>T</m:t>
                            </m:r>
                          </m:num>
                          <m:den>
                            <m:sSub>
                              <m:sSubPr>
                                <m:ctrlPr>
                                  <w:rPr>
                                    <w:rFonts w:ascii="Cambria Math" w:hAnsi="Cambria Math" w:cs="CMU Serif"/>
                                  </w:rPr>
                                </m:ctrlPr>
                              </m:sSubPr>
                              <m:e>
                                <m:r>
                                  <w:rPr>
                                    <w:rFonts w:ascii="Cambria Math" w:hAnsi="Cambria Math" w:cs="CMU Serif"/>
                                  </w:rPr>
                                  <m:t>T</m:t>
                                </m:r>
                              </m:e>
                              <m:sub>
                                <m:r>
                                  <w:rPr>
                                    <w:rFonts w:ascii="Cambria Math" w:hAnsi="Cambria Math" w:cs="CMU Serif"/>
                                  </w:rPr>
                                  <m:t>c</m:t>
                                </m:r>
                              </m:sub>
                            </m:sSub>
                          </m:den>
                        </m:f>
                      </m:e>
                    </m:d>
                  </m:e>
                  <m:sup>
                    <m:r>
                      <w:rPr>
                        <w:rFonts w:ascii="Cambria Math" w:hAnsi="Cambria Math" w:cs="CMU Serif"/>
                      </w:rPr>
                      <m:t>k</m:t>
                    </m:r>
                  </m:sup>
                </m:sSup>
              </m:oMath>
            </m:oMathPara>
          </w:p>
        </w:tc>
        <w:tc>
          <w:tcPr>
            <w:tcW w:w="823" w:type="dxa"/>
            <w:shd w:val="clear" w:color="auto" w:fill="auto"/>
            <w:vAlign w:val="center"/>
          </w:tcPr>
          <w:p w14:paraId="09681E83" w14:textId="5629BAB3" w:rsidR="00CF79F1" w:rsidRDefault="00CF79F1" w:rsidP="00CF79F1">
            <w:pPr>
              <w:pStyle w:val="CETEquation"/>
              <w:widowControl w:val="0"/>
              <w:jc w:val="right"/>
            </w:pPr>
            <w:r>
              <w:t>(1</w:t>
            </w:r>
            <w:r w:rsidR="00204030">
              <w:t>3</w:t>
            </w:r>
            <w:r>
              <w:t>)</w:t>
            </w:r>
          </w:p>
        </w:tc>
      </w:tr>
    </w:tbl>
    <w:p w14:paraId="1F51A88A" w14:textId="127EF1AB" w:rsidR="00B87B23" w:rsidRPr="00CF79F1" w:rsidRDefault="00CF79F1" w:rsidP="00B87B23">
      <w:pPr>
        <w:rPr>
          <w:rFonts w:cs="Arial"/>
        </w:rPr>
      </w:pPr>
      <w:r w:rsidRPr="00CF79F1">
        <w:rPr>
          <w:rFonts w:cs="Arial"/>
        </w:rPr>
        <w:t xml:space="preserve">The coefficients </w:t>
      </w:r>
      <m:oMath>
        <m:sSub>
          <m:sSubPr>
            <m:ctrlPr>
              <w:rPr>
                <w:rFonts w:ascii="Cambria Math" w:hAnsi="Cambria Math" w:cs="Arial"/>
              </w:rPr>
            </m:ctrlPr>
          </m:sSubPr>
          <m:e>
            <m:r>
              <w:rPr>
                <w:rFonts w:ascii="Cambria Math" w:hAnsi="Cambria Math" w:cs="Arial"/>
              </w:rPr>
              <m:t>β</m:t>
            </m:r>
          </m:e>
          <m:sub>
            <m:r>
              <w:rPr>
                <w:rFonts w:ascii="Cambria Math" w:hAnsi="Cambria Math" w:cs="Arial"/>
              </w:rPr>
              <m:t>k</m:t>
            </m:r>
          </m:sub>
        </m:sSub>
      </m:oMath>
      <w:r w:rsidRPr="00CF79F1">
        <w:rPr>
          <w:rFonts w:eastAsiaTheme="minorEastAsia" w:cs="Arial"/>
        </w:rPr>
        <w:t xml:space="preserve"> </w:t>
      </w:r>
      <w:r w:rsidRPr="00CF79F1">
        <w:rPr>
          <w:rFonts w:cs="Arial"/>
        </w:rPr>
        <w:t>are determined to reproduce the vapo</w:t>
      </w:r>
      <w:r w:rsidR="00131C77">
        <w:rPr>
          <w:rFonts w:cs="Arial"/>
        </w:rPr>
        <w:t>u</w:t>
      </w:r>
      <w:r w:rsidRPr="00CF79F1">
        <w:rPr>
          <w:rFonts w:cs="Arial"/>
        </w:rPr>
        <w:t>r pressure of each pure refrigerant. As there were not vapo</w:t>
      </w:r>
      <w:r w:rsidR="00131C77">
        <w:rPr>
          <w:rFonts w:cs="Arial"/>
        </w:rPr>
        <w:t>u</w:t>
      </w:r>
      <w:r w:rsidRPr="00CF79F1">
        <w:rPr>
          <w:rFonts w:cs="Arial"/>
        </w:rPr>
        <w:t xml:space="preserve">r pressure data available for refrigerants and lubricants, the author </w:t>
      </w:r>
      <w:r w:rsidR="00724F0E" w:rsidRPr="00CF79F1">
        <w:rPr>
          <w:rFonts w:cs="Arial"/>
        </w:rPr>
        <w:t>analysed</w:t>
      </w:r>
      <w:r w:rsidRPr="00CF79F1">
        <w:rPr>
          <w:rFonts w:cs="Arial"/>
        </w:rPr>
        <w:t xml:space="preserve"> the solubility data of the</w:t>
      </w:r>
      <w:r w:rsidR="0078342F">
        <w:rPr>
          <w:rFonts w:cs="Arial"/>
        </w:rPr>
        <w:t xml:space="preserve"> </w:t>
      </w:r>
      <w:r w:rsidRPr="00CF79F1">
        <w:rPr>
          <w:rFonts w:cs="Arial"/>
        </w:rPr>
        <w:t xml:space="preserve">mixtures and found that only one adjustable parameter </w:t>
      </w:r>
      <m:oMath>
        <m:d>
          <m:dPr>
            <m:ctrlPr>
              <w:rPr>
                <w:rFonts w:ascii="Cambria Math" w:hAnsi="Cambria Math" w:cs="Arial"/>
              </w:rPr>
            </m:ctrlPr>
          </m:dPr>
          <m:e>
            <m:sSub>
              <m:sSubPr>
                <m:ctrlPr>
                  <w:rPr>
                    <w:rFonts w:ascii="Cambria Math" w:hAnsi="Cambria Math" w:cs="Arial"/>
                  </w:rPr>
                </m:ctrlPr>
              </m:sSubPr>
              <m:e>
                <m:r>
                  <w:rPr>
                    <w:rFonts w:ascii="Cambria Math" w:hAnsi="Cambria Math" w:cs="Arial"/>
                  </w:rPr>
                  <m:t>β</m:t>
                </m:r>
              </m:e>
              <m:sub>
                <m:r>
                  <w:rPr>
                    <w:rFonts w:ascii="Cambria Math" w:hAnsi="Cambria Math" w:cs="Arial"/>
                  </w:rPr>
                  <m:t>1</m:t>
                </m:r>
              </m:sub>
            </m:sSub>
          </m:e>
        </m:d>
      </m:oMath>
      <w:r w:rsidRPr="00CF79F1">
        <w:rPr>
          <w:rFonts w:cs="Arial"/>
        </w:rPr>
        <w:t xml:space="preserve"> was enough for the equation, therefore it can be written with just the first two terms:</w:t>
      </w:r>
    </w:p>
    <w:tbl>
      <w:tblPr>
        <w:tblW w:w="8640" w:type="dxa"/>
        <w:tblInd w:w="72" w:type="dxa"/>
        <w:tblLayout w:type="fixed"/>
        <w:tblLook w:val="04A0" w:firstRow="1" w:lastRow="0" w:firstColumn="1" w:lastColumn="0" w:noHBand="0" w:noVBand="1"/>
      </w:tblPr>
      <w:tblGrid>
        <w:gridCol w:w="7817"/>
        <w:gridCol w:w="823"/>
      </w:tblGrid>
      <w:tr w:rsidR="00CF79F1" w14:paraId="44752EBE" w14:textId="77777777" w:rsidTr="00EF454F">
        <w:trPr>
          <w:trHeight w:val="680"/>
        </w:trPr>
        <w:tc>
          <w:tcPr>
            <w:tcW w:w="7817" w:type="dxa"/>
            <w:shd w:val="clear" w:color="auto" w:fill="auto"/>
            <w:vAlign w:val="center"/>
          </w:tcPr>
          <w:p w14:paraId="494D9C77" w14:textId="555ABA9B" w:rsidR="00CF79F1" w:rsidRDefault="00CF79F1" w:rsidP="00EF454F">
            <w:pPr>
              <w:pStyle w:val="CETEquation"/>
              <w:widowControl w:val="0"/>
            </w:pPr>
            <m:oMathPara>
              <m:oMathParaPr>
                <m:jc m:val="left"/>
              </m:oMathParaPr>
              <m:oMath>
                <m:r>
                  <w:rPr>
                    <w:rFonts w:ascii="Cambria Math" w:hAnsi="Cambria Math" w:cs="CMU Serif"/>
                  </w:rPr>
                  <m:t>α(T)=1+</m:t>
                </m:r>
                <m:sSub>
                  <m:sSubPr>
                    <m:ctrlPr>
                      <w:rPr>
                        <w:rFonts w:ascii="Cambria Math" w:hAnsi="Cambria Math" w:cs="CMU Serif"/>
                      </w:rPr>
                    </m:ctrlPr>
                  </m:sSubPr>
                  <m:e>
                    <m:r>
                      <w:rPr>
                        <w:rFonts w:ascii="Cambria Math" w:hAnsi="Cambria Math" w:cs="CMU Serif"/>
                      </w:rPr>
                      <m:t>β</m:t>
                    </m:r>
                  </m:e>
                  <m:sub>
                    <m:r>
                      <w:rPr>
                        <w:rFonts w:ascii="Cambria Math" w:hAnsi="Cambria Math" w:cs="CMU Serif"/>
                      </w:rPr>
                      <m:t>1</m:t>
                    </m:r>
                  </m:sub>
                </m:sSub>
                <m:d>
                  <m:dPr>
                    <m:ctrlPr>
                      <w:rPr>
                        <w:rFonts w:ascii="Cambria Math" w:hAnsi="Cambria Math" w:cs="CMU Serif"/>
                      </w:rPr>
                    </m:ctrlPr>
                  </m:dPr>
                  <m:e>
                    <m:f>
                      <m:fPr>
                        <m:ctrlPr>
                          <w:rPr>
                            <w:rFonts w:ascii="Cambria Math" w:hAnsi="Cambria Math" w:cs="CMU Serif"/>
                          </w:rPr>
                        </m:ctrlPr>
                      </m:fPr>
                      <m:num>
                        <m:sSub>
                          <m:sSubPr>
                            <m:ctrlPr>
                              <w:rPr>
                                <w:rFonts w:ascii="Cambria Math" w:hAnsi="Cambria Math" w:cs="CMU Serif"/>
                              </w:rPr>
                            </m:ctrlPr>
                          </m:sSubPr>
                          <m:e>
                            <m:r>
                              <w:rPr>
                                <w:rFonts w:ascii="Cambria Math" w:hAnsi="Cambria Math" w:cs="CMU Serif"/>
                              </w:rPr>
                              <m:t>T</m:t>
                            </m:r>
                          </m:e>
                          <m:sub>
                            <m:r>
                              <w:rPr>
                                <w:rFonts w:ascii="Cambria Math" w:hAnsi="Cambria Math" w:cs="CMU Serif"/>
                              </w:rPr>
                              <m:t>c</m:t>
                            </m:r>
                          </m:sub>
                        </m:sSub>
                      </m:num>
                      <m:den>
                        <m:r>
                          <w:rPr>
                            <w:rFonts w:ascii="Cambria Math" w:hAnsi="Cambria Math" w:cs="CMU Serif"/>
                          </w:rPr>
                          <m:t>T</m:t>
                        </m:r>
                      </m:den>
                    </m:f>
                    <m:r>
                      <w:rPr>
                        <w:rFonts w:ascii="Cambria Math" w:hAnsi="Cambria Math" w:cs="CMU Serif"/>
                      </w:rPr>
                      <m:t>-</m:t>
                    </m:r>
                    <m:f>
                      <m:fPr>
                        <m:ctrlPr>
                          <w:rPr>
                            <w:rFonts w:ascii="Cambria Math" w:hAnsi="Cambria Math" w:cs="CMU Serif"/>
                          </w:rPr>
                        </m:ctrlPr>
                      </m:fPr>
                      <m:num>
                        <m:r>
                          <w:rPr>
                            <w:rFonts w:ascii="Cambria Math" w:hAnsi="Cambria Math" w:cs="CMU Serif"/>
                          </w:rPr>
                          <m:t>T</m:t>
                        </m:r>
                      </m:num>
                      <m:den>
                        <m:sSub>
                          <m:sSubPr>
                            <m:ctrlPr>
                              <w:rPr>
                                <w:rFonts w:ascii="Cambria Math" w:hAnsi="Cambria Math" w:cs="CMU Serif"/>
                              </w:rPr>
                            </m:ctrlPr>
                          </m:sSubPr>
                          <m:e>
                            <m:r>
                              <w:rPr>
                                <w:rFonts w:ascii="Cambria Math" w:hAnsi="Cambria Math" w:cs="CMU Serif"/>
                              </w:rPr>
                              <m:t>T</m:t>
                            </m:r>
                          </m:e>
                          <m:sub>
                            <m:r>
                              <w:rPr>
                                <w:rFonts w:ascii="Cambria Math" w:hAnsi="Cambria Math" w:cs="CMU Serif"/>
                              </w:rPr>
                              <m:t>c</m:t>
                            </m:r>
                          </m:sub>
                        </m:sSub>
                      </m:den>
                    </m:f>
                  </m:e>
                </m:d>
              </m:oMath>
            </m:oMathPara>
          </w:p>
        </w:tc>
        <w:tc>
          <w:tcPr>
            <w:tcW w:w="823" w:type="dxa"/>
            <w:shd w:val="clear" w:color="auto" w:fill="auto"/>
            <w:vAlign w:val="center"/>
          </w:tcPr>
          <w:p w14:paraId="41787033" w14:textId="19C3FED6" w:rsidR="00CF79F1" w:rsidRDefault="00CF79F1" w:rsidP="00EF454F">
            <w:pPr>
              <w:pStyle w:val="CETEquation"/>
              <w:widowControl w:val="0"/>
              <w:jc w:val="right"/>
            </w:pPr>
            <w:r>
              <w:t>(1</w:t>
            </w:r>
            <w:r w:rsidR="00204030">
              <w:t>4</w:t>
            </w:r>
            <w:r>
              <w:t>)</w:t>
            </w:r>
          </w:p>
        </w:tc>
      </w:tr>
    </w:tbl>
    <w:p w14:paraId="6582DDD4" w14:textId="6EDA2225" w:rsidR="00F84A39" w:rsidRDefault="00CF79F1" w:rsidP="00F84A39">
      <w:pPr>
        <w:pStyle w:val="ListParagraph"/>
        <w:ind w:left="0"/>
        <w:rPr>
          <w:rFonts w:eastAsiaTheme="minorEastAsia" w:cs="Arial"/>
        </w:rPr>
      </w:pPr>
      <w:r w:rsidRPr="00CF79F1">
        <w:rPr>
          <w:rFonts w:eastAsiaTheme="minorEastAsia" w:cs="Arial"/>
        </w:rPr>
        <w:t>The above equation was used for another work of Yokozeki and co-author Shifflet</w:t>
      </w:r>
      <w:r>
        <w:rPr>
          <w:rFonts w:eastAsiaTheme="minorEastAsia" w:cs="Arial"/>
        </w:rPr>
        <w:t xml:space="preserve"> (</w:t>
      </w:r>
      <w:r w:rsidR="00FB3E9F">
        <w:rPr>
          <w:rFonts w:eastAsiaTheme="minorEastAsia" w:cs="Arial"/>
        </w:rPr>
        <w:t>Shifflet and Yokozeki,</w:t>
      </w:r>
      <w:r>
        <w:rPr>
          <w:rFonts w:eastAsiaTheme="minorEastAsia" w:cs="Arial"/>
        </w:rPr>
        <w:t xml:space="preserve"> 20</w:t>
      </w:r>
      <w:r w:rsidR="00FB3E9F">
        <w:rPr>
          <w:rFonts w:eastAsiaTheme="minorEastAsia" w:cs="Arial"/>
        </w:rPr>
        <w:t>0</w:t>
      </w:r>
      <w:r>
        <w:rPr>
          <w:rFonts w:eastAsiaTheme="minorEastAsia" w:cs="Arial"/>
        </w:rPr>
        <w:t>5)</w:t>
      </w:r>
      <w:r w:rsidRPr="00CF79F1">
        <w:rPr>
          <w:rFonts w:eastAsiaTheme="minorEastAsia" w:cs="Arial"/>
        </w:rPr>
        <w:t xml:space="preserve"> in which they determined the solubility of CO</w:t>
      </w:r>
      <w:r w:rsidRPr="00CF79F1">
        <w:rPr>
          <w:rFonts w:eastAsiaTheme="minorEastAsia" w:cs="Arial"/>
          <w:vertAlign w:val="subscript"/>
        </w:rPr>
        <w:t>2</w:t>
      </w:r>
      <w:r w:rsidRPr="00CF79F1">
        <w:rPr>
          <w:rFonts w:eastAsiaTheme="minorEastAsia" w:cs="Arial"/>
        </w:rPr>
        <w:t xml:space="preserve"> in ionic liquids and correlated their experimental results with an CEoS model using the Redlich-Kwong equation. They used only one adjustable parameter for the mentioned study.</w:t>
      </w:r>
    </w:p>
    <w:p w14:paraId="397769FE" w14:textId="3529F9C2" w:rsidR="00CF79F1" w:rsidRDefault="00CF79F1" w:rsidP="00F84A39">
      <w:pPr>
        <w:pStyle w:val="ListParagraph"/>
        <w:ind w:left="0"/>
        <w:rPr>
          <w:rFonts w:eastAsiaTheme="minorEastAsia" w:cs="Arial"/>
        </w:rPr>
      </w:pPr>
    </w:p>
    <w:p w14:paraId="7EE7F4E4" w14:textId="7AF61165" w:rsidR="00CF79F1" w:rsidRDefault="00CF79F1" w:rsidP="00CF79F1">
      <w:pPr>
        <w:rPr>
          <w:rFonts w:eastAsiaTheme="minorEastAsia" w:cs="Arial"/>
        </w:rPr>
      </w:pPr>
      <w:r w:rsidRPr="00CF79F1">
        <w:rPr>
          <w:rFonts w:eastAsiaTheme="minorEastAsia" w:cs="Arial"/>
        </w:rPr>
        <w:t xml:space="preserve">Ionic liquids </w:t>
      </w:r>
      <w:r w:rsidR="0013275B">
        <w:rPr>
          <w:rFonts w:eastAsiaTheme="minorEastAsia" w:cs="Arial"/>
        </w:rPr>
        <w:t>exhibit</w:t>
      </w:r>
      <w:r w:rsidRPr="00CF79F1">
        <w:rPr>
          <w:rFonts w:eastAsiaTheme="minorEastAsia" w:cs="Arial"/>
        </w:rPr>
        <w:t xml:space="preserve"> similar properties to DESs (low vapo</w:t>
      </w:r>
      <w:r w:rsidR="00713DD7">
        <w:rPr>
          <w:rFonts w:eastAsiaTheme="minorEastAsia" w:cs="Arial"/>
        </w:rPr>
        <w:t>u</w:t>
      </w:r>
      <w:r w:rsidRPr="00CF79F1">
        <w:rPr>
          <w:rFonts w:eastAsiaTheme="minorEastAsia" w:cs="Arial"/>
        </w:rPr>
        <w:t xml:space="preserve">r pressures); therefore, this function will be used to obtain a better fit of the gas solubility data in the DESs. The adjustable parameter </w:t>
      </w:r>
      <m:oMath>
        <m:sSub>
          <m:sSubPr>
            <m:ctrlPr>
              <w:rPr>
                <w:rFonts w:ascii="Cambria Math" w:hAnsi="Cambria Math" w:cs="Arial"/>
                <w:i/>
              </w:rPr>
            </m:ctrlPr>
          </m:sSubPr>
          <m:e>
            <m:r>
              <w:rPr>
                <w:rFonts w:ascii="Cambria Math" w:hAnsi="Cambria Math" w:cs="Arial"/>
              </w:rPr>
              <m:t>β</m:t>
            </m:r>
          </m:e>
          <m:sub>
            <m:r>
              <w:rPr>
                <w:rFonts w:ascii="Cambria Math" w:hAnsi="Cambria Math" w:cs="Arial"/>
              </w:rPr>
              <m:t>k</m:t>
            </m:r>
          </m:sub>
        </m:sSub>
      </m:oMath>
      <w:r w:rsidRPr="00CF79F1">
        <w:rPr>
          <w:rFonts w:eastAsiaTheme="minorEastAsia" w:cs="Arial"/>
        </w:rPr>
        <w:t xml:space="preserve"> was estimated from the regression of vapo</w:t>
      </w:r>
      <w:r w:rsidR="00713DD7">
        <w:rPr>
          <w:rFonts w:eastAsiaTheme="minorEastAsia" w:cs="Arial"/>
        </w:rPr>
        <w:t>u</w:t>
      </w:r>
      <w:r w:rsidRPr="00CF79F1">
        <w:rPr>
          <w:rFonts w:eastAsiaTheme="minorEastAsia" w:cs="Arial"/>
        </w:rPr>
        <w:t>r pressure data of the pure compounds.</w:t>
      </w:r>
    </w:p>
    <w:p w14:paraId="5F5DAC3D" w14:textId="27A59979" w:rsidR="00CF79F1" w:rsidRDefault="00CF79F1" w:rsidP="00CF79F1">
      <w:pPr>
        <w:rPr>
          <w:rFonts w:eastAsiaTheme="minorEastAsia" w:cs="Arial"/>
        </w:rPr>
      </w:pPr>
    </w:p>
    <w:p w14:paraId="6AB4050F" w14:textId="2B09EFE2" w:rsidR="00F84A39" w:rsidRPr="00EA7721" w:rsidRDefault="00CF79F1" w:rsidP="00EA7721">
      <w:pPr>
        <w:rPr>
          <w:rFonts w:eastAsiaTheme="minorEastAsia" w:cs="Arial"/>
        </w:rPr>
      </w:pPr>
      <w:r w:rsidRPr="00CF79F1">
        <w:rPr>
          <w:rFonts w:eastAsiaTheme="minorEastAsia" w:cs="Arial"/>
        </w:rPr>
        <w:t xml:space="preserve">For pure DESs, </w:t>
      </w:r>
      <m:oMath>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r>
          <w:rPr>
            <w:rFonts w:ascii="Cambria Math" w:hAnsi="Cambria Math" w:cs="Arial"/>
          </w:rPr>
          <m:t>=1</m:t>
        </m:r>
      </m:oMath>
      <w:r w:rsidRPr="00CF79F1">
        <w:rPr>
          <w:rFonts w:eastAsiaTheme="minorEastAsia" w:cs="Arial"/>
        </w:rPr>
        <w:t xml:space="preserve"> and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sidRPr="00CF79F1">
        <w:rPr>
          <w:rFonts w:eastAsiaTheme="minorEastAsia" w:cs="Arial"/>
        </w:rPr>
        <w:t xml:space="preserve"> were </w:t>
      </w:r>
      <w:r w:rsidR="0013275B">
        <w:rPr>
          <w:rFonts w:eastAsiaTheme="minorEastAsia" w:cs="Arial"/>
        </w:rPr>
        <w:t>considered</w:t>
      </w:r>
      <w:r w:rsidRPr="00CF79F1">
        <w:rPr>
          <w:rFonts w:eastAsiaTheme="minorEastAsia" w:cs="Arial"/>
        </w:rPr>
        <w:t xml:space="preserve"> as the only adjustable parameters given that the experimental vapo</w:t>
      </w:r>
      <w:r w:rsidR="00131C77">
        <w:rPr>
          <w:rFonts w:eastAsiaTheme="minorEastAsia" w:cs="Arial"/>
        </w:rPr>
        <w:t>u</w:t>
      </w:r>
      <w:r w:rsidRPr="00CF79F1">
        <w:rPr>
          <w:rFonts w:eastAsiaTheme="minorEastAsia" w:cs="Arial"/>
        </w:rPr>
        <w:t xml:space="preserve">r pressures were measured in a </w:t>
      </w:r>
      <w:r w:rsidR="0013275B">
        <w:rPr>
          <w:rFonts w:eastAsiaTheme="minorEastAsia" w:cs="Arial"/>
        </w:rPr>
        <w:t>limited</w:t>
      </w:r>
      <w:r w:rsidRPr="00CF79F1">
        <w:rPr>
          <w:rFonts w:eastAsiaTheme="minorEastAsia" w:cs="Arial"/>
        </w:rPr>
        <w:t xml:space="preserve"> temperature range. In the case of the pure gases, it is required to cover </w:t>
      </w:r>
      <w:r w:rsidR="0013275B">
        <w:rPr>
          <w:rFonts w:eastAsiaTheme="minorEastAsia" w:cs="Arial"/>
        </w:rPr>
        <w:t>a</w:t>
      </w:r>
      <w:r w:rsidRPr="00CF79F1">
        <w:rPr>
          <w:rFonts w:eastAsiaTheme="minorEastAsia" w:cs="Arial"/>
        </w:rPr>
        <w:t xml:space="preserve"> widest temperature range, from the triple point to the critical point, so the adjustment of the parameters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sidRPr="00CF79F1">
        <w:rPr>
          <w:rFonts w:eastAsiaTheme="minorEastAsia" w:cs="Arial"/>
        </w:rPr>
        <w:t xml:space="preserve"> and </w:t>
      </w:r>
      <m:oMath>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oMath>
      <w:r w:rsidRPr="00CF79F1">
        <w:rPr>
          <w:rFonts w:eastAsiaTheme="minorEastAsia" w:cs="Arial"/>
        </w:rPr>
        <w:t xml:space="preserve"> (including </w:t>
      </w:r>
      <m:oMath>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r>
          <w:rPr>
            <w:rFonts w:ascii="Cambria Math" w:hAnsi="Cambria Math" w:cs="Arial"/>
          </w:rPr>
          <m:t>=1</m:t>
        </m:r>
      </m:oMath>
      <w:r w:rsidRPr="00CF79F1">
        <w:rPr>
          <w:rFonts w:eastAsiaTheme="minorEastAsia" w:cs="Arial"/>
        </w:rPr>
        <w:t>) was sufficient</w:t>
      </w:r>
      <w:r w:rsidR="00EA7721">
        <w:rPr>
          <w:rFonts w:eastAsiaTheme="minorEastAsia" w:cs="Arial"/>
        </w:rPr>
        <w:t>.</w:t>
      </w:r>
    </w:p>
    <w:p w14:paraId="535F6FAC" w14:textId="38AECBA5" w:rsidR="00D52490" w:rsidRDefault="00A87A2C" w:rsidP="00AA06BC">
      <w:pPr>
        <w:pStyle w:val="CETHeading1"/>
      </w:pPr>
      <w:r w:rsidRPr="00B53F79">
        <w:lastRenderedPageBreak/>
        <w:t>Results and Discussion</w:t>
      </w:r>
    </w:p>
    <w:p w14:paraId="320E9861" w14:textId="41E8394D" w:rsidR="00D52490" w:rsidRDefault="000E01CD" w:rsidP="00D52490">
      <w:pPr>
        <w:pStyle w:val="ListParagraph"/>
        <w:numPr>
          <w:ilvl w:val="2"/>
          <w:numId w:val="1"/>
        </w:numPr>
        <w:rPr>
          <w:b/>
          <w:bCs/>
        </w:rPr>
      </w:pPr>
      <w:r>
        <w:rPr>
          <w:b/>
          <w:bCs/>
        </w:rPr>
        <w:t xml:space="preserve">Estimation of </w:t>
      </w:r>
      <w:r w:rsidR="007775C4">
        <w:rPr>
          <w:b/>
          <w:bCs/>
        </w:rPr>
        <w:t>P</w:t>
      </w:r>
      <w:r>
        <w:rPr>
          <w:b/>
          <w:bCs/>
        </w:rPr>
        <w:t xml:space="preserve">ure </w:t>
      </w:r>
      <w:r w:rsidR="007775C4">
        <w:rPr>
          <w:b/>
          <w:bCs/>
        </w:rPr>
        <w:t>C</w:t>
      </w:r>
      <w:r>
        <w:rPr>
          <w:b/>
          <w:bCs/>
        </w:rPr>
        <w:t xml:space="preserve">ompound </w:t>
      </w:r>
      <w:r w:rsidR="007775C4">
        <w:rPr>
          <w:b/>
          <w:bCs/>
        </w:rPr>
        <w:t>P</w:t>
      </w:r>
      <w:r>
        <w:rPr>
          <w:b/>
          <w:bCs/>
        </w:rPr>
        <w:t>arameters</w:t>
      </w:r>
    </w:p>
    <w:p w14:paraId="3E520F27" w14:textId="77777777" w:rsidR="00D52490" w:rsidRPr="00D52490" w:rsidRDefault="00D52490" w:rsidP="00D52490">
      <w:pPr>
        <w:pStyle w:val="ListParagraph"/>
        <w:ind w:left="0"/>
        <w:rPr>
          <w:b/>
          <w:bCs/>
          <w:sz w:val="10"/>
          <w:szCs w:val="10"/>
        </w:rPr>
      </w:pPr>
    </w:p>
    <w:p w14:paraId="54CE91B0" w14:textId="243EB88D" w:rsidR="00BD643F" w:rsidRDefault="00BD643F" w:rsidP="00D52490">
      <w:pPr>
        <w:pStyle w:val="ListParagraph"/>
        <w:ind w:left="0"/>
        <w:rPr>
          <w:rFonts w:eastAsiaTheme="minorEastAsia" w:cs="Arial"/>
          <w:iCs/>
          <w:szCs w:val="24"/>
        </w:rPr>
      </w:pPr>
      <w:r>
        <w:rPr>
          <w:rFonts w:cs="Arial"/>
          <w:iCs/>
          <w:szCs w:val="24"/>
        </w:rPr>
        <w:t>Pure</w:t>
      </w:r>
      <w:r w:rsidR="00713DD7" w:rsidRPr="000E01CD">
        <w:rPr>
          <w:rFonts w:cs="Arial"/>
          <w:iCs/>
          <w:szCs w:val="24"/>
        </w:rPr>
        <w:t xml:space="preserve"> component parameters such as molecular weight (</w:t>
      </w:r>
      <m:oMath>
        <m:r>
          <m:rPr>
            <m:sty m:val="p"/>
          </m:rPr>
          <w:rPr>
            <w:rFonts w:ascii="Cambria Math" w:hAnsi="Cambria Math" w:cs="Arial"/>
            <w:szCs w:val="24"/>
          </w:rPr>
          <m:t>MW)</m:t>
        </m:r>
      </m:oMath>
      <w:r w:rsidR="00713DD7" w:rsidRPr="000E01CD">
        <w:rPr>
          <w:rFonts w:eastAsiaTheme="minorEastAsia" w:cs="Arial"/>
          <w:iCs/>
          <w:szCs w:val="24"/>
        </w:rPr>
        <w:t>, critical temperature</w:t>
      </w:r>
      <w:r w:rsidR="00713DD7" w:rsidRPr="000E01CD">
        <w:rPr>
          <w:rFonts w:cs="Arial"/>
          <w:iCs/>
          <w:szCs w:val="24"/>
        </w:rPr>
        <w:t xml:space="preserve"> </w:t>
      </w:r>
      <m:oMath>
        <m:r>
          <m:rPr>
            <m:sty m:val="p"/>
          </m:rP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T</m:t>
            </m:r>
          </m:e>
          <m:sub>
            <m:r>
              <w:rPr>
                <w:rFonts w:ascii="Cambria Math" w:hAnsi="Cambria Math" w:cs="Arial"/>
                <w:szCs w:val="24"/>
              </w:rPr>
              <m:t>c</m:t>
            </m:r>
          </m:sub>
        </m:sSub>
        <m:r>
          <m:rPr>
            <m:sty m:val="p"/>
          </m:rPr>
          <w:rPr>
            <w:rFonts w:ascii="Cambria Math" w:hAnsi="Cambria Math" w:cs="Arial"/>
            <w:szCs w:val="24"/>
          </w:rPr>
          <m:t>)</m:t>
        </m:r>
      </m:oMath>
      <w:r w:rsidR="00713DD7" w:rsidRPr="000E01CD">
        <w:rPr>
          <w:rFonts w:eastAsiaTheme="minorEastAsia" w:cs="Arial"/>
          <w:iCs/>
          <w:szCs w:val="24"/>
        </w:rPr>
        <w:t>, critical pressure (</w:t>
      </w:r>
      <m:oMath>
        <m:sSub>
          <m:sSubPr>
            <m:ctrlPr>
              <w:rPr>
                <w:rFonts w:ascii="Cambria Math" w:eastAsiaTheme="minorEastAsia" w:hAnsi="Cambria Math" w:cs="Arial"/>
                <w:i/>
                <w:szCs w:val="24"/>
              </w:rPr>
            </m:ctrlPr>
          </m:sSubPr>
          <m:e>
            <m:r>
              <w:rPr>
                <w:rFonts w:ascii="Cambria Math" w:eastAsiaTheme="minorEastAsia" w:hAnsi="Cambria Math" w:cs="Arial"/>
                <w:szCs w:val="24"/>
              </w:rPr>
              <m:t>P</m:t>
            </m:r>
          </m:e>
          <m:sub>
            <m:r>
              <w:rPr>
                <w:rFonts w:ascii="Cambria Math" w:eastAsiaTheme="minorEastAsia" w:hAnsi="Cambria Math" w:cs="Arial"/>
                <w:szCs w:val="24"/>
              </w:rPr>
              <m:t>c</m:t>
            </m:r>
          </m:sub>
        </m:sSub>
        <m:r>
          <m:rPr>
            <m:sty m:val="p"/>
          </m:rPr>
          <w:rPr>
            <w:rFonts w:ascii="Cambria Math" w:eastAsiaTheme="minorEastAsia" w:hAnsi="Cambria Math" w:cs="Arial"/>
            <w:szCs w:val="24"/>
          </w:rPr>
          <m:t>)</m:t>
        </m:r>
      </m:oMath>
      <w:r w:rsidR="00713DD7" w:rsidRPr="000E01CD">
        <w:rPr>
          <w:rFonts w:eastAsiaTheme="minorEastAsia" w:cs="Arial"/>
          <w:iCs/>
          <w:szCs w:val="24"/>
        </w:rPr>
        <w:t xml:space="preserve">, and the acentric factor </w:t>
      </w:r>
      <m:oMath>
        <m:r>
          <m:rPr>
            <m:sty m:val="p"/>
          </m:rPr>
          <w:rPr>
            <w:rFonts w:ascii="Cambria Math" w:eastAsiaTheme="minorEastAsia" w:hAnsi="Cambria Math" w:cs="Arial"/>
            <w:szCs w:val="24"/>
          </w:rPr>
          <m:t>(</m:t>
        </m:r>
        <m:r>
          <w:rPr>
            <w:rFonts w:ascii="Cambria Math" w:eastAsiaTheme="minorEastAsia" w:hAnsi="Cambria Math" w:cs="Arial"/>
            <w:szCs w:val="24"/>
          </w:rPr>
          <m:t>ω</m:t>
        </m:r>
        <m:r>
          <m:rPr>
            <m:sty m:val="p"/>
          </m:rPr>
          <w:rPr>
            <w:rFonts w:ascii="Cambria Math" w:eastAsiaTheme="minorEastAsia" w:hAnsi="Cambria Math" w:cs="Arial"/>
            <w:szCs w:val="24"/>
          </w:rPr>
          <m:t>)</m:t>
        </m:r>
      </m:oMath>
      <w:r w:rsidR="00713DD7" w:rsidRPr="000E01CD">
        <w:rPr>
          <w:rFonts w:eastAsiaTheme="minorEastAsia" w:cs="Arial"/>
          <w:iCs/>
          <w:szCs w:val="24"/>
        </w:rPr>
        <w:t>, are required</w:t>
      </w:r>
      <w:r>
        <w:rPr>
          <w:rFonts w:eastAsiaTheme="minorEastAsia" w:cs="Arial"/>
          <w:iCs/>
          <w:szCs w:val="24"/>
        </w:rPr>
        <w:t xml:space="preserve"> in the modelling</w:t>
      </w:r>
      <w:r w:rsidR="00713DD7" w:rsidRPr="000E01CD">
        <w:rPr>
          <w:rFonts w:eastAsiaTheme="minorEastAsia" w:cs="Arial"/>
          <w:iCs/>
          <w:szCs w:val="24"/>
        </w:rPr>
        <w:t>. For pure gases</w:t>
      </w:r>
      <w:r w:rsidR="00905303" w:rsidRPr="000E01CD">
        <w:rPr>
          <w:rFonts w:eastAsiaTheme="minorEastAsia" w:cs="Arial"/>
          <w:iCs/>
          <w:szCs w:val="24"/>
        </w:rPr>
        <w:t xml:space="preserve"> and several DEss</w:t>
      </w:r>
      <w:r w:rsidR="00713DD7" w:rsidRPr="000E01CD">
        <w:rPr>
          <w:rFonts w:eastAsiaTheme="minorEastAsia" w:cs="Arial"/>
          <w:iCs/>
          <w:szCs w:val="24"/>
        </w:rPr>
        <w:t>, these parameters can be easily found in the literature</w:t>
      </w:r>
      <w:r w:rsidR="00905303" w:rsidRPr="000E01CD">
        <w:rPr>
          <w:rFonts w:eastAsiaTheme="minorEastAsia" w:cs="Arial"/>
          <w:iCs/>
          <w:szCs w:val="24"/>
        </w:rPr>
        <w:t>, however, physical properties of some DESs need to be calculated and this can be achieved using the Joback group contribution method.</w:t>
      </w:r>
      <w:r>
        <w:rPr>
          <w:rFonts w:eastAsiaTheme="minorEastAsia" w:cs="Arial"/>
          <w:iCs/>
          <w:szCs w:val="24"/>
        </w:rPr>
        <w:t xml:space="preserve"> For this work, the critical properties and acentric factor of the gases were obtained from the NIST webpage and from Mirza et al. (2015) and Animasahun et al. (201</w:t>
      </w:r>
      <w:r w:rsidR="00FB3E9F">
        <w:rPr>
          <w:rFonts w:eastAsiaTheme="minorEastAsia" w:cs="Arial"/>
          <w:iCs/>
          <w:szCs w:val="24"/>
        </w:rPr>
        <w:t>7</w:t>
      </w:r>
      <w:r>
        <w:rPr>
          <w:rFonts w:eastAsiaTheme="minorEastAsia" w:cs="Arial"/>
          <w:iCs/>
          <w:szCs w:val="24"/>
        </w:rPr>
        <w:t>) for pure DESs.</w:t>
      </w:r>
    </w:p>
    <w:p w14:paraId="2444E1FF" w14:textId="77777777" w:rsidR="00BD643F" w:rsidRDefault="00BD643F" w:rsidP="00D52490">
      <w:pPr>
        <w:pStyle w:val="ListParagraph"/>
        <w:ind w:left="0"/>
        <w:rPr>
          <w:rFonts w:eastAsiaTheme="minorEastAsia" w:cs="Arial"/>
          <w:iCs/>
          <w:szCs w:val="24"/>
        </w:rPr>
      </w:pPr>
    </w:p>
    <w:p w14:paraId="120BC5B2" w14:textId="4FFBBDBA" w:rsidR="000A4D01" w:rsidRPr="000E01CD" w:rsidRDefault="00AA06BC" w:rsidP="00D52490">
      <w:pPr>
        <w:pStyle w:val="ListParagraph"/>
        <w:ind w:left="0"/>
        <w:rPr>
          <w:b/>
          <w:bCs/>
          <w:iCs/>
        </w:rPr>
      </w:pPr>
      <w:r w:rsidRPr="000E01CD">
        <w:rPr>
          <w:rFonts w:cs="Arial"/>
          <w:iCs/>
        </w:rPr>
        <w:t>Since the critical properties and the acentric factor of DESs</w:t>
      </w:r>
      <w:r w:rsidR="00F87E59" w:rsidRPr="000E01CD">
        <w:rPr>
          <w:rFonts w:cs="Arial"/>
          <w:iCs/>
        </w:rPr>
        <w:t xml:space="preserve"> were</w:t>
      </w:r>
      <w:r w:rsidRPr="000E01CD">
        <w:rPr>
          <w:rFonts w:cs="Arial"/>
          <w:iCs/>
        </w:rPr>
        <w:t xml:space="preserve"> theoretically </w:t>
      </w:r>
      <w:r w:rsidR="00F87E59" w:rsidRPr="000E01CD">
        <w:rPr>
          <w:rFonts w:cs="Arial"/>
          <w:iCs/>
        </w:rPr>
        <w:t>estimated</w:t>
      </w:r>
      <w:r w:rsidRPr="000E01CD">
        <w:rPr>
          <w:rFonts w:cs="Arial"/>
          <w:iCs/>
        </w:rPr>
        <w:t xml:space="preserve">, it was decided to perform </w:t>
      </w:r>
      <w:r w:rsidR="00056F6F" w:rsidRPr="000E01CD">
        <w:rPr>
          <w:rFonts w:cs="Arial"/>
          <w:iCs/>
        </w:rPr>
        <w:t>an</w:t>
      </w:r>
      <w:r w:rsidRPr="000E01CD">
        <w:rPr>
          <w:rFonts w:cs="Arial"/>
          <w:iCs/>
        </w:rPr>
        <w:t xml:space="preserve"> optimi</w:t>
      </w:r>
      <w:r w:rsidR="00056F6F" w:rsidRPr="000E01CD">
        <w:rPr>
          <w:rFonts w:cs="Arial"/>
          <w:iCs/>
        </w:rPr>
        <w:t>s</w:t>
      </w:r>
      <w:r w:rsidRPr="000E01CD">
        <w:rPr>
          <w:rFonts w:cs="Arial"/>
          <w:iCs/>
        </w:rPr>
        <w:t xml:space="preserve">ation of these parameters </w:t>
      </w:r>
      <w:r w:rsidR="00F87E59" w:rsidRPr="000E01CD">
        <w:rPr>
          <w:rFonts w:cs="Arial"/>
          <w:iCs/>
        </w:rPr>
        <w:t xml:space="preserve">so that </w:t>
      </w:r>
      <w:r w:rsidRPr="000E01CD">
        <w:rPr>
          <w:rFonts w:ascii="Cambria Math" w:hAnsi="Cambria Math" w:cs="Cambria Math"/>
          <w:iCs/>
        </w:rPr>
        <w:t>𝛼</w:t>
      </w:r>
      <w:r w:rsidRPr="000E01CD">
        <w:rPr>
          <w:rFonts w:cs="Arial"/>
          <w:iCs/>
        </w:rPr>
        <w:t xml:space="preserve"> (Soave or Yokozeki) </w:t>
      </w:r>
      <w:r w:rsidR="00F87E59" w:rsidRPr="000E01CD">
        <w:rPr>
          <w:rFonts w:cs="Arial"/>
          <w:iCs/>
        </w:rPr>
        <w:t>using either</w:t>
      </w:r>
      <w:r w:rsidRPr="000E01CD">
        <w:rPr>
          <w:rFonts w:cs="Arial"/>
          <w:iCs/>
        </w:rPr>
        <w:t xml:space="preserve"> the Peng</w:t>
      </w:r>
      <w:r w:rsidR="00713DD7" w:rsidRPr="000E01CD">
        <w:rPr>
          <w:rFonts w:cs="Arial"/>
          <w:iCs/>
        </w:rPr>
        <w:t>-</w:t>
      </w:r>
      <w:r w:rsidRPr="000E01CD">
        <w:rPr>
          <w:rFonts w:cs="Arial"/>
          <w:iCs/>
        </w:rPr>
        <w:t>Robinson or Soave-Redlich-Kwong equations</w:t>
      </w:r>
      <w:r w:rsidR="00F87E59" w:rsidRPr="000E01CD">
        <w:rPr>
          <w:rFonts w:cs="Arial"/>
          <w:iCs/>
        </w:rPr>
        <w:t xml:space="preserve"> </w:t>
      </w:r>
      <w:r w:rsidRPr="000E01CD">
        <w:rPr>
          <w:rFonts w:cs="Arial"/>
          <w:iCs/>
        </w:rPr>
        <w:t>reproduces the</w:t>
      </w:r>
      <w:r w:rsidR="00F87E59" w:rsidRPr="000E01CD">
        <w:rPr>
          <w:rFonts w:cs="Arial"/>
          <w:iCs/>
        </w:rPr>
        <w:t xml:space="preserve"> experimental</w:t>
      </w:r>
      <w:r w:rsidRPr="000E01CD">
        <w:rPr>
          <w:rFonts w:cs="Arial"/>
          <w:iCs/>
        </w:rPr>
        <w:t xml:space="preserve"> vapo</w:t>
      </w:r>
      <w:r w:rsidR="00713DD7" w:rsidRPr="000E01CD">
        <w:rPr>
          <w:rFonts w:cs="Arial"/>
          <w:iCs/>
        </w:rPr>
        <w:t>u</w:t>
      </w:r>
      <w:r w:rsidRPr="000E01CD">
        <w:rPr>
          <w:rFonts w:cs="Arial"/>
          <w:iCs/>
        </w:rPr>
        <w:t>r pressures</w:t>
      </w:r>
      <w:r w:rsidR="00F87E59" w:rsidRPr="000E01CD">
        <w:rPr>
          <w:rFonts w:cs="Arial"/>
          <w:iCs/>
        </w:rPr>
        <w:t xml:space="preserve"> of the pure solvents</w:t>
      </w:r>
      <w:r w:rsidR="00713DD7" w:rsidRPr="000E01CD">
        <w:rPr>
          <w:rFonts w:cs="Arial"/>
          <w:iCs/>
        </w:rPr>
        <w:t xml:space="preserve">. </w:t>
      </w:r>
      <w:r w:rsidR="00056F6F" w:rsidRPr="000E01CD">
        <w:rPr>
          <w:rFonts w:cs="Arial"/>
          <w:iCs/>
        </w:rPr>
        <w:t>In</w:t>
      </w:r>
      <w:r w:rsidRPr="000E01CD">
        <w:rPr>
          <w:rFonts w:cs="Arial"/>
          <w:iCs/>
        </w:rPr>
        <w:t xml:space="preserve"> this way it is</w:t>
      </w:r>
      <w:r w:rsidR="00056F6F" w:rsidRPr="000E01CD">
        <w:rPr>
          <w:rFonts w:cs="Arial"/>
          <w:iCs/>
        </w:rPr>
        <w:t xml:space="preserve"> </w:t>
      </w:r>
      <w:r w:rsidRPr="000E01CD">
        <w:rPr>
          <w:rFonts w:cs="Arial"/>
          <w:iCs/>
        </w:rPr>
        <w:t xml:space="preserve">intended to corroborate if the model </w:t>
      </w:r>
      <w:r w:rsidR="00056F6F" w:rsidRPr="000E01CD">
        <w:rPr>
          <w:rFonts w:cs="Arial"/>
          <w:iCs/>
        </w:rPr>
        <w:t>can</w:t>
      </w:r>
      <w:r w:rsidRPr="000E01CD">
        <w:rPr>
          <w:rFonts w:cs="Arial"/>
          <w:iCs/>
        </w:rPr>
        <w:t xml:space="preserve"> accurately represent the solubility of gases in solvents </w:t>
      </w:r>
      <w:r w:rsidR="00BD643F">
        <w:rPr>
          <w:rFonts w:cs="Arial"/>
          <w:iCs/>
        </w:rPr>
        <w:t>using</w:t>
      </w:r>
      <w:r w:rsidRPr="000E01CD">
        <w:rPr>
          <w:rFonts w:cs="Arial"/>
          <w:iCs/>
        </w:rPr>
        <w:t xml:space="preserve"> </w:t>
      </w:r>
      <w:r w:rsidR="00BD643F">
        <w:rPr>
          <w:rFonts w:cs="Arial"/>
          <w:iCs/>
        </w:rPr>
        <w:t>the</w:t>
      </w:r>
      <w:r w:rsidRPr="000E01CD">
        <w:rPr>
          <w:rFonts w:cs="Arial"/>
          <w:iCs/>
        </w:rPr>
        <w:t xml:space="preserve"> modified properties of the latter.</w:t>
      </w:r>
      <w:r w:rsidR="00D52490" w:rsidRPr="000E01CD">
        <w:rPr>
          <w:rFonts w:cs="Arial"/>
          <w:iCs/>
        </w:rPr>
        <w:t xml:space="preserve"> Table 1</w:t>
      </w:r>
      <w:r w:rsidR="000539FE">
        <w:rPr>
          <w:rFonts w:cs="Arial"/>
          <w:iCs/>
        </w:rPr>
        <w:t xml:space="preserve"> </w:t>
      </w:r>
      <w:r w:rsidR="00413C49">
        <w:rPr>
          <w:rFonts w:cs="Arial"/>
          <w:iCs/>
        </w:rPr>
        <w:t>lists the calculated parameters for solvents choline chloride + urea (1:2), choline chloride + glycerol (1:2) and choline chloride + ethylene glycol (1:2).</w:t>
      </w:r>
      <w:r w:rsidR="00BD643F">
        <w:rPr>
          <w:rFonts w:cs="Arial"/>
          <w:iCs/>
        </w:rPr>
        <w:t xml:space="preserve"> </w:t>
      </w:r>
      <w:r w:rsidR="00E56C1A">
        <w:rPr>
          <w:rFonts w:cs="Arial"/>
          <w:iCs/>
        </w:rPr>
        <w:t xml:space="preserve">AAD </w:t>
      </w:r>
      <w:r w:rsidR="00624D27">
        <w:rPr>
          <w:rFonts w:cs="Arial"/>
          <w:iCs/>
        </w:rPr>
        <w:t>denotes</w:t>
      </w:r>
      <w:r w:rsidR="00E56C1A">
        <w:rPr>
          <w:rFonts w:cs="Arial"/>
          <w:iCs/>
        </w:rPr>
        <w:t xml:space="preserve"> the absolute average deviation of the fitted vapour pressure.</w:t>
      </w:r>
    </w:p>
    <w:p w14:paraId="0713F644" w14:textId="474A8CE3" w:rsidR="00713DD7" w:rsidRPr="000A4D01" w:rsidRDefault="00713DD7" w:rsidP="000A4D01">
      <w:pPr>
        <w:pStyle w:val="CETTabletitle"/>
        <w:jc w:val="both"/>
        <w:rPr>
          <w:rFonts w:eastAsiaTheme="minorEastAsia" w:cs="Arial"/>
          <w:i w:val="0"/>
          <w:iCs/>
          <w:szCs w:val="24"/>
        </w:rPr>
      </w:pPr>
      <w:r w:rsidRPr="00B57B36">
        <w:t xml:space="preserve">Table 1: </w:t>
      </w:r>
      <w:r w:rsidR="00570C41">
        <w:t xml:space="preserve">Parameter estimation of </w:t>
      </w:r>
      <w:r w:rsidR="00A758DA">
        <w:t>three choline chloride based</w:t>
      </w:r>
      <w:r w:rsidR="00570C41">
        <w:t xml:space="preserve"> DESs.</w:t>
      </w:r>
    </w:p>
    <w:tbl>
      <w:tblPr>
        <w:tblW w:w="8540" w:type="dxa"/>
        <w:tblBorders>
          <w:top w:val="single" w:sz="12" w:space="0" w:color="008000"/>
          <w:bottom w:val="single" w:sz="6" w:space="0" w:color="008000"/>
          <w:insideH w:val="single" w:sz="6" w:space="0" w:color="008000"/>
        </w:tblBorders>
        <w:tblCellMar>
          <w:left w:w="0" w:type="dxa"/>
          <w:right w:w="0" w:type="dxa"/>
        </w:tblCellMar>
        <w:tblLook w:val="00A0" w:firstRow="1" w:lastRow="0" w:firstColumn="1" w:lastColumn="0" w:noHBand="0" w:noVBand="0"/>
      </w:tblPr>
      <w:tblGrid>
        <w:gridCol w:w="1679"/>
        <w:gridCol w:w="915"/>
        <w:gridCol w:w="1066"/>
        <w:gridCol w:w="1220"/>
        <w:gridCol w:w="1220"/>
        <w:gridCol w:w="1220"/>
        <w:gridCol w:w="1220"/>
      </w:tblGrid>
      <w:tr w:rsidR="00D52490" w14:paraId="7D5DBF30" w14:textId="70C3DAF9" w:rsidTr="00D52490">
        <w:trPr>
          <w:trHeight w:val="320"/>
        </w:trPr>
        <w:tc>
          <w:tcPr>
            <w:tcW w:w="1679" w:type="dxa"/>
            <w:tcBorders>
              <w:top w:val="single" w:sz="12" w:space="0" w:color="008000"/>
              <w:bottom w:val="single" w:sz="12" w:space="0" w:color="008000"/>
            </w:tcBorders>
            <w:shd w:val="clear" w:color="auto" w:fill="FFFFFF"/>
            <w:vAlign w:val="center"/>
          </w:tcPr>
          <w:p w14:paraId="3CE977ED" w14:textId="0DC8D764" w:rsidR="00DD0B4A" w:rsidRDefault="000F0B7E" w:rsidP="000A4D01">
            <w:pPr>
              <w:pStyle w:val="CETBodytext"/>
              <w:jc w:val="center"/>
              <w:rPr>
                <w:lang w:val="en-GB"/>
              </w:rPr>
            </w:pPr>
            <w:r>
              <w:rPr>
                <w:lang w:val="en-GB"/>
              </w:rPr>
              <w:t>DES</w:t>
            </w:r>
          </w:p>
        </w:tc>
        <w:tc>
          <w:tcPr>
            <w:tcW w:w="915" w:type="dxa"/>
            <w:tcBorders>
              <w:top w:val="single" w:sz="12" w:space="0" w:color="008000"/>
              <w:bottom w:val="single" w:sz="12" w:space="0" w:color="008000"/>
            </w:tcBorders>
            <w:shd w:val="clear" w:color="auto" w:fill="FFFFFF"/>
            <w:vAlign w:val="center"/>
          </w:tcPr>
          <w:p w14:paraId="63AAA0F4" w14:textId="5D264FBE" w:rsidR="00DD0B4A" w:rsidRDefault="000F0B7E" w:rsidP="000A4D01">
            <w:pPr>
              <w:pStyle w:val="CETBodytext"/>
              <w:jc w:val="center"/>
              <w:rPr>
                <w:lang w:val="en-GB"/>
              </w:rPr>
            </w:pPr>
            <w:r>
              <w:rPr>
                <w:lang w:val="en-GB"/>
              </w:rPr>
              <w:t>CEoS</w:t>
            </w:r>
          </w:p>
        </w:tc>
        <w:tc>
          <w:tcPr>
            <w:tcW w:w="1066" w:type="dxa"/>
            <w:tcBorders>
              <w:top w:val="single" w:sz="12" w:space="0" w:color="008000"/>
              <w:bottom w:val="single" w:sz="12" w:space="0" w:color="008000"/>
            </w:tcBorders>
            <w:shd w:val="clear" w:color="auto" w:fill="FFFFFF"/>
            <w:vAlign w:val="center"/>
          </w:tcPr>
          <w:p w14:paraId="23ED9306" w14:textId="5D6E45CB" w:rsidR="00DD0B4A" w:rsidRDefault="000F0B7E" w:rsidP="000A4D01">
            <w:pPr>
              <w:pStyle w:val="CETBodytext"/>
              <w:jc w:val="center"/>
              <w:rPr>
                <w:lang w:val="en-GB"/>
              </w:rPr>
            </w:pPr>
            <w:bookmarkStart w:id="0" w:name="_Hlk127147743"/>
            <m:oMathPara>
              <m:oMath>
                <m:r>
                  <w:rPr>
                    <w:rFonts w:ascii="Cambria Math" w:hAnsi="Cambria Math" w:cs="CMU Serif"/>
                  </w:rPr>
                  <m:t>α</m:t>
                </m:r>
              </m:oMath>
            </m:oMathPara>
            <w:bookmarkEnd w:id="0"/>
          </w:p>
        </w:tc>
        <w:tc>
          <w:tcPr>
            <w:tcW w:w="1220" w:type="dxa"/>
            <w:tcBorders>
              <w:top w:val="single" w:sz="12" w:space="0" w:color="008000"/>
              <w:bottom w:val="single" w:sz="12" w:space="0" w:color="008000"/>
            </w:tcBorders>
            <w:shd w:val="clear" w:color="auto" w:fill="FFFFFF"/>
            <w:vAlign w:val="center"/>
          </w:tcPr>
          <w:p w14:paraId="6C2E139C" w14:textId="2669DDE0" w:rsidR="00DD0B4A" w:rsidRDefault="00000000" w:rsidP="000A4D01">
            <w:pPr>
              <w:pStyle w:val="CETBodytext"/>
              <w:ind w:right="-1"/>
              <w:jc w:val="center"/>
              <w:rPr>
                <w:rFonts w:cs="Arial"/>
                <w:szCs w:val="18"/>
                <w:lang w:val="en-GB"/>
              </w:rPr>
            </w:pPr>
            <m:oMathPara>
              <m:oMath>
                <m:sSub>
                  <m:sSubPr>
                    <m:ctrlPr>
                      <w:rPr>
                        <w:rFonts w:ascii="Cambria Math" w:hAnsi="Cambria Math" w:cs="CMU Serif"/>
                      </w:rPr>
                    </m:ctrlPr>
                  </m:sSubPr>
                  <m:e>
                    <m:r>
                      <w:rPr>
                        <w:rFonts w:ascii="Cambria Math" w:hAnsi="Cambria Math" w:cs="CMU Serif"/>
                      </w:rPr>
                      <m:t>β</m:t>
                    </m:r>
                  </m:e>
                  <m:sub>
                    <m:r>
                      <w:rPr>
                        <w:rFonts w:ascii="Cambria Math" w:hAnsi="Cambria Math" w:cs="CMU Serif"/>
                      </w:rPr>
                      <m:t>1</m:t>
                    </m:r>
                  </m:sub>
                </m:sSub>
              </m:oMath>
            </m:oMathPara>
          </w:p>
        </w:tc>
        <w:tc>
          <w:tcPr>
            <w:tcW w:w="1220" w:type="dxa"/>
            <w:tcBorders>
              <w:top w:val="single" w:sz="12" w:space="0" w:color="008000"/>
              <w:bottom w:val="single" w:sz="12" w:space="0" w:color="008000"/>
            </w:tcBorders>
            <w:shd w:val="clear" w:color="auto" w:fill="FFFFFF"/>
            <w:vAlign w:val="center"/>
          </w:tcPr>
          <w:p w14:paraId="3EB33DFC" w14:textId="2BE1DB01" w:rsidR="00DD0B4A" w:rsidRPr="000F0B7E" w:rsidRDefault="00000000" w:rsidP="000A4D01">
            <w:pPr>
              <w:pStyle w:val="CETBodytext"/>
              <w:ind w:right="-1"/>
              <w:jc w:val="center"/>
              <w:rPr>
                <w:rFonts w:ascii="Cambria Math" w:hAnsi="Cambria Math" w:cs="Arial"/>
                <w:i/>
                <w:szCs w:val="18"/>
                <w:lang w:val="en-GB"/>
              </w:rPr>
            </w:pPr>
            <m:oMath>
              <m:sSub>
                <m:sSubPr>
                  <m:ctrlPr>
                    <w:rPr>
                      <w:rFonts w:ascii="Cambria Math" w:hAnsi="Cambria Math" w:cs="Arial"/>
                      <w:szCs w:val="24"/>
                    </w:rPr>
                  </m:ctrlPr>
                </m:sSubPr>
                <m:e>
                  <m:r>
                    <w:rPr>
                      <w:rFonts w:ascii="Cambria Math" w:hAnsi="Cambria Math" w:cs="Arial"/>
                      <w:szCs w:val="24"/>
                    </w:rPr>
                    <m:t>T</m:t>
                  </m:r>
                </m:e>
                <m:sub>
                  <m:r>
                    <w:rPr>
                      <w:rFonts w:ascii="Cambria Math" w:hAnsi="Cambria Math" w:cs="Arial"/>
                      <w:szCs w:val="24"/>
                    </w:rPr>
                    <m:t>c</m:t>
                  </m:r>
                </m:sub>
              </m:sSub>
            </m:oMath>
            <w:r w:rsidR="000F0B7E">
              <w:rPr>
                <w:rFonts w:ascii="Cambria Math" w:hAnsi="Cambria Math" w:cs="Arial"/>
                <w:i/>
                <w:szCs w:val="24"/>
              </w:rPr>
              <w:t xml:space="preserve"> </w:t>
            </w:r>
            <w:r w:rsidR="000F0B7E" w:rsidRPr="00EB297B">
              <w:rPr>
                <w:rFonts w:cs="Arial"/>
                <w:iCs/>
                <w:szCs w:val="24"/>
              </w:rPr>
              <w:t>(K)</w:t>
            </w:r>
          </w:p>
        </w:tc>
        <w:tc>
          <w:tcPr>
            <w:tcW w:w="1220" w:type="dxa"/>
            <w:tcBorders>
              <w:top w:val="single" w:sz="12" w:space="0" w:color="008000"/>
              <w:bottom w:val="single" w:sz="12" w:space="0" w:color="008000"/>
            </w:tcBorders>
            <w:shd w:val="clear" w:color="auto" w:fill="FFFFFF"/>
            <w:vAlign w:val="center"/>
          </w:tcPr>
          <w:p w14:paraId="72E4EEB8" w14:textId="5B05A302" w:rsidR="00DD0B4A" w:rsidRDefault="00EB297B" w:rsidP="000A4D01">
            <w:pPr>
              <w:pStyle w:val="CETBodytext"/>
              <w:ind w:right="-1"/>
              <w:jc w:val="center"/>
              <w:rPr>
                <w:rFonts w:cs="Arial"/>
                <w:szCs w:val="18"/>
                <w:lang w:val="en-GB"/>
              </w:rPr>
            </w:pPr>
            <m:oMathPara>
              <m:oMath>
                <m:r>
                  <w:rPr>
                    <w:rFonts w:ascii="Cambria Math" w:eastAsiaTheme="minorEastAsia" w:hAnsi="Cambria Math" w:cs="Arial"/>
                    <w:szCs w:val="24"/>
                  </w:rPr>
                  <m:t>ω</m:t>
                </m:r>
              </m:oMath>
            </m:oMathPara>
          </w:p>
        </w:tc>
        <w:tc>
          <w:tcPr>
            <w:tcW w:w="1220" w:type="dxa"/>
            <w:tcBorders>
              <w:top w:val="single" w:sz="12" w:space="0" w:color="008000"/>
              <w:bottom w:val="single" w:sz="12" w:space="0" w:color="008000"/>
            </w:tcBorders>
            <w:shd w:val="clear" w:color="auto" w:fill="FFFFFF"/>
            <w:vAlign w:val="center"/>
          </w:tcPr>
          <w:p w14:paraId="24B47A6B" w14:textId="2ECEC550" w:rsidR="00DD0B4A" w:rsidRDefault="00EB297B" w:rsidP="000A4D01">
            <w:pPr>
              <w:pStyle w:val="CETBodytext"/>
              <w:ind w:right="-1"/>
              <w:jc w:val="center"/>
              <w:rPr>
                <w:rFonts w:cs="Arial"/>
                <w:szCs w:val="18"/>
                <w:lang w:val="en-GB"/>
              </w:rPr>
            </w:pPr>
            <w:r>
              <w:rPr>
                <w:rFonts w:cs="Arial"/>
                <w:szCs w:val="18"/>
                <w:lang w:val="en-GB"/>
              </w:rPr>
              <w:t>AAD (%)</w:t>
            </w:r>
          </w:p>
        </w:tc>
      </w:tr>
      <w:tr w:rsidR="00EB297B" w14:paraId="761757B1" w14:textId="3AC92D5E" w:rsidTr="00D52490">
        <w:trPr>
          <w:trHeight w:val="343"/>
        </w:trPr>
        <w:tc>
          <w:tcPr>
            <w:tcW w:w="1679" w:type="dxa"/>
            <w:vMerge w:val="restart"/>
            <w:tcBorders>
              <w:top w:val="single" w:sz="12" w:space="0" w:color="008000"/>
            </w:tcBorders>
            <w:shd w:val="clear" w:color="auto" w:fill="FFFFFF"/>
            <w:vAlign w:val="center"/>
          </w:tcPr>
          <w:p w14:paraId="107CA20E" w14:textId="74D14446" w:rsidR="00EB297B" w:rsidRDefault="00EB297B" w:rsidP="000A4D01">
            <w:pPr>
              <w:pStyle w:val="CETBodytext"/>
              <w:jc w:val="center"/>
              <w:rPr>
                <w:lang w:val="en-GB"/>
              </w:rPr>
            </w:pPr>
            <w:r>
              <w:rPr>
                <w:lang w:val="en-GB"/>
              </w:rPr>
              <w:t>ChCl + U (1:2)</w:t>
            </w:r>
          </w:p>
        </w:tc>
        <w:tc>
          <w:tcPr>
            <w:tcW w:w="915" w:type="dxa"/>
            <w:vMerge w:val="restart"/>
            <w:tcBorders>
              <w:top w:val="single" w:sz="12" w:space="0" w:color="008000"/>
            </w:tcBorders>
            <w:shd w:val="clear" w:color="auto" w:fill="FFFFFF"/>
            <w:vAlign w:val="center"/>
          </w:tcPr>
          <w:p w14:paraId="1861B241" w14:textId="28E4BA98" w:rsidR="00EB297B" w:rsidRDefault="00EB297B" w:rsidP="000A4D01">
            <w:pPr>
              <w:pStyle w:val="CETBodytext"/>
              <w:jc w:val="center"/>
              <w:rPr>
                <w:lang w:val="en-GB"/>
              </w:rPr>
            </w:pPr>
            <w:r>
              <w:rPr>
                <w:lang w:val="en-GB"/>
              </w:rPr>
              <w:t>SRK</w:t>
            </w:r>
          </w:p>
        </w:tc>
        <w:tc>
          <w:tcPr>
            <w:tcW w:w="1066" w:type="dxa"/>
            <w:tcBorders>
              <w:top w:val="single" w:sz="12" w:space="0" w:color="008000"/>
              <w:bottom w:val="nil"/>
            </w:tcBorders>
            <w:shd w:val="clear" w:color="auto" w:fill="FFFFFF"/>
            <w:vAlign w:val="center"/>
          </w:tcPr>
          <w:p w14:paraId="77001FCE" w14:textId="5C267B80" w:rsidR="00EB297B" w:rsidRDefault="00EB297B" w:rsidP="000A4D01">
            <w:pPr>
              <w:pStyle w:val="CETBodytext"/>
              <w:jc w:val="center"/>
              <w:rPr>
                <w:lang w:val="en-GB"/>
              </w:rPr>
            </w:pPr>
            <w:r>
              <w:rPr>
                <w:lang w:val="en-GB"/>
              </w:rPr>
              <w:t>Yokozeki</w:t>
            </w:r>
          </w:p>
        </w:tc>
        <w:tc>
          <w:tcPr>
            <w:tcW w:w="1220" w:type="dxa"/>
            <w:tcBorders>
              <w:top w:val="single" w:sz="12" w:space="0" w:color="008000"/>
              <w:bottom w:val="nil"/>
            </w:tcBorders>
            <w:shd w:val="clear" w:color="auto" w:fill="FFFFFF"/>
            <w:vAlign w:val="center"/>
          </w:tcPr>
          <w:p w14:paraId="5AD12AE1" w14:textId="100B02DD" w:rsidR="00EB297B" w:rsidRDefault="00EB297B" w:rsidP="000A4D01">
            <w:pPr>
              <w:pStyle w:val="CETBodytext"/>
              <w:ind w:right="-1"/>
              <w:jc w:val="center"/>
              <w:rPr>
                <w:rFonts w:cs="Arial"/>
                <w:szCs w:val="18"/>
                <w:lang w:val="en-GB"/>
              </w:rPr>
            </w:pPr>
            <w:r>
              <w:rPr>
                <w:rFonts w:cs="Arial"/>
                <w:szCs w:val="18"/>
                <w:lang w:val="en-GB"/>
              </w:rPr>
              <w:t>0.296</w:t>
            </w:r>
          </w:p>
        </w:tc>
        <w:tc>
          <w:tcPr>
            <w:tcW w:w="1220" w:type="dxa"/>
            <w:tcBorders>
              <w:top w:val="single" w:sz="12" w:space="0" w:color="008000"/>
              <w:bottom w:val="nil"/>
            </w:tcBorders>
            <w:shd w:val="clear" w:color="auto" w:fill="FFFFFF"/>
            <w:vAlign w:val="center"/>
          </w:tcPr>
          <w:p w14:paraId="2566DC1F" w14:textId="077F7DF8" w:rsidR="00EB297B" w:rsidRDefault="00EB297B" w:rsidP="000A4D01">
            <w:pPr>
              <w:pStyle w:val="CETBodytext"/>
              <w:ind w:right="-1"/>
              <w:jc w:val="center"/>
              <w:rPr>
                <w:rFonts w:cs="Arial"/>
                <w:szCs w:val="18"/>
                <w:lang w:val="en-GB"/>
              </w:rPr>
            </w:pPr>
            <w:r>
              <w:rPr>
                <w:rFonts w:cs="Arial"/>
                <w:szCs w:val="18"/>
                <w:lang w:val="en-GB"/>
              </w:rPr>
              <w:t>1070.42</w:t>
            </w:r>
          </w:p>
        </w:tc>
        <w:tc>
          <w:tcPr>
            <w:tcW w:w="1220" w:type="dxa"/>
            <w:tcBorders>
              <w:top w:val="single" w:sz="12" w:space="0" w:color="008000"/>
              <w:bottom w:val="nil"/>
            </w:tcBorders>
            <w:shd w:val="clear" w:color="auto" w:fill="FFFFFF"/>
            <w:vAlign w:val="center"/>
          </w:tcPr>
          <w:p w14:paraId="4AF03913" w14:textId="44591BA9" w:rsidR="00EB297B" w:rsidRDefault="00EB297B" w:rsidP="000A4D01">
            <w:pPr>
              <w:pStyle w:val="CETBodytext"/>
              <w:ind w:right="-1"/>
              <w:jc w:val="center"/>
              <w:rPr>
                <w:rFonts w:cs="Arial"/>
                <w:szCs w:val="18"/>
                <w:lang w:val="en-GB"/>
              </w:rPr>
            </w:pPr>
            <w:r>
              <w:rPr>
                <w:rFonts w:cs="Arial"/>
                <w:szCs w:val="18"/>
                <w:lang w:val="en-GB"/>
              </w:rPr>
              <w:t>-</w:t>
            </w:r>
          </w:p>
        </w:tc>
        <w:tc>
          <w:tcPr>
            <w:tcW w:w="1220" w:type="dxa"/>
            <w:tcBorders>
              <w:top w:val="single" w:sz="12" w:space="0" w:color="008000"/>
              <w:bottom w:val="nil"/>
            </w:tcBorders>
            <w:shd w:val="clear" w:color="auto" w:fill="FFFFFF"/>
            <w:vAlign w:val="center"/>
          </w:tcPr>
          <w:p w14:paraId="52DE4876" w14:textId="7165617D" w:rsidR="00EB297B" w:rsidRDefault="00EB297B" w:rsidP="000A4D01">
            <w:pPr>
              <w:pStyle w:val="CETBodytext"/>
              <w:ind w:right="-1"/>
              <w:jc w:val="center"/>
              <w:rPr>
                <w:rFonts w:cs="Arial"/>
                <w:szCs w:val="18"/>
                <w:lang w:val="en-GB"/>
              </w:rPr>
            </w:pPr>
            <w:r>
              <w:rPr>
                <w:rFonts w:cs="Arial"/>
                <w:szCs w:val="18"/>
                <w:lang w:val="en-GB"/>
              </w:rPr>
              <w:t>8.86</w:t>
            </w:r>
          </w:p>
        </w:tc>
      </w:tr>
      <w:tr w:rsidR="00EB297B" w14:paraId="005C2051" w14:textId="77777777" w:rsidTr="00D52490">
        <w:trPr>
          <w:trHeight w:val="205"/>
        </w:trPr>
        <w:tc>
          <w:tcPr>
            <w:tcW w:w="1679" w:type="dxa"/>
            <w:vMerge/>
            <w:shd w:val="clear" w:color="auto" w:fill="FFFFFF"/>
            <w:vAlign w:val="center"/>
          </w:tcPr>
          <w:p w14:paraId="2846ACE6" w14:textId="1D417FD1" w:rsidR="00EB297B" w:rsidRDefault="00EB297B" w:rsidP="000A4D01">
            <w:pPr>
              <w:pStyle w:val="CETBodytext"/>
              <w:jc w:val="center"/>
              <w:rPr>
                <w:lang w:val="en-GB"/>
              </w:rPr>
            </w:pPr>
          </w:p>
        </w:tc>
        <w:tc>
          <w:tcPr>
            <w:tcW w:w="915" w:type="dxa"/>
            <w:vMerge/>
            <w:tcBorders>
              <w:bottom w:val="nil"/>
            </w:tcBorders>
            <w:shd w:val="clear" w:color="auto" w:fill="FFFFFF"/>
            <w:vAlign w:val="center"/>
          </w:tcPr>
          <w:p w14:paraId="3A63CA19" w14:textId="77777777" w:rsidR="00EB297B" w:rsidRDefault="00EB297B" w:rsidP="000A4D01">
            <w:pPr>
              <w:pStyle w:val="CETBodytext"/>
              <w:jc w:val="center"/>
              <w:rPr>
                <w:lang w:val="en-GB"/>
              </w:rPr>
            </w:pPr>
          </w:p>
        </w:tc>
        <w:tc>
          <w:tcPr>
            <w:tcW w:w="1066" w:type="dxa"/>
            <w:tcBorders>
              <w:top w:val="nil"/>
              <w:bottom w:val="nil"/>
            </w:tcBorders>
            <w:shd w:val="clear" w:color="auto" w:fill="FFFFFF"/>
            <w:vAlign w:val="center"/>
          </w:tcPr>
          <w:p w14:paraId="214CF30E" w14:textId="2D3035CA" w:rsidR="00EB297B" w:rsidRDefault="00EB297B" w:rsidP="000A4D01">
            <w:pPr>
              <w:pStyle w:val="CETBodytext"/>
              <w:jc w:val="center"/>
              <w:rPr>
                <w:lang w:val="en-GB"/>
              </w:rPr>
            </w:pPr>
            <w:r>
              <w:rPr>
                <w:lang w:val="en-GB"/>
              </w:rPr>
              <w:t>Soave</w:t>
            </w:r>
          </w:p>
        </w:tc>
        <w:tc>
          <w:tcPr>
            <w:tcW w:w="1220" w:type="dxa"/>
            <w:tcBorders>
              <w:top w:val="nil"/>
              <w:bottom w:val="nil"/>
            </w:tcBorders>
            <w:shd w:val="clear" w:color="auto" w:fill="FFFFFF"/>
            <w:vAlign w:val="center"/>
          </w:tcPr>
          <w:p w14:paraId="20152EFD" w14:textId="1179A4DD" w:rsidR="00EB297B" w:rsidRDefault="00EB297B" w:rsidP="000A4D01">
            <w:pPr>
              <w:pStyle w:val="CETBodytext"/>
              <w:ind w:right="-1"/>
              <w:jc w:val="center"/>
              <w:rPr>
                <w:rFonts w:cs="Arial"/>
                <w:szCs w:val="18"/>
                <w:lang w:val="en-GB"/>
              </w:rPr>
            </w:pPr>
            <w:r>
              <w:rPr>
                <w:rFonts w:cs="Arial"/>
                <w:szCs w:val="18"/>
                <w:lang w:val="en-GB"/>
              </w:rPr>
              <w:t>-</w:t>
            </w:r>
          </w:p>
        </w:tc>
        <w:tc>
          <w:tcPr>
            <w:tcW w:w="1220" w:type="dxa"/>
            <w:tcBorders>
              <w:top w:val="nil"/>
              <w:bottom w:val="nil"/>
            </w:tcBorders>
            <w:shd w:val="clear" w:color="auto" w:fill="FFFFFF"/>
            <w:vAlign w:val="center"/>
          </w:tcPr>
          <w:p w14:paraId="67B85DA6" w14:textId="387E124D" w:rsidR="00EB297B" w:rsidRDefault="00EB297B" w:rsidP="000A4D01">
            <w:pPr>
              <w:pStyle w:val="CETBodytext"/>
              <w:ind w:right="-1"/>
              <w:jc w:val="center"/>
              <w:rPr>
                <w:rFonts w:cs="Arial"/>
                <w:szCs w:val="18"/>
                <w:lang w:val="en-GB"/>
              </w:rPr>
            </w:pPr>
            <w:r>
              <w:rPr>
                <w:rFonts w:cs="Arial"/>
                <w:szCs w:val="18"/>
                <w:lang w:val="en-GB"/>
              </w:rPr>
              <w:t>926.08</w:t>
            </w:r>
          </w:p>
        </w:tc>
        <w:tc>
          <w:tcPr>
            <w:tcW w:w="1220" w:type="dxa"/>
            <w:tcBorders>
              <w:top w:val="nil"/>
              <w:bottom w:val="nil"/>
            </w:tcBorders>
            <w:shd w:val="clear" w:color="auto" w:fill="FFFFFF"/>
            <w:vAlign w:val="center"/>
          </w:tcPr>
          <w:p w14:paraId="26ED9CEC" w14:textId="66C002F2" w:rsidR="00EB297B" w:rsidRDefault="00EB297B" w:rsidP="000A4D01">
            <w:pPr>
              <w:pStyle w:val="CETBodytext"/>
              <w:ind w:right="-1"/>
              <w:jc w:val="center"/>
              <w:rPr>
                <w:rFonts w:cs="Arial"/>
                <w:szCs w:val="18"/>
                <w:lang w:val="en-GB"/>
              </w:rPr>
            </w:pPr>
            <w:r>
              <w:rPr>
                <w:rFonts w:cs="Arial"/>
                <w:szCs w:val="18"/>
                <w:lang w:val="en-GB"/>
              </w:rPr>
              <w:t>0.461</w:t>
            </w:r>
          </w:p>
        </w:tc>
        <w:tc>
          <w:tcPr>
            <w:tcW w:w="1220" w:type="dxa"/>
            <w:tcBorders>
              <w:top w:val="nil"/>
              <w:bottom w:val="nil"/>
            </w:tcBorders>
            <w:shd w:val="clear" w:color="auto" w:fill="FFFFFF"/>
            <w:vAlign w:val="center"/>
          </w:tcPr>
          <w:p w14:paraId="04A9C7A1" w14:textId="468B5F5F" w:rsidR="00EB297B" w:rsidRDefault="00EB297B" w:rsidP="000A4D01">
            <w:pPr>
              <w:pStyle w:val="CETBodytext"/>
              <w:ind w:right="-1"/>
              <w:jc w:val="center"/>
              <w:rPr>
                <w:rFonts w:cs="Arial"/>
                <w:szCs w:val="18"/>
                <w:lang w:val="en-GB"/>
              </w:rPr>
            </w:pPr>
            <w:r>
              <w:rPr>
                <w:rFonts w:cs="Arial"/>
                <w:szCs w:val="18"/>
                <w:lang w:val="en-GB"/>
              </w:rPr>
              <w:t>7.73</w:t>
            </w:r>
          </w:p>
        </w:tc>
      </w:tr>
      <w:tr w:rsidR="00EB297B" w14:paraId="6EE58588" w14:textId="77777777" w:rsidTr="00D52490">
        <w:trPr>
          <w:trHeight w:val="205"/>
        </w:trPr>
        <w:tc>
          <w:tcPr>
            <w:tcW w:w="1679" w:type="dxa"/>
            <w:vMerge/>
            <w:shd w:val="clear" w:color="auto" w:fill="FFFFFF"/>
            <w:vAlign w:val="center"/>
          </w:tcPr>
          <w:p w14:paraId="4679B6E7" w14:textId="77777777" w:rsidR="00EB297B" w:rsidRDefault="00EB297B" w:rsidP="000A4D01">
            <w:pPr>
              <w:pStyle w:val="CETBodytext"/>
              <w:jc w:val="center"/>
              <w:rPr>
                <w:lang w:val="en-GB"/>
              </w:rPr>
            </w:pPr>
          </w:p>
        </w:tc>
        <w:tc>
          <w:tcPr>
            <w:tcW w:w="915" w:type="dxa"/>
            <w:vMerge w:val="restart"/>
            <w:tcBorders>
              <w:top w:val="nil"/>
            </w:tcBorders>
            <w:shd w:val="clear" w:color="auto" w:fill="FFFFFF"/>
            <w:vAlign w:val="center"/>
          </w:tcPr>
          <w:p w14:paraId="466A84C0" w14:textId="7D1F9707" w:rsidR="00EB297B" w:rsidRDefault="00EB297B" w:rsidP="000A4D01">
            <w:pPr>
              <w:pStyle w:val="CETBodytext"/>
              <w:jc w:val="center"/>
              <w:rPr>
                <w:lang w:val="en-GB"/>
              </w:rPr>
            </w:pPr>
            <w:r>
              <w:rPr>
                <w:lang w:val="en-GB"/>
              </w:rPr>
              <w:t>PR</w:t>
            </w:r>
          </w:p>
        </w:tc>
        <w:tc>
          <w:tcPr>
            <w:tcW w:w="1066" w:type="dxa"/>
            <w:tcBorders>
              <w:top w:val="nil"/>
              <w:bottom w:val="nil"/>
            </w:tcBorders>
            <w:shd w:val="clear" w:color="auto" w:fill="FFFFFF"/>
            <w:vAlign w:val="center"/>
          </w:tcPr>
          <w:p w14:paraId="7F738280" w14:textId="4BF270C2" w:rsidR="00EB297B" w:rsidRDefault="00EB297B" w:rsidP="000A4D01">
            <w:pPr>
              <w:pStyle w:val="CETBodytext"/>
              <w:jc w:val="center"/>
              <w:rPr>
                <w:lang w:val="en-GB"/>
              </w:rPr>
            </w:pPr>
            <w:r>
              <w:rPr>
                <w:lang w:val="en-GB"/>
              </w:rPr>
              <w:t>Yokozeki</w:t>
            </w:r>
          </w:p>
        </w:tc>
        <w:tc>
          <w:tcPr>
            <w:tcW w:w="1220" w:type="dxa"/>
            <w:tcBorders>
              <w:top w:val="nil"/>
              <w:bottom w:val="nil"/>
            </w:tcBorders>
            <w:shd w:val="clear" w:color="auto" w:fill="FFFFFF"/>
            <w:vAlign w:val="center"/>
          </w:tcPr>
          <w:p w14:paraId="0D627704" w14:textId="1053927D" w:rsidR="00EB297B" w:rsidRDefault="00EB297B" w:rsidP="000A4D01">
            <w:pPr>
              <w:pStyle w:val="CETBodytext"/>
              <w:ind w:right="-1"/>
              <w:jc w:val="center"/>
              <w:rPr>
                <w:rFonts w:cs="Arial"/>
                <w:szCs w:val="18"/>
                <w:lang w:val="en-GB"/>
              </w:rPr>
            </w:pPr>
            <w:r>
              <w:rPr>
                <w:rFonts w:cs="Arial"/>
                <w:szCs w:val="18"/>
                <w:lang w:val="en-GB"/>
              </w:rPr>
              <w:t>0.278</w:t>
            </w:r>
          </w:p>
        </w:tc>
        <w:tc>
          <w:tcPr>
            <w:tcW w:w="1220" w:type="dxa"/>
            <w:tcBorders>
              <w:top w:val="nil"/>
              <w:bottom w:val="nil"/>
            </w:tcBorders>
            <w:shd w:val="clear" w:color="auto" w:fill="FFFFFF"/>
            <w:vAlign w:val="center"/>
          </w:tcPr>
          <w:p w14:paraId="157C9A84" w14:textId="68659CF4" w:rsidR="00EB297B" w:rsidRDefault="00EB297B" w:rsidP="000A4D01">
            <w:pPr>
              <w:pStyle w:val="CETBodytext"/>
              <w:ind w:right="-1"/>
              <w:jc w:val="center"/>
              <w:rPr>
                <w:rFonts w:cs="Arial"/>
                <w:szCs w:val="18"/>
                <w:lang w:val="en-GB"/>
              </w:rPr>
            </w:pPr>
            <w:r>
              <w:rPr>
                <w:rFonts w:cs="Arial"/>
                <w:szCs w:val="18"/>
                <w:lang w:val="en-GB"/>
              </w:rPr>
              <w:t>1050.16</w:t>
            </w:r>
          </w:p>
        </w:tc>
        <w:tc>
          <w:tcPr>
            <w:tcW w:w="1220" w:type="dxa"/>
            <w:tcBorders>
              <w:top w:val="nil"/>
              <w:bottom w:val="nil"/>
            </w:tcBorders>
            <w:shd w:val="clear" w:color="auto" w:fill="FFFFFF"/>
            <w:vAlign w:val="center"/>
          </w:tcPr>
          <w:p w14:paraId="6840670F" w14:textId="6F3DE23E" w:rsidR="00EB297B" w:rsidRDefault="00EB297B" w:rsidP="000A4D01">
            <w:pPr>
              <w:pStyle w:val="CETBodytext"/>
              <w:ind w:right="-1"/>
              <w:jc w:val="center"/>
              <w:rPr>
                <w:rFonts w:cs="Arial"/>
                <w:szCs w:val="18"/>
                <w:lang w:val="en-GB"/>
              </w:rPr>
            </w:pPr>
            <w:r>
              <w:rPr>
                <w:rFonts w:cs="Arial"/>
                <w:szCs w:val="18"/>
                <w:lang w:val="en-GB"/>
              </w:rPr>
              <w:t>-</w:t>
            </w:r>
          </w:p>
        </w:tc>
        <w:tc>
          <w:tcPr>
            <w:tcW w:w="1220" w:type="dxa"/>
            <w:tcBorders>
              <w:top w:val="nil"/>
              <w:bottom w:val="nil"/>
            </w:tcBorders>
            <w:shd w:val="clear" w:color="auto" w:fill="FFFFFF"/>
            <w:vAlign w:val="center"/>
          </w:tcPr>
          <w:p w14:paraId="09BE91A1" w14:textId="2567FA1A" w:rsidR="00EB297B" w:rsidRDefault="00EB297B" w:rsidP="000A4D01">
            <w:pPr>
              <w:pStyle w:val="CETBodytext"/>
              <w:ind w:right="-1"/>
              <w:jc w:val="center"/>
              <w:rPr>
                <w:rFonts w:cs="Arial"/>
                <w:szCs w:val="18"/>
                <w:lang w:val="en-GB"/>
              </w:rPr>
            </w:pPr>
            <w:r>
              <w:rPr>
                <w:rFonts w:cs="Arial"/>
                <w:szCs w:val="18"/>
                <w:lang w:val="en-GB"/>
              </w:rPr>
              <w:t>8.80</w:t>
            </w:r>
          </w:p>
        </w:tc>
      </w:tr>
      <w:tr w:rsidR="00EB297B" w14:paraId="7A1BB29F" w14:textId="77777777" w:rsidTr="00D52490">
        <w:trPr>
          <w:trHeight w:val="205"/>
        </w:trPr>
        <w:tc>
          <w:tcPr>
            <w:tcW w:w="1679" w:type="dxa"/>
            <w:vMerge/>
            <w:tcBorders>
              <w:bottom w:val="single" w:sz="12" w:space="0" w:color="008000"/>
            </w:tcBorders>
            <w:shd w:val="clear" w:color="auto" w:fill="FFFFFF"/>
            <w:vAlign w:val="center"/>
          </w:tcPr>
          <w:p w14:paraId="77E7F2A3" w14:textId="77777777" w:rsidR="00EB297B" w:rsidRDefault="00EB297B" w:rsidP="000A4D01">
            <w:pPr>
              <w:pStyle w:val="CETBodytext"/>
              <w:jc w:val="center"/>
              <w:rPr>
                <w:lang w:val="en-GB"/>
              </w:rPr>
            </w:pPr>
          </w:p>
        </w:tc>
        <w:tc>
          <w:tcPr>
            <w:tcW w:w="915" w:type="dxa"/>
            <w:vMerge/>
            <w:tcBorders>
              <w:bottom w:val="single" w:sz="12" w:space="0" w:color="008000"/>
            </w:tcBorders>
            <w:shd w:val="clear" w:color="auto" w:fill="FFFFFF"/>
            <w:vAlign w:val="center"/>
          </w:tcPr>
          <w:p w14:paraId="18543D92" w14:textId="77777777" w:rsidR="00EB297B" w:rsidRDefault="00EB297B" w:rsidP="000A4D01">
            <w:pPr>
              <w:pStyle w:val="CETBodytext"/>
              <w:jc w:val="center"/>
              <w:rPr>
                <w:lang w:val="en-GB"/>
              </w:rPr>
            </w:pPr>
          </w:p>
        </w:tc>
        <w:tc>
          <w:tcPr>
            <w:tcW w:w="1066" w:type="dxa"/>
            <w:tcBorders>
              <w:top w:val="nil"/>
              <w:bottom w:val="single" w:sz="12" w:space="0" w:color="008000"/>
            </w:tcBorders>
            <w:shd w:val="clear" w:color="auto" w:fill="FFFFFF"/>
            <w:vAlign w:val="center"/>
          </w:tcPr>
          <w:p w14:paraId="72CAC24F" w14:textId="64B21383" w:rsidR="00EB297B" w:rsidRDefault="00EB297B" w:rsidP="000A4D01">
            <w:pPr>
              <w:pStyle w:val="CETBodytext"/>
              <w:jc w:val="center"/>
              <w:rPr>
                <w:lang w:val="en-GB"/>
              </w:rPr>
            </w:pPr>
            <w:r>
              <w:rPr>
                <w:lang w:val="en-GB"/>
              </w:rPr>
              <w:t>Soave</w:t>
            </w:r>
          </w:p>
        </w:tc>
        <w:tc>
          <w:tcPr>
            <w:tcW w:w="1220" w:type="dxa"/>
            <w:tcBorders>
              <w:top w:val="nil"/>
              <w:bottom w:val="single" w:sz="12" w:space="0" w:color="008000"/>
            </w:tcBorders>
            <w:shd w:val="clear" w:color="auto" w:fill="FFFFFF"/>
            <w:vAlign w:val="center"/>
          </w:tcPr>
          <w:p w14:paraId="678D3A59" w14:textId="71278E76" w:rsidR="00EB297B" w:rsidRDefault="00EB297B" w:rsidP="000A4D01">
            <w:pPr>
              <w:pStyle w:val="CETBodytext"/>
              <w:ind w:right="-1"/>
              <w:jc w:val="center"/>
              <w:rPr>
                <w:rFonts w:cs="Arial"/>
                <w:szCs w:val="18"/>
                <w:lang w:val="en-GB"/>
              </w:rPr>
            </w:pPr>
            <w:r>
              <w:rPr>
                <w:rFonts w:cs="Arial"/>
                <w:szCs w:val="18"/>
                <w:lang w:val="en-GB"/>
              </w:rPr>
              <w:t>-</w:t>
            </w:r>
          </w:p>
        </w:tc>
        <w:tc>
          <w:tcPr>
            <w:tcW w:w="1220" w:type="dxa"/>
            <w:tcBorders>
              <w:top w:val="nil"/>
              <w:bottom w:val="single" w:sz="12" w:space="0" w:color="008000"/>
            </w:tcBorders>
            <w:shd w:val="clear" w:color="auto" w:fill="FFFFFF"/>
            <w:vAlign w:val="center"/>
          </w:tcPr>
          <w:p w14:paraId="300446AB" w14:textId="2C89FA6E" w:rsidR="00EB297B" w:rsidRDefault="00EB297B" w:rsidP="000A4D01">
            <w:pPr>
              <w:pStyle w:val="CETBodytext"/>
              <w:ind w:right="-1"/>
              <w:jc w:val="center"/>
              <w:rPr>
                <w:rFonts w:cs="Arial"/>
                <w:szCs w:val="18"/>
                <w:lang w:val="en-GB"/>
              </w:rPr>
            </w:pPr>
            <w:r>
              <w:rPr>
                <w:rFonts w:cs="Arial"/>
                <w:szCs w:val="18"/>
                <w:lang w:val="en-GB"/>
              </w:rPr>
              <w:t>916.01</w:t>
            </w:r>
          </w:p>
        </w:tc>
        <w:tc>
          <w:tcPr>
            <w:tcW w:w="1220" w:type="dxa"/>
            <w:tcBorders>
              <w:top w:val="nil"/>
              <w:bottom w:val="single" w:sz="12" w:space="0" w:color="008000"/>
            </w:tcBorders>
            <w:shd w:val="clear" w:color="auto" w:fill="FFFFFF"/>
            <w:vAlign w:val="center"/>
          </w:tcPr>
          <w:p w14:paraId="2F17DBE6" w14:textId="08C1A5FE" w:rsidR="00EB297B" w:rsidRDefault="00EB297B" w:rsidP="000A4D01">
            <w:pPr>
              <w:pStyle w:val="CETBodytext"/>
              <w:ind w:right="-1"/>
              <w:jc w:val="center"/>
              <w:rPr>
                <w:rFonts w:cs="Arial"/>
                <w:szCs w:val="18"/>
                <w:lang w:val="en-GB"/>
              </w:rPr>
            </w:pPr>
            <w:r>
              <w:rPr>
                <w:rFonts w:cs="Arial"/>
                <w:szCs w:val="18"/>
                <w:lang w:val="en-GB"/>
              </w:rPr>
              <w:t>0.507</w:t>
            </w:r>
          </w:p>
        </w:tc>
        <w:tc>
          <w:tcPr>
            <w:tcW w:w="1220" w:type="dxa"/>
            <w:tcBorders>
              <w:top w:val="nil"/>
              <w:bottom w:val="single" w:sz="12" w:space="0" w:color="008000"/>
            </w:tcBorders>
            <w:shd w:val="clear" w:color="auto" w:fill="FFFFFF"/>
            <w:vAlign w:val="center"/>
          </w:tcPr>
          <w:p w14:paraId="415BCEDC" w14:textId="3A4AC417" w:rsidR="00EB297B" w:rsidRDefault="00EB297B" w:rsidP="000A4D01">
            <w:pPr>
              <w:pStyle w:val="CETBodytext"/>
              <w:ind w:right="-1"/>
              <w:jc w:val="center"/>
              <w:rPr>
                <w:rFonts w:cs="Arial"/>
                <w:szCs w:val="18"/>
                <w:lang w:val="en-GB"/>
              </w:rPr>
            </w:pPr>
            <w:r>
              <w:rPr>
                <w:rFonts w:cs="Arial"/>
                <w:szCs w:val="18"/>
                <w:lang w:val="en-GB"/>
              </w:rPr>
              <w:t>7.69</w:t>
            </w:r>
          </w:p>
        </w:tc>
      </w:tr>
      <w:tr w:rsidR="000A4D01" w14:paraId="385FB6F6" w14:textId="77777777" w:rsidTr="00D52490">
        <w:trPr>
          <w:trHeight w:val="320"/>
        </w:trPr>
        <w:tc>
          <w:tcPr>
            <w:tcW w:w="1679" w:type="dxa"/>
            <w:vMerge w:val="restart"/>
            <w:tcBorders>
              <w:top w:val="single" w:sz="12" w:space="0" w:color="008000"/>
            </w:tcBorders>
            <w:shd w:val="clear" w:color="auto" w:fill="FFFFFF"/>
            <w:vAlign w:val="center"/>
          </w:tcPr>
          <w:p w14:paraId="182785AF" w14:textId="56040708" w:rsidR="000A4D01" w:rsidRDefault="000A4D01" w:rsidP="000A4D01">
            <w:pPr>
              <w:pStyle w:val="CETBodytext"/>
              <w:jc w:val="center"/>
              <w:rPr>
                <w:lang w:val="en-GB"/>
              </w:rPr>
            </w:pPr>
            <w:r>
              <w:rPr>
                <w:lang w:val="en-GB"/>
              </w:rPr>
              <w:t>ChCl + G (1:2)</w:t>
            </w:r>
          </w:p>
        </w:tc>
        <w:tc>
          <w:tcPr>
            <w:tcW w:w="915" w:type="dxa"/>
            <w:vMerge w:val="restart"/>
            <w:tcBorders>
              <w:top w:val="single" w:sz="12" w:space="0" w:color="008000"/>
            </w:tcBorders>
            <w:shd w:val="clear" w:color="auto" w:fill="FFFFFF"/>
            <w:vAlign w:val="center"/>
          </w:tcPr>
          <w:p w14:paraId="3F40458B" w14:textId="2D95ABC0" w:rsidR="000A4D01" w:rsidRDefault="000A4D01" w:rsidP="000A4D01">
            <w:pPr>
              <w:pStyle w:val="CETBodytext"/>
              <w:jc w:val="center"/>
              <w:rPr>
                <w:lang w:val="en-GB"/>
              </w:rPr>
            </w:pPr>
            <w:r>
              <w:rPr>
                <w:lang w:val="en-GB"/>
              </w:rPr>
              <w:t>SRK</w:t>
            </w:r>
          </w:p>
        </w:tc>
        <w:tc>
          <w:tcPr>
            <w:tcW w:w="1066" w:type="dxa"/>
            <w:tcBorders>
              <w:top w:val="single" w:sz="12" w:space="0" w:color="008000"/>
              <w:bottom w:val="nil"/>
            </w:tcBorders>
            <w:shd w:val="clear" w:color="auto" w:fill="FFFFFF"/>
            <w:vAlign w:val="center"/>
          </w:tcPr>
          <w:p w14:paraId="1FB8BD77" w14:textId="4F7C1A6D" w:rsidR="000A4D01" w:rsidRDefault="000A4D01" w:rsidP="000A4D01">
            <w:pPr>
              <w:pStyle w:val="CETBodytext"/>
              <w:jc w:val="center"/>
              <w:rPr>
                <w:lang w:val="en-GB"/>
              </w:rPr>
            </w:pPr>
            <w:r>
              <w:rPr>
                <w:lang w:val="en-GB"/>
              </w:rPr>
              <w:t>Yokozeki</w:t>
            </w:r>
          </w:p>
        </w:tc>
        <w:tc>
          <w:tcPr>
            <w:tcW w:w="1220" w:type="dxa"/>
            <w:tcBorders>
              <w:top w:val="single" w:sz="12" w:space="0" w:color="008000"/>
              <w:bottom w:val="nil"/>
            </w:tcBorders>
            <w:shd w:val="clear" w:color="auto" w:fill="FFFFFF"/>
            <w:vAlign w:val="center"/>
          </w:tcPr>
          <w:p w14:paraId="0D493B27" w14:textId="39A6995D"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0.214</w:t>
            </w:r>
          </w:p>
        </w:tc>
        <w:tc>
          <w:tcPr>
            <w:tcW w:w="1220" w:type="dxa"/>
            <w:tcBorders>
              <w:top w:val="single" w:sz="12" w:space="0" w:color="008000"/>
              <w:bottom w:val="nil"/>
            </w:tcBorders>
            <w:shd w:val="clear" w:color="auto" w:fill="FFFFFF"/>
            <w:vAlign w:val="center"/>
          </w:tcPr>
          <w:p w14:paraId="4D6EEE21" w14:textId="4756697D"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1148.72</w:t>
            </w:r>
          </w:p>
        </w:tc>
        <w:tc>
          <w:tcPr>
            <w:tcW w:w="1220" w:type="dxa"/>
            <w:tcBorders>
              <w:top w:val="single" w:sz="12" w:space="0" w:color="008000"/>
              <w:bottom w:val="nil"/>
            </w:tcBorders>
            <w:shd w:val="clear" w:color="auto" w:fill="FFFFFF"/>
            <w:vAlign w:val="center"/>
          </w:tcPr>
          <w:p w14:paraId="33B25336" w14:textId="51A772DC" w:rsidR="000A4D01" w:rsidRPr="00C62850" w:rsidRDefault="000A4D01" w:rsidP="000A4D01">
            <w:pPr>
              <w:pStyle w:val="CETBodytext"/>
              <w:ind w:right="-1"/>
              <w:jc w:val="center"/>
              <w:rPr>
                <w:rFonts w:cs="Arial"/>
                <w:szCs w:val="18"/>
                <w:lang w:val="en-GB"/>
              </w:rPr>
            </w:pPr>
            <w:r>
              <w:rPr>
                <w:rFonts w:cs="Arial"/>
                <w:szCs w:val="18"/>
              </w:rPr>
              <w:t>-</w:t>
            </w:r>
          </w:p>
        </w:tc>
        <w:tc>
          <w:tcPr>
            <w:tcW w:w="1220" w:type="dxa"/>
            <w:tcBorders>
              <w:top w:val="single" w:sz="12" w:space="0" w:color="008000"/>
              <w:bottom w:val="nil"/>
            </w:tcBorders>
            <w:shd w:val="clear" w:color="auto" w:fill="FFFFFF"/>
            <w:vAlign w:val="center"/>
          </w:tcPr>
          <w:p w14:paraId="5B2F15AF" w14:textId="4BC2F2A5" w:rsidR="000A4D01" w:rsidRPr="00C62850" w:rsidRDefault="000A4D01" w:rsidP="000A4D01">
            <w:pPr>
              <w:pStyle w:val="CETBodytext"/>
              <w:ind w:right="-1"/>
              <w:jc w:val="center"/>
              <w:rPr>
                <w:rFonts w:cs="Arial"/>
                <w:szCs w:val="18"/>
                <w:lang w:val="en-GB"/>
              </w:rPr>
            </w:pPr>
            <w:r w:rsidRPr="00C62850">
              <w:rPr>
                <w:rFonts w:cs="Arial"/>
                <w:color w:val="000000" w:themeColor="text1"/>
                <w:kern w:val="24"/>
                <w:szCs w:val="18"/>
              </w:rPr>
              <w:t>9.56</w:t>
            </w:r>
          </w:p>
        </w:tc>
      </w:tr>
      <w:tr w:rsidR="000A4D01" w14:paraId="6DA81028" w14:textId="77777777" w:rsidTr="00D52490">
        <w:trPr>
          <w:trHeight w:val="205"/>
        </w:trPr>
        <w:tc>
          <w:tcPr>
            <w:tcW w:w="1679" w:type="dxa"/>
            <w:vMerge/>
            <w:shd w:val="clear" w:color="auto" w:fill="FFFFFF"/>
            <w:vAlign w:val="center"/>
          </w:tcPr>
          <w:p w14:paraId="4AFAD3C8" w14:textId="0762026F" w:rsidR="000A4D01" w:rsidRDefault="000A4D01" w:rsidP="000A4D01">
            <w:pPr>
              <w:pStyle w:val="CETBodytext"/>
              <w:jc w:val="center"/>
              <w:rPr>
                <w:lang w:val="en-GB"/>
              </w:rPr>
            </w:pPr>
          </w:p>
        </w:tc>
        <w:tc>
          <w:tcPr>
            <w:tcW w:w="915" w:type="dxa"/>
            <w:vMerge/>
            <w:tcBorders>
              <w:bottom w:val="nil"/>
            </w:tcBorders>
            <w:shd w:val="clear" w:color="auto" w:fill="FFFFFF"/>
            <w:vAlign w:val="center"/>
          </w:tcPr>
          <w:p w14:paraId="139B8663" w14:textId="61D6E37E" w:rsidR="000A4D01" w:rsidRDefault="000A4D01" w:rsidP="000A4D01">
            <w:pPr>
              <w:pStyle w:val="CETBodytext"/>
              <w:jc w:val="center"/>
              <w:rPr>
                <w:lang w:val="en-GB"/>
              </w:rPr>
            </w:pPr>
          </w:p>
        </w:tc>
        <w:tc>
          <w:tcPr>
            <w:tcW w:w="1066" w:type="dxa"/>
            <w:tcBorders>
              <w:top w:val="nil"/>
              <w:bottom w:val="nil"/>
            </w:tcBorders>
            <w:shd w:val="clear" w:color="auto" w:fill="FFFFFF"/>
            <w:vAlign w:val="center"/>
          </w:tcPr>
          <w:p w14:paraId="507F3890" w14:textId="2D8C5283" w:rsidR="000A4D01" w:rsidRDefault="000A4D01" w:rsidP="000A4D01">
            <w:pPr>
              <w:pStyle w:val="CETBodytext"/>
              <w:jc w:val="center"/>
              <w:rPr>
                <w:lang w:val="en-GB"/>
              </w:rPr>
            </w:pPr>
            <w:r>
              <w:rPr>
                <w:lang w:val="en-GB"/>
              </w:rPr>
              <w:t>Soave</w:t>
            </w:r>
          </w:p>
        </w:tc>
        <w:tc>
          <w:tcPr>
            <w:tcW w:w="1220" w:type="dxa"/>
            <w:tcBorders>
              <w:top w:val="nil"/>
              <w:bottom w:val="nil"/>
            </w:tcBorders>
            <w:shd w:val="clear" w:color="auto" w:fill="FFFFFF"/>
            <w:vAlign w:val="center"/>
          </w:tcPr>
          <w:p w14:paraId="3BA9D9C9" w14:textId="602711D6" w:rsidR="000A4D01" w:rsidRPr="00C62850" w:rsidRDefault="000A4D01" w:rsidP="000A4D01">
            <w:pPr>
              <w:pStyle w:val="CETBodytext"/>
              <w:ind w:right="-1"/>
              <w:jc w:val="center"/>
              <w:rPr>
                <w:rFonts w:cs="Arial"/>
                <w:szCs w:val="18"/>
                <w:lang w:val="en-GB"/>
              </w:rPr>
            </w:pPr>
            <w:r>
              <w:rPr>
                <w:rFonts w:cs="Arial"/>
                <w:szCs w:val="18"/>
              </w:rPr>
              <w:t>-</w:t>
            </w:r>
          </w:p>
        </w:tc>
        <w:tc>
          <w:tcPr>
            <w:tcW w:w="1220" w:type="dxa"/>
            <w:tcBorders>
              <w:top w:val="nil"/>
              <w:bottom w:val="nil"/>
            </w:tcBorders>
            <w:shd w:val="clear" w:color="auto" w:fill="FFFFFF"/>
            <w:vAlign w:val="center"/>
          </w:tcPr>
          <w:p w14:paraId="7E14B5F4" w14:textId="0303EBD5"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1003.50</w:t>
            </w:r>
          </w:p>
        </w:tc>
        <w:tc>
          <w:tcPr>
            <w:tcW w:w="1220" w:type="dxa"/>
            <w:tcBorders>
              <w:top w:val="nil"/>
              <w:bottom w:val="nil"/>
            </w:tcBorders>
            <w:shd w:val="clear" w:color="auto" w:fill="FFFFFF"/>
            <w:vAlign w:val="center"/>
          </w:tcPr>
          <w:p w14:paraId="7B954BD8" w14:textId="487AF490"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0.281</w:t>
            </w:r>
          </w:p>
        </w:tc>
        <w:tc>
          <w:tcPr>
            <w:tcW w:w="1220" w:type="dxa"/>
            <w:tcBorders>
              <w:top w:val="nil"/>
              <w:bottom w:val="nil"/>
            </w:tcBorders>
            <w:shd w:val="clear" w:color="auto" w:fill="FFFFFF"/>
            <w:vAlign w:val="center"/>
          </w:tcPr>
          <w:p w14:paraId="298BA790" w14:textId="30051C45" w:rsidR="000A4D01" w:rsidRPr="00C62850" w:rsidRDefault="000A4D01" w:rsidP="000A4D01">
            <w:pPr>
              <w:pStyle w:val="CETBodytext"/>
              <w:ind w:right="-1"/>
              <w:jc w:val="center"/>
              <w:rPr>
                <w:rFonts w:cs="Arial"/>
                <w:szCs w:val="18"/>
                <w:lang w:val="en-GB"/>
              </w:rPr>
            </w:pPr>
            <w:r w:rsidRPr="00C62850">
              <w:rPr>
                <w:rFonts w:cs="Arial"/>
                <w:color w:val="000000" w:themeColor="text1"/>
                <w:kern w:val="24"/>
                <w:szCs w:val="18"/>
              </w:rPr>
              <w:t>10.37</w:t>
            </w:r>
          </w:p>
        </w:tc>
      </w:tr>
      <w:tr w:rsidR="000A4D01" w14:paraId="3C2846AC" w14:textId="77777777" w:rsidTr="00D52490">
        <w:trPr>
          <w:trHeight w:val="205"/>
        </w:trPr>
        <w:tc>
          <w:tcPr>
            <w:tcW w:w="1679" w:type="dxa"/>
            <w:vMerge/>
            <w:shd w:val="clear" w:color="auto" w:fill="FFFFFF"/>
            <w:vAlign w:val="center"/>
          </w:tcPr>
          <w:p w14:paraId="6380CE5B" w14:textId="77777777" w:rsidR="000A4D01" w:rsidRDefault="000A4D01" w:rsidP="000A4D01">
            <w:pPr>
              <w:pStyle w:val="CETBodytext"/>
              <w:jc w:val="center"/>
              <w:rPr>
                <w:lang w:val="en-GB"/>
              </w:rPr>
            </w:pPr>
          </w:p>
        </w:tc>
        <w:tc>
          <w:tcPr>
            <w:tcW w:w="915" w:type="dxa"/>
            <w:vMerge w:val="restart"/>
            <w:tcBorders>
              <w:top w:val="nil"/>
            </w:tcBorders>
            <w:shd w:val="clear" w:color="auto" w:fill="FFFFFF"/>
            <w:vAlign w:val="center"/>
          </w:tcPr>
          <w:p w14:paraId="5F7974C3" w14:textId="60D187E3" w:rsidR="000A4D01" w:rsidRDefault="000A4D01" w:rsidP="000A4D01">
            <w:pPr>
              <w:pStyle w:val="CETBodytext"/>
              <w:jc w:val="center"/>
              <w:rPr>
                <w:lang w:val="en-GB"/>
              </w:rPr>
            </w:pPr>
            <w:r>
              <w:rPr>
                <w:lang w:val="en-GB"/>
              </w:rPr>
              <w:t>PR</w:t>
            </w:r>
          </w:p>
        </w:tc>
        <w:tc>
          <w:tcPr>
            <w:tcW w:w="1066" w:type="dxa"/>
            <w:tcBorders>
              <w:top w:val="nil"/>
              <w:bottom w:val="nil"/>
            </w:tcBorders>
            <w:shd w:val="clear" w:color="auto" w:fill="FFFFFF"/>
            <w:vAlign w:val="center"/>
          </w:tcPr>
          <w:p w14:paraId="518158C5" w14:textId="2AFE178E" w:rsidR="000A4D01" w:rsidRDefault="000A4D01" w:rsidP="000A4D01">
            <w:pPr>
              <w:pStyle w:val="CETBodytext"/>
              <w:jc w:val="center"/>
              <w:rPr>
                <w:lang w:val="en-GB"/>
              </w:rPr>
            </w:pPr>
            <w:r>
              <w:rPr>
                <w:lang w:val="en-GB"/>
              </w:rPr>
              <w:t>Yokozeki</w:t>
            </w:r>
          </w:p>
        </w:tc>
        <w:tc>
          <w:tcPr>
            <w:tcW w:w="1220" w:type="dxa"/>
            <w:tcBorders>
              <w:top w:val="nil"/>
              <w:bottom w:val="nil"/>
            </w:tcBorders>
            <w:shd w:val="clear" w:color="auto" w:fill="FFFFFF"/>
            <w:vAlign w:val="center"/>
          </w:tcPr>
          <w:p w14:paraId="6A37680A" w14:textId="4F1A5962"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0.200</w:t>
            </w:r>
          </w:p>
        </w:tc>
        <w:tc>
          <w:tcPr>
            <w:tcW w:w="1220" w:type="dxa"/>
            <w:tcBorders>
              <w:top w:val="nil"/>
              <w:bottom w:val="nil"/>
            </w:tcBorders>
            <w:shd w:val="clear" w:color="auto" w:fill="FFFFFF"/>
            <w:vAlign w:val="center"/>
          </w:tcPr>
          <w:p w14:paraId="6A9F25BE" w14:textId="40E3E808"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1125.05</w:t>
            </w:r>
          </w:p>
        </w:tc>
        <w:tc>
          <w:tcPr>
            <w:tcW w:w="1220" w:type="dxa"/>
            <w:tcBorders>
              <w:top w:val="nil"/>
              <w:bottom w:val="nil"/>
            </w:tcBorders>
            <w:shd w:val="clear" w:color="auto" w:fill="FFFFFF"/>
            <w:vAlign w:val="center"/>
          </w:tcPr>
          <w:p w14:paraId="7677C941" w14:textId="1406DC07" w:rsidR="000A4D01" w:rsidRPr="00C62850" w:rsidRDefault="000A4D01" w:rsidP="000A4D01">
            <w:pPr>
              <w:pStyle w:val="CETBodytext"/>
              <w:ind w:right="-1"/>
              <w:jc w:val="center"/>
              <w:rPr>
                <w:rFonts w:cs="Arial"/>
                <w:szCs w:val="18"/>
                <w:lang w:val="en-GB"/>
              </w:rPr>
            </w:pPr>
            <w:r>
              <w:rPr>
                <w:rFonts w:cs="Arial"/>
                <w:szCs w:val="18"/>
              </w:rPr>
              <w:t>-</w:t>
            </w:r>
          </w:p>
        </w:tc>
        <w:tc>
          <w:tcPr>
            <w:tcW w:w="1220" w:type="dxa"/>
            <w:tcBorders>
              <w:top w:val="nil"/>
              <w:bottom w:val="nil"/>
            </w:tcBorders>
            <w:shd w:val="clear" w:color="auto" w:fill="FFFFFF"/>
            <w:vAlign w:val="center"/>
          </w:tcPr>
          <w:p w14:paraId="6C70BDA5" w14:textId="527B929A" w:rsidR="000A4D01" w:rsidRPr="00C62850" w:rsidRDefault="000A4D01" w:rsidP="000A4D01">
            <w:pPr>
              <w:pStyle w:val="CETBodytext"/>
              <w:ind w:right="-1"/>
              <w:jc w:val="center"/>
              <w:rPr>
                <w:rFonts w:cs="Arial"/>
                <w:szCs w:val="18"/>
                <w:lang w:val="en-GB"/>
              </w:rPr>
            </w:pPr>
            <w:r w:rsidRPr="00C62850">
              <w:rPr>
                <w:rFonts w:cs="Arial"/>
                <w:color w:val="000000" w:themeColor="text1"/>
                <w:kern w:val="24"/>
                <w:szCs w:val="18"/>
              </w:rPr>
              <w:t>9.61</w:t>
            </w:r>
          </w:p>
        </w:tc>
      </w:tr>
      <w:tr w:rsidR="000A4D01" w14:paraId="7BEC6E54" w14:textId="77777777" w:rsidTr="00D52490">
        <w:trPr>
          <w:trHeight w:val="205"/>
        </w:trPr>
        <w:tc>
          <w:tcPr>
            <w:tcW w:w="1679" w:type="dxa"/>
            <w:vMerge/>
            <w:tcBorders>
              <w:bottom w:val="single" w:sz="12" w:space="0" w:color="008000"/>
            </w:tcBorders>
            <w:shd w:val="clear" w:color="auto" w:fill="FFFFFF"/>
            <w:vAlign w:val="center"/>
          </w:tcPr>
          <w:p w14:paraId="702C0554" w14:textId="77777777" w:rsidR="000A4D01" w:rsidRDefault="000A4D01" w:rsidP="000A4D01">
            <w:pPr>
              <w:pStyle w:val="CETBodytext"/>
              <w:jc w:val="center"/>
              <w:rPr>
                <w:lang w:val="en-GB"/>
              </w:rPr>
            </w:pPr>
          </w:p>
        </w:tc>
        <w:tc>
          <w:tcPr>
            <w:tcW w:w="915" w:type="dxa"/>
            <w:vMerge/>
            <w:tcBorders>
              <w:bottom w:val="single" w:sz="12" w:space="0" w:color="008000"/>
            </w:tcBorders>
            <w:shd w:val="clear" w:color="auto" w:fill="FFFFFF"/>
            <w:vAlign w:val="center"/>
          </w:tcPr>
          <w:p w14:paraId="63D56757" w14:textId="338718DC" w:rsidR="000A4D01" w:rsidRDefault="000A4D01" w:rsidP="000A4D01">
            <w:pPr>
              <w:pStyle w:val="CETBodytext"/>
              <w:jc w:val="center"/>
              <w:rPr>
                <w:lang w:val="en-GB"/>
              </w:rPr>
            </w:pPr>
          </w:p>
        </w:tc>
        <w:tc>
          <w:tcPr>
            <w:tcW w:w="1066" w:type="dxa"/>
            <w:tcBorders>
              <w:top w:val="nil"/>
              <w:bottom w:val="single" w:sz="12" w:space="0" w:color="008000"/>
            </w:tcBorders>
            <w:shd w:val="clear" w:color="auto" w:fill="FFFFFF"/>
            <w:vAlign w:val="center"/>
          </w:tcPr>
          <w:p w14:paraId="0CEA7051" w14:textId="7B46340B" w:rsidR="000A4D01" w:rsidRDefault="000A4D01" w:rsidP="000A4D01">
            <w:pPr>
              <w:pStyle w:val="CETBodytext"/>
              <w:jc w:val="center"/>
              <w:rPr>
                <w:lang w:val="en-GB"/>
              </w:rPr>
            </w:pPr>
            <w:r>
              <w:rPr>
                <w:lang w:val="en-GB"/>
              </w:rPr>
              <w:t>Soave</w:t>
            </w:r>
          </w:p>
        </w:tc>
        <w:tc>
          <w:tcPr>
            <w:tcW w:w="1220" w:type="dxa"/>
            <w:tcBorders>
              <w:top w:val="nil"/>
              <w:bottom w:val="single" w:sz="12" w:space="0" w:color="008000"/>
            </w:tcBorders>
            <w:shd w:val="clear" w:color="auto" w:fill="FFFFFF"/>
            <w:vAlign w:val="center"/>
          </w:tcPr>
          <w:p w14:paraId="18E382A2" w14:textId="2F3BA801" w:rsidR="000A4D01" w:rsidRPr="00C62850" w:rsidRDefault="000A4D01" w:rsidP="000A4D01">
            <w:pPr>
              <w:pStyle w:val="CETBodytext"/>
              <w:ind w:right="-1"/>
              <w:jc w:val="center"/>
              <w:rPr>
                <w:rFonts w:cs="Arial"/>
                <w:szCs w:val="18"/>
                <w:lang w:val="en-GB"/>
              </w:rPr>
            </w:pPr>
            <w:r>
              <w:rPr>
                <w:rFonts w:cs="Arial"/>
                <w:szCs w:val="18"/>
              </w:rPr>
              <w:t>-</w:t>
            </w:r>
          </w:p>
        </w:tc>
        <w:tc>
          <w:tcPr>
            <w:tcW w:w="1220" w:type="dxa"/>
            <w:tcBorders>
              <w:top w:val="nil"/>
              <w:bottom w:val="single" w:sz="12" w:space="0" w:color="008000"/>
            </w:tcBorders>
            <w:shd w:val="clear" w:color="auto" w:fill="FFFFFF"/>
            <w:vAlign w:val="center"/>
          </w:tcPr>
          <w:p w14:paraId="6B1744F6" w14:textId="37E82630"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992.07</w:t>
            </w:r>
          </w:p>
        </w:tc>
        <w:tc>
          <w:tcPr>
            <w:tcW w:w="1220" w:type="dxa"/>
            <w:tcBorders>
              <w:top w:val="nil"/>
              <w:bottom w:val="single" w:sz="12" w:space="0" w:color="008000"/>
            </w:tcBorders>
            <w:shd w:val="clear" w:color="auto" w:fill="FFFFFF"/>
            <w:vAlign w:val="center"/>
          </w:tcPr>
          <w:p w14:paraId="76BD6F79" w14:textId="600DCBF0" w:rsidR="000A4D01" w:rsidRPr="00C62850" w:rsidRDefault="000A4D01" w:rsidP="000A4D01">
            <w:pPr>
              <w:pStyle w:val="CETBodytext"/>
              <w:ind w:right="-1"/>
              <w:jc w:val="center"/>
              <w:rPr>
                <w:rFonts w:cs="Arial"/>
                <w:szCs w:val="18"/>
                <w:lang w:val="en-GB"/>
              </w:rPr>
            </w:pPr>
            <w:r w:rsidRPr="00C62850">
              <w:rPr>
                <w:rFonts w:cs="Arial"/>
                <w:color w:val="000000" w:themeColor="text1"/>
                <w:szCs w:val="18"/>
              </w:rPr>
              <w:t>0.320</w:t>
            </w:r>
          </w:p>
        </w:tc>
        <w:tc>
          <w:tcPr>
            <w:tcW w:w="1220" w:type="dxa"/>
            <w:tcBorders>
              <w:top w:val="nil"/>
              <w:bottom w:val="single" w:sz="12" w:space="0" w:color="008000"/>
            </w:tcBorders>
            <w:shd w:val="clear" w:color="auto" w:fill="FFFFFF"/>
            <w:vAlign w:val="center"/>
          </w:tcPr>
          <w:p w14:paraId="5C6A7A8E" w14:textId="0C55A17D" w:rsidR="000A4D01" w:rsidRPr="00C62850" w:rsidRDefault="000A4D01" w:rsidP="000A4D01">
            <w:pPr>
              <w:pStyle w:val="CETBodytext"/>
              <w:ind w:right="-1"/>
              <w:jc w:val="center"/>
              <w:rPr>
                <w:rFonts w:cs="Arial"/>
                <w:szCs w:val="18"/>
                <w:lang w:val="en-GB"/>
              </w:rPr>
            </w:pPr>
            <w:r w:rsidRPr="00C62850">
              <w:rPr>
                <w:rFonts w:cs="Arial"/>
                <w:color w:val="000000" w:themeColor="text1"/>
                <w:kern w:val="24"/>
                <w:szCs w:val="18"/>
              </w:rPr>
              <w:t>10.40</w:t>
            </w:r>
          </w:p>
        </w:tc>
      </w:tr>
      <w:tr w:rsidR="000A4D01" w14:paraId="2ADD36B2" w14:textId="77777777" w:rsidTr="00D52490">
        <w:trPr>
          <w:trHeight w:val="320"/>
        </w:trPr>
        <w:tc>
          <w:tcPr>
            <w:tcW w:w="1679" w:type="dxa"/>
            <w:vMerge w:val="restart"/>
            <w:tcBorders>
              <w:top w:val="single" w:sz="12" w:space="0" w:color="008000"/>
            </w:tcBorders>
            <w:shd w:val="clear" w:color="auto" w:fill="FFFFFF"/>
            <w:vAlign w:val="center"/>
          </w:tcPr>
          <w:p w14:paraId="5D2E626E" w14:textId="3E380EE4" w:rsidR="000A4D01" w:rsidRDefault="000A4D01" w:rsidP="000A4D01">
            <w:pPr>
              <w:pStyle w:val="CETBodytext"/>
              <w:jc w:val="center"/>
              <w:rPr>
                <w:lang w:val="en-GB"/>
              </w:rPr>
            </w:pPr>
            <w:r>
              <w:rPr>
                <w:lang w:val="en-GB"/>
              </w:rPr>
              <w:t>ChCl + EG (1:2)</w:t>
            </w:r>
          </w:p>
        </w:tc>
        <w:tc>
          <w:tcPr>
            <w:tcW w:w="915" w:type="dxa"/>
            <w:vMerge w:val="restart"/>
            <w:tcBorders>
              <w:top w:val="single" w:sz="12" w:space="0" w:color="008000"/>
            </w:tcBorders>
            <w:shd w:val="clear" w:color="auto" w:fill="FFFFFF"/>
            <w:vAlign w:val="center"/>
          </w:tcPr>
          <w:p w14:paraId="578308AD" w14:textId="28288FF6" w:rsidR="000A4D01" w:rsidRDefault="000A4D01" w:rsidP="000A4D01">
            <w:pPr>
              <w:pStyle w:val="CETBodytext"/>
              <w:jc w:val="center"/>
              <w:rPr>
                <w:lang w:val="en-GB"/>
              </w:rPr>
            </w:pPr>
            <w:r>
              <w:rPr>
                <w:lang w:val="en-GB"/>
              </w:rPr>
              <w:t>SRK</w:t>
            </w:r>
          </w:p>
        </w:tc>
        <w:tc>
          <w:tcPr>
            <w:tcW w:w="1066" w:type="dxa"/>
            <w:tcBorders>
              <w:top w:val="single" w:sz="12" w:space="0" w:color="008000"/>
              <w:bottom w:val="nil"/>
            </w:tcBorders>
            <w:shd w:val="clear" w:color="auto" w:fill="FFFFFF"/>
            <w:vAlign w:val="center"/>
          </w:tcPr>
          <w:p w14:paraId="58F0B235" w14:textId="37278617" w:rsidR="000A4D01" w:rsidRDefault="000A4D01" w:rsidP="000A4D01">
            <w:pPr>
              <w:pStyle w:val="CETBodytext"/>
              <w:jc w:val="center"/>
              <w:rPr>
                <w:lang w:val="en-GB"/>
              </w:rPr>
            </w:pPr>
            <w:r>
              <w:rPr>
                <w:lang w:val="en-GB"/>
              </w:rPr>
              <w:t>Yokozeki</w:t>
            </w:r>
          </w:p>
        </w:tc>
        <w:tc>
          <w:tcPr>
            <w:tcW w:w="1220" w:type="dxa"/>
            <w:tcBorders>
              <w:top w:val="single" w:sz="12" w:space="0" w:color="008000"/>
              <w:bottom w:val="nil"/>
            </w:tcBorders>
            <w:shd w:val="clear" w:color="auto" w:fill="FFFFFF"/>
            <w:vAlign w:val="center"/>
          </w:tcPr>
          <w:p w14:paraId="24F18188" w14:textId="02500344" w:rsidR="000A4D01" w:rsidRDefault="000A4D01" w:rsidP="000A4D01">
            <w:pPr>
              <w:pStyle w:val="CETBodytext"/>
              <w:ind w:right="-1"/>
              <w:jc w:val="center"/>
              <w:rPr>
                <w:rFonts w:cs="Arial"/>
                <w:szCs w:val="18"/>
              </w:rPr>
            </w:pPr>
            <w:r w:rsidRPr="00C62850">
              <w:rPr>
                <w:rFonts w:cs="Arial"/>
                <w:color w:val="000000" w:themeColor="text1"/>
                <w:szCs w:val="18"/>
              </w:rPr>
              <w:t>0.139</w:t>
            </w:r>
          </w:p>
        </w:tc>
        <w:tc>
          <w:tcPr>
            <w:tcW w:w="1220" w:type="dxa"/>
            <w:tcBorders>
              <w:top w:val="single" w:sz="12" w:space="0" w:color="008000"/>
              <w:bottom w:val="nil"/>
            </w:tcBorders>
            <w:shd w:val="clear" w:color="auto" w:fill="FFFFFF"/>
            <w:vAlign w:val="center"/>
          </w:tcPr>
          <w:p w14:paraId="600315EC" w14:textId="5299F230"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1065.21</w:t>
            </w:r>
          </w:p>
        </w:tc>
        <w:tc>
          <w:tcPr>
            <w:tcW w:w="1220" w:type="dxa"/>
            <w:tcBorders>
              <w:top w:val="single" w:sz="12" w:space="0" w:color="008000"/>
              <w:bottom w:val="nil"/>
            </w:tcBorders>
            <w:shd w:val="clear" w:color="auto" w:fill="FFFFFF"/>
            <w:vAlign w:val="center"/>
          </w:tcPr>
          <w:p w14:paraId="716CDE91" w14:textId="76ECF4E7" w:rsidR="000A4D01" w:rsidRPr="00C62850" w:rsidRDefault="000A4D01" w:rsidP="000A4D01">
            <w:pPr>
              <w:pStyle w:val="CETBodytext"/>
              <w:ind w:right="-1"/>
              <w:jc w:val="center"/>
              <w:rPr>
                <w:rFonts w:cs="Arial"/>
                <w:color w:val="000000" w:themeColor="text1"/>
                <w:szCs w:val="18"/>
              </w:rPr>
            </w:pPr>
            <w:r>
              <w:rPr>
                <w:rFonts w:cs="Arial"/>
                <w:szCs w:val="18"/>
              </w:rPr>
              <w:t>-</w:t>
            </w:r>
          </w:p>
        </w:tc>
        <w:tc>
          <w:tcPr>
            <w:tcW w:w="1220" w:type="dxa"/>
            <w:tcBorders>
              <w:top w:val="single" w:sz="12" w:space="0" w:color="008000"/>
              <w:bottom w:val="nil"/>
            </w:tcBorders>
            <w:shd w:val="clear" w:color="auto" w:fill="FFFFFF"/>
            <w:vAlign w:val="center"/>
          </w:tcPr>
          <w:p w14:paraId="78A346BA" w14:textId="7B7C2E1C" w:rsidR="000A4D01" w:rsidRPr="00C62850" w:rsidRDefault="000A4D01" w:rsidP="000A4D01">
            <w:pPr>
              <w:pStyle w:val="CETBodytext"/>
              <w:ind w:right="-1"/>
              <w:jc w:val="center"/>
              <w:rPr>
                <w:rFonts w:cs="Arial"/>
                <w:color w:val="000000" w:themeColor="text1"/>
                <w:kern w:val="24"/>
                <w:szCs w:val="18"/>
              </w:rPr>
            </w:pPr>
            <w:r w:rsidRPr="00C62850">
              <w:rPr>
                <w:rFonts w:cs="Arial"/>
                <w:color w:val="000000" w:themeColor="text1"/>
                <w:kern w:val="24"/>
                <w:szCs w:val="18"/>
              </w:rPr>
              <w:t>7.70</w:t>
            </w:r>
          </w:p>
        </w:tc>
      </w:tr>
      <w:tr w:rsidR="000A4D01" w14:paraId="1BF8F124" w14:textId="77777777" w:rsidTr="00D52490">
        <w:trPr>
          <w:trHeight w:val="205"/>
        </w:trPr>
        <w:tc>
          <w:tcPr>
            <w:tcW w:w="1679" w:type="dxa"/>
            <w:vMerge/>
            <w:shd w:val="clear" w:color="auto" w:fill="FFFFFF"/>
            <w:vAlign w:val="center"/>
          </w:tcPr>
          <w:p w14:paraId="03881E83" w14:textId="2DC01D7D" w:rsidR="000A4D01" w:rsidRDefault="000A4D01" w:rsidP="000A4D01">
            <w:pPr>
              <w:pStyle w:val="CETBodytext"/>
              <w:jc w:val="center"/>
              <w:rPr>
                <w:lang w:val="en-GB"/>
              </w:rPr>
            </w:pPr>
          </w:p>
        </w:tc>
        <w:tc>
          <w:tcPr>
            <w:tcW w:w="915" w:type="dxa"/>
            <w:vMerge/>
            <w:tcBorders>
              <w:bottom w:val="nil"/>
            </w:tcBorders>
            <w:shd w:val="clear" w:color="auto" w:fill="FFFFFF"/>
            <w:vAlign w:val="center"/>
          </w:tcPr>
          <w:p w14:paraId="180744E2" w14:textId="77777777" w:rsidR="000A4D01" w:rsidRDefault="000A4D01" w:rsidP="000A4D01">
            <w:pPr>
              <w:pStyle w:val="CETBodytext"/>
              <w:jc w:val="center"/>
              <w:rPr>
                <w:lang w:val="en-GB"/>
              </w:rPr>
            </w:pPr>
          </w:p>
        </w:tc>
        <w:tc>
          <w:tcPr>
            <w:tcW w:w="1066" w:type="dxa"/>
            <w:tcBorders>
              <w:top w:val="nil"/>
              <w:bottom w:val="nil"/>
            </w:tcBorders>
            <w:shd w:val="clear" w:color="auto" w:fill="FFFFFF"/>
            <w:vAlign w:val="center"/>
          </w:tcPr>
          <w:p w14:paraId="69EA5BE7" w14:textId="04854FC3" w:rsidR="000A4D01" w:rsidRDefault="000A4D01" w:rsidP="000A4D01">
            <w:pPr>
              <w:pStyle w:val="CETBodytext"/>
              <w:jc w:val="center"/>
              <w:rPr>
                <w:lang w:val="en-GB"/>
              </w:rPr>
            </w:pPr>
            <w:r>
              <w:rPr>
                <w:lang w:val="en-GB"/>
              </w:rPr>
              <w:t>Soave</w:t>
            </w:r>
          </w:p>
        </w:tc>
        <w:tc>
          <w:tcPr>
            <w:tcW w:w="1220" w:type="dxa"/>
            <w:tcBorders>
              <w:top w:val="nil"/>
              <w:bottom w:val="nil"/>
            </w:tcBorders>
            <w:shd w:val="clear" w:color="auto" w:fill="FFFFFF"/>
            <w:vAlign w:val="center"/>
          </w:tcPr>
          <w:p w14:paraId="5ED4A9E6" w14:textId="563AF7F0" w:rsidR="000A4D01" w:rsidRDefault="000A4D01" w:rsidP="000A4D01">
            <w:pPr>
              <w:pStyle w:val="CETBodytext"/>
              <w:ind w:right="-1"/>
              <w:jc w:val="center"/>
              <w:rPr>
                <w:rFonts w:cs="Arial"/>
                <w:szCs w:val="18"/>
              </w:rPr>
            </w:pPr>
            <w:r>
              <w:rPr>
                <w:rFonts w:cs="Arial"/>
                <w:szCs w:val="18"/>
              </w:rPr>
              <w:t>-</w:t>
            </w:r>
          </w:p>
        </w:tc>
        <w:tc>
          <w:tcPr>
            <w:tcW w:w="1220" w:type="dxa"/>
            <w:tcBorders>
              <w:top w:val="nil"/>
              <w:bottom w:val="nil"/>
            </w:tcBorders>
            <w:shd w:val="clear" w:color="auto" w:fill="FFFFFF"/>
            <w:vAlign w:val="center"/>
          </w:tcPr>
          <w:p w14:paraId="1F86B57F" w14:textId="2F468D87"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918.18</w:t>
            </w:r>
          </w:p>
        </w:tc>
        <w:tc>
          <w:tcPr>
            <w:tcW w:w="1220" w:type="dxa"/>
            <w:tcBorders>
              <w:top w:val="nil"/>
              <w:bottom w:val="nil"/>
            </w:tcBorders>
            <w:shd w:val="clear" w:color="auto" w:fill="FFFFFF"/>
            <w:vAlign w:val="center"/>
          </w:tcPr>
          <w:p w14:paraId="0DED93EB" w14:textId="40B037A1"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0.148</w:t>
            </w:r>
          </w:p>
        </w:tc>
        <w:tc>
          <w:tcPr>
            <w:tcW w:w="1220" w:type="dxa"/>
            <w:tcBorders>
              <w:top w:val="nil"/>
              <w:bottom w:val="nil"/>
            </w:tcBorders>
            <w:shd w:val="clear" w:color="auto" w:fill="FFFFFF"/>
            <w:vAlign w:val="center"/>
          </w:tcPr>
          <w:p w14:paraId="6E505C7C" w14:textId="4352EF2F" w:rsidR="000A4D01" w:rsidRPr="00C62850" w:rsidRDefault="000A4D01" w:rsidP="000A4D01">
            <w:pPr>
              <w:pStyle w:val="CETBodytext"/>
              <w:ind w:right="-1"/>
              <w:jc w:val="center"/>
              <w:rPr>
                <w:rFonts w:cs="Arial"/>
                <w:color w:val="000000" w:themeColor="text1"/>
                <w:kern w:val="24"/>
                <w:szCs w:val="18"/>
              </w:rPr>
            </w:pPr>
            <w:r w:rsidRPr="00C62850">
              <w:rPr>
                <w:rFonts w:cs="Arial"/>
                <w:color w:val="000000" w:themeColor="text1"/>
                <w:kern w:val="24"/>
                <w:szCs w:val="18"/>
              </w:rPr>
              <w:t>8.15</w:t>
            </w:r>
          </w:p>
        </w:tc>
      </w:tr>
      <w:tr w:rsidR="000A4D01" w14:paraId="57F34EF5" w14:textId="77777777" w:rsidTr="00D52490">
        <w:trPr>
          <w:trHeight w:val="205"/>
        </w:trPr>
        <w:tc>
          <w:tcPr>
            <w:tcW w:w="1679" w:type="dxa"/>
            <w:vMerge/>
            <w:shd w:val="clear" w:color="auto" w:fill="FFFFFF"/>
            <w:vAlign w:val="center"/>
          </w:tcPr>
          <w:p w14:paraId="3847C1BA" w14:textId="77777777" w:rsidR="000A4D01" w:rsidRDefault="000A4D01" w:rsidP="000A4D01">
            <w:pPr>
              <w:pStyle w:val="CETBodytext"/>
              <w:jc w:val="center"/>
              <w:rPr>
                <w:lang w:val="en-GB"/>
              </w:rPr>
            </w:pPr>
          </w:p>
        </w:tc>
        <w:tc>
          <w:tcPr>
            <w:tcW w:w="915" w:type="dxa"/>
            <w:vMerge w:val="restart"/>
            <w:tcBorders>
              <w:top w:val="nil"/>
            </w:tcBorders>
            <w:shd w:val="clear" w:color="auto" w:fill="FFFFFF"/>
            <w:vAlign w:val="center"/>
          </w:tcPr>
          <w:p w14:paraId="33DFD9A2" w14:textId="2AA66661" w:rsidR="000A4D01" w:rsidRDefault="000A4D01" w:rsidP="000A4D01">
            <w:pPr>
              <w:pStyle w:val="CETBodytext"/>
              <w:jc w:val="center"/>
              <w:rPr>
                <w:lang w:val="en-GB"/>
              </w:rPr>
            </w:pPr>
            <w:r>
              <w:rPr>
                <w:lang w:val="en-GB"/>
              </w:rPr>
              <w:t>PR</w:t>
            </w:r>
          </w:p>
        </w:tc>
        <w:tc>
          <w:tcPr>
            <w:tcW w:w="1066" w:type="dxa"/>
            <w:tcBorders>
              <w:top w:val="nil"/>
              <w:bottom w:val="nil"/>
            </w:tcBorders>
            <w:shd w:val="clear" w:color="auto" w:fill="FFFFFF"/>
            <w:vAlign w:val="center"/>
          </w:tcPr>
          <w:p w14:paraId="2DACE642" w14:textId="5FAEB3CA" w:rsidR="000A4D01" w:rsidRDefault="000A4D01" w:rsidP="000A4D01">
            <w:pPr>
              <w:pStyle w:val="CETBodytext"/>
              <w:jc w:val="center"/>
              <w:rPr>
                <w:lang w:val="en-GB"/>
              </w:rPr>
            </w:pPr>
            <w:r>
              <w:rPr>
                <w:lang w:val="en-GB"/>
              </w:rPr>
              <w:t>Yokozeki</w:t>
            </w:r>
          </w:p>
        </w:tc>
        <w:tc>
          <w:tcPr>
            <w:tcW w:w="1220" w:type="dxa"/>
            <w:tcBorders>
              <w:top w:val="nil"/>
              <w:bottom w:val="nil"/>
            </w:tcBorders>
            <w:shd w:val="clear" w:color="auto" w:fill="FFFFFF"/>
            <w:vAlign w:val="center"/>
          </w:tcPr>
          <w:p w14:paraId="5D0A339D" w14:textId="4C3444CB" w:rsidR="000A4D01" w:rsidRDefault="000A4D01" w:rsidP="000A4D01">
            <w:pPr>
              <w:pStyle w:val="CETBodytext"/>
              <w:ind w:right="-1"/>
              <w:jc w:val="center"/>
              <w:rPr>
                <w:rFonts w:cs="Arial"/>
                <w:szCs w:val="18"/>
              </w:rPr>
            </w:pPr>
            <w:r w:rsidRPr="00C62850">
              <w:rPr>
                <w:rFonts w:cs="Arial"/>
                <w:color w:val="000000" w:themeColor="text1"/>
                <w:szCs w:val="18"/>
              </w:rPr>
              <w:t>0.130</w:t>
            </w:r>
          </w:p>
        </w:tc>
        <w:tc>
          <w:tcPr>
            <w:tcW w:w="1220" w:type="dxa"/>
            <w:tcBorders>
              <w:top w:val="nil"/>
              <w:bottom w:val="nil"/>
            </w:tcBorders>
            <w:shd w:val="clear" w:color="auto" w:fill="FFFFFF"/>
            <w:vAlign w:val="center"/>
          </w:tcPr>
          <w:p w14:paraId="6B6AEC5E" w14:textId="0C3FF59E"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1038.70</w:t>
            </w:r>
          </w:p>
        </w:tc>
        <w:tc>
          <w:tcPr>
            <w:tcW w:w="1220" w:type="dxa"/>
            <w:tcBorders>
              <w:top w:val="nil"/>
              <w:bottom w:val="nil"/>
            </w:tcBorders>
            <w:shd w:val="clear" w:color="auto" w:fill="FFFFFF"/>
            <w:vAlign w:val="center"/>
          </w:tcPr>
          <w:p w14:paraId="7FFAC649" w14:textId="0CBE6806" w:rsidR="000A4D01" w:rsidRPr="00C62850" w:rsidRDefault="000A4D01" w:rsidP="000A4D01">
            <w:pPr>
              <w:pStyle w:val="CETBodytext"/>
              <w:ind w:right="-1"/>
              <w:jc w:val="center"/>
              <w:rPr>
                <w:rFonts w:cs="Arial"/>
                <w:color w:val="000000" w:themeColor="text1"/>
                <w:szCs w:val="18"/>
              </w:rPr>
            </w:pPr>
            <w:r>
              <w:rPr>
                <w:rFonts w:cs="Arial"/>
                <w:szCs w:val="18"/>
              </w:rPr>
              <w:t>-</w:t>
            </w:r>
          </w:p>
        </w:tc>
        <w:tc>
          <w:tcPr>
            <w:tcW w:w="1220" w:type="dxa"/>
            <w:tcBorders>
              <w:top w:val="nil"/>
              <w:bottom w:val="nil"/>
            </w:tcBorders>
            <w:shd w:val="clear" w:color="auto" w:fill="FFFFFF"/>
            <w:vAlign w:val="center"/>
          </w:tcPr>
          <w:p w14:paraId="5295CD56" w14:textId="7FA95570" w:rsidR="000A4D01" w:rsidRPr="00C62850" w:rsidRDefault="000A4D01" w:rsidP="000A4D01">
            <w:pPr>
              <w:pStyle w:val="CETBodytext"/>
              <w:ind w:right="-1"/>
              <w:jc w:val="center"/>
              <w:rPr>
                <w:rFonts w:cs="Arial"/>
                <w:color w:val="000000" w:themeColor="text1"/>
                <w:kern w:val="24"/>
                <w:szCs w:val="18"/>
              </w:rPr>
            </w:pPr>
            <w:r w:rsidRPr="00C62850">
              <w:rPr>
                <w:rFonts w:cs="Arial"/>
                <w:color w:val="000000" w:themeColor="text1"/>
                <w:kern w:val="24"/>
                <w:szCs w:val="18"/>
              </w:rPr>
              <w:t>7.74</w:t>
            </w:r>
          </w:p>
        </w:tc>
      </w:tr>
      <w:tr w:rsidR="000A4D01" w14:paraId="64688482" w14:textId="77777777" w:rsidTr="00D52490">
        <w:trPr>
          <w:trHeight w:val="205"/>
        </w:trPr>
        <w:tc>
          <w:tcPr>
            <w:tcW w:w="1679" w:type="dxa"/>
            <w:vMerge/>
            <w:tcBorders>
              <w:bottom w:val="single" w:sz="12" w:space="0" w:color="008000"/>
            </w:tcBorders>
            <w:shd w:val="clear" w:color="auto" w:fill="FFFFFF"/>
            <w:vAlign w:val="center"/>
          </w:tcPr>
          <w:p w14:paraId="2C28EA5E" w14:textId="77777777" w:rsidR="000A4D01" w:rsidRDefault="000A4D01" w:rsidP="000A4D01">
            <w:pPr>
              <w:pStyle w:val="CETBodytext"/>
              <w:jc w:val="center"/>
              <w:rPr>
                <w:lang w:val="en-GB"/>
              </w:rPr>
            </w:pPr>
          </w:p>
        </w:tc>
        <w:tc>
          <w:tcPr>
            <w:tcW w:w="915" w:type="dxa"/>
            <w:vMerge/>
            <w:tcBorders>
              <w:bottom w:val="single" w:sz="12" w:space="0" w:color="008000"/>
            </w:tcBorders>
            <w:shd w:val="clear" w:color="auto" w:fill="FFFFFF"/>
            <w:vAlign w:val="center"/>
          </w:tcPr>
          <w:p w14:paraId="38B3D810" w14:textId="4588C2CF" w:rsidR="000A4D01" w:rsidRDefault="000A4D01" w:rsidP="000A4D01">
            <w:pPr>
              <w:pStyle w:val="CETBodytext"/>
              <w:jc w:val="center"/>
              <w:rPr>
                <w:lang w:val="en-GB"/>
              </w:rPr>
            </w:pPr>
          </w:p>
        </w:tc>
        <w:tc>
          <w:tcPr>
            <w:tcW w:w="1066" w:type="dxa"/>
            <w:tcBorders>
              <w:top w:val="nil"/>
              <w:bottom w:val="single" w:sz="12" w:space="0" w:color="008000"/>
            </w:tcBorders>
            <w:shd w:val="clear" w:color="auto" w:fill="FFFFFF"/>
            <w:vAlign w:val="center"/>
          </w:tcPr>
          <w:p w14:paraId="6674B554" w14:textId="4F477CA3" w:rsidR="000A4D01" w:rsidRDefault="000A4D01" w:rsidP="000A4D01">
            <w:pPr>
              <w:pStyle w:val="CETBodytext"/>
              <w:jc w:val="center"/>
              <w:rPr>
                <w:lang w:val="en-GB"/>
              </w:rPr>
            </w:pPr>
            <w:r>
              <w:rPr>
                <w:lang w:val="en-GB"/>
              </w:rPr>
              <w:t>Soave</w:t>
            </w:r>
          </w:p>
        </w:tc>
        <w:tc>
          <w:tcPr>
            <w:tcW w:w="1220" w:type="dxa"/>
            <w:tcBorders>
              <w:top w:val="nil"/>
              <w:bottom w:val="single" w:sz="12" w:space="0" w:color="008000"/>
            </w:tcBorders>
            <w:shd w:val="clear" w:color="auto" w:fill="FFFFFF"/>
            <w:vAlign w:val="center"/>
          </w:tcPr>
          <w:p w14:paraId="265D375A" w14:textId="6CAB32B3" w:rsidR="000A4D01" w:rsidRDefault="000A4D01" w:rsidP="000A4D01">
            <w:pPr>
              <w:pStyle w:val="CETBodytext"/>
              <w:ind w:right="-1"/>
              <w:jc w:val="center"/>
              <w:rPr>
                <w:rFonts w:cs="Arial"/>
                <w:szCs w:val="18"/>
              </w:rPr>
            </w:pPr>
            <w:r>
              <w:rPr>
                <w:rFonts w:cs="Arial"/>
                <w:szCs w:val="18"/>
              </w:rPr>
              <w:t>-</w:t>
            </w:r>
          </w:p>
        </w:tc>
        <w:tc>
          <w:tcPr>
            <w:tcW w:w="1220" w:type="dxa"/>
            <w:tcBorders>
              <w:top w:val="nil"/>
              <w:bottom w:val="single" w:sz="12" w:space="0" w:color="008000"/>
            </w:tcBorders>
            <w:shd w:val="clear" w:color="auto" w:fill="FFFFFF"/>
            <w:vAlign w:val="center"/>
          </w:tcPr>
          <w:p w14:paraId="61213762" w14:textId="7EC4E998"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906.46</w:t>
            </w:r>
          </w:p>
        </w:tc>
        <w:tc>
          <w:tcPr>
            <w:tcW w:w="1220" w:type="dxa"/>
            <w:tcBorders>
              <w:top w:val="nil"/>
              <w:bottom w:val="single" w:sz="12" w:space="0" w:color="008000"/>
            </w:tcBorders>
            <w:shd w:val="clear" w:color="auto" w:fill="FFFFFF"/>
            <w:vAlign w:val="center"/>
          </w:tcPr>
          <w:p w14:paraId="52569393" w14:textId="63427410" w:rsidR="000A4D01" w:rsidRPr="00C62850" w:rsidRDefault="000A4D01" w:rsidP="000A4D01">
            <w:pPr>
              <w:pStyle w:val="CETBodytext"/>
              <w:ind w:right="-1"/>
              <w:jc w:val="center"/>
              <w:rPr>
                <w:rFonts w:cs="Arial"/>
                <w:color w:val="000000" w:themeColor="text1"/>
                <w:szCs w:val="18"/>
              </w:rPr>
            </w:pPr>
            <w:r w:rsidRPr="00C62850">
              <w:rPr>
                <w:rFonts w:cs="Arial"/>
                <w:color w:val="000000" w:themeColor="text1"/>
                <w:szCs w:val="18"/>
              </w:rPr>
              <w:t>0.184</w:t>
            </w:r>
          </w:p>
        </w:tc>
        <w:tc>
          <w:tcPr>
            <w:tcW w:w="1220" w:type="dxa"/>
            <w:tcBorders>
              <w:top w:val="nil"/>
              <w:bottom w:val="single" w:sz="12" w:space="0" w:color="008000"/>
            </w:tcBorders>
            <w:shd w:val="clear" w:color="auto" w:fill="FFFFFF"/>
            <w:vAlign w:val="center"/>
          </w:tcPr>
          <w:p w14:paraId="5E685A99" w14:textId="076B6FCB" w:rsidR="000A4D01" w:rsidRPr="00C62850" w:rsidRDefault="000A4D01" w:rsidP="000A4D01">
            <w:pPr>
              <w:pStyle w:val="CETBodytext"/>
              <w:ind w:right="-1"/>
              <w:jc w:val="center"/>
              <w:rPr>
                <w:rFonts w:cs="Arial"/>
                <w:color w:val="000000" w:themeColor="text1"/>
                <w:kern w:val="24"/>
                <w:szCs w:val="18"/>
              </w:rPr>
            </w:pPr>
            <w:r w:rsidRPr="00C62850">
              <w:rPr>
                <w:rFonts w:cs="Arial"/>
                <w:color w:val="000000" w:themeColor="text1"/>
                <w:kern w:val="24"/>
                <w:szCs w:val="18"/>
              </w:rPr>
              <w:t>8.16</w:t>
            </w:r>
          </w:p>
        </w:tc>
      </w:tr>
      <w:tr w:rsidR="00A64B78" w14:paraId="75297B9D" w14:textId="77777777" w:rsidTr="00A64B78">
        <w:trPr>
          <w:trHeight w:val="320"/>
        </w:trPr>
        <w:tc>
          <w:tcPr>
            <w:tcW w:w="8540" w:type="dxa"/>
            <w:gridSpan w:val="7"/>
            <w:tcBorders>
              <w:top w:val="single" w:sz="12" w:space="0" w:color="008000"/>
              <w:bottom w:val="nil"/>
            </w:tcBorders>
            <w:shd w:val="clear" w:color="auto" w:fill="FFFFFF"/>
            <w:vAlign w:val="center"/>
          </w:tcPr>
          <w:p w14:paraId="55889E30" w14:textId="4B995A43" w:rsidR="00A64B78" w:rsidRPr="00C62850" w:rsidRDefault="00A64B78" w:rsidP="00EA51AA">
            <w:pPr>
              <w:pStyle w:val="CETBodytext"/>
              <w:ind w:right="-1"/>
              <w:jc w:val="left"/>
              <w:rPr>
                <w:rFonts w:cs="Arial"/>
                <w:szCs w:val="18"/>
                <w:lang w:val="en-GB"/>
              </w:rPr>
            </w:pPr>
          </w:p>
        </w:tc>
      </w:tr>
    </w:tbl>
    <w:p w14:paraId="7EEEE7CC" w14:textId="3DA96A2D" w:rsidR="00113B75" w:rsidRDefault="00EB2F82" w:rsidP="00113B75">
      <w:pPr>
        <w:pStyle w:val="ListParagraph"/>
        <w:numPr>
          <w:ilvl w:val="2"/>
          <w:numId w:val="1"/>
        </w:numPr>
        <w:rPr>
          <w:b/>
          <w:bCs/>
        </w:rPr>
      </w:pPr>
      <w:r>
        <w:rPr>
          <w:b/>
          <w:bCs/>
        </w:rPr>
        <w:t>Solubility Modelling</w:t>
      </w:r>
    </w:p>
    <w:p w14:paraId="275B1445" w14:textId="77777777" w:rsidR="00113B75" w:rsidRPr="00113B75" w:rsidRDefault="00113B75" w:rsidP="00113B75">
      <w:pPr>
        <w:pStyle w:val="ListParagraph"/>
        <w:ind w:left="0"/>
        <w:rPr>
          <w:b/>
          <w:bCs/>
          <w:sz w:val="10"/>
          <w:szCs w:val="10"/>
        </w:rPr>
      </w:pPr>
    </w:p>
    <w:p w14:paraId="24F09C50" w14:textId="161738F5" w:rsidR="00113B75" w:rsidRDefault="00113B75" w:rsidP="00113B75">
      <w:pPr>
        <w:pStyle w:val="ListParagraph"/>
        <w:ind w:left="0"/>
      </w:pPr>
      <w:r>
        <w:t>The present modelling approach was applied to the correlation of experimental solubilities of seven gases in forty-two DESs based on choline chloride combined with urea, glycerol, ethylene glycol and other compounds gathered from existing literature. The experimental data values ​​of the chosen Gas-DES systems were determined in a temperature range from 293.15 K to 353.15 K and pressures from 0.01 MPa up to 12 MPa.</w:t>
      </w:r>
    </w:p>
    <w:p w14:paraId="4D2A90B0" w14:textId="74FDA127" w:rsidR="00113B75" w:rsidRDefault="00113B75" w:rsidP="00113B75">
      <w:pPr>
        <w:pStyle w:val="ListParagraph"/>
        <w:ind w:left="0"/>
      </w:pPr>
    </w:p>
    <w:p w14:paraId="759F7F4B" w14:textId="447F8FAB" w:rsidR="00113B75" w:rsidRDefault="00113B75" w:rsidP="00113B75">
      <w:pPr>
        <w:pStyle w:val="CETBodytext"/>
      </w:pPr>
      <w:r>
        <w:rPr>
          <w:lang w:val="en-GB"/>
        </w:rPr>
        <w:t>Also, a least-square fit based on the Levenberg-Marquadt method was performed to obtain the model parameters (</w:t>
      </w:r>
      <m:oMath>
        <m:sSub>
          <m:sSubPr>
            <m:ctrlPr>
              <w:rPr>
                <w:rFonts w:ascii="Cambria Math" w:hAnsi="Cambria Math"/>
              </w:rPr>
            </m:ctrlPr>
          </m:sSubPr>
          <m:e>
            <m:r>
              <w:rPr>
                <w:rFonts w:ascii="Cambria Math" w:hAnsi="Cambria Math"/>
              </w:rPr>
              <m:t>k</m:t>
            </m:r>
          </m:e>
          <m:sub>
            <m:r>
              <m:rPr>
                <m:lit/>
                <m:nor/>
              </m:rPr>
              <w:rPr>
                <w:rFonts w:ascii="Cambria Math" w:hAnsi="Cambria Math"/>
              </w:rPr>
              <m:t>1,2</m:t>
            </m:r>
          </m:sub>
        </m:sSub>
      </m:oMath>
      <w:r>
        <w:t xml:space="preserve"> </w:t>
      </w:r>
      <w:r w:rsidR="00B7343B">
        <w:rPr>
          <w:lang w:val="en-GB"/>
        </w:rPr>
        <w:t>and</w:t>
      </w:r>
      <w:r>
        <w:rPr>
          <w:lang w:val="en-GB"/>
        </w:rPr>
        <w:t xml:space="preserve"> </w:t>
      </w:r>
      <m:oMath>
        <m:sSub>
          <m:sSubPr>
            <m:ctrlPr>
              <w:rPr>
                <w:rFonts w:ascii="Cambria Math" w:hAnsi="Cambria Math"/>
                <w:i/>
              </w:rPr>
            </m:ctrlPr>
          </m:sSubPr>
          <m:e>
            <m:r>
              <w:rPr>
                <w:rFonts w:ascii="Cambria Math" w:hAnsi="Cambria Math"/>
              </w:rPr>
              <m:t>l</m:t>
            </m:r>
          </m:e>
          <m:sub>
            <m:r>
              <m:rPr>
                <m:lit/>
                <m:nor/>
              </m:rPr>
              <w:rPr>
                <w:rFonts w:ascii="Cambria Math" w:hAnsi="Cambria Math"/>
                <w:i/>
              </w:rPr>
              <m:t>1,2</m:t>
            </m:r>
          </m:sub>
        </m:sSub>
      </m:oMath>
      <w:r>
        <w:rPr>
          <w:lang w:val="en-GB"/>
        </w:rPr>
        <w:t>). The minimi</w:t>
      </w:r>
      <w:r w:rsidR="00204030">
        <w:rPr>
          <w:lang w:val="en-GB"/>
        </w:rPr>
        <w:t>s</w:t>
      </w:r>
      <w:r>
        <w:rPr>
          <w:lang w:val="en-GB"/>
        </w:rPr>
        <w:t>ation of the following objective function served for this purpose:</w:t>
      </w:r>
    </w:p>
    <w:tbl>
      <w:tblPr>
        <w:tblW w:w="8640" w:type="dxa"/>
        <w:tblInd w:w="72" w:type="dxa"/>
        <w:tblLayout w:type="fixed"/>
        <w:tblLook w:val="04A0" w:firstRow="1" w:lastRow="0" w:firstColumn="1" w:lastColumn="0" w:noHBand="0" w:noVBand="1"/>
      </w:tblPr>
      <w:tblGrid>
        <w:gridCol w:w="7816"/>
        <w:gridCol w:w="824"/>
      </w:tblGrid>
      <w:tr w:rsidR="00113B75" w14:paraId="3F98F873" w14:textId="77777777" w:rsidTr="00E125AA">
        <w:tc>
          <w:tcPr>
            <w:tcW w:w="7815" w:type="dxa"/>
            <w:shd w:val="clear" w:color="auto" w:fill="auto"/>
            <w:vAlign w:val="center"/>
          </w:tcPr>
          <w:p w14:paraId="02E34CE5" w14:textId="38F0D2D6" w:rsidR="00113B75" w:rsidRDefault="00113B75" w:rsidP="00E125AA">
            <w:pPr>
              <w:pStyle w:val="CETEquation"/>
              <w:widowControl w:val="0"/>
            </w:pPr>
            <m:oMathPara>
              <m:oMathParaPr>
                <m:jc m:val="left"/>
              </m:oMathParaPr>
              <m:oMath>
                <m:r>
                  <m:rPr>
                    <m:lit/>
                    <m:nor/>
                  </m:rPr>
                  <w:rPr>
                    <w:rFonts w:ascii="Cambria Math" w:hAnsi="Cambria Math"/>
                  </w:rPr>
                  <m:t>min f=</m:t>
                </m:r>
                <m:nary>
                  <m:naryPr>
                    <m:chr m:val="∑"/>
                    <m:ctrlPr>
                      <w:rPr>
                        <w:rFonts w:ascii="Cambria Math" w:hAnsi="Cambria Math"/>
                      </w:rPr>
                    </m:ctrlPr>
                  </m:naryPr>
                  <m:sub>
                    <m:r>
                      <m:rPr>
                        <m:lit/>
                        <m:nor/>
                      </m:rPr>
                      <w:rPr>
                        <w:rFonts w:ascii="Cambria Math" w:hAnsi="Cambria Math"/>
                      </w:rPr>
                      <m:t>j=</m:t>
                    </m:r>
                    <m:r>
                      <w:rPr>
                        <w:rFonts w:ascii="Cambria Math" w:hAnsi="Cambria Math"/>
                      </w:rPr>
                      <m:t>1</m:t>
                    </m:r>
                  </m:sub>
                  <m:sup>
                    <m:r>
                      <w:rPr>
                        <w:rFonts w:ascii="Cambria Math" w:hAnsi="Cambria Math"/>
                      </w:rPr>
                      <m:t>N</m:t>
                    </m:r>
                  </m:sup>
                  <m:e>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1</m:t>
                            </m:r>
                            <m:r>
                              <w:rPr>
                                <w:rFonts w:ascii="Cambria Math" w:hAnsi="Cambria Math"/>
                              </w:rPr>
                              <m:t>-</m:t>
                            </m:r>
                            <m:f>
                              <m:fPr>
                                <m:type m:val="skw"/>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j</m:t>
                                    </m:r>
                                  </m:sub>
                                  <m:sup>
                                    <m:r>
                                      <m:rPr>
                                        <m:lit/>
                                        <m:nor/>
                                      </m:rPr>
                                      <w:rPr>
                                        <w:rFonts w:ascii="Cambria Math" w:hAnsi="Cambria Math"/>
                                      </w:rPr>
                                      <m:t>cal</m:t>
                                    </m:r>
                                  </m:sup>
                                </m:sSubSup>
                              </m:num>
                              <m:den>
                                <m:sSubSup>
                                  <m:sSubSupPr>
                                    <m:ctrlPr>
                                      <w:rPr>
                                        <w:rFonts w:ascii="Cambria Math" w:hAnsi="Cambria Math"/>
                                      </w:rPr>
                                    </m:ctrlPr>
                                  </m:sSubSupPr>
                                  <m:e>
                                    <m:r>
                                      <w:rPr>
                                        <w:rFonts w:ascii="Cambria Math" w:hAnsi="Cambria Math"/>
                                      </w:rPr>
                                      <m:t>P</m:t>
                                    </m:r>
                                  </m:e>
                                  <m:sub>
                                    <m:r>
                                      <w:rPr>
                                        <w:rFonts w:ascii="Cambria Math" w:hAnsi="Cambria Math"/>
                                      </w:rPr>
                                      <m:t>j</m:t>
                                    </m:r>
                                  </m:sub>
                                  <m:sup>
                                    <m:r>
                                      <m:rPr>
                                        <m:nor/>
                                      </m:rPr>
                                      <w:rPr>
                                        <w:rFonts w:ascii="Cambria Math" w:hAnsi="Cambria Math"/>
                                      </w:rPr>
                                      <m:t>exp</m:t>
                                    </m:r>
                                  </m:sup>
                                </m:sSubSup>
                              </m:den>
                            </m:f>
                          </m:e>
                        </m:d>
                      </m:e>
                      <m:sup>
                        <m:r>
                          <m:rPr>
                            <m:lit/>
                            <m:nor/>
                          </m:rPr>
                          <w:rPr>
                            <w:rFonts w:ascii="Cambria Math" w:hAnsi="Cambria Math"/>
                          </w:rPr>
                          <m:t xml:space="preserve"> 2</m:t>
                        </m:r>
                      </m:sup>
                    </m:sSup>
                  </m:e>
                </m:nary>
                <m:r>
                  <w:rPr>
                    <w:rFonts w:ascii="Cambria Math" w:hAnsi="Cambria Math"/>
                  </w:rPr>
                  <m:t>+</m:t>
                </m:r>
                <m:nary>
                  <m:naryPr>
                    <m:chr m:val="∑"/>
                    <m:ctrlPr>
                      <w:rPr>
                        <w:rFonts w:ascii="Cambria Math" w:hAnsi="Cambria Math"/>
                      </w:rPr>
                    </m:ctrlPr>
                  </m:naryPr>
                  <m:sub>
                    <m:r>
                      <m:rPr>
                        <m:lit/>
                        <m:nor/>
                      </m:rPr>
                      <w:rPr>
                        <w:rFonts w:ascii="Cambria Math" w:hAnsi="Cambria Math"/>
                      </w:rPr>
                      <m:t>j=</m:t>
                    </m:r>
                    <m:r>
                      <w:rPr>
                        <w:rFonts w:ascii="Cambria Math" w:hAnsi="Cambria Math"/>
                      </w:rPr>
                      <m:t>1</m:t>
                    </m:r>
                  </m:sub>
                  <m:sup>
                    <m:r>
                      <w:rPr>
                        <w:rFonts w:ascii="Cambria Math" w:hAnsi="Cambria Math"/>
                      </w:rPr>
                      <m:t>N</m:t>
                    </m:r>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Y</m:t>
                                </m:r>
                              </m:e>
                              <m:sub>
                                <m:r>
                                  <m:rPr>
                                    <m:nor/>
                                  </m:rPr>
                                  <w:rPr>
                                    <w:rFonts w:ascii="Cambria Math" w:hAnsi="Cambria Math"/>
                                  </w:rPr>
                                  <m:t>liq</m:t>
                                </m:r>
                                <m:r>
                                  <m:rPr>
                                    <m:lit/>
                                    <m:nor/>
                                  </m:rPr>
                                  <w:rPr>
                                    <w:rFonts w:ascii="Cambria Math" w:hAnsi="Cambria Math"/>
                                  </w:rPr>
                                  <m:t>,</m:t>
                                </m:r>
                                <m:r>
                                  <w:rPr>
                                    <w:rFonts w:ascii="Cambria Math" w:hAnsi="Cambria Math"/>
                                  </w:rPr>
                                  <m:t>j</m:t>
                                </m:r>
                              </m:sub>
                              <m:sup>
                                <m:r>
                                  <m:rPr>
                                    <m:lit/>
                                    <m:nor/>
                                  </m:rPr>
                                  <w:rPr>
                                    <w:rFonts w:ascii="Cambria Math" w:hAnsi="Cambria Math"/>
                                  </w:rPr>
                                  <m:t>cal</m:t>
                                </m:r>
                              </m:sup>
                            </m:sSubSup>
                          </m:e>
                        </m:d>
                      </m:e>
                      <m:sup>
                        <m:r>
                          <m:rPr>
                            <m:lit/>
                            <m:nor/>
                          </m:rPr>
                          <w:rPr>
                            <w:rFonts w:ascii="Cambria Math" w:hAnsi="Cambria Math"/>
                          </w:rPr>
                          <m:t xml:space="preserve"> 2</m:t>
                        </m:r>
                      </m:sup>
                    </m:sSup>
                  </m:e>
                </m:nary>
              </m:oMath>
            </m:oMathPara>
          </w:p>
        </w:tc>
        <w:tc>
          <w:tcPr>
            <w:tcW w:w="824" w:type="dxa"/>
            <w:shd w:val="clear" w:color="auto" w:fill="auto"/>
            <w:vAlign w:val="center"/>
          </w:tcPr>
          <w:p w14:paraId="6509AF5A" w14:textId="11D9542C" w:rsidR="00113B75" w:rsidRDefault="00113B75" w:rsidP="00E125AA">
            <w:pPr>
              <w:pStyle w:val="CETEquation"/>
              <w:widowControl w:val="0"/>
              <w:jc w:val="right"/>
            </w:pPr>
            <w:r>
              <w:t>(1</w:t>
            </w:r>
            <w:r w:rsidR="00204030">
              <w:t>5</w:t>
            </w:r>
            <w:r>
              <w:t>)</w:t>
            </w:r>
          </w:p>
        </w:tc>
      </w:tr>
    </w:tbl>
    <w:p w14:paraId="411C4C14" w14:textId="5266D4CA" w:rsidR="00113B75" w:rsidRDefault="00113B75" w:rsidP="00113B75">
      <w:pPr>
        <w:pStyle w:val="ListParagraph"/>
        <w:ind w:left="0"/>
      </w:pPr>
      <w:r>
        <w:t xml:space="preserve">where </w:t>
      </w:r>
      <w:r>
        <w:rPr>
          <w:i/>
          <w:iCs/>
        </w:rPr>
        <w:t>N</w:t>
      </w:r>
      <w:r>
        <w:t xml:space="preserve"> is the number of experimental points, exp </w:t>
      </w:r>
      <w:r w:rsidR="00B7343B">
        <w:t>and</w:t>
      </w:r>
      <w:r>
        <w:t xml:space="preserve"> cal stand for the experimental and calculated </w:t>
      </w:r>
      <w:r w:rsidR="00624D27">
        <w:t>gas composition</w:t>
      </w:r>
      <w:r>
        <w:t xml:space="preserve">, and </w:t>
      </w:r>
      <w:r w:rsidR="00624D27">
        <w:rPr>
          <w:i/>
          <w:iCs/>
        </w:rPr>
        <w:t>Y</w:t>
      </w:r>
      <w:r>
        <w:t xml:space="preserve"> is the equilibrium composition of the </w:t>
      </w:r>
      <w:r w:rsidR="00624D27">
        <w:t>liquid in the gas</w:t>
      </w:r>
      <w:r>
        <w:t>.</w:t>
      </w:r>
    </w:p>
    <w:p w14:paraId="61FF947E" w14:textId="4F398CCF" w:rsidR="00113B75" w:rsidRDefault="00113B75" w:rsidP="00113B75">
      <w:pPr>
        <w:pStyle w:val="ListParagraph"/>
        <w:ind w:left="0"/>
        <w:rPr>
          <w:b/>
          <w:bCs/>
        </w:rPr>
      </w:pPr>
    </w:p>
    <w:p w14:paraId="181E01E4" w14:textId="519D04E7" w:rsidR="00685CA8" w:rsidRPr="00685CA8" w:rsidRDefault="00EA7EAD" w:rsidP="00113B75">
      <w:pPr>
        <w:pStyle w:val="ListParagraph"/>
        <w:ind w:left="0"/>
      </w:pPr>
      <w:r w:rsidRPr="00685CA8">
        <w:t>The correlating results obtained for CO</w:t>
      </w:r>
      <w:r w:rsidRPr="00685CA8">
        <w:rPr>
          <w:vertAlign w:val="subscript"/>
        </w:rPr>
        <w:t>2</w:t>
      </w:r>
      <w:r w:rsidRPr="00685CA8">
        <w:t xml:space="preserve"> in three DESs </w:t>
      </w:r>
      <w:r w:rsidR="00685CA8" w:rsidRPr="00685CA8">
        <w:t>at 303.15 K</w:t>
      </w:r>
      <w:r w:rsidR="00005E56">
        <w:t xml:space="preserve"> and CH</w:t>
      </w:r>
      <w:r w:rsidR="00005E56" w:rsidRPr="00005E56">
        <w:rPr>
          <w:vertAlign w:val="subscript"/>
        </w:rPr>
        <w:t>4</w:t>
      </w:r>
      <w:r w:rsidR="00005E56">
        <w:t xml:space="preserve"> in ChCl + U (1:2)</w:t>
      </w:r>
      <w:r w:rsidR="00685CA8">
        <w:t xml:space="preserve"> </w:t>
      </w:r>
      <w:r w:rsidR="00005E56">
        <w:t>at 313.2 K</w:t>
      </w:r>
      <w:r w:rsidR="00187265">
        <w:t>-</w:t>
      </w:r>
      <w:r w:rsidR="00005E56">
        <w:t xml:space="preserve">353.2 K </w:t>
      </w:r>
      <w:r w:rsidR="00685CA8">
        <w:t>are</w:t>
      </w:r>
      <w:r w:rsidR="00685CA8" w:rsidRPr="00685CA8">
        <w:t xml:space="preserve"> shown in Fig</w:t>
      </w:r>
      <w:r w:rsidR="00204030">
        <w:t>ure 1</w:t>
      </w:r>
      <w:r w:rsidR="00005E56">
        <w:t xml:space="preserve"> and Fig</w:t>
      </w:r>
      <w:r w:rsidR="00204030">
        <w:t>ure 2</w:t>
      </w:r>
      <w:r w:rsidR="00005E56">
        <w:t xml:space="preserve"> respectively.</w:t>
      </w:r>
      <w:r w:rsidR="00685CA8" w:rsidRPr="00685CA8">
        <w:t xml:space="preserve"> </w:t>
      </w:r>
      <w:r w:rsidR="00187265">
        <w:t>Also,</w:t>
      </w:r>
      <w:r w:rsidR="00685CA8">
        <w:t xml:space="preserve"> Table</w:t>
      </w:r>
      <w:r w:rsidR="00005E56">
        <w:t>s</w:t>
      </w:r>
      <w:r w:rsidR="00685CA8">
        <w:t xml:space="preserve"> 2</w:t>
      </w:r>
      <w:r w:rsidR="00005E56">
        <w:t xml:space="preserve"> and 3</w:t>
      </w:r>
      <w:r w:rsidR="00685CA8">
        <w:t xml:space="preserve"> summari</w:t>
      </w:r>
      <w:r w:rsidR="00204030">
        <w:t>s</w:t>
      </w:r>
      <w:r w:rsidR="00685CA8">
        <w:t xml:space="preserve">e </w:t>
      </w:r>
      <w:r w:rsidR="00685CA8" w:rsidRPr="00685CA8">
        <w:t>the numerical values for the binary interaction parameters calculated using</w:t>
      </w:r>
      <w:r w:rsidR="00187265">
        <w:t xml:space="preserve"> </w:t>
      </w:r>
      <w:r w:rsidR="00685CA8" w:rsidRPr="00685CA8">
        <w:t xml:space="preserve">the SRK CEoS </w:t>
      </w:r>
      <w:r w:rsidR="00685CA8">
        <w:t>with</w:t>
      </w:r>
      <w:r w:rsidR="00685CA8" w:rsidRPr="00685CA8">
        <w:t xml:space="preserve"> the Yokozeki </w:t>
      </w:r>
      <w:r w:rsidR="00685CA8" w:rsidRPr="00361551">
        <w:rPr>
          <w:i/>
          <w:iCs/>
        </w:rPr>
        <w:t>alpha</w:t>
      </w:r>
      <w:r w:rsidR="00685CA8" w:rsidRPr="00685CA8">
        <w:t xml:space="preserve"> function</w:t>
      </w:r>
      <w:r w:rsidR="00187265">
        <w:t xml:space="preserve"> for the CO</w:t>
      </w:r>
      <w:r w:rsidR="00187265" w:rsidRPr="00187265">
        <w:rPr>
          <w:vertAlign w:val="subscript"/>
        </w:rPr>
        <w:t>2</w:t>
      </w:r>
      <w:r w:rsidR="00187265">
        <w:t>-DES systems</w:t>
      </w:r>
      <w:r w:rsidR="00685CA8" w:rsidRPr="00685CA8">
        <w:t xml:space="preserve"> </w:t>
      </w:r>
      <w:r w:rsidR="00685CA8">
        <w:t>and the</w:t>
      </w:r>
      <w:r w:rsidR="00187265">
        <w:t xml:space="preserve"> PR CEoS with a fitted Soave </w:t>
      </w:r>
      <w:r w:rsidR="00187265" w:rsidRPr="00187265">
        <w:rPr>
          <w:i/>
          <w:iCs/>
        </w:rPr>
        <w:t>alpha</w:t>
      </w:r>
      <w:r w:rsidR="00187265">
        <w:t xml:space="preserve"> function</w:t>
      </w:r>
      <w:r w:rsidR="00F341A6">
        <w:t xml:space="preserve"> (optimised physical properties of the pure solvents)</w:t>
      </w:r>
      <w:r w:rsidR="00187265">
        <w:t xml:space="preserve"> for the CH</w:t>
      </w:r>
      <w:r w:rsidR="00187265" w:rsidRPr="00187265">
        <w:rPr>
          <w:vertAlign w:val="subscript"/>
        </w:rPr>
        <w:t>4</w:t>
      </w:r>
      <w:r w:rsidR="00187265">
        <w:t>-DES system. The</w:t>
      </w:r>
      <w:r w:rsidR="00685CA8">
        <w:t xml:space="preserve"> resulting percent of absolute average deviations (AAD) between calculated and total pressures</w:t>
      </w:r>
      <w:r w:rsidR="00187265">
        <w:t xml:space="preserve"> is also included</w:t>
      </w:r>
      <w:r w:rsidR="00685CA8">
        <w:t>.</w:t>
      </w:r>
    </w:p>
    <w:p w14:paraId="65E73FAD" w14:textId="0AE98162" w:rsidR="00600535" w:rsidRPr="002773B4" w:rsidRDefault="00AD369F" w:rsidP="00BD077D">
      <w:pPr>
        <w:pStyle w:val="CETCaption"/>
        <w:rPr>
          <w:i w:val="0"/>
          <w:iCs/>
        </w:rPr>
      </w:pPr>
      <w:r>
        <w:rPr>
          <w:i w:val="0"/>
          <w:iCs/>
          <w:noProof/>
        </w:rPr>
        <w:lastRenderedPageBreak/>
        <w:drawing>
          <wp:inline distT="0" distB="0" distL="0" distR="0" wp14:anchorId="5F26BCF5" wp14:editId="234DF120">
            <wp:extent cx="3450670" cy="198000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stretch>
                      <a:fillRect/>
                    </a:stretch>
                  </pic:blipFill>
                  <pic:spPr>
                    <a:xfrm>
                      <a:off x="0" y="0"/>
                      <a:ext cx="3450670" cy="1980000"/>
                    </a:xfrm>
                    <a:prstGeom prst="rect">
                      <a:avLst/>
                    </a:prstGeom>
                  </pic:spPr>
                </pic:pic>
              </a:graphicData>
            </a:graphic>
          </wp:inline>
        </w:drawing>
      </w:r>
      <w:r w:rsidR="002773B4">
        <w:rPr>
          <w:rStyle w:val="CETCaptionCarattere"/>
          <w:iCs/>
        </w:rPr>
        <w:br/>
      </w:r>
      <w:r w:rsidR="00600535" w:rsidRPr="00BD077D">
        <w:rPr>
          <w:rStyle w:val="CETCaptionCarattere"/>
          <w:i/>
        </w:rPr>
        <w:t xml:space="preserve">Figure 1: </w:t>
      </w:r>
      <w:r w:rsidR="00C41652">
        <w:rPr>
          <w:rStyle w:val="CETCaptionCarattere"/>
          <w:i/>
        </w:rPr>
        <w:t>Correlation of CO</w:t>
      </w:r>
      <w:r w:rsidR="00C41652" w:rsidRPr="004E2048">
        <w:rPr>
          <w:rStyle w:val="CETCaptionCarattere"/>
          <w:i/>
          <w:vertAlign w:val="subscript"/>
        </w:rPr>
        <w:t>2</w:t>
      </w:r>
      <w:r w:rsidR="00C41652">
        <w:rPr>
          <w:rStyle w:val="CETCaptionCarattere"/>
          <w:i/>
        </w:rPr>
        <w:t xml:space="preserve"> solubilities in three choline </w:t>
      </w:r>
      <w:r w:rsidR="004E2048">
        <w:rPr>
          <w:rStyle w:val="CETCaptionCarattere"/>
          <w:i/>
        </w:rPr>
        <w:t>chloride based</w:t>
      </w:r>
      <w:r w:rsidR="00C41652">
        <w:rPr>
          <w:rStyle w:val="CETCaptionCarattere"/>
          <w:i/>
        </w:rPr>
        <w:t xml:space="preserve"> DESs using the SRK equation</w:t>
      </w:r>
    </w:p>
    <w:p w14:paraId="67EBB624" w14:textId="060BA399" w:rsidR="00E627EB" w:rsidRDefault="00E627EB" w:rsidP="00E627EB">
      <w:pPr>
        <w:pStyle w:val="CETTabletitle"/>
      </w:pPr>
      <w:r>
        <w:t xml:space="preserve">Table 2: </w:t>
      </w:r>
      <w:r w:rsidR="00CC6725">
        <w:t>Regressed parameters of three CO</w:t>
      </w:r>
      <w:r w:rsidR="00CC6725" w:rsidRPr="00CC6725">
        <w:rPr>
          <w:vertAlign w:val="subscript"/>
        </w:rPr>
        <w:t>2</w:t>
      </w:r>
      <w:r w:rsidR="00CC6725">
        <w:t>-DES systems for the SRK CEo</w:t>
      </w:r>
      <w:r w:rsidR="00204030">
        <w:t>S</w:t>
      </w:r>
      <w:r w:rsidR="00CC6725">
        <w:t xml:space="preserve"> and resulting deviations</w:t>
      </w:r>
    </w:p>
    <w:tbl>
      <w:tblPr>
        <w:tblW w:w="8568" w:type="dxa"/>
        <w:tblBorders>
          <w:top w:val="single" w:sz="12" w:space="0" w:color="008000"/>
          <w:bottom w:val="single" w:sz="6" w:space="0" w:color="008000"/>
          <w:insideH w:val="single" w:sz="6" w:space="0" w:color="008000"/>
        </w:tblBorders>
        <w:tblCellMar>
          <w:left w:w="0" w:type="dxa"/>
          <w:right w:w="0" w:type="dxa"/>
        </w:tblCellMar>
        <w:tblLook w:val="00A0" w:firstRow="1" w:lastRow="0" w:firstColumn="1" w:lastColumn="0" w:noHBand="0" w:noVBand="0"/>
      </w:tblPr>
      <w:tblGrid>
        <w:gridCol w:w="1712"/>
        <w:gridCol w:w="1714"/>
        <w:gridCol w:w="1714"/>
        <w:gridCol w:w="1714"/>
        <w:gridCol w:w="1714"/>
      </w:tblGrid>
      <w:tr w:rsidR="00E627EB" w:rsidRPr="00E627EB" w14:paraId="10A3C4AE" w14:textId="77777777" w:rsidTr="00CC6725">
        <w:trPr>
          <w:trHeight w:val="252"/>
        </w:trPr>
        <w:tc>
          <w:tcPr>
            <w:tcW w:w="1712" w:type="dxa"/>
            <w:tcBorders>
              <w:top w:val="single" w:sz="12" w:space="0" w:color="008000"/>
              <w:bottom w:val="single" w:sz="12" w:space="0" w:color="008000"/>
            </w:tcBorders>
            <w:shd w:val="clear" w:color="auto" w:fill="FFFFFF"/>
            <w:vAlign w:val="center"/>
          </w:tcPr>
          <w:p w14:paraId="58B77DA9" w14:textId="776465BB" w:rsidR="00E627EB" w:rsidRPr="00E627EB" w:rsidRDefault="00E627EB" w:rsidP="00E627EB">
            <w:pPr>
              <w:pStyle w:val="CETBodytext"/>
              <w:jc w:val="center"/>
              <w:rPr>
                <w:rFonts w:cs="Arial"/>
                <w:szCs w:val="18"/>
                <w:lang w:val="en-GB"/>
              </w:rPr>
            </w:pPr>
            <w:r w:rsidRPr="00E627EB">
              <w:rPr>
                <w:rFonts w:cs="Arial"/>
                <w:szCs w:val="18"/>
              </w:rPr>
              <w:t>CO</w:t>
            </w:r>
            <w:r w:rsidRPr="00E627EB">
              <w:rPr>
                <w:rFonts w:cs="Arial"/>
                <w:szCs w:val="18"/>
                <w:vertAlign w:val="subscript"/>
              </w:rPr>
              <w:t>2</w:t>
            </w:r>
            <w:r w:rsidRPr="00E627EB">
              <w:rPr>
                <w:rFonts w:cs="Arial"/>
                <w:szCs w:val="18"/>
              </w:rPr>
              <w:t>-DES</w:t>
            </w:r>
          </w:p>
        </w:tc>
        <w:bookmarkStart w:id="1" w:name="_Hlk105714110"/>
        <w:tc>
          <w:tcPr>
            <w:tcW w:w="1714" w:type="dxa"/>
            <w:tcBorders>
              <w:top w:val="single" w:sz="12" w:space="0" w:color="008000"/>
              <w:bottom w:val="single" w:sz="12" w:space="0" w:color="008000"/>
            </w:tcBorders>
            <w:shd w:val="clear" w:color="auto" w:fill="FFFFFF"/>
            <w:vAlign w:val="center"/>
          </w:tcPr>
          <w:p w14:paraId="125C9C88" w14:textId="71C16A8C" w:rsidR="00E627EB" w:rsidRPr="00E627EB" w:rsidRDefault="00000000" w:rsidP="00E627EB">
            <w:pPr>
              <w:pStyle w:val="CETBodytext"/>
              <w:jc w:val="center"/>
              <w:rPr>
                <w:rFonts w:cs="Arial"/>
                <w:szCs w:val="18"/>
                <w:lang w:val="en-GB"/>
              </w:rPr>
            </w:pPr>
            <m:oMathPara>
              <m:oMath>
                <m:sSub>
                  <m:sSubPr>
                    <m:ctrlPr>
                      <w:rPr>
                        <w:rFonts w:ascii="Cambria Math" w:hAnsi="Cambria Math" w:cs="Arial"/>
                        <w:i/>
                        <w:iCs/>
                        <w:szCs w:val="18"/>
                      </w:rPr>
                    </m:ctrlPr>
                  </m:sSubPr>
                  <m:e>
                    <m:r>
                      <w:rPr>
                        <w:rFonts w:ascii="Cambria Math" w:hAnsi="Cambria Math" w:cs="Arial"/>
                        <w:szCs w:val="18"/>
                      </w:rPr>
                      <m:t>k</m:t>
                    </m:r>
                  </m:e>
                  <m:sub>
                    <m:r>
                      <w:rPr>
                        <w:rFonts w:ascii="Cambria Math" w:hAnsi="Cambria Math" w:cs="Arial"/>
                        <w:szCs w:val="18"/>
                      </w:rPr>
                      <m:t>ij</m:t>
                    </m:r>
                  </m:sub>
                </m:sSub>
              </m:oMath>
            </m:oMathPara>
            <w:bookmarkEnd w:id="1"/>
          </w:p>
        </w:tc>
        <w:tc>
          <w:tcPr>
            <w:tcW w:w="1714" w:type="dxa"/>
            <w:tcBorders>
              <w:top w:val="single" w:sz="12" w:space="0" w:color="008000"/>
              <w:bottom w:val="single" w:sz="12" w:space="0" w:color="008000"/>
            </w:tcBorders>
            <w:shd w:val="clear" w:color="auto" w:fill="FFFFFF"/>
            <w:vAlign w:val="center"/>
          </w:tcPr>
          <w:p w14:paraId="05EDC29C" w14:textId="23834D9C" w:rsidR="00E627EB" w:rsidRPr="00E627EB" w:rsidRDefault="00000000" w:rsidP="00E627EB">
            <w:pPr>
              <w:pStyle w:val="CETBodytext"/>
              <w:jc w:val="center"/>
              <w:rPr>
                <w:rFonts w:cs="Arial"/>
                <w:szCs w:val="18"/>
                <w:lang w:val="en-GB"/>
              </w:rPr>
            </w:pPr>
            <m:oMathPara>
              <m:oMath>
                <m:sSub>
                  <m:sSubPr>
                    <m:ctrlPr>
                      <w:rPr>
                        <w:rFonts w:ascii="Cambria Math" w:hAnsi="Cambria Math" w:cs="Arial"/>
                        <w:i/>
                        <w:iCs/>
                        <w:szCs w:val="18"/>
                      </w:rPr>
                    </m:ctrlPr>
                  </m:sSubPr>
                  <m:e>
                    <m:r>
                      <w:rPr>
                        <w:rFonts w:ascii="Cambria Math" w:hAnsi="Cambria Math" w:cs="Arial"/>
                        <w:szCs w:val="18"/>
                      </w:rPr>
                      <m:t>l</m:t>
                    </m:r>
                  </m:e>
                  <m:sub>
                    <m:r>
                      <w:rPr>
                        <w:rFonts w:ascii="Cambria Math" w:hAnsi="Cambria Math" w:cs="Arial"/>
                        <w:szCs w:val="18"/>
                      </w:rPr>
                      <m:t>ij</m:t>
                    </m:r>
                  </m:sub>
                </m:sSub>
              </m:oMath>
            </m:oMathPara>
          </w:p>
        </w:tc>
        <w:tc>
          <w:tcPr>
            <w:tcW w:w="1714" w:type="dxa"/>
            <w:tcBorders>
              <w:top w:val="single" w:sz="12" w:space="0" w:color="008000"/>
              <w:bottom w:val="single" w:sz="12" w:space="0" w:color="008000"/>
            </w:tcBorders>
            <w:shd w:val="clear" w:color="auto" w:fill="FFFFFF"/>
            <w:vAlign w:val="center"/>
          </w:tcPr>
          <w:p w14:paraId="0D4F8CCD" w14:textId="67B03D26" w:rsidR="00E627EB" w:rsidRPr="00E627EB" w:rsidRDefault="00000000" w:rsidP="00E627EB">
            <w:pPr>
              <w:pStyle w:val="CETBodytext"/>
              <w:ind w:right="-1"/>
              <w:jc w:val="center"/>
              <w:rPr>
                <w:rFonts w:cs="Arial"/>
                <w:szCs w:val="18"/>
                <w:lang w:val="en-GB"/>
              </w:rPr>
            </w:pPr>
            <m:oMathPara>
              <m:oMath>
                <m:sSub>
                  <m:sSubPr>
                    <m:ctrlPr>
                      <w:rPr>
                        <w:rFonts w:ascii="Cambria Math" w:hAnsi="Cambria Math" w:cs="Arial"/>
                        <w:i/>
                        <w:szCs w:val="18"/>
                      </w:rPr>
                    </m:ctrlPr>
                  </m:sSubPr>
                  <m:e>
                    <m:r>
                      <w:rPr>
                        <w:rFonts w:ascii="Cambria Math" w:hAnsi="Cambria Math" w:cs="Arial"/>
                        <w:szCs w:val="18"/>
                      </w:rPr>
                      <m:t>x</m:t>
                    </m:r>
                  </m:e>
                  <m:sub>
                    <m:sSub>
                      <m:sSubPr>
                        <m:ctrlPr>
                          <w:rPr>
                            <w:rFonts w:ascii="Cambria Math" w:hAnsi="Cambria Math" w:cs="Arial"/>
                            <w:i/>
                            <w:szCs w:val="18"/>
                          </w:rPr>
                        </m:ctrlPr>
                      </m:sSubPr>
                      <m:e>
                        <m:r>
                          <w:rPr>
                            <w:rFonts w:ascii="Cambria Math" w:hAnsi="Cambria Math" w:cs="Arial"/>
                            <w:szCs w:val="18"/>
                          </w:rPr>
                          <m:t>CO</m:t>
                        </m:r>
                      </m:e>
                      <m:sub>
                        <m:r>
                          <w:rPr>
                            <w:rFonts w:ascii="Cambria Math" w:hAnsi="Cambria Math" w:cs="Arial"/>
                            <w:szCs w:val="18"/>
                          </w:rPr>
                          <m:t>2</m:t>
                        </m:r>
                      </m:sub>
                    </m:sSub>
                  </m:sub>
                </m:sSub>
              </m:oMath>
            </m:oMathPara>
          </w:p>
        </w:tc>
        <w:tc>
          <w:tcPr>
            <w:tcW w:w="1714" w:type="dxa"/>
            <w:tcBorders>
              <w:top w:val="single" w:sz="12" w:space="0" w:color="008000"/>
              <w:bottom w:val="single" w:sz="12" w:space="0" w:color="008000"/>
            </w:tcBorders>
            <w:shd w:val="clear" w:color="auto" w:fill="FFFFFF"/>
            <w:vAlign w:val="center"/>
          </w:tcPr>
          <w:p w14:paraId="3FD95BCE" w14:textId="75E5BE91" w:rsidR="00E627EB" w:rsidRPr="00E627EB" w:rsidRDefault="00E627EB" w:rsidP="00E627EB">
            <w:pPr>
              <w:pStyle w:val="CETBodytext"/>
              <w:ind w:right="-1"/>
              <w:jc w:val="center"/>
              <w:rPr>
                <w:rFonts w:cs="Arial"/>
                <w:szCs w:val="18"/>
                <w:lang w:val="en-GB"/>
              </w:rPr>
            </w:pPr>
            <w:r w:rsidRPr="00E627EB">
              <w:rPr>
                <w:rFonts w:cs="Arial"/>
                <w:szCs w:val="18"/>
              </w:rPr>
              <w:t>AAD (%)</w:t>
            </w:r>
          </w:p>
        </w:tc>
      </w:tr>
      <w:tr w:rsidR="00E627EB" w:rsidRPr="00E627EB" w14:paraId="2D43CC0F" w14:textId="77777777" w:rsidTr="00CC6725">
        <w:trPr>
          <w:trHeight w:val="283"/>
        </w:trPr>
        <w:tc>
          <w:tcPr>
            <w:tcW w:w="1712" w:type="dxa"/>
            <w:tcBorders>
              <w:top w:val="single" w:sz="12" w:space="0" w:color="008000"/>
              <w:bottom w:val="single" w:sz="12" w:space="0" w:color="008000"/>
            </w:tcBorders>
            <w:shd w:val="clear" w:color="auto" w:fill="FFFFFF"/>
            <w:vAlign w:val="center"/>
          </w:tcPr>
          <w:p w14:paraId="75BD0EB1" w14:textId="2BFE02E4" w:rsidR="00E627EB" w:rsidRPr="00E627EB" w:rsidRDefault="00E627EB" w:rsidP="00E627EB">
            <w:pPr>
              <w:pStyle w:val="CETBodytext"/>
              <w:jc w:val="center"/>
              <w:rPr>
                <w:rFonts w:cs="Arial"/>
                <w:szCs w:val="18"/>
                <w:lang w:val="en-GB"/>
              </w:rPr>
            </w:pPr>
            <w:r w:rsidRPr="00E627EB">
              <w:rPr>
                <w:rFonts w:cs="Arial"/>
                <w:szCs w:val="18"/>
              </w:rPr>
              <w:t>CO</w:t>
            </w:r>
            <w:r w:rsidRPr="00E627EB">
              <w:rPr>
                <w:rFonts w:cs="Arial"/>
                <w:szCs w:val="18"/>
                <w:vertAlign w:val="subscript"/>
              </w:rPr>
              <w:t>2</w:t>
            </w:r>
            <w:r w:rsidRPr="00E627EB">
              <w:rPr>
                <w:rFonts w:cs="Arial"/>
                <w:szCs w:val="18"/>
              </w:rPr>
              <w:t>-ChCl + U (1:2)</w:t>
            </w:r>
          </w:p>
        </w:tc>
        <w:tc>
          <w:tcPr>
            <w:tcW w:w="1714" w:type="dxa"/>
            <w:tcBorders>
              <w:top w:val="single" w:sz="12" w:space="0" w:color="008000"/>
              <w:bottom w:val="single" w:sz="12" w:space="0" w:color="008000"/>
            </w:tcBorders>
            <w:shd w:val="clear" w:color="auto" w:fill="FFFFFF"/>
            <w:vAlign w:val="center"/>
          </w:tcPr>
          <w:p w14:paraId="70E98114" w14:textId="4AC1BF57" w:rsidR="00E627EB" w:rsidRPr="00E627EB" w:rsidRDefault="00E627EB" w:rsidP="00E627EB">
            <w:pPr>
              <w:pStyle w:val="CETBodytext"/>
              <w:jc w:val="center"/>
              <w:rPr>
                <w:rFonts w:cs="Arial"/>
                <w:szCs w:val="18"/>
                <w:lang w:val="en-GB"/>
              </w:rPr>
            </w:pPr>
            <w:r w:rsidRPr="00E627EB">
              <w:rPr>
                <w:rFonts w:cs="Arial"/>
                <w:szCs w:val="18"/>
              </w:rPr>
              <w:t>0.198205</w:t>
            </w:r>
          </w:p>
        </w:tc>
        <w:tc>
          <w:tcPr>
            <w:tcW w:w="1714" w:type="dxa"/>
            <w:tcBorders>
              <w:top w:val="single" w:sz="12" w:space="0" w:color="008000"/>
              <w:bottom w:val="single" w:sz="12" w:space="0" w:color="008000"/>
            </w:tcBorders>
            <w:shd w:val="clear" w:color="auto" w:fill="FFFFFF"/>
            <w:vAlign w:val="center"/>
          </w:tcPr>
          <w:p w14:paraId="4909C1F1" w14:textId="05D656A2" w:rsidR="00E627EB" w:rsidRPr="00E627EB" w:rsidRDefault="00E627EB" w:rsidP="00E627EB">
            <w:pPr>
              <w:pStyle w:val="CETBodytext"/>
              <w:jc w:val="center"/>
              <w:rPr>
                <w:rFonts w:cs="Arial"/>
                <w:szCs w:val="18"/>
                <w:lang w:val="en-GB"/>
              </w:rPr>
            </w:pPr>
            <w:r w:rsidRPr="00E627EB">
              <w:rPr>
                <w:rFonts w:cs="Arial"/>
                <w:szCs w:val="18"/>
              </w:rPr>
              <w:t>0.045287</w:t>
            </w:r>
          </w:p>
        </w:tc>
        <w:tc>
          <w:tcPr>
            <w:tcW w:w="1714" w:type="dxa"/>
            <w:tcBorders>
              <w:top w:val="single" w:sz="12" w:space="0" w:color="008000"/>
              <w:bottom w:val="single" w:sz="12" w:space="0" w:color="008000"/>
            </w:tcBorders>
            <w:shd w:val="clear" w:color="auto" w:fill="FFFFFF"/>
            <w:vAlign w:val="center"/>
          </w:tcPr>
          <w:p w14:paraId="16622720" w14:textId="0AC63928" w:rsidR="00E627EB" w:rsidRPr="00E627EB" w:rsidRDefault="00E627EB" w:rsidP="00E627EB">
            <w:pPr>
              <w:pStyle w:val="CETBodytext"/>
              <w:ind w:right="-1"/>
              <w:jc w:val="center"/>
              <w:rPr>
                <w:rFonts w:cs="Arial"/>
                <w:szCs w:val="18"/>
                <w:lang w:val="en-GB"/>
              </w:rPr>
            </w:pPr>
            <w:r w:rsidRPr="00E627EB">
              <w:rPr>
                <w:rFonts w:cs="Arial"/>
                <w:szCs w:val="18"/>
              </w:rPr>
              <w:t>0.0235 – 0.2356</w:t>
            </w:r>
          </w:p>
        </w:tc>
        <w:tc>
          <w:tcPr>
            <w:tcW w:w="1714" w:type="dxa"/>
            <w:tcBorders>
              <w:top w:val="single" w:sz="12" w:space="0" w:color="008000"/>
              <w:bottom w:val="single" w:sz="12" w:space="0" w:color="008000"/>
            </w:tcBorders>
            <w:shd w:val="clear" w:color="auto" w:fill="FFFFFF"/>
            <w:vAlign w:val="center"/>
          </w:tcPr>
          <w:p w14:paraId="4E83B1AB" w14:textId="718B5EC3" w:rsidR="00E627EB" w:rsidRPr="00E627EB" w:rsidRDefault="00E627EB" w:rsidP="00E627EB">
            <w:pPr>
              <w:pStyle w:val="CETBodytext"/>
              <w:ind w:right="-1"/>
              <w:jc w:val="center"/>
              <w:rPr>
                <w:rFonts w:cs="Arial"/>
                <w:szCs w:val="18"/>
                <w:lang w:val="en-GB"/>
              </w:rPr>
            </w:pPr>
            <w:r w:rsidRPr="00E627EB">
              <w:rPr>
                <w:rFonts w:cs="Arial"/>
                <w:szCs w:val="18"/>
              </w:rPr>
              <w:t>1.09</w:t>
            </w:r>
          </w:p>
        </w:tc>
      </w:tr>
      <w:tr w:rsidR="00E627EB" w:rsidRPr="00E627EB" w14:paraId="18104776" w14:textId="77777777" w:rsidTr="00CC6725">
        <w:trPr>
          <w:trHeight w:val="283"/>
        </w:trPr>
        <w:tc>
          <w:tcPr>
            <w:tcW w:w="1712" w:type="dxa"/>
            <w:tcBorders>
              <w:top w:val="single" w:sz="12" w:space="0" w:color="008000"/>
              <w:bottom w:val="single" w:sz="6" w:space="0" w:color="008000"/>
            </w:tcBorders>
            <w:shd w:val="clear" w:color="auto" w:fill="FFFFFF"/>
            <w:vAlign w:val="center"/>
          </w:tcPr>
          <w:p w14:paraId="703B5F90" w14:textId="0ABF57A1" w:rsidR="00E627EB" w:rsidRPr="00E627EB" w:rsidRDefault="00E627EB" w:rsidP="00E627EB">
            <w:pPr>
              <w:pStyle w:val="CETBodytext"/>
              <w:jc w:val="center"/>
              <w:rPr>
                <w:rFonts w:cs="Arial"/>
                <w:szCs w:val="18"/>
                <w:lang w:val="en-GB"/>
              </w:rPr>
            </w:pPr>
            <w:r w:rsidRPr="00E627EB">
              <w:rPr>
                <w:rFonts w:cs="Arial"/>
                <w:szCs w:val="18"/>
              </w:rPr>
              <w:t>CO</w:t>
            </w:r>
            <w:r w:rsidRPr="00E627EB">
              <w:rPr>
                <w:rFonts w:cs="Arial"/>
                <w:szCs w:val="18"/>
                <w:vertAlign w:val="subscript"/>
              </w:rPr>
              <w:t>2</w:t>
            </w:r>
            <w:r w:rsidRPr="00E627EB">
              <w:rPr>
                <w:rFonts w:cs="Arial"/>
                <w:szCs w:val="18"/>
              </w:rPr>
              <w:t>-ChCl + G (1:2)</w:t>
            </w:r>
          </w:p>
        </w:tc>
        <w:tc>
          <w:tcPr>
            <w:tcW w:w="1714" w:type="dxa"/>
            <w:tcBorders>
              <w:top w:val="single" w:sz="12" w:space="0" w:color="008000"/>
              <w:bottom w:val="single" w:sz="6" w:space="0" w:color="008000"/>
            </w:tcBorders>
            <w:shd w:val="clear" w:color="auto" w:fill="FFFFFF"/>
            <w:vAlign w:val="center"/>
          </w:tcPr>
          <w:p w14:paraId="30CE109F" w14:textId="69916778" w:rsidR="00E627EB" w:rsidRPr="00E627EB" w:rsidRDefault="00E627EB" w:rsidP="00E627EB">
            <w:pPr>
              <w:pStyle w:val="CETBodytext"/>
              <w:jc w:val="center"/>
              <w:rPr>
                <w:rFonts w:cs="Arial"/>
                <w:szCs w:val="18"/>
                <w:lang w:val="en-GB"/>
              </w:rPr>
            </w:pPr>
            <w:r w:rsidRPr="00E627EB">
              <w:rPr>
                <w:rFonts w:cs="Arial"/>
                <w:szCs w:val="18"/>
              </w:rPr>
              <w:t>0.225056</w:t>
            </w:r>
          </w:p>
        </w:tc>
        <w:tc>
          <w:tcPr>
            <w:tcW w:w="1714" w:type="dxa"/>
            <w:tcBorders>
              <w:top w:val="single" w:sz="12" w:space="0" w:color="008000"/>
              <w:bottom w:val="single" w:sz="6" w:space="0" w:color="008000"/>
            </w:tcBorders>
            <w:shd w:val="clear" w:color="auto" w:fill="FFFFFF"/>
            <w:vAlign w:val="center"/>
          </w:tcPr>
          <w:p w14:paraId="6C608098" w14:textId="0A3B5857" w:rsidR="00E627EB" w:rsidRPr="00E627EB" w:rsidRDefault="00E627EB" w:rsidP="00E627EB">
            <w:pPr>
              <w:pStyle w:val="CETBodytext"/>
              <w:jc w:val="center"/>
              <w:rPr>
                <w:rFonts w:cs="Arial"/>
                <w:szCs w:val="18"/>
                <w:lang w:val="en-GB"/>
              </w:rPr>
            </w:pPr>
            <w:r w:rsidRPr="00E627EB">
              <w:rPr>
                <w:rFonts w:cs="Arial"/>
                <w:szCs w:val="18"/>
              </w:rPr>
              <w:t>0.023673</w:t>
            </w:r>
          </w:p>
        </w:tc>
        <w:tc>
          <w:tcPr>
            <w:tcW w:w="1714" w:type="dxa"/>
            <w:tcBorders>
              <w:top w:val="single" w:sz="12" w:space="0" w:color="008000"/>
              <w:bottom w:val="single" w:sz="6" w:space="0" w:color="008000"/>
            </w:tcBorders>
            <w:shd w:val="clear" w:color="auto" w:fill="FFFFFF"/>
            <w:vAlign w:val="center"/>
          </w:tcPr>
          <w:p w14:paraId="4D324972" w14:textId="21B8AABE" w:rsidR="00E627EB" w:rsidRPr="00E627EB" w:rsidRDefault="00E627EB" w:rsidP="00E627EB">
            <w:pPr>
              <w:pStyle w:val="CETBodytext"/>
              <w:ind w:right="-1"/>
              <w:jc w:val="center"/>
              <w:rPr>
                <w:rFonts w:cs="Arial"/>
                <w:szCs w:val="18"/>
                <w:lang w:val="en-GB"/>
              </w:rPr>
            </w:pPr>
            <w:r w:rsidRPr="00E627EB">
              <w:rPr>
                <w:rFonts w:cs="Arial"/>
                <w:szCs w:val="18"/>
              </w:rPr>
              <w:t>0.0154 – 0.2850</w:t>
            </w:r>
          </w:p>
        </w:tc>
        <w:tc>
          <w:tcPr>
            <w:tcW w:w="1714" w:type="dxa"/>
            <w:tcBorders>
              <w:top w:val="single" w:sz="12" w:space="0" w:color="008000"/>
              <w:bottom w:val="single" w:sz="6" w:space="0" w:color="008000"/>
            </w:tcBorders>
            <w:shd w:val="clear" w:color="auto" w:fill="FFFFFF"/>
            <w:vAlign w:val="center"/>
          </w:tcPr>
          <w:p w14:paraId="1D386891" w14:textId="447B0A26" w:rsidR="00E627EB" w:rsidRPr="00E627EB" w:rsidRDefault="00E627EB" w:rsidP="00E627EB">
            <w:pPr>
              <w:pStyle w:val="CETBodytext"/>
              <w:ind w:right="-1"/>
              <w:jc w:val="center"/>
              <w:rPr>
                <w:rFonts w:cs="Arial"/>
                <w:szCs w:val="18"/>
                <w:lang w:val="en-GB"/>
              </w:rPr>
            </w:pPr>
            <w:r w:rsidRPr="00E627EB">
              <w:rPr>
                <w:rFonts w:cs="Arial"/>
                <w:szCs w:val="18"/>
              </w:rPr>
              <w:t>0.87</w:t>
            </w:r>
          </w:p>
        </w:tc>
      </w:tr>
      <w:tr w:rsidR="00E627EB" w:rsidRPr="00E627EB" w14:paraId="406A60C6" w14:textId="77777777" w:rsidTr="00CC6725">
        <w:trPr>
          <w:trHeight w:val="283"/>
        </w:trPr>
        <w:tc>
          <w:tcPr>
            <w:tcW w:w="1712" w:type="dxa"/>
            <w:tcBorders>
              <w:top w:val="single" w:sz="12" w:space="0" w:color="008000"/>
              <w:bottom w:val="single" w:sz="12" w:space="0" w:color="008000"/>
            </w:tcBorders>
            <w:shd w:val="clear" w:color="auto" w:fill="FFFFFF"/>
            <w:vAlign w:val="center"/>
          </w:tcPr>
          <w:p w14:paraId="1CF8143F" w14:textId="3F412673" w:rsidR="00E627EB" w:rsidRPr="00E627EB" w:rsidRDefault="00E627EB" w:rsidP="00E627EB">
            <w:pPr>
              <w:pStyle w:val="CETBodytext"/>
              <w:ind w:right="-1"/>
              <w:jc w:val="center"/>
              <w:rPr>
                <w:rFonts w:cs="Arial"/>
                <w:szCs w:val="18"/>
                <w:lang w:val="en-GB"/>
              </w:rPr>
            </w:pPr>
            <w:r w:rsidRPr="00E627EB">
              <w:rPr>
                <w:rFonts w:cs="Arial"/>
                <w:szCs w:val="18"/>
              </w:rPr>
              <w:t>CO</w:t>
            </w:r>
            <w:r w:rsidRPr="00E627EB">
              <w:rPr>
                <w:rFonts w:cs="Arial"/>
                <w:szCs w:val="18"/>
                <w:vertAlign w:val="subscript"/>
              </w:rPr>
              <w:t>2</w:t>
            </w:r>
            <w:r w:rsidRPr="00E627EB">
              <w:rPr>
                <w:rFonts w:cs="Arial"/>
                <w:szCs w:val="18"/>
              </w:rPr>
              <w:t>-ChCl + EG (1:2)</w:t>
            </w:r>
          </w:p>
        </w:tc>
        <w:tc>
          <w:tcPr>
            <w:tcW w:w="1714" w:type="dxa"/>
            <w:tcBorders>
              <w:top w:val="single" w:sz="12" w:space="0" w:color="008000"/>
              <w:bottom w:val="single" w:sz="12" w:space="0" w:color="008000"/>
            </w:tcBorders>
            <w:shd w:val="clear" w:color="auto" w:fill="FFFFFF"/>
            <w:vAlign w:val="center"/>
          </w:tcPr>
          <w:p w14:paraId="742D8296" w14:textId="416CF107" w:rsidR="00E627EB" w:rsidRPr="00E627EB" w:rsidRDefault="00E627EB" w:rsidP="00E627EB">
            <w:pPr>
              <w:pStyle w:val="CETBodytext"/>
              <w:ind w:right="-1"/>
              <w:jc w:val="center"/>
              <w:rPr>
                <w:rFonts w:cs="Arial"/>
                <w:szCs w:val="18"/>
                <w:lang w:val="en-GB"/>
              </w:rPr>
            </w:pPr>
            <w:r w:rsidRPr="00E627EB">
              <w:rPr>
                <w:rFonts w:cs="Arial"/>
                <w:szCs w:val="18"/>
              </w:rPr>
              <w:t>0.170279</w:t>
            </w:r>
          </w:p>
        </w:tc>
        <w:tc>
          <w:tcPr>
            <w:tcW w:w="1714" w:type="dxa"/>
            <w:tcBorders>
              <w:top w:val="single" w:sz="12" w:space="0" w:color="008000"/>
              <w:bottom w:val="single" w:sz="12" w:space="0" w:color="008000"/>
            </w:tcBorders>
            <w:shd w:val="clear" w:color="auto" w:fill="FFFFFF"/>
            <w:vAlign w:val="center"/>
          </w:tcPr>
          <w:p w14:paraId="10F79C32" w14:textId="0B677EED" w:rsidR="00E627EB" w:rsidRPr="00E627EB" w:rsidRDefault="00E627EB" w:rsidP="00E627EB">
            <w:pPr>
              <w:pStyle w:val="CETBodytext"/>
              <w:ind w:right="-1"/>
              <w:jc w:val="center"/>
              <w:rPr>
                <w:rFonts w:cs="Arial"/>
                <w:szCs w:val="18"/>
                <w:lang w:val="en-GB"/>
              </w:rPr>
            </w:pPr>
            <w:r w:rsidRPr="00E627EB">
              <w:rPr>
                <w:rFonts w:cs="Arial"/>
                <w:szCs w:val="18"/>
              </w:rPr>
              <w:t>-0.029320</w:t>
            </w:r>
          </w:p>
        </w:tc>
        <w:tc>
          <w:tcPr>
            <w:tcW w:w="1714" w:type="dxa"/>
            <w:tcBorders>
              <w:top w:val="single" w:sz="12" w:space="0" w:color="008000"/>
              <w:bottom w:val="single" w:sz="12" w:space="0" w:color="008000"/>
            </w:tcBorders>
            <w:shd w:val="clear" w:color="auto" w:fill="FFFFFF"/>
            <w:vAlign w:val="center"/>
          </w:tcPr>
          <w:p w14:paraId="062FECA1" w14:textId="1C7CF45C" w:rsidR="00E627EB" w:rsidRPr="00E627EB" w:rsidRDefault="00E627EB" w:rsidP="00E627EB">
            <w:pPr>
              <w:pStyle w:val="CETBodytext"/>
              <w:ind w:right="-1"/>
              <w:jc w:val="center"/>
              <w:rPr>
                <w:rFonts w:cs="Arial"/>
                <w:szCs w:val="18"/>
                <w:lang w:val="en-GB"/>
              </w:rPr>
            </w:pPr>
            <w:r w:rsidRPr="00E627EB">
              <w:rPr>
                <w:rFonts w:cs="Arial"/>
                <w:szCs w:val="18"/>
              </w:rPr>
              <w:t>0.0093 – 0.2156</w:t>
            </w:r>
          </w:p>
        </w:tc>
        <w:tc>
          <w:tcPr>
            <w:tcW w:w="1714" w:type="dxa"/>
            <w:tcBorders>
              <w:top w:val="single" w:sz="12" w:space="0" w:color="008000"/>
              <w:bottom w:val="single" w:sz="12" w:space="0" w:color="008000"/>
            </w:tcBorders>
            <w:shd w:val="clear" w:color="auto" w:fill="FFFFFF"/>
            <w:vAlign w:val="center"/>
          </w:tcPr>
          <w:p w14:paraId="77959462" w14:textId="00B731FC" w:rsidR="00E627EB" w:rsidRPr="00E627EB" w:rsidRDefault="00E627EB" w:rsidP="00E627EB">
            <w:pPr>
              <w:pStyle w:val="CETBodytext"/>
              <w:ind w:right="-1"/>
              <w:jc w:val="center"/>
              <w:rPr>
                <w:rFonts w:cs="Arial"/>
                <w:szCs w:val="18"/>
                <w:lang w:val="en-GB"/>
              </w:rPr>
            </w:pPr>
            <w:r w:rsidRPr="00E627EB">
              <w:rPr>
                <w:rFonts w:cs="Arial"/>
                <w:szCs w:val="18"/>
              </w:rPr>
              <w:t>0.98</w:t>
            </w:r>
          </w:p>
        </w:tc>
      </w:tr>
    </w:tbl>
    <w:p w14:paraId="20029F72" w14:textId="77777777" w:rsidR="00E17D64" w:rsidRDefault="00E17D64" w:rsidP="006F17ED">
      <w:pPr>
        <w:pStyle w:val="CETBodytext"/>
        <w:rPr>
          <w:rStyle w:val="CETCaptionCarattere"/>
        </w:rPr>
      </w:pPr>
    </w:p>
    <w:p w14:paraId="72F86790" w14:textId="5C32B2CF" w:rsidR="006F17ED" w:rsidRDefault="002773B4" w:rsidP="006F17ED">
      <w:pPr>
        <w:pStyle w:val="CETBodytext"/>
        <w:rPr>
          <w:lang w:val="en-GB"/>
        </w:rPr>
      </w:pPr>
      <w:r>
        <w:rPr>
          <w:noProof/>
          <w:lang w:val="en-GB"/>
        </w:rPr>
        <w:drawing>
          <wp:inline distT="0" distB="0" distL="0" distR="0" wp14:anchorId="25754335" wp14:editId="092BE476">
            <wp:extent cx="3450666"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stretch>
                      <a:fillRect/>
                    </a:stretch>
                  </pic:blipFill>
                  <pic:spPr>
                    <a:xfrm>
                      <a:off x="0" y="0"/>
                      <a:ext cx="3450666" cy="1980000"/>
                    </a:xfrm>
                    <a:prstGeom prst="rect">
                      <a:avLst/>
                    </a:prstGeom>
                  </pic:spPr>
                </pic:pic>
              </a:graphicData>
            </a:graphic>
          </wp:inline>
        </w:drawing>
      </w:r>
      <w:r>
        <w:rPr>
          <w:rStyle w:val="CETCaptionCarattere"/>
        </w:rPr>
        <w:br/>
      </w:r>
      <w:r w:rsidRPr="00E40656">
        <w:rPr>
          <w:rStyle w:val="CETCaptionCarattere"/>
        </w:rPr>
        <w:t>Figure 2: Correlation of CH</w:t>
      </w:r>
      <w:r w:rsidRPr="00E40656">
        <w:rPr>
          <w:rStyle w:val="CETCaptionCarattere"/>
          <w:vertAlign w:val="subscript"/>
        </w:rPr>
        <w:t>4</w:t>
      </w:r>
      <w:r w:rsidRPr="00E40656">
        <w:rPr>
          <w:rStyle w:val="CETCaptionCarattere"/>
        </w:rPr>
        <w:t xml:space="preserve"> </w:t>
      </w:r>
      <w:r w:rsidR="00E40656" w:rsidRPr="00E40656">
        <w:rPr>
          <w:rStyle w:val="CETCaptionCarattere"/>
        </w:rPr>
        <w:t>solubilities in ChCl + U (1:2)</w:t>
      </w:r>
      <w:r w:rsidRPr="00E40656">
        <w:rPr>
          <w:rStyle w:val="CETCaptionCarattere"/>
        </w:rPr>
        <w:t xml:space="preserve"> using the PR equation</w:t>
      </w:r>
    </w:p>
    <w:p w14:paraId="590C16BC" w14:textId="3318D7DE" w:rsidR="00E17D64" w:rsidRDefault="00E17D64" w:rsidP="00E17D64">
      <w:pPr>
        <w:pStyle w:val="CETTabletitle"/>
      </w:pPr>
      <w:r>
        <w:t>Table 3: Regressed parameters of the NH</w:t>
      </w:r>
      <w:r w:rsidRPr="00E17D64">
        <w:rPr>
          <w:vertAlign w:val="subscript"/>
        </w:rPr>
        <w:t>4</w:t>
      </w:r>
      <w:r>
        <w:t>-ChCl + U (1:2) system for the PR CEo</w:t>
      </w:r>
      <w:r w:rsidR="00204030">
        <w:t>S</w:t>
      </w:r>
      <w:r>
        <w:t xml:space="preserve"> and resulting deviations</w:t>
      </w:r>
    </w:p>
    <w:tbl>
      <w:tblPr>
        <w:tblW w:w="8568" w:type="dxa"/>
        <w:tblBorders>
          <w:top w:val="single" w:sz="12" w:space="0" w:color="008000"/>
          <w:bottom w:val="single" w:sz="6" w:space="0" w:color="008000"/>
          <w:insideH w:val="single" w:sz="6" w:space="0" w:color="008000"/>
        </w:tblBorders>
        <w:tblCellMar>
          <w:left w:w="0" w:type="dxa"/>
          <w:right w:w="0" w:type="dxa"/>
        </w:tblCellMar>
        <w:tblLook w:val="00A0" w:firstRow="1" w:lastRow="0" w:firstColumn="1" w:lastColumn="0" w:noHBand="0" w:noVBand="0"/>
      </w:tblPr>
      <w:tblGrid>
        <w:gridCol w:w="1712"/>
        <w:gridCol w:w="1714"/>
        <w:gridCol w:w="1714"/>
        <w:gridCol w:w="1714"/>
        <w:gridCol w:w="1714"/>
      </w:tblGrid>
      <w:tr w:rsidR="00E17D64" w:rsidRPr="00E627EB" w14:paraId="50E1E331" w14:textId="77777777" w:rsidTr="006A6240">
        <w:trPr>
          <w:trHeight w:val="252"/>
        </w:trPr>
        <w:tc>
          <w:tcPr>
            <w:tcW w:w="1712" w:type="dxa"/>
            <w:tcBorders>
              <w:top w:val="single" w:sz="12" w:space="0" w:color="008000"/>
              <w:bottom w:val="single" w:sz="12" w:space="0" w:color="008000"/>
            </w:tcBorders>
            <w:shd w:val="clear" w:color="auto" w:fill="FFFFFF"/>
            <w:vAlign w:val="center"/>
          </w:tcPr>
          <w:p w14:paraId="3FD1051C" w14:textId="04C7D73A" w:rsidR="00E17D64" w:rsidRPr="00E627EB" w:rsidRDefault="00E17D64" w:rsidP="00E125AA">
            <w:pPr>
              <w:pStyle w:val="CETBodytext"/>
              <w:jc w:val="center"/>
              <w:rPr>
                <w:rFonts w:cs="Arial"/>
                <w:szCs w:val="18"/>
                <w:lang w:val="en-GB"/>
              </w:rPr>
            </w:pPr>
            <w:r w:rsidRPr="00E627EB">
              <w:rPr>
                <w:rFonts w:cs="Arial"/>
                <w:szCs w:val="18"/>
              </w:rPr>
              <w:t>C</w:t>
            </w:r>
            <w:r w:rsidR="004D5B50">
              <w:rPr>
                <w:rFonts w:cs="Arial"/>
                <w:szCs w:val="18"/>
              </w:rPr>
              <w:t>H</w:t>
            </w:r>
            <w:r w:rsidR="004D5B50" w:rsidRPr="004D5B50">
              <w:rPr>
                <w:rFonts w:cs="Arial"/>
                <w:szCs w:val="18"/>
                <w:vertAlign w:val="subscript"/>
              </w:rPr>
              <w:t>4</w:t>
            </w:r>
            <w:r w:rsidRPr="00E627EB">
              <w:rPr>
                <w:rFonts w:cs="Arial"/>
                <w:szCs w:val="18"/>
              </w:rPr>
              <w:t>-DES</w:t>
            </w:r>
          </w:p>
        </w:tc>
        <w:tc>
          <w:tcPr>
            <w:tcW w:w="1714" w:type="dxa"/>
            <w:tcBorders>
              <w:top w:val="single" w:sz="12" w:space="0" w:color="008000"/>
              <w:bottom w:val="single" w:sz="12" w:space="0" w:color="008000"/>
            </w:tcBorders>
            <w:shd w:val="clear" w:color="auto" w:fill="FFFFFF"/>
            <w:vAlign w:val="center"/>
          </w:tcPr>
          <w:p w14:paraId="50BDE2B4" w14:textId="3D5E6E98" w:rsidR="00E17D64" w:rsidRPr="00E627EB" w:rsidRDefault="004D5B50" w:rsidP="00E125AA">
            <w:pPr>
              <w:pStyle w:val="CETBodytext"/>
              <w:jc w:val="center"/>
              <w:rPr>
                <w:rFonts w:cs="Arial"/>
                <w:szCs w:val="18"/>
                <w:lang w:val="en-GB"/>
              </w:rPr>
            </w:pPr>
            <w:r>
              <w:rPr>
                <w:rFonts w:cs="Arial"/>
                <w:szCs w:val="18"/>
                <w:lang w:val="en-GB"/>
              </w:rPr>
              <w:t>T (K)</w:t>
            </w:r>
          </w:p>
        </w:tc>
        <w:tc>
          <w:tcPr>
            <w:tcW w:w="1714" w:type="dxa"/>
            <w:tcBorders>
              <w:top w:val="single" w:sz="12" w:space="0" w:color="008000"/>
              <w:bottom w:val="single" w:sz="12" w:space="0" w:color="008000"/>
            </w:tcBorders>
            <w:shd w:val="clear" w:color="auto" w:fill="FFFFFF"/>
            <w:vAlign w:val="center"/>
          </w:tcPr>
          <w:p w14:paraId="1FAF03EF" w14:textId="71665CD1" w:rsidR="00E17D64" w:rsidRPr="00E627EB" w:rsidRDefault="00A6687A" w:rsidP="00E125AA">
            <w:pPr>
              <w:pStyle w:val="CETBodytext"/>
              <w:jc w:val="center"/>
              <w:rPr>
                <w:rFonts w:cs="Arial"/>
                <w:szCs w:val="18"/>
                <w:lang w:val="en-GB"/>
              </w:rPr>
            </w:pPr>
            <m:oMathPara>
              <m:oMath>
                <m:r>
                  <w:rPr>
                    <w:rFonts w:ascii="Cambria Math" w:hAnsi="Cambria Math" w:cs="CMU Serif"/>
                  </w:rPr>
                  <m:t>α</m:t>
                </m:r>
              </m:oMath>
            </m:oMathPara>
          </w:p>
        </w:tc>
        <w:tc>
          <w:tcPr>
            <w:tcW w:w="1714" w:type="dxa"/>
            <w:tcBorders>
              <w:top w:val="single" w:sz="12" w:space="0" w:color="008000"/>
              <w:bottom w:val="single" w:sz="12" w:space="0" w:color="008000"/>
            </w:tcBorders>
            <w:shd w:val="clear" w:color="auto" w:fill="FFFFFF"/>
            <w:vAlign w:val="center"/>
          </w:tcPr>
          <w:p w14:paraId="1836BAEC" w14:textId="6D4A6EB9" w:rsidR="00E17D64" w:rsidRPr="00E627EB" w:rsidRDefault="00000000" w:rsidP="00E125AA">
            <w:pPr>
              <w:pStyle w:val="CETBodytext"/>
              <w:ind w:right="-1"/>
              <w:jc w:val="center"/>
              <w:rPr>
                <w:rFonts w:cs="Arial"/>
                <w:szCs w:val="18"/>
                <w:lang w:val="en-GB"/>
              </w:rPr>
            </w:pPr>
            <m:oMathPara>
              <m:oMath>
                <m:sSub>
                  <m:sSubPr>
                    <m:ctrlPr>
                      <w:rPr>
                        <w:rFonts w:ascii="Cambria Math" w:hAnsi="Cambria Math" w:cs="Arial"/>
                        <w:i/>
                        <w:iCs/>
                        <w:szCs w:val="18"/>
                      </w:rPr>
                    </m:ctrlPr>
                  </m:sSubPr>
                  <m:e>
                    <m:r>
                      <w:rPr>
                        <w:rFonts w:ascii="Cambria Math" w:hAnsi="Cambria Math" w:cs="Arial"/>
                        <w:szCs w:val="18"/>
                      </w:rPr>
                      <m:t>k</m:t>
                    </m:r>
                  </m:e>
                  <m:sub>
                    <m:r>
                      <w:rPr>
                        <w:rFonts w:ascii="Cambria Math" w:hAnsi="Cambria Math" w:cs="Arial"/>
                        <w:szCs w:val="18"/>
                      </w:rPr>
                      <m:t>ij</m:t>
                    </m:r>
                  </m:sub>
                </m:sSub>
              </m:oMath>
            </m:oMathPara>
          </w:p>
        </w:tc>
        <w:tc>
          <w:tcPr>
            <w:tcW w:w="1714" w:type="dxa"/>
            <w:tcBorders>
              <w:top w:val="single" w:sz="12" w:space="0" w:color="008000"/>
              <w:bottom w:val="single" w:sz="12" w:space="0" w:color="008000"/>
            </w:tcBorders>
            <w:shd w:val="clear" w:color="auto" w:fill="FFFFFF"/>
            <w:vAlign w:val="center"/>
          </w:tcPr>
          <w:p w14:paraId="06ADB413" w14:textId="77777777" w:rsidR="00E17D64" w:rsidRPr="00E627EB" w:rsidRDefault="00E17D64" w:rsidP="00E125AA">
            <w:pPr>
              <w:pStyle w:val="CETBodytext"/>
              <w:ind w:right="-1"/>
              <w:jc w:val="center"/>
              <w:rPr>
                <w:rFonts w:cs="Arial"/>
                <w:szCs w:val="18"/>
                <w:lang w:val="en-GB"/>
              </w:rPr>
            </w:pPr>
            <w:r w:rsidRPr="00E627EB">
              <w:rPr>
                <w:rFonts w:cs="Arial"/>
                <w:szCs w:val="18"/>
              </w:rPr>
              <w:t>AAD (%)</w:t>
            </w:r>
          </w:p>
        </w:tc>
      </w:tr>
      <w:tr w:rsidR="006A6240" w:rsidRPr="00E627EB" w14:paraId="35533689" w14:textId="77777777" w:rsidTr="007F09AF">
        <w:trPr>
          <w:trHeight w:val="283"/>
        </w:trPr>
        <w:tc>
          <w:tcPr>
            <w:tcW w:w="1712" w:type="dxa"/>
            <w:vMerge w:val="restart"/>
            <w:tcBorders>
              <w:top w:val="single" w:sz="12" w:space="0" w:color="008000"/>
            </w:tcBorders>
            <w:shd w:val="clear" w:color="auto" w:fill="FFFFFF"/>
            <w:vAlign w:val="center"/>
          </w:tcPr>
          <w:p w14:paraId="04D5A1AD" w14:textId="250192DD" w:rsidR="006A6240" w:rsidRPr="00A6687A" w:rsidRDefault="006A6240" w:rsidP="00A6687A">
            <w:pPr>
              <w:pStyle w:val="CETBodytext"/>
              <w:ind w:right="-1"/>
              <w:jc w:val="center"/>
              <w:rPr>
                <w:rFonts w:cs="Arial"/>
                <w:szCs w:val="18"/>
                <w:lang w:val="en-GB"/>
              </w:rPr>
            </w:pPr>
            <w:r>
              <w:rPr>
                <w:rFonts w:cs="Arial"/>
                <w:szCs w:val="18"/>
              </w:rPr>
              <w:t>CH4-ChCl + U (1:2)</w:t>
            </w:r>
          </w:p>
        </w:tc>
        <w:tc>
          <w:tcPr>
            <w:tcW w:w="1714" w:type="dxa"/>
            <w:vMerge w:val="restart"/>
            <w:tcBorders>
              <w:top w:val="single" w:sz="12" w:space="0" w:color="008000"/>
            </w:tcBorders>
            <w:shd w:val="clear" w:color="auto" w:fill="FFFFFF"/>
            <w:vAlign w:val="center"/>
          </w:tcPr>
          <w:p w14:paraId="12A81948" w14:textId="44575D12" w:rsidR="006A6240" w:rsidRPr="00A6687A" w:rsidRDefault="006A6240" w:rsidP="00A6687A">
            <w:pPr>
              <w:pStyle w:val="CETBodytext"/>
              <w:jc w:val="center"/>
              <w:rPr>
                <w:rFonts w:cs="Arial"/>
                <w:szCs w:val="18"/>
                <w:lang w:val="en-GB"/>
              </w:rPr>
            </w:pPr>
            <w:r>
              <w:rPr>
                <w:rFonts w:cs="Arial"/>
                <w:szCs w:val="18"/>
                <w:lang w:val="en-GB"/>
              </w:rPr>
              <w:t>313.2</w:t>
            </w:r>
          </w:p>
        </w:tc>
        <w:tc>
          <w:tcPr>
            <w:tcW w:w="1714" w:type="dxa"/>
            <w:tcBorders>
              <w:top w:val="single" w:sz="12" w:space="0" w:color="008000"/>
              <w:bottom w:val="nil"/>
            </w:tcBorders>
            <w:shd w:val="clear" w:color="auto" w:fill="FFFFFF"/>
            <w:vAlign w:val="center"/>
          </w:tcPr>
          <w:p w14:paraId="55DE91CF" w14:textId="4C51EE61" w:rsidR="006A6240" w:rsidRPr="00A6687A" w:rsidRDefault="006A6240" w:rsidP="00A6687A">
            <w:pPr>
              <w:pStyle w:val="CETBodytext"/>
              <w:jc w:val="center"/>
              <w:rPr>
                <w:rFonts w:cs="Arial"/>
                <w:szCs w:val="18"/>
                <w:lang w:val="en-GB"/>
              </w:rPr>
            </w:pPr>
            <w:r w:rsidRPr="00A6687A">
              <w:rPr>
                <w:rFonts w:cs="Arial"/>
                <w:szCs w:val="18"/>
              </w:rPr>
              <w:t>Soave</w:t>
            </w:r>
          </w:p>
        </w:tc>
        <w:tc>
          <w:tcPr>
            <w:tcW w:w="1714" w:type="dxa"/>
            <w:tcBorders>
              <w:top w:val="single" w:sz="12" w:space="0" w:color="008000"/>
              <w:bottom w:val="nil"/>
            </w:tcBorders>
            <w:shd w:val="clear" w:color="auto" w:fill="FFFFFF"/>
            <w:vAlign w:val="center"/>
          </w:tcPr>
          <w:p w14:paraId="568C83F2" w14:textId="7E32DD6B" w:rsidR="006A6240" w:rsidRPr="00A6687A" w:rsidRDefault="006A6240" w:rsidP="00A6687A">
            <w:pPr>
              <w:pStyle w:val="CETBodytext"/>
              <w:ind w:right="-1"/>
              <w:jc w:val="center"/>
              <w:rPr>
                <w:rFonts w:cs="Arial"/>
                <w:szCs w:val="18"/>
                <w:lang w:val="en-GB"/>
              </w:rPr>
            </w:pPr>
            <w:r w:rsidRPr="00A6687A">
              <w:rPr>
                <w:rFonts w:cs="Arial"/>
                <w:szCs w:val="18"/>
              </w:rPr>
              <w:t>0.161695</w:t>
            </w:r>
          </w:p>
        </w:tc>
        <w:tc>
          <w:tcPr>
            <w:tcW w:w="1714" w:type="dxa"/>
            <w:tcBorders>
              <w:top w:val="single" w:sz="12" w:space="0" w:color="008000"/>
              <w:bottom w:val="nil"/>
            </w:tcBorders>
            <w:shd w:val="clear" w:color="auto" w:fill="FFFFFF"/>
            <w:vAlign w:val="center"/>
          </w:tcPr>
          <w:p w14:paraId="67AEBB45" w14:textId="00655E71" w:rsidR="006A6240" w:rsidRPr="00A6687A" w:rsidRDefault="006A6240" w:rsidP="00A6687A">
            <w:pPr>
              <w:pStyle w:val="CETBodytext"/>
              <w:ind w:right="-1"/>
              <w:jc w:val="center"/>
              <w:rPr>
                <w:rFonts w:cs="Arial"/>
                <w:szCs w:val="18"/>
                <w:lang w:val="en-GB"/>
              </w:rPr>
            </w:pPr>
            <w:r w:rsidRPr="00A6687A">
              <w:rPr>
                <w:rFonts w:cs="Arial"/>
                <w:szCs w:val="18"/>
              </w:rPr>
              <w:t>0.86</w:t>
            </w:r>
          </w:p>
        </w:tc>
      </w:tr>
      <w:tr w:rsidR="006A6240" w:rsidRPr="00E627EB" w14:paraId="6D6D2854" w14:textId="77777777" w:rsidTr="007F09AF">
        <w:trPr>
          <w:trHeight w:val="283"/>
        </w:trPr>
        <w:tc>
          <w:tcPr>
            <w:tcW w:w="1712" w:type="dxa"/>
            <w:vMerge/>
            <w:shd w:val="clear" w:color="auto" w:fill="FFFFFF"/>
            <w:vAlign w:val="center"/>
          </w:tcPr>
          <w:p w14:paraId="545FF1E5" w14:textId="59F19C2F" w:rsidR="006A6240" w:rsidRPr="00A6687A" w:rsidRDefault="006A6240" w:rsidP="00A6687A">
            <w:pPr>
              <w:pStyle w:val="CETBodytext"/>
              <w:ind w:right="-1"/>
              <w:jc w:val="center"/>
              <w:rPr>
                <w:rFonts w:cs="Arial"/>
                <w:szCs w:val="18"/>
                <w:lang w:val="en-GB"/>
              </w:rPr>
            </w:pPr>
          </w:p>
        </w:tc>
        <w:tc>
          <w:tcPr>
            <w:tcW w:w="1714" w:type="dxa"/>
            <w:vMerge/>
            <w:shd w:val="clear" w:color="auto" w:fill="FFFFFF"/>
            <w:vAlign w:val="center"/>
          </w:tcPr>
          <w:p w14:paraId="7FCFCD02" w14:textId="73F97701" w:rsidR="006A6240" w:rsidRPr="00A6687A" w:rsidRDefault="006A6240" w:rsidP="00A6687A">
            <w:pPr>
              <w:pStyle w:val="CETBodytext"/>
              <w:jc w:val="center"/>
              <w:rPr>
                <w:rFonts w:cs="Arial"/>
                <w:szCs w:val="18"/>
                <w:lang w:val="en-GB"/>
              </w:rPr>
            </w:pPr>
          </w:p>
        </w:tc>
        <w:tc>
          <w:tcPr>
            <w:tcW w:w="1714" w:type="dxa"/>
            <w:tcBorders>
              <w:top w:val="nil"/>
              <w:bottom w:val="nil"/>
            </w:tcBorders>
            <w:shd w:val="clear" w:color="auto" w:fill="FFFFFF"/>
            <w:vAlign w:val="center"/>
          </w:tcPr>
          <w:p w14:paraId="61F8B85D" w14:textId="4BE4BF3C" w:rsidR="006A6240" w:rsidRPr="00A6687A" w:rsidRDefault="006A6240" w:rsidP="00A6687A">
            <w:pPr>
              <w:pStyle w:val="CETBodytext"/>
              <w:jc w:val="center"/>
              <w:rPr>
                <w:rFonts w:cs="Arial"/>
                <w:szCs w:val="18"/>
                <w:lang w:val="en-GB"/>
              </w:rPr>
            </w:pPr>
            <w:r w:rsidRPr="00A6687A">
              <w:rPr>
                <w:rFonts w:cs="Arial"/>
                <w:szCs w:val="18"/>
              </w:rPr>
              <w:t>Yokozeki</w:t>
            </w:r>
          </w:p>
        </w:tc>
        <w:tc>
          <w:tcPr>
            <w:tcW w:w="1714" w:type="dxa"/>
            <w:tcBorders>
              <w:top w:val="nil"/>
              <w:bottom w:val="nil"/>
            </w:tcBorders>
            <w:shd w:val="clear" w:color="auto" w:fill="FFFFFF"/>
            <w:vAlign w:val="center"/>
          </w:tcPr>
          <w:p w14:paraId="1DC5C4B1" w14:textId="218944C1" w:rsidR="006A6240" w:rsidRPr="00A6687A" w:rsidRDefault="006A6240" w:rsidP="00A6687A">
            <w:pPr>
              <w:pStyle w:val="CETBodytext"/>
              <w:ind w:right="-1"/>
              <w:jc w:val="center"/>
              <w:rPr>
                <w:rFonts w:cs="Arial"/>
                <w:szCs w:val="18"/>
                <w:lang w:val="en-GB"/>
              </w:rPr>
            </w:pPr>
            <w:r w:rsidRPr="00A6687A">
              <w:rPr>
                <w:rFonts w:cs="Arial"/>
                <w:szCs w:val="18"/>
              </w:rPr>
              <w:t>0.136861</w:t>
            </w:r>
          </w:p>
        </w:tc>
        <w:tc>
          <w:tcPr>
            <w:tcW w:w="1714" w:type="dxa"/>
            <w:tcBorders>
              <w:top w:val="nil"/>
              <w:bottom w:val="nil"/>
            </w:tcBorders>
            <w:shd w:val="clear" w:color="auto" w:fill="FFFFFF"/>
            <w:vAlign w:val="center"/>
          </w:tcPr>
          <w:p w14:paraId="47178C46" w14:textId="2A1F6DD1" w:rsidR="006A6240" w:rsidRPr="00A6687A" w:rsidRDefault="006A6240" w:rsidP="00A6687A">
            <w:pPr>
              <w:pStyle w:val="CETBodytext"/>
              <w:ind w:right="-1"/>
              <w:jc w:val="center"/>
              <w:rPr>
                <w:rFonts w:cs="Arial"/>
                <w:szCs w:val="18"/>
                <w:lang w:val="en-GB"/>
              </w:rPr>
            </w:pPr>
            <w:r w:rsidRPr="00A6687A">
              <w:rPr>
                <w:rFonts w:cs="Arial"/>
                <w:szCs w:val="18"/>
              </w:rPr>
              <w:t>0.97</w:t>
            </w:r>
          </w:p>
        </w:tc>
      </w:tr>
      <w:tr w:rsidR="006A6240" w:rsidRPr="00E627EB" w14:paraId="02288370" w14:textId="77777777" w:rsidTr="007F09AF">
        <w:trPr>
          <w:trHeight w:val="283"/>
        </w:trPr>
        <w:tc>
          <w:tcPr>
            <w:tcW w:w="1712" w:type="dxa"/>
            <w:vMerge/>
            <w:shd w:val="clear" w:color="auto" w:fill="FFFFFF"/>
            <w:vAlign w:val="center"/>
          </w:tcPr>
          <w:p w14:paraId="0FB102A0" w14:textId="6C2A8B2A" w:rsidR="006A6240" w:rsidRPr="00A6687A" w:rsidRDefault="006A6240" w:rsidP="00A6687A">
            <w:pPr>
              <w:pStyle w:val="CETBodytext"/>
              <w:ind w:right="-1"/>
              <w:jc w:val="center"/>
              <w:rPr>
                <w:rFonts w:cs="Arial"/>
                <w:szCs w:val="18"/>
                <w:lang w:val="en-GB"/>
              </w:rPr>
            </w:pPr>
          </w:p>
        </w:tc>
        <w:tc>
          <w:tcPr>
            <w:tcW w:w="1714" w:type="dxa"/>
            <w:vMerge/>
            <w:tcBorders>
              <w:bottom w:val="nil"/>
            </w:tcBorders>
            <w:shd w:val="clear" w:color="auto" w:fill="FFFFFF"/>
            <w:vAlign w:val="center"/>
          </w:tcPr>
          <w:p w14:paraId="14BE5B04" w14:textId="0EDABB4D" w:rsidR="006A6240" w:rsidRPr="00A6687A" w:rsidRDefault="006A6240" w:rsidP="00A6687A">
            <w:pPr>
              <w:pStyle w:val="CETBodytext"/>
              <w:ind w:right="-1"/>
              <w:jc w:val="center"/>
              <w:rPr>
                <w:rFonts w:cs="Arial"/>
                <w:szCs w:val="18"/>
                <w:lang w:val="en-GB"/>
              </w:rPr>
            </w:pPr>
          </w:p>
        </w:tc>
        <w:tc>
          <w:tcPr>
            <w:tcW w:w="1714" w:type="dxa"/>
            <w:tcBorders>
              <w:top w:val="nil"/>
              <w:bottom w:val="nil"/>
            </w:tcBorders>
            <w:shd w:val="clear" w:color="auto" w:fill="FFFFFF"/>
            <w:vAlign w:val="center"/>
          </w:tcPr>
          <w:p w14:paraId="65B66658" w14:textId="4814D277" w:rsidR="006A6240" w:rsidRPr="00A6687A" w:rsidRDefault="006A6240" w:rsidP="00A6687A">
            <w:pPr>
              <w:pStyle w:val="CETBodytext"/>
              <w:ind w:right="-1"/>
              <w:jc w:val="center"/>
              <w:rPr>
                <w:rFonts w:cs="Arial"/>
                <w:szCs w:val="18"/>
                <w:lang w:val="en-GB"/>
              </w:rPr>
            </w:pPr>
            <w:r>
              <w:rPr>
                <w:rFonts w:cs="Arial"/>
                <w:szCs w:val="18"/>
              </w:rPr>
              <w:t xml:space="preserve">F. </w:t>
            </w:r>
            <w:r w:rsidRPr="00A6687A">
              <w:rPr>
                <w:rFonts w:cs="Arial"/>
                <w:szCs w:val="18"/>
              </w:rPr>
              <w:t>Soave</w:t>
            </w:r>
          </w:p>
        </w:tc>
        <w:tc>
          <w:tcPr>
            <w:tcW w:w="1714" w:type="dxa"/>
            <w:tcBorders>
              <w:top w:val="nil"/>
              <w:bottom w:val="nil"/>
            </w:tcBorders>
            <w:shd w:val="clear" w:color="auto" w:fill="FFFFFF"/>
            <w:vAlign w:val="center"/>
          </w:tcPr>
          <w:p w14:paraId="21811929" w14:textId="1E116F2B" w:rsidR="006A6240" w:rsidRPr="00A6687A" w:rsidRDefault="006A6240" w:rsidP="00A6687A">
            <w:pPr>
              <w:pStyle w:val="CETBodytext"/>
              <w:ind w:right="-1"/>
              <w:jc w:val="center"/>
              <w:rPr>
                <w:rFonts w:cs="Arial"/>
                <w:szCs w:val="18"/>
                <w:lang w:val="en-GB"/>
              </w:rPr>
            </w:pPr>
            <w:r w:rsidRPr="00A6687A">
              <w:rPr>
                <w:rFonts w:cs="Arial"/>
                <w:szCs w:val="18"/>
              </w:rPr>
              <w:t>0.083536</w:t>
            </w:r>
          </w:p>
        </w:tc>
        <w:tc>
          <w:tcPr>
            <w:tcW w:w="1714" w:type="dxa"/>
            <w:tcBorders>
              <w:top w:val="nil"/>
              <w:bottom w:val="nil"/>
            </w:tcBorders>
            <w:shd w:val="clear" w:color="auto" w:fill="FFFFFF"/>
            <w:vAlign w:val="center"/>
          </w:tcPr>
          <w:p w14:paraId="70AEEF8A" w14:textId="1DE27C85" w:rsidR="006A6240" w:rsidRPr="00A6687A" w:rsidRDefault="006A6240" w:rsidP="00A6687A">
            <w:pPr>
              <w:pStyle w:val="CETBodytext"/>
              <w:ind w:right="-1"/>
              <w:jc w:val="center"/>
              <w:rPr>
                <w:rFonts w:cs="Arial"/>
                <w:szCs w:val="18"/>
                <w:lang w:val="en-GB"/>
              </w:rPr>
            </w:pPr>
            <w:r w:rsidRPr="00A6687A">
              <w:rPr>
                <w:rFonts w:cs="Arial"/>
                <w:szCs w:val="18"/>
              </w:rPr>
              <w:t>0.97</w:t>
            </w:r>
          </w:p>
        </w:tc>
      </w:tr>
      <w:tr w:rsidR="006A6240" w:rsidRPr="00E627EB" w14:paraId="7C9118C1" w14:textId="77777777" w:rsidTr="00257E1D">
        <w:trPr>
          <w:trHeight w:val="283"/>
        </w:trPr>
        <w:tc>
          <w:tcPr>
            <w:tcW w:w="1712" w:type="dxa"/>
            <w:vMerge/>
            <w:shd w:val="clear" w:color="auto" w:fill="FFFFFF"/>
            <w:vAlign w:val="center"/>
          </w:tcPr>
          <w:p w14:paraId="37BDDEFF" w14:textId="34D68070" w:rsidR="006A6240" w:rsidRPr="00A6687A" w:rsidRDefault="006A6240" w:rsidP="00A6687A">
            <w:pPr>
              <w:pStyle w:val="CETBodytext"/>
              <w:ind w:right="-1"/>
              <w:jc w:val="center"/>
              <w:rPr>
                <w:rFonts w:cs="Arial"/>
                <w:szCs w:val="18"/>
              </w:rPr>
            </w:pPr>
          </w:p>
        </w:tc>
        <w:tc>
          <w:tcPr>
            <w:tcW w:w="1714" w:type="dxa"/>
            <w:vMerge w:val="restart"/>
            <w:tcBorders>
              <w:top w:val="nil"/>
            </w:tcBorders>
            <w:shd w:val="clear" w:color="auto" w:fill="FFFFFF"/>
            <w:vAlign w:val="center"/>
          </w:tcPr>
          <w:p w14:paraId="0A20ADA3" w14:textId="330A0969" w:rsidR="006A6240" w:rsidRPr="00A6687A" w:rsidRDefault="006A6240" w:rsidP="00A6687A">
            <w:pPr>
              <w:pStyle w:val="CETBodytext"/>
              <w:ind w:right="-1"/>
              <w:jc w:val="center"/>
              <w:rPr>
                <w:rFonts w:cs="Arial"/>
                <w:szCs w:val="18"/>
              </w:rPr>
            </w:pPr>
            <w:r>
              <w:rPr>
                <w:rFonts w:cs="Arial"/>
                <w:szCs w:val="18"/>
              </w:rPr>
              <w:t>323.2</w:t>
            </w:r>
          </w:p>
        </w:tc>
        <w:tc>
          <w:tcPr>
            <w:tcW w:w="1714" w:type="dxa"/>
            <w:tcBorders>
              <w:top w:val="nil"/>
              <w:bottom w:val="nil"/>
            </w:tcBorders>
            <w:shd w:val="clear" w:color="auto" w:fill="FFFFFF"/>
            <w:vAlign w:val="center"/>
          </w:tcPr>
          <w:p w14:paraId="22B20741" w14:textId="14CFC120" w:rsidR="006A6240" w:rsidRPr="00A6687A" w:rsidRDefault="006A6240" w:rsidP="00A6687A">
            <w:pPr>
              <w:pStyle w:val="CETBodytext"/>
              <w:ind w:right="-1"/>
              <w:jc w:val="center"/>
              <w:rPr>
                <w:rFonts w:cs="Arial"/>
                <w:szCs w:val="18"/>
              </w:rPr>
            </w:pPr>
            <w:r w:rsidRPr="00A6687A">
              <w:rPr>
                <w:rFonts w:cs="Arial"/>
                <w:szCs w:val="18"/>
              </w:rPr>
              <w:t>Soave</w:t>
            </w:r>
          </w:p>
        </w:tc>
        <w:tc>
          <w:tcPr>
            <w:tcW w:w="1714" w:type="dxa"/>
            <w:tcBorders>
              <w:top w:val="nil"/>
              <w:bottom w:val="nil"/>
            </w:tcBorders>
            <w:shd w:val="clear" w:color="auto" w:fill="FFFFFF"/>
            <w:vAlign w:val="center"/>
          </w:tcPr>
          <w:p w14:paraId="22CD1591" w14:textId="0130B50E" w:rsidR="006A6240" w:rsidRPr="00A6687A" w:rsidRDefault="006A6240" w:rsidP="00A6687A">
            <w:pPr>
              <w:pStyle w:val="CETBodytext"/>
              <w:ind w:right="-1"/>
              <w:jc w:val="center"/>
              <w:rPr>
                <w:rFonts w:cs="Arial"/>
                <w:szCs w:val="18"/>
              </w:rPr>
            </w:pPr>
            <w:r w:rsidRPr="00A6687A">
              <w:rPr>
                <w:rFonts w:cs="Arial"/>
                <w:szCs w:val="18"/>
              </w:rPr>
              <w:t>0.188071</w:t>
            </w:r>
          </w:p>
        </w:tc>
        <w:tc>
          <w:tcPr>
            <w:tcW w:w="1714" w:type="dxa"/>
            <w:tcBorders>
              <w:top w:val="nil"/>
              <w:bottom w:val="nil"/>
            </w:tcBorders>
            <w:shd w:val="clear" w:color="auto" w:fill="FFFFFF"/>
            <w:vAlign w:val="center"/>
          </w:tcPr>
          <w:p w14:paraId="30C1240F" w14:textId="449E980D" w:rsidR="006A6240" w:rsidRPr="00A6687A" w:rsidRDefault="006A6240" w:rsidP="00A6687A">
            <w:pPr>
              <w:pStyle w:val="CETBodytext"/>
              <w:ind w:right="-1"/>
              <w:jc w:val="center"/>
              <w:rPr>
                <w:rFonts w:cs="Arial"/>
                <w:szCs w:val="18"/>
              </w:rPr>
            </w:pPr>
            <w:r w:rsidRPr="00A6687A">
              <w:rPr>
                <w:rFonts w:cs="Arial"/>
                <w:szCs w:val="18"/>
              </w:rPr>
              <w:t>2.82</w:t>
            </w:r>
          </w:p>
        </w:tc>
      </w:tr>
      <w:tr w:rsidR="006A6240" w:rsidRPr="00E627EB" w14:paraId="0E0BCA06" w14:textId="77777777" w:rsidTr="00257E1D">
        <w:trPr>
          <w:trHeight w:val="283"/>
        </w:trPr>
        <w:tc>
          <w:tcPr>
            <w:tcW w:w="1712" w:type="dxa"/>
            <w:vMerge/>
            <w:shd w:val="clear" w:color="auto" w:fill="FFFFFF"/>
            <w:vAlign w:val="center"/>
          </w:tcPr>
          <w:p w14:paraId="656FA4FD" w14:textId="01CDB6C3" w:rsidR="006A6240" w:rsidRPr="00A6687A" w:rsidRDefault="006A6240" w:rsidP="00A6687A">
            <w:pPr>
              <w:pStyle w:val="CETBodytext"/>
              <w:ind w:right="-1"/>
              <w:jc w:val="center"/>
              <w:rPr>
                <w:rFonts w:cs="Arial"/>
                <w:szCs w:val="18"/>
              </w:rPr>
            </w:pPr>
          </w:p>
        </w:tc>
        <w:tc>
          <w:tcPr>
            <w:tcW w:w="1714" w:type="dxa"/>
            <w:vMerge/>
            <w:shd w:val="clear" w:color="auto" w:fill="FFFFFF"/>
            <w:vAlign w:val="center"/>
          </w:tcPr>
          <w:p w14:paraId="071967F0" w14:textId="511F2638" w:rsidR="006A6240" w:rsidRPr="00A6687A" w:rsidRDefault="006A6240" w:rsidP="00A6687A">
            <w:pPr>
              <w:pStyle w:val="CETBodytext"/>
              <w:ind w:right="-1"/>
              <w:jc w:val="center"/>
              <w:rPr>
                <w:rFonts w:cs="Arial"/>
                <w:szCs w:val="18"/>
              </w:rPr>
            </w:pPr>
          </w:p>
        </w:tc>
        <w:tc>
          <w:tcPr>
            <w:tcW w:w="1714" w:type="dxa"/>
            <w:tcBorders>
              <w:top w:val="nil"/>
              <w:bottom w:val="nil"/>
            </w:tcBorders>
            <w:shd w:val="clear" w:color="auto" w:fill="FFFFFF"/>
            <w:vAlign w:val="center"/>
          </w:tcPr>
          <w:p w14:paraId="74B5167C" w14:textId="133C0CE2" w:rsidR="006A6240" w:rsidRPr="00A6687A" w:rsidRDefault="006A6240" w:rsidP="00A6687A">
            <w:pPr>
              <w:pStyle w:val="CETBodytext"/>
              <w:ind w:right="-1"/>
              <w:jc w:val="center"/>
              <w:rPr>
                <w:rFonts w:cs="Arial"/>
                <w:szCs w:val="18"/>
              </w:rPr>
            </w:pPr>
            <w:r w:rsidRPr="00A6687A">
              <w:rPr>
                <w:rFonts w:cs="Arial"/>
                <w:szCs w:val="18"/>
              </w:rPr>
              <w:t>Yokozeki</w:t>
            </w:r>
          </w:p>
        </w:tc>
        <w:tc>
          <w:tcPr>
            <w:tcW w:w="1714" w:type="dxa"/>
            <w:tcBorders>
              <w:top w:val="nil"/>
              <w:bottom w:val="nil"/>
            </w:tcBorders>
            <w:shd w:val="clear" w:color="auto" w:fill="FFFFFF"/>
            <w:vAlign w:val="center"/>
          </w:tcPr>
          <w:p w14:paraId="622C8B01" w14:textId="01C6F719" w:rsidR="006A6240" w:rsidRPr="00A6687A" w:rsidRDefault="006A6240" w:rsidP="00A6687A">
            <w:pPr>
              <w:pStyle w:val="CETBodytext"/>
              <w:ind w:right="-1"/>
              <w:jc w:val="center"/>
              <w:rPr>
                <w:rFonts w:cs="Arial"/>
                <w:szCs w:val="18"/>
              </w:rPr>
            </w:pPr>
            <w:r w:rsidRPr="00A6687A">
              <w:rPr>
                <w:rFonts w:cs="Arial"/>
                <w:szCs w:val="18"/>
              </w:rPr>
              <w:t>0.157000</w:t>
            </w:r>
          </w:p>
        </w:tc>
        <w:tc>
          <w:tcPr>
            <w:tcW w:w="1714" w:type="dxa"/>
            <w:tcBorders>
              <w:top w:val="nil"/>
              <w:bottom w:val="nil"/>
            </w:tcBorders>
            <w:shd w:val="clear" w:color="auto" w:fill="FFFFFF"/>
            <w:vAlign w:val="center"/>
          </w:tcPr>
          <w:p w14:paraId="61DD9E39" w14:textId="49022803" w:rsidR="006A6240" w:rsidRPr="00A6687A" w:rsidRDefault="006A6240" w:rsidP="00A6687A">
            <w:pPr>
              <w:pStyle w:val="CETBodytext"/>
              <w:ind w:right="-1"/>
              <w:jc w:val="center"/>
              <w:rPr>
                <w:rFonts w:cs="Arial"/>
                <w:szCs w:val="18"/>
              </w:rPr>
            </w:pPr>
            <w:r w:rsidRPr="00A6687A">
              <w:rPr>
                <w:rFonts w:cs="Arial"/>
                <w:szCs w:val="18"/>
              </w:rPr>
              <w:t>2.18</w:t>
            </w:r>
          </w:p>
        </w:tc>
      </w:tr>
      <w:tr w:rsidR="006A6240" w:rsidRPr="00E627EB" w14:paraId="134EEF3F" w14:textId="77777777" w:rsidTr="00257E1D">
        <w:trPr>
          <w:trHeight w:val="283"/>
        </w:trPr>
        <w:tc>
          <w:tcPr>
            <w:tcW w:w="1712" w:type="dxa"/>
            <w:vMerge/>
            <w:shd w:val="clear" w:color="auto" w:fill="FFFFFF"/>
            <w:vAlign w:val="center"/>
          </w:tcPr>
          <w:p w14:paraId="75520F6F" w14:textId="14F15E28" w:rsidR="006A6240" w:rsidRPr="00A6687A" w:rsidRDefault="006A6240" w:rsidP="00A6687A">
            <w:pPr>
              <w:pStyle w:val="CETBodytext"/>
              <w:ind w:right="-1"/>
              <w:jc w:val="center"/>
              <w:rPr>
                <w:rFonts w:cs="Arial"/>
                <w:szCs w:val="18"/>
              </w:rPr>
            </w:pPr>
          </w:p>
        </w:tc>
        <w:tc>
          <w:tcPr>
            <w:tcW w:w="1714" w:type="dxa"/>
            <w:vMerge/>
            <w:tcBorders>
              <w:bottom w:val="nil"/>
            </w:tcBorders>
            <w:shd w:val="clear" w:color="auto" w:fill="FFFFFF"/>
            <w:vAlign w:val="center"/>
          </w:tcPr>
          <w:p w14:paraId="68270B8F" w14:textId="77777777" w:rsidR="006A6240" w:rsidRPr="00A6687A" w:rsidRDefault="006A6240" w:rsidP="00A6687A">
            <w:pPr>
              <w:pStyle w:val="CETBodytext"/>
              <w:ind w:right="-1"/>
              <w:jc w:val="center"/>
              <w:rPr>
                <w:rFonts w:cs="Arial"/>
                <w:szCs w:val="18"/>
              </w:rPr>
            </w:pPr>
          </w:p>
        </w:tc>
        <w:tc>
          <w:tcPr>
            <w:tcW w:w="1714" w:type="dxa"/>
            <w:tcBorders>
              <w:top w:val="nil"/>
              <w:bottom w:val="nil"/>
            </w:tcBorders>
            <w:shd w:val="clear" w:color="auto" w:fill="FFFFFF"/>
            <w:vAlign w:val="center"/>
          </w:tcPr>
          <w:p w14:paraId="3CF35F11" w14:textId="4EB7678B" w:rsidR="006A6240" w:rsidRPr="00A6687A" w:rsidRDefault="006A6240" w:rsidP="00A6687A">
            <w:pPr>
              <w:pStyle w:val="CETBodytext"/>
              <w:ind w:right="-1"/>
              <w:jc w:val="center"/>
              <w:rPr>
                <w:rFonts w:cs="Arial"/>
                <w:szCs w:val="18"/>
              </w:rPr>
            </w:pPr>
            <w:r>
              <w:rPr>
                <w:rFonts w:cs="Arial"/>
                <w:szCs w:val="18"/>
              </w:rPr>
              <w:t xml:space="preserve">F. </w:t>
            </w:r>
            <w:r w:rsidRPr="00A6687A">
              <w:rPr>
                <w:rFonts w:cs="Arial"/>
                <w:szCs w:val="18"/>
              </w:rPr>
              <w:t>Soav</w:t>
            </w:r>
            <w:r>
              <w:rPr>
                <w:rFonts w:cs="Arial"/>
                <w:szCs w:val="18"/>
              </w:rPr>
              <w:t>e</w:t>
            </w:r>
          </w:p>
        </w:tc>
        <w:tc>
          <w:tcPr>
            <w:tcW w:w="1714" w:type="dxa"/>
            <w:tcBorders>
              <w:top w:val="nil"/>
              <w:bottom w:val="nil"/>
            </w:tcBorders>
            <w:shd w:val="clear" w:color="auto" w:fill="FFFFFF"/>
            <w:vAlign w:val="center"/>
          </w:tcPr>
          <w:p w14:paraId="5F92DB27" w14:textId="2C83603F" w:rsidR="006A6240" w:rsidRPr="00A6687A" w:rsidRDefault="006A6240" w:rsidP="00A6687A">
            <w:pPr>
              <w:pStyle w:val="CETBodytext"/>
              <w:ind w:right="-1"/>
              <w:jc w:val="center"/>
              <w:rPr>
                <w:rFonts w:cs="Arial"/>
                <w:szCs w:val="18"/>
              </w:rPr>
            </w:pPr>
            <w:r w:rsidRPr="00A6687A">
              <w:rPr>
                <w:rFonts w:cs="Arial"/>
                <w:szCs w:val="18"/>
              </w:rPr>
              <w:t>0.101606</w:t>
            </w:r>
          </w:p>
        </w:tc>
        <w:tc>
          <w:tcPr>
            <w:tcW w:w="1714" w:type="dxa"/>
            <w:tcBorders>
              <w:top w:val="nil"/>
              <w:bottom w:val="nil"/>
            </w:tcBorders>
            <w:shd w:val="clear" w:color="auto" w:fill="FFFFFF"/>
            <w:vAlign w:val="center"/>
          </w:tcPr>
          <w:p w14:paraId="1FEE480D" w14:textId="471020D6" w:rsidR="006A6240" w:rsidRPr="00A6687A" w:rsidRDefault="006A6240" w:rsidP="00A6687A">
            <w:pPr>
              <w:pStyle w:val="CETBodytext"/>
              <w:ind w:right="-1"/>
              <w:jc w:val="center"/>
              <w:rPr>
                <w:rFonts w:cs="Arial"/>
                <w:szCs w:val="18"/>
              </w:rPr>
            </w:pPr>
            <w:r w:rsidRPr="00A6687A">
              <w:rPr>
                <w:rFonts w:cs="Arial"/>
                <w:szCs w:val="18"/>
              </w:rPr>
              <w:t>2.18</w:t>
            </w:r>
          </w:p>
        </w:tc>
      </w:tr>
      <w:tr w:rsidR="006A6240" w:rsidRPr="00E627EB" w14:paraId="3321F2CD" w14:textId="77777777" w:rsidTr="008F3EC5">
        <w:trPr>
          <w:trHeight w:val="283"/>
        </w:trPr>
        <w:tc>
          <w:tcPr>
            <w:tcW w:w="1712" w:type="dxa"/>
            <w:vMerge/>
            <w:shd w:val="clear" w:color="auto" w:fill="FFFFFF"/>
            <w:vAlign w:val="center"/>
          </w:tcPr>
          <w:p w14:paraId="4F93093B" w14:textId="77777777" w:rsidR="006A6240" w:rsidRPr="00A6687A" w:rsidRDefault="006A6240" w:rsidP="00A6687A">
            <w:pPr>
              <w:pStyle w:val="CETBodytext"/>
              <w:ind w:right="-1"/>
              <w:jc w:val="center"/>
              <w:rPr>
                <w:rFonts w:cs="Arial"/>
                <w:szCs w:val="18"/>
              </w:rPr>
            </w:pPr>
          </w:p>
        </w:tc>
        <w:tc>
          <w:tcPr>
            <w:tcW w:w="1714" w:type="dxa"/>
            <w:vMerge w:val="restart"/>
            <w:tcBorders>
              <w:top w:val="nil"/>
            </w:tcBorders>
            <w:shd w:val="clear" w:color="auto" w:fill="FFFFFF"/>
            <w:vAlign w:val="center"/>
          </w:tcPr>
          <w:p w14:paraId="56D607F4" w14:textId="70267FDE" w:rsidR="006A6240" w:rsidRPr="00A6687A" w:rsidRDefault="006A6240" w:rsidP="00A6687A">
            <w:pPr>
              <w:pStyle w:val="CETBodytext"/>
              <w:ind w:right="-1"/>
              <w:jc w:val="center"/>
              <w:rPr>
                <w:rFonts w:cs="Arial"/>
                <w:szCs w:val="18"/>
              </w:rPr>
            </w:pPr>
            <w:r>
              <w:rPr>
                <w:rFonts w:cs="Arial"/>
                <w:szCs w:val="18"/>
              </w:rPr>
              <w:t>333.2</w:t>
            </w:r>
          </w:p>
        </w:tc>
        <w:tc>
          <w:tcPr>
            <w:tcW w:w="1714" w:type="dxa"/>
            <w:tcBorders>
              <w:top w:val="nil"/>
              <w:bottom w:val="nil"/>
            </w:tcBorders>
            <w:shd w:val="clear" w:color="auto" w:fill="FFFFFF"/>
            <w:vAlign w:val="center"/>
          </w:tcPr>
          <w:p w14:paraId="6BFC0E94" w14:textId="50C88450" w:rsidR="006A6240" w:rsidRPr="00A6687A" w:rsidRDefault="006A6240" w:rsidP="00A6687A">
            <w:pPr>
              <w:pStyle w:val="CETBodytext"/>
              <w:ind w:right="-1"/>
              <w:jc w:val="center"/>
              <w:rPr>
                <w:rFonts w:cs="Arial"/>
                <w:szCs w:val="18"/>
              </w:rPr>
            </w:pPr>
            <w:r w:rsidRPr="00A6687A">
              <w:rPr>
                <w:rFonts w:cs="Arial"/>
                <w:szCs w:val="18"/>
              </w:rPr>
              <w:t>Soave</w:t>
            </w:r>
          </w:p>
        </w:tc>
        <w:tc>
          <w:tcPr>
            <w:tcW w:w="1714" w:type="dxa"/>
            <w:tcBorders>
              <w:top w:val="nil"/>
              <w:bottom w:val="nil"/>
            </w:tcBorders>
            <w:shd w:val="clear" w:color="auto" w:fill="FFFFFF"/>
            <w:vAlign w:val="center"/>
          </w:tcPr>
          <w:p w14:paraId="3FC83608" w14:textId="3788D159" w:rsidR="006A6240" w:rsidRPr="00A6687A" w:rsidRDefault="006A6240" w:rsidP="00A6687A">
            <w:pPr>
              <w:pStyle w:val="CETBodytext"/>
              <w:ind w:right="-1"/>
              <w:jc w:val="center"/>
              <w:rPr>
                <w:rFonts w:cs="Arial"/>
                <w:szCs w:val="18"/>
              </w:rPr>
            </w:pPr>
            <w:r w:rsidRPr="00A6687A">
              <w:rPr>
                <w:rFonts w:cs="Arial"/>
                <w:szCs w:val="18"/>
              </w:rPr>
              <w:t>0.224817</w:t>
            </w:r>
          </w:p>
        </w:tc>
        <w:tc>
          <w:tcPr>
            <w:tcW w:w="1714" w:type="dxa"/>
            <w:tcBorders>
              <w:top w:val="nil"/>
              <w:bottom w:val="nil"/>
            </w:tcBorders>
            <w:shd w:val="clear" w:color="auto" w:fill="FFFFFF"/>
            <w:vAlign w:val="center"/>
          </w:tcPr>
          <w:p w14:paraId="7ECDAAE4" w14:textId="16D40678" w:rsidR="006A6240" w:rsidRPr="00A6687A" w:rsidRDefault="006A6240" w:rsidP="00A6687A">
            <w:pPr>
              <w:pStyle w:val="CETBodytext"/>
              <w:ind w:right="-1"/>
              <w:jc w:val="center"/>
              <w:rPr>
                <w:rFonts w:cs="Arial"/>
                <w:szCs w:val="18"/>
              </w:rPr>
            </w:pPr>
            <w:r w:rsidRPr="00A6687A">
              <w:rPr>
                <w:rFonts w:cs="Arial"/>
                <w:szCs w:val="18"/>
              </w:rPr>
              <w:t>5.44</w:t>
            </w:r>
          </w:p>
        </w:tc>
      </w:tr>
      <w:tr w:rsidR="006A6240" w:rsidRPr="00E627EB" w14:paraId="451F79EC" w14:textId="77777777" w:rsidTr="008F3EC5">
        <w:trPr>
          <w:trHeight w:val="283"/>
        </w:trPr>
        <w:tc>
          <w:tcPr>
            <w:tcW w:w="1712" w:type="dxa"/>
            <w:vMerge/>
            <w:shd w:val="clear" w:color="auto" w:fill="FFFFFF"/>
            <w:vAlign w:val="center"/>
          </w:tcPr>
          <w:p w14:paraId="386C739F" w14:textId="77777777" w:rsidR="006A6240" w:rsidRPr="00A6687A" w:rsidRDefault="006A6240" w:rsidP="00A6687A">
            <w:pPr>
              <w:pStyle w:val="CETBodytext"/>
              <w:ind w:right="-1"/>
              <w:jc w:val="center"/>
              <w:rPr>
                <w:rFonts w:cs="Arial"/>
                <w:szCs w:val="18"/>
              </w:rPr>
            </w:pPr>
          </w:p>
        </w:tc>
        <w:tc>
          <w:tcPr>
            <w:tcW w:w="1714" w:type="dxa"/>
            <w:vMerge/>
            <w:shd w:val="clear" w:color="auto" w:fill="FFFFFF"/>
            <w:vAlign w:val="center"/>
          </w:tcPr>
          <w:p w14:paraId="339C69BD" w14:textId="454E83E3" w:rsidR="006A6240" w:rsidRPr="00A6687A" w:rsidRDefault="006A6240" w:rsidP="00A6687A">
            <w:pPr>
              <w:pStyle w:val="CETBodytext"/>
              <w:ind w:right="-1"/>
              <w:jc w:val="center"/>
              <w:rPr>
                <w:rFonts w:cs="Arial"/>
                <w:szCs w:val="18"/>
              </w:rPr>
            </w:pPr>
          </w:p>
        </w:tc>
        <w:tc>
          <w:tcPr>
            <w:tcW w:w="1714" w:type="dxa"/>
            <w:tcBorders>
              <w:top w:val="nil"/>
              <w:bottom w:val="nil"/>
            </w:tcBorders>
            <w:shd w:val="clear" w:color="auto" w:fill="FFFFFF"/>
            <w:vAlign w:val="center"/>
          </w:tcPr>
          <w:p w14:paraId="12913C5F" w14:textId="5F08F9D7" w:rsidR="006A6240" w:rsidRPr="00A6687A" w:rsidRDefault="006A6240" w:rsidP="00A6687A">
            <w:pPr>
              <w:pStyle w:val="CETBodytext"/>
              <w:ind w:right="-1"/>
              <w:jc w:val="center"/>
              <w:rPr>
                <w:rFonts w:cs="Arial"/>
                <w:szCs w:val="18"/>
              </w:rPr>
            </w:pPr>
            <w:r w:rsidRPr="00A6687A">
              <w:rPr>
                <w:rFonts w:cs="Arial"/>
                <w:szCs w:val="18"/>
              </w:rPr>
              <w:t>Yokozeki</w:t>
            </w:r>
          </w:p>
        </w:tc>
        <w:tc>
          <w:tcPr>
            <w:tcW w:w="1714" w:type="dxa"/>
            <w:tcBorders>
              <w:top w:val="nil"/>
              <w:bottom w:val="nil"/>
            </w:tcBorders>
            <w:shd w:val="clear" w:color="auto" w:fill="FFFFFF"/>
            <w:vAlign w:val="center"/>
          </w:tcPr>
          <w:p w14:paraId="68C5D1A4" w14:textId="76659B8C" w:rsidR="006A6240" w:rsidRPr="00A6687A" w:rsidRDefault="006A6240" w:rsidP="00A6687A">
            <w:pPr>
              <w:pStyle w:val="CETBodytext"/>
              <w:ind w:right="-1"/>
              <w:jc w:val="center"/>
              <w:rPr>
                <w:rFonts w:cs="Arial"/>
                <w:szCs w:val="18"/>
              </w:rPr>
            </w:pPr>
            <w:r w:rsidRPr="00A6687A">
              <w:rPr>
                <w:rFonts w:cs="Arial"/>
                <w:szCs w:val="18"/>
              </w:rPr>
              <w:t>0.186716</w:t>
            </w:r>
          </w:p>
        </w:tc>
        <w:tc>
          <w:tcPr>
            <w:tcW w:w="1714" w:type="dxa"/>
            <w:tcBorders>
              <w:top w:val="nil"/>
              <w:bottom w:val="nil"/>
            </w:tcBorders>
            <w:shd w:val="clear" w:color="auto" w:fill="FFFFFF"/>
            <w:vAlign w:val="center"/>
          </w:tcPr>
          <w:p w14:paraId="08086536" w14:textId="330D4006" w:rsidR="006A6240" w:rsidRPr="00A6687A" w:rsidRDefault="006A6240" w:rsidP="00A6687A">
            <w:pPr>
              <w:pStyle w:val="CETBodytext"/>
              <w:ind w:right="-1"/>
              <w:jc w:val="center"/>
              <w:rPr>
                <w:rFonts w:cs="Arial"/>
                <w:szCs w:val="18"/>
              </w:rPr>
            </w:pPr>
            <w:r w:rsidRPr="00A6687A">
              <w:rPr>
                <w:rFonts w:cs="Arial"/>
                <w:szCs w:val="18"/>
              </w:rPr>
              <w:t>4.13</w:t>
            </w:r>
          </w:p>
        </w:tc>
      </w:tr>
      <w:tr w:rsidR="006A6240" w:rsidRPr="00E627EB" w14:paraId="27D7E21D" w14:textId="77777777" w:rsidTr="008F3EC5">
        <w:trPr>
          <w:trHeight w:val="283"/>
        </w:trPr>
        <w:tc>
          <w:tcPr>
            <w:tcW w:w="1712" w:type="dxa"/>
            <w:vMerge/>
            <w:shd w:val="clear" w:color="auto" w:fill="FFFFFF"/>
            <w:vAlign w:val="center"/>
          </w:tcPr>
          <w:p w14:paraId="63951A24" w14:textId="77777777" w:rsidR="006A6240" w:rsidRPr="00A6687A" w:rsidRDefault="006A6240" w:rsidP="00A6687A">
            <w:pPr>
              <w:pStyle w:val="CETBodytext"/>
              <w:ind w:right="-1"/>
              <w:jc w:val="center"/>
              <w:rPr>
                <w:rFonts w:cs="Arial"/>
                <w:szCs w:val="18"/>
              </w:rPr>
            </w:pPr>
          </w:p>
        </w:tc>
        <w:tc>
          <w:tcPr>
            <w:tcW w:w="1714" w:type="dxa"/>
            <w:vMerge/>
            <w:tcBorders>
              <w:bottom w:val="nil"/>
            </w:tcBorders>
            <w:shd w:val="clear" w:color="auto" w:fill="FFFFFF"/>
            <w:vAlign w:val="center"/>
          </w:tcPr>
          <w:p w14:paraId="6A18B4E3" w14:textId="77777777" w:rsidR="006A6240" w:rsidRPr="00A6687A" w:rsidRDefault="006A6240" w:rsidP="00A6687A">
            <w:pPr>
              <w:pStyle w:val="CETBodytext"/>
              <w:ind w:right="-1"/>
              <w:jc w:val="center"/>
              <w:rPr>
                <w:rFonts w:cs="Arial"/>
                <w:szCs w:val="18"/>
              </w:rPr>
            </w:pPr>
          </w:p>
        </w:tc>
        <w:tc>
          <w:tcPr>
            <w:tcW w:w="1714" w:type="dxa"/>
            <w:tcBorders>
              <w:top w:val="nil"/>
              <w:bottom w:val="nil"/>
            </w:tcBorders>
            <w:shd w:val="clear" w:color="auto" w:fill="FFFFFF"/>
            <w:vAlign w:val="center"/>
          </w:tcPr>
          <w:p w14:paraId="50E05230" w14:textId="6814BFA0" w:rsidR="006A6240" w:rsidRPr="00A6687A" w:rsidRDefault="006A6240" w:rsidP="00A6687A">
            <w:pPr>
              <w:pStyle w:val="CETBodytext"/>
              <w:ind w:right="-1"/>
              <w:jc w:val="center"/>
              <w:rPr>
                <w:rFonts w:cs="Arial"/>
                <w:szCs w:val="18"/>
              </w:rPr>
            </w:pPr>
            <w:r>
              <w:rPr>
                <w:rFonts w:cs="Arial"/>
                <w:szCs w:val="18"/>
              </w:rPr>
              <w:t>F. Soave</w:t>
            </w:r>
          </w:p>
        </w:tc>
        <w:tc>
          <w:tcPr>
            <w:tcW w:w="1714" w:type="dxa"/>
            <w:tcBorders>
              <w:top w:val="nil"/>
              <w:bottom w:val="nil"/>
            </w:tcBorders>
            <w:shd w:val="clear" w:color="auto" w:fill="FFFFFF"/>
            <w:vAlign w:val="center"/>
          </w:tcPr>
          <w:p w14:paraId="48BDE097" w14:textId="1408F5F6" w:rsidR="006A6240" w:rsidRPr="00A6687A" w:rsidRDefault="006A6240" w:rsidP="00A6687A">
            <w:pPr>
              <w:pStyle w:val="CETBodytext"/>
              <w:ind w:right="-1"/>
              <w:jc w:val="center"/>
              <w:rPr>
                <w:rFonts w:cs="Arial"/>
                <w:szCs w:val="18"/>
              </w:rPr>
            </w:pPr>
            <w:r w:rsidRPr="00A6687A">
              <w:rPr>
                <w:rFonts w:cs="Arial"/>
                <w:szCs w:val="18"/>
              </w:rPr>
              <w:t>0.128644</w:t>
            </w:r>
          </w:p>
        </w:tc>
        <w:tc>
          <w:tcPr>
            <w:tcW w:w="1714" w:type="dxa"/>
            <w:tcBorders>
              <w:top w:val="nil"/>
              <w:bottom w:val="nil"/>
            </w:tcBorders>
            <w:shd w:val="clear" w:color="auto" w:fill="FFFFFF"/>
            <w:vAlign w:val="center"/>
          </w:tcPr>
          <w:p w14:paraId="375DE2F0" w14:textId="36D09CA2" w:rsidR="006A6240" w:rsidRPr="00A6687A" w:rsidRDefault="006A6240" w:rsidP="00A6687A">
            <w:pPr>
              <w:pStyle w:val="CETBodytext"/>
              <w:ind w:right="-1"/>
              <w:jc w:val="center"/>
              <w:rPr>
                <w:rFonts w:cs="Arial"/>
                <w:szCs w:val="18"/>
              </w:rPr>
            </w:pPr>
            <w:r w:rsidRPr="00A6687A">
              <w:rPr>
                <w:rFonts w:cs="Arial"/>
                <w:szCs w:val="18"/>
              </w:rPr>
              <w:t>4.14</w:t>
            </w:r>
          </w:p>
        </w:tc>
      </w:tr>
      <w:tr w:rsidR="006A6240" w:rsidRPr="00E627EB" w14:paraId="1095A0D0" w14:textId="77777777" w:rsidTr="00913484">
        <w:trPr>
          <w:trHeight w:val="283"/>
        </w:trPr>
        <w:tc>
          <w:tcPr>
            <w:tcW w:w="1712" w:type="dxa"/>
            <w:vMerge/>
            <w:shd w:val="clear" w:color="auto" w:fill="FFFFFF"/>
            <w:vAlign w:val="center"/>
          </w:tcPr>
          <w:p w14:paraId="76DC599F" w14:textId="77777777" w:rsidR="006A6240" w:rsidRPr="00A6687A" w:rsidRDefault="006A6240" w:rsidP="00A6687A">
            <w:pPr>
              <w:pStyle w:val="CETBodytext"/>
              <w:ind w:right="-1"/>
              <w:jc w:val="center"/>
              <w:rPr>
                <w:rFonts w:cs="Arial"/>
                <w:szCs w:val="18"/>
              </w:rPr>
            </w:pPr>
          </w:p>
        </w:tc>
        <w:tc>
          <w:tcPr>
            <w:tcW w:w="1714" w:type="dxa"/>
            <w:vMerge w:val="restart"/>
            <w:tcBorders>
              <w:top w:val="nil"/>
            </w:tcBorders>
            <w:shd w:val="clear" w:color="auto" w:fill="FFFFFF"/>
            <w:vAlign w:val="center"/>
          </w:tcPr>
          <w:p w14:paraId="7E671BFF" w14:textId="5B89E74B" w:rsidR="006A6240" w:rsidRPr="00A6687A" w:rsidRDefault="006A6240" w:rsidP="00A6687A">
            <w:pPr>
              <w:pStyle w:val="CETBodytext"/>
              <w:ind w:right="-1"/>
              <w:jc w:val="center"/>
              <w:rPr>
                <w:rFonts w:cs="Arial"/>
                <w:szCs w:val="18"/>
              </w:rPr>
            </w:pPr>
            <w:r>
              <w:rPr>
                <w:rFonts w:cs="Arial"/>
                <w:szCs w:val="18"/>
              </w:rPr>
              <w:t>353.2</w:t>
            </w:r>
          </w:p>
        </w:tc>
        <w:tc>
          <w:tcPr>
            <w:tcW w:w="1714" w:type="dxa"/>
            <w:tcBorders>
              <w:top w:val="nil"/>
              <w:bottom w:val="nil"/>
            </w:tcBorders>
            <w:shd w:val="clear" w:color="auto" w:fill="FFFFFF"/>
            <w:vAlign w:val="center"/>
          </w:tcPr>
          <w:p w14:paraId="54AA13ED" w14:textId="7C15CA84" w:rsidR="006A6240" w:rsidRPr="00A6687A" w:rsidRDefault="006A6240" w:rsidP="00A6687A">
            <w:pPr>
              <w:pStyle w:val="CETBodytext"/>
              <w:ind w:right="-1"/>
              <w:jc w:val="center"/>
              <w:rPr>
                <w:rFonts w:cs="Arial"/>
                <w:szCs w:val="18"/>
              </w:rPr>
            </w:pPr>
            <w:r w:rsidRPr="00A6687A">
              <w:rPr>
                <w:rFonts w:cs="Arial"/>
                <w:szCs w:val="18"/>
              </w:rPr>
              <w:t>Soave</w:t>
            </w:r>
          </w:p>
        </w:tc>
        <w:tc>
          <w:tcPr>
            <w:tcW w:w="1714" w:type="dxa"/>
            <w:tcBorders>
              <w:top w:val="nil"/>
              <w:bottom w:val="nil"/>
            </w:tcBorders>
            <w:shd w:val="clear" w:color="auto" w:fill="FFFFFF"/>
            <w:vAlign w:val="center"/>
          </w:tcPr>
          <w:p w14:paraId="1BCB428B" w14:textId="6B0717B9" w:rsidR="006A6240" w:rsidRPr="00A6687A" w:rsidRDefault="006A6240" w:rsidP="00A6687A">
            <w:pPr>
              <w:pStyle w:val="CETBodytext"/>
              <w:ind w:right="-1"/>
              <w:jc w:val="center"/>
              <w:rPr>
                <w:rFonts w:cs="Arial"/>
                <w:szCs w:val="18"/>
              </w:rPr>
            </w:pPr>
            <w:r w:rsidRPr="00A6687A">
              <w:rPr>
                <w:rFonts w:cs="Arial"/>
                <w:szCs w:val="18"/>
              </w:rPr>
              <w:t>0.293248</w:t>
            </w:r>
          </w:p>
        </w:tc>
        <w:tc>
          <w:tcPr>
            <w:tcW w:w="1714" w:type="dxa"/>
            <w:tcBorders>
              <w:top w:val="nil"/>
              <w:bottom w:val="nil"/>
            </w:tcBorders>
            <w:shd w:val="clear" w:color="auto" w:fill="FFFFFF"/>
            <w:vAlign w:val="center"/>
          </w:tcPr>
          <w:p w14:paraId="5FC480FF" w14:textId="0A25F219" w:rsidR="006A6240" w:rsidRPr="00A6687A" w:rsidRDefault="006A6240" w:rsidP="00A6687A">
            <w:pPr>
              <w:pStyle w:val="CETBodytext"/>
              <w:ind w:right="-1"/>
              <w:jc w:val="center"/>
              <w:rPr>
                <w:rFonts w:cs="Arial"/>
                <w:szCs w:val="18"/>
              </w:rPr>
            </w:pPr>
            <w:r w:rsidRPr="00A6687A">
              <w:rPr>
                <w:rFonts w:cs="Arial"/>
                <w:szCs w:val="18"/>
              </w:rPr>
              <w:t>9.31</w:t>
            </w:r>
          </w:p>
        </w:tc>
      </w:tr>
      <w:tr w:rsidR="006A6240" w:rsidRPr="00E627EB" w14:paraId="66DEE5D4" w14:textId="77777777" w:rsidTr="00913484">
        <w:trPr>
          <w:trHeight w:val="283"/>
        </w:trPr>
        <w:tc>
          <w:tcPr>
            <w:tcW w:w="1712" w:type="dxa"/>
            <w:vMerge/>
            <w:shd w:val="clear" w:color="auto" w:fill="FFFFFF"/>
            <w:vAlign w:val="center"/>
          </w:tcPr>
          <w:p w14:paraId="57470DCC" w14:textId="77777777" w:rsidR="006A6240" w:rsidRPr="00A6687A" w:rsidRDefault="006A6240" w:rsidP="00A6687A">
            <w:pPr>
              <w:pStyle w:val="CETBodytext"/>
              <w:ind w:right="-1"/>
              <w:jc w:val="center"/>
              <w:rPr>
                <w:rFonts w:cs="Arial"/>
                <w:szCs w:val="18"/>
              </w:rPr>
            </w:pPr>
          </w:p>
        </w:tc>
        <w:tc>
          <w:tcPr>
            <w:tcW w:w="1714" w:type="dxa"/>
            <w:vMerge/>
            <w:shd w:val="clear" w:color="auto" w:fill="FFFFFF"/>
            <w:vAlign w:val="center"/>
          </w:tcPr>
          <w:p w14:paraId="5BE93AD3" w14:textId="168A87D6" w:rsidR="006A6240" w:rsidRPr="00A6687A" w:rsidRDefault="006A6240" w:rsidP="00A6687A">
            <w:pPr>
              <w:pStyle w:val="CETBodytext"/>
              <w:ind w:right="-1"/>
              <w:jc w:val="center"/>
              <w:rPr>
                <w:rFonts w:cs="Arial"/>
                <w:szCs w:val="18"/>
              </w:rPr>
            </w:pPr>
          </w:p>
        </w:tc>
        <w:tc>
          <w:tcPr>
            <w:tcW w:w="1714" w:type="dxa"/>
            <w:tcBorders>
              <w:top w:val="nil"/>
              <w:bottom w:val="nil"/>
            </w:tcBorders>
            <w:shd w:val="clear" w:color="auto" w:fill="FFFFFF"/>
            <w:vAlign w:val="center"/>
          </w:tcPr>
          <w:p w14:paraId="1D82AA30" w14:textId="6CC54D1F" w:rsidR="006A6240" w:rsidRPr="00A6687A" w:rsidRDefault="006A6240" w:rsidP="00A6687A">
            <w:pPr>
              <w:pStyle w:val="CETBodytext"/>
              <w:ind w:right="-1"/>
              <w:jc w:val="center"/>
              <w:rPr>
                <w:rFonts w:cs="Arial"/>
                <w:szCs w:val="18"/>
              </w:rPr>
            </w:pPr>
            <w:r w:rsidRPr="00A6687A">
              <w:rPr>
                <w:rFonts w:cs="Arial"/>
                <w:szCs w:val="18"/>
              </w:rPr>
              <w:t>Yokozeki</w:t>
            </w:r>
          </w:p>
        </w:tc>
        <w:tc>
          <w:tcPr>
            <w:tcW w:w="1714" w:type="dxa"/>
            <w:tcBorders>
              <w:top w:val="nil"/>
              <w:bottom w:val="nil"/>
            </w:tcBorders>
            <w:shd w:val="clear" w:color="auto" w:fill="FFFFFF"/>
            <w:vAlign w:val="center"/>
          </w:tcPr>
          <w:p w14:paraId="38C7BEBE" w14:textId="682C8643" w:rsidR="006A6240" w:rsidRPr="00A6687A" w:rsidRDefault="006A6240" w:rsidP="00A6687A">
            <w:pPr>
              <w:pStyle w:val="CETBodytext"/>
              <w:ind w:right="-1"/>
              <w:jc w:val="center"/>
              <w:rPr>
                <w:rFonts w:cs="Arial"/>
                <w:szCs w:val="18"/>
              </w:rPr>
            </w:pPr>
            <w:r w:rsidRPr="00A6687A">
              <w:rPr>
                <w:rFonts w:cs="Arial"/>
                <w:szCs w:val="18"/>
              </w:rPr>
              <w:t>0.241923</w:t>
            </w:r>
          </w:p>
        </w:tc>
        <w:tc>
          <w:tcPr>
            <w:tcW w:w="1714" w:type="dxa"/>
            <w:tcBorders>
              <w:top w:val="nil"/>
              <w:bottom w:val="nil"/>
            </w:tcBorders>
            <w:shd w:val="clear" w:color="auto" w:fill="FFFFFF"/>
            <w:vAlign w:val="center"/>
          </w:tcPr>
          <w:p w14:paraId="61ED478D" w14:textId="0F2796AE" w:rsidR="006A6240" w:rsidRPr="00A6687A" w:rsidRDefault="006A6240" w:rsidP="00A6687A">
            <w:pPr>
              <w:pStyle w:val="CETBodytext"/>
              <w:ind w:right="-1"/>
              <w:jc w:val="center"/>
              <w:rPr>
                <w:rFonts w:cs="Arial"/>
                <w:szCs w:val="18"/>
              </w:rPr>
            </w:pPr>
            <w:r w:rsidRPr="00A6687A">
              <w:rPr>
                <w:rFonts w:cs="Arial"/>
                <w:szCs w:val="18"/>
              </w:rPr>
              <w:t>5.07</w:t>
            </w:r>
          </w:p>
        </w:tc>
      </w:tr>
      <w:tr w:rsidR="006A6240" w:rsidRPr="00E627EB" w14:paraId="7B3072D4" w14:textId="77777777" w:rsidTr="00913484">
        <w:trPr>
          <w:trHeight w:val="283"/>
        </w:trPr>
        <w:tc>
          <w:tcPr>
            <w:tcW w:w="1712" w:type="dxa"/>
            <w:vMerge/>
            <w:tcBorders>
              <w:bottom w:val="single" w:sz="12" w:space="0" w:color="008000"/>
            </w:tcBorders>
            <w:shd w:val="clear" w:color="auto" w:fill="FFFFFF"/>
            <w:vAlign w:val="center"/>
          </w:tcPr>
          <w:p w14:paraId="43850835" w14:textId="77777777" w:rsidR="006A6240" w:rsidRPr="00A6687A" w:rsidRDefault="006A6240" w:rsidP="00A6687A">
            <w:pPr>
              <w:pStyle w:val="CETBodytext"/>
              <w:ind w:right="-1"/>
              <w:jc w:val="center"/>
              <w:rPr>
                <w:rFonts w:cs="Arial"/>
                <w:szCs w:val="18"/>
              </w:rPr>
            </w:pPr>
          </w:p>
        </w:tc>
        <w:tc>
          <w:tcPr>
            <w:tcW w:w="1714" w:type="dxa"/>
            <w:vMerge/>
            <w:tcBorders>
              <w:bottom w:val="single" w:sz="12" w:space="0" w:color="008000"/>
            </w:tcBorders>
            <w:shd w:val="clear" w:color="auto" w:fill="FFFFFF"/>
            <w:vAlign w:val="center"/>
          </w:tcPr>
          <w:p w14:paraId="6198BBEF" w14:textId="77777777" w:rsidR="006A6240" w:rsidRPr="00A6687A" w:rsidRDefault="006A6240" w:rsidP="00A6687A">
            <w:pPr>
              <w:pStyle w:val="CETBodytext"/>
              <w:ind w:right="-1"/>
              <w:jc w:val="center"/>
              <w:rPr>
                <w:rFonts w:cs="Arial"/>
                <w:szCs w:val="18"/>
              </w:rPr>
            </w:pPr>
          </w:p>
        </w:tc>
        <w:tc>
          <w:tcPr>
            <w:tcW w:w="1714" w:type="dxa"/>
            <w:tcBorders>
              <w:top w:val="nil"/>
              <w:bottom w:val="single" w:sz="12" w:space="0" w:color="008000"/>
            </w:tcBorders>
            <w:shd w:val="clear" w:color="auto" w:fill="FFFFFF"/>
            <w:vAlign w:val="center"/>
          </w:tcPr>
          <w:p w14:paraId="3B6EA221" w14:textId="1D98CAEA" w:rsidR="006A6240" w:rsidRPr="00A6687A" w:rsidRDefault="006A6240" w:rsidP="00A6687A">
            <w:pPr>
              <w:pStyle w:val="CETBodytext"/>
              <w:ind w:right="-1"/>
              <w:jc w:val="center"/>
              <w:rPr>
                <w:rFonts w:cs="Arial"/>
                <w:szCs w:val="18"/>
              </w:rPr>
            </w:pPr>
            <w:r>
              <w:rPr>
                <w:rFonts w:cs="Arial"/>
                <w:szCs w:val="18"/>
              </w:rPr>
              <w:t>F. Soave</w:t>
            </w:r>
          </w:p>
        </w:tc>
        <w:tc>
          <w:tcPr>
            <w:tcW w:w="1714" w:type="dxa"/>
            <w:tcBorders>
              <w:top w:val="nil"/>
              <w:bottom w:val="single" w:sz="12" w:space="0" w:color="008000"/>
            </w:tcBorders>
            <w:shd w:val="clear" w:color="auto" w:fill="FFFFFF"/>
            <w:vAlign w:val="center"/>
          </w:tcPr>
          <w:p w14:paraId="1E4EB1D1" w14:textId="2C4897D1" w:rsidR="006A6240" w:rsidRPr="00A6687A" w:rsidRDefault="006A6240" w:rsidP="00A6687A">
            <w:pPr>
              <w:pStyle w:val="CETBodytext"/>
              <w:ind w:right="-1"/>
              <w:jc w:val="center"/>
              <w:rPr>
                <w:rFonts w:cs="Arial"/>
                <w:szCs w:val="18"/>
              </w:rPr>
            </w:pPr>
            <w:r w:rsidRPr="00A6687A">
              <w:rPr>
                <w:rFonts w:cs="Arial"/>
                <w:szCs w:val="18"/>
              </w:rPr>
              <w:t>0.179530</w:t>
            </w:r>
          </w:p>
        </w:tc>
        <w:tc>
          <w:tcPr>
            <w:tcW w:w="1714" w:type="dxa"/>
            <w:tcBorders>
              <w:top w:val="nil"/>
              <w:bottom w:val="single" w:sz="12" w:space="0" w:color="008000"/>
            </w:tcBorders>
            <w:shd w:val="clear" w:color="auto" w:fill="FFFFFF"/>
            <w:vAlign w:val="center"/>
          </w:tcPr>
          <w:p w14:paraId="4C0872FF" w14:textId="77F4FB4C" w:rsidR="006A6240" w:rsidRPr="00A6687A" w:rsidRDefault="006A6240" w:rsidP="00A6687A">
            <w:pPr>
              <w:pStyle w:val="CETBodytext"/>
              <w:ind w:right="-1"/>
              <w:jc w:val="center"/>
              <w:rPr>
                <w:rFonts w:cs="Arial"/>
                <w:szCs w:val="18"/>
              </w:rPr>
            </w:pPr>
            <w:r w:rsidRPr="00A6687A">
              <w:rPr>
                <w:rFonts w:cs="Arial"/>
                <w:szCs w:val="18"/>
              </w:rPr>
              <w:t>5.07</w:t>
            </w:r>
          </w:p>
        </w:tc>
      </w:tr>
    </w:tbl>
    <w:p w14:paraId="25A1312E" w14:textId="08E9D8B6" w:rsidR="00196F58" w:rsidRDefault="00F341A6" w:rsidP="00196F58">
      <w:pPr>
        <w:pStyle w:val="CETBodytext"/>
      </w:pPr>
      <w:r>
        <w:rPr>
          <w:lang w:val="en-GB"/>
        </w:rPr>
        <w:lastRenderedPageBreak/>
        <w:t>Tables 2 and 3 show</w:t>
      </w:r>
      <w:r w:rsidR="00196F58">
        <w:rPr>
          <w:lang w:val="en-GB"/>
        </w:rPr>
        <w:t xml:space="preserve"> that the ability of the present approach in representing the experimental gas solubility data is quite good </w:t>
      </w:r>
      <w:r>
        <w:rPr>
          <w:lang w:val="en-GB"/>
        </w:rPr>
        <w:t>for the Gas-DES systems</w:t>
      </w:r>
      <w:r w:rsidR="00581ED8">
        <w:rPr>
          <w:lang w:val="en-GB"/>
        </w:rPr>
        <w:t xml:space="preserve"> and</w:t>
      </w:r>
      <w:r>
        <w:rPr>
          <w:lang w:val="en-GB"/>
        </w:rPr>
        <w:t xml:space="preserve"> </w:t>
      </w:r>
      <w:r w:rsidR="00196F58">
        <w:rPr>
          <w:lang w:val="en-GB"/>
        </w:rPr>
        <w:t xml:space="preserve">both CEoS give comparable results for the four </w:t>
      </w:r>
      <w:r w:rsidR="00581ED8">
        <w:rPr>
          <w:lang w:val="en-GB"/>
        </w:rPr>
        <w:t>G</w:t>
      </w:r>
      <w:r w:rsidR="00196F58">
        <w:rPr>
          <w:lang w:val="en-GB"/>
        </w:rPr>
        <w:t>as-</w:t>
      </w:r>
      <w:r>
        <w:rPr>
          <w:lang w:val="en-GB"/>
        </w:rPr>
        <w:t>DES</w:t>
      </w:r>
      <w:r w:rsidR="00196F58">
        <w:rPr>
          <w:lang w:val="en-GB"/>
        </w:rPr>
        <w:t xml:space="preserve"> mixtures</w:t>
      </w:r>
      <w:r w:rsidR="00581ED8">
        <w:rPr>
          <w:lang w:val="en-GB"/>
        </w:rPr>
        <w:t xml:space="preserve"> presented</w:t>
      </w:r>
      <w:r w:rsidR="00196F58">
        <w:rPr>
          <w:lang w:val="en-GB"/>
        </w:rPr>
        <w:t>. In the case of CH</w:t>
      </w:r>
      <w:r w:rsidR="00196F58">
        <w:rPr>
          <w:vertAlign w:val="subscript"/>
          <w:lang w:val="en-GB"/>
        </w:rPr>
        <w:t>4</w:t>
      </w:r>
      <w:r>
        <w:rPr>
          <w:lang w:val="en-GB"/>
        </w:rPr>
        <w:t xml:space="preserve">, </w:t>
      </w:r>
      <w:r w:rsidR="00196F58">
        <w:rPr>
          <w:lang w:val="en-GB"/>
        </w:rPr>
        <w:t xml:space="preserve">the </w:t>
      </w:r>
      <w:r>
        <w:rPr>
          <w:lang w:val="en-GB"/>
        </w:rPr>
        <w:t xml:space="preserve">thermodynamic model </w:t>
      </w:r>
      <w:r w:rsidR="00196F58">
        <w:rPr>
          <w:lang w:val="en-GB"/>
        </w:rPr>
        <w:t xml:space="preserve">fails to give a reasonably good correlation of the experimental solubilities </w:t>
      </w:r>
      <w:r>
        <w:rPr>
          <w:lang w:val="en-GB"/>
        </w:rPr>
        <w:t xml:space="preserve">as pressure and temperature increases </w:t>
      </w:r>
      <w:r w:rsidR="00196F58">
        <w:rPr>
          <w:lang w:val="en-GB"/>
        </w:rPr>
        <w:t xml:space="preserve">with </w:t>
      </w:r>
      <w:r>
        <w:rPr>
          <w:lang w:val="en-GB"/>
        </w:rPr>
        <w:t xml:space="preserve">an </w:t>
      </w:r>
      <w:r w:rsidR="00196F58">
        <w:rPr>
          <w:lang w:val="en-GB"/>
        </w:rPr>
        <w:t xml:space="preserve">AAD value </w:t>
      </w:r>
      <w:r>
        <w:rPr>
          <w:lang w:val="en-GB"/>
        </w:rPr>
        <w:t xml:space="preserve">as high as 9.31% using the Soave </w:t>
      </w:r>
      <w:r w:rsidRPr="00801FD0">
        <w:rPr>
          <w:i/>
          <w:iCs/>
          <w:lang w:val="en-GB"/>
        </w:rPr>
        <w:t>alpha</w:t>
      </w:r>
      <w:r>
        <w:rPr>
          <w:lang w:val="en-GB"/>
        </w:rPr>
        <w:t xml:space="preserve"> function (original physical properties of the pure solvents).</w:t>
      </w:r>
    </w:p>
    <w:p w14:paraId="1929CECF" w14:textId="324DB0E5" w:rsidR="006F17ED" w:rsidRDefault="006F17ED" w:rsidP="006F17ED">
      <w:pPr>
        <w:pStyle w:val="CETBodytext"/>
      </w:pPr>
    </w:p>
    <w:p w14:paraId="5896BE8D" w14:textId="38BC1EB4" w:rsidR="00CF76FF" w:rsidRPr="00196F58" w:rsidRDefault="00196F58" w:rsidP="00196F58">
      <w:pPr>
        <w:pStyle w:val="CETBodytext"/>
        <w:rPr>
          <w:lang w:val="en-GB"/>
        </w:rPr>
      </w:pPr>
      <w:r>
        <w:rPr>
          <w:lang w:val="en-GB"/>
        </w:rPr>
        <w:t>Figure</w:t>
      </w:r>
      <w:r w:rsidR="00204030">
        <w:rPr>
          <w:lang w:val="en-GB"/>
        </w:rPr>
        <w:t xml:space="preserve"> 1 and Figure</w:t>
      </w:r>
      <w:r>
        <w:rPr>
          <w:lang w:val="en-GB"/>
        </w:rPr>
        <w:t xml:space="preserve"> 2 graphically depict the comparison between experimental and calculated </w:t>
      </w:r>
      <w:r w:rsidR="00A63E3B">
        <w:rPr>
          <w:lang w:val="en-GB"/>
        </w:rPr>
        <w:t xml:space="preserve">composition </w:t>
      </w:r>
      <w:r>
        <w:rPr>
          <w:lang w:val="en-GB"/>
        </w:rPr>
        <w:t>for CO</w:t>
      </w:r>
      <w:r>
        <w:rPr>
          <w:vertAlign w:val="subscript"/>
          <w:lang w:val="en-GB"/>
        </w:rPr>
        <w:t>2</w:t>
      </w:r>
      <w:r>
        <w:rPr>
          <w:lang w:val="en-GB"/>
        </w:rPr>
        <w:t xml:space="preserve"> </w:t>
      </w:r>
      <w:r w:rsidR="00A63E3B">
        <w:rPr>
          <w:lang w:val="en-GB"/>
        </w:rPr>
        <w:t>in ChCl + U (1:2), ChCl+ G (1:2) and ChCl + EG (1:2)</w:t>
      </w:r>
      <w:r w:rsidR="00E25D3D">
        <w:rPr>
          <w:lang w:val="en-GB"/>
        </w:rPr>
        <w:t>, also CH</w:t>
      </w:r>
      <w:r w:rsidR="00E25D3D" w:rsidRPr="00E25D3D">
        <w:rPr>
          <w:vertAlign w:val="subscript"/>
          <w:lang w:val="en-GB"/>
        </w:rPr>
        <w:t>4</w:t>
      </w:r>
      <w:r w:rsidR="00E25D3D">
        <w:rPr>
          <w:lang w:val="en-GB"/>
        </w:rPr>
        <w:t xml:space="preserve"> in ChCl + U (1:2)</w:t>
      </w:r>
      <w:r>
        <w:rPr>
          <w:lang w:val="en-GB"/>
        </w:rPr>
        <w:t xml:space="preserve"> over a wide </w:t>
      </w:r>
      <w:r w:rsidR="00581ED8">
        <w:rPr>
          <w:lang w:val="en-GB"/>
        </w:rPr>
        <w:t>pressure range</w:t>
      </w:r>
      <w:r>
        <w:rPr>
          <w:lang w:val="en-GB"/>
        </w:rPr>
        <w:t>. As shown by these figures, the present approach provides a very good fit to experimental gas solubilities.</w:t>
      </w:r>
      <w:r w:rsidR="00E25D3D">
        <w:rPr>
          <w:lang w:val="en-GB"/>
        </w:rPr>
        <w:t xml:space="preserve"> As for the CH</w:t>
      </w:r>
      <w:r w:rsidR="00E25D3D" w:rsidRPr="00E25D3D">
        <w:rPr>
          <w:vertAlign w:val="subscript"/>
          <w:lang w:val="en-GB"/>
        </w:rPr>
        <w:t>4</w:t>
      </w:r>
      <w:r w:rsidR="00E25D3D">
        <w:rPr>
          <w:lang w:val="en-GB"/>
        </w:rPr>
        <w:t xml:space="preserve"> the best fit was obtained in the infinite diluted region at very low pressures. It should be </w:t>
      </w:r>
      <w:r w:rsidR="00581ED8">
        <w:rPr>
          <w:lang w:val="en-GB"/>
        </w:rPr>
        <w:t>acknowledged</w:t>
      </w:r>
      <w:r w:rsidR="00E25D3D">
        <w:rPr>
          <w:lang w:val="en-GB"/>
        </w:rPr>
        <w:t xml:space="preserve"> that </w:t>
      </w:r>
      <w:r>
        <w:rPr>
          <w:lang w:val="en-GB"/>
        </w:rPr>
        <w:t xml:space="preserve">the agreement between experimental and predicted solubility data is reasonably good </w:t>
      </w:r>
      <w:r w:rsidR="00801FD0">
        <w:rPr>
          <w:lang w:val="en-GB"/>
        </w:rPr>
        <w:t>and</w:t>
      </w:r>
      <w:r>
        <w:rPr>
          <w:lang w:val="en-GB"/>
        </w:rPr>
        <w:t xml:space="preserve"> within experimental uncertainty </w:t>
      </w:r>
      <w:r w:rsidR="00E25D3D">
        <w:rPr>
          <w:lang w:val="en-GB"/>
        </w:rPr>
        <w:t xml:space="preserve">for </w:t>
      </w:r>
      <w:r w:rsidR="00581ED8">
        <w:rPr>
          <w:lang w:val="en-GB"/>
        </w:rPr>
        <w:t>most of</w:t>
      </w:r>
      <w:r w:rsidR="00E25D3D">
        <w:rPr>
          <w:lang w:val="en-GB"/>
        </w:rPr>
        <w:t xml:space="preserve"> the Gas-DES systems.</w:t>
      </w:r>
    </w:p>
    <w:p w14:paraId="2A1912BF" w14:textId="057BB947" w:rsidR="00CF76FF" w:rsidRDefault="00CF76FF" w:rsidP="00CF76FF">
      <w:pPr>
        <w:pStyle w:val="CETHeading1"/>
        <w:numPr>
          <w:ilvl w:val="1"/>
          <w:numId w:val="25"/>
        </w:numPr>
        <w:rPr>
          <w:lang w:val="en-GB"/>
        </w:rPr>
      </w:pPr>
      <w:r w:rsidRPr="00AA06BC">
        <w:rPr>
          <w:lang w:val="en-GB"/>
        </w:rPr>
        <w:t>Conclusions</w:t>
      </w:r>
    </w:p>
    <w:p w14:paraId="7CF3ABCC" w14:textId="3498E2D2" w:rsidR="00196F58" w:rsidRDefault="00E21829" w:rsidP="00204030">
      <w:pPr>
        <w:pStyle w:val="CETBodytext"/>
        <w:rPr>
          <w:lang w:val="en-GB"/>
        </w:rPr>
      </w:pPr>
      <w:r>
        <w:rPr>
          <w:lang w:val="en-GB"/>
        </w:rPr>
        <w:t>Overall,</w:t>
      </w:r>
      <w:r w:rsidRPr="00E21829">
        <w:rPr>
          <w:lang w:val="en-GB"/>
        </w:rPr>
        <w:t xml:space="preserve"> the </w:t>
      </w:r>
      <w:r>
        <w:rPr>
          <w:lang w:val="en-GB"/>
        </w:rPr>
        <w:t>present</w:t>
      </w:r>
      <w:r w:rsidRPr="00E21829">
        <w:rPr>
          <w:lang w:val="en-GB"/>
        </w:rPr>
        <w:t xml:space="preserve"> model </w:t>
      </w:r>
      <w:r>
        <w:rPr>
          <w:lang w:val="en-GB"/>
        </w:rPr>
        <w:t>correlated</w:t>
      </w:r>
      <w:r w:rsidRPr="00E21829">
        <w:rPr>
          <w:lang w:val="en-GB"/>
        </w:rPr>
        <w:t xml:space="preserve"> </w:t>
      </w:r>
      <w:r>
        <w:rPr>
          <w:lang w:val="en-GB"/>
        </w:rPr>
        <w:t xml:space="preserve">satisfactorily the </w:t>
      </w:r>
      <w:r w:rsidRPr="00E21829">
        <w:rPr>
          <w:lang w:val="en-GB"/>
        </w:rPr>
        <w:t xml:space="preserve">experimental solubility data </w:t>
      </w:r>
      <w:r>
        <w:rPr>
          <w:lang w:val="en-GB"/>
        </w:rPr>
        <w:t>of the seven chosen gases in choline chloride based DESs</w:t>
      </w:r>
      <w:r w:rsidRPr="00E21829">
        <w:rPr>
          <w:lang w:val="en-GB"/>
        </w:rPr>
        <w:t>. Likewise, the use of</w:t>
      </w:r>
      <w:r w:rsidR="009B3ADC">
        <w:rPr>
          <w:lang w:val="en-GB"/>
        </w:rPr>
        <w:t xml:space="preserve"> both</w:t>
      </w:r>
      <w:r w:rsidRPr="00E21829">
        <w:rPr>
          <w:lang w:val="en-GB"/>
        </w:rPr>
        <w:t xml:space="preserve"> Yokozeki</w:t>
      </w:r>
      <w:r w:rsidR="009B3ADC">
        <w:rPr>
          <w:lang w:val="en-GB"/>
        </w:rPr>
        <w:t xml:space="preserve"> and fitted Soave</w:t>
      </w:r>
      <w:r w:rsidRPr="00E21829">
        <w:rPr>
          <w:lang w:val="en-GB"/>
        </w:rPr>
        <w:t xml:space="preserve"> </w:t>
      </w:r>
      <w:r w:rsidRPr="00E21829">
        <w:rPr>
          <w:i/>
          <w:iCs/>
          <w:lang w:val="en-GB"/>
        </w:rPr>
        <w:t>alpha</w:t>
      </w:r>
      <w:r w:rsidRPr="00E21829">
        <w:rPr>
          <w:lang w:val="en-GB"/>
        </w:rPr>
        <w:t xml:space="preserve"> function</w:t>
      </w:r>
      <w:r w:rsidR="009B3ADC">
        <w:rPr>
          <w:lang w:val="en-GB"/>
        </w:rPr>
        <w:t xml:space="preserve">s </w:t>
      </w:r>
      <w:r w:rsidRPr="00E21829">
        <w:rPr>
          <w:lang w:val="en-GB"/>
        </w:rPr>
        <w:t xml:space="preserve">are </w:t>
      </w:r>
      <w:r w:rsidR="009B3ADC">
        <w:rPr>
          <w:lang w:val="en-GB"/>
        </w:rPr>
        <w:t>suitable</w:t>
      </w:r>
      <w:r w:rsidRPr="00E21829">
        <w:rPr>
          <w:lang w:val="en-GB"/>
        </w:rPr>
        <w:t xml:space="preserve"> </w:t>
      </w:r>
      <w:r w:rsidR="009B3ADC">
        <w:rPr>
          <w:lang w:val="en-GB"/>
        </w:rPr>
        <w:t>in correlating said experimental data</w:t>
      </w:r>
      <w:r w:rsidR="009B3ADC" w:rsidRPr="00E21829">
        <w:rPr>
          <w:lang w:val="en-GB"/>
        </w:rPr>
        <w:t>,</w:t>
      </w:r>
      <w:r w:rsidRPr="00E21829">
        <w:rPr>
          <w:lang w:val="en-GB"/>
        </w:rPr>
        <w:t xml:space="preserve"> </w:t>
      </w:r>
      <w:r w:rsidR="009B3ADC">
        <w:rPr>
          <w:lang w:val="en-GB"/>
        </w:rPr>
        <w:t>though</w:t>
      </w:r>
      <w:r w:rsidRPr="00E21829">
        <w:rPr>
          <w:lang w:val="en-GB"/>
        </w:rPr>
        <w:t xml:space="preserve"> the Yokozeki function </w:t>
      </w:r>
      <w:r w:rsidR="009B3ADC">
        <w:rPr>
          <w:lang w:val="en-GB"/>
        </w:rPr>
        <w:t>performed</w:t>
      </w:r>
      <w:r w:rsidRPr="00E21829">
        <w:rPr>
          <w:lang w:val="en-GB"/>
        </w:rPr>
        <w:t xml:space="preserve"> with greater accuracy </w:t>
      </w:r>
      <w:r w:rsidR="009B3ADC">
        <w:rPr>
          <w:lang w:val="en-GB"/>
        </w:rPr>
        <w:t>for many Gas-DES systems.</w:t>
      </w:r>
      <w:r w:rsidR="00204030">
        <w:rPr>
          <w:lang w:val="en-GB"/>
        </w:rPr>
        <w:t xml:space="preserve"> </w:t>
      </w:r>
      <w:r w:rsidR="00D90806">
        <w:rPr>
          <w:lang w:val="en-GB"/>
        </w:rPr>
        <w:t xml:space="preserve">For a few systems, </w:t>
      </w:r>
      <w:r w:rsidR="00823168">
        <w:rPr>
          <w:lang w:val="en-GB"/>
        </w:rPr>
        <w:t xml:space="preserve">using only </w:t>
      </w:r>
      <w:r w:rsidR="00D90806">
        <w:rPr>
          <w:lang w:val="en-GB"/>
        </w:rPr>
        <w:t xml:space="preserve">the </w:t>
      </w:r>
      <w:r w:rsidR="00196F58">
        <w:rPr>
          <w:lang w:val="en-GB"/>
        </w:rPr>
        <w:t xml:space="preserve">temperature-dependent </w:t>
      </w:r>
      <m:oMath>
        <m:sSub>
          <m:sSubPr>
            <m:ctrlPr>
              <w:rPr>
                <w:rFonts w:ascii="Cambria Math" w:hAnsi="Cambria Math" w:cs="Arial"/>
                <w:i/>
                <w:iCs/>
                <w:szCs w:val="18"/>
              </w:rPr>
            </m:ctrlPr>
          </m:sSubPr>
          <m:e>
            <m:r>
              <w:rPr>
                <w:rFonts w:ascii="Cambria Math" w:hAnsi="Cambria Math" w:cs="Arial"/>
                <w:szCs w:val="18"/>
              </w:rPr>
              <m:t>k</m:t>
            </m:r>
          </m:e>
          <m:sub>
            <m:r>
              <w:rPr>
                <w:rFonts w:ascii="Cambria Math" w:hAnsi="Cambria Math" w:cs="Arial"/>
                <w:szCs w:val="18"/>
              </w:rPr>
              <m:t>ij</m:t>
            </m:r>
          </m:sub>
        </m:sSub>
      </m:oMath>
      <w:r w:rsidR="00196F58">
        <w:rPr>
          <w:lang w:val="en-GB"/>
        </w:rPr>
        <w:t xml:space="preserve"> values improved gas-solubility estimations.</w:t>
      </w:r>
    </w:p>
    <w:p w14:paraId="4FC49D92" w14:textId="357C56D9" w:rsidR="00CF76FF" w:rsidRDefault="00CF76FF" w:rsidP="00CF76FF">
      <w:pPr>
        <w:pStyle w:val="CETReference"/>
      </w:pPr>
      <w:r w:rsidRPr="00B57B36">
        <w:t>References</w:t>
      </w:r>
    </w:p>
    <w:p w14:paraId="00374057" w14:textId="77777777" w:rsidR="00CA533A" w:rsidRPr="00CA533A" w:rsidRDefault="00CA533A" w:rsidP="00CA533A">
      <w:pPr>
        <w:pStyle w:val="CETReferencetext"/>
        <w:rPr>
          <w:lang w:val="en-US"/>
        </w:rPr>
      </w:pPr>
      <w:r w:rsidRPr="00CA533A">
        <w:rPr>
          <w:lang w:val="en-US"/>
        </w:rPr>
        <w:t xml:space="preserve">Animasahun O.H., Khan M.N., </w:t>
      </w:r>
      <w:r>
        <w:t>Prediction of the CO</w:t>
      </w:r>
      <w:r w:rsidRPr="00CA533A">
        <w:rPr>
          <w:vertAlign w:val="subscript"/>
        </w:rPr>
        <w:t>2</w:t>
      </w:r>
      <w:r>
        <w:t xml:space="preserve"> Solubility in Deep Eutectic Solvents: A Comparative Study between PC-SAFT and Cubic equations of State, 2017, Society of Petroleum Engineers - SPE Abu Dhabi International Petroleum Exhibition and Conference 2017.</w:t>
      </w:r>
    </w:p>
    <w:p w14:paraId="599A1879" w14:textId="77777777" w:rsidR="00CA533A" w:rsidRDefault="00CA533A" w:rsidP="00CA533A">
      <w:pPr>
        <w:pStyle w:val="CETReferencetext"/>
      </w:pPr>
      <w:r w:rsidRPr="0072008F">
        <w:rPr>
          <w:lang w:val="en-US"/>
        </w:rPr>
        <w:t xml:space="preserve">García G., Aparicio S., Ullah R., Atilhan M., 2015, Deep Eutectic Solvents: Physicochemical Properties and Gas Separation Applications, </w:t>
      </w:r>
      <w:r>
        <w:rPr>
          <w:lang w:val="en-US"/>
        </w:rPr>
        <w:t>Energy &amp; Fuels, 29, 2616</w:t>
      </w:r>
      <w:r w:rsidRPr="006B4888">
        <w:t>–</w:t>
      </w:r>
      <w:r>
        <w:t>2644.</w:t>
      </w:r>
    </w:p>
    <w:p w14:paraId="35F54832" w14:textId="77777777" w:rsidR="00CA533A" w:rsidRDefault="00CA533A" w:rsidP="00CA533A">
      <w:pPr>
        <w:pStyle w:val="CETReferencetext"/>
      </w:pPr>
      <w:r>
        <w:rPr>
          <w:lang w:val="en-US"/>
        </w:rPr>
        <w:t xml:space="preserve">Mirza N.R., Nicholas N.J., Wu Y., Kentish S., Stevens G.W., 2015, </w:t>
      </w:r>
      <w:r>
        <w:t>Estimation of Normal Boiling Temperatures, Critical Properties, and Acentric Factors of Deep Eutectic Solvents, Journal of Chemical and Engineering Data, 60, 1844</w:t>
      </w:r>
      <w:r w:rsidRPr="00DC33C0">
        <w:t>–</w:t>
      </w:r>
      <w:r>
        <w:t>1854.</w:t>
      </w:r>
    </w:p>
    <w:p w14:paraId="7E1CA0DD" w14:textId="2AAF6417" w:rsidR="00580058" w:rsidRDefault="0072008F" w:rsidP="0072008F">
      <w:pPr>
        <w:pStyle w:val="CETReferencetext"/>
      </w:pPr>
      <w:r>
        <w:t xml:space="preserve">Moura L., Kollau L., Gomes M.C., 2021, </w:t>
      </w:r>
      <w:r w:rsidRPr="0072008F">
        <w:t>Deep Eutectic Solvents for Medicine, Gas Solubilization and Extraction of Natural Substances</w:t>
      </w:r>
      <w:r>
        <w:t>, Environmental Chemistry for a Sustainable World, 56.</w:t>
      </w:r>
    </w:p>
    <w:p w14:paraId="39281806" w14:textId="62C7AFDB" w:rsidR="0072008F" w:rsidRDefault="0072008F" w:rsidP="0072008F">
      <w:pPr>
        <w:pStyle w:val="CETReferencetext"/>
      </w:pPr>
      <w:r w:rsidRPr="002D0860">
        <w:rPr>
          <w:lang w:val="en-US"/>
        </w:rPr>
        <w:t xml:space="preserve">Leron R.B., Caparanga A., Li M.H., 2013, </w:t>
      </w:r>
      <w:r w:rsidR="002D0860" w:rsidRPr="002D0860">
        <w:rPr>
          <w:lang w:val="en-US"/>
        </w:rPr>
        <w:t>Carbon dioxide solubility in a deep eutectic solvent based on choline chloride and urea at T = 303.15-343.15K and moderate pressures, Journal of the Taiwan Institute of Chemical Engineer</w:t>
      </w:r>
      <w:r w:rsidR="002D0860">
        <w:rPr>
          <w:lang w:val="en-US"/>
        </w:rPr>
        <w:t>, 44, 879</w:t>
      </w:r>
      <w:r w:rsidR="002D0860" w:rsidRPr="006B4888">
        <w:t>–</w:t>
      </w:r>
      <w:r w:rsidR="002D0860">
        <w:t>885.</w:t>
      </w:r>
    </w:p>
    <w:p w14:paraId="21B25687" w14:textId="63C61185" w:rsidR="002D0860" w:rsidRDefault="002D0860" w:rsidP="0072008F">
      <w:pPr>
        <w:pStyle w:val="CETReferencetext"/>
        <w:rPr>
          <w:lang w:val="en-US"/>
        </w:rPr>
      </w:pPr>
      <w:r>
        <w:rPr>
          <w:lang w:val="en-US"/>
        </w:rPr>
        <w:t xml:space="preserve">Li C., Cai Z., Ma Y., Cao Y., Huang K., Jiang L., 2022, </w:t>
      </w:r>
      <w:r w:rsidRPr="002D0860">
        <w:rPr>
          <w:lang w:val="en-US"/>
        </w:rPr>
        <w:t>Densities and viscosities of, and solubilities of acidic gases (SO</w:t>
      </w:r>
      <w:r w:rsidRPr="002D0860">
        <w:rPr>
          <w:vertAlign w:val="subscript"/>
          <w:lang w:val="en-US"/>
        </w:rPr>
        <w:t>2</w:t>
      </w:r>
      <w:r w:rsidRPr="002D0860">
        <w:rPr>
          <w:lang w:val="en-US"/>
        </w:rPr>
        <w:t xml:space="preserve"> and H</w:t>
      </w:r>
      <w:r w:rsidRPr="002D0860">
        <w:rPr>
          <w:vertAlign w:val="subscript"/>
          <w:lang w:val="en-US"/>
        </w:rPr>
        <w:t>2</w:t>
      </w:r>
      <w:r w:rsidRPr="002D0860">
        <w:rPr>
          <w:lang w:val="en-US"/>
        </w:rPr>
        <w:t>S) in natural deep eutectic solvents</w:t>
      </w:r>
      <w:r>
        <w:rPr>
          <w:lang w:val="en-US"/>
        </w:rPr>
        <w:t xml:space="preserve">, </w:t>
      </w:r>
      <w:r w:rsidRPr="002D0860">
        <w:rPr>
          <w:lang w:val="en-US"/>
        </w:rPr>
        <w:t>J. Chem. Thermodynamics</w:t>
      </w:r>
      <w:r>
        <w:rPr>
          <w:lang w:val="en-US"/>
        </w:rPr>
        <w:t>, 167, 106713.</w:t>
      </w:r>
    </w:p>
    <w:p w14:paraId="2413E7E4" w14:textId="77777777" w:rsidR="00CA533A" w:rsidRDefault="00CA533A" w:rsidP="00CA533A">
      <w:pPr>
        <w:pStyle w:val="CETReferencetext"/>
      </w:pPr>
      <w:r w:rsidRPr="00E509B2">
        <w:t>Peng D.Y.</w:t>
      </w:r>
      <w:r>
        <w:t>,</w:t>
      </w:r>
      <w:r w:rsidRPr="00E509B2">
        <w:t xml:space="preserve"> Robinson D.B., 1976, A New Two-Constant Equation of State</w:t>
      </w:r>
      <w:r>
        <w:t>,</w:t>
      </w:r>
      <w:r w:rsidRPr="00E509B2">
        <w:t xml:space="preserve"> </w:t>
      </w:r>
      <w:r>
        <w:t xml:space="preserve">Industrial and Engineering Chemistry Fundamentals, </w:t>
      </w:r>
      <w:r w:rsidRPr="00E509B2">
        <w:t>15, 59</w:t>
      </w:r>
      <w:r w:rsidRPr="00DC33C0">
        <w:t>–</w:t>
      </w:r>
      <w:r>
        <w:t>64</w:t>
      </w:r>
      <w:r w:rsidRPr="00E509B2">
        <w:t>.</w:t>
      </w:r>
    </w:p>
    <w:p w14:paraId="1207FA95" w14:textId="77777777" w:rsidR="00CA533A" w:rsidRDefault="00CA533A" w:rsidP="00CA533A">
      <w:pPr>
        <w:pStyle w:val="CETReferencetext"/>
      </w:pPr>
      <w:r>
        <w:t>Shiflett M.B., Yokozeki A., 2005, Solubilities and Diffusivities of Carbon Dioxide in Ionic Liquids: [bmim][PF</w:t>
      </w:r>
      <w:r w:rsidRPr="00E000AE">
        <w:rPr>
          <w:vertAlign w:val="subscript"/>
        </w:rPr>
        <w:t>6</w:t>
      </w:r>
      <w:r>
        <w:t>]</w:t>
      </w:r>
    </w:p>
    <w:p w14:paraId="5724E824" w14:textId="77777777" w:rsidR="00CA533A" w:rsidRPr="00E509B2" w:rsidRDefault="00CA533A" w:rsidP="00CA533A">
      <w:pPr>
        <w:pStyle w:val="CETReferencetext"/>
      </w:pPr>
      <w:r>
        <w:t xml:space="preserve">    and [bmim][BF</w:t>
      </w:r>
      <w:r w:rsidRPr="00E000AE">
        <w:rPr>
          <w:vertAlign w:val="subscript"/>
        </w:rPr>
        <w:t>4</w:t>
      </w:r>
      <w:r>
        <w:t>], Industrial and Engineering Chemistry Research, 44, 4453</w:t>
      </w:r>
      <w:r w:rsidRPr="00DC33C0">
        <w:t>–</w:t>
      </w:r>
      <w:r>
        <w:t>4464.</w:t>
      </w:r>
    </w:p>
    <w:p w14:paraId="19674CCD" w14:textId="77777777" w:rsidR="00CA533A" w:rsidRDefault="00CA533A" w:rsidP="00CA533A">
      <w:pPr>
        <w:pStyle w:val="CETReferencetext"/>
      </w:pPr>
      <w:r w:rsidRPr="00DC33C0">
        <w:t>Soave G., 1972, Equilibrium Constants from a Modified Redlich-Kwong Equation of State, Chemical Engineering Science, 27, 1197–1203.</w:t>
      </w:r>
    </w:p>
    <w:p w14:paraId="14DBF0F6" w14:textId="77777777" w:rsidR="00CA533A" w:rsidRPr="00DC33C0" w:rsidRDefault="00CA533A" w:rsidP="00CA533A">
      <w:pPr>
        <w:pStyle w:val="CETReferencetext"/>
      </w:pPr>
      <w:r>
        <w:t>Valderrama J.O., 2003, The State of the Cubic Equations of State, Industrial and Engineering Chemistry Research, 42, 1603</w:t>
      </w:r>
      <w:r w:rsidRPr="00DC33C0">
        <w:t>–</w:t>
      </w:r>
      <w:r>
        <w:t>1618.</w:t>
      </w:r>
    </w:p>
    <w:p w14:paraId="0640D3FD" w14:textId="67A90A22" w:rsidR="002D0860" w:rsidRDefault="002D0860" w:rsidP="002D0860">
      <w:pPr>
        <w:pStyle w:val="CETReferencetext"/>
        <w:rPr>
          <w:lang w:val="en-US"/>
        </w:rPr>
      </w:pPr>
      <w:r>
        <w:rPr>
          <w:lang w:val="en-US"/>
        </w:rPr>
        <w:t xml:space="preserve">Yang D. Hou M., Ning H., Zhang J., Ma J., Yang G., Han B., 2013, </w:t>
      </w:r>
      <w:r w:rsidRPr="002D0860">
        <w:rPr>
          <w:lang w:val="en-US"/>
        </w:rPr>
        <w:t>Efficient SO2 absorption by renewable choline chloride–glycerol deep eutectic solvents</w:t>
      </w:r>
      <w:r>
        <w:rPr>
          <w:lang w:val="en-US"/>
        </w:rPr>
        <w:t>, Green Chemistry, 15, 2261</w:t>
      </w:r>
      <w:r w:rsidRPr="006B4888">
        <w:t>–</w:t>
      </w:r>
      <w:r>
        <w:rPr>
          <w:lang w:val="en-US"/>
        </w:rPr>
        <w:t>2265.</w:t>
      </w:r>
    </w:p>
    <w:p w14:paraId="3A6F5EBD" w14:textId="3DEA87E4" w:rsidR="00CF76FF" w:rsidRPr="000D56D6" w:rsidRDefault="00D5613C" w:rsidP="00CA533A">
      <w:pPr>
        <w:pStyle w:val="CETReferencetext"/>
      </w:pPr>
      <w:r>
        <w:t>Yokozeki A., 2001, Solubility of Refrigerants in Various Lubricants, International Journal of Thermophysics, 22, 1057</w:t>
      </w:r>
      <w:r w:rsidRPr="00DC33C0">
        <w:t>–</w:t>
      </w:r>
      <w:r>
        <w:t>1071.</w:t>
      </w: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60F1" w14:textId="77777777" w:rsidR="003D2871" w:rsidRDefault="003D2871" w:rsidP="004F5E36">
      <w:r>
        <w:separator/>
      </w:r>
    </w:p>
  </w:endnote>
  <w:endnote w:type="continuationSeparator" w:id="0">
    <w:p w14:paraId="2EF871BD" w14:textId="77777777" w:rsidR="003D2871" w:rsidRDefault="003D28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MU Serif">
    <w:charset w:val="00"/>
    <w:family w:val="auto"/>
    <w:pitch w:val="variable"/>
    <w:sig w:usb0="E10002FF" w:usb1="5201E9EB" w:usb2="02020004"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4441" w14:textId="77777777" w:rsidR="003D2871" w:rsidRDefault="003D2871" w:rsidP="004F5E36">
      <w:r>
        <w:separator/>
      </w:r>
    </w:p>
  </w:footnote>
  <w:footnote w:type="continuationSeparator" w:id="0">
    <w:p w14:paraId="5FCF7E23" w14:textId="77777777" w:rsidR="003D2871" w:rsidRDefault="003D287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028FB"/>
    <w:multiLevelType w:val="hybridMultilevel"/>
    <w:tmpl w:val="E09E95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717075608">
    <w:abstractNumId w:val="10"/>
  </w:num>
  <w:num w:numId="24" w16cid:durableId="1828858621">
    <w:abstractNumId w:val="10"/>
  </w:num>
  <w:num w:numId="25" w16cid:durableId="1450933160">
    <w:abstractNumId w:val="10"/>
    <w:lvlOverride w:ilvl="0">
      <w:startOverride w:val="1"/>
    </w:lvlOverride>
    <w:lvlOverride w:ilvl="1">
      <w:startOverride w:val="4"/>
    </w:lvlOverride>
  </w:num>
  <w:num w:numId="26" w16cid:durableId="905862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E56"/>
    <w:rsid w:val="000117CB"/>
    <w:rsid w:val="0003148D"/>
    <w:rsid w:val="00031EEC"/>
    <w:rsid w:val="00045A0E"/>
    <w:rsid w:val="00051566"/>
    <w:rsid w:val="000539FE"/>
    <w:rsid w:val="000562A9"/>
    <w:rsid w:val="00056F6F"/>
    <w:rsid w:val="00062A9A"/>
    <w:rsid w:val="00065058"/>
    <w:rsid w:val="00082369"/>
    <w:rsid w:val="00086C39"/>
    <w:rsid w:val="000872F8"/>
    <w:rsid w:val="000A03B2"/>
    <w:rsid w:val="000A4D01"/>
    <w:rsid w:val="000D0268"/>
    <w:rsid w:val="000D34BE"/>
    <w:rsid w:val="000D605D"/>
    <w:rsid w:val="000E01CD"/>
    <w:rsid w:val="000E102F"/>
    <w:rsid w:val="000E36F1"/>
    <w:rsid w:val="000E3A73"/>
    <w:rsid w:val="000E414A"/>
    <w:rsid w:val="000F093C"/>
    <w:rsid w:val="000F0B7E"/>
    <w:rsid w:val="000F186C"/>
    <w:rsid w:val="000F4290"/>
    <w:rsid w:val="000F787B"/>
    <w:rsid w:val="00113B75"/>
    <w:rsid w:val="00114C4A"/>
    <w:rsid w:val="0012091F"/>
    <w:rsid w:val="00126BC2"/>
    <w:rsid w:val="001308B6"/>
    <w:rsid w:val="0013121F"/>
    <w:rsid w:val="00131C77"/>
    <w:rsid w:val="00131FE6"/>
    <w:rsid w:val="0013263F"/>
    <w:rsid w:val="0013275B"/>
    <w:rsid w:val="001331DF"/>
    <w:rsid w:val="00134DE4"/>
    <w:rsid w:val="0014034D"/>
    <w:rsid w:val="00141E5D"/>
    <w:rsid w:val="00144D16"/>
    <w:rsid w:val="00150E59"/>
    <w:rsid w:val="00152DE3"/>
    <w:rsid w:val="00164CF9"/>
    <w:rsid w:val="001667A6"/>
    <w:rsid w:val="00166D24"/>
    <w:rsid w:val="00173948"/>
    <w:rsid w:val="00173B28"/>
    <w:rsid w:val="00184AD6"/>
    <w:rsid w:val="00187265"/>
    <w:rsid w:val="00196D4F"/>
    <w:rsid w:val="00196F58"/>
    <w:rsid w:val="001A4AF7"/>
    <w:rsid w:val="001B0349"/>
    <w:rsid w:val="001B1E93"/>
    <w:rsid w:val="001B65C1"/>
    <w:rsid w:val="001C0E35"/>
    <w:rsid w:val="001C684B"/>
    <w:rsid w:val="001C70C6"/>
    <w:rsid w:val="001D0CFB"/>
    <w:rsid w:val="001D21AF"/>
    <w:rsid w:val="001D53FC"/>
    <w:rsid w:val="001D614A"/>
    <w:rsid w:val="001F42A5"/>
    <w:rsid w:val="001F7B9D"/>
    <w:rsid w:val="00201C93"/>
    <w:rsid w:val="00204030"/>
    <w:rsid w:val="002224B4"/>
    <w:rsid w:val="002238AE"/>
    <w:rsid w:val="002447EF"/>
    <w:rsid w:val="00250CB2"/>
    <w:rsid w:val="00251550"/>
    <w:rsid w:val="0025783D"/>
    <w:rsid w:val="00263B05"/>
    <w:rsid w:val="002652EE"/>
    <w:rsid w:val="0027221A"/>
    <w:rsid w:val="00275B61"/>
    <w:rsid w:val="002773B4"/>
    <w:rsid w:val="00280FAF"/>
    <w:rsid w:val="00282656"/>
    <w:rsid w:val="00296B83"/>
    <w:rsid w:val="002A1DCD"/>
    <w:rsid w:val="002B4015"/>
    <w:rsid w:val="002B78CE"/>
    <w:rsid w:val="002C2FB6"/>
    <w:rsid w:val="002D0860"/>
    <w:rsid w:val="002E5FA7"/>
    <w:rsid w:val="002F3309"/>
    <w:rsid w:val="003008CE"/>
    <w:rsid w:val="003009B7"/>
    <w:rsid w:val="00300E56"/>
    <w:rsid w:val="0030152C"/>
    <w:rsid w:val="00301D80"/>
    <w:rsid w:val="0030469C"/>
    <w:rsid w:val="00312AD7"/>
    <w:rsid w:val="00321CA6"/>
    <w:rsid w:val="00323763"/>
    <w:rsid w:val="00323C5F"/>
    <w:rsid w:val="00327E41"/>
    <w:rsid w:val="00334C09"/>
    <w:rsid w:val="00361551"/>
    <w:rsid w:val="003723D4"/>
    <w:rsid w:val="00374B3B"/>
    <w:rsid w:val="00381905"/>
    <w:rsid w:val="00384CC8"/>
    <w:rsid w:val="003871FD"/>
    <w:rsid w:val="003914EB"/>
    <w:rsid w:val="003A1E30"/>
    <w:rsid w:val="003A2829"/>
    <w:rsid w:val="003A7D1C"/>
    <w:rsid w:val="003B304B"/>
    <w:rsid w:val="003B3146"/>
    <w:rsid w:val="003D2871"/>
    <w:rsid w:val="003D491E"/>
    <w:rsid w:val="003E034C"/>
    <w:rsid w:val="003E1AB7"/>
    <w:rsid w:val="003F015E"/>
    <w:rsid w:val="00400414"/>
    <w:rsid w:val="00413C49"/>
    <w:rsid w:val="0041446B"/>
    <w:rsid w:val="00427994"/>
    <w:rsid w:val="0044071E"/>
    <w:rsid w:val="0044329C"/>
    <w:rsid w:val="00452E69"/>
    <w:rsid w:val="00453E24"/>
    <w:rsid w:val="00457456"/>
    <w:rsid w:val="004577FE"/>
    <w:rsid w:val="00457B9C"/>
    <w:rsid w:val="0046164A"/>
    <w:rsid w:val="004628D2"/>
    <w:rsid w:val="00462DCD"/>
    <w:rsid w:val="004648AD"/>
    <w:rsid w:val="004703A9"/>
    <w:rsid w:val="004760DE"/>
    <w:rsid w:val="004763D7"/>
    <w:rsid w:val="00485327"/>
    <w:rsid w:val="0049332E"/>
    <w:rsid w:val="004A004E"/>
    <w:rsid w:val="004A24CF"/>
    <w:rsid w:val="004C3D1D"/>
    <w:rsid w:val="004C3D84"/>
    <w:rsid w:val="004C7913"/>
    <w:rsid w:val="004D5B50"/>
    <w:rsid w:val="004E2048"/>
    <w:rsid w:val="004E4DD6"/>
    <w:rsid w:val="004F5E36"/>
    <w:rsid w:val="00506EB4"/>
    <w:rsid w:val="00507B47"/>
    <w:rsid w:val="00507BEF"/>
    <w:rsid w:val="00507CC9"/>
    <w:rsid w:val="005119A5"/>
    <w:rsid w:val="00512130"/>
    <w:rsid w:val="00522007"/>
    <w:rsid w:val="00526B7C"/>
    <w:rsid w:val="005278B7"/>
    <w:rsid w:val="00532016"/>
    <w:rsid w:val="005346C8"/>
    <w:rsid w:val="00543E7D"/>
    <w:rsid w:val="00547A68"/>
    <w:rsid w:val="005531C9"/>
    <w:rsid w:val="005618DB"/>
    <w:rsid w:val="0056399D"/>
    <w:rsid w:val="00570C41"/>
    <w:rsid w:val="00570C43"/>
    <w:rsid w:val="00580058"/>
    <w:rsid w:val="00581ED8"/>
    <w:rsid w:val="005B2110"/>
    <w:rsid w:val="005B61E6"/>
    <w:rsid w:val="005C77E1"/>
    <w:rsid w:val="005D2C0B"/>
    <w:rsid w:val="005D668A"/>
    <w:rsid w:val="005D6A2F"/>
    <w:rsid w:val="005E1A82"/>
    <w:rsid w:val="005E794C"/>
    <w:rsid w:val="005F0A28"/>
    <w:rsid w:val="005F0E5E"/>
    <w:rsid w:val="006000FD"/>
    <w:rsid w:val="00600535"/>
    <w:rsid w:val="00610CD6"/>
    <w:rsid w:val="00620DEE"/>
    <w:rsid w:val="00621F92"/>
    <w:rsid w:val="0062280A"/>
    <w:rsid w:val="00624D27"/>
    <w:rsid w:val="00625639"/>
    <w:rsid w:val="00631B33"/>
    <w:rsid w:val="0064184D"/>
    <w:rsid w:val="006422CC"/>
    <w:rsid w:val="0064613A"/>
    <w:rsid w:val="00660E3E"/>
    <w:rsid w:val="00662E74"/>
    <w:rsid w:val="00680C23"/>
    <w:rsid w:val="00682101"/>
    <w:rsid w:val="00685CA8"/>
    <w:rsid w:val="00687B51"/>
    <w:rsid w:val="00693766"/>
    <w:rsid w:val="006A2D8B"/>
    <w:rsid w:val="006A3281"/>
    <w:rsid w:val="006A6240"/>
    <w:rsid w:val="006B46F9"/>
    <w:rsid w:val="006B4888"/>
    <w:rsid w:val="006C2E45"/>
    <w:rsid w:val="006C359C"/>
    <w:rsid w:val="006C5579"/>
    <w:rsid w:val="006D6E8B"/>
    <w:rsid w:val="006E737D"/>
    <w:rsid w:val="006F17ED"/>
    <w:rsid w:val="00713973"/>
    <w:rsid w:val="00713DD7"/>
    <w:rsid w:val="0072008F"/>
    <w:rsid w:val="00720A24"/>
    <w:rsid w:val="00724F0E"/>
    <w:rsid w:val="00732386"/>
    <w:rsid w:val="0073514D"/>
    <w:rsid w:val="007447F3"/>
    <w:rsid w:val="0075499F"/>
    <w:rsid w:val="00764C4C"/>
    <w:rsid w:val="007661C8"/>
    <w:rsid w:val="0077098D"/>
    <w:rsid w:val="007775C4"/>
    <w:rsid w:val="0078342F"/>
    <w:rsid w:val="007931FA"/>
    <w:rsid w:val="007A4861"/>
    <w:rsid w:val="007A7BBA"/>
    <w:rsid w:val="007B0C50"/>
    <w:rsid w:val="007B48F9"/>
    <w:rsid w:val="007C1A43"/>
    <w:rsid w:val="007D0951"/>
    <w:rsid w:val="007E0D9F"/>
    <w:rsid w:val="0080013E"/>
    <w:rsid w:val="00801FD0"/>
    <w:rsid w:val="00813288"/>
    <w:rsid w:val="008168FC"/>
    <w:rsid w:val="00823168"/>
    <w:rsid w:val="00830996"/>
    <w:rsid w:val="008345F1"/>
    <w:rsid w:val="00836A5D"/>
    <w:rsid w:val="0086587C"/>
    <w:rsid w:val="00865B07"/>
    <w:rsid w:val="008667EA"/>
    <w:rsid w:val="0087637F"/>
    <w:rsid w:val="00876A85"/>
    <w:rsid w:val="00887BE6"/>
    <w:rsid w:val="00892AD5"/>
    <w:rsid w:val="008A1512"/>
    <w:rsid w:val="008B7A42"/>
    <w:rsid w:val="008D32B9"/>
    <w:rsid w:val="008D433B"/>
    <w:rsid w:val="008D4A16"/>
    <w:rsid w:val="008E1F78"/>
    <w:rsid w:val="008E297D"/>
    <w:rsid w:val="008E31B9"/>
    <w:rsid w:val="008E566E"/>
    <w:rsid w:val="0090161A"/>
    <w:rsid w:val="00901EB6"/>
    <w:rsid w:val="00904C62"/>
    <w:rsid w:val="00905303"/>
    <w:rsid w:val="00906368"/>
    <w:rsid w:val="00922BA8"/>
    <w:rsid w:val="00924DAC"/>
    <w:rsid w:val="00927058"/>
    <w:rsid w:val="00942750"/>
    <w:rsid w:val="009450CE"/>
    <w:rsid w:val="009459BB"/>
    <w:rsid w:val="00946349"/>
    <w:rsid w:val="00947179"/>
    <w:rsid w:val="0095164B"/>
    <w:rsid w:val="00954090"/>
    <w:rsid w:val="009573E7"/>
    <w:rsid w:val="00963E05"/>
    <w:rsid w:val="00964A45"/>
    <w:rsid w:val="00967843"/>
    <w:rsid w:val="00967D54"/>
    <w:rsid w:val="00970EBE"/>
    <w:rsid w:val="00971028"/>
    <w:rsid w:val="00993B84"/>
    <w:rsid w:val="00996483"/>
    <w:rsid w:val="00996F5A"/>
    <w:rsid w:val="009A74AF"/>
    <w:rsid w:val="009B041A"/>
    <w:rsid w:val="009B3ADC"/>
    <w:rsid w:val="009C37C3"/>
    <w:rsid w:val="009C7C86"/>
    <w:rsid w:val="009D2FF7"/>
    <w:rsid w:val="009E06B0"/>
    <w:rsid w:val="009E7884"/>
    <w:rsid w:val="009E788A"/>
    <w:rsid w:val="009F0E08"/>
    <w:rsid w:val="009F22ED"/>
    <w:rsid w:val="00A02873"/>
    <w:rsid w:val="00A1763D"/>
    <w:rsid w:val="00A17CEC"/>
    <w:rsid w:val="00A270E2"/>
    <w:rsid w:val="00A27EF0"/>
    <w:rsid w:val="00A3461A"/>
    <w:rsid w:val="00A42361"/>
    <w:rsid w:val="00A50B20"/>
    <w:rsid w:val="00A51390"/>
    <w:rsid w:val="00A60D13"/>
    <w:rsid w:val="00A63E3B"/>
    <w:rsid w:val="00A64B78"/>
    <w:rsid w:val="00A6687A"/>
    <w:rsid w:val="00A7223D"/>
    <w:rsid w:val="00A72745"/>
    <w:rsid w:val="00A758DA"/>
    <w:rsid w:val="00A76EFC"/>
    <w:rsid w:val="00A87A2C"/>
    <w:rsid w:val="00A87D50"/>
    <w:rsid w:val="00A91010"/>
    <w:rsid w:val="00A97F29"/>
    <w:rsid w:val="00AA037B"/>
    <w:rsid w:val="00AA06BC"/>
    <w:rsid w:val="00AA702E"/>
    <w:rsid w:val="00AA7D26"/>
    <w:rsid w:val="00AB0964"/>
    <w:rsid w:val="00AB0FB0"/>
    <w:rsid w:val="00AB5011"/>
    <w:rsid w:val="00AC1298"/>
    <w:rsid w:val="00AC7368"/>
    <w:rsid w:val="00AD16B9"/>
    <w:rsid w:val="00AD369F"/>
    <w:rsid w:val="00AE377D"/>
    <w:rsid w:val="00AE6FFD"/>
    <w:rsid w:val="00AF0EBA"/>
    <w:rsid w:val="00AF27C8"/>
    <w:rsid w:val="00B02C8A"/>
    <w:rsid w:val="00B1615B"/>
    <w:rsid w:val="00B170F8"/>
    <w:rsid w:val="00B17FBD"/>
    <w:rsid w:val="00B315A6"/>
    <w:rsid w:val="00B31813"/>
    <w:rsid w:val="00B33365"/>
    <w:rsid w:val="00B53F79"/>
    <w:rsid w:val="00B57B36"/>
    <w:rsid w:val="00B57E6F"/>
    <w:rsid w:val="00B655DC"/>
    <w:rsid w:val="00B709DC"/>
    <w:rsid w:val="00B7343B"/>
    <w:rsid w:val="00B8686D"/>
    <w:rsid w:val="00B87B23"/>
    <w:rsid w:val="00B93F69"/>
    <w:rsid w:val="00BB1DDC"/>
    <w:rsid w:val="00BC30C9"/>
    <w:rsid w:val="00BD077D"/>
    <w:rsid w:val="00BD643F"/>
    <w:rsid w:val="00BE3E58"/>
    <w:rsid w:val="00C01616"/>
    <w:rsid w:val="00C0162B"/>
    <w:rsid w:val="00C0399E"/>
    <w:rsid w:val="00C068ED"/>
    <w:rsid w:val="00C22E0C"/>
    <w:rsid w:val="00C345B1"/>
    <w:rsid w:val="00C40142"/>
    <w:rsid w:val="00C41652"/>
    <w:rsid w:val="00C52C3C"/>
    <w:rsid w:val="00C57182"/>
    <w:rsid w:val="00C57863"/>
    <w:rsid w:val="00C62850"/>
    <w:rsid w:val="00C640AF"/>
    <w:rsid w:val="00C655FD"/>
    <w:rsid w:val="00C75407"/>
    <w:rsid w:val="00C85AFB"/>
    <w:rsid w:val="00C870A8"/>
    <w:rsid w:val="00C94434"/>
    <w:rsid w:val="00C94615"/>
    <w:rsid w:val="00CA0D75"/>
    <w:rsid w:val="00CA1C95"/>
    <w:rsid w:val="00CA533A"/>
    <w:rsid w:val="00CA5A9C"/>
    <w:rsid w:val="00CA6658"/>
    <w:rsid w:val="00CC4C20"/>
    <w:rsid w:val="00CC6725"/>
    <w:rsid w:val="00CD3517"/>
    <w:rsid w:val="00CD5FE2"/>
    <w:rsid w:val="00CE7C68"/>
    <w:rsid w:val="00CF4018"/>
    <w:rsid w:val="00CF4188"/>
    <w:rsid w:val="00CF76FF"/>
    <w:rsid w:val="00CF79F1"/>
    <w:rsid w:val="00CF7CC1"/>
    <w:rsid w:val="00D02B4C"/>
    <w:rsid w:val="00D040C4"/>
    <w:rsid w:val="00D20AD1"/>
    <w:rsid w:val="00D268CE"/>
    <w:rsid w:val="00D26DEC"/>
    <w:rsid w:val="00D40E5F"/>
    <w:rsid w:val="00D41926"/>
    <w:rsid w:val="00D46B7E"/>
    <w:rsid w:val="00D52490"/>
    <w:rsid w:val="00D5613C"/>
    <w:rsid w:val="00D57C84"/>
    <w:rsid w:val="00D6057D"/>
    <w:rsid w:val="00D709A4"/>
    <w:rsid w:val="00D71640"/>
    <w:rsid w:val="00D836C5"/>
    <w:rsid w:val="00D84576"/>
    <w:rsid w:val="00D90806"/>
    <w:rsid w:val="00DA115E"/>
    <w:rsid w:val="00DA1399"/>
    <w:rsid w:val="00DA24C6"/>
    <w:rsid w:val="00DA4D7B"/>
    <w:rsid w:val="00DA4E2A"/>
    <w:rsid w:val="00DC33C0"/>
    <w:rsid w:val="00DD0B4A"/>
    <w:rsid w:val="00DD271C"/>
    <w:rsid w:val="00DD473C"/>
    <w:rsid w:val="00DE264A"/>
    <w:rsid w:val="00DF293A"/>
    <w:rsid w:val="00DF5072"/>
    <w:rsid w:val="00E000AE"/>
    <w:rsid w:val="00E02D18"/>
    <w:rsid w:val="00E038D1"/>
    <w:rsid w:val="00E041E7"/>
    <w:rsid w:val="00E17D64"/>
    <w:rsid w:val="00E21829"/>
    <w:rsid w:val="00E23CA1"/>
    <w:rsid w:val="00E25D3D"/>
    <w:rsid w:val="00E270F6"/>
    <w:rsid w:val="00E40656"/>
    <w:rsid w:val="00E409A8"/>
    <w:rsid w:val="00E509B2"/>
    <w:rsid w:val="00E50C12"/>
    <w:rsid w:val="00E56C1A"/>
    <w:rsid w:val="00E627EB"/>
    <w:rsid w:val="00E65B91"/>
    <w:rsid w:val="00E7209D"/>
    <w:rsid w:val="00E72EAD"/>
    <w:rsid w:val="00E77223"/>
    <w:rsid w:val="00E8528B"/>
    <w:rsid w:val="00E85B94"/>
    <w:rsid w:val="00E978D0"/>
    <w:rsid w:val="00EA4613"/>
    <w:rsid w:val="00EA51AA"/>
    <w:rsid w:val="00EA7721"/>
    <w:rsid w:val="00EA7EAD"/>
    <w:rsid w:val="00EA7F91"/>
    <w:rsid w:val="00EB1523"/>
    <w:rsid w:val="00EB297B"/>
    <w:rsid w:val="00EB2F82"/>
    <w:rsid w:val="00EB618E"/>
    <w:rsid w:val="00EC0E49"/>
    <w:rsid w:val="00EC101F"/>
    <w:rsid w:val="00EC1D9F"/>
    <w:rsid w:val="00EE0131"/>
    <w:rsid w:val="00EE17B0"/>
    <w:rsid w:val="00EF06D9"/>
    <w:rsid w:val="00F3049E"/>
    <w:rsid w:val="00F30C64"/>
    <w:rsid w:val="00F32BA2"/>
    <w:rsid w:val="00F32CDB"/>
    <w:rsid w:val="00F341A6"/>
    <w:rsid w:val="00F35C7F"/>
    <w:rsid w:val="00F565FE"/>
    <w:rsid w:val="00F63A70"/>
    <w:rsid w:val="00F63D8C"/>
    <w:rsid w:val="00F7534E"/>
    <w:rsid w:val="00F8085A"/>
    <w:rsid w:val="00F84A39"/>
    <w:rsid w:val="00F87E59"/>
    <w:rsid w:val="00F929BE"/>
    <w:rsid w:val="00F93EDF"/>
    <w:rsid w:val="00FA068D"/>
    <w:rsid w:val="00FA1802"/>
    <w:rsid w:val="00FA21D0"/>
    <w:rsid w:val="00FA2285"/>
    <w:rsid w:val="00FA5F5F"/>
    <w:rsid w:val="00FB3E9F"/>
    <w:rsid w:val="00FB730C"/>
    <w:rsid w:val="00FC2695"/>
    <w:rsid w:val="00FC3E03"/>
    <w:rsid w:val="00FC3FC1"/>
    <w:rsid w:val="00FC5B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6587C"/>
    <w:pPr>
      <w:keepNext/>
      <w:suppressAutoHyphens/>
      <w:spacing w:after="0" w:line="264"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qFormat/>
    <w:rsid w:val="0086587C"/>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ListParagraph">
    <w:name w:val="List Paragraph"/>
    <w:basedOn w:val="Normal"/>
    <w:uiPriority w:val="34"/>
    <w:qFormat/>
    <w:rsid w:val="00280FAF"/>
    <w:pPr>
      <w:ind w:left="720"/>
      <w:contextualSpacing/>
    </w:pPr>
  </w:style>
  <w:style w:type="character" w:styleId="UnresolvedMention">
    <w:name w:val="Unresolved Mention"/>
    <w:basedOn w:val="DefaultParagraphFont"/>
    <w:uiPriority w:val="99"/>
    <w:semiHidden/>
    <w:unhideWhenUsed/>
    <w:rsid w:val="00CF4018"/>
    <w:rPr>
      <w:color w:val="605E5C"/>
      <w:shd w:val="clear" w:color="auto" w:fill="E1DFDD"/>
    </w:rPr>
  </w:style>
  <w:style w:type="character" w:styleId="PlaceholderText">
    <w:name w:val="Placeholder Text"/>
    <w:basedOn w:val="DefaultParagraphFont"/>
    <w:uiPriority w:val="99"/>
    <w:semiHidden/>
    <w:rsid w:val="00AB0FB0"/>
    <w:rPr>
      <w:color w:val="808080"/>
    </w:rPr>
  </w:style>
  <w:style w:type="paragraph" w:customStyle="1" w:styleId="CETReference0">
    <w:name w:val="CET_Reference"/>
    <w:basedOn w:val="CETHeading1"/>
    <w:qFormat/>
    <w:rsid w:val="00113B75"/>
    <w:pPr>
      <w:numPr>
        <w:ilvl w:val="0"/>
        <w:numId w:val="0"/>
      </w:numPr>
      <w:tabs>
        <w:tab w:val="left" w:pos="360"/>
      </w:tabs>
      <w:overflowPunct w:val="0"/>
      <w:spacing w:line="264"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6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4294967116</TotalTime>
  <Pages>6</Pages>
  <Words>2707</Words>
  <Characters>15435</Characters>
  <Application>Microsoft Office Word</Application>
  <DocSecurity>0</DocSecurity>
  <Lines>128</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VALERIA ALEJANDRA VILLEGAS  PINA</cp:lastModifiedBy>
  <cp:revision>43</cp:revision>
  <cp:lastPrinted>2015-05-12T16:31:00Z</cp:lastPrinted>
  <dcterms:created xsi:type="dcterms:W3CDTF">2023-02-13T12:29:00Z</dcterms:created>
  <dcterms:modified xsi:type="dcterms:W3CDTF">2023-04-04T18:21:00Z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9ca8ed66006a4897184b20b0f4b1b33e47f520c27d13648ccfd6a12ef8b132ad</vt:lpwstr>
  </property>
</Properties>
</file>