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601C9B">
        <w:trPr>
          <w:trHeight w:val="852"/>
          <w:jc w:val="center"/>
        </w:trPr>
        <w:tc>
          <w:tcPr>
            <w:tcW w:w="6940" w:type="dxa"/>
            <w:vMerge w:val="restart"/>
            <w:tcBorders>
              <w:right w:val="single" w:sz="4" w:space="0" w:color="auto"/>
            </w:tcBorders>
          </w:tcPr>
          <w:p w14:paraId="38C3D2BA" w14:textId="77777777" w:rsidR="000A03B2" w:rsidRPr="00B57B36" w:rsidRDefault="000A03B2" w:rsidP="00D373D8">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D373D8">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D373D8">
            <w:pPr>
              <w:jc w:val="right"/>
              <w:rPr>
                <w:rFonts w:cs="Arial"/>
                <w:sz w:val="14"/>
                <w:szCs w:val="14"/>
              </w:rPr>
            </w:pPr>
            <w:r w:rsidRPr="00B57B36">
              <w:rPr>
                <w:rFonts w:cs="Arial"/>
                <w:sz w:val="14"/>
                <w:szCs w:val="14"/>
              </w:rPr>
              <w:t>A publication of</w:t>
            </w:r>
          </w:p>
          <w:p w14:paraId="599E5441" w14:textId="77777777" w:rsidR="000A03B2" w:rsidRPr="00B57B36" w:rsidRDefault="000A03B2" w:rsidP="00D373D8">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601C9B">
        <w:trPr>
          <w:trHeight w:val="567"/>
          <w:jc w:val="center"/>
        </w:trPr>
        <w:tc>
          <w:tcPr>
            <w:tcW w:w="6940" w:type="dxa"/>
            <w:vMerge/>
            <w:tcBorders>
              <w:right w:val="single" w:sz="4" w:space="0" w:color="auto"/>
            </w:tcBorders>
          </w:tcPr>
          <w:p w14:paraId="39E5E4C1" w14:textId="77777777" w:rsidR="000A03B2" w:rsidRPr="00B57B36" w:rsidRDefault="000A03B2" w:rsidP="00D373D8">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D373D8">
            <w:pPr>
              <w:jc w:val="right"/>
              <w:rPr>
                <w:rFonts w:cs="Arial"/>
                <w:sz w:val="14"/>
                <w:szCs w:val="14"/>
              </w:rPr>
            </w:pPr>
            <w:r w:rsidRPr="00B57B36">
              <w:rPr>
                <w:rFonts w:cs="Arial"/>
                <w:sz w:val="14"/>
                <w:szCs w:val="14"/>
              </w:rPr>
              <w:t>The Italian Association</w:t>
            </w:r>
          </w:p>
          <w:p w14:paraId="7522B1D2" w14:textId="77777777" w:rsidR="000A03B2" w:rsidRPr="00B57B36" w:rsidRDefault="000A03B2" w:rsidP="00D373D8">
            <w:pPr>
              <w:jc w:val="right"/>
              <w:rPr>
                <w:rFonts w:cs="Arial"/>
                <w:sz w:val="14"/>
                <w:szCs w:val="14"/>
              </w:rPr>
            </w:pPr>
            <w:r w:rsidRPr="00B57B36">
              <w:rPr>
                <w:rFonts w:cs="Arial"/>
                <w:sz w:val="14"/>
                <w:szCs w:val="14"/>
              </w:rPr>
              <w:t>of Chemical Engineering</w:t>
            </w:r>
          </w:p>
          <w:p w14:paraId="4F0CC5DE" w14:textId="47FDB2FC" w:rsidR="000A03B2" w:rsidRPr="000D0268" w:rsidRDefault="000D0268" w:rsidP="00D373D8">
            <w:pPr>
              <w:jc w:val="right"/>
              <w:rPr>
                <w:rFonts w:cs="Arial"/>
                <w:sz w:val="13"/>
                <w:szCs w:val="13"/>
              </w:rPr>
            </w:pPr>
            <w:r w:rsidRPr="000D0268">
              <w:rPr>
                <w:rFonts w:cs="Arial"/>
                <w:sz w:val="13"/>
                <w:szCs w:val="13"/>
              </w:rPr>
              <w:t>Online at www.cetjournal.it</w:t>
            </w:r>
          </w:p>
        </w:tc>
      </w:tr>
      <w:tr w:rsidR="000A03B2" w:rsidRPr="00B57B36" w14:paraId="2D1B7169" w14:textId="77777777" w:rsidTr="00601C9B">
        <w:trPr>
          <w:trHeight w:val="68"/>
          <w:jc w:val="center"/>
        </w:trPr>
        <w:tc>
          <w:tcPr>
            <w:tcW w:w="8782" w:type="dxa"/>
            <w:gridSpan w:val="2"/>
          </w:tcPr>
          <w:p w14:paraId="1D8DD3C9" w14:textId="72C518CF" w:rsidR="00AA7D26" w:rsidRPr="00F93EDF" w:rsidRDefault="00AA7D26" w:rsidP="00D373D8">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D373D8">
            <w:pPr>
              <w:tabs>
                <w:tab w:val="left" w:pos="-108"/>
              </w:tabs>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10DF283" w:rsidR="00E978D0" w:rsidRPr="00B57B36" w:rsidRDefault="00601FDC" w:rsidP="00D373D8">
      <w:pPr>
        <w:pStyle w:val="CETTitle"/>
      </w:pPr>
      <w:r w:rsidRPr="00601FDC">
        <w:t>Cultivation of cyanobacteria and microalgae using simulated in-situ available resources for the production of useful bio-compounds on Mars: model</w:t>
      </w:r>
      <w:r>
        <w:t>l</w:t>
      </w:r>
      <w:r w:rsidRPr="00601FDC">
        <w:t xml:space="preserve">ing of </w:t>
      </w:r>
      <w:proofErr w:type="gramStart"/>
      <w:r w:rsidRPr="00601FDC">
        <w:t>experiments</w:t>
      </w:r>
      <w:proofErr w:type="gramEnd"/>
      <w:r w:rsidR="00601C9B">
        <w:t xml:space="preserve"> </w:t>
      </w:r>
    </w:p>
    <w:p w14:paraId="0488FED2" w14:textId="150919E9" w:rsidR="00B57E6F" w:rsidRPr="00B57B36" w:rsidRDefault="003625C2" w:rsidP="00D373D8">
      <w:pPr>
        <w:pStyle w:val="CETAuthors"/>
      </w:pPr>
      <w:r w:rsidRPr="00601C9B">
        <w:t>Eleonora Brughitta</w:t>
      </w:r>
      <w:r w:rsidRPr="00601C9B">
        <w:rPr>
          <w:vertAlign w:val="superscript"/>
        </w:rPr>
        <w:t>a</w:t>
      </w:r>
      <w:r>
        <w:t xml:space="preserve">, </w:t>
      </w:r>
      <w:r w:rsidR="008F5427" w:rsidRPr="00601C9B">
        <w:t>Federico Atzori</w:t>
      </w:r>
      <w:r w:rsidR="008F5427" w:rsidRPr="00601C9B">
        <w:rPr>
          <w:vertAlign w:val="superscript"/>
        </w:rPr>
        <w:t>b</w:t>
      </w:r>
      <w:r w:rsidR="00601C9B" w:rsidRPr="00601C9B">
        <w:t>, Emanuela Gamboni</w:t>
      </w:r>
      <w:r w:rsidR="00601C9B" w:rsidRPr="00601C9B">
        <w:rPr>
          <w:vertAlign w:val="superscript"/>
        </w:rPr>
        <w:t>a</w:t>
      </w:r>
      <w:r w:rsidR="00601C9B" w:rsidRPr="00601C9B">
        <w:t>, Stefano Foddi</w:t>
      </w:r>
      <w:r w:rsidR="00601C9B" w:rsidRPr="00601C9B">
        <w:rPr>
          <w:vertAlign w:val="superscript"/>
        </w:rPr>
        <w:t>a</w:t>
      </w:r>
      <w:r w:rsidR="00601C9B" w:rsidRPr="00601C9B">
        <w:t>,</w:t>
      </w:r>
      <w:r w:rsidR="008F5427">
        <w:t xml:space="preserve"> </w:t>
      </w:r>
      <w:r w:rsidR="00601C9B" w:rsidRPr="00601C9B">
        <w:t>Mattia Casula</w:t>
      </w:r>
      <w:r w:rsidR="00601C9B" w:rsidRPr="00601C9B">
        <w:rPr>
          <w:vertAlign w:val="superscript"/>
        </w:rPr>
        <w:t>a</w:t>
      </w:r>
      <w:r w:rsidR="00601C9B" w:rsidRPr="00601C9B">
        <w:t>, Giacomo Fais</w:t>
      </w:r>
      <w:r w:rsidR="00601C9B" w:rsidRPr="00601C9B">
        <w:rPr>
          <w:vertAlign w:val="superscript"/>
        </w:rPr>
        <w:t>a</w:t>
      </w:r>
      <w:r w:rsidR="00601C9B" w:rsidRPr="00601C9B">
        <w:t>, Alessia Manca</w:t>
      </w:r>
      <w:r w:rsidR="00601C9B" w:rsidRPr="00601C9B">
        <w:rPr>
          <w:vertAlign w:val="superscript"/>
        </w:rPr>
        <w:t>c</w:t>
      </w:r>
      <w:r w:rsidR="00601C9B" w:rsidRPr="00601C9B">
        <w:t>, Antonella Pantaleo</w:t>
      </w:r>
      <w:r w:rsidR="00601C9B" w:rsidRPr="00601C9B">
        <w:rPr>
          <w:vertAlign w:val="superscript"/>
        </w:rPr>
        <w:t>c</w:t>
      </w:r>
      <w:r w:rsidR="00601C9B" w:rsidRPr="00601C9B">
        <w:t>, Giacomo Cao</w:t>
      </w:r>
      <w:r w:rsidR="00601C9B" w:rsidRPr="00601C9B">
        <w:rPr>
          <w:vertAlign w:val="superscript"/>
        </w:rPr>
        <w:t>a,b,d,</w:t>
      </w:r>
      <w:r w:rsidR="00601C9B" w:rsidRPr="00601C9B">
        <w:t xml:space="preserve"> Alessandro Concas</w:t>
      </w:r>
      <w:r w:rsidR="00601C9B" w:rsidRPr="00601C9B">
        <w:rPr>
          <w:vertAlign w:val="superscript"/>
        </w:rPr>
        <w:t>a,d,*</w:t>
      </w:r>
    </w:p>
    <w:p w14:paraId="00C36F31" w14:textId="77777777" w:rsidR="00601C9B" w:rsidRPr="00601C9B" w:rsidRDefault="00601C9B" w:rsidP="00D373D8">
      <w:pPr>
        <w:pStyle w:val="CETemail"/>
        <w:spacing w:after="0" w:line="264" w:lineRule="auto"/>
        <w:rPr>
          <w:vertAlign w:val="superscript"/>
        </w:rPr>
      </w:pPr>
      <w:r w:rsidRPr="00601C9B">
        <w:rPr>
          <w:vertAlign w:val="superscript"/>
        </w:rPr>
        <w:t xml:space="preserve">a </w:t>
      </w:r>
      <w:r w:rsidRPr="00601C9B">
        <w:t>Interdepartmental Centre of Environmental Science and Engineering (CINSA), University of Cagliari, Via San Giorgio 12, 09124 Cagliari, Italy</w:t>
      </w:r>
    </w:p>
    <w:p w14:paraId="648D62EC" w14:textId="77777777" w:rsidR="00601C9B" w:rsidRPr="00601C9B" w:rsidRDefault="00601C9B" w:rsidP="00D373D8">
      <w:pPr>
        <w:pStyle w:val="CETemail"/>
        <w:spacing w:after="0" w:line="264" w:lineRule="auto"/>
      </w:pPr>
      <w:r w:rsidRPr="00601C9B">
        <w:rPr>
          <w:vertAlign w:val="superscript"/>
        </w:rPr>
        <w:t xml:space="preserve">b </w:t>
      </w:r>
      <w:r w:rsidRPr="00601C9B">
        <w:t>Center for Advanced Studies, Research and Development in Sardinia (CRS4), Loc. Piscina Manna, Building 1, 09050 Pula (CA), Italy.</w:t>
      </w:r>
    </w:p>
    <w:p w14:paraId="1F18D373" w14:textId="77777777" w:rsidR="00601C9B" w:rsidRPr="00601C9B" w:rsidRDefault="00601C9B" w:rsidP="00D373D8">
      <w:pPr>
        <w:pStyle w:val="CETemail"/>
        <w:spacing w:after="0" w:line="264" w:lineRule="auto"/>
        <w:rPr>
          <w:vertAlign w:val="superscript"/>
        </w:rPr>
      </w:pPr>
      <w:r w:rsidRPr="00601C9B">
        <w:rPr>
          <w:vertAlign w:val="superscript"/>
        </w:rPr>
        <w:t xml:space="preserve">c </w:t>
      </w:r>
      <w:r w:rsidRPr="00601C9B">
        <w:t>Department of Biomedical Science, University of Sassari, Viale San Pietro, 07100 Sassari, Italy.</w:t>
      </w:r>
    </w:p>
    <w:p w14:paraId="73F1267A" w14:textId="0A937309" w:rsidR="00B57E6F" w:rsidRDefault="00601C9B" w:rsidP="00D373D8">
      <w:pPr>
        <w:pStyle w:val="CETemail"/>
        <w:spacing w:after="0" w:line="264" w:lineRule="auto"/>
      </w:pPr>
      <w:r w:rsidRPr="00601C9B">
        <w:rPr>
          <w:vertAlign w:val="superscript"/>
        </w:rPr>
        <w:t xml:space="preserve">d </w:t>
      </w:r>
      <w:r w:rsidRPr="00601C9B">
        <w:t>Department of Mechanical, Chemical and Materials Engineering, University of Cagliari, Via Marengo 2, 09123 Cagliari, Italy.</w:t>
      </w:r>
    </w:p>
    <w:p w14:paraId="55B0C86E" w14:textId="1F53F830" w:rsidR="00601C9B" w:rsidRDefault="00601C9B" w:rsidP="00D373D8">
      <w:pPr>
        <w:pStyle w:val="CETBodytext"/>
        <w:rPr>
          <w:lang w:val="en-GB"/>
        </w:rPr>
      </w:pPr>
    </w:p>
    <w:p w14:paraId="73651BC8" w14:textId="4BF9D147" w:rsidR="00CB48A3" w:rsidRPr="00601C9B" w:rsidRDefault="00CB48A3" w:rsidP="00D373D8">
      <w:pPr>
        <w:pStyle w:val="CETBodytext"/>
        <w:rPr>
          <w:lang w:val="en-GB"/>
        </w:rPr>
      </w:pPr>
      <w:r w:rsidRPr="00CB48A3">
        <w:rPr>
          <w:lang w:val="en-GB"/>
        </w:rPr>
        <w:t xml:space="preserve">To increase the likelihood of successful long-term manned missions to Mars, it is necessary to explore the potential for utilizing in-situ resources to cultivate microalgae for food and supplement production. This study examines the feasibility of growing </w:t>
      </w:r>
      <w:r w:rsidRPr="000151B4">
        <w:rPr>
          <w:i/>
          <w:iCs/>
          <w:lang w:val="en-GB"/>
        </w:rPr>
        <w:t xml:space="preserve">Spirulina </w:t>
      </w:r>
      <w:r w:rsidR="00982561">
        <w:rPr>
          <w:i/>
          <w:iCs/>
          <w:lang w:val="en-GB"/>
        </w:rPr>
        <w:t>platensis</w:t>
      </w:r>
      <w:r w:rsidRPr="00CB48A3">
        <w:rPr>
          <w:lang w:val="en-GB"/>
        </w:rPr>
        <w:t xml:space="preserve"> in a medium consisting of high volume percentages of Martian Medium, which is produced using resources available on Mars, such as regolith, atmospheric CO</w:t>
      </w:r>
      <w:r w:rsidRPr="00CB48A3">
        <w:rPr>
          <w:vertAlign w:val="subscript"/>
          <w:lang w:val="en-GB"/>
        </w:rPr>
        <w:t>2</w:t>
      </w:r>
      <w:r w:rsidRPr="00CB48A3">
        <w:rPr>
          <w:lang w:val="en-GB"/>
        </w:rPr>
        <w:t xml:space="preserve">, and astronauts' urine. An experimental activity is </w:t>
      </w:r>
      <w:r w:rsidR="009122C4">
        <w:rPr>
          <w:lang w:val="en-GB"/>
        </w:rPr>
        <w:t>performed</w:t>
      </w:r>
      <w:r w:rsidRPr="00CB48A3">
        <w:rPr>
          <w:lang w:val="en-GB"/>
        </w:rPr>
        <w:t xml:space="preserve"> to simulate the microalgae growth process on Mars, demonstrating good productivity. A mathematical model is developed to describe biomass growth dynamics as a function of pH, light intensity, microgravity, and nutrient concentration. The model is validated and then utilized to identify optimal operating conditions for maximizing biomass productivity on Mars and meeting </w:t>
      </w:r>
      <w:r w:rsidR="000151B4">
        <w:rPr>
          <w:lang w:val="en-GB"/>
        </w:rPr>
        <w:t xml:space="preserve">finding </w:t>
      </w:r>
      <w:r w:rsidRPr="00CB48A3">
        <w:rPr>
          <w:lang w:val="en-GB"/>
        </w:rPr>
        <w:t xml:space="preserve">the </w:t>
      </w:r>
      <w:r w:rsidR="000151B4">
        <w:rPr>
          <w:lang w:val="en-GB"/>
        </w:rPr>
        <w:t xml:space="preserve">nutritional </w:t>
      </w:r>
      <w:r w:rsidRPr="00CB48A3">
        <w:rPr>
          <w:lang w:val="en-GB"/>
        </w:rPr>
        <w:t>and supplement needs of a six-member crew.</w:t>
      </w:r>
    </w:p>
    <w:p w14:paraId="476B2F2E" w14:textId="77777777" w:rsidR="00600535" w:rsidRPr="00B57B36" w:rsidRDefault="00600535" w:rsidP="00D373D8">
      <w:pPr>
        <w:pStyle w:val="CETHeading1"/>
        <w:spacing w:line="264" w:lineRule="auto"/>
        <w:rPr>
          <w:lang w:val="en-GB"/>
        </w:rPr>
      </w:pPr>
      <w:r w:rsidRPr="00B57B36">
        <w:rPr>
          <w:lang w:val="en-GB"/>
        </w:rPr>
        <w:t>Introduction</w:t>
      </w:r>
    </w:p>
    <w:p w14:paraId="6EAA2721" w14:textId="19304485" w:rsidR="002617D9" w:rsidRDefault="00601C9B" w:rsidP="00D373D8">
      <w:pPr>
        <w:pStyle w:val="CETListbullets"/>
        <w:ind w:left="0" w:firstLine="0"/>
        <w:rPr>
          <w:color w:val="000000" w:themeColor="text1"/>
        </w:rPr>
      </w:pPr>
      <w:r w:rsidRPr="002617D9">
        <w:rPr>
          <w:color w:val="000000" w:themeColor="text1"/>
        </w:rPr>
        <w:t xml:space="preserve">Earth resources depletion and the climate crisis require the identification of new sustainable strategies to produce the resources humanity needs. </w:t>
      </w:r>
      <w:r w:rsidR="009122C4" w:rsidRPr="002617D9">
        <w:rPr>
          <w:color w:val="000000" w:themeColor="text1"/>
        </w:rPr>
        <w:t xml:space="preserve"> A long-term solution to this problem could be the exploitation of extra-terrestrial resources. </w:t>
      </w:r>
      <w:r w:rsidRPr="002617D9">
        <w:rPr>
          <w:color w:val="000000" w:themeColor="text1"/>
        </w:rPr>
        <w:t xml:space="preserve">According to ISRU (In Situ Resource Utilization) paradigm, Mars is the best candidate to host humanity, due to </w:t>
      </w:r>
      <w:r w:rsidR="009122C4" w:rsidRPr="002617D9">
        <w:rPr>
          <w:color w:val="000000" w:themeColor="text1"/>
        </w:rPr>
        <w:t xml:space="preserve">the </w:t>
      </w:r>
      <w:r w:rsidRPr="002617D9">
        <w:rPr>
          <w:color w:val="000000" w:themeColor="text1"/>
        </w:rPr>
        <w:t xml:space="preserve">availability </w:t>
      </w:r>
      <w:r w:rsidR="009122C4" w:rsidRPr="002617D9">
        <w:rPr>
          <w:color w:val="000000" w:themeColor="text1"/>
        </w:rPr>
        <w:t xml:space="preserve">of resources </w:t>
      </w:r>
      <w:r w:rsidRPr="002617D9">
        <w:rPr>
          <w:color w:val="000000" w:themeColor="text1"/>
        </w:rPr>
        <w:t>such as atmospheric CO</w:t>
      </w:r>
      <w:r w:rsidRPr="002617D9">
        <w:rPr>
          <w:color w:val="000000" w:themeColor="text1"/>
          <w:vertAlign w:val="subscript"/>
        </w:rPr>
        <w:t>2</w:t>
      </w:r>
      <w:r w:rsidRPr="002617D9">
        <w:rPr>
          <w:color w:val="000000" w:themeColor="text1"/>
        </w:rPr>
        <w:t xml:space="preserve">, water and regolith which might be </w:t>
      </w:r>
      <w:r w:rsidR="009122C4" w:rsidRPr="002617D9">
        <w:rPr>
          <w:color w:val="000000" w:themeColor="text1"/>
        </w:rPr>
        <w:t xml:space="preserve">suitably processed </w:t>
      </w:r>
      <w:r w:rsidRPr="002617D9">
        <w:rPr>
          <w:color w:val="000000" w:themeColor="text1"/>
        </w:rPr>
        <w:t xml:space="preserve">to produce useful </w:t>
      </w:r>
      <w:r w:rsidR="009122C4" w:rsidRPr="002617D9">
        <w:rPr>
          <w:color w:val="000000" w:themeColor="text1"/>
        </w:rPr>
        <w:t>crucial consumables such as oxygen, water and food</w:t>
      </w:r>
      <w:r w:rsidRPr="002617D9">
        <w:rPr>
          <w:color w:val="000000" w:themeColor="text1"/>
        </w:rPr>
        <w:t xml:space="preserve"> (</w:t>
      </w:r>
      <w:r w:rsidR="00D02AE5">
        <w:rPr>
          <w:color w:val="000000" w:themeColor="text1"/>
        </w:rPr>
        <w:t>Fais et al., 2022a</w:t>
      </w:r>
      <w:r w:rsidRPr="002617D9">
        <w:rPr>
          <w:color w:val="000000" w:themeColor="text1"/>
        </w:rPr>
        <w:t>).</w:t>
      </w:r>
      <w:r w:rsidR="009122C4" w:rsidRPr="002617D9">
        <w:rPr>
          <w:color w:val="000000" w:themeColor="text1"/>
        </w:rPr>
        <w:t xml:space="preserve"> Nevertheless,</w:t>
      </w:r>
      <w:r w:rsidRPr="002617D9">
        <w:rPr>
          <w:color w:val="000000" w:themeColor="text1"/>
        </w:rPr>
        <w:t xml:space="preserve"> </w:t>
      </w:r>
      <w:r w:rsidR="009122C4" w:rsidRPr="002617D9">
        <w:rPr>
          <w:color w:val="000000" w:themeColor="text1"/>
        </w:rPr>
        <w:t>m</w:t>
      </w:r>
      <w:r w:rsidRPr="002617D9">
        <w:rPr>
          <w:color w:val="000000" w:themeColor="text1"/>
        </w:rPr>
        <w:t xml:space="preserve">ost ISRU technologies </w:t>
      </w:r>
      <w:r w:rsidR="009122C4" w:rsidRPr="002617D9">
        <w:rPr>
          <w:color w:val="000000" w:themeColor="text1"/>
        </w:rPr>
        <w:t xml:space="preserve">so far proposed rely </w:t>
      </w:r>
      <w:r w:rsidRPr="002617D9">
        <w:rPr>
          <w:color w:val="000000" w:themeColor="text1"/>
        </w:rPr>
        <w:t>on physic-chemical methods to produce oxygen and propellants but cannot contribute to food production (</w:t>
      </w:r>
      <w:r w:rsidR="00081E58">
        <w:rPr>
          <w:color w:val="000000" w:themeColor="text1"/>
        </w:rPr>
        <w:t xml:space="preserve">De </w:t>
      </w:r>
      <w:r w:rsidRPr="002617D9">
        <w:rPr>
          <w:color w:val="000000" w:themeColor="text1"/>
        </w:rPr>
        <w:t xml:space="preserve">Man et al., 2019). </w:t>
      </w:r>
      <w:r w:rsidR="009122C4" w:rsidRPr="002617D9">
        <w:rPr>
          <w:color w:val="000000" w:themeColor="text1"/>
        </w:rPr>
        <w:t xml:space="preserve">Therefore, further research activity is needed </w:t>
      </w:r>
      <w:r w:rsidR="002617D9">
        <w:rPr>
          <w:color w:val="000000" w:themeColor="text1"/>
        </w:rPr>
        <w:t>to investigate</w:t>
      </w:r>
      <w:r w:rsidR="009122C4" w:rsidRPr="002617D9">
        <w:rPr>
          <w:color w:val="000000" w:themeColor="text1"/>
        </w:rPr>
        <w:t xml:space="preserve"> the potential use of ISRU technologies to obtain dry food </w:t>
      </w:r>
      <w:proofErr w:type="gramStart"/>
      <w:r w:rsidR="009122C4" w:rsidRPr="002617D9">
        <w:rPr>
          <w:color w:val="000000" w:themeColor="text1"/>
        </w:rPr>
        <w:t>and,</w:t>
      </w:r>
      <w:proofErr w:type="gramEnd"/>
      <w:r w:rsidR="009122C4" w:rsidRPr="002617D9">
        <w:rPr>
          <w:color w:val="000000" w:themeColor="text1"/>
        </w:rPr>
        <w:t xml:space="preserve"> then, sustain manned missions on Mars. In this regard</w:t>
      </w:r>
      <w:r w:rsidRPr="002617D9">
        <w:rPr>
          <w:color w:val="000000" w:themeColor="text1"/>
        </w:rPr>
        <w:t>,</w:t>
      </w:r>
      <w:r w:rsidR="009122C4" w:rsidRPr="002617D9">
        <w:rPr>
          <w:color w:val="000000" w:themeColor="text1"/>
        </w:rPr>
        <w:t xml:space="preserve"> the use of</w:t>
      </w:r>
      <w:r w:rsidRPr="002617D9">
        <w:rPr>
          <w:color w:val="000000" w:themeColor="text1"/>
        </w:rPr>
        <w:t xml:space="preserve"> microalgae to obtain </w:t>
      </w:r>
      <w:r w:rsidR="009122C4" w:rsidRPr="002617D9">
        <w:rPr>
          <w:color w:val="000000" w:themeColor="text1"/>
        </w:rPr>
        <w:t xml:space="preserve">photosynthetic oxygen and </w:t>
      </w:r>
      <w:r w:rsidRPr="002617D9">
        <w:rPr>
          <w:color w:val="000000" w:themeColor="text1"/>
        </w:rPr>
        <w:t xml:space="preserve">edible biomass </w:t>
      </w:r>
      <w:r w:rsidR="009122C4" w:rsidRPr="002617D9">
        <w:rPr>
          <w:color w:val="000000" w:themeColor="text1"/>
        </w:rPr>
        <w:t xml:space="preserve">on Mars </w:t>
      </w:r>
      <w:r w:rsidRPr="002617D9">
        <w:rPr>
          <w:color w:val="000000" w:themeColor="text1"/>
        </w:rPr>
        <w:t xml:space="preserve">is gaining increasing interest (Billi et al., 2021). </w:t>
      </w:r>
      <w:r w:rsidR="009122C4" w:rsidRPr="002617D9">
        <w:rPr>
          <w:color w:val="000000" w:themeColor="text1"/>
        </w:rPr>
        <w:t>In this view</w:t>
      </w:r>
      <w:r w:rsidR="00E8523F">
        <w:rPr>
          <w:color w:val="000000" w:themeColor="text1"/>
        </w:rPr>
        <w:t>,</w:t>
      </w:r>
      <w:r w:rsidR="009122C4" w:rsidRPr="002617D9">
        <w:rPr>
          <w:color w:val="000000" w:themeColor="text1"/>
        </w:rPr>
        <w:t xml:space="preserve"> a recent patent describes the possibility to cultivate microalgae in the framework of </w:t>
      </w:r>
      <w:r w:rsidR="00E8523F">
        <w:rPr>
          <w:color w:val="000000" w:themeColor="text1"/>
        </w:rPr>
        <w:t xml:space="preserve">the </w:t>
      </w:r>
      <w:r w:rsidR="009122C4" w:rsidRPr="002617D9">
        <w:rPr>
          <w:color w:val="000000" w:themeColor="text1"/>
        </w:rPr>
        <w:t xml:space="preserve">process </w:t>
      </w:r>
      <w:r w:rsidR="002617D9" w:rsidRPr="002617D9">
        <w:rPr>
          <w:color w:val="000000" w:themeColor="text1"/>
        </w:rPr>
        <w:t>to be implemented on Mars that exploits local natural resources</w:t>
      </w:r>
      <w:r w:rsidR="002617D9">
        <w:rPr>
          <w:color w:val="000000" w:themeColor="text1"/>
        </w:rPr>
        <w:t xml:space="preserve"> (</w:t>
      </w:r>
      <w:r w:rsidR="00D02AE5">
        <w:rPr>
          <w:color w:val="000000" w:themeColor="text1"/>
        </w:rPr>
        <w:t xml:space="preserve">Fais </w:t>
      </w:r>
      <w:r w:rsidR="002617D9">
        <w:rPr>
          <w:color w:val="000000" w:themeColor="text1"/>
        </w:rPr>
        <w:t>et al.,</w:t>
      </w:r>
      <w:r w:rsidR="009F6DB7">
        <w:rPr>
          <w:color w:val="000000" w:themeColor="text1"/>
        </w:rPr>
        <w:t xml:space="preserve"> 202</w:t>
      </w:r>
      <w:r w:rsidR="00D02AE5">
        <w:rPr>
          <w:color w:val="000000" w:themeColor="text1"/>
        </w:rPr>
        <w:t>2a</w:t>
      </w:r>
      <w:r w:rsidR="002617D9">
        <w:rPr>
          <w:color w:val="000000" w:themeColor="text1"/>
        </w:rPr>
        <w:t>)</w:t>
      </w:r>
      <w:r w:rsidR="002617D9" w:rsidRPr="002617D9">
        <w:rPr>
          <w:color w:val="000000" w:themeColor="text1"/>
        </w:rPr>
        <w:t xml:space="preserve">. </w:t>
      </w:r>
      <w:r w:rsidR="00226A1F">
        <w:rPr>
          <w:color w:val="000000" w:themeColor="text1"/>
        </w:rPr>
        <w:t>This technology is base</w:t>
      </w:r>
      <w:r w:rsidR="00D53B9F">
        <w:rPr>
          <w:color w:val="000000" w:themeColor="text1"/>
        </w:rPr>
        <w:t>d</w:t>
      </w:r>
      <w:r w:rsidR="00226A1F">
        <w:rPr>
          <w:color w:val="000000" w:themeColor="text1"/>
        </w:rPr>
        <w:t xml:space="preserve"> on the coupling of a chemical-physical section with a biological one that working in synergy can produce water, oxygen, fuel for extra vehicular activity (EVA)</w:t>
      </w:r>
      <w:r w:rsidR="00D53B9F">
        <w:rPr>
          <w:color w:val="000000" w:themeColor="text1"/>
        </w:rPr>
        <w:t>, building material</w:t>
      </w:r>
      <w:r w:rsidR="00E8523F">
        <w:rPr>
          <w:color w:val="000000" w:themeColor="text1"/>
        </w:rPr>
        <w:t>,</w:t>
      </w:r>
      <w:r w:rsidR="00226A1F">
        <w:rPr>
          <w:color w:val="000000" w:themeColor="text1"/>
        </w:rPr>
        <w:t xml:space="preserve"> and food</w:t>
      </w:r>
      <w:r w:rsidR="00517FFC">
        <w:rPr>
          <w:color w:val="000000" w:themeColor="text1"/>
        </w:rPr>
        <w:t xml:space="preserve"> (Fig. 1a)</w:t>
      </w:r>
      <w:r w:rsidR="00226A1F">
        <w:rPr>
          <w:color w:val="000000" w:themeColor="text1"/>
        </w:rPr>
        <w:t xml:space="preserve">. </w:t>
      </w:r>
      <w:r w:rsidR="00D53B9F">
        <w:rPr>
          <w:color w:val="000000" w:themeColor="text1"/>
        </w:rPr>
        <w:t>I</w:t>
      </w:r>
      <w:r w:rsidR="00226A1F">
        <w:rPr>
          <w:color w:val="000000" w:themeColor="text1"/>
        </w:rPr>
        <w:t xml:space="preserve">n-situ available resources </w:t>
      </w:r>
      <w:r w:rsidR="00D53B9F">
        <w:rPr>
          <w:color w:val="000000" w:themeColor="text1"/>
        </w:rPr>
        <w:t xml:space="preserve">and metabolic wastes </w:t>
      </w:r>
      <w:r w:rsidR="00226A1F">
        <w:rPr>
          <w:color w:val="000000" w:themeColor="text1"/>
        </w:rPr>
        <w:t xml:space="preserve">are used </w:t>
      </w:r>
      <w:r w:rsidR="00D53B9F">
        <w:rPr>
          <w:color w:val="000000" w:themeColor="text1"/>
        </w:rPr>
        <w:t>along with small amount</w:t>
      </w:r>
      <w:r w:rsidR="00FB36AA">
        <w:rPr>
          <w:color w:val="000000" w:themeColor="text1"/>
        </w:rPr>
        <w:t>s</w:t>
      </w:r>
      <w:r w:rsidR="00D53B9F">
        <w:rPr>
          <w:color w:val="000000" w:themeColor="text1"/>
        </w:rPr>
        <w:t xml:space="preserve"> of materials brought from Earth are used</w:t>
      </w:r>
      <w:r w:rsidR="00FB36AA">
        <w:rPr>
          <w:color w:val="000000" w:themeColor="text1"/>
        </w:rPr>
        <w:t xml:space="preserve">. Such features of the process </w:t>
      </w:r>
      <w:r w:rsidR="00D53B9F">
        <w:rPr>
          <w:color w:val="000000" w:themeColor="text1"/>
        </w:rPr>
        <w:t>determin</w:t>
      </w:r>
      <w:r w:rsidR="00FB36AA">
        <w:rPr>
          <w:color w:val="000000" w:themeColor="text1"/>
        </w:rPr>
        <w:t xml:space="preserve">e </w:t>
      </w:r>
      <w:r w:rsidR="00D53B9F">
        <w:rPr>
          <w:color w:val="000000" w:themeColor="text1"/>
        </w:rPr>
        <w:t xml:space="preserve">low payloads that in turn </w:t>
      </w:r>
      <w:r w:rsidR="00FB36AA">
        <w:rPr>
          <w:color w:val="000000" w:themeColor="text1"/>
        </w:rPr>
        <w:t xml:space="preserve">result in </w:t>
      </w:r>
      <w:proofErr w:type="spellStart"/>
      <w:proofErr w:type="gramStart"/>
      <w:r w:rsidR="00FB36AA">
        <w:rPr>
          <w:color w:val="000000" w:themeColor="text1"/>
        </w:rPr>
        <w:t>a</w:t>
      </w:r>
      <w:proofErr w:type="spellEnd"/>
      <w:proofErr w:type="gramEnd"/>
      <w:r w:rsidR="00FB36AA">
        <w:rPr>
          <w:color w:val="000000" w:themeColor="text1"/>
        </w:rPr>
        <w:t xml:space="preserve"> increased </w:t>
      </w:r>
      <w:r w:rsidR="00D53B9F">
        <w:rPr>
          <w:color w:val="000000" w:themeColor="text1"/>
        </w:rPr>
        <w:t xml:space="preserve">techno-economic feasibility of the mission. </w:t>
      </w:r>
      <w:r w:rsidR="00226A1F">
        <w:rPr>
          <w:color w:val="000000" w:themeColor="text1"/>
        </w:rPr>
        <w:t xml:space="preserve"> </w:t>
      </w:r>
      <w:r w:rsidR="00FB36AA">
        <w:rPr>
          <w:color w:val="000000" w:themeColor="text1"/>
        </w:rPr>
        <w:t>The main innovative aspect of this technology is the capability to produce food from microalgae in the biological section according to the simplified process schematized in Fig</w:t>
      </w:r>
      <w:r w:rsidR="00517FFC">
        <w:rPr>
          <w:color w:val="000000" w:themeColor="text1"/>
        </w:rPr>
        <w:t xml:space="preserve">. </w:t>
      </w:r>
      <w:r w:rsidR="00FB36AA">
        <w:rPr>
          <w:color w:val="000000" w:themeColor="text1"/>
        </w:rPr>
        <w:t xml:space="preserve">1b. As it can be seen here photobioreactors are fed with the Martian Medium </w:t>
      </w:r>
      <w:r w:rsidR="00DA6B67">
        <w:rPr>
          <w:color w:val="000000" w:themeColor="text1"/>
        </w:rPr>
        <w:t xml:space="preserve">(MM) </w:t>
      </w:r>
      <w:r w:rsidR="00FB36AA">
        <w:rPr>
          <w:color w:val="000000" w:themeColor="text1"/>
        </w:rPr>
        <w:lastRenderedPageBreak/>
        <w:t>produced by mixing regolit</w:t>
      </w:r>
      <w:r w:rsidR="00517FFC">
        <w:rPr>
          <w:color w:val="000000" w:themeColor="text1"/>
        </w:rPr>
        <w:t xml:space="preserve">h </w:t>
      </w:r>
      <w:r w:rsidR="00FB36AA">
        <w:rPr>
          <w:color w:val="000000" w:themeColor="text1"/>
        </w:rPr>
        <w:t>leachate and astronauts</w:t>
      </w:r>
      <w:r w:rsidR="00517FFC">
        <w:rPr>
          <w:color w:val="000000" w:themeColor="text1"/>
        </w:rPr>
        <w:t>’</w:t>
      </w:r>
      <w:r w:rsidR="00FB36AA">
        <w:rPr>
          <w:color w:val="000000" w:themeColor="text1"/>
        </w:rPr>
        <w:t xml:space="preserve"> urine from the environmental control life system (ECLSS) and the fertilizers (ammonia nitrate</w:t>
      </w:r>
      <w:r w:rsidR="00517FFC">
        <w:rPr>
          <w:color w:val="000000" w:themeColor="text1"/>
        </w:rPr>
        <w:t>)</w:t>
      </w:r>
      <w:r w:rsidR="00FB36AA">
        <w:rPr>
          <w:color w:val="000000" w:themeColor="text1"/>
        </w:rPr>
        <w:t xml:space="preserve"> produced in chemical physical section. The cultivated microalgae are then used to meet a percentage of the</w:t>
      </w:r>
      <w:r w:rsidR="00517FFC">
        <w:rPr>
          <w:color w:val="000000" w:themeColor="text1"/>
        </w:rPr>
        <w:t xml:space="preserve"> crew</w:t>
      </w:r>
      <w:r w:rsidR="00FB36AA">
        <w:rPr>
          <w:color w:val="000000" w:themeColor="text1"/>
        </w:rPr>
        <w:t xml:space="preserve"> food needs </w:t>
      </w:r>
      <w:r w:rsidR="00517FFC">
        <w:rPr>
          <w:color w:val="000000" w:themeColor="text1"/>
        </w:rPr>
        <w:t xml:space="preserve">as well as oxygen to regenerate cabin air in the ECLSS. </w:t>
      </w:r>
    </w:p>
    <w:p w14:paraId="2B953583" w14:textId="1632BAEF" w:rsidR="00193D2F" w:rsidRDefault="00193D2F" w:rsidP="00D373D8">
      <w:pPr>
        <w:pStyle w:val="CETListbullets"/>
        <w:ind w:left="0" w:firstLine="0"/>
        <w:rPr>
          <w:color w:val="000000" w:themeColor="text1"/>
        </w:rPr>
      </w:pPr>
    </w:p>
    <w:p w14:paraId="6431FEE7" w14:textId="1FA27496" w:rsidR="00193D2F" w:rsidRPr="002617D9" w:rsidRDefault="00226A1F" w:rsidP="00D373D8">
      <w:pPr>
        <w:pStyle w:val="CETListbullets"/>
        <w:ind w:left="0" w:firstLine="0"/>
        <w:rPr>
          <w:color w:val="000000" w:themeColor="text1"/>
        </w:rPr>
      </w:pPr>
      <w:r>
        <w:rPr>
          <w:noProof/>
        </w:rPr>
        <mc:AlternateContent>
          <mc:Choice Requires="wps">
            <w:drawing>
              <wp:anchor distT="0" distB="0" distL="114300" distR="114300" simplePos="0" relativeHeight="251661312" behindDoc="0" locked="0" layoutInCell="1" allowOverlap="1" wp14:anchorId="1812B23B" wp14:editId="49B2A8C7">
                <wp:simplePos x="0" y="0"/>
                <wp:positionH relativeFrom="margin">
                  <wp:posOffset>4989607</wp:posOffset>
                </wp:positionH>
                <wp:positionV relativeFrom="paragraph">
                  <wp:posOffset>7744</wp:posOffset>
                </wp:positionV>
                <wp:extent cx="374073" cy="260639"/>
                <wp:effectExtent l="0" t="0" r="6985" b="6350"/>
                <wp:wrapNone/>
                <wp:docPr id="9" name="Text Box 9"/>
                <wp:cNvGraphicFramePr/>
                <a:graphic xmlns:a="http://schemas.openxmlformats.org/drawingml/2006/main">
                  <a:graphicData uri="http://schemas.microsoft.com/office/word/2010/wordprocessingShape">
                    <wps:wsp>
                      <wps:cNvSpPr txBox="1"/>
                      <wps:spPr>
                        <a:xfrm>
                          <a:off x="0" y="0"/>
                          <a:ext cx="374073" cy="260639"/>
                        </a:xfrm>
                        <a:prstGeom prst="rect">
                          <a:avLst/>
                        </a:prstGeom>
                        <a:solidFill>
                          <a:schemeClr val="lt1"/>
                        </a:solidFill>
                        <a:ln w="6350">
                          <a:noFill/>
                        </a:ln>
                      </wps:spPr>
                      <wps:txbx>
                        <w:txbxContent>
                          <w:p w14:paraId="1717F6CD" w14:textId="51DB069B" w:rsidR="00226A1F" w:rsidRPr="00226A1F" w:rsidRDefault="00226A1F" w:rsidP="00226A1F">
                            <w:pPr>
                              <w:rPr>
                                <w:b/>
                                <w:bCs/>
                                <w:sz w:val="20"/>
                              </w:rPr>
                            </w:pPr>
                            <w:r w:rsidRPr="00226A1F">
                              <w:rPr>
                                <w:b/>
                                <w:bCs/>
                                <w:sz w:val="20"/>
                              </w:rPr>
                              <w:t>(</w:t>
                            </w:r>
                            <w:r>
                              <w:rPr>
                                <w:b/>
                                <w:bCs/>
                                <w:sz w:val="20"/>
                              </w:rPr>
                              <w:t>b</w:t>
                            </w:r>
                            <w:r w:rsidRPr="00226A1F">
                              <w:rPr>
                                <w:b/>
                                <w:bCs/>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2B23B" id="_x0000_t202" coordsize="21600,21600" o:spt="202" path="m,l,21600r21600,l21600,xe">
                <v:stroke joinstyle="miter"/>
                <v:path gradientshapeok="t" o:connecttype="rect"/>
              </v:shapetype>
              <v:shape id="Text Box 9" o:spid="_x0000_s1026" type="#_x0000_t202" style="position:absolute;left:0;text-align:left;margin-left:392.9pt;margin-top:.6pt;width:29.45pt;height:2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xDLAIAAFMEAAAOAAAAZHJzL2Uyb0RvYy54bWysVEtv2zAMvg/YfxB0X+w8mq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" fillcolor="white [3201]" stroked="f" strokeweight=".5pt">
                <v:textbox>
                  <w:txbxContent>
                    <w:p w14:paraId="1717F6CD" w14:textId="51DB069B" w:rsidR="00226A1F" w:rsidRPr="00226A1F" w:rsidRDefault="00226A1F" w:rsidP="00226A1F">
                      <w:pPr>
                        <w:rPr>
                          <w:b/>
                          <w:bCs/>
                          <w:sz w:val="20"/>
                        </w:rPr>
                      </w:pPr>
                      <w:r w:rsidRPr="00226A1F">
                        <w:rPr>
                          <w:b/>
                          <w:bCs/>
                          <w:sz w:val="20"/>
                        </w:rPr>
                        <w:t>(</w:t>
                      </w:r>
                      <w:r>
                        <w:rPr>
                          <w:b/>
                          <w:bCs/>
                          <w:sz w:val="20"/>
                        </w:rPr>
                        <w:t>b</w:t>
                      </w:r>
                      <w:r w:rsidRPr="00226A1F">
                        <w:rPr>
                          <w:b/>
                          <w:bCs/>
                          <w:sz w:val="20"/>
                        </w:rPr>
                        <w:t>)</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38B8EB73" wp14:editId="412B8FFE">
                <wp:simplePos x="0" y="0"/>
                <wp:positionH relativeFrom="column">
                  <wp:posOffset>3134995</wp:posOffset>
                </wp:positionH>
                <wp:positionV relativeFrom="paragraph">
                  <wp:posOffset>6260</wp:posOffset>
                </wp:positionV>
                <wp:extent cx="374073" cy="260639"/>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374073" cy="260639"/>
                        </a:xfrm>
                        <a:prstGeom prst="rect">
                          <a:avLst/>
                        </a:prstGeom>
                        <a:noFill/>
                        <a:ln w="6350">
                          <a:noFill/>
                        </a:ln>
                      </wps:spPr>
                      <wps:txbx>
                        <w:txbxContent>
                          <w:p w14:paraId="21002273" w14:textId="3CE5D1AA" w:rsidR="00226A1F" w:rsidRPr="00226A1F" w:rsidRDefault="00226A1F">
                            <w:pPr>
                              <w:rPr>
                                <w:b/>
                                <w:bCs/>
                                <w:sz w:val="20"/>
                              </w:rPr>
                            </w:pPr>
                            <w:r w:rsidRPr="00226A1F">
                              <w:rPr>
                                <w:b/>
                                <w:bCs/>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8EB73" id="Text Box 8" o:spid="_x0000_s1027" type="#_x0000_t202" style="position:absolute;left:0;text-align:left;margin-left:246.85pt;margin-top:.5pt;width:29.4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16GQIAADI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" filled="f" stroked="f" strokeweight=".5pt">
                <v:textbox>
                  <w:txbxContent>
                    <w:p w14:paraId="21002273" w14:textId="3CE5D1AA" w:rsidR="00226A1F" w:rsidRPr="00226A1F" w:rsidRDefault="00226A1F">
                      <w:pPr>
                        <w:rPr>
                          <w:b/>
                          <w:bCs/>
                          <w:sz w:val="20"/>
                        </w:rPr>
                      </w:pPr>
                      <w:r w:rsidRPr="00226A1F">
                        <w:rPr>
                          <w:b/>
                          <w:bCs/>
                          <w:sz w:val="20"/>
                        </w:rPr>
                        <w:t>(a)</w:t>
                      </w:r>
                    </w:p>
                  </w:txbxContent>
                </v:textbox>
              </v:shape>
            </w:pict>
          </mc:Fallback>
        </mc:AlternateContent>
      </w:r>
      <w:r w:rsidR="00EA5674" w:rsidRPr="00EA5674">
        <w:rPr>
          <w:noProof/>
        </w:rPr>
        <w:drawing>
          <wp:inline distT="0" distB="0" distL="0" distR="0" wp14:anchorId="681C8057" wp14:editId="399E713B">
            <wp:extent cx="3290695" cy="2048493"/>
            <wp:effectExtent l="0" t="0" r="508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664" cy="2072751"/>
                    </a:xfrm>
                    <a:prstGeom prst="rect">
                      <a:avLst/>
                    </a:prstGeom>
                    <a:noFill/>
                    <a:ln>
                      <a:noFill/>
                    </a:ln>
                  </pic:spPr>
                </pic:pic>
              </a:graphicData>
            </a:graphic>
          </wp:inline>
        </w:drawing>
      </w:r>
      <w:r>
        <w:rPr>
          <w:color w:val="000000" w:themeColor="text1"/>
        </w:rPr>
        <w:t xml:space="preserve">  </w:t>
      </w:r>
      <w:r w:rsidR="00DA6B67">
        <w:rPr>
          <w:color w:val="000000" w:themeColor="text1"/>
        </w:rPr>
        <w:t xml:space="preserve">  </w:t>
      </w:r>
      <w:r w:rsidR="00DA6B67">
        <w:rPr>
          <w:noProof/>
          <w:color w:val="000000" w:themeColor="text1"/>
        </w:rPr>
        <w:drawing>
          <wp:inline distT="0" distB="0" distL="0" distR="0" wp14:anchorId="33B38F5C" wp14:editId="3340D1BE">
            <wp:extent cx="2000993" cy="17699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0205" cy="1786958"/>
                    </a:xfrm>
                    <a:prstGeom prst="rect">
                      <a:avLst/>
                    </a:prstGeom>
                    <a:noFill/>
                  </pic:spPr>
                </pic:pic>
              </a:graphicData>
            </a:graphic>
          </wp:inline>
        </w:drawing>
      </w:r>
      <w:r w:rsidR="00292004">
        <w:rPr>
          <w:color w:val="000000" w:themeColor="text1"/>
        </w:rPr>
        <w:tab/>
      </w:r>
    </w:p>
    <w:p w14:paraId="461BD612" w14:textId="68D1E717" w:rsidR="00B32994" w:rsidRDefault="00B32994" w:rsidP="00081E58">
      <w:pPr>
        <w:pStyle w:val="CETCaption"/>
        <w:spacing w:before="120" w:after="120"/>
      </w:pPr>
      <w:r w:rsidRPr="00BD077D">
        <w:rPr>
          <w:rStyle w:val="CETCaptionCarattere"/>
          <w:i/>
        </w:rPr>
        <w:t>Figure 1</w:t>
      </w:r>
      <w:r>
        <w:rPr>
          <w:rStyle w:val="CETCaptionCarattere"/>
          <w:i/>
        </w:rPr>
        <w:t xml:space="preserve">. Scheme of the </w:t>
      </w:r>
      <w:r w:rsidR="00D02AE5">
        <w:rPr>
          <w:rStyle w:val="CETCaptionCarattere"/>
          <w:i/>
        </w:rPr>
        <w:t xml:space="preserve">ISRU </w:t>
      </w:r>
      <w:r>
        <w:rPr>
          <w:rStyle w:val="CETCaptionCarattere"/>
          <w:i/>
        </w:rPr>
        <w:t xml:space="preserve">process </w:t>
      </w:r>
      <w:r w:rsidR="00D02AE5">
        <w:rPr>
          <w:rStyle w:val="CETCaptionCarattere"/>
          <w:i/>
        </w:rPr>
        <w:t>to produce useful materials on Mars</w:t>
      </w:r>
      <w:r>
        <w:rPr>
          <w:rStyle w:val="CETCaptionCarattere"/>
          <w:i/>
        </w:rPr>
        <w:t xml:space="preserve"> (a) and focus on the production of microalgae in the biological section (b). </w:t>
      </w:r>
      <w:r w:rsidR="00DA6B67">
        <w:rPr>
          <w:rStyle w:val="CETCaptionCarattere"/>
          <w:i/>
        </w:rPr>
        <w:t xml:space="preserve">Part </w:t>
      </w:r>
      <w:r>
        <w:rPr>
          <w:rStyle w:val="CETCaptionCarattere"/>
          <w:i/>
        </w:rPr>
        <w:t xml:space="preserve">(a) </w:t>
      </w:r>
      <w:r w:rsidR="00DA6B67">
        <w:rPr>
          <w:rStyle w:val="CETCaptionCarattere"/>
          <w:i/>
        </w:rPr>
        <w:t xml:space="preserve">of the Figure </w:t>
      </w:r>
      <w:r>
        <w:rPr>
          <w:rStyle w:val="CETCaptionCarattere"/>
          <w:i/>
        </w:rPr>
        <w:t>is adapted from Concas et al. (2012).</w:t>
      </w:r>
    </w:p>
    <w:p w14:paraId="2E8780BA" w14:textId="4440DF1F" w:rsidR="006D23E8" w:rsidRDefault="00B32994" w:rsidP="00DA6B67">
      <w:pPr>
        <w:pStyle w:val="CETListbullets"/>
        <w:ind w:left="0" w:firstLine="0"/>
      </w:pPr>
      <w:r w:rsidRPr="00DA6B67">
        <w:t>I</w:t>
      </w:r>
      <w:r w:rsidR="00601C9B" w:rsidRPr="00DA6B67">
        <w:t>n th</w:t>
      </w:r>
      <w:r w:rsidRPr="00DA6B67">
        <w:t>e present</w:t>
      </w:r>
      <w:r w:rsidR="00601C9B" w:rsidRPr="00DA6B67">
        <w:t xml:space="preserve"> work,</w:t>
      </w:r>
      <w:r w:rsidR="009122C4" w:rsidRPr="00DA6B67">
        <w:t xml:space="preserve"> </w:t>
      </w:r>
      <w:r w:rsidRPr="00DA6B67">
        <w:t xml:space="preserve">the results of an experimental and modelling activity aimed to evaluate the real feasibility of the process proposed by </w:t>
      </w:r>
      <w:r w:rsidR="000151B4">
        <w:t>Fais et al., 2022</w:t>
      </w:r>
      <w:r w:rsidRPr="00DA6B67">
        <w:t xml:space="preserve">., are reported. In particular, the experimental </w:t>
      </w:r>
      <w:r w:rsidR="00DA6B67" w:rsidRPr="00DA6B67">
        <w:t xml:space="preserve">activity </w:t>
      </w:r>
      <w:r w:rsidRPr="00DA6B67">
        <w:t>consisted in growing Spirulina platensis under operating conditions that simulate the ones theoretically occurring in the process implemented on Mars</w:t>
      </w:r>
      <w:r w:rsidR="00DA6B67" w:rsidRPr="00DA6B67">
        <w:t xml:space="preserve">, </w:t>
      </w:r>
      <w:proofErr w:type="gramStart"/>
      <w:r w:rsidR="00DA6B67" w:rsidRPr="00DA6B67">
        <w:t>i.e.</w:t>
      </w:r>
      <w:proofErr w:type="gramEnd"/>
      <w:r w:rsidR="00DA6B67" w:rsidRPr="00DA6B67">
        <w:t xml:space="preserve"> pure CO</w:t>
      </w:r>
      <w:r w:rsidR="00DA6B67" w:rsidRPr="00DA6B67">
        <w:rPr>
          <w:vertAlign w:val="subscript"/>
        </w:rPr>
        <w:t>2</w:t>
      </w:r>
      <w:r w:rsidR="00DA6B67" w:rsidRPr="00DA6B67">
        <w:t xml:space="preserve"> fed to the</w:t>
      </w:r>
      <w:r w:rsidR="000151B4">
        <w:t xml:space="preserve"> photobioreactors (</w:t>
      </w:r>
      <w:r w:rsidR="00DA6B67" w:rsidRPr="00DA6B67">
        <w:t>PBR</w:t>
      </w:r>
      <w:r w:rsidR="000151B4">
        <w:t>)</w:t>
      </w:r>
      <w:r w:rsidR="00DA6B67" w:rsidRPr="00DA6B67">
        <w:t xml:space="preserve">, microgravity and MM as growth medium. </w:t>
      </w:r>
      <w:proofErr w:type="gramStart"/>
      <w:r w:rsidR="00DA6B67" w:rsidRPr="00DA6B67">
        <w:t>A  mathematical</w:t>
      </w:r>
      <w:proofErr w:type="gramEnd"/>
      <w:r w:rsidR="00DA6B67" w:rsidRPr="00DA6B67">
        <w:t xml:space="preserve"> model</w:t>
      </w:r>
      <w:r w:rsidRPr="00DA6B67">
        <w:t xml:space="preserve"> </w:t>
      </w:r>
      <w:r w:rsidR="00DA6B67" w:rsidRPr="00DA6B67">
        <w:t xml:space="preserve">was then developed to simulate the obtained results and infer useful information about the application of such process on Mars. </w:t>
      </w:r>
    </w:p>
    <w:p w14:paraId="5741900F" w14:textId="1772E9FE" w:rsidR="00453E24" w:rsidRPr="006D23E8" w:rsidRDefault="00601C9B" w:rsidP="006D23E8">
      <w:pPr>
        <w:pStyle w:val="CETHeading1"/>
        <w:tabs>
          <w:tab w:val="num" w:pos="360"/>
        </w:tabs>
        <w:spacing w:line="264" w:lineRule="auto"/>
        <w:rPr>
          <w:lang w:val="en-GB"/>
        </w:rPr>
      </w:pPr>
      <w:r w:rsidRPr="006D23E8">
        <w:rPr>
          <w:lang w:val="en-GB"/>
        </w:rPr>
        <w:t>Materials and methods</w:t>
      </w:r>
    </w:p>
    <w:p w14:paraId="0636B784" w14:textId="7750D65A" w:rsidR="00453E24" w:rsidRPr="006D23E8" w:rsidRDefault="00592418" w:rsidP="00D373D8">
      <w:pPr>
        <w:pStyle w:val="CETheadingx"/>
        <w:spacing w:line="264" w:lineRule="auto"/>
      </w:pPr>
      <w:r w:rsidRPr="006D23E8">
        <w:t>Strain maintenance and preparation of the Martian Medium</w:t>
      </w:r>
    </w:p>
    <w:p w14:paraId="7C2B0064" w14:textId="19FA42FC" w:rsidR="00453E24" w:rsidRPr="006D23E8" w:rsidRDefault="00E015B8" w:rsidP="00D373D8">
      <w:pPr>
        <w:pStyle w:val="CETBodytext"/>
      </w:pPr>
      <w:r>
        <w:t xml:space="preserve">The </w:t>
      </w:r>
      <w:r w:rsidRPr="006D23E8">
        <w:t>cyanobacterium</w:t>
      </w:r>
      <w:r>
        <w:t xml:space="preserve"> </w:t>
      </w:r>
      <w:r w:rsidRPr="00E015B8">
        <w:rPr>
          <w:i/>
          <w:iCs/>
        </w:rPr>
        <w:t xml:space="preserve">Spirulina </w:t>
      </w:r>
      <w:r w:rsidR="000151B4">
        <w:rPr>
          <w:i/>
          <w:iCs/>
        </w:rPr>
        <w:t>p</w:t>
      </w:r>
      <w:r w:rsidRPr="00E015B8">
        <w:rPr>
          <w:i/>
          <w:iCs/>
        </w:rPr>
        <w:t>latensis</w:t>
      </w:r>
      <w:r>
        <w:t xml:space="preserve"> was chosen as test organism due to its high nutritional properties that make it a promising candidate to feed the astronauts during long term missions (Fais et al., 2022</w:t>
      </w:r>
      <w:r w:rsidR="00081E58">
        <w:t>b</w:t>
      </w:r>
      <w:r>
        <w:t xml:space="preserve">). </w:t>
      </w:r>
      <w:r w:rsidR="00592418" w:rsidRPr="006D23E8">
        <w:t xml:space="preserve">Unialgal culture of cyanobacterium </w:t>
      </w:r>
      <w:r w:rsidR="00592418" w:rsidRPr="00E015B8">
        <w:rPr>
          <w:i/>
          <w:iCs/>
        </w:rPr>
        <w:t xml:space="preserve">S. </w:t>
      </w:r>
      <w:r w:rsidR="003B2F62">
        <w:rPr>
          <w:i/>
          <w:iCs/>
        </w:rPr>
        <w:t>platensis</w:t>
      </w:r>
      <w:r w:rsidR="003B2F62" w:rsidRPr="006D23E8">
        <w:t xml:space="preserve"> </w:t>
      </w:r>
      <w:r w:rsidR="00592418" w:rsidRPr="006D23E8">
        <w:t xml:space="preserve">was obtained from TOLO Green </w:t>
      </w:r>
      <w:proofErr w:type="spellStart"/>
      <w:r w:rsidR="00592418" w:rsidRPr="006D23E8">
        <w:t>Srl</w:t>
      </w:r>
      <w:proofErr w:type="spellEnd"/>
      <w:r w:rsidR="00592418" w:rsidRPr="006D23E8">
        <w:t xml:space="preserve"> (Arborea, Italy). The strain was maintained under axenic conditions at the laboratory of </w:t>
      </w:r>
      <w:r>
        <w:t>the Center for Engineering and Environmental Sciences (</w:t>
      </w:r>
      <w:r w:rsidR="00592418" w:rsidRPr="006D23E8">
        <w:t>CINSA</w:t>
      </w:r>
      <w:r>
        <w:t>) in Cagliari, Italy</w:t>
      </w:r>
      <w:r w:rsidR="00592418" w:rsidRPr="006D23E8">
        <w:t xml:space="preserve">. The cultures were kept in 250 mL flask, containing 150 mL </w:t>
      </w:r>
      <w:proofErr w:type="spellStart"/>
      <w:r w:rsidR="00592418" w:rsidRPr="006D23E8">
        <w:t>Zarrouk</w:t>
      </w:r>
      <w:proofErr w:type="spellEnd"/>
      <w:r w:rsidR="00592418" w:rsidRPr="006D23E8">
        <w:t xml:space="preserve">-medium (ZM). Synthetic Martian Medium (MM) was prepared by mixing a leachate of Martian regolith simulant (JSC MARS-1) and synthetic human urine (MP-AU) to simulate astronauts’ urine. </w:t>
      </w:r>
      <w:r>
        <w:t>Briefly, t</w:t>
      </w:r>
      <w:r w:rsidR="00592418" w:rsidRPr="006D23E8">
        <w:t>he regolith leachate was prepared within a 250 mL flask with a cap by contacting 15 g of regolith simulant with 150 mL of ultrapure water. The solid liquid mixture was stirred at 200 rpm with an orbital shaker (Stuart SSM1, Bio sigma) for 24 hours at 25°C, then the solution was filtered by gravity by means of filter paper. MP-AU was produced according to available protocols and diluted with ultrapure water at a ratio of 1:10. Finally, the leachate and diluted urine were mixed (1:1 v/v) to produce MM.</w:t>
      </w:r>
      <w:r w:rsidR="00DA6B67" w:rsidRPr="006D23E8">
        <w:t xml:space="preserve"> A more detailed description of the procedure to produce </w:t>
      </w:r>
      <w:proofErr w:type="spellStart"/>
      <w:r w:rsidR="00DA6B67" w:rsidRPr="006D23E8">
        <w:t>MM</w:t>
      </w:r>
      <w:r>
        <w:t>and</w:t>
      </w:r>
      <w:proofErr w:type="spellEnd"/>
      <w:r>
        <w:t xml:space="preserve"> the final growth media</w:t>
      </w:r>
      <w:r w:rsidR="00DA6B67" w:rsidRPr="006D23E8">
        <w:t xml:space="preserve"> is reported elsewhere (Fais et al., 2022</w:t>
      </w:r>
      <w:r w:rsidR="00B55AED">
        <w:t>a)</w:t>
      </w:r>
    </w:p>
    <w:p w14:paraId="18BAFA6F" w14:textId="4D6FBF45" w:rsidR="00453E24" w:rsidRPr="006D23E8" w:rsidRDefault="00592418" w:rsidP="00D373D8">
      <w:pPr>
        <w:pStyle w:val="CETheadingx"/>
        <w:spacing w:line="264" w:lineRule="auto"/>
      </w:pPr>
      <w:r w:rsidRPr="006D23E8">
        <w:t>Growth experiments in microgravity and pure CO</w:t>
      </w:r>
      <w:r w:rsidRPr="006D23E8">
        <w:rPr>
          <w:vertAlign w:val="subscript"/>
        </w:rPr>
        <w:t>2</w:t>
      </w:r>
      <w:r w:rsidRPr="006D23E8">
        <w:t xml:space="preserve"> atmosphere conditions</w:t>
      </w:r>
    </w:p>
    <w:p w14:paraId="5436D977" w14:textId="29864460" w:rsidR="00453E24" w:rsidRPr="006D23E8" w:rsidRDefault="00DB0D53" w:rsidP="00D373D8">
      <w:pPr>
        <w:pStyle w:val="CETBodytext"/>
      </w:pPr>
      <w:r w:rsidRPr="006D23E8">
        <w:rPr>
          <w:lang w:val="en-GB"/>
        </w:rPr>
        <w:t xml:space="preserve">Two </w:t>
      </w:r>
      <w:r w:rsidR="00E015B8">
        <w:rPr>
          <w:lang w:val="en-GB"/>
        </w:rPr>
        <w:t xml:space="preserve">main </w:t>
      </w:r>
      <w:r w:rsidR="00592418" w:rsidRPr="006D23E8">
        <w:rPr>
          <w:lang w:val="en-GB"/>
        </w:rPr>
        <w:t xml:space="preserve">growth experiments </w:t>
      </w:r>
      <w:r w:rsidR="00E015B8">
        <w:rPr>
          <w:lang w:val="en-GB"/>
        </w:rPr>
        <w:t>were</w:t>
      </w:r>
      <w:r w:rsidR="00592418" w:rsidRPr="006D23E8">
        <w:rPr>
          <w:lang w:val="en-GB"/>
        </w:rPr>
        <w:t xml:space="preserve"> </w:t>
      </w:r>
      <w:r w:rsidR="00E015B8">
        <w:rPr>
          <w:lang w:val="en-GB"/>
        </w:rPr>
        <w:t>carried out</w:t>
      </w:r>
      <w:r w:rsidR="00592418" w:rsidRPr="006D23E8">
        <w:rPr>
          <w:lang w:val="en-GB"/>
        </w:rPr>
        <w:t xml:space="preserve">. </w:t>
      </w:r>
      <w:r w:rsidR="00E015B8">
        <w:rPr>
          <w:lang w:val="en-GB"/>
        </w:rPr>
        <w:t>EXP-I</w:t>
      </w:r>
      <w:r w:rsidR="00592418" w:rsidRPr="006D23E8">
        <w:rPr>
          <w:lang w:val="en-GB"/>
        </w:rPr>
        <w:t>: MM40 (MM 40%v/v, ZM 60%v/v), 100% CO</w:t>
      </w:r>
      <w:r w:rsidR="00592418" w:rsidRPr="006D23E8">
        <w:rPr>
          <w:vertAlign w:val="subscript"/>
          <w:lang w:val="en-GB"/>
        </w:rPr>
        <w:t>2</w:t>
      </w:r>
      <w:r w:rsidR="00592418" w:rsidRPr="006D23E8">
        <w:rPr>
          <w:lang w:val="en-GB"/>
        </w:rPr>
        <w:t xml:space="preserve"> atmosphere and microgravity (</w:t>
      </w:r>
      <w:r w:rsidR="00592418" w:rsidRPr="006D23E8">
        <w:rPr>
          <w:rFonts w:ascii="Symbol" w:hAnsi="Symbol"/>
          <w:lang w:val="en-GB"/>
        </w:rPr>
        <w:t></w:t>
      </w:r>
      <w:r w:rsidR="00592418" w:rsidRPr="006D23E8">
        <w:rPr>
          <w:lang w:val="en-GB"/>
        </w:rPr>
        <w:t xml:space="preserve">g); </w:t>
      </w:r>
      <w:r w:rsidR="00E015B8">
        <w:rPr>
          <w:lang w:val="en-GB"/>
        </w:rPr>
        <w:t>EXP-</w:t>
      </w:r>
      <w:r w:rsidR="00592418" w:rsidRPr="006D23E8">
        <w:rPr>
          <w:lang w:val="en-GB"/>
        </w:rPr>
        <w:t>I</w:t>
      </w:r>
      <w:r w:rsidR="00E015B8">
        <w:rPr>
          <w:lang w:val="en-GB"/>
        </w:rPr>
        <w:t>I</w:t>
      </w:r>
      <w:r w:rsidR="00592418" w:rsidRPr="006D23E8">
        <w:rPr>
          <w:lang w:val="en-GB"/>
        </w:rPr>
        <w:t>: ZM, 100% CO</w:t>
      </w:r>
      <w:r w:rsidR="00592418" w:rsidRPr="006D23E8">
        <w:rPr>
          <w:vertAlign w:val="subscript"/>
          <w:lang w:val="en-GB"/>
        </w:rPr>
        <w:t>2</w:t>
      </w:r>
      <w:r w:rsidR="00592418" w:rsidRPr="006D23E8">
        <w:rPr>
          <w:lang w:val="en-GB"/>
        </w:rPr>
        <w:t xml:space="preserve"> and </w:t>
      </w:r>
      <w:r w:rsidR="00592418" w:rsidRPr="006D23E8">
        <w:rPr>
          <w:rFonts w:ascii="Symbol" w:hAnsi="Symbol"/>
          <w:lang w:val="en-GB"/>
        </w:rPr>
        <w:t></w:t>
      </w:r>
      <w:r w:rsidR="00592418" w:rsidRPr="006D23E8">
        <w:rPr>
          <w:lang w:val="en-GB"/>
        </w:rPr>
        <w:t xml:space="preserve">g. </w:t>
      </w:r>
      <w:r w:rsidR="00E015B8">
        <w:rPr>
          <w:lang w:val="en-GB"/>
        </w:rPr>
        <w:t xml:space="preserve">Both experiments were meant to simulate the operating conditions taking place on Mars within the dome hosting the process patented by Cao et al (2021). </w:t>
      </w:r>
      <w:proofErr w:type="gramStart"/>
      <w:r w:rsidR="00E015B8">
        <w:rPr>
          <w:lang w:val="en-GB"/>
        </w:rPr>
        <w:t>However</w:t>
      </w:r>
      <w:proofErr w:type="gramEnd"/>
      <w:r w:rsidR="00E015B8">
        <w:rPr>
          <w:lang w:val="en-GB"/>
        </w:rPr>
        <w:t xml:space="preserve"> EXP-I Involved 40% of medium produced in-situ while EXP-II involved only </w:t>
      </w:r>
      <w:proofErr w:type="spellStart"/>
      <w:r w:rsidR="00E015B8">
        <w:rPr>
          <w:lang w:val="en-GB"/>
        </w:rPr>
        <w:t>Zarrouk’s</w:t>
      </w:r>
      <w:proofErr w:type="spellEnd"/>
      <w:r w:rsidR="00E015B8">
        <w:rPr>
          <w:lang w:val="en-GB"/>
        </w:rPr>
        <w:t xml:space="preserve"> medium whose components would be brought from Earth. </w:t>
      </w:r>
      <w:r w:rsidR="00592418" w:rsidRPr="006D23E8">
        <w:rPr>
          <w:lang w:val="en-GB"/>
        </w:rPr>
        <w:t xml:space="preserve">The experiments were carried out in a clinostat (3D Random Positioning Machine, Fokker Space, Netherlands) to simulate </w:t>
      </w:r>
      <w:r w:rsidR="00592418" w:rsidRPr="006D23E8">
        <w:rPr>
          <w:rFonts w:ascii="Symbol" w:hAnsi="Symbol"/>
          <w:lang w:val="en-GB"/>
        </w:rPr>
        <w:t></w:t>
      </w:r>
      <w:r w:rsidR="00592418" w:rsidRPr="006D23E8">
        <w:rPr>
          <w:lang w:val="en-GB"/>
        </w:rPr>
        <w:t>g conditions; to simulate Martian atmosphere a jar (2.5 L) containing pure CO</w:t>
      </w:r>
      <w:r w:rsidR="00592418" w:rsidRPr="006D23E8">
        <w:rPr>
          <w:vertAlign w:val="subscript"/>
          <w:lang w:val="en-GB"/>
        </w:rPr>
        <w:t xml:space="preserve">2 </w:t>
      </w:r>
      <w:r w:rsidR="00592418" w:rsidRPr="006D23E8">
        <w:rPr>
          <w:lang w:val="en-GB"/>
        </w:rPr>
        <w:t xml:space="preserve">was mounted, allowing to carry 8 culture flasks. The batch culture experiments were carried out into transparent vented cap flasks filled up to 80 </w:t>
      </w:r>
      <w:proofErr w:type="spellStart"/>
      <w:r w:rsidR="00592418" w:rsidRPr="006D23E8">
        <w:rPr>
          <w:lang w:val="en-GB"/>
        </w:rPr>
        <w:t>mL.</w:t>
      </w:r>
      <w:proofErr w:type="spellEnd"/>
      <w:r w:rsidR="00592418" w:rsidRPr="006D23E8">
        <w:rPr>
          <w:lang w:val="en-GB"/>
        </w:rPr>
        <w:t xml:space="preserve"> The experiment was set in triplicates with an illumination of I</w:t>
      </w:r>
      <w:r w:rsidR="00592418" w:rsidRPr="006D23E8">
        <w:rPr>
          <w:vertAlign w:val="subscript"/>
          <w:lang w:val="en-GB"/>
        </w:rPr>
        <w:t>0</w:t>
      </w:r>
      <w:r w:rsidR="00592418" w:rsidRPr="006D23E8">
        <w:rPr>
          <w:lang w:val="en-GB"/>
        </w:rPr>
        <w:t xml:space="preserve"> =150 </w:t>
      </w:r>
      <w:proofErr w:type="spellStart"/>
      <w:r w:rsidR="00592418" w:rsidRPr="006D23E8">
        <w:rPr>
          <w:lang w:val="en-GB"/>
        </w:rPr>
        <w:t>μmol</w:t>
      </w:r>
      <w:proofErr w:type="spellEnd"/>
      <w:r w:rsidR="00592418" w:rsidRPr="006D23E8">
        <w:rPr>
          <w:lang w:val="en-GB"/>
        </w:rPr>
        <w:t xml:space="preserve"> m</w:t>
      </w:r>
      <w:r w:rsidR="006D23E8" w:rsidRPr="006D23E8">
        <w:rPr>
          <w:vertAlign w:val="superscript"/>
          <w:lang w:val="en-GB"/>
        </w:rPr>
        <w:t>-</w:t>
      </w:r>
      <w:r w:rsidR="00592418" w:rsidRPr="006D23E8">
        <w:rPr>
          <w:vertAlign w:val="superscript"/>
          <w:lang w:val="en-GB"/>
        </w:rPr>
        <w:t>2</w:t>
      </w:r>
      <w:r w:rsidR="006D23E8" w:rsidRPr="006D23E8">
        <w:rPr>
          <w:lang w:val="en-GB"/>
        </w:rPr>
        <w:t xml:space="preserve"> </w:t>
      </w:r>
      <w:r w:rsidR="00592418" w:rsidRPr="006D23E8">
        <w:rPr>
          <w:lang w:val="en-GB"/>
        </w:rPr>
        <w:t>s</w:t>
      </w:r>
      <w:r w:rsidR="006D23E8" w:rsidRPr="006D23E8">
        <w:rPr>
          <w:vertAlign w:val="superscript"/>
          <w:lang w:val="en-GB"/>
        </w:rPr>
        <w:t>-1</w:t>
      </w:r>
      <w:r w:rsidR="00592418" w:rsidRPr="006D23E8">
        <w:rPr>
          <w:lang w:val="en-GB"/>
        </w:rPr>
        <w:t xml:space="preserve"> and the photoperiod fixed at 12:12 hours light and dark periods. The growth was monitored through absorbance spectrophotometric measurements (</w:t>
      </w:r>
      <w:proofErr w:type="spellStart"/>
      <w:r w:rsidR="00592418" w:rsidRPr="006D23E8">
        <w:rPr>
          <w:lang w:val="en-GB"/>
        </w:rPr>
        <w:t>Genesys</w:t>
      </w:r>
      <w:proofErr w:type="spellEnd"/>
      <w:r w:rsidR="00592418" w:rsidRPr="006D23E8">
        <w:rPr>
          <w:lang w:val="en-GB"/>
        </w:rPr>
        <w:t xml:space="preserve"> 20 spectrophotometer, </w:t>
      </w:r>
      <w:proofErr w:type="spellStart"/>
      <w:r w:rsidR="00592418" w:rsidRPr="006D23E8">
        <w:rPr>
          <w:lang w:val="en-GB"/>
        </w:rPr>
        <w:t>Thermo</w:t>
      </w:r>
      <w:proofErr w:type="spellEnd"/>
      <w:r w:rsidR="00592418" w:rsidRPr="006D23E8">
        <w:rPr>
          <w:lang w:val="en-GB"/>
        </w:rPr>
        <w:t xml:space="preserve"> Scientific, </w:t>
      </w:r>
      <w:proofErr w:type="spellStart"/>
      <w:r w:rsidR="00592418" w:rsidRPr="006D23E8">
        <w:rPr>
          <w:lang w:val="en-GB"/>
        </w:rPr>
        <w:t>Walthmanm</w:t>
      </w:r>
      <w:proofErr w:type="spellEnd"/>
      <w:r w:rsidR="00592418" w:rsidRPr="006D23E8">
        <w:rPr>
          <w:lang w:val="en-GB"/>
        </w:rPr>
        <w:t>, USA) of the chlorophyll-a optic</w:t>
      </w:r>
      <w:r w:rsidR="00DB4A5B">
        <w:rPr>
          <w:lang w:val="en-GB"/>
        </w:rPr>
        <w:t>&lt;.</w:t>
      </w:r>
      <w:r w:rsidR="00592418" w:rsidRPr="006D23E8">
        <w:rPr>
          <w:lang w:val="en-GB"/>
        </w:rPr>
        <w:t xml:space="preserve">al density (OD) of the </w:t>
      </w:r>
      <w:r w:rsidR="00592418" w:rsidRPr="006D23E8">
        <w:rPr>
          <w:lang w:val="en-GB"/>
        </w:rPr>
        <w:lastRenderedPageBreak/>
        <w:t>culture at 650 nm wavelength. The biomass concentration X (g</w:t>
      </w:r>
      <w:r w:rsidR="006D23E8" w:rsidRPr="006D23E8">
        <w:rPr>
          <w:lang w:val="en-GB"/>
        </w:rPr>
        <w:t xml:space="preserve"> </w:t>
      </w:r>
      <w:r w:rsidR="00592418" w:rsidRPr="006D23E8">
        <w:rPr>
          <w:lang w:val="en-GB"/>
        </w:rPr>
        <w:t>L</w:t>
      </w:r>
      <w:r w:rsidR="006D23E8" w:rsidRPr="006D23E8">
        <w:rPr>
          <w:vertAlign w:val="superscript"/>
          <w:lang w:val="en-GB"/>
        </w:rPr>
        <w:t>-1</w:t>
      </w:r>
      <w:r w:rsidR="00592418" w:rsidRPr="006D23E8">
        <w:rPr>
          <w:lang w:val="en-GB"/>
        </w:rPr>
        <w:t>), calculated through OD measurements and a calibration curve, obtained by gravimetry</w:t>
      </w:r>
      <w:r w:rsidR="00453E24" w:rsidRPr="006D23E8">
        <w:t>.</w:t>
      </w:r>
      <w:r w:rsidR="00E015B8">
        <w:t xml:space="preserve"> Also in this case, a detailed description of the experimental procedure is reported elsewhere (Concas et al., 2023).</w:t>
      </w:r>
    </w:p>
    <w:p w14:paraId="677EBFF0" w14:textId="41CAD3E6" w:rsidR="00600535" w:rsidRPr="006D23E8" w:rsidRDefault="00F03769" w:rsidP="00D373D8">
      <w:pPr>
        <w:pStyle w:val="CETHeading1"/>
        <w:tabs>
          <w:tab w:val="right" w:pos="7100"/>
        </w:tabs>
        <w:spacing w:line="264" w:lineRule="auto"/>
        <w:jc w:val="both"/>
        <w:rPr>
          <w:lang w:val="en-GB"/>
        </w:rPr>
      </w:pPr>
      <w:r w:rsidRPr="006D23E8">
        <w:rPr>
          <w:lang w:val="en-GB"/>
        </w:rPr>
        <w:t>Mathematical model</w:t>
      </w:r>
    </w:p>
    <w:p w14:paraId="5650597B" w14:textId="76853D7C" w:rsidR="00945ECA" w:rsidRPr="006D23E8" w:rsidRDefault="00F03769" w:rsidP="0095786E">
      <w:pPr>
        <w:pStyle w:val="CETBodytext"/>
        <w:rPr>
          <w:lang w:val="en-GB"/>
        </w:rPr>
      </w:pPr>
      <w:r w:rsidRPr="006D23E8">
        <w:rPr>
          <w:lang w:val="en-GB"/>
        </w:rPr>
        <w:t xml:space="preserve">The developed model aims to describe microalgae growth by </w:t>
      </w:r>
      <w:r w:rsidR="00C9538D" w:rsidRPr="006D23E8">
        <w:rPr>
          <w:lang w:val="en-GB"/>
        </w:rPr>
        <w:t>considering</w:t>
      </w:r>
      <w:r w:rsidRPr="006D23E8">
        <w:rPr>
          <w:lang w:val="en-GB"/>
        </w:rPr>
        <w:t xml:space="preserve"> the CO</w:t>
      </w:r>
      <w:r w:rsidRPr="006D23E8">
        <w:rPr>
          <w:vertAlign w:val="subscript"/>
          <w:lang w:val="en-GB"/>
        </w:rPr>
        <w:t>2</w:t>
      </w:r>
      <w:r w:rsidRPr="006D23E8">
        <w:rPr>
          <w:lang w:val="en-GB"/>
        </w:rPr>
        <w:t xml:space="preserve"> mass transfer from gas to liquid phase and chemical composition of the medium. According to the </w:t>
      </w:r>
      <w:r w:rsidR="00081E58">
        <w:rPr>
          <w:lang w:val="en-GB"/>
        </w:rPr>
        <w:t>literature (Concas et al., 2021b)</w:t>
      </w:r>
      <w:r w:rsidRPr="006D23E8">
        <w:rPr>
          <w:lang w:val="en-GB"/>
        </w:rPr>
        <w:t xml:space="preserve">, the mass balance for biomass X, Eq. (1), is written by considering the death term and the growth term that depends on the limiting factors: average light intensity </w:t>
      </w:r>
      <m:oMath>
        <m:sSub>
          <m:sSubPr>
            <m:ctrlPr>
              <w:rPr>
                <w:rFonts w:ascii="Cambria Math" w:hAnsi="Cambria Math"/>
                <w:sz w:val="20"/>
              </w:rPr>
            </m:ctrlPr>
          </m:sSubPr>
          <m:e>
            <m:r>
              <w:rPr>
                <w:rFonts w:ascii="Cambria Math" w:hAnsi="Cambria Math"/>
                <w:sz w:val="20"/>
              </w:rPr>
              <m:t>I</m:t>
            </m:r>
          </m:e>
          <m:sub>
            <m:r>
              <w:rPr>
                <w:rFonts w:ascii="Cambria Math" w:hAnsi="Cambria Math"/>
                <w:sz w:val="20"/>
              </w:rPr>
              <m:t>av</m:t>
            </m:r>
          </m:sub>
        </m:sSub>
      </m:oMath>
      <w:r w:rsidRPr="006D23E8">
        <w:rPr>
          <w:lang w:val="en-GB"/>
        </w:rPr>
        <w:t>, medium pH and nutrient’s concentration,</w:t>
      </w:r>
      <w:r w:rsidR="00C9538D" w:rsidRPr="006D23E8">
        <w:rPr>
          <w:lang w:val="en-GB"/>
        </w:rPr>
        <w:t xml:space="preserve"> </w:t>
      </w:r>
      <m:oMath>
        <m:d>
          <m:dPr>
            <m:begChr m:val="["/>
            <m:endChr m:val="]"/>
            <m:ctrlPr>
              <w:rPr>
                <w:rFonts w:ascii="Cambria Math" w:hAnsi="Cambria Math"/>
                <w:sz w:val="20"/>
              </w:rPr>
            </m:ctrlPr>
          </m:dPr>
          <m:e>
            <m:sSub>
              <m:sSubPr>
                <m:ctrlPr>
                  <w:rPr>
                    <w:rFonts w:ascii="Cambria Math" w:hAnsi="Cambria Math"/>
                    <w:sz w:val="20"/>
                  </w:rPr>
                </m:ctrlPr>
              </m:sSubPr>
              <m:e>
                <m:r>
                  <w:rPr>
                    <w:rFonts w:ascii="Cambria Math" w:hAnsi="Cambria Math"/>
                    <w:sz w:val="20"/>
                  </w:rPr>
                  <m:t>C</m:t>
                </m:r>
              </m:e>
              <m:sub>
                <m:r>
                  <w:rPr>
                    <w:rFonts w:ascii="Cambria Math" w:hAnsi="Cambria Math"/>
                    <w:sz w:val="20"/>
                  </w:rPr>
                  <m:t>j</m:t>
                </m:r>
              </m:sub>
            </m:sSub>
          </m:e>
        </m:d>
        <m:r>
          <w:rPr>
            <w:rFonts w:ascii="Cambria Math" w:hAnsi="Cambria Math"/>
            <w:sz w:val="20"/>
          </w:rPr>
          <m:t xml:space="preserve"> </m:t>
        </m:r>
      </m:oMath>
      <w:r w:rsidRPr="006D23E8">
        <w:rPr>
          <w:lang w:val="en-GB"/>
        </w:rPr>
        <w:t>with j representing total inorga</w:t>
      </w:r>
      <w:proofErr w:type="spellStart"/>
      <w:r w:rsidRPr="006D23E8">
        <w:rPr>
          <w:lang w:val="en-GB"/>
        </w:rPr>
        <w:t>nic</w:t>
      </w:r>
      <w:proofErr w:type="spellEnd"/>
      <w:r w:rsidRPr="006D23E8">
        <w:rPr>
          <w:lang w:val="en-GB"/>
        </w:rPr>
        <w:t xml:space="preserve"> carbon (TIC), nitrogen (TIN), phosphorous (TIP).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6"/>
        <w:gridCol w:w="631"/>
      </w:tblGrid>
      <w:tr w:rsidR="003625C2" w:rsidRPr="003625C2" w14:paraId="6B8C4ED3" w14:textId="77777777" w:rsidTr="007C6C8E">
        <w:tc>
          <w:tcPr>
            <w:tcW w:w="4641" w:type="pct"/>
            <w:vAlign w:val="center"/>
          </w:tcPr>
          <w:p w14:paraId="6657F98D" w14:textId="3C7DEE29" w:rsidR="003625C2" w:rsidRPr="003625C2" w:rsidRDefault="00454A2E" w:rsidP="00F52CE7">
            <w:pPr>
              <w:pStyle w:val="CETBodytext"/>
              <w:tabs>
                <w:tab w:val="clear" w:pos="7100"/>
              </w:tabs>
              <w:jc w:val="left"/>
            </w:pPr>
            <w:r w:rsidRPr="003625C2">
              <w:rPr>
                <w:position w:val="-74"/>
              </w:rPr>
              <w:object w:dxaOrig="9360" w:dyaOrig="1600" w14:anchorId="2F7AD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63.75pt" o:ole="">
                  <v:imagedata r:id="rId12" o:title=""/>
                </v:shape>
                <o:OLEObject Type="Embed" ProgID="Equation.DSMT4" ShapeID="_x0000_i1025" DrawAspect="Content" ObjectID="_1741116497" r:id="rId13"/>
              </w:object>
            </w:r>
            <w:bookmarkStart w:id="0" w:name="MTBlankEqn"/>
          </w:p>
        </w:tc>
        <w:bookmarkEnd w:id="0"/>
        <w:tc>
          <w:tcPr>
            <w:tcW w:w="359" w:type="pct"/>
            <w:vAlign w:val="center"/>
          </w:tcPr>
          <w:p w14:paraId="76D1D95A" w14:textId="77777777" w:rsidR="003625C2" w:rsidRPr="003625C2" w:rsidRDefault="003625C2" w:rsidP="00454A2E">
            <w:pPr>
              <w:pStyle w:val="CETBodytext"/>
              <w:tabs>
                <w:tab w:val="clear" w:pos="7100"/>
              </w:tabs>
              <w:jc w:val="center"/>
            </w:pPr>
            <w:r w:rsidRPr="003625C2">
              <w:t>(1)</w:t>
            </w:r>
          </w:p>
        </w:tc>
      </w:tr>
    </w:tbl>
    <w:p w14:paraId="39D1C302" w14:textId="1C61D332" w:rsidR="00946932" w:rsidRPr="002D1CE4" w:rsidRDefault="00946932" w:rsidP="007C6C8E">
      <w:pPr>
        <w:pStyle w:val="ListParagraph"/>
        <w:pBdr>
          <w:top w:val="nil"/>
          <w:left w:val="nil"/>
          <w:bottom w:val="nil"/>
          <w:right w:val="nil"/>
          <w:between w:val="nil"/>
        </w:pBdr>
        <w:spacing w:after="120"/>
        <w:ind w:left="0"/>
        <w:rPr>
          <w:rFonts w:cs="Arial"/>
          <w:color w:val="000000" w:themeColor="text1"/>
          <w:szCs w:val="18"/>
          <w:lang w:val="en-US"/>
        </w:rPr>
      </w:pPr>
      <w:r w:rsidRPr="002D1CE4">
        <w:rPr>
          <w:rFonts w:cs="Arial"/>
          <w:color w:val="000000" w:themeColor="text1"/>
          <w:szCs w:val="18"/>
          <w:lang w:val="en-US"/>
        </w:rPr>
        <w:t xml:space="preserve">The mass balance for TIN and TIP is expressed </w:t>
      </w:r>
      <w:r w:rsidR="003A727E" w:rsidRPr="002D1CE4">
        <w:rPr>
          <w:rFonts w:cs="Arial"/>
          <w:color w:val="000000" w:themeColor="text1"/>
          <w:szCs w:val="18"/>
          <w:lang w:val="en-US"/>
        </w:rPr>
        <w:t>by</w:t>
      </w:r>
      <w:r w:rsidRPr="002D1CE4">
        <w:rPr>
          <w:rFonts w:cs="Arial"/>
          <w:color w:val="000000" w:themeColor="text1"/>
          <w:szCs w:val="18"/>
          <w:lang w:val="en-US"/>
        </w:rPr>
        <w:t xml:space="preserve"> Eq (2), where </w:t>
      </w:r>
      <m:oMath>
        <m:r>
          <w:rPr>
            <w:rFonts w:ascii="Cambria Math" w:hAnsi="Cambria Math" w:cs="Arial"/>
            <w:color w:val="000000" w:themeColor="text1"/>
            <w:szCs w:val="18"/>
            <w:lang w:val="en-US"/>
          </w:rPr>
          <m:t>θ</m:t>
        </m:r>
        <m:r>
          <m:rPr>
            <m:sty m:val="p"/>
          </m:rPr>
          <w:rPr>
            <w:rFonts w:ascii="Cambria Math" w:hAnsi="Cambria Math" w:cs="Arial"/>
            <w:color w:val="000000" w:themeColor="text1"/>
            <w:szCs w:val="18"/>
            <w:lang w:val="en-US"/>
          </w:rPr>
          <m:t>(</m:t>
        </m:r>
        <m:sSub>
          <m:sSubPr>
            <m:ctrlPr>
              <w:rPr>
                <w:rFonts w:ascii="Cambria Math" w:hAnsi="Cambria Math" w:cs="Arial"/>
                <w:color w:val="000000" w:themeColor="text1"/>
                <w:szCs w:val="18"/>
                <w:lang w:val="en-US"/>
              </w:rPr>
            </m:ctrlPr>
          </m:sSubPr>
          <m:e>
            <m:r>
              <w:rPr>
                <w:rFonts w:ascii="Cambria Math" w:hAnsi="Cambria Math" w:cs="Arial"/>
                <w:color w:val="000000" w:themeColor="text1"/>
                <w:szCs w:val="18"/>
                <w:lang w:val="en-US"/>
              </w:rPr>
              <m:t>I</m:t>
            </m:r>
          </m:e>
          <m:sub>
            <m:r>
              <w:rPr>
                <w:rFonts w:ascii="Cambria Math" w:hAnsi="Cambria Math" w:cs="Arial"/>
                <w:color w:val="000000" w:themeColor="text1"/>
                <w:szCs w:val="18"/>
                <w:lang w:val="en-US"/>
              </w:rPr>
              <m:t>av</m:t>
            </m:r>
          </m:sub>
        </m:sSub>
        <m:r>
          <m:rPr>
            <m:sty m:val="p"/>
          </m:rPr>
          <w:rPr>
            <w:rFonts w:ascii="Cambria Math" w:hAnsi="Cambria Math" w:cs="Arial"/>
            <w:color w:val="000000" w:themeColor="text1"/>
            <w:szCs w:val="18"/>
            <w:lang w:val="en-US"/>
          </w:rPr>
          <m:t>)</m:t>
        </m:r>
      </m:oMath>
      <w:r w:rsidRPr="002D1CE4">
        <w:rPr>
          <w:rFonts w:cs="Arial"/>
          <w:color w:val="000000" w:themeColor="text1"/>
          <w:szCs w:val="18"/>
          <w:lang w:val="en-US"/>
        </w:rPr>
        <w:t xml:space="preserve"> accounts for the growth process dependency on the light: </w:t>
      </w:r>
      <m:oMath>
        <m:r>
          <w:rPr>
            <w:rFonts w:ascii="Cambria Math" w:hAnsi="Cambria Math" w:cs="Arial"/>
            <w:color w:val="000000" w:themeColor="text1"/>
            <w:szCs w:val="18"/>
            <w:lang w:val="en-US"/>
          </w:rPr>
          <m:t>θ</m:t>
        </m:r>
        <m:d>
          <m:dPr>
            <m:ctrlPr>
              <w:rPr>
                <w:rFonts w:ascii="Cambria Math" w:hAnsi="Cambria Math" w:cs="Arial"/>
                <w:color w:val="000000" w:themeColor="text1"/>
                <w:szCs w:val="18"/>
                <w:lang w:val="en-US"/>
              </w:rPr>
            </m:ctrlPr>
          </m:dPr>
          <m:e>
            <m:sSub>
              <m:sSubPr>
                <m:ctrlPr>
                  <w:rPr>
                    <w:rFonts w:ascii="Cambria Math" w:hAnsi="Cambria Math" w:cs="Arial"/>
                    <w:color w:val="000000" w:themeColor="text1"/>
                    <w:szCs w:val="18"/>
                    <w:lang w:val="en-US"/>
                  </w:rPr>
                </m:ctrlPr>
              </m:sSubPr>
              <m:e>
                <m:r>
                  <w:rPr>
                    <w:rFonts w:ascii="Cambria Math" w:hAnsi="Cambria Math" w:cs="Arial"/>
                    <w:color w:val="000000" w:themeColor="text1"/>
                    <w:szCs w:val="18"/>
                    <w:lang w:val="en-US"/>
                  </w:rPr>
                  <m:t>I</m:t>
                </m:r>
              </m:e>
              <m:sub>
                <m:r>
                  <w:rPr>
                    <w:rFonts w:ascii="Cambria Math" w:hAnsi="Cambria Math" w:cs="Arial"/>
                    <w:color w:val="000000" w:themeColor="text1"/>
                    <w:szCs w:val="18"/>
                    <w:lang w:val="en-US"/>
                  </w:rPr>
                  <m:t>av</m:t>
                </m:r>
              </m:sub>
            </m:sSub>
          </m:e>
        </m:d>
        <m:r>
          <m:rPr>
            <m:sty m:val="p"/>
          </m:rPr>
          <w:rPr>
            <w:rFonts w:ascii="Cambria Math" w:hAnsi="Cambria Math" w:cs="Arial"/>
            <w:color w:val="000000" w:themeColor="text1"/>
            <w:szCs w:val="18"/>
            <w:lang w:val="en-US"/>
          </w:rPr>
          <m:t>=1</m:t>
        </m:r>
      </m:oMath>
      <w:r w:rsidRPr="002D1CE4">
        <w:rPr>
          <w:rFonts w:cs="Arial"/>
          <w:color w:val="000000" w:themeColor="text1"/>
          <w:szCs w:val="18"/>
          <w:lang w:val="en-US"/>
        </w:rPr>
        <w:t xml:space="preserve"> if </w:t>
      </w:r>
      <m:oMath>
        <m:sSub>
          <m:sSubPr>
            <m:ctrlPr>
              <w:rPr>
                <w:rFonts w:ascii="Cambria Math" w:hAnsi="Cambria Math" w:cs="Arial"/>
                <w:color w:val="000000" w:themeColor="text1"/>
                <w:szCs w:val="18"/>
                <w:lang w:val="en-US"/>
              </w:rPr>
            </m:ctrlPr>
          </m:sSubPr>
          <m:e>
            <m:r>
              <w:rPr>
                <w:rFonts w:ascii="Cambria Math" w:hAnsi="Cambria Math" w:cs="Arial"/>
                <w:color w:val="000000" w:themeColor="text1"/>
                <w:szCs w:val="18"/>
                <w:lang w:val="en-US"/>
              </w:rPr>
              <m:t>I</m:t>
            </m:r>
          </m:e>
          <m:sub>
            <m:r>
              <w:rPr>
                <w:rFonts w:ascii="Cambria Math" w:hAnsi="Cambria Math" w:cs="Arial"/>
                <w:color w:val="000000" w:themeColor="text1"/>
                <w:szCs w:val="18"/>
                <w:lang w:val="en-US"/>
              </w:rPr>
              <m:t>av</m:t>
            </m:r>
          </m:sub>
        </m:sSub>
        <m:r>
          <w:rPr>
            <w:rFonts w:ascii="Cambria Math" w:hAnsi="Cambria Math" w:cs="Arial"/>
            <w:color w:val="000000" w:themeColor="text1"/>
            <w:szCs w:val="18"/>
            <w:lang w:val="en-US"/>
          </w:rPr>
          <m:t>&gt;0</m:t>
        </m:r>
      </m:oMath>
      <w:r w:rsidRPr="002D1CE4">
        <w:rPr>
          <w:rFonts w:cs="Arial"/>
          <w:color w:val="000000" w:themeColor="text1"/>
          <w:szCs w:val="18"/>
          <w:lang w:val="en-US"/>
        </w:rPr>
        <w:t xml:space="preserve">, otherwise </w:t>
      </w:r>
      <m:oMath>
        <m:r>
          <w:rPr>
            <w:rFonts w:ascii="Cambria Math" w:hAnsi="Cambria Math" w:cs="Arial"/>
            <w:color w:val="000000" w:themeColor="text1"/>
            <w:szCs w:val="18"/>
            <w:lang w:val="en-US"/>
          </w:rPr>
          <m:t>θ</m:t>
        </m:r>
        <m:d>
          <m:dPr>
            <m:ctrlPr>
              <w:rPr>
                <w:rFonts w:ascii="Cambria Math" w:hAnsi="Cambria Math" w:cs="Arial"/>
                <w:color w:val="000000" w:themeColor="text1"/>
                <w:szCs w:val="18"/>
                <w:lang w:val="en-US"/>
              </w:rPr>
            </m:ctrlPr>
          </m:dPr>
          <m:e>
            <m:sSub>
              <m:sSubPr>
                <m:ctrlPr>
                  <w:rPr>
                    <w:rFonts w:ascii="Cambria Math" w:hAnsi="Cambria Math" w:cs="Arial"/>
                    <w:color w:val="000000" w:themeColor="text1"/>
                    <w:szCs w:val="18"/>
                    <w:lang w:val="en-US"/>
                  </w:rPr>
                </m:ctrlPr>
              </m:sSubPr>
              <m:e>
                <m:r>
                  <w:rPr>
                    <w:rFonts w:ascii="Cambria Math" w:hAnsi="Cambria Math" w:cs="Arial"/>
                    <w:color w:val="000000" w:themeColor="text1"/>
                    <w:szCs w:val="18"/>
                    <w:lang w:val="en-US"/>
                  </w:rPr>
                  <m:t>I</m:t>
                </m:r>
              </m:e>
              <m:sub>
                <m:r>
                  <w:rPr>
                    <w:rFonts w:ascii="Cambria Math" w:hAnsi="Cambria Math" w:cs="Arial"/>
                    <w:color w:val="000000" w:themeColor="text1"/>
                    <w:szCs w:val="18"/>
                    <w:lang w:val="en-US"/>
                  </w:rPr>
                  <m:t>av</m:t>
                </m:r>
              </m:sub>
            </m:sSub>
          </m:e>
        </m:d>
        <m:r>
          <m:rPr>
            <m:sty m:val="p"/>
          </m:rPr>
          <w:rPr>
            <w:rFonts w:ascii="Cambria Math" w:hAnsi="Cambria Math" w:cs="Arial"/>
            <w:color w:val="000000" w:themeColor="text1"/>
            <w:szCs w:val="18"/>
            <w:lang w:val="en-US"/>
          </w:rPr>
          <m:t>=0</m:t>
        </m:r>
      </m:oMath>
      <w:r w:rsidRPr="002D1CE4">
        <w:rPr>
          <w:rFonts w:cs="Arial"/>
          <w:color w:val="000000" w:themeColor="text1"/>
          <w:szCs w:val="18"/>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gridCol w:w="561"/>
      </w:tblGrid>
      <w:tr w:rsidR="002D1CE4" w:rsidRPr="002D1CE4" w14:paraId="4D20C4D2" w14:textId="77777777" w:rsidTr="007C6C8E">
        <w:tc>
          <w:tcPr>
            <w:tcW w:w="4681" w:type="pct"/>
            <w:vAlign w:val="center"/>
          </w:tcPr>
          <w:p w14:paraId="484A1073" w14:textId="77777777" w:rsidR="003625C2" w:rsidRPr="002D1CE4" w:rsidRDefault="003625C2" w:rsidP="00F52CE7">
            <w:pPr>
              <w:pStyle w:val="MTDisplayEquation"/>
              <w:tabs>
                <w:tab w:val="clear" w:pos="4560"/>
                <w:tab w:val="clear" w:pos="8780"/>
              </w:tabs>
              <w:ind w:left="0" w:firstLine="0"/>
              <w:jc w:val="left"/>
              <w:rPr>
                <w:color w:val="000000" w:themeColor="text1"/>
              </w:rPr>
            </w:pPr>
            <w:r w:rsidRPr="002D1CE4">
              <w:rPr>
                <w:color w:val="000000" w:themeColor="text1"/>
                <w:position w:val="-28"/>
              </w:rPr>
              <w:object w:dxaOrig="8180" w:dyaOrig="700" w14:anchorId="22F26644">
                <v:shape id="_x0000_i1026" type="#_x0000_t75" style="width:298.15pt;height:28.15pt" o:ole="">
                  <v:imagedata r:id="rId14" o:title=""/>
                </v:shape>
                <o:OLEObject Type="Embed" ProgID="Equation.DSMT4" ShapeID="_x0000_i1026" DrawAspect="Content" ObjectID="_1741116498" r:id="rId15"/>
              </w:object>
            </w:r>
          </w:p>
        </w:tc>
        <w:tc>
          <w:tcPr>
            <w:tcW w:w="319" w:type="pct"/>
            <w:vAlign w:val="center"/>
          </w:tcPr>
          <w:p w14:paraId="5C65EC22" w14:textId="77777777" w:rsidR="003625C2" w:rsidRPr="002D1CE4" w:rsidRDefault="003625C2" w:rsidP="00454A2E">
            <w:pPr>
              <w:pStyle w:val="MTDisplayEquation"/>
              <w:tabs>
                <w:tab w:val="clear" w:pos="4560"/>
                <w:tab w:val="clear" w:pos="8780"/>
              </w:tabs>
              <w:ind w:left="0" w:firstLine="0"/>
              <w:jc w:val="center"/>
              <w:rPr>
                <w:color w:val="000000" w:themeColor="text1"/>
              </w:rPr>
            </w:pPr>
            <w:r w:rsidRPr="002D1CE4">
              <w:rPr>
                <w:color w:val="000000" w:themeColor="text1"/>
              </w:rPr>
              <w:t>(2)</w:t>
            </w:r>
          </w:p>
        </w:tc>
      </w:tr>
    </w:tbl>
    <w:p w14:paraId="5131F733" w14:textId="78DC5B61" w:rsidR="00454A2E" w:rsidRPr="002D1CE4" w:rsidRDefault="00967CDA" w:rsidP="007C6C8E">
      <w:pPr>
        <w:pStyle w:val="ListParagraph"/>
        <w:pBdr>
          <w:top w:val="nil"/>
          <w:left w:val="nil"/>
          <w:bottom w:val="nil"/>
          <w:right w:val="nil"/>
          <w:between w:val="nil"/>
        </w:pBdr>
        <w:spacing w:before="120" w:after="120"/>
        <w:ind w:left="0"/>
        <w:rPr>
          <w:color w:val="000000" w:themeColor="text1"/>
        </w:rPr>
      </w:pPr>
      <w:r w:rsidRPr="002D1CE4">
        <w:rPr>
          <w:rFonts w:eastAsiaTheme="minorEastAsia" w:cs="Arial"/>
          <w:color w:val="000000" w:themeColor="text1"/>
          <w:szCs w:val="18"/>
          <w:lang w:val="en-US"/>
        </w:rPr>
        <w:t xml:space="preserve">with </w:t>
      </w:r>
      <m:oMath>
        <m:sSub>
          <m:sSubPr>
            <m:ctrlPr>
              <w:rPr>
                <w:rFonts w:ascii="Cambria Math" w:hAnsi="Cambria Math" w:cs="Arial"/>
                <w:color w:val="000000" w:themeColor="text1"/>
                <w:szCs w:val="18"/>
                <w:lang w:val="en-US"/>
              </w:rPr>
            </m:ctrlPr>
          </m:sSubPr>
          <m:e>
            <m:r>
              <w:rPr>
                <w:rFonts w:ascii="Cambria Math" w:hAnsi="Cambria Math" w:cs="Arial"/>
                <w:color w:val="000000" w:themeColor="text1"/>
                <w:szCs w:val="18"/>
                <w:lang w:val="en-US"/>
              </w:rPr>
              <m:t>Y</m:t>
            </m:r>
          </m:e>
          <m:sub>
            <m:r>
              <w:rPr>
                <w:rFonts w:ascii="Cambria Math" w:hAnsi="Cambria Math" w:cs="Arial"/>
                <w:color w:val="000000" w:themeColor="text1"/>
                <w:szCs w:val="18"/>
                <w:lang w:val="en-US"/>
              </w:rPr>
              <m:t>j</m:t>
            </m:r>
          </m:sub>
        </m:sSub>
      </m:oMath>
      <w:r w:rsidRPr="002D1CE4">
        <w:rPr>
          <w:rFonts w:cs="Arial"/>
          <w:color w:val="000000" w:themeColor="text1"/>
          <w:szCs w:val="18"/>
          <w:lang w:val="en-US"/>
        </w:rPr>
        <w:t xml:space="preserve"> representing the yield of biomass with respect to the limiting nutrient </w:t>
      </w:r>
      <m:oMath>
        <m:r>
          <w:rPr>
            <w:rFonts w:ascii="Cambria Math" w:hAnsi="Cambria Math" w:cs="Arial"/>
            <w:color w:val="000000" w:themeColor="text1"/>
            <w:szCs w:val="18"/>
            <w:lang w:val="en-US"/>
          </w:rPr>
          <m:t>j</m:t>
        </m:r>
      </m:oMath>
      <w:r w:rsidRPr="002D1CE4">
        <w:rPr>
          <w:rFonts w:cs="Arial"/>
          <w:color w:val="000000" w:themeColor="text1"/>
          <w:szCs w:val="18"/>
          <w:lang w:val="en-US"/>
        </w:rPr>
        <w:t xml:space="preserve">. As reported in Eq (3), the mass balance of TIC </w:t>
      </w:r>
      <w:proofErr w:type="gramStart"/>
      <w:r w:rsidRPr="002D1CE4">
        <w:rPr>
          <w:rFonts w:cs="Arial"/>
          <w:color w:val="000000" w:themeColor="text1"/>
          <w:szCs w:val="18"/>
          <w:lang w:val="en-US"/>
        </w:rPr>
        <w:t>has to</w:t>
      </w:r>
      <w:proofErr w:type="gramEnd"/>
      <w:r w:rsidRPr="002D1CE4">
        <w:rPr>
          <w:rFonts w:cs="Arial"/>
          <w:color w:val="000000" w:themeColor="text1"/>
          <w:szCs w:val="18"/>
          <w:lang w:val="en-US"/>
        </w:rPr>
        <w:t xml:space="preserve"> take into account the carbon dioxide mass transfer from gas to the liquid phase</w:t>
      </w:r>
      <w:r w:rsidR="001C140F" w:rsidRPr="002D1CE4">
        <w:rPr>
          <w:rFonts w:cs="Arial"/>
          <w:color w:val="000000" w:themeColor="text1"/>
          <w:szCs w:val="18"/>
          <w:lang w:val="en-US"/>
        </w:rPr>
        <w:t>:</w:t>
      </w:r>
      <w:r w:rsidR="001C140F" w:rsidRPr="002D1CE4">
        <w:rPr>
          <w:color w:val="000000" w:themeColor="text1"/>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gridCol w:w="561"/>
      </w:tblGrid>
      <w:tr w:rsidR="007C6C8E" w:rsidRPr="002D1CE4" w14:paraId="58ECF3D0" w14:textId="77777777" w:rsidTr="007C6C8E">
        <w:tc>
          <w:tcPr>
            <w:tcW w:w="4681" w:type="pct"/>
          </w:tcPr>
          <w:p w14:paraId="01862F1F" w14:textId="77777777" w:rsidR="00454A2E" w:rsidRPr="002D1CE4" w:rsidRDefault="00454A2E" w:rsidP="00F52CE7">
            <w:pPr>
              <w:pStyle w:val="MTDisplayEquation"/>
              <w:tabs>
                <w:tab w:val="clear" w:pos="4560"/>
                <w:tab w:val="clear" w:pos="8780"/>
              </w:tabs>
              <w:ind w:left="0" w:firstLine="0"/>
              <w:jc w:val="left"/>
              <w:rPr>
                <w:color w:val="000000" w:themeColor="text1"/>
              </w:rPr>
            </w:pPr>
            <w:r w:rsidRPr="002D1CE4">
              <w:rPr>
                <w:color w:val="000000" w:themeColor="text1"/>
                <w:position w:val="-28"/>
              </w:rPr>
              <w:object w:dxaOrig="9480" w:dyaOrig="680" w14:anchorId="3DA86DB9">
                <v:shape id="_x0000_i1027" type="#_x0000_t75" style="width:377.65pt;height:27pt" o:ole="">
                  <v:imagedata r:id="rId16" o:title=""/>
                </v:shape>
                <o:OLEObject Type="Embed" ProgID="Equation.DSMT4" ShapeID="_x0000_i1027" DrawAspect="Content" ObjectID="_1741116499" r:id="rId17"/>
              </w:object>
            </w:r>
          </w:p>
        </w:tc>
        <w:tc>
          <w:tcPr>
            <w:tcW w:w="319" w:type="pct"/>
          </w:tcPr>
          <w:p w14:paraId="13CA74BB" w14:textId="77777777" w:rsidR="00454A2E" w:rsidRPr="002D1CE4" w:rsidRDefault="00454A2E" w:rsidP="00E817AF">
            <w:pPr>
              <w:pStyle w:val="MTDisplayEquation"/>
              <w:tabs>
                <w:tab w:val="clear" w:pos="4560"/>
                <w:tab w:val="clear" w:pos="8780"/>
              </w:tabs>
              <w:ind w:left="0" w:firstLine="0"/>
              <w:rPr>
                <w:color w:val="000000" w:themeColor="text1"/>
              </w:rPr>
            </w:pPr>
            <w:r w:rsidRPr="002D1CE4">
              <w:rPr>
                <w:color w:val="000000" w:themeColor="text1"/>
              </w:rPr>
              <w:t>(3)</w:t>
            </w:r>
          </w:p>
        </w:tc>
      </w:tr>
    </w:tbl>
    <w:p w14:paraId="784810CB" w14:textId="1EDF7B15" w:rsidR="001C140F" w:rsidRPr="002D1CE4" w:rsidRDefault="001C140F" w:rsidP="00D373D8">
      <w:pPr>
        <w:keepNext/>
        <w:spacing w:before="120"/>
        <w:rPr>
          <w:rFonts w:cs="Arial"/>
          <w:color w:val="000000" w:themeColor="text1"/>
          <w:szCs w:val="18"/>
          <w:lang w:val="en-US"/>
        </w:rPr>
      </w:pPr>
      <w:r w:rsidRPr="002D1CE4">
        <w:rPr>
          <w:rFonts w:cs="Arial"/>
          <w:color w:val="000000" w:themeColor="text1"/>
          <w:szCs w:val="18"/>
          <w:lang w:val="en-US"/>
        </w:rPr>
        <w:t xml:space="preserve">where </w:t>
      </w:r>
      <m:oMath>
        <m:sSub>
          <m:sSubPr>
            <m:ctrlPr>
              <w:rPr>
                <w:rFonts w:ascii="Cambria Math" w:hAnsi="Cambria Math" w:cs="Arial"/>
                <w:color w:val="000000" w:themeColor="text1"/>
                <w:szCs w:val="18"/>
                <w:lang w:val="en-US"/>
              </w:rPr>
            </m:ctrlPr>
          </m:sSubPr>
          <m:e>
            <m:r>
              <w:rPr>
                <w:rFonts w:ascii="Cambria Math" w:hAnsi="Cambria Math" w:cs="Arial"/>
                <w:color w:val="000000" w:themeColor="text1"/>
                <w:szCs w:val="18"/>
                <w:lang w:val="en-US"/>
              </w:rPr>
              <m:t>V</m:t>
            </m:r>
          </m:e>
          <m:sub>
            <m:r>
              <w:rPr>
                <w:rFonts w:ascii="Cambria Math" w:hAnsi="Cambria Math" w:cs="Arial"/>
                <w:color w:val="000000" w:themeColor="text1"/>
                <w:szCs w:val="18"/>
                <w:lang w:val="en-US"/>
              </w:rPr>
              <m:t>r</m:t>
            </m:r>
          </m:sub>
        </m:sSub>
      </m:oMath>
      <w:r w:rsidRPr="002D1CE4">
        <w:rPr>
          <w:rFonts w:cs="Arial"/>
          <w:color w:val="000000" w:themeColor="text1"/>
          <w:szCs w:val="18"/>
          <w:lang w:val="en-US"/>
        </w:rPr>
        <w:t xml:space="preserve"> is the reactor volume and </w:t>
      </w:r>
      <m:oMath>
        <m:sSub>
          <m:sSubPr>
            <m:ctrlPr>
              <w:rPr>
                <w:rFonts w:ascii="Cambria Math" w:hAnsi="Cambria Math" w:cs="Arial"/>
                <w:color w:val="000000" w:themeColor="text1"/>
                <w:szCs w:val="18"/>
                <w:lang w:val="en-US"/>
              </w:rPr>
            </m:ctrlPr>
          </m:sSubPr>
          <m:e>
            <m:r>
              <w:rPr>
                <w:rFonts w:ascii="Cambria Math" w:hAnsi="Cambria Math" w:cs="Arial"/>
                <w:color w:val="000000" w:themeColor="text1"/>
                <w:szCs w:val="18"/>
                <w:lang w:val="en-US"/>
              </w:rPr>
              <m:t>k</m:t>
            </m:r>
          </m:e>
          <m:sub>
            <m:r>
              <w:rPr>
                <w:rFonts w:ascii="Cambria Math" w:hAnsi="Cambria Math" w:cs="Arial"/>
                <w:color w:val="000000" w:themeColor="text1"/>
                <w:szCs w:val="18"/>
                <w:lang w:val="en-US"/>
              </w:rPr>
              <m:t>l</m:t>
            </m:r>
            <m:r>
              <m:rPr>
                <m:sty m:val="p"/>
              </m:rPr>
              <w:rPr>
                <w:rFonts w:ascii="Cambria Math" w:hAnsi="Cambria Math" w:cs="Arial"/>
                <w:color w:val="000000" w:themeColor="text1"/>
                <w:szCs w:val="18"/>
                <w:lang w:val="en-US"/>
              </w:rPr>
              <m:t>,</m:t>
            </m:r>
            <m:r>
              <w:rPr>
                <w:rFonts w:ascii="Cambria Math" w:hAnsi="Cambria Math" w:cs="Arial"/>
                <w:color w:val="000000" w:themeColor="text1"/>
                <w:szCs w:val="18"/>
                <w:lang w:val="en-US"/>
              </w:rPr>
              <m:t>a</m:t>
            </m:r>
          </m:sub>
        </m:sSub>
      </m:oMath>
      <w:r w:rsidRPr="002D1CE4">
        <w:rPr>
          <w:rFonts w:cs="Arial"/>
          <w:color w:val="000000" w:themeColor="text1"/>
          <w:szCs w:val="18"/>
          <w:lang w:val="en-US"/>
        </w:rPr>
        <w:t xml:space="preserve"> the volumetric transfer coefficient. Moreover, the CO</w:t>
      </w:r>
      <w:r w:rsidRPr="002D1CE4">
        <w:rPr>
          <w:rFonts w:cs="Arial"/>
          <w:color w:val="000000" w:themeColor="text1"/>
          <w:szCs w:val="18"/>
          <w:vertAlign w:val="subscript"/>
          <w:lang w:val="en-US"/>
        </w:rPr>
        <w:t>2</w:t>
      </w:r>
      <w:r w:rsidRPr="002D1CE4">
        <w:rPr>
          <w:rFonts w:cs="Arial"/>
          <w:color w:val="000000" w:themeColor="text1"/>
          <w:szCs w:val="18"/>
          <w:lang w:val="en-US"/>
        </w:rPr>
        <w:t xml:space="preserve"> dissolution gives rise to the production of </w:t>
      </w:r>
      <m:oMath>
        <m:sSubSup>
          <m:sSubSupPr>
            <m:ctrlPr>
              <w:rPr>
                <w:rFonts w:ascii="Cambria Math" w:hAnsi="Cambria Math" w:cs="Arial"/>
                <w:color w:val="000000" w:themeColor="text1"/>
                <w:szCs w:val="18"/>
                <w:lang w:val="en-US"/>
              </w:rPr>
            </m:ctrlPr>
          </m:sSubSupPr>
          <m:e>
            <m:r>
              <w:rPr>
                <w:rFonts w:ascii="Cambria Math" w:hAnsi="Cambria Math" w:cs="Arial"/>
                <w:color w:val="000000" w:themeColor="text1"/>
                <w:szCs w:val="18"/>
                <w:lang w:val="en-US"/>
              </w:rPr>
              <m:t>CO</m:t>
            </m:r>
          </m:e>
          <m:sub>
            <m:r>
              <m:rPr>
                <m:sty m:val="p"/>
              </m:rPr>
              <w:rPr>
                <w:rFonts w:ascii="Cambria Math" w:hAnsi="Cambria Math" w:cs="Arial"/>
                <w:color w:val="000000" w:themeColor="text1"/>
                <w:szCs w:val="18"/>
                <w:lang w:val="en-US"/>
              </w:rPr>
              <m:t>3</m:t>
            </m:r>
          </m:sub>
          <m:sup>
            <m:r>
              <m:rPr>
                <m:sty m:val="p"/>
              </m:rPr>
              <w:rPr>
                <w:rFonts w:ascii="Cambria Math" w:hAnsi="Cambria Math" w:cs="Arial"/>
                <w:color w:val="000000" w:themeColor="text1"/>
                <w:szCs w:val="18"/>
                <w:lang w:val="en-US"/>
              </w:rPr>
              <m:t>2-</m:t>
            </m:r>
          </m:sup>
        </m:sSubSup>
      </m:oMath>
      <w:r w:rsidRPr="002D1CE4">
        <w:rPr>
          <w:rFonts w:cs="Arial"/>
          <w:color w:val="000000" w:themeColor="text1"/>
          <w:szCs w:val="18"/>
          <w:lang w:val="en-US"/>
        </w:rPr>
        <w:t xml:space="preserve"> and </w:t>
      </w:r>
      <m:oMath>
        <m:sSubSup>
          <m:sSubSupPr>
            <m:ctrlPr>
              <w:rPr>
                <w:rFonts w:ascii="Cambria Math" w:hAnsi="Cambria Math" w:cs="Arial"/>
                <w:color w:val="000000" w:themeColor="text1"/>
                <w:szCs w:val="18"/>
                <w:lang w:val="en-US"/>
              </w:rPr>
            </m:ctrlPr>
          </m:sSubSupPr>
          <m:e>
            <m:r>
              <w:rPr>
                <w:rFonts w:ascii="Cambria Math" w:hAnsi="Cambria Math" w:cs="Arial"/>
                <w:color w:val="000000" w:themeColor="text1"/>
                <w:szCs w:val="18"/>
                <w:lang w:val="en-US"/>
              </w:rPr>
              <m:t>HCO</m:t>
            </m:r>
          </m:e>
          <m:sub>
            <m:r>
              <m:rPr>
                <m:sty m:val="p"/>
              </m:rPr>
              <w:rPr>
                <w:rFonts w:ascii="Cambria Math" w:hAnsi="Cambria Math" w:cs="Arial"/>
                <w:color w:val="000000" w:themeColor="text1"/>
                <w:szCs w:val="18"/>
                <w:lang w:val="en-US"/>
              </w:rPr>
              <m:t>3</m:t>
            </m:r>
          </m:sub>
          <m:sup>
            <m:r>
              <m:rPr>
                <m:sty m:val="p"/>
              </m:rPr>
              <w:rPr>
                <w:rFonts w:ascii="Cambria Math" w:hAnsi="Cambria Math" w:cs="Arial"/>
                <w:color w:val="000000" w:themeColor="text1"/>
                <w:szCs w:val="18"/>
                <w:lang w:val="en-US"/>
              </w:rPr>
              <m:t>-</m:t>
            </m:r>
          </m:sup>
        </m:sSubSup>
      </m:oMath>
      <w:r w:rsidRPr="002D1CE4">
        <w:rPr>
          <w:rFonts w:cs="Arial"/>
          <w:color w:val="000000" w:themeColor="text1"/>
          <w:szCs w:val="18"/>
          <w:lang w:val="en-US"/>
        </w:rPr>
        <w:t>, as shown i</w:t>
      </w:r>
      <w:r w:rsidR="00A249BE" w:rsidRPr="002D1CE4">
        <w:rPr>
          <w:rFonts w:cs="Arial"/>
          <w:color w:val="000000" w:themeColor="text1"/>
          <w:szCs w:val="18"/>
          <w:lang w:val="en-US"/>
        </w:rPr>
        <w:t>n Table 1</w:t>
      </w:r>
      <w:r w:rsidRPr="002D1CE4">
        <w:rPr>
          <w:rFonts w:cs="Arial"/>
          <w:color w:val="000000" w:themeColor="text1"/>
          <w:szCs w:val="18"/>
          <w:lang w:val="en-US"/>
        </w:rPr>
        <w:t xml:space="preserve">. </w:t>
      </w:r>
    </w:p>
    <w:p w14:paraId="26478937" w14:textId="77777777" w:rsidR="00A249BE" w:rsidRPr="00A249BE" w:rsidRDefault="00A249BE" w:rsidP="0095786E">
      <w:pPr>
        <w:pStyle w:val="CETCaption"/>
        <w:spacing w:after="120"/>
        <w:rPr>
          <w:rStyle w:val="CETCaptionCarattere"/>
        </w:rPr>
      </w:pPr>
      <w:r w:rsidRPr="00A249BE">
        <w:rPr>
          <w:rStyle w:val="CETCaptionCarattere"/>
          <w:i/>
          <w:iCs/>
        </w:rPr>
        <w:t>Table 1. Equilibria involving carbon species in the liquid phase and values of equilibrium constants</w:t>
      </w:r>
      <w:r w:rsidRPr="00A249BE">
        <w:rPr>
          <w:rStyle w:val="CETCaptionCarattere"/>
        </w:rPr>
        <w:t>.</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755"/>
        <w:gridCol w:w="2536"/>
        <w:gridCol w:w="1479"/>
        <w:gridCol w:w="1817"/>
        <w:gridCol w:w="1817"/>
      </w:tblGrid>
      <w:tr w:rsidR="00A249BE" w:rsidRPr="004953B8" w14:paraId="4762549D" w14:textId="77777777" w:rsidTr="00081E58">
        <w:trPr>
          <w:trHeight w:hRule="exact" w:val="340"/>
          <w:jc w:val="center"/>
        </w:trPr>
        <w:tc>
          <w:tcPr>
            <w:tcW w:w="755" w:type="dxa"/>
            <w:tcBorders>
              <w:top w:val="single" w:sz="8" w:space="0" w:color="00B050"/>
              <w:bottom w:val="single" w:sz="8" w:space="0" w:color="00B050"/>
            </w:tcBorders>
            <w:shd w:val="clear" w:color="auto" w:fill="auto"/>
            <w:vAlign w:val="center"/>
          </w:tcPr>
          <w:p w14:paraId="2167CF7C" w14:textId="77777777" w:rsidR="00A249BE" w:rsidRPr="00A249BE" w:rsidRDefault="00A249BE" w:rsidP="00081E58">
            <w:pPr>
              <w:spacing w:line="240" w:lineRule="auto"/>
              <w:rPr>
                <w:rFonts w:cs="Arial"/>
                <w:b/>
                <w:bCs/>
                <w:sz w:val="16"/>
                <w:szCs w:val="16"/>
              </w:rPr>
            </w:pPr>
            <w:r w:rsidRPr="00A249BE">
              <w:rPr>
                <w:rFonts w:cs="Arial"/>
                <w:b/>
                <w:bCs/>
                <w:sz w:val="16"/>
                <w:szCs w:val="16"/>
              </w:rPr>
              <w:t>ID</w:t>
            </w:r>
          </w:p>
        </w:tc>
        <w:tc>
          <w:tcPr>
            <w:tcW w:w="0" w:type="auto"/>
            <w:tcBorders>
              <w:top w:val="single" w:sz="8" w:space="0" w:color="00B050"/>
              <w:bottom w:val="single" w:sz="8" w:space="0" w:color="00B050"/>
            </w:tcBorders>
            <w:shd w:val="clear" w:color="auto" w:fill="auto"/>
            <w:vAlign w:val="center"/>
          </w:tcPr>
          <w:p w14:paraId="268F8CFC" w14:textId="77777777" w:rsidR="00A249BE" w:rsidRPr="00A249BE" w:rsidRDefault="00A249BE" w:rsidP="00081E58">
            <w:pPr>
              <w:spacing w:line="240" w:lineRule="auto"/>
              <w:jc w:val="center"/>
              <w:rPr>
                <w:rFonts w:cs="Arial"/>
                <w:b/>
                <w:bCs/>
                <w:sz w:val="16"/>
                <w:szCs w:val="16"/>
              </w:rPr>
            </w:pPr>
            <w:r w:rsidRPr="00A249BE">
              <w:rPr>
                <w:rFonts w:cs="Arial"/>
                <w:b/>
                <w:bCs/>
                <w:sz w:val="16"/>
                <w:szCs w:val="16"/>
              </w:rPr>
              <w:t>Chemical Equilibrium</w:t>
            </w:r>
          </w:p>
        </w:tc>
        <w:tc>
          <w:tcPr>
            <w:tcW w:w="1479" w:type="dxa"/>
            <w:tcBorders>
              <w:top w:val="single" w:sz="8" w:space="0" w:color="00B050"/>
              <w:bottom w:val="single" w:sz="8" w:space="0" w:color="00B050"/>
            </w:tcBorders>
            <w:shd w:val="clear" w:color="auto" w:fill="auto"/>
            <w:vAlign w:val="center"/>
          </w:tcPr>
          <w:p w14:paraId="6C205737" w14:textId="77777777" w:rsidR="00A249BE" w:rsidRPr="00A249BE" w:rsidRDefault="00A249BE" w:rsidP="00081E58">
            <w:pPr>
              <w:spacing w:line="240" w:lineRule="auto"/>
              <w:jc w:val="center"/>
              <w:rPr>
                <w:rFonts w:cs="Arial"/>
                <w:b/>
                <w:bCs/>
                <w:sz w:val="16"/>
                <w:szCs w:val="16"/>
              </w:rPr>
            </w:pPr>
            <w:proofErr w:type="spellStart"/>
            <w:r w:rsidRPr="00A249BE">
              <w:rPr>
                <w:rFonts w:cs="Arial"/>
                <w:b/>
                <w:bCs/>
                <w:sz w:val="16"/>
                <w:szCs w:val="16"/>
              </w:rPr>
              <w:t>pK</w:t>
            </w:r>
            <w:proofErr w:type="spellEnd"/>
          </w:p>
        </w:tc>
        <w:tc>
          <w:tcPr>
            <w:tcW w:w="1817" w:type="dxa"/>
            <w:tcBorders>
              <w:top w:val="single" w:sz="8" w:space="0" w:color="00B050"/>
              <w:bottom w:val="single" w:sz="8" w:space="0" w:color="00B050"/>
            </w:tcBorders>
            <w:vAlign w:val="center"/>
          </w:tcPr>
          <w:p w14:paraId="5B57CA22" w14:textId="52451152" w:rsidR="00A249BE" w:rsidRPr="00A249BE" w:rsidRDefault="00A249BE" w:rsidP="00081E58">
            <w:pPr>
              <w:spacing w:line="240" w:lineRule="auto"/>
              <w:jc w:val="center"/>
              <w:rPr>
                <w:rFonts w:cs="Arial"/>
                <w:b/>
                <w:bCs/>
                <w:sz w:val="16"/>
                <w:szCs w:val="16"/>
              </w:rPr>
            </w:pPr>
            <w:r>
              <w:rPr>
                <w:rFonts w:cs="Arial"/>
                <w:b/>
                <w:bCs/>
                <w:sz w:val="16"/>
                <w:szCs w:val="16"/>
              </w:rPr>
              <w:t>Units</w:t>
            </w:r>
          </w:p>
        </w:tc>
        <w:tc>
          <w:tcPr>
            <w:tcW w:w="1817" w:type="dxa"/>
            <w:tcBorders>
              <w:top w:val="single" w:sz="8" w:space="0" w:color="00B050"/>
              <w:bottom w:val="single" w:sz="8" w:space="0" w:color="00B050"/>
            </w:tcBorders>
            <w:shd w:val="clear" w:color="auto" w:fill="auto"/>
            <w:vAlign w:val="center"/>
          </w:tcPr>
          <w:p w14:paraId="2FBED79C" w14:textId="364A4C24" w:rsidR="00A249BE" w:rsidRPr="00A249BE" w:rsidRDefault="00A249BE" w:rsidP="00081E58">
            <w:pPr>
              <w:spacing w:line="240" w:lineRule="auto"/>
              <w:jc w:val="center"/>
              <w:rPr>
                <w:rFonts w:cs="Arial"/>
                <w:b/>
                <w:bCs/>
                <w:sz w:val="16"/>
                <w:szCs w:val="16"/>
              </w:rPr>
            </w:pPr>
            <w:r w:rsidRPr="00A249BE">
              <w:rPr>
                <w:rFonts w:cs="Arial"/>
                <w:b/>
                <w:bCs/>
                <w:sz w:val="16"/>
                <w:szCs w:val="16"/>
              </w:rPr>
              <w:t>Ref.</w:t>
            </w:r>
          </w:p>
        </w:tc>
      </w:tr>
      <w:tr w:rsidR="00A249BE" w:rsidRPr="004953B8" w14:paraId="27703068" w14:textId="77777777" w:rsidTr="00081E58">
        <w:trPr>
          <w:trHeight w:hRule="exact" w:val="340"/>
          <w:jc w:val="center"/>
        </w:trPr>
        <w:tc>
          <w:tcPr>
            <w:tcW w:w="755" w:type="dxa"/>
            <w:tcBorders>
              <w:top w:val="single" w:sz="8" w:space="0" w:color="00B050"/>
              <w:bottom w:val="nil"/>
              <w:right w:val="nil"/>
            </w:tcBorders>
            <w:shd w:val="clear" w:color="auto" w:fill="FFFFFF"/>
            <w:vAlign w:val="center"/>
          </w:tcPr>
          <w:p w14:paraId="2254D5D1" w14:textId="77777777" w:rsidR="00A249BE" w:rsidRPr="00A249BE" w:rsidRDefault="00A249BE" w:rsidP="00081E58">
            <w:pPr>
              <w:spacing w:line="240" w:lineRule="auto"/>
              <w:rPr>
                <w:rFonts w:cs="Arial"/>
                <w:sz w:val="16"/>
                <w:szCs w:val="16"/>
              </w:rPr>
            </w:pPr>
            <w:r w:rsidRPr="00A249BE">
              <w:rPr>
                <w:rFonts w:cs="Arial"/>
                <w:sz w:val="16"/>
                <w:szCs w:val="16"/>
              </w:rPr>
              <w:t>R.1</w:t>
            </w:r>
          </w:p>
        </w:tc>
        <w:tc>
          <w:tcPr>
            <w:tcW w:w="0" w:type="auto"/>
            <w:tcBorders>
              <w:top w:val="single" w:sz="8" w:space="0" w:color="00B050"/>
              <w:left w:val="nil"/>
              <w:bottom w:val="nil"/>
              <w:right w:val="nil"/>
            </w:tcBorders>
            <w:shd w:val="clear" w:color="auto" w:fill="FFFFFF"/>
            <w:vAlign w:val="center"/>
          </w:tcPr>
          <w:p w14:paraId="2B9B710B" w14:textId="722DB8F3" w:rsidR="00A249BE" w:rsidRPr="00A249BE" w:rsidRDefault="00A249BE" w:rsidP="00081E58">
            <w:pPr>
              <w:spacing w:line="240" w:lineRule="auto"/>
              <w:jc w:val="center"/>
              <w:rPr>
                <w:rFonts w:cs="Arial"/>
                <w:sz w:val="16"/>
                <w:szCs w:val="16"/>
              </w:rPr>
            </w:pPr>
            <w:r w:rsidRPr="00A249BE">
              <w:rPr>
                <w:rFonts w:cs="Arial"/>
                <w:position w:val="-12"/>
                <w:sz w:val="16"/>
                <w:szCs w:val="16"/>
              </w:rPr>
              <w:object w:dxaOrig="3060" w:dyaOrig="440" w14:anchorId="1F649ED3">
                <v:shape id="_x0000_i1028" type="#_x0000_t75" style="width:115.9pt;height:17.65pt" o:ole="">
                  <v:imagedata r:id="rId18" o:title=""/>
                </v:shape>
                <o:OLEObject Type="Embed" ProgID="Equation.DSMT4" ShapeID="_x0000_i1028" DrawAspect="Content" ObjectID="_1741116500" r:id="rId19"/>
              </w:object>
            </w:r>
          </w:p>
        </w:tc>
        <w:tc>
          <w:tcPr>
            <w:tcW w:w="1479" w:type="dxa"/>
            <w:tcBorders>
              <w:top w:val="single" w:sz="8" w:space="0" w:color="00B050"/>
              <w:left w:val="nil"/>
              <w:bottom w:val="nil"/>
              <w:right w:val="nil"/>
            </w:tcBorders>
            <w:shd w:val="clear" w:color="auto" w:fill="FFFFFF"/>
            <w:vAlign w:val="center"/>
          </w:tcPr>
          <w:p w14:paraId="054C7CBB" w14:textId="352BEB66" w:rsidR="00A249BE" w:rsidRPr="001D2C83" w:rsidRDefault="001D2C83" w:rsidP="00081E58">
            <w:pPr>
              <w:spacing w:line="240" w:lineRule="auto"/>
              <w:jc w:val="center"/>
              <w:rPr>
                <w:rFonts w:cs="Arial"/>
                <w:szCs w:val="18"/>
              </w:rPr>
            </w:pPr>
            <m:oMathPara>
              <m:oMath>
                <m:r>
                  <w:rPr>
                    <w:rFonts w:ascii="Cambria Math" w:hAnsi="Cambria Math" w:cs="Arial"/>
                    <w:szCs w:val="18"/>
                  </w:rPr>
                  <m:t xml:space="preserve">4.15 </m:t>
                </m:r>
                <m:r>
                  <w:rPr>
                    <w:rFonts w:ascii="Cambria Math" w:hAnsi="Cambria Math" w:cs="Calibri"/>
                    <w:szCs w:val="18"/>
                  </w:rPr>
                  <m:t>×</m:t>
                </m:r>
                <m:r>
                  <w:rPr>
                    <w:rFonts w:ascii="Cambria Math" w:hAnsi="Cambria Math" w:cs="Arial"/>
                    <w:szCs w:val="18"/>
                  </w:rPr>
                  <m:t xml:space="preserve"> </m:t>
                </m:r>
                <m:sSup>
                  <m:sSupPr>
                    <m:ctrlPr>
                      <w:rPr>
                        <w:rFonts w:ascii="Cambria Math" w:hAnsi="Cambria Math" w:cs="Arial"/>
                        <w:i/>
                        <w:szCs w:val="18"/>
                      </w:rPr>
                    </m:ctrlPr>
                  </m:sSupPr>
                  <m:e>
                    <m:r>
                      <w:rPr>
                        <w:rFonts w:ascii="Cambria Math" w:hAnsi="Cambria Math" w:cs="Arial"/>
                        <w:szCs w:val="18"/>
                      </w:rPr>
                      <m:t>10</m:t>
                    </m:r>
                  </m:e>
                  <m:sup>
                    <m:r>
                      <w:rPr>
                        <w:rFonts w:ascii="Cambria Math" w:hAnsi="Cambria Math" w:cs="Arial"/>
                        <w:szCs w:val="18"/>
                      </w:rPr>
                      <m:t>-7</m:t>
                    </m:r>
                  </m:sup>
                </m:sSup>
              </m:oMath>
            </m:oMathPara>
          </w:p>
        </w:tc>
        <w:tc>
          <w:tcPr>
            <w:tcW w:w="1817" w:type="dxa"/>
            <w:tcBorders>
              <w:top w:val="single" w:sz="8" w:space="0" w:color="00B050"/>
              <w:left w:val="nil"/>
              <w:bottom w:val="nil"/>
              <w:right w:val="nil"/>
            </w:tcBorders>
            <w:shd w:val="clear" w:color="auto" w:fill="FFFFFF"/>
            <w:vAlign w:val="center"/>
          </w:tcPr>
          <w:p w14:paraId="592746E0" w14:textId="577D7808" w:rsidR="00A249BE" w:rsidRPr="00A249BE" w:rsidRDefault="001D2C83" w:rsidP="00081E58">
            <w:pPr>
              <w:spacing w:line="240" w:lineRule="auto"/>
              <w:jc w:val="center"/>
              <w:rPr>
                <w:rFonts w:cs="Arial"/>
                <w:sz w:val="16"/>
                <w:szCs w:val="16"/>
              </w:rPr>
            </w:pPr>
            <m:oMathPara>
              <m:oMath>
                <m:r>
                  <m:rPr>
                    <m:sty m:val="p"/>
                  </m:rPr>
                  <w:rPr>
                    <w:rFonts w:ascii="Cambria Math" w:eastAsiaTheme="minorEastAsia" w:hAnsi="Cambria Math" w:cs="Arial"/>
                    <w:szCs w:val="18"/>
                    <w:lang w:val="en-US"/>
                  </w:rPr>
                  <m:t xml:space="preserve">mol </m:t>
                </m:r>
                <m:sSup>
                  <m:sSupPr>
                    <m:ctrlPr>
                      <w:rPr>
                        <w:rFonts w:ascii="Cambria Math" w:eastAsiaTheme="minorEastAsia" w:hAnsi="Cambria Math" w:cs="Arial"/>
                        <w:iCs/>
                        <w:szCs w:val="18"/>
                        <w:lang w:val="en-US"/>
                      </w:rPr>
                    </m:ctrlPr>
                  </m:sSupPr>
                  <m:e>
                    <m:r>
                      <w:rPr>
                        <w:rFonts w:ascii="Cambria Math" w:eastAsiaTheme="minorEastAsia" w:hAnsi="Cambria Math" w:cs="Arial"/>
                        <w:szCs w:val="18"/>
                        <w:lang w:val="en-US"/>
                      </w:rPr>
                      <m:t>L</m:t>
                    </m:r>
                  </m:e>
                  <m:sup>
                    <m:r>
                      <m:rPr>
                        <m:sty m:val="p"/>
                      </m:rPr>
                      <w:rPr>
                        <w:rFonts w:ascii="Cambria Math" w:eastAsiaTheme="minorEastAsia" w:hAnsi="Cambria Math" w:cs="Arial"/>
                        <w:szCs w:val="18"/>
                        <w:lang w:val="en-US"/>
                      </w:rPr>
                      <m:t>-1</m:t>
                    </m:r>
                  </m:sup>
                </m:sSup>
              </m:oMath>
            </m:oMathPara>
          </w:p>
        </w:tc>
        <w:tc>
          <w:tcPr>
            <w:tcW w:w="1817" w:type="dxa"/>
            <w:tcBorders>
              <w:top w:val="single" w:sz="8" w:space="0" w:color="00B050"/>
              <w:left w:val="nil"/>
              <w:bottom w:val="nil"/>
              <w:right w:val="nil"/>
            </w:tcBorders>
            <w:shd w:val="clear" w:color="auto" w:fill="FFFFFF"/>
            <w:vAlign w:val="center"/>
          </w:tcPr>
          <w:p w14:paraId="6259BB38" w14:textId="2704E4B1" w:rsidR="00A249BE" w:rsidRPr="00A249BE" w:rsidRDefault="00A249BE" w:rsidP="00081E58">
            <w:pPr>
              <w:spacing w:line="240" w:lineRule="auto"/>
              <w:jc w:val="center"/>
              <w:rPr>
                <w:rFonts w:cs="Arial"/>
                <w:sz w:val="16"/>
                <w:szCs w:val="16"/>
              </w:rPr>
            </w:pPr>
            <w:r w:rsidRPr="00A249BE">
              <w:rPr>
                <w:rFonts w:cs="Arial"/>
                <w:sz w:val="16"/>
                <w:szCs w:val="16"/>
              </w:rPr>
              <w:t>Perrin et al., 1969</w:t>
            </w:r>
          </w:p>
        </w:tc>
      </w:tr>
      <w:tr w:rsidR="00A249BE" w:rsidRPr="004953B8" w14:paraId="0F838A7F" w14:textId="77777777" w:rsidTr="00081E58">
        <w:trPr>
          <w:trHeight w:hRule="exact" w:val="340"/>
          <w:jc w:val="center"/>
        </w:trPr>
        <w:tc>
          <w:tcPr>
            <w:tcW w:w="755" w:type="dxa"/>
            <w:tcBorders>
              <w:top w:val="nil"/>
              <w:bottom w:val="nil"/>
              <w:right w:val="nil"/>
            </w:tcBorders>
            <w:shd w:val="clear" w:color="auto" w:fill="FFFFFF"/>
            <w:vAlign w:val="center"/>
          </w:tcPr>
          <w:p w14:paraId="15FDD030" w14:textId="77777777" w:rsidR="00A249BE" w:rsidRPr="00A249BE" w:rsidRDefault="00A249BE" w:rsidP="00081E58">
            <w:pPr>
              <w:spacing w:line="240" w:lineRule="auto"/>
              <w:rPr>
                <w:rFonts w:cs="Arial"/>
                <w:sz w:val="16"/>
                <w:szCs w:val="16"/>
              </w:rPr>
            </w:pPr>
            <w:r w:rsidRPr="00A249BE">
              <w:rPr>
                <w:rFonts w:cs="Arial"/>
                <w:sz w:val="16"/>
                <w:szCs w:val="16"/>
              </w:rPr>
              <w:t>R. 2</w:t>
            </w:r>
          </w:p>
        </w:tc>
        <w:tc>
          <w:tcPr>
            <w:tcW w:w="0" w:type="auto"/>
            <w:tcBorders>
              <w:top w:val="nil"/>
              <w:left w:val="nil"/>
              <w:bottom w:val="nil"/>
              <w:right w:val="nil"/>
            </w:tcBorders>
            <w:shd w:val="clear" w:color="auto" w:fill="FFFFFF"/>
            <w:vAlign w:val="center"/>
          </w:tcPr>
          <w:p w14:paraId="45288313" w14:textId="010966A4" w:rsidR="00A249BE" w:rsidRPr="00A249BE" w:rsidRDefault="00A249BE" w:rsidP="00081E58">
            <w:pPr>
              <w:spacing w:line="240" w:lineRule="auto"/>
              <w:jc w:val="center"/>
              <w:rPr>
                <w:rFonts w:cs="Arial"/>
                <w:sz w:val="16"/>
                <w:szCs w:val="16"/>
              </w:rPr>
            </w:pPr>
            <w:r w:rsidRPr="00A249BE">
              <w:rPr>
                <w:rFonts w:cs="Arial"/>
                <w:position w:val="-12"/>
                <w:sz w:val="16"/>
                <w:szCs w:val="16"/>
              </w:rPr>
              <w:object w:dxaOrig="2540" w:dyaOrig="440" w14:anchorId="1B21F6E5">
                <v:shape id="_x0000_i1029" type="#_x0000_t75" style="width:104.65pt;height:17.65pt" o:ole="">
                  <v:imagedata r:id="rId20" o:title=""/>
                </v:shape>
                <o:OLEObject Type="Embed" ProgID="Equation.DSMT4" ShapeID="_x0000_i1029" DrawAspect="Content" ObjectID="_1741116501" r:id="rId21"/>
              </w:object>
            </w:r>
          </w:p>
        </w:tc>
        <w:tc>
          <w:tcPr>
            <w:tcW w:w="1479" w:type="dxa"/>
            <w:tcBorders>
              <w:top w:val="nil"/>
              <w:left w:val="nil"/>
              <w:bottom w:val="nil"/>
              <w:right w:val="nil"/>
            </w:tcBorders>
            <w:shd w:val="clear" w:color="auto" w:fill="FFFFFF"/>
            <w:vAlign w:val="center"/>
          </w:tcPr>
          <w:p w14:paraId="3E394E3D" w14:textId="44A2623D" w:rsidR="00A249BE" w:rsidRPr="001D2C83" w:rsidRDefault="001D2C83" w:rsidP="00081E58">
            <w:pPr>
              <w:spacing w:line="240" w:lineRule="auto"/>
              <w:jc w:val="center"/>
              <w:rPr>
                <w:rFonts w:cs="Arial"/>
                <w:szCs w:val="18"/>
              </w:rPr>
            </w:pPr>
            <m:oMathPara>
              <m:oMath>
                <m:r>
                  <m:rPr>
                    <m:sty m:val="p"/>
                  </m:rPr>
                  <w:rPr>
                    <w:rFonts w:ascii="Cambria Math" w:hAnsi="Cambria Math" w:cs="Arial"/>
                    <w:szCs w:val="18"/>
                  </w:rPr>
                  <m:t xml:space="preserve">2.74 </m:t>
                </m:r>
                <m:r>
                  <m:rPr>
                    <m:sty m:val="p"/>
                  </m:rPr>
                  <w:rPr>
                    <w:rFonts w:ascii="Cambria Math" w:hAnsi="Cambria Math" w:cs="Calibri"/>
                    <w:szCs w:val="18"/>
                  </w:rPr>
                  <m:t xml:space="preserve">× </m:t>
                </m:r>
                <m:sSup>
                  <m:sSupPr>
                    <m:ctrlPr>
                      <w:rPr>
                        <w:rFonts w:ascii="Cambria Math" w:hAnsi="Cambria Math" w:cs="Calibri"/>
                        <w:szCs w:val="18"/>
                      </w:rPr>
                    </m:ctrlPr>
                  </m:sSupPr>
                  <m:e>
                    <m:r>
                      <w:rPr>
                        <w:rFonts w:ascii="Cambria Math" w:hAnsi="Cambria Math" w:cs="Calibri"/>
                        <w:szCs w:val="18"/>
                      </w:rPr>
                      <m:t>10</m:t>
                    </m:r>
                  </m:e>
                  <m:sup>
                    <m:r>
                      <w:rPr>
                        <w:rFonts w:ascii="Cambria Math" w:hAnsi="Cambria Math" w:cs="Calibri"/>
                        <w:szCs w:val="18"/>
                      </w:rPr>
                      <m:t>-10</m:t>
                    </m:r>
                  </m:sup>
                </m:sSup>
              </m:oMath>
            </m:oMathPara>
          </w:p>
        </w:tc>
        <w:tc>
          <w:tcPr>
            <w:tcW w:w="1817" w:type="dxa"/>
            <w:tcBorders>
              <w:top w:val="nil"/>
              <w:left w:val="nil"/>
              <w:bottom w:val="nil"/>
              <w:right w:val="nil"/>
            </w:tcBorders>
            <w:shd w:val="clear" w:color="auto" w:fill="FFFFFF"/>
            <w:vAlign w:val="center"/>
          </w:tcPr>
          <w:p w14:paraId="1A4622E7" w14:textId="4C02A4D7" w:rsidR="00A249BE" w:rsidRPr="00A249BE" w:rsidRDefault="001D2C83" w:rsidP="00081E58">
            <w:pPr>
              <w:tabs>
                <w:tab w:val="left" w:pos="1222"/>
              </w:tabs>
              <w:spacing w:line="240" w:lineRule="auto"/>
              <w:jc w:val="center"/>
              <w:rPr>
                <w:rFonts w:cs="Arial"/>
                <w:sz w:val="16"/>
                <w:szCs w:val="16"/>
                <w:vertAlign w:val="superscript"/>
              </w:rPr>
            </w:pPr>
            <m:oMathPara>
              <m:oMath>
                <m:r>
                  <m:rPr>
                    <m:sty m:val="p"/>
                  </m:rPr>
                  <w:rPr>
                    <w:rFonts w:ascii="Cambria Math" w:eastAsiaTheme="minorEastAsia" w:hAnsi="Cambria Math" w:cs="Arial"/>
                    <w:szCs w:val="18"/>
                    <w:lang w:val="en-US"/>
                  </w:rPr>
                  <m:t xml:space="preserve">mol </m:t>
                </m:r>
                <m:sSup>
                  <m:sSupPr>
                    <m:ctrlPr>
                      <w:rPr>
                        <w:rFonts w:ascii="Cambria Math" w:eastAsiaTheme="minorEastAsia" w:hAnsi="Cambria Math" w:cs="Arial"/>
                        <w:iCs/>
                        <w:szCs w:val="18"/>
                        <w:lang w:val="en-US"/>
                      </w:rPr>
                    </m:ctrlPr>
                  </m:sSupPr>
                  <m:e>
                    <m:r>
                      <w:rPr>
                        <w:rFonts w:ascii="Cambria Math" w:eastAsiaTheme="minorEastAsia" w:hAnsi="Cambria Math" w:cs="Arial"/>
                        <w:szCs w:val="18"/>
                        <w:lang w:val="en-US"/>
                      </w:rPr>
                      <m:t>L</m:t>
                    </m:r>
                  </m:e>
                  <m:sup>
                    <m:r>
                      <m:rPr>
                        <m:sty m:val="p"/>
                      </m:rPr>
                      <w:rPr>
                        <w:rFonts w:ascii="Cambria Math" w:eastAsiaTheme="minorEastAsia" w:hAnsi="Cambria Math" w:cs="Arial"/>
                        <w:szCs w:val="18"/>
                        <w:lang w:val="en-US"/>
                      </w:rPr>
                      <m:t>-1</m:t>
                    </m:r>
                  </m:sup>
                </m:sSup>
              </m:oMath>
            </m:oMathPara>
          </w:p>
        </w:tc>
        <w:tc>
          <w:tcPr>
            <w:tcW w:w="1817" w:type="dxa"/>
            <w:tcBorders>
              <w:top w:val="nil"/>
              <w:left w:val="nil"/>
              <w:bottom w:val="nil"/>
            </w:tcBorders>
            <w:shd w:val="clear" w:color="auto" w:fill="FFFFFF"/>
            <w:vAlign w:val="center"/>
          </w:tcPr>
          <w:p w14:paraId="377B47F0" w14:textId="07F30297" w:rsidR="00A249BE" w:rsidRPr="00A249BE" w:rsidRDefault="00A249BE" w:rsidP="00081E58">
            <w:pPr>
              <w:tabs>
                <w:tab w:val="left" w:pos="1222"/>
              </w:tabs>
              <w:spacing w:line="240" w:lineRule="auto"/>
              <w:jc w:val="center"/>
              <w:rPr>
                <w:rFonts w:cs="Arial"/>
                <w:sz w:val="16"/>
                <w:szCs w:val="16"/>
                <w:vertAlign w:val="superscript"/>
              </w:rPr>
            </w:pPr>
            <w:r w:rsidRPr="00A249BE">
              <w:rPr>
                <w:rFonts w:cs="Arial"/>
                <w:sz w:val="16"/>
                <w:szCs w:val="16"/>
              </w:rPr>
              <w:t>Perrin et al., 1969</w:t>
            </w:r>
          </w:p>
        </w:tc>
      </w:tr>
      <w:tr w:rsidR="00A249BE" w:rsidRPr="004953B8" w14:paraId="07172320" w14:textId="77777777" w:rsidTr="00081E58">
        <w:trPr>
          <w:trHeight w:hRule="exact" w:val="340"/>
          <w:jc w:val="center"/>
        </w:trPr>
        <w:tc>
          <w:tcPr>
            <w:tcW w:w="755" w:type="dxa"/>
            <w:tcBorders>
              <w:top w:val="nil"/>
              <w:bottom w:val="single" w:sz="8" w:space="0" w:color="00B050"/>
              <w:right w:val="nil"/>
            </w:tcBorders>
            <w:shd w:val="clear" w:color="auto" w:fill="FFFFFF"/>
            <w:vAlign w:val="center"/>
          </w:tcPr>
          <w:p w14:paraId="4464E87A" w14:textId="77777777" w:rsidR="00A249BE" w:rsidRPr="00A249BE" w:rsidRDefault="00A249BE" w:rsidP="00081E58">
            <w:pPr>
              <w:spacing w:line="240" w:lineRule="auto"/>
              <w:rPr>
                <w:rFonts w:cs="Arial"/>
                <w:sz w:val="16"/>
                <w:szCs w:val="16"/>
              </w:rPr>
            </w:pPr>
            <w:r w:rsidRPr="00A249BE">
              <w:rPr>
                <w:rFonts w:cs="Arial"/>
                <w:sz w:val="16"/>
                <w:szCs w:val="16"/>
              </w:rPr>
              <w:t>R. 3</w:t>
            </w:r>
          </w:p>
        </w:tc>
        <w:tc>
          <w:tcPr>
            <w:tcW w:w="0" w:type="auto"/>
            <w:tcBorders>
              <w:top w:val="nil"/>
              <w:left w:val="nil"/>
              <w:bottom w:val="single" w:sz="8" w:space="0" w:color="00B050"/>
              <w:right w:val="nil"/>
            </w:tcBorders>
            <w:shd w:val="clear" w:color="auto" w:fill="FFFFFF"/>
            <w:vAlign w:val="center"/>
          </w:tcPr>
          <w:p w14:paraId="6E376EF4" w14:textId="139252E8" w:rsidR="00A249BE" w:rsidRPr="00A249BE" w:rsidRDefault="00A249BE" w:rsidP="00081E58">
            <w:pPr>
              <w:spacing w:line="240" w:lineRule="auto"/>
              <w:jc w:val="center"/>
              <w:rPr>
                <w:rFonts w:cs="Arial"/>
                <w:sz w:val="16"/>
                <w:szCs w:val="16"/>
              </w:rPr>
            </w:pPr>
            <w:r w:rsidRPr="00A249BE">
              <w:rPr>
                <w:rFonts w:cs="Arial"/>
                <w:position w:val="-12"/>
                <w:sz w:val="16"/>
                <w:szCs w:val="16"/>
              </w:rPr>
              <w:object w:dxaOrig="2260" w:dyaOrig="440" w14:anchorId="5C03A9B4">
                <v:shape id="_x0000_i1030" type="#_x0000_t75" style="width:92.65pt;height:17.65pt" o:ole="">
                  <v:imagedata r:id="rId22" o:title=""/>
                </v:shape>
                <o:OLEObject Type="Embed" ProgID="Equation.DSMT4" ShapeID="_x0000_i1030" DrawAspect="Content" ObjectID="_1741116502" r:id="rId23"/>
              </w:object>
            </w:r>
          </w:p>
        </w:tc>
        <w:tc>
          <w:tcPr>
            <w:tcW w:w="1479" w:type="dxa"/>
            <w:tcBorders>
              <w:top w:val="nil"/>
              <w:left w:val="nil"/>
              <w:bottom w:val="single" w:sz="8" w:space="0" w:color="00B050"/>
              <w:right w:val="nil"/>
            </w:tcBorders>
            <w:shd w:val="clear" w:color="auto" w:fill="FFFFFF"/>
            <w:vAlign w:val="center"/>
          </w:tcPr>
          <w:p w14:paraId="5FA8704A" w14:textId="7DA19856" w:rsidR="00A249BE" w:rsidRPr="001D2C83" w:rsidRDefault="001D2C83" w:rsidP="00081E58">
            <w:pPr>
              <w:spacing w:line="240" w:lineRule="auto"/>
              <w:jc w:val="center"/>
              <w:rPr>
                <w:rFonts w:cs="Arial"/>
                <w:szCs w:val="18"/>
              </w:rPr>
            </w:pPr>
            <m:oMathPara>
              <m:oMath>
                <m:r>
                  <w:rPr>
                    <w:rFonts w:ascii="Cambria Math" w:hAnsi="Cambria Math" w:cs="Arial"/>
                    <w:szCs w:val="18"/>
                  </w:rPr>
                  <m:t xml:space="preserve">6.84 </m:t>
                </m:r>
                <m:r>
                  <m:rPr>
                    <m:sty m:val="p"/>
                  </m:rPr>
                  <w:rPr>
                    <w:rFonts w:ascii="Cambria Math" w:hAnsi="Cambria Math" w:cs="Calibri"/>
                    <w:szCs w:val="18"/>
                  </w:rPr>
                  <m:t xml:space="preserve">× </m:t>
                </m:r>
                <m:sSup>
                  <m:sSupPr>
                    <m:ctrlPr>
                      <w:rPr>
                        <w:rFonts w:ascii="Cambria Math" w:hAnsi="Cambria Math" w:cs="Calibri"/>
                        <w:szCs w:val="18"/>
                      </w:rPr>
                    </m:ctrlPr>
                  </m:sSupPr>
                  <m:e>
                    <m:r>
                      <w:rPr>
                        <w:rFonts w:ascii="Cambria Math" w:hAnsi="Cambria Math" w:cs="Calibri"/>
                        <w:szCs w:val="18"/>
                      </w:rPr>
                      <m:t>10</m:t>
                    </m:r>
                  </m:e>
                  <m:sup>
                    <m:r>
                      <w:rPr>
                        <w:rFonts w:ascii="Cambria Math" w:hAnsi="Cambria Math" w:cs="Calibri"/>
                        <w:szCs w:val="18"/>
                      </w:rPr>
                      <m:t>-15</m:t>
                    </m:r>
                  </m:sup>
                </m:sSup>
              </m:oMath>
            </m:oMathPara>
          </w:p>
        </w:tc>
        <w:tc>
          <w:tcPr>
            <w:tcW w:w="1817" w:type="dxa"/>
            <w:tcBorders>
              <w:top w:val="nil"/>
              <w:left w:val="nil"/>
              <w:bottom w:val="single" w:sz="8" w:space="0" w:color="00B050"/>
              <w:right w:val="nil"/>
            </w:tcBorders>
            <w:shd w:val="clear" w:color="auto" w:fill="FFFFFF"/>
            <w:vAlign w:val="center"/>
          </w:tcPr>
          <w:p w14:paraId="47353699" w14:textId="615A6825" w:rsidR="00A249BE" w:rsidRPr="00A249BE" w:rsidRDefault="00000000" w:rsidP="00081E58">
            <w:pPr>
              <w:tabs>
                <w:tab w:val="left" w:pos="1222"/>
              </w:tabs>
              <w:spacing w:line="240" w:lineRule="auto"/>
              <w:jc w:val="center"/>
              <w:rPr>
                <w:rFonts w:cs="Arial"/>
                <w:sz w:val="16"/>
                <w:szCs w:val="16"/>
                <w:vertAlign w:val="superscript"/>
              </w:rPr>
            </w:pPr>
            <m:oMathPara>
              <m:oMath>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mol</m:t>
                    </m:r>
                  </m:e>
                  <m:sup>
                    <m:r>
                      <w:rPr>
                        <w:rFonts w:ascii="Cambria Math" w:eastAsiaTheme="minorEastAsia" w:hAnsi="Cambria Math" w:cs="Arial"/>
                        <w:szCs w:val="18"/>
                        <w:lang w:val="en-US"/>
                      </w:rPr>
                      <m:t>2</m:t>
                    </m:r>
                  </m:sup>
                </m:sSup>
                <m:r>
                  <m:rPr>
                    <m:sty m:val="p"/>
                  </m:rPr>
                  <w:rPr>
                    <w:rFonts w:ascii="Cambria Math" w:eastAsiaTheme="minorEastAsia" w:hAnsi="Cambria Math" w:cs="Arial"/>
                    <w:szCs w:val="18"/>
                    <w:lang w:val="en-US"/>
                  </w:rPr>
                  <m:t xml:space="preserve"> </m:t>
                </m:r>
                <m:sSup>
                  <m:sSupPr>
                    <m:ctrlPr>
                      <w:rPr>
                        <w:rFonts w:ascii="Cambria Math" w:eastAsiaTheme="minorEastAsia" w:hAnsi="Cambria Math" w:cs="Arial"/>
                        <w:iCs/>
                        <w:szCs w:val="18"/>
                        <w:lang w:val="en-US"/>
                      </w:rPr>
                    </m:ctrlPr>
                  </m:sSupPr>
                  <m:e>
                    <m:r>
                      <w:rPr>
                        <w:rFonts w:ascii="Cambria Math" w:eastAsiaTheme="minorEastAsia" w:hAnsi="Cambria Math" w:cs="Arial"/>
                        <w:szCs w:val="18"/>
                        <w:lang w:val="en-US"/>
                      </w:rPr>
                      <m:t>L</m:t>
                    </m:r>
                  </m:e>
                  <m:sup>
                    <m:r>
                      <m:rPr>
                        <m:sty m:val="p"/>
                      </m:rPr>
                      <w:rPr>
                        <w:rFonts w:ascii="Cambria Math" w:eastAsiaTheme="minorEastAsia" w:hAnsi="Cambria Math" w:cs="Arial"/>
                        <w:szCs w:val="18"/>
                        <w:lang w:val="en-US"/>
                      </w:rPr>
                      <m:t>-2</m:t>
                    </m:r>
                  </m:sup>
                </m:sSup>
              </m:oMath>
            </m:oMathPara>
          </w:p>
        </w:tc>
        <w:tc>
          <w:tcPr>
            <w:tcW w:w="1817" w:type="dxa"/>
            <w:tcBorders>
              <w:top w:val="nil"/>
              <w:left w:val="nil"/>
              <w:bottom w:val="single" w:sz="8" w:space="0" w:color="00B050"/>
            </w:tcBorders>
            <w:shd w:val="clear" w:color="auto" w:fill="FFFFFF"/>
            <w:vAlign w:val="center"/>
          </w:tcPr>
          <w:p w14:paraId="5BE8A537" w14:textId="5D0C8677" w:rsidR="00A249BE" w:rsidRPr="00A249BE" w:rsidRDefault="00A249BE" w:rsidP="00081E58">
            <w:pPr>
              <w:tabs>
                <w:tab w:val="left" w:pos="1222"/>
              </w:tabs>
              <w:spacing w:line="240" w:lineRule="auto"/>
              <w:jc w:val="center"/>
              <w:rPr>
                <w:rFonts w:cs="Arial"/>
                <w:sz w:val="16"/>
                <w:szCs w:val="16"/>
              </w:rPr>
            </w:pPr>
            <w:r w:rsidRPr="00A249BE">
              <w:rPr>
                <w:rFonts w:cs="Arial"/>
                <w:sz w:val="16"/>
                <w:szCs w:val="16"/>
              </w:rPr>
              <w:t>Perrin et al., 1969</w:t>
            </w:r>
          </w:p>
        </w:tc>
      </w:tr>
    </w:tbl>
    <w:p w14:paraId="52ADD149" w14:textId="77777777" w:rsidR="007A4B42" w:rsidRDefault="007A4B42" w:rsidP="00F52CE7">
      <w:pPr>
        <w:keepNext/>
        <w:spacing w:before="120" w:after="120"/>
        <w:rPr>
          <w:rFonts w:cs="Arial"/>
          <w:szCs w:val="18"/>
          <w:lang w:val="en-US"/>
        </w:rPr>
      </w:pPr>
      <w:r w:rsidRPr="007A4B42">
        <w:rPr>
          <w:rFonts w:cs="Arial"/>
          <w:szCs w:val="18"/>
          <w:lang w:val="en-US"/>
        </w:rPr>
        <w:t>Accordingly, the total carbon and the electroneutrality equations (Eq.4-5) are considered.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4"/>
        <w:gridCol w:w="583"/>
      </w:tblGrid>
      <w:tr w:rsidR="00F52CE7" w:rsidRPr="00F52CE7" w14:paraId="1E93A2F1" w14:textId="77777777" w:rsidTr="007C6C8E">
        <w:tc>
          <w:tcPr>
            <w:tcW w:w="4668" w:type="pct"/>
            <w:vAlign w:val="center"/>
          </w:tcPr>
          <w:p w14:paraId="5F71DF97" w14:textId="3811AD2B" w:rsidR="00F52CE7" w:rsidRPr="00F52CE7" w:rsidRDefault="00F52CE7" w:rsidP="0095786E">
            <w:pPr>
              <w:pStyle w:val="MTDisplayEquation"/>
              <w:tabs>
                <w:tab w:val="clear" w:pos="4560"/>
                <w:tab w:val="clear" w:pos="8780"/>
              </w:tabs>
              <w:spacing w:after="60"/>
              <w:ind w:left="0" w:firstLine="0"/>
              <w:jc w:val="left"/>
            </w:pPr>
            <w:r w:rsidRPr="00F52CE7">
              <w:rPr>
                <w:position w:val="-12"/>
              </w:rPr>
              <w:object w:dxaOrig="2760" w:dyaOrig="380" w14:anchorId="45B7D275">
                <v:shape id="_x0000_i1031" type="#_x0000_t75" style="width:97.15pt;height:15.75pt" o:ole="">
                  <v:imagedata r:id="rId24" o:title=""/>
                </v:shape>
                <o:OLEObject Type="Embed" ProgID="Equation.DSMT4" ShapeID="_x0000_i1031" DrawAspect="Content" ObjectID="_1741116503" r:id="rId25"/>
              </w:object>
            </w:r>
          </w:p>
        </w:tc>
        <w:tc>
          <w:tcPr>
            <w:tcW w:w="332" w:type="pct"/>
            <w:vAlign w:val="center"/>
          </w:tcPr>
          <w:p w14:paraId="2E9B803E" w14:textId="434E3228" w:rsidR="00F52CE7" w:rsidRPr="00F52CE7" w:rsidRDefault="00F52CE7" w:rsidP="0095786E">
            <w:pPr>
              <w:pStyle w:val="MTDisplayEquation"/>
              <w:tabs>
                <w:tab w:val="clear" w:pos="4560"/>
                <w:tab w:val="clear" w:pos="8780"/>
              </w:tabs>
              <w:spacing w:after="60"/>
              <w:ind w:left="0" w:firstLine="0"/>
              <w:jc w:val="center"/>
              <w:rPr>
                <w:rFonts w:cs="Arial"/>
                <w:szCs w:val="18"/>
                <w:lang w:val="en-US"/>
              </w:rPr>
            </w:pPr>
            <w:r>
              <w:rPr>
                <w:rFonts w:cs="Arial"/>
                <w:szCs w:val="18"/>
                <w:lang w:val="en-US"/>
              </w:rPr>
              <w:t>(4)</w:t>
            </w:r>
          </w:p>
        </w:tc>
      </w:tr>
      <w:tr w:rsidR="00F52CE7" w:rsidRPr="00F52CE7" w14:paraId="5D752590" w14:textId="77777777" w:rsidTr="007C6C8E">
        <w:tc>
          <w:tcPr>
            <w:tcW w:w="4668" w:type="pct"/>
            <w:vAlign w:val="center"/>
          </w:tcPr>
          <w:p w14:paraId="20DEB7EB" w14:textId="3E4754A4" w:rsidR="00F52CE7" w:rsidRPr="00F52CE7" w:rsidRDefault="00F52CE7" w:rsidP="0095786E">
            <w:pPr>
              <w:pStyle w:val="MTDisplayEquation"/>
              <w:tabs>
                <w:tab w:val="clear" w:pos="4560"/>
                <w:tab w:val="clear" w:pos="8780"/>
              </w:tabs>
              <w:spacing w:after="60"/>
              <w:ind w:left="0" w:firstLine="0"/>
              <w:jc w:val="left"/>
            </w:pPr>
            <w:r w:rsidRPr="00F52CE7">
              <w:rPr>
                <w:position w:val="-12"/>
              </w:rPr>
              <w:object w:dxaOrig="3700" w:dyaOrig="380" w14:anchorId="725EEA16">
                <v:shape id="_x0000_i1032" type="#_x0000_t75" style="width:129.75pt;height:15.75pt" o:ole="">
                  <v:imagedata r:id="rId26" o:title=""/>
                </v:shape>
                <o:OLEObject Type="Embed" ProgID="Equation.DSMT4" ShapeID="_x0000_i1032" DrawAspect="Content" ObjectID="_1741116504" r:id="rId27"/>
              </w:object>
            </w:r>
          </w:p>
        </w:tc>
        <w:tc>
          <w:tcPr>
            <w:tcW w:w="332" w:type="pct"/>
            <w:vAlign w:val="center"/>
          </w:tcPr>
          <w:p w14:paraId="1B4266F9" w14:textId="1BA59D88" w:rsidR="00F52CE7" w:rsidRPr="00F52CE7" w:rsidRDefault="00F52CE7" w:rsidP="0095786E">
            <w:pPr>
              <w:pStyle w:val="MTDisplayEquation"/>
              <w:tabs>
                <w:tab w:val="clear" w:pos="4560"/>
                <w:tab w:val="clear" w:pos="8780"/>
              </w:tabs>
              <w:spacing w:after="60"/>
              <w:ind w:left="0" w:firstLine="0"/>
              <w:jc w:val="center"/>
              <w:rPr>
                <w:rFonts w:cs="Arial"/>
                <w:szCs w:val="18"/>
                <w:lang w:val="en-US"/>
              </w:rPr>
            </w:pPr>
            <w:r>
              <w:rPr>
                <w:rFonts w:cs="Arial"/>
                <w:szCs w:val="18"/>
                <w:lang w:val="en-US"/>
              </w:rPr>
              <w:t>(5)</w:t>
            </w:r>
          </w:p>
        </w:tc>
      </w:tr>
    </w:tbl>
    <w:p w14:paraId="3D2D5CD8" w14:textId="4EEDF5BC" w:rsidR="007A4B42" w:rsidRPr="00F52CE7" w:rsidRDefault="007A4B42" w:rsidP="0095786E">
      <w:pPr>
        <w:pStyle w:val="ListParagraph"/>
        <w:pBdr>
          <w:top w:val="nil"/>
          <w:left w:val="nil"/>
          <w:bottom w:val="nil"/>
          <w:right w:val="nil"/>
          <w:between w:val="nil"/>
        </w:pBdr>
        <w:spacing w:after="120"/>
        <w:ind w:left="0"/>
        <w:rPr>
          <w:rFonts w:cs="Arial"/>
          <w:color w:val="000000" w:themeColor="text1"/>
          <w:szCs w:val="18"/>
          <w:lang w:val="en-US"/>
        </w:rPr>
      </w:pPr>
      <w:r w:rsidRPr="00F52CE7">
        <w:rPr>
          <w:rFonts w:cs="Arial"/>
          <w:color w:val="000000" w:themeColor="text1"/>
          <w:szCs w:val="18"/>
          <w:lang w:val="en-US"/>
        </w:rPr>
        <w:t xml:space="preserve">where </w:t>
      </w:r>
      <w:proofErr w:type="spellStart"/>
      <w:r w:rsidRPr="00F52CE7">
        <w:rPr>
          <w:rFonts w:cs="Arial"/>
          <w:color w:val="000000" w:themeColor="text1"/>
          <w:szCs w:val="18"/>
          <w:lang w:val="en-US"/>
        </w:rPr>
        <w:t>Alk</w:t>
      </w:r>
      <w:proofErr w:type="spellEnd"/>
      <w:r w:rsidRPr="00F52CE7">
        <w:rPr>
          <w:rFonts w:cs="Arial"/>
          <w:color w:val="000000" w:themeColor="text1"/>
          <w:szCs w:val="18"/>
          <w:lang w:val="en-US"/>
        </w:rPr>
        <w:t xml:space="preserve"> represents the non-</w:t>
      </w:r>
      <w:proofErr w:type="spellStart"/>
      <w:r w:rsidRPr="00F52CE7">
        <w:rPr>
          <w:rFonts w:cs="Arial"/>
          <w:color w:val="000000" w:themeColor="text1"/>
          <w:szCs w:val="18"/>
          <w:lang w:val="en-US"/>
        </w:rPr>
        <w:t>carbonatic</w:t>
      </w:r>
      <w:proofErr w:type="spellEnd"/>
      <w:r w:rsidRPr="00F52CE7">
        <w:rPr>
          <w:rFonts w:cs="Arial"/>
          <w:color w:val="000000" w:themeColor="text1"/>
          <w:szCs w:val="18"/>
          <w:lang w:val="en-US"/>
        </w:rPr>
        <w:t xml:space="preserve"> alkalinity of the medium (Concas et al., 20</w:t>
      </w:r>
      <w:r w:rsidR="00F52CE7" w:rsidRPr="00F52CE7">
        <w:rPr>
          <w:rFonts w:cs="Arial"/>
          <w:color w:val="000000" w:themeColor="text1"/>
          <w:szCs w:val="18"/>
          <w:lang w:val="en-US"/>
        </w:rPr>
        <w:t>21a</w:t>
      </w:r>
      <w:r w:rsidRPr="00F52CE7">
        <w:rPr>
          <w:rFonts w:cs="Arial"/>
          <w:color w:val="000000" w:themeColor="text1"/>
          <w:szCs w:val="18"/>
          <w:lang w:val="en-US"/>
        </w:rPr>
        <w:t>). By deriving Eq (4-5) with respect to the time and using the equilibrium relations to express the species concentration as a function of CO</w:t>
      </w:r>
      <w:r w:rsidRPr="00F52CE7">
        <w:rPr>
          <w:rFonts w:cs="Arial"/>
          <w:color w:val="000000" w:themeColor="text1"/>
          <w:szCs w:val="18"/>
          <w:vertAlign w:val="subscript"/>
          <w:lang w:val="en-US"/>
        </w:rPr>
        <w:t>2</w:t>
      </w:r>
      <w:r w:rsidRPr="00F52CE7">
        <w:rPr>
          <w:rFonts w:cs="Arial"/>
          <w:color w:val="000000" w:themeColor="text1"/>
          <w:szCs w:val="18"/>
          <w:lang w:val="en-US"/>
        </w:rPr>
        <w:t xml:space="preserve"> and H</w:t>
      </w:r>
      <w:r w:rsidRPr="00F52CE7">
        <w:rPr>
          <w:rFonts w:cs="Arial"/>
          <w:color w:val="000000" w:themeColor="text1"/>
          <w:szCs w:val="18"/>
          <w:vertAlign w:val="superscript"/>
          <w:lang w:val="en-US"/>
        </w:rPr>
        <w:t>+</w:t>
      </w:r>
      <w:r w:rsidRPr="00F52CE7">
        <w:rPr>
          <w:rFonts w:cs="Arial"/>
          <w:color w:val="000000" w:themeColor="text1"/>
          <w:szCs w:val="18"/>
          <w:lang w:val="en-US"/>
        </w:rPr>
        <w:t>, Eq (6) and (7) are obtained: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gridCol w:w="561"/>
      </w:tblGrid>
      <w:tr w:rsidR="00F52CE7" w:rsidRPr="00F52CE7" w14:paraId="295D3E5F" w14:textId="77777777" w:rsidTr="007C6C8E">
        <w:tc>
          <w:tcPr>
            <w:tcW w:w="4681" w:type="pct"/>
            <w:vAlign w:val="center"/>
          </w:tcPr>
          <w:p w14:paraId="27BF0BC3" w14:textId="77777777" w:rsidR="00F52CE7" w:rsidRPr="00F52CE7" w:rsidRDefault="00F52CE7" w:rsidP="00081E58">
            <w:pPr>
              <w:pStyle w:val="MTDisplayEquation"/>
              <w:tabs>
                <w:tab w:val="clear" w:pos="4560"/>
                <w:tab w:val="clear" w:pos="8780"/>
              </w:tabs>
              <w:spacing w:after="60"/>
              <w:ind w:left="0" w:firstLine="0"/>
              <w:jc w:val="left"/>
            </w:pPr>
            <w:r w:rsidRPr="00F52CE7">
              <w:rPr>
                <w:position w:val="-44"/>
              </w:rPr>
              <w:object w:dxaOrig="7020" w:dyaOrig="999" w14:anchorId="3B5DCD00">
                <v:shape id="_x0000_i1033" type="#_x0000_t75" style="width:279.75pt;height:40.15pt" o:ole="">
                  <v:imagedata r:id="rId28" o:title=""/>
                </v:shape>
                <o:OLEObject Type="Embed" ProgID="Equation.DSMT4" ShapeID="_x0000_i1033" DrawAspect="Content" ObjectID="_1741116505" r:id="rId29"/>
              </w:object>
            </w:r>
          </w:p>
        </w:tc>
        <w:tc>
          <w:tcPr>
            <w:tcW w:w="319" w:type="pct"/>
            <w:vAlign w:val="center"/>
          </w:tcPr>
          <w:p w14:paraId="6732F7E7" w14:textId="77777777" w:rsidR="00F52CE7" w:rsidRPr="00F52CE7" w:rsidRDefault="00F52CE7" w:rsidP="00081E58">
            <w:pPr>
              <w:pStyle w:val="MTDisplayEquation"/>
              <w:tabs>
                <w:tab w:val="clear" w:pos="4560"/>
                <w:tab w:val="clear" w:pos="8780"/>
              </w:tabs>
              <w:spacing w:after="60"/>
              <w:ind w:left="0" w:firstLine="0"/>
              <w:jc w:val="center"/>
            </w:pPr>
            <w:r w:rsidRPr="00F52CE7">
              <w:t>(6)</w:t>
            </w:r>
          </w:p>
        </w:tc>
      </w:tr>
      <w:tr w:rsidR="00F52CE7" w:rsidRPr="00F52CE7" w14:paraId="61C158D1" w14:textId="77777777" w:rsidTr="007C6C8E">
        <w:tc>
          <w:tcPr>
            <w:tcW w:w="4681" w:type="pct"/>
            <w:vAlign w:val="center"/>
          </w:tcPr>
          <w:p w14:paraId="792E9A1A" w14:textId="77777777" w:rsidR="00F52CE7" w:rsidRPr="00F52CE7" w:rsidRDefault="00F52CE7" w:rsidP="00081E58">
            <w:pPr>
              <w:pStyle w:val="MTDisplayEquation"/>
              <w:tabs>
                <w:tab w:val="clear" w:pos="4560"/>
                <w:tab w:val="clear" w:pos="8780"/>
              </w:tabs>
              <w:ind w:left="0" w:firstLine="0"/>
              <w:jc w:val="left"/>
            </w:pPr>
            <w:r w:rsidRPr="00F52CE7">
              <w:rPr>
                <w:position w:val="-44"/>
              </w:rPr>
              <w:object w:dxaOrig="8740" w:dyaOrig="999" w14:anchorId="188E577D">
                <v:shape id="_x0000_i1034" type="#_x0000_t75" style="width:349.5pt;height:40.15pt" o:ole="">
                  <v:imagedata r:id="rId30" o:title=""/>
                </v:shape>
                <o:OLEObject Type="Embed" ProgID="Equation.DSMT4" ShapeID="_x0000_i1034" DrawAspect="Content" ObjectID="_1741116506" r:id="rId31"/>
              </w:object>
            </w:r>
          </w:p>
        </w:tc>
        <w:tc>
          <w:tcPr>
            <w:tcW w:w="319" w:type="pct"/>
            <w:vAlign w:val="center"/>
          </w:tcPr>
          <w:p w14:paraId="0BDABE40" w14:textId="77777777" w:rsidR="00F52CE7" w:rsidRPr="00F52CE7" w:rsidRDefault="00F52CE7" w:rsidP="00081E58">
            <w:pPr>
              <w:pStyle w:val="MTDisplayEquation"/>
              <w:tabs>
                <w:tab w:val="clear" w:pos="4560"/>
                <w:tab w:val="clear" w:pos="8780"/>
              </w:tabs>
              <w:ind w:left="0" w:firstLine="0"/>
              <w:jc w:val="center"/>
            </w:pPr>
            <w:r w:rsidRPr="00F52CE7">
              <w:t>(7)</w:t>
            </w:r>
          </w:p>
        </w:tc>
      </w:tr>
    </w:tbl>
    <w:p w14:paraId="7BD5B93A" w14:textId="4DF75706" w:rsidR="00CB0E5F" w:rsidRPr="00F52CE7" w:rsidRDefault="00CB0E5F" w:rsidP="00081E58">
      <w:pPr>
        <w:keepNext/>
        <w:spacing w:after="120"/>
        <w:rPr>
          <w:rFonts w:cs="Arial"/>
          <w:color w:val="000000" w:themeColor="text1"/>
          <w:szCs w:val="18"/>
          <w:lang w:val="en-US"/>
        </w:rPr>
      </w:pPr>
      <w:r w:rsidRPr="00F52CE7">
        <w:rPr>
          <w:rFonts w:cs="Arial"/>
          <w:color w:val="000000" w:themeColor="text1"/>
          <w:szCs w:val="18"/>
          <w:lang w:val="en-US"/>
        </w:rPr>
        <w:lastRenderedPageBreak/>
        <w:t xml:space="preserve">Eq (6) and (7) represent an algebraic equation system where the time derivatives of </w:t>
      </w:r>
      <m:oMath>
        <m:d>
          <m:dPr>
            <m:begChr m:val="["/>
            <m:endChr m:val="]"/>
            <m:ctrlPr>
              <w:rPr>
                <w:rFonts w:ascii="Cambria Math" w:hAnsi="Cambria Math" w:cs="Arial"/>
                <w:i/>
                <w:color w:val="000000" w:themeColor="text1"/>
                <w:szCs w:val="18"/>
                <w:lang w:val="en-US"/>
              </w:rPr>
            </m:ctrlPr>
          </m:dPr>
          <m:e>
            <m:r>
              <w:rPr>
                <w:rFonts w:ascii="Cambria Math" w:hAnsi="Cambria Math" w:cs="Arial"/>
                <w:color w:val="000000" w:themeColor="text1"/>
                <w:szCs w:val="18"/>
                <w:lang w:val="en-US"/>
              </w:rPr>
              <m:t>C</m:t>
            </m:r>
            <m:sSub>
              <m:sSubPr>
                <m:ctrlPr>
                  <w:rPr>
                    <w:rFonts w:ascii="Cambria Math" w:hAnsi="Cambria Math" w:cs="Arial"/>
                    <w:i/>
                    <w:color w:val="000000" w:themeColor="text1"/>
                    <w:szCs w:val="18"/>
                    <w:lang w:val="en-US"/>
                  </w:rPr>
                </m:ctrlPr>
              </m:sSubPr>
              <m:e>
                <m:r>
                  <w:rPr>
                    <w:rFonts w:ascii="Cambria Math" w:hAnsi="Cambria Math" w:cs="Arial"/>
                    <w:color w:val="000000" w:themeColor="text1"/>
                    <w:szCs w:val="18"/>
                    <w:lang w:val="en-US"/>
                  </w:rPr>
                  <m:t>O</m:t>
                </m:r>
              </m:e>
              <m:sub>
                <m:r>
                  <w:rPr>
                    <w:rFonts w:ascii="Cambria Math" w:hAnsi="Cambria Math" w:cs="Arial"/>
                    <w:color w:val="000000" w:themeColor="text1"/>
                    <w:szCs w:val="18"/>
                    <w:lang w:val="en-US"/>
                  </w:rPr>
                  <m:t>2</m:t>
                </m:r>
              </m:sub>
            </m:sSub>
          </m:e>
        </m:d>
      </m:oMath>
      <w:r w:rsidRPr="00F52CE7">
        <w:rPr>
          <w:rFonts w:cs="Arial"/>
          <w:color w:val="000000" w:themeColor="text1"/>
          <w:szCs w:val="18"/>
          <w:lang w:val="en-US"/>
        </w:rPr>
        <w:t xml:space="preserve">  and </w:t>
      </w:r>
      <m:oMath>
        <m:d>
          <m:dPr>
            <m:begChr m:val="["/>
            <m:endChr m:val="]"/>
            <m:ctrlPr>
              <w:rPr>
                <w:rFonts w:ascii="Cambria Math" w:hAnsi="Cambria Math" w:cs="Arial"/>
                <w:i/>
                <w:color w:val="000000" w:themeColor="text1"/>
                <w:szCs w:val="18"/>
                <w:lang w:val="en-US"/>
              </w:rPr>
            </m:ctrlPr>
          </m:dPr>
          <m:e>
            <m:sSup>
              <m:sSupPr>
                <m:ctrlPr>
                  <w:rPr>
                    <w:rFonts w:ascii="Cambria Math" w:hAnsi="Cambria Math" w:cs="Arial"/>
                    <w:i/>
                    <w:color w:val="000000" w:themeColor="text1"/>
                    <w:szCs w:val="18"/>
                    <w:lang w:val="en-US"/>
                  </w:rPr>
                </m:ctrlPr>
              </m:sSupPr>
              <m:e>
                <m:r>
                  <w:rPr>
                    <w:rFonts w:ascii="Cambria Math" w:hAnsi="Cambria Math" w:cs="Arial"/>
                    <w:color w:val="000000" w:themeColor="text1"/>
                    <w:szCs w:val="18"/>
                    <w:lang w:val="en-US"/>
                  </w:rPr>
                  <m:t>H</m:t>
                </m:r>
              </m:e>
              <m:sup>
                <m:r>
                  <w:rPr>
                    <w:rFonts w:ascii="Cambria Math" w:hAnsi="Cambria Math" w:cs="Arial"/>
                    <w:color w:val="000000" w:themeColor="text1"/>
                    <w:szCs w:val="18"/>
                    <w:lang w:val="en-US"/>
                  </w:rPr>
                  <m:t>+</m:t>
                </m:r>
              </m:sup>
            </m:sSup>
          </m:e>
        </m:d>
        <m:r>
          <w:rPr>
            <w:rFonts w:ascii="Cambria Math" w:hAnsi="Cambria Math" w:cs="Arial"/>
            <w:color w:val="000000" w:themeColor="text1"/>
            <w:szCs w:val="18"/>
            <w:lang w:val="en-US"/>
          </w:rPr>
          <m:t xml:space="preserve"> </m:t>
        </m:r>
      </m:oMath>
      <w:r w:rsidRPr="00F52CE7">
        <w:rPr>
          <w:rFonts w:cs="Arial"/>
          <w:color w:val="000000" w:themeColor="text1"/>
          <w:szCs w:val="18"/>
          <w:lang w:val="en-US"/>
        </w:rPr>
        <w:t>are the unknowns whose solution is expressed with Eq (8) and (9)</w:t>
      </w:r>
      <w:r w:rsidR="00F52CE7" w:rsidRPr="00F52CE7">
        <w:rPr>
          <w:rFonts w:cs="Arial"/>
          <w:color w:val="000000" w:themeColor="text1"/>
          <w:szCs w:val="18"/>
          <w:lang w:val="en-US"/>
        </w:rPr>
        <w:t>.</w:t>
      </w: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6"/>
        <w:gridCol w:w="568"/>
      </w:tblGrid>
      <w:tr w:rsidR="00F52CE7" w:rsidRPr="00F52CE7" w14:paraId="02BB3F39" w14:textId="77777777" w:rsidTr="007C6C8E">
        <w:tc>
          <w:tcPr>
            <w:tcW w:w="4677" w:type="pct"/>
            <w:vAlign w:val="center"/>
          </w:tcPr>
          <w:p w14:paraId="1791C766" w14:textId="77777777" w:rsidR="00F52CE7" w:rsidRPr="00F52CE7" w:rsidRDefault="00F52CE7" w:rsidP="007C6C8E">
            <w:pPr>
              <w:pStyle w:val="MTDisplayEquation"/>
              <w:tabs>
                <w:tab w:val="clear" w:pos="4560"/>
                <w:tab w:val="clear" w:pos="8780"/>
              </w:tabs>
              <w:ind w:left="0" w:firstLine="0"/>
              <w:jc w:val="left"/>
            </w:pPr>
            <w:r w:rsidRPr="00F52CE7">
              <w:rPr>
                <w:position w:val="-42"/>
              </w:rPr>
              <w:object w:dxaOrig="11060" w:dyaOrig="840" w14:anchorId="179D7EDC">
                <v:shape id="_x0000_i1035" type="#_x0000_t75" style="width:407.65pt;height:33.75pt" o:ole="">
                  <v:imagedata r:id="rId32" o:title=""/>
                </v:shape>
                <o:OLEObject Type="Embed" ProgID="Equation.DSMT4" ShapeID="_x0000_i1035" DrawAspect="Content" ObjectID="_1741116507" r:id="rId33"/>
              </w:object>
            </w:r>
          </w:p>
        </w:tc>
        <w:tc>
          <w:tcPr>
            <w:tcW w:w="323" w:type="pct"/>
            <w:vAlign w:val="center"/>
          </w:tcPr>
          <w:p w14:paraId="4E9B4CA0" w14:textId="77777777" w:rsidR="00F52CE7" w:rsidRPr="00F52CE7" w:rsidRDefault="00F52CE7" w:rsidP="007C6C8E">
            <w:pPr>
              <w:pStyle w:val="MTDisplayEquation"/>
              <w:tabs>
                <w:tab w:val="clear" w:pos="4560"/>
                <w:tab w:val="clear" w:pos="8780"/>
              </w:tabs>
              <w:ind w:left="0" w:firstLine="0"/>
              <w:jc w:val="center"/>
            </w:pPr>
            <w:r w:rsidRPr="00F52CE7">
              <w:t>(8)</w:t>
            </w:r>
          </w:p>
        </w:tc>
      </w:tr>
      <w:tr w:rsidR="00F52CE7" w:rsidRPr="00F52CE7" w14:paraId="41B90767" w14:textId="77777777" w:rsidTr="007C6C8E">
        <w:tc>
          <w:tcPr>
            <w:tcW w:w="4677" w:type="pct"/>
            <w:vAlign w:val="center"/>
          </w:tcPr>
          <w:p w14:paraId="64752F0B" w14:textId="77777777" w:rsidR="00F52CE7" w:rsidRPr="00F52CE7" w:rsidRDefault="00F52CE7" w:rsidP="007C6C8E">
            <w:pPr>
              <w:pStyle w:val="MTDisplayEquation"/>
              <w:tabs>
                <w:tab w:val="clear" w:pos="4560"/>
                <w:tab w:val="clear" w:pos="8780"/>
              </w:tabs>
              <w:ind w:left="0" w:firstLine="0"/>
              <w:jc w:val="left"/>
            </w:pPr>
            <w:r w:rsidRPr="00F52CE7">
              <w:rPr>
                <w:position w:val="-44"/>
              </w:rPr>
              <w:object w:dxaOrig="7699" w:dyaOrig="999" w14:anchorId="10188422">
                <v:shape id="_x0000_i1036" type="#_x0000_t75" style="width:308.65pt;height:40.15pt" o:ole="">
                  <v:imagedata r:id="rId34" o:title=""/>
                </v:shape>
                <o:OLEObject Type="Embed" ProgID="Equation.DSMT4" ShapeID="_x0000_i1036" DrawAspect="Content" ObjectID="_1741116508" r:id="rId35"/>
              </w:object>
            </w:r>
          </w:p>
        </w:tc>
        <w:tc>
          <w:tcPr>
            <w:tcW w:w="323" w:type="pct"/>
            <w:vAlign w:val="center"/>
          </w:tcPr>
          <w:p w14:paraId="7E9AA1D2" w14:textId="77777777" w:rsidR="00F52CE7" w:rsidRPr="00F52CE7" w:rsidRDefault="00F52CE7" w:rsidP="007C6C8E">
            <w:pPr>
              <w:pStyle w:val="MTDisplayEquation"/>
              <w:tabs>
                <w:tab w:val="clear" w:pos="4560"/>
                <w:tab w:val="clear" w:pos="8780"/>
              </w:tabs>
              <w:ind w:left="0" w:firstLine="0"/>
              <w:jc w:val="center"/>
            </w:pPr>
            <w:r w:rsidRPr="00F52CE7">
              <w:t>(9)</w:t>
            </w:r>
          </w:p>
        </w:tc>
      </w:tr>
      <w:tr w:rsidR="007C6C8E" w:rsidRPr="007C6C8E" w14:paraId="32ECC135" w14:textId="77777777" w:rsidTr="007C6C8E">
        <w:tc>
          <w:tcPr>
            <w:tcW w:w="4677" w:type="pct"/>
            <w:vAlign w:val="center"/>
          </w:tcPr>
          <w:p w14:paraId="617459B4" w14:textId="77777777" w:rsidR="007C6C8E" w:rsidRPr="007C6C8E" w:rsidRDefault="007C6C8E" w:rsidP="007C6C8E">
            <w:pPr>
              <w:pStyle w:val="MTDisplayEquation"/>
              <w:tabs>
                <w:tab w:val="clear" w:pos="4560"/>
                <w:tab w:val="clear" w:pos="8780"/>
              </w:tabs>
              <w:ind w:left="0" w:firstLine="0"/>
              <w:jc w:val="left"/>
            </w:pPr>
            <w:r w:rsidRPr="007C6C8E">
              <w:rPr>
                <w:position w:val="-22"/>
              </w:rPr>
              <w:object w:dxaOrig="8000" w:dyaOrig="560" w14:anchorId="144CCD80">
                <v:shape id="_x0000_i1037" type="#_x0000_t75" style="width:321.75pt;height:22.5pt" o:ole="">
                  <v:imagedata r:id="rId36" o:title=""/>
                </v:shape>
                <o:OLEObject Type="Embed" ProgID="Equation.DSMT4" ShapeID="_x0000_i1037" DrawAspect="Content" ObjectID="_1741116509" r:id="rId37"/>
              </w:object>
            </w:r>
          </w:p>
        </w:tc>
        <w:tc>
          <w:tcPr>
            <w:tcW w:w="323" w:type="pct"/>
            <w:vAlign w:val="center"/>
          </w:tcPr>
          <w:p w14:paraId="47A22831" w14:textId="77777777" w:rsidR="007C6C8E" w:rsidRPr="007C6C8E" w:rsidRDefault="007C6C8E" w:rsidP="007C6C8E">
            <w:pPr>
              <w:pStyle w:val="MTDisplayEquation"/>
              <w:tabs>
                <w:tab w:val="clear" w:pos="4560"/>
                <w:tab w:val="clear" w:pos="8780"/>
              </w:tabs>
              <w:ind w:left="0" w:firstLine="0"/>
              <w:jc w:val="center"/>
              <w:rPr>
                <w:rFonts w:ascii="Times New Roman" w:hAnsi="Times New Roman"/>
                <w:szCs w:val="18"/>
                <w:lang w:val="en-US"/>
              </w:rPr>
            </w:pPr>
            <w:r w:rsidRPr="007C6C8E">
              <w:t>(10)</w:t>
            </w:r>
          </w:p>
        </w:tc>
      </w:tr>
    </w:tbl>
    <w:p w14:paraId="37F9F6B0" w14:textId="05082BC6" w:rsidR="00FB1025" w:rsidRPr="00FB1025" w:rsidRDefault="00FB1025" w:rsidP="00D373D8">
      <w:pPr>
        <w:pStyle w:val="ListParagraph"/>
        <w:spacing w:before="120" w:after="120"/>
        <w:ind w:left="0"/>
        <w:rPr>
          <w:rFonts w:cs="Arial"/>
          <w:szCs w:val="18"/>
          <w:lang w:val="en-US"/>
        </w:rPr>
      </w:pPr>
      <w:r w:rsidRPr="00FB1025">
        <w:rPr>
          <w:rFonts w:cs="Arial"/>
          <w:szCs w:val="18"/>
          <w:lang w:val="en-US"/>
        </w:rPr>
        <w:t>Moreover,</w:t>
      </w:r>
      <w:r w:rsidR="007C6C8E" w:rsidRPr="007C6C8E">
        <w:rPr>
          <w:rFonts w:cs="Arial"/>
          <w:szCs w:val="18"/>
          <w:lang w:val="en-US"/>
        </w:rPr>
        <w:t xml:space="preserve"> </w:t>
      </w:r>
      <w:r w:rsidR="007C6C8E">
        <w:rPr>
          <w:rFonts w:cs="Arial"/>
          <w:szCs w:val="18"/>
          <w:lang w:val="en-US"/>
        </w:rPr>
        <w:t xml:space="preserve">according to </w:t>
      </w:r>
      <w:r w:rsidR="007C6C8E" w:rsidRPr="00FB1025">
        <w:rPr>
          <w:rFonts w:cs="Arial"/>
          <w:szCs w:val="18"/>
          <w:lang w:val="en-US"/>
        </w:rPr>
        <w:t>Concas et al.</w:t>
      </w:r>
      <w:r w:rsidR="007C6C8E">
        <w:rPr>
          <w:rFonts w:cs="Arial"/>
          <w:szCs w:val="18"/>
          <w:lang w:val="en-US"/>
        </w:rPr>
        <w:t xml:space="preserve"> (</w:t>
      </w:r>
      <w:r w:rsidR="007C6C8E" w:rsidRPr="00FB1025">
        <w:rPr>
          <w:rFonts w:cs="Arial"/>
          <w:szCs w:val="18"/>
          <w:lang w:val="en-US"/>
        </w:rPr>
        <w:t>20</w:t>
      </w:r>
      <w:r w:rsidR="007C6C8E">
        <w:rPr>
          <w:rFonts w:cs="Arial"/>
          <w:szCs w:val="18"/>
          <w:lang w:val="en-US"/>
        </w:rPr>
        <w:t>21b</w:t>
      </w:r>
      <w:r w:rsidR="007C6C8E" w:rsidRPr="00FB1025">
        <w:rPr>
          <w:rFonts w:cs="Arial"/>
          <w:szCs w:val="18"/>
          <w:lang w:val="en-US"/>
        </w:rPr>
        <w:t>).</w:t>
      </w:r>
      <w:r w:rsidRPr="00FB1025">
        <w:rPr>
          <w:rFonts w:cs="Arial"/>
          <w:szCs w:val="18"/>
          <w:lang w:val="en-US"/>
        </w:rPr>
        <w:t xml:space="preserve"> the alkalinity variation is described through Eq (10)</w:t>
      </w:r>
      <w:r w:rsidR="007C6C8E">
        <w:rPr>
          <w:rFonts w:cs="Arial"/>
          <w:szCs w:val="18"/>
          <w:lang w:val="en-US"/>
        </w:rPr>
        <w:t>.</w:t>
      </w:r>
      <w:r w:rsidRPr="00FB1025">
        <w:rPr>
          <w:rFonts w:cs="Arial"/>
          <w:szCs w:val="18"/>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560"/>
      </w:tblGrid>
      <w:tr w:rsidR="007C6C8E" w:rsidRPr="007C6C8E" w14:paraId="4D9892A9" w14:textId="77777777" w:rsidTr="007C6C8E">
        <w:tc>
          <w:tcPr>
            <w:tcW w:w="8217" w:type="dxa"/>
            <w:vAlign w:val="center"/>
          </w:tcPr>
          <w:p w14:paraId="21ACA0E8" w14:textId="77777777" w:rsidR="007C6C8E" w:rsidRPr="007C6C8E" w:rsidRDefault="007C6C8E" w:rsidP="007C6C8E">
            <w:pPr>
              <w:pStyle w:val="MTDisplayEquation"/>
              <w:tabs>
                <w:tab w:val="clear" w:pos="4560"/>
                <w:tab w:val="clear" w:pos="8780"/>
              </w:tabs>
              <w:ind w:left="0" w:firstLine="0"/>
              <w:jc w:val="left"/>
            </w:pPr>
            <w:r w:rsidRPr="007C6C8E">
              <w:rPr>
                <w:position w:val="-24"/>
              </w:rPr>
              <w:object w:dxaOrig="5820" w:dyaOrig="620" w14:anchorId="2409A932">
                <v:shape id="_x0000_i1038" type="#_x0000_t75" style="width:232.9pt;height:24.4pt" o:ole="">
                  <v:imagedata r:id="rId38" o:title=""/>
                </v:shape>
                <o:OLEObject Type="Embed" ProgID="Equation.DSMT4" ShapeID="_x0000_i1038" DrawAspect="Content" ObjectID="_1741116510" r:id="rId39"/>
              </w:object>
            </w:r>
          </w:p>
        </w:tc>
        <w:tc>
          <w:tcPr>
            <w:tcW w:w="560" w:type="dxa"/>
            <w:vAlign w:val="center"/>
          </w:tcPr>
          <w:p w14:paraId="76A5B188" w14:textId="77777777" w:rsidR="007C6C8E" w:rsidRPr="007C6C8E" w:rsidRDefault="007C6C8E" w:rsidP="007C6C8E">
            <w:pPr>
              <w:pStyle w:val="MTDisplayEquation"/>
              <w:tabs>
                <w:tab w:val="clear" w:pos="4560"/>
                <w:tab w:val="clear" w:pos="8780"/>
              </w:tabs>
              <w:ind w:left="0" w:firstLine="0"/>
              <w:jc w:val="center"/>
            </w:pPr>
            <w:r w:rsidRPr="007C6C8E">
              <w:t>(11)</w:t>
            </w:r>
          </w:p>
        </w:tc>
      </w:tr>
    </w:tbl>
    <w:p w14:paraId="6819B398" w14:textId="18D4271E" w:rsidR="003B5CC9" w:rsidRPr="00F52CE7" w:rsidRDefault="001D6519" w:rsidP="007C6C8E">
      <w:pPr>
        <w:pStyle w:val="MTDisplayEquation"/>
        <w:spacing w:before="120"/>
        <w:ind w:left="0" w:firstLine="0"/>
        <w:rPr>
          <w:rFonts w:cs="Arial"/>
          <w:color w:val="000000" w:themeColor="text1"/>
          <w:szCs w:val="18"/>
          <w:lang w:val="en-US"/>
        </w:rPr>
      </w:pPr>
      <w:r w:rsidRPr="00F52CE7">
        <w:rPr>
          <w:rFonts w:cs="Arial"/>
          <w:color w:val="000000" w:themeColor="text1"/>
          <w:szCs w:val="18"/>
          <w:lang w:val="en-US"/>
        </w:rPr>
        <w:t xml:space="preserve">From the mathematical point of view the model consists of an ODEs system which can be easily solved by </w:t>
      </w:r>
      <w:proofErr w:type="spellStart"/>
      <w:proofErr w:type="gramStart"/>
      <w:r w:rsidRPr="00F52CE7">
        <w:rPr>
          <w:rFonts w:cs="Arial"/>
          <w:color w:val="000000" w:themeColor="text1"/>
          <w:szCs w:val="18"/>
          <w:lang w:val="en-US"/>
        </w:rPr>
        <w:t>mens</w:t>
      </w:r>
      <w:proofErr w:type="spellEnd"/>
      <w:proofErr w:type="gramEnd"/>
      <w:r w:rsidRPr="00F52CE7">
        <w:rPr>
          <w:rFonts w:cs="Arial"/>
          <w:color w:val="000000" w:themeColor="text1"/>
          <w:szCs w:val="18"/>
          <w:lang w:val="en-US"/>
        </w:rPr>
        <w:t xml:space="preserve"> of specific routines available in MATLAB. It should be noted that the value of the dilution rate D was set equal to 0 when using the model to interpret the experimental data since the latter ones were obtained by operating the lab-scale photobioreactors in batch mode. On the contrary, when extrapolating the possibility to use the reactors on Mars in fed-batch mode different values of D were tested. </w:t>
      </w:r>
    </w:p>
    <w:p w14:paraId="09768665" w14:textId="0D8CEBCE" w:rsidR="001D6519" w:rsidRDefault="001D6519" w:rsidP="00D373D8">
      <w:pPr>
        <w:pStyle w:val="CETHeading1"/>
        <w:spacing w:line="264" w:lineRule="auto"/>
        <w:rPr>
          <w:lang w:val="en-GB"/>
        </w:rPr>
      </w:pPr>
      <w:r>
        <w:rPr>
          <w:lang w:val="en-GB"/>
        </w:rPr>
        <w:t>Results and discussions</w:t>
      </w:r>
    </w:p>
    <w:p w14:paraId="65D0FF6F" w14:textId="77777777" w:rsidR="007C6C8E" w:rsidRDefault="00A7205A" w:rsidP="007C6C8E">
      <w:pPr>
        <w:pStyle w:val="ListParagraph"/>
        <w:pBdr>
          <w:top w:val="nil"/>
          <w:left w:val="nil"/>
          <w:bottom w:val="nil"/>
          <w:right w:val="nil"/>
          <w:between w:val="nil"/>
        </w:pBdr>
        <w:spacing w:before="120"/>
        <w:ind w:left="0"/>
        <w:rPr>
          <w:rFonts w:cs="Arial"/>
          <w:szCs w:val="18"/>
          <w:lang w:val="en-US"/>
        </w:rPr>
      </w:pPr>
      <w:r w:rsidRPr="00A7205A">
        <w:rPr>
          <w:rFonts w:cs="Arial"/>
          <w:szCs w:val="18"/>
          <w:lang w:val="en-US"/>
        </w:rPr>
        <w:t xml:space="preserve">Figure </w:t>
      </w:r>
      <w:r w:rsidR="007C6C8E">
        <w:rPr>
          <w:rFonts w:cs="Arial"/>
          <w:szCs w:val="18"/>
          <w:lang w:val="en-US"/>
        </w:rPr>
        <w:t>2</w:t>
      </w:r>
      <w:r w:rsidRPr="00A7205A">
        <w:rPr>
          <w:rFonts w:cs="Arial"/>
          <w:szCs w:val="18"/>
          <w:lang w:val="en-US"/>
        </w:rPr>
        <w:t xml:space="preserve">a shows the comparison between the experimental data </w:t>
      </w:r>
      <w:r>
        <w:rPr>
          <w:rFonts w:cs="Arial"/>
          <w:szCs w:val="18"/>
          <w:lang w:val="en-US"/>
        </w:rPr>
        <w:t>obtained when cultivating the algae in MM40 or ZM under a CO</w:t>
      </w:r>
      <w:r w:rsidRPr="00A7205A">
        <w:rPr>
          <w:rFonts w:cs="Arial"/>
          <w:szCs w:val="18"/>
          <w:vertAlign w:val="subscript"/>
          <w:lang w:val="en-US"/>
        </w:rPr>
        <w:t>2</w:t>
      </w:r>
      <w:r>
        <w:rPr>
          <w:rFonts w:cs="Arial"/>
          <w:szCs w:val="18"/>
          <w:lang w:val="en-US"/>
        </w:rPr>
        <w:t xml:space="preserve"> atmosphere and microgravity conditions. In both cases, t</w:t>
      </w:r>
      <w:r w:rsidRPr="00A7205A">
        <w:rPr>
          <w:rFonts w:cs="Arial"/>
          <w:szCs w:val="18"/>
          <w:lang w:val="en-US"/>
        </w:rPr>
        <w:t>he biomass concentration starts growing without showing a significant lag phase until the growth</w:t>
      </w:r>
      <w:r>
        <w:rPr>
          <w:rFonts w:cs="Arial"/>
          <w:szCs w:val="18"/>
          <w:lang w:val="en-US"/>
        </w:rPr>
        <w:t xml:space="preserve"> stops when the biomass concentration achieves a kind of steady state witnessing the occurred equivalence of growth and death rate in Eq. 1.</w:t>
      </w:r>
    </w:p>
    <w:p w14:paraId="69B830CC" w14:textId="4CC9B374" w:rsidR="007C6C8E" w:rsidRDefault="00081E58" w:rsidP="007C6C8E">
      <w:pPr>
        <w:pStyle w:val="CETCaption"/>
        <w:spacing w:before="120" w:after="120"/>
      </w:pPr>
      <w:r>
        <w:object w:dxaOrig="9118" w:dyaOrig="6997" w14:anchorId="29D6D3E8">
          <v:shape id="_x0000_i1039" type="#_x0000_t75" style="width:195.75pt;height:168.4pt;mso-position-vertical:absolute" o:ole="">
            <v:imagedata r:id="rId40" o:title="" croptop="5310f" cropbottom="2655f" cropleft="5297f" cropright="8965f"/>
          </v:shape>
          <o:OLEObject Type="Embed" ProgID="Origin95.Graph" ShapeID="_x0000_i1039" DrawAspect="Content" ObjectID="_1741116511" r:id="rId41"/>
        </w:object>
      </w:r>
      <w:r w:rsidR="007C6C8E" w:rsidRPr="004226AF">
        <w:t xml:space="preserve"> </w:t>
      </w:r>
      <w:r>
        <w:tab/>
      </w:r>
      <w:r>
        <w:object w:dxaOrig="9118" w:dyaOrig="6998" w14:anchorId="318C2D72">
          <v:shape id="_x0000_i1040" type="#_x0000_t75" style="width:202.15pt;height:169.5pt" o:ole="">
            <v:imagedata r:id="rId42" o:title="" croptop="5309f" cropbottom="2655f" cropleft="4075f" cropright="8965f"/>
          </v:shape>
          <o:OLEObject Type="Embed" ProgID="Origin95.Graph" ShapeID="_x0000_i1040" DrawAspect="Content" ObjectID="_1741116512" r:id="rId43"/>
        </w:object>
      </w:r>
    </w:p>
    <w:p w14:paraId="5A34FFC3" w14:textId="0C273660" w:rsidR="007C6C8E" w:rsidRDefault="007C6C8E" w:rsidP="0095786E">
      <w:pPr>
        <w:pStyle w:val="CETCaption"/>
        <w:spacing w:before="120"/>
      </w:pPr>
      <w:r w:rsidRPr="00BD077D">
        <w:rPr>
          <w:rStyle w:val="CETCaptionCarattere"/>
          <w:i/>
        </w:rPr>
        <w:t xml:space="preserve">Figure 1: </w:t>
      </w:r>
      <w:r>
        <w:rPr>
          <w:rStyle w:val="CETCaptionCarattere"/>
          <w:i/>
        </w:rPr>
        <w:t>Comparison between experimental and model results in terms of biomass concentration evolution (a) and biomass batch productivity after 22 days (b)</w:t>
      </w:r>
      <w:r>
        <w:t xml:space="preserve">. </w:t>
      </w:r>
    </w:p>
    <w:p w14:paraId="55A0ED61" w14:textId="7101C73C" w:rsidR="00A7205A" w:rsidRDefault="00A7205A" w:rsidP="00D373D8">
      <w:pPr>
        <w:pStyle w:val="ListParagraph"/>
        <w:pBdr>
          <w:top w:val="nil"/>
          <w:left w:val="nil"/>
          <w:bottom w:val="nil"/>
          <w:right w:val="nil"/>
          <w:between w:val="nil"/>
        </w:pBdr>
        <w:spacing w:before="240"/>
        <w:ind w:left="0"/>
        <w:rPr>
          <w:rFonts w:cs="Arial"/>
          <w:szCs w:val="18"/>
          <w:lang w:val="en-US"/>
        </w:rPr>
      </w:pPr>
      <w:r>
        <w:rPr>
          <w:rFonts w:cs="Arial"/>
          <w:szCs w:val="18"/>
          <w:lang w:val="en-US"/>
        </w:rPr>
        <w:t xml:space="preserve"> The relevant aspect inferable from Fig. </w:t>
      </w:r>
      <w:r w:rsidR="007C6C8E">
        <w:rPr>
          <w:rFonts w:cs="Arial"/>
          <w:szCs w:val="18"/>
          <w:lang w:val="en-US"/>
        </w:rPr>
        <w:t>2</w:t>
      </w:r>
      <w:r>
        <w:rPr>
          <w:rFonts w:cs="Arial"/>
          <w:szCs w:val="18"/>
          <w:lang w:val="en-US"/>
        </w:rPr>
        <w:t xml:space="preserve"> is that the alga cultivated in MM40 achieves a plateau at higher concentration in comparison to the ones cultivated in ZM. This mean</w:t>
      </w:r>
      <w:r w:rsidR="005B160F">
        <w:rPr>
          <w:rFonts w:cs="Arial"/>
          <w:szCs w:val="18"/>
          <w:lang w:val="en-US"/>
        </w:rPr>
        <w:t>s</w:t>
      </w:r>
      <w:r>
        <w:rPr>
          <w:rFonts w:cs="Arial"/>
          <w:szCs w:val="18"/>
          <w:lang w:val="en-US"/>
        </w:rPr>
        <w:t xml:space="preserve"> that</w:t>
      </w:r>
      <w:r w:rsidR="00AE6A3F">
        <w:rPr>
          <w:rFonts w:cs="Arial"/>
          <w:szCs w:val="18"/>
          <w:lang w:val="en-US"/>
        </w:rPr>
        <w:t xml:space="preserve">, as shown in Fig. </w:t>
      </w:r>
      <w:r w:rsidR="007C6C8E">
        <w:rPr>
          <w:rFonts w:cs="Arial"/>
          <w:szCs w:val="18"/>
          <w:lang w:val="en-US"/>
        </w:rPr>
        <w:t>2</w:t>
      </w:r>
      <w:r w:rsidR="00AE6A3F">
        <w:rPr>
          <w:rFonts w:cs="Arial"/>
          <w:szCs w:val="18"/>
          <w:lang w:val="en-US"/>
        </w:rPr>
        <w:t xml:space="preserve">b, </w:t>
      </w:r>
      <w:r>
        <w:rPr>
          <w:rFonts w:cs="Arial"/>
          <w:szCs w:val="18"/>
          <w:lang w:val="en-US"/>
        </w:rPr>
        <w:t xml:space="preserve">by using in-situ available </w:t>
      </w:r>
      <w:r w:rsidR="005B160F">
        <w:rPr>
          <w:rFonts w:cs="Arial"/>
          <w:szCs w:val="18"/>
          <w:lang w:val="en-US"/>
        </w:rPr>
        <w:t>resources</w:t>
      </w:r>
      <w:r>
        <w:rPr>
          <w:rFonts w:cs="Arial"/>
          <w:szCs w:val="18"/>
          <w:lang w:val="en-US"/>
        </w:rPr>
        <w:t xml:space="preserve"> biomass productivit</w:t>
      </w:r>
      <w:r w:rsidR="005B160F">
        <w:rPr>
          <w:rFonts w:cs="Arial"/>
          <w:szCs w:val="18"/>
          <w:lang w:val="en-US"/>
        </w:rPr>
        <w:t xml:space="preserve">y </w:t>
      </w:r>
      <w:r w:rsidR="00AE6A3F">
        <w:rPr>
          <w:rFonts w:cs="Arial"/>
          <w:szCs w:val="18"/>
          <w:lang w:val="en-US"/>
        </w:rPr>
        <w:t>(0.048 g L</w:t>
      </w:r>
      <w:r w:rsidR="00AE6A3F" w:rsidRPr="00AE6A3F">
        <w:rPr>
          <w:rFonts w:cs="Arial"/>
          <w:szCs w:val="18"/>
          <w:vertAlign w:val="superscript"/>
          <w:lang w:val="en-US"/>
        </w:rPr>
        <w:t>-1</w:t>
      </w:r>
      <w:r w:rsidR="00AE6A3F">
        <w:rPr>
          <w:rFonts w:cs="Arial"/>
          <w:szCs w:val="18"/>
          <w:lang w:val="en-US"/>
        </w:rPr>
        <w:t xml:space="preserve"> day</w:t>
      </w:r>
      <w:r w:rsidR="00AE6A3F" w:rsidRPr="00AE6A3F">
        <w:rPr>
          <w:rFonts w:cs="Arial"/>
          <w:szCs w:val="18"/>
          <w:vertAlign w:val="superscript"/>
          <w:lang w:val="en-US"/>
        </w:rPr>
        <w:t>-1</w:t>
      </w:r>
      <w:r w:rsidR="00AE6A3F">
        <w:rPr>
          <w:rFonts w:cs="Arial"/>
          <w:szCs w:val="18"/>
          <w:lang w:val="en-US"/>
        </w:rPr>
        <w:t xml:space="preserve">) </w:t>
      </w:r>
      <w:r w:rsidR="005B160F">
        <w:rPr>
          <w:rFonts w:cs="Arial"/>
          <w:szCs w:val="18"/>
          <w:lang w:val="en-US"/>
        </w:rPr>
        <w:t xml:space="preserve">higher </w:t>
      </w:r>
      <w:r>
        <w:rPr>
          <w:rFonts w:cs="Arial"/>
          <w:szCs w:val="18"/>
          <w:lang w:val="en-US"/>
        </w:rPr>
        <w:t xml:space="preserve">than the ones obtained with </w:t>
      </w:r>
      <w:r w:rsidR="007C38A8">
        <w:rPr>
          <w:rFonts w:cs="Arial"/>
          <w:szCs w:val="18"/>
          <w:lang w:val="en-US"/>
        </w:rPr>
        <w:t xml:space="preserve">the ZM </w:t>
      </w:r>
      <w:r w:rsidR="00AE6A3F">
        <w:rPr>
          <w:rFonts w:cs="Arial"/>
          <w:szCs w:val="18"/>
          <w:lang w:val="en-US"/>
        </w:rPr>
        <w:t>(0.044 g L</w:t>
      </w:r>
      <w:r w:rsidR="00AE6A3F" w:rsidRPr="00AE6A3F">
        <w:rPr>
          <w:rFonts w:cs="Arial"/>
          <w:szCs w:val="18"/>
          <w:vertAlign w:val="superscript"/>
          <w:lang w:val="en-US"/>
        </w:rPr>
        <w:t>-1</w:t>
      </w:r>
      <w:r w:rsidR="00AE6A3F">
        <w:rPr>
          <w:rFonts w:cs="Arial"/>
          <w:szCs w:val="18"/>
          <w:lang w:val="en-US"/>
        </w:rPr>
        <w:t xml:space="preserve"> day</w:t>
      </w:r>
      <w:r w:rsidR="00AE6A3F" w:rsidRPr="00AE6A3F">
        <w:rPr>
          <w:rFonts w:cs="Arial"/>
          <w:szCs w:val="18"/>
          <w:vertAlign w:val="superscript"/>
          <w:lang w:val="en-US"/>
        </w:rPr>
        <w:t>-1</w:t>
      </w:r>
      <w:r w:rsidR="007C38A8">
        <w:rPr>
          <w:rFonts w:cs="Arial"/>
          <w:szCs w:val="18"/>
          <w:lang w:val="en-US"/>
        </w:rPr>
        <w:t xml:space="preserve">), which relies only on </w:t>
      </w:r>
      <w:r>
        <w:rPr>
          <w:rFonts w:cs="Arial"/>
          <w:szCs w:val="18"/>
          <w:lang w:val="en-US"/>
        </w:rPr>
        <w:t>compounds brought from Earth</w:t>
      </w:r>
      <w:r w:rsidR="007C38A8">
        <w:rPr>
          <w:rFonts w:cs="Arial"/>
          <w:szCs w:val="18"/>
          <w:lang w:val="en-US"/>
        </w:rPr>
        <w:t>,</w:t>
      </w:r>
      <w:r w:rsidR="005B160F">
        <w:rPr>
          <w:rFonts w:cs="Arial"/>
          <w:szCs w:val="18"/>
          <w:lang w:val="en-US"/>
        </w:rPr>
        <w:t xml:space="preserve"> could be achieved</w:t>
      </w:r>
      <w:r w:rsidR="007C38A8">
        <w:rPr>
          <w:rFonts w:cs="Arial"/>
          <w:szCs w:val="18"/>
          <w:lang w:val="en-US"/>
        </w:rPr>
        <w:t>,</w:t>
      </w:r>
      <w:r>
        <w:rPr>
          <w:rFonts w:cs="Arial"/>
          <w:szCs w:val="18"/>
          <w:lang w:val="en-US"/>
        </w:rPr>
        <w:t xml:space="preserve"> </w:t>
      </w:r>
      <w:r w:rsidR="005B160F">
        <w:rPr>
          <w:rFonts w:cs="Arial"/>
          <w:szCs w:val="18"/>
          <w:lang w:val="en-US"/>
        </w:rPr>
        <w:t xml:space="preserve">with a relevant positive effect on </w:t>
      </w:r>
      <w:r>
        <w:rPr>
          <w:rFonts w:cs="Arial"/>
          <w:szCs w:val="18"/>
          <w:lang w:val="en-US"/>
        </w:rPr>
        <w:t>the payload of the m</w:t>
      </w:r>
      <w:r w:rsidR="005B160F">
        <w:rPr>
          <w:rFonts w:cs="Arial"/>
          <w:szCs w:val="18"/>
          <w:lang w:val="en-US"/>
        </w:rPr>
        <w:t>i</w:t>
      </w:r>
      <w:r>
        <w:rPr>
          <w:rFonts w:cs="Arial"/>
          <w:szCs w:val="18"/>
          <w:lang w:val="en-US"/>
        </w:rPr>
        <w:t xml:space="preserve">ssion. </w:t>
      </w:r>
      <w:r w:rsidR="007C38A8">
        <w:rPr>
          <w:rFonts w:cs="Arial"/>
          <w:szCs w:val="18"/>
          <w:lang w:val="en-US"/>
        </w:rPr>
        <w:t>It should be noted that the batch biomass productivity (BP</w:t>
      </w:r>
      <w:r w:rsidR="007C38A8" w:rsidRPr="00B55AED">
        <w:rPr>
          <w:rFonts w:cs="Arial"/>
          <w:szCs w:val="18"/>
          <w:vertAlign w:val="subscript"/>
          <w:lang w:val="en-US"/>
        </w:rPr>
        <w:t>22</w:t>
      </w:r>
      <w:r w:rsidR="007C38A8">
        <w:rPr>
          <w:rFonts w:cs="Arial"/>
          <w:szCs w:val="18"/>
          <w:lang w:val="en-US"/>
        </w:rPr>
        <w:t xml:space="preserve">) is calculated at 22 days since this was the time needed by the cultures to achieve the steady state. </w:t>
      </w:r>
      <w:r w:rsidR="005B160F">
        <w:rPr>
          <w:rFonts w:cs="Arial"/>
          <w:szCs w:val="18"/>
          <w:lang w:val="en-US"/>
        </w:rPr>
        <w:t xml:space="preserve">This higher biomass concentration at the steady state could be due to the higher concentrations of crucial elements (likely iron) in the MM that are probably consumed during the growth in pure ZM. </w:t>
      </w:r>
    </w:p>
    <w:p w14:paraId="04B0C850" w14:textId="7C8C1269" w:rsidR="003B5CC9" w:rsidRDefault="005B160F" w:rsidP="0095786E">
      <w:pPr>
        <w:pStyle w:val="MTDisplayEquation"/>
        <w:spacing w:after="240"/>
        <w:ind w:left="0" w:firstLine="0"/>
        <w:rPr>
          <w:rFonts w:cs="Arial"/>
          <w:color w:val="000000"/>
          <w:szCs w:val="18"/>
          <w:lang w:val="en-US"/>
        </w:rPr>
      </w:pPr>
      <w:r w:rsidRPr="005B160F">
        <w:rPr>
          <w:rFonts w:cs="Arial"/>
          <w:szCs w:val="18"/>
          <w:lang w:val="en-US"/>
        </w:rPr>
        <w:t xml:space="preserve">The </w:t>
      </w:r>
      <w:r>
        <w:rPr>
          <w:rFonts w:cs="Arial"/>
          <w:szCs w:val="18"/>
          <w:lang w:val="en-US"/>
        </w:rPr>
        <w:t>exp</w:t>
      </w:r>
      <w:r w:rsidR="00C05B25">
        <w:rPr>
          <w:rFonts w:cs="Arial"/>
          <w:szCs w:val="18"/>
          <w:lang w:val="en-US"/>
        </w:rPr>
        <w:t>e</w:t>
      </w:r>
      <w:r>
        <w:rPr>
          <w:rFonts w:cs="Arial"/>
          <w:szCs w:val="18"/>
          <w:lang w:val="en-US"/>
        </w:rPr>
        <w:t>rim</w:t>
      </w:r>
      <w:r w:rsidR="00C05B25">
        <w:rPr>
          <w:rFonts w:cs="Arial"/>
          <w:szCs w:val="18"/>
          <w:lang w:val="en-US"/>
        </w:rPr>
        <w:t>e</w:t>
      </w:r>
      <w:r>
        <w:rPr>
          <w:rFonts w:cs="Arial"/>
          <w:szCs w:val="18"/>
          <w:lang w:val="en-US"/>
        </w:rPr>
        <w:t xml:space="preserve">ntal data </w:t>
      </w:r>
      <w:r w:rsidRPr="005B160F">
        <w:rPr>
          <w:rFonts w:cs="Arial"/>
          <w:szCs w:val="18"/>
          <w:lang w:val="en-US"/>
        </w:rPr>
        <w:t xml:space="preserve">related to the use of ZM were fitted by the proposed model by </w:t>
      </w:r>
      <w:r w:rsidR="00C05B25">
        <w:rPr>
          <w:rFonts w:cs="Arial"/>
          <w:szCs w:val="18"/>
          <w:lang w:val="en-US"/>
        </w:rPr>
        <w:t xml:space="preserve">using literature </w:t>
      </w:r>
      <w:proofErr w:type="gramStart"/>
      <w:r w:rsidR="00C05B25">
        <w:rPr>
          <w:rFonts w:cs="Arial"/>
          <w:szCs w:val="18"/>
          <w:lang w:val="en-US"/>
        </w:rPr>
        <w:t>values  for</w:t>
      </w:r>
      <w:proofErr w:type="gramEnd"/>
      <w:r w:rsidR="00C05B25">
        <w:rPr>
          <w:rFonts w:cs="Arial"/>
          <w:szCs w:val="18"/>
          <w:lang w:val="en-US"/>
        </w:rPr>
        <w:t xml:space="preserve"> </w:t>
      </w:r>
      <w:r w:rsidR="00027514">
        <w:rPr>
          <w:rFonts w:cs="Arial"/>
          <w:szCs w:val="18"/>
          <w:lang w:val="en-US"/>
        </w:rPr>
        <w:t>specific</w:t>
      </w:r>
      <w:r w:rsidR="00C05B25">
        <w:rPr>
          <w:rFonts w:cs="Arial"/>
          <w:szCs w:val="18"/>
          <w:lang w:val="en-US"/>
        </w:rPr>
        <w:t xml:space="preserve"> model parameters and </w:t>
      </w:r>
      <w:r>
        <w:rPr>
          <w:rFonts w:cs="Arial"/>
          <w:szCs w:val="18"/>
          <w:lang w:val="en-US"/>
        </w:rPr>
        <w:t xml:space="preserve">tuning </w:t>
      </w:r>
      <w:r w:rsidR="00027514">
        <w:rPr>
          <w:rFonts w:cs="Arial"/>
          <w:szCs w:val="18"/>
          <w:lang w:val="en-US"/>
        </w:rPr>
        <w:t xml:space="preserve">remaining ones. </w:t>
      </w:r>
      <w:r w:rsidRPr="005B160F">
        <w:rPr>
          <w:rFonts w:cs="Arial"/>
          <w:szCs w:val="18"/>
          <w:lang w:val="en-US"/>
        </w:rPr>
        <w:t>In particular</w:t>
      </w:r>
      <w:r w:rsidR="00C05B25">
        <w:rPr>
          <w:rFonts w:cs="Arial"/>
          <w:szCs w:val="18"/>
          <w:lang w:val="en-US"/>
        </w:rPr>
        <w:t>,</w:t>
      </w:r>
      <w:r w:rsidRPr="005B160F">
        <w:rPr>
          <w:rFonts w:cs="Arial"/>
          <w:szCs w:val="18"/>
          <w:lang w:val="en-US"/>
        </w:rPr>
        <w:t xml:space="preserve"> the </w:t>
      </w:r>
      <w:r w:rsidR="00C05B25">
        <w:rPr>
          <w:rFonts w:cs="Arial"/>
          <w:color w:val="000000"/>
          <w:szCs w:val="18"/>
          <w:lang w:val="en-US"/>
        </w:rPr>
        <w:t>k</w:t>
      </w:r>
      <w:r w:rsidR="00C05B25" w:rsidRPr="00FB1025">
        <w:rPr>
          <w:rFonts w:cs="Arial"/>
          <w:color w:val="000000"/>
          <w:szCs w:val="18"/>
          <w:lang w:val="en-US"/>
        </w:rPr>
        <w:t xml:space="preserve">inetic, </w:t>
      </w:r>
      <w:proofErr w:type="gramStart"/>
      <w:r w:rsidR="00C05B25" w:rsidRPr="00FB1025">
        <w:rPr>
          <w:rFonts w:cs="Arial"/>
          <w:color w:val="000000"/>
          <w:szCs w:val="18"/>
          <w:lang w:val="en-US"/>
        </w:rPr>
        <w:t>thermodynamical</w:t>
      </w:r>
      <w:proofErr w:type="gramEnd"/>
      <w:r w:rsidR="00C05B25" w:rsidRPr="00FB1025">
        <w:rPr>
          <w:rFonts w:cs="Arial"/>
          <w:color w:val="000000"/>
          <w:szCs w:val="18"/>
          <w:lang w:val="en-US"/>
        </w:rPr>
        <w:t xml:space="preserve"> and biological parameters of the model equations inferred from literature </w:t>
      </w:r>
      <w:r w:rsidR="00C05B25">
        <w:rPr>
          <w:rFonts w:cs="Arial"/>
          <w:color w:val="000000"/>
          <w:szCs w:val="18"/>
          <w:lang w:val="en-US"/>
        </w:rPr>
        <w:t xml:space="preserve">are those reported in Table 2 along with a specific </w:t>
      </w:r>
      <w:r w:rsidR="00C05B25">
        <w:rPr>
          <w:rFonts w:cs="Arial"/>
          <w:color w:val="000000"/>
          <w:szCs w:val="18"/>
          <w:lang w:val="en-US"/>
        </w:rPr>
        <w:lastRenderedPageBreak/>
        <w:t xml:space="preserve">reference while </w:t>
      </w:r>
      <w:r w:rsidR="00C05B25" w:rsidRPr="00FB1025">
        <w:rPr>
          <w:rFonts w:cs="Arial"/>
          <w:color w:val="000000"/>
          <w:szCs w:val="18"/>
          <w:lang w:val="en-US"/>
        </w:rPr>
        <w:t xml:space="preserve">the yield coefficients </w:t>
      </w:r>
      <w:r w:rsidR="00C05B25" w:rsidRPr="00FB1025">
        <w:rPr>
          <w:rFonts w:cs="Arial"/>
          <w:szCs w:val="18"/>
          <w:lang w:val="en-US"/>
        </w:rPr>
        <w:t>Y</w:t>
      </w:r>
      <w:r w:rsidR="00C05B25" w:rsidRPr="00FB1025">
        <w:rPr>
          <w:rFonts w:cs="Arial"/>
          <w:szCs w:val="18"/>
          <w:vertAlign w:val="subscript"/>
          <w:lang w:val="en-US"/>
        </w:rPr>
        <w:t>TIP</w:t>
      </w:r>
      <w:r w:rsidR="00C05B25" w:rsidRPr="00FB1025">
        <w:rPr>
          <w:rFonts w:cs="Arial"/>
          <w:szCs w:val="18"/>
          <w:lang w:val="en-US"/>
        </w:rPr>
        <w:t xml:space="preserve"> and </w:t>
      </w:r>
      <w:proofErr w:type="spellStart"/>
      <w:r w:rsidR="00C05B25" w:rsidRPr="00FB1025">
        <w:rPr>
          <w:rFonts w:cs="Arial"/>
          <w:szCs w:val="18"/>
          <w:lang w:val="en-US"/>
        </w:rPr>
        <w:t>Y</w:t>
      </w:r>
      <w:r w:rsidR="00C05B25" w:rsidRPr="00FB1025">
        <w:rPr>
          <w:rFonts w:cs="Arial"/>
          <w:szCs w:val="18"/>
          <w:vertAlign w:val="subscript"/>
          <w:lang w:val="en-US"/>
        </w:rPr>
        <w:t>Alk</w:t>
      </w:r>
      <w:proofErr w:type="spellEnd"/>
      <w:r w:rsidR="00C05B25" w:rsidRPr="00FB1025">
        <w:rPr>
          <w:rFonts w:cs="Arial"/>
          <w:szCs w:val="18"/>
          <w:vertAlign w:val="subscript"/>
          <w:lang w:val="en-US"/>
        </w:rPr>
        <w:t xml:space="preserve"> </w:t>
      </w:r>
      <w:r w:rsidR="00C05B25">
        <w:rPr>
          <w:rFonts w:cs="Arial"/>
          <w:szCs w:val="18"/>
          <w:lang w:val="en-US"/>
        </w:rPr>
        <w:t>were</w:t>
      </w:r>
      <w:r w:rsidR="00C05B25" w:rsidRPr="00FB1025">
        <w:rPr>
          <w:rFonts w:cs="Arial"/>
          <w:szCs w:val="18"/>
          <w:lang w:val="en-US"/>
        </w:rPr>
        <w:t xml:space="preserve"> identified by fitting the experimental data (in terms of biomass and pH) through t</w:t>
      </w:r>
      <w:r w:rsidR="00C05B25" w:rsidRPr="00FB1025">
        <w:rPr>
          <w:rFonts w:cs="Arial"/>
          <w:color w:val="000000"/>
          <w:szCs w:val="18"/>
          <w:lang w:val="en-US"/>
        </w:rPr>
        <w:t xml:space="preserve">he function </w:t>
      </w:r>
      <w:proofErr w:type="spellStart"/>
      <w:r w:rsidR="00C05B25" w:rsidRPr="00FB1025">
        <w:rPr>
          <w:rFonts w:cs="Arial"/>
          <w:i/>
          <w:iCs/>
          <w:color w:val="000000"/>
          <w:szCs w:val="18"/>
          <w:lang w:val="en-US"/>
        </w:rPr>
        <w:t>fmincon</w:t>
      </w:r>
      <w:proofErr w:type="spellEnd"/>
      <w:r w:rsidR="00C05B25" w:rsidRPr="00FB1025">
        <w:rPr>
          <w:rFonts w:cs="Arial"/>
          <w:color w:val="000000"/>
          <w:szCs w:val="18"/>
          <w:lang w:val="en-US"/>
        </w:rPr>
        <w:t xml:space="preserve"> in MATLAB. </w:t>
      </w:r>
    </w:p>
    <w:p w14:paraId="599EACD0" w14:textId="77777777" w:rsidR="0095786E" w:rsidRPr="00027514" w:rsidRDefault="0095786E" w:rsidP="0095786E">
      <w:pPr>
        <w:spacing w:after="120"/>
        <w:rPr>
          <w:i/>
          <w:iCs/>
        </w:rPr>
      </w:pPr>
      <w:r w:rsidRPr="00027514">
        <w:rPr>
          <w:i/>
          <w:iCs/>
        </w:rPr>
        <w:t>Table 2</w:t>
      </w:r>
      <w:r>
        <w:rPr>
          <w:i/>
          <w:iCs/>
        </w:rPr>
        <w:t>.</w:t>
      </w:r>
      <w:r w:rsidRPr="00027514">
        <w:rPr>
          <w:i/>
          <w:iCs/>
        </w:rPr>
        <w:t xml:space="preserve"> Model parameters</w:t>
      </w:r>
    </w:p>
    <w:tbl>
      <w:tblPr>
        <w:tblStyle w:val="PlainTable3"/>
        <w:tblW w:w="5000" w:type="pct"/>
        <w:tblLook w:val="04A0" w:firstRow="1" w:lastRow="0" w:firstColumn="1" w:lastColumn="0" w:noHBand="0" w:noVBand="1"/>
      </w:tblPr>
      <w:tblGrid>
        <w:gridCol w:w="1701"/>
        <w:gridCol w:w="2552"/>
        <w:gridCol w:w="1416"/>
        <w:gridCol w:w="3118"/>
      </w:tblGrid>
      <w:tr w:rsidR="0095786E" w:rsidRPr="003B5CC9" w14:paraId="152A99A3" w14:textId="77777777" w:rsidTr="004D1A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8" w:type="pct"/>
            <w:tcBorders>
              <w:top w:val="single" w:sz="8" w:space="0" w:color="00B050"/>
              <w:bottom w:val="single" w:sz="8" w:space="0" w:color="00B050"/>
              <w:right w:val="none" w:sz="0" w:space="0" w:color="auto"/>
            </w:tcBorders>
            <w:shd w:val="clear" w:color="auto" w:fill="auto"/>
            <w:vAlign w:val="center"/>
          </w:tcPr>
          <w:p w14:paraId="375881C7" w14:textId="77777777" w:rsidR="0095786E" w:rsidRPr="003B5CC9" w:rsidRDefault="0095786E" w:rsidP="004D1A0C">
            <w:pPr>
              <w:spacing w:before="100" w:beforeAutospacing="1" w:after="100" w:afterAutospacing="1"/>
              <w:jc w:val="center"/>
              <w:rPr>
                <w:rFonts w:cs="Arial"/>
                <w:sz w:val="16"/>
                <w:szCs w:val="16"/>
                <w:lang w:val="en-US" w:eastAsia="it-IT"/>
              </w:rPr>
            </w:pPr>
            <w:r w:rsidRPr="003B5CC9">
              <w:rPr>
                <w:rFonts w:cs="Arial"/>
                <w:caps w:val="0"/>
                <w:sz w:val="16"/>
                <w:szCs w:val="16"/>
                <w:lang w:val="en-US" w:eastAsia="it-IT"/>
              </w:rPr>
              <w:t>Symbol</w:t>
            </w:r>
          </w:p>
        </w:tc>
        <w:tc>
          <w:tcPr>
            <w:tcW w:w="1452" w:type="pct"/>
            <w:tcBorders>
              <w:top w:val="single" w:sz="8" w:space="0" w:color="00B050"/>
              <w:bottom w:val="single" w:sz="8" w:space="0" w:color="00B050"/>
            </w:tcBorders>
            <w:shd w:val="clear" w:color="auto" w:fill="auto"/>
            <w:vAlign w:val="center"/>
          </w:tcPr>
          <w:p w14:paraId="59777D71" w14:textId="77777777" w:rsidR="0095786E" w:rsidRPr="003B5CC9" w:rsidRDefault="0095786E" w:rsidP="004D1A0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sz w:val="16"/>
                <w:szCs w:val="16"/>
                <w:lang w:val="en-US" w:eastAsia="it-IT"/>
              </w:rPr>
            </w:pPr>
            <w:r w:rsidRPr="003B5CC9">
              <w:rPr>
                <w:rFonts w:cs="Arial"/>
                <w:caps w:val="0"/>
                <w:sz w:val="16"/>
                <w:szCs w:val="16"/>
                <w:lang w:val="en-US" w:eastAsia="it-IT"/>
              </w:rPr>
              <w:t>Value</w:t>
            </w:r>
          </w:p>
        </w:tc>
        <w:tc>
          <w:tcPr>
            <w:tcW w:w="806" w:type="pct"/>
            <w:tcBorders>
              <w:top w:val="single" w:sz="8" w:space="0" w:color="00B050"/>
              <w:bottom w:val="single" w:sz="8" w:space="0" w:color="00B050"/>
            </w:tcBorders>
            <w:shd w:val="clear" w:color="auto" w:fill="auto"/>
            <w:vAlign w:val="center"/>
          </w:tcPr>
          <w:p w14:paraId="58144332" w14:textId="77777777" w:rsidR="0095786E" w:rsidRPr="003B5CC9" w:rsidRDefault="0095786E" w:rsidP="004D1A0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sz w:val="16"/>
                <w:szCs w:val="16"/>
                <w:lang w:val="en-US" w:eastAsia="it-IT"/>
              </w:rPr>
            </w:pPr>
            <w:r w:rsidRPr="003B5CC9">
              <w:rPr>
                <w:rFonts w:cs="Arial"/>
                <w:caps w:val="0"/>
                <w:sz w:val="16"/>
                <w:szCs w:val="16"/>
                <w:lang w:val="en-US" w:eastAsia="it-IT"/>
              </w:rPr>
              <w:t>Units</w:t>
            </w:r>
          </w:p>
        </w:tc>
        <w:tc>
          <w:tcPr>
            <w:tcW w:w="1774" w:type="pct"/>
            <w:tcBorders>
              <w:top w:val="single" w:sz="8" w:space="0" w:color="00B050"/>
              <w:bottom w:val="single" w:sz="8" w:space="0" w:color="00B050"/>
            </w:tcBorders>
            <w:shd w:val="clear" w:color="auto" w:fill="auto"/>
            <w:vAlign w:val="center"/>
          </w:tcPr>
          <w:p w14:paraId="1C62CBA1" w14:textId="77777777" w:rsidR="0095786E" w:rsidRPr="003B5CC9" w:rsidRDefault="0095786E" w:rsidP="004D1A0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sz w:val="16"/>
                <w:szCs w:val="16"/>
                <w:lang w:val="en-US" w:eastAsia="it-IT"/>
              </w:rPr>
            </w:pPr>
            <w:r w:rsidRPr="003B5CC9">
              <w:rPr>
                <w:rFonts w:cs="Arial"/>
                <w:caps w:val="0"/>
                <w:sz w:val="16"/>
                <w:szCs w:val="16"/>
                <w:lang w:val="en-US" w:eastAsia="it-IT"/>
              </w:rPr>
              <w:t>Refs.</w:t>
            </w:r>
          </w:p>
        </w:tc>
      </w:tr>
      <w:tr w:rsidR="0095786E" w:rsidRPr="003B5CC9" w14:paraId="0022AA5A" w14:textId="77777777" w:rsidTr="004D1A0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00B050"/>
              <w:right w:val="none" w:sz="0" w:space="0" w:color="auto"/>
            </w:tcBorders>
            <w:shd w:val="clear" w:color="auto" w:fill="auto"/>
            <w:vAlign w:val="center"/>
          </w:tcPr>
          <w:p w14:paraId="1E54B3E5" w14:textId="77777777" w:rsidR="0095786E" w:rsidRPr="003B5CC9" w:rsidRDefault="00000000" w:rsidP="004D1A0C">
            <w:pPr>
              <w:jc w:val="center"/>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H</m:t>
                    </m:r>
                  </m:e>
                  <m:sub>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CO</m:t>
                        </m:r>
                      </m:e>
                      <m:sub>
                        <m:r>
                          <m:rPr>
                            <m:sty m:val="bi"/>
                          </m:rPr>
                          <w:rPr>
                            <w:rFonts w:ascii="Cambria Math" w:eastAsiaTheme="minorEastAsia" w:hAnsi="Cambria Math" w:cs="Arial"/>
                            <w:szCs w:val="18"/>
                            <w:lang w:val="en-US"/>
                          </w:rPr>
                          <m:t>2</m:t>
                        </m:r>
                      </m:sub>
                    </m:sSub>
                  </m:sub>
                </m:sSub>
              </m:oMath>
            </m:oMathPara>
          </w:p>
        </w:tc>
        <w:tc>
          <w:tcPr>
            <w:tcW w:w="1452" w:type="pct"/>
            <w:tcBorders>
              <w:top w:val="single" w:sz="8" w:space="0" w:color="00B050"/>
            </w:tcBorders>
            <w:shd w:val="clear" w:color="auto" w:fill="auto"/>
            <w:vAlign w:val="center"/>
          </w:tcPr>
          <w:p w14:paraId="32861C14" w14:textId="77777777" w:rsidR="0095786E" w:rsidRPr="003B5CC9" w:rsidRDefault="0095786E" w:rsidP="004D1A0C">
            <w:pPr>
              <w:jc w:val="center"/>
              <w:cnfStyle w:val="000000100000" w:firstRow="0" w:lastRow="0" w:firstColumn="0" w:lastColumn="0" w:oddVBand="0" w:evenVBand="0" w:oddHBand="1" w:evenHBand="0" w:firstRowFirstColumn="0" w:firstRowLastColumn="0" w:lastRowFirstColumn="0" w:lastRowLastColumn="0"/>
              <w:rPr>
                <w:rFonts w:cs="Arial"/>
                <w:i/>
                <w:szCs w:val="18"/>
                <w:lang w:val="en-US"/>
              </w:rPr>
            </w:pPr>
            <m:oMathPara>
              <m:oMath>
                <m:r>
                  <w:rPr>
                    <w:rFonts w:ascii="Cambria Math" w:eastAsiaTheme="minorEastAsia" w:hAnsi="Cambria Math" w:cs="Arial"/>
                    <w:szCs w:val="18"/>
                    <w:lang w:val="en-US"/>
                  </w:rPr>
                  <m:t xml:space="preserve">3.89 </m:t>
                </m:r>
                <m:r>
                  <w:rPr>
                    <w:rFonts w:ascii="Cambria Math" w:eastAsiaTheme="minorEastAsia" w:hAnsi="Cambria Math" w:cs="Calibri"/>
                    <w:szCs w:val="18"/>
                    <w:lang w:val="en-US"/>
                  </w:rPr>
                  <m:t>×</m:t>
                </m:r>
                <m:r>
                  <w:rPr>
                    <w:rFonts w:ascii="Cambria Math" w:eastAsiaTheme="minorEastAsia" w:hAnsi="Cambria Math" w:cs="Arial"/>
                    <w:szCs w:val="18"/>
                    <w:lang w:val="en-US"/>
                  </w:rPr>
                  <m:t xml:space="preserve"> </m:t>
                </m:r>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10</m:t>
                    </m:r>
                  </m:e>
                  <m:sup>
                    <m:r>
                      <w:rPr>
                        <w:rFonts w:ascii="Cambria Math" w:eastAsiaTheme="minorEastAsia" w:hAnsi="Cambria Math" w:cs="Arial"/>
                        <w:szCs w:val="18"/>
                        <w:lang w:val="en-US"/>
                      </w:rPr>
                      <m:t>-4</m:t>
                    </m:r>
                  </m:sup>
                </m:sSup>
              </m:oMath>
            </m:oMathPara>
          </w:p>
        </w:tc>
        <w:tc>
          <w:tcPr>
            <w:tcW w:w="806" w:type="pct"/>
            <w:tcBorders>
              <w:top w:val="single" w:sz="8" w:space="0" w:color="00B050"/>
            </w:tcBorders>
            <w:shd w:val="clear" w:color="auto" w:fill="auto"/>
            <w:vAlign w:val="center"/>
          </w:tcPr>
          <w:p w14:paraId="5DEFF478" w14:textId="77777777" w:rsidR="0095786E" w:rsidRPr="00200112" w:rsidRDefault="0095786E" w:rsidP="004D1A0C">
            <w:pPr>
              <w:jc w:val="center"/>
              <w:cnfStyle w:val="000000100000" w:firstRow="0" w:lastRow="0" w:firstColumn="0" w:lastColumn="0" w:oddVBand="0" w:evenVBand="0" w:oddHBand="1" w:evenHBand="0" w:firstRowFirstColumn="0" w:firstRowLastColumn="0" w:lastRowFirstColumn="0" w:lastRowLastColumn="0"/>
              <w:rPr>
                <w:rFonts w:cs="Arial"/>
                <w:iCs/>
                <w:szCs w:val="18"/>
                <w:lang w:val="en-US"/>
              </w:rPr>
            </w:pPr>
            <m:oMathPara>
              <m:oMath>
                <m:r>
                  <m:rPr>
                    <m:sty m:val="p"/>
                  </m:rPr>
                  <w:rPr>
                    <w:rFonts w:ascii="Cambria Math" w:eastAsiaTheme="minorEastAsia" w:hAnsi="Cambria Math" w:cs="Arial"/>
                    <w:szCs w:val="18"/>
                    <w:lang w:val="en-US"/>
                  </w:rPr>
                  <m:t xml:space="preserve">mol </m:t>
                </m:r>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Pa</m:t>
                    </m:r>
                  </m:e>
                  <m:sup>
                    <m:r>
                      <m:rPr>
                        <m:sty m:val="p"/>
                      </m:rPr>
                      <w:rPr>
                        <w:rFonts w:ascii="Cambria Math" w:eastAsiaTheme="minorEastAsia" w:hAnsi="Cambria Math" w:cs="Arial"/>
                        <w:szCs w:val="18"/>
                        <w:lang w:val="en-US"/>
                      </w:rPr>
                      <m:t>-1</m:t>
                    </m:r>
                  </m:sup>
                </m:sSup>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L</m:t>
                    </m:r>
                  </m:e>
                  <m:sup>
                    <m:r>
                      <m:rPr>
                        <m:sty m:val="p"/>
                      </m:rPr>
                      <w:rPr>
                        <w:rFonts w:ascii="Cambria Math" w:eastAsiaTheme="minorEastAsia" w:hAnsi="Cambria Math" w:cs="Arial"/>
                        <w:szCs w:val="18"/>
                        <w:lang w:val="en-US"/>
                      </w:rPr>
                      <m:t>-1</m:t>
                    </m:r>
                  </m:sup>
                </m:sSup>
              </m:oMath>
            </m:oMathPara>
          </w:p>
        </w:tc>
        <w:tc>
          <w:tcPr>
            <w:tcW w:w="1774" w:type="pct"/>
            <w:tcBorders>
              <w:top w:val="single" w:sz="8" w:space="0" w:color="00B050"/>
            </w:tcBorders>
            <w:shd w:val="clear" w:color="auto" w:fill="auto"/>
            <w:vAlign w:val="center"/>
          </w:tcPr>
          <w:p w14:paraId="59828B31" w14:textId="59B55E2B" w:rsidR="0095786E" w:rsidRPr="003B5CC9" w:rsidRDefault="0095786E"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color w:val="000000"/>
                <w:sz w:val="16"/>
                <w:szCs w:val="16"/>
                <w:lang w:val="en-US"/>
              </w:rPr>
            </w:pPr>
            <w:r w:rsidRPr="003B5CC9">
              <w:rPr>
                <w:rFonts w:eastAsia="AdvGulliv-R" w:cs="Arial"/>
                <w:color w:val="000000"/>
                <w:sz w:val="16"/>
                <w:szCs w:val="16"/>
                <w:lang w:val="en-US"/>
              </w:rPr>
              <w:t xml:space="preserve"> S</w:t>
            </w:r>
            <w:r w:rsidR="00B55AED">
              <w:rPr>
                <w:rFonts w:eastAsia="AdvGulliv-R" w:cs="Arial"/>
                <w:color w:val="000000"/>
                <w:sz w:val="16"/>
                <w:szCs w:val="16"/>
                <w:lang w:val="en-US"/>
              </w:rPr>
              <w:t>a</w:t>
            </w:r>
            <w:r w:rsidRPr="003B5CC9">
              <w:rPr>
                <w:rFonts w:eastAsia="AdvGulliv-R" w:cs="Arial"/>
                <w:color w:val="000000"/>
                <w:sz w:val="16"/>
                <w:szCs w:val="16"/>
                <w:lang w:val="en-US"/>
              </w:rPr>
              <w:t>nder et al., 2015</w:t>
            </w:r>
          </w:p>
        </w:tc>
      </w:tr>
      <w:tr w:rsidR="0095786E" w:rsidRPr="003B5CC9" w14:paraId="1DEB63B4" w14:textId="77777777" w:rsidTr="004D1A0C">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4CEDE01D" w14:textId="77777777" w:rsidR="0095786E" w:rsidRPr="003B5CC9" w:rsidRDefault="00000000" w:rsidP="004D1A0C">
            <w:pPr>
              <w:jc w:val="center"/>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I</m:t>
                    </m:r>
                  </m:e>
                  <m:sub>
                    <m:r>
                      <m:rPr>
                        <m:sty m:val="bi"/>
                      </m:rPr>
                      <w:rPr>
                        <w:rFonts w:ascii="Cambria Math" w:eastAsiaTheme="minorEastAsia" w:hAnsi="Cambria Math" w:cs="Arial"/>
                        <w:szCs w:val="18"/>
                        <w:lang w:val="en-US"/>
                      </w:rPr>
                      <m:t>k,h</m:t>
                    </m:r>
                  </m:sub>
                </m:sSub>
              </m:oMath>
            </m:oMathPara>
          </w:p>
        </w:tc>
        <w:tc>
          <w:tcPr>
            <w:tcW w:w="1452" w:type="pct"/>
            <w:shd w:val="clear" w:color="auto" w:fill="auto"/>
            <w:vAlign w:val="center"/>
          </w:tcPr>
          <w:p w14:paraId="5CBB92D3" w14:textId="77777777" w:rsidR="0095786E" w:rsidRPr="003B5CC9"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
                <w:szCs w:val="18"/>
                <w:lang w:val="en-US"/>
              </w:rPr>
            </w:pPr>
            <m:oMathPara>
              <m:oMath>
                <m:r>
                  <w:rPr>
                    <w:rFonts w:ascii="Cambria Math" w:eastAsiaTheme="minorEastAsia" w:hAnsi="Cambria Math" w:cs="Arial"/>
                    <w:szCs w:val="18"/>
                    <w:lang w:val="en-US"/>
                  </w:rPr>
                  <m:t xml:space="preserve">6.00 </m:t>
                </m:r>
                <m:r>
                  <w:rPr>
                    <w:rFonts w:ascii="Cambria Math" w:eastAsiaTheme="minorEastAsia" w:hAnsi="Cambria Math" w:cs="Calibri"/>
                    <w:szCs w:val="18"/>
                    <w:lang w:val="en-US"/>
                  </w:rPr>
                  <m:t>×</m:t>
                </m:r>
                <m:r>
                  <w:rPr>
                    <w:rFonts w:ascii="Cambria Math" w:eastAsiaTheme="minorEastAsia" w:hAnsi="Cambria Math" w:cs="Arial"/>
                    <w:szCs w:val="18"/>
                    <w:lang w:val="en-US"/>
                  </w:rPr>
                  <m:t xml:space="preserve"> </m:t>
                </m:r>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10</m:t>
                    </m:r>
                  </m:e>
                  <m:sup>
                    <m:r>
                      <w:rPr>
                        <w:rFonts w:ascii="Cambria Math" w:eastAsiaTheme="minorEastAsia" w:hAnsi="Cambria Math" w:cs="Arial"/>
                        <w:szCs w:val="18"/>
                        <w:lang w:val="en-US"/>
                      </w:rPr>
                      <m:t>1</m:t>
                    </m:r>
                  </m:sup>
                </m:sSup>
              </m:oMath>
            </m:oMathPara>
          </w:p>
        </w:tc>
        <w:tc>
          <w:tcPr>
            <w:tcW w:w="806" w:type="pct"/>
            <w:shd w:val="clear" w:color="auto" w:fill="auto"/>
            <w:vAlign w:val="center"/>
          </w:tcPr>
          <w:p w14:paraId="22FC8C29" w14:textId="77777777" w:rsidR="0095786E" w:rsidRPr="00200112"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Cs w:val="18"/>
                <w:lang w:val="en-US"/>
              </w:rPr>
            </w:pPr>
            <m:oMathPara>
              <m:oMath>
                <m:r>
                  <m:rPr>
                    <m:sty m:val="p"/>
                  </m:rPr>
                  <w:rPr>
                    <w:rFonts w:ascii="Cambria Math" w:eastAsiaTheme="minorEastAsia" w:hAnsi="Cambria Math" w:cs="Arial"/>
                    <w:szCs w:val="18"/>
                    <w:lang w:val="en-US"/>
                  </w:rPr>
                  <m:t xml:space="preserve">μmol </m:t>
                </m:r>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m</m:t>
                    </m:r>
                  </m:e>
                  <m:sup>
                    <m:r>
                      <m:rPr>
                        <m:sty m:val="p"/>
                      </m:rPr>
                      <w:rPr>
                        <w:rFonts w:ascii="Cambria Math" w:eastAsiaTheme="minorEastAsia" w:hAnsi="Cambria Math" w:cs="Arial"/>
                        <w:szCs w:val="18"/>
                        <w:lang w:val="en-US"/>
                      </w:rPr>
                      <m:t>-2</m:t>
                    </m:r>
                  </m:sup>
                </m:sSup>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s</m:t>
                    </m:r>
                  </m:e>
                  <m:sup>
                    <m:r>
                      <m:rPr>
                        <m:sty m:val="p"/>
                      </m:rPr>
                      <w:rPr>
                        <w:rFonts w:ascii="Cambria Math" w:eastAsiaTheme="minorEastAsia" w:hAnsi="Cambria Math" w:cs="Arial"/>
                        <w:szCs w:val="18"/>
                        <w:lang w:val="en-US"/>
                      </w:rPr>
                      <m:t>-1</m:t>
                    </m:r>
                  </m:sup>
                </m:sSup>
              </m:oMath>
            </m:oMathPara>
          </w:p>
        </w:tc>
        <w:tc>
          <w:tcPr>
            <w:tcW w:w="1774" w:type="pct"/>
            <w:shd w:val="clear" w:color="auto" w:fill="auto"/>
            <w:vAlign w:val="center"/>
          </w:tcPr>
          <w:p w14:paraId="4D99BCC3" w14:textId="77777777" w:rsidR="0095786E" w:rsidRPr="003B5CC9"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 w:val="16"/>
                <w:szCs w:val="16"/>
                <w:lang w:val="en-US"/>
              </w:rPr>
            </w:pPr>
            <w:proofErr w:type="spellStart"/>
            <w:r w:rsidRPr="003B5CC9">
              <w:rPr>
                <w:rFonts w:eastAsiaTheme="minorEastAsia" w:cs="Arial"/>
                <w:iCs/>
                <w:sz w:val="16"/>
                <w:szCs w:val="16"/>
                <w:lang w:val="en-US"/>
              </w:rPr>
              <w:t>Grima</w:t>
            </w:r>
            <w:proofErr w:type="spellEnd"/>
            <w:r w:rsidRPr="003B5CC9">
              <w:rPr>
                <w:rFonts w:eastAsiaTheme="minorEastAsia" w:cs="Arial"/>
                <w:iCs/>
                <w:sz w:val="16"/>
                <w:szCs w:val="16"/>
                <w:lang w:val="en-US"/>
              </w:rPr>
              <w:t xml:space="preserve"> et al., </w:t>
            </w:r>
            <w:r>
              <w:rPr>
                <w:rFonts w:eastAsiaTheme="minorEastAsia" w:cs="Arial"/>
                <w:iCs/>
                <w:sz w:val="16"/>
                <w:szCs w:val="16"/>
                <w:lang w:val="en-US"/>
              </w:rPr>
              <w:t>1</w:t>
            </w:r>
            <w:r w:rsidRPr="003B5CC9">
              <w:rPr>
                <w:rFonts w:eastAsiaTheme="minorEastAsia" w:cs="Arial"/>
                <w:iCs/>
                <w:sz w:val="16"/>
                <w:szCs w:val="16"/>
                <w:lang w:val="en-US"/>
              </w:rPr>
              <w:t>994</w:t>
            </w:r>
          </w:p>
        </w:tc>
      </w:tr>
      <w:tr w:rsidR="0095786E" w:rsidRPr="003B5CC9" w14:paraId="64D4C6B1" w14:textId="77777777" w:rsidTr="004D1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6A5CA237" w14:textId="77777777" w:rsidR="0095786E" w:rsidRPr="003B5CC9" w:rsidRDefault="00000000" w:rsidP="004D1A0C">
            <w:pPr>
              <w:jc w:val="center"/>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K</m:t>
                    </m:r>
                  </m:e>
                  <m:sub>
                    <m:r>
                      <m:rPr>
                        <m:sty m:val="bi"/>
                      </m:rPr>
                      <w:rPr>
                        <w:rFonts w:ascii="Cambria Math" w:eastAsiaTheme="minorEastAsia" w:hAnsi="Cambria Math" w:cs="Arial"/>
                        <w:szCs w:val="18"/>
                        <w:lang w:val="en-US"/>
                      </w:rPr>
                      <m:t>l, a</m:t>
                    </m:r>
                  </m:sub>
                </m:sSub>
              </m:oMath>
            </m:oMathPara>
          </w:p>
        </w:tc>
        <w:tc>
          <w:tcPr>
            <w:tcW w:w="1452" w:type="pct"/>
            <w:shd w:val="clear" w:color="auto" w:fill="auto"/>
            <w:vAlign w:val="center"/>
          </w:tcPr>
          <w:p w14:paraId="7EC81029" w14:textId="77777777" w:rsidR="0095786E" w:rsidRPr="003B5CC9" w:rsidRDefault="0095786E"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
                <w:szCs w:val="18"/>
                <w:lang w:val="en-US"/>
              </w:rPr>
            </w:pPr>
            <m:oMathPara>
              <m:oMath>
                <m:r>
                  <w:rPr>
                    <w:rFonts w:ascii="Cambria Math" w:eastAsiaTheme="minorEastAsia" w:hAnsi="Cambria Math" w:cs="Arial"/>
                    <w:szCs w:val="18"/>
                    <w:lang w:val="en-US"/>
                  </w:rPr>
                  <m:t xml:space="preserve">2.86 </m:t>
                </m:r>
                <m:r>
                  <w:rPr>
                    <w:rFonts w:ascii="Cambria Math" w:eastAsiaTheme="minorEastAsia" w:hAnsi="Cambria Math" w:cs="Calibri"/>
                    <w:szCs w:val="18"/>
                    <w:lang w:val="en-US"/>
                  </w:rPr>
                  <m:t>×</m:t>
                </m:r>
                <m:r>
                  <w:rPr>
                    <w:rFonts w:ascii="Cambria Math" w:eastAsiaTheme="minorEastAsia" w:hAnsi="Cambria Math" w:cs="Arial"/>
                    <w:szCs w:val="18"/>
                    <w:lang w:val="en-US"/>
                  </w:rPr>
                  <m:t xml:space="preserve"> </m:t>
                </m:r>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10</m:t>
                    </m:r>
                  </m:e>
                  <m:sup>
                    <m:r>
                      <w:rPr>
                        <w:rFonts w:ascii="Cambria Math" w:eastAsiaTheme="minorEastAsia" w:hAnsi="Cambria Math" w:cs="Arial"/>
                        <w:szCs w:val="18"/>
                        <w:lang w:val="en-US"/>
                      </w:rPr>
                      <m:t>1</m:t>
                    </m:r>
                  </m:sup>
                </m:sSup>
              </m:oMath>
            </m:oMathPara>
          </w:p>
        </w:tc>
        <w:tc>
          <w:tcPr>
            <w:tcW w:w="806" w:type="pct"/>
            <w:shd w:val="clear" w:color="auto" w:fill="auto"/>
            <w:vAlign w:val="center"/>
          </w:tcPr>
          <w:p w14:paraId="5C210295" w14:textId="77777777" w:rsidR="0095786E" w:rsidRPr="00200112" w:rsidRDefault="00000000"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szCs w:val="18"/>
                <w:lang w:val="en-US"/>
              </w:rPr>
            </w:pPr>
            <m:oMathPara>
              <m:oMath>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hr</m:t>
                    </m:r>
                  </m:e>
                  <m:sup>
                    <m:r>
                      <m:rPr>
                        <m:sty m:val="p"/>
                      </m:rPr>
                      <w:rPr>
                        <w:rFonts w:ascii="Cambria Math" w:eastAsiaTheme="minorEastAsia" w:hAnsi="Cambria Math" w:cs="Arial"/>
                        <w:szCs w:val="18"/>
                        <w:lang w:val="en-US"/>
                      </w:rPr>
                      <m:t>-1</m:t>
                    </m:r>
                  </m:sup>
                </m:sSup>
              </m:oMath>
            </m:oMathPara>
          </w:p>
        </w:tc>
        <w:tc>
          <w:tcPr>
            <w:tcW w:w="1774" w:type="pct"/>
            <w:shd w:val="clear" w:color="auto" w:fill="auto"/>
            <w:vAlign w:val="center"/>
          </w:tcPr>
          <w:p w14:paraId="796CFA8C" w14:textId="77777777" w:rsidR="0095786E" w:rsidRPr="003B5CC9" w:rsidRDefault="0095786E"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sz w:val="16"/>
                <w:szCs w:val="16"/>
                <w:lang w:val="en-US"/>
              </w:rPr>
            </w:pPr>
            <w:proofErr w:type="spellStart"/>
            <w:r w:rsidRPr="003B5CC9">
              <w:rPr>
                <w:rFonts w:cs="Arial"/>
                <w:color w:val="222222"/>
                <w:sz w:val="16"/>
                <w:szCs w:val="16"/>
                <w:shd w:val="clear" w:color="auto" w:fill="FFFFFF"/>
                <w:lang w:val="en-US"/>
              </w:rPr>
              <w:t>Klöckner</w:t>
            </w:r>
            <w:proofErr w:type="spellEnd"/>
            <w:r w:rsidRPr="003B5CC9">
              <w:rPr>
                <w:rFonts w:cs="Arial"/>
                <w:color w:val="222222"/>
                <w:sz w:val="16"/>
                <w:szCs w:val="16"/>
                <w:shd w:val="clear" w:color="auto" w:fill="FFFFFF"/>
                <w:lang w:val="en-US"/>
              </w:rPr>
              <w:t xml:space="preserve"> et al., 2012</w:t>
            </w:r>
          </w:p>
        </w:tc>
      </w:tr>
      <w:tr w:rsidR="0095786E" w:rsidRPr="003B5CC9" w14:paraId="71230481" w14:textId="77777777" w:rsidTr="004D1A0C">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51D75BA0" w14:textId="77777777" w:rsidR="0095786E" w:rsidRPr="003B5CC9" w:rsidRDefault="00000000" w:rsidP="004D1A0C">
            <w:pPr>
              <w:jc w:val="center"/>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K</m:t>
                    </m:r>
                  </m:e>
                  <m:sub>
                    <m:r>
                      <m:rPr>
                        <m:sty m:val="bi"/>
                      </m:rPr>
                      <w:rPr>
                        <w:rFonts w:ascii="Cambria Math" w:eastAsiaTheme="minorEastAsia" w:hAnsi="Cambria Math" w:cs="Arial"/>
                        <w:szCs w:val="18"/>
                        <w:lang w:val="en-US"/>
                      </w:rPr>
                      <m:t>1</m:t>
                    </m:r>
                  </m:sub>
                </m:sSub>
              </m:oMath>
            </m:oMathPara>
          </w:p>
        </w:tc>
        <w:tc>
          <w:tcPr>
            <w:tcW w:w="1452" w:type="pct"/>
            <w:shd w:val="clear" w:color="auto" w:fill="auto"/>
            <w:vAlign w:val="center"/>
          </w:tcPr>
          <w:p w14:paraId="4DE2F579" w14:textId="77777777" w:rsidR="0095786E" w:rsidRPr="003B5CC9"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
                <w:szCs w:val="18"/>
                <w:lang w:val="en-US"/>
              </w:rPr>
            </w:pPr>
            <m:oMathPara>
              <m:oMath>
                <m:r>
                  <w:rPr>
                    <w:rFonts w:ascii="Cambria Math" w:eastAsiaTheme="minorEastAsia" w:hAnsi="Cambria Math" w:cs="Arial"/>
                    <w:szCs w:val="18"/>
                    <w:lang w:val="en-US"/>
                  </w:rPr>
                  <m:t xml:space="preserve">5.00 </m:t>
                </m:r>
                <m:r>
                  <w:rPr>
                    <w:rFonts w:ascii="Cambria Math" w:eastAsiaTheme="minorEastAsia" w:hAnsi="Cambria Math" w:cs="Calibri"/>
                    <w:szCs w:val="18"/>
                    <w:lang w:val="en-US"/>
                  </w:rPr>
                  <m:t>×</m:t>
                </m:r>
                <m:r>
                  <w:rPr>
                    <w:rFonts w:ascii="Cambria Math" w:eastAsiaTheme="minorEastAsia" w:hAnsi="Cambria Math" w:cs="Arial"/>
                    <w:szCs w:val="18"/>
                    <w:lang w:val="en-US"/>
                  </w:rPr>
                  <m:t xml:space="preserve"> </m:t>
                </m:r>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10</m:t>
                    </m:r>
                  </m:e>
                  <m:sup>
                    <m:r>
                      <w:rPr>
                        <w:rFonts w:ascii="Cambria Math" w:eastAsiaTheme="minorEastAsia" w:hAnsi="Cambria Math" w:cs="Arial"/>
                        <w:szCs w:val="18"/>
                        <w:lang w:val="en-US"/>
                      </w:rPr>
                      <m:t>-8</m:t>
                    </m:r>
                  </m:sup>
                </m:sSup>
              </m:oMath>
            </m:oMathPara>
          </w:p>
        </w:tc>
        <w:tc>
          <w:tcPr>
            <w:tcW w:w="806" w:type="pct"/>
            <w:shd w:val="clear" w:color="auto" w:fill="auto"/>
            <w:vAlign w:val="center"/>
          </w:tcPr>
          <w:p w14:paraId="16EFEF76" w14:textId="77777777" w:rsidR="0095786E" w:rsidRPr="00200112"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Cs w:val="18"/>
                <w:lang w:val="en-US"/>
              </w:rPr>
            </w:pPr>
            <m:oMathPara>
              <m:oMath>
                <m:r>
                  <m:rPr>
                    <m:sty m:val="p"/>
                  </m:rPr>
                  <w:rPr>
                    <w:rFonts w:ascii="Cambria Math" w:eastAsiaTheme="minorEastAsia" w:hAnsi="Cambria Math" w:cs="Arial"/>
                    <w:szCs w:val="18"/>
                    <w:lang w:val="en-US"/>
                  </w:rPr>
                  <m:t xml:space="preserve">mol </m:t>
                </m:r>
                <m:sSup>
                  <m:sSupPr>
                    <m:ctrlPr>
                      <w:rPr>
                        <w:rFonts w:ascii="Cambria Math" w:eastAsiaTheme="minorEastAsia" w:hAnsi="Cambria Math" w:cs="Arial"/>
                        <w:iCs/>
                        <w:szCs w:val="18"/>
                        <w:lang w:val="en-US"/>
                      </w:rPr>
                    </m:ctrlPr>
                  </m:sSupPr>
                  <m:e>
                    <m:r>
                      <w:rPr>
                        <w:rFonts w:ascii="Cambria Math" w:eastAsiaTheme="minorEastAsia" w:hAnsi="Cambria Math" w:cs="Arial"/>
                        <w:szCs w:val="18"/>
                        <w:lang w:val="en-US"/>
                      </w:rPr>
                      <m:t>L</m:t>
                    </m:r>
                  </m:e>
                  <m:sup>
                    <m:r>
                      <m:rPr>
                        <m:sty m:val="p"/>
                      </m:rPr>
                      <w:rPr>
                        <w:rFonts w:ascii="Cambria Math" w:eastAsiaTheme="minorEastAsia" w:hAnsi="Cambria Math" w:cs="Arial"/>
                        <w:szCs w:val="18"/>
                        <w:lang w:val="en-US"/>
                      </w:rPr>
                      <m:t>-1</m:t>
                    </m:r>
                  </m:sup>
                </m:sSup>
              </m:oMath>
            </m:oMathPara>
          </w:p>
        </w:tc>
        <w:tc>
          <w:tcPr>
            <w:tcW w:w="1774" w:type="pct"/>
            <w:shd w:val="clear" w:color="auto" w:fill="auto"/>
            <w:vAlign w:val="center"/>
          </w:tcPr>
          <w:p w14:paraId="0DC246CE" w14:textId="36CACFBD" w:rsidR="0095786E" w:rsidRPr="003B5CC9" w:rsidRDefault="00D02AE5"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 w:val="16"/>
                <w:szCs w:val="16"/>
                <w:lang w:val="en-US"/>
              </w:rPr>
            </w:pPr>
            <w:r>
              <w:rPr>
                <w:rFonts w:eastAsiaTheme="minorEastAsia" w:cs="Arial"/>
                <w:iCs/>
                <w:sz w:val="16"/>
                <w:szCs w:val="16"/>
                <w:lang w:val="en-US"/>
              </w:rPr>
              <w:t>Concas et al. 2021b</w:t>
            </w:r>
          </w:p>
        </w:tc>
      </w:tr>
      <w:tr w:rsidR="0095786E" w:rsidRPr="003B5CC9" w14:paraId="325B01FA" w14:textId="77777777" w:rsidTr="004D1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6770C77D" w14:textId="77777777" w:rsidR="0095786E" w:rsidRPr="003B5CC9" w:rsidRDefault="00000000" w:rsidP="004D1A0C">
            <w:pPr>
              <w:jc w:val="center"/>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K</m:t>
                    </m:r>
                  </m:e>
                  <m:sub>
                    <m:r>
                      <m:rPr>
                        <m:sty m:val="bi"/>
                      </m:rPr>
                      <w:rPr>
                        <w:rFonts w:ascii="Cambria Math" w:eastAsiaTheme="minorEastAsia" w:hAnsi="Cambria Math" w:cs="Arial"/>
                        <w:szCs w:val="18"/>
                        <w:lang w:val="en-US"/>
                      </w:rPr>
                      <m:t>2</m:t>
                    </m:r>
                  </m:sub>
                </m:sSub>
              </m:oMath>
            </m:oMathPara>
          </w:p>
        </w:tc>
        <w:tc>
          <w:tcPr>
            <w:tcW w:w="1452" w:type="pct"/>
            <w:shd w:val="clear" w:color="auto" w:fill="auto"/>
            <w:vAlign w:val="center"/>
          </w:tcPr>
          <w:p w14:paraId="6CA205B6" w14:textId="77777777" w:rsidR="0095786E" w:rsidRPr="003B5CC9" w:rsidRDefault="0095786E"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
                <w:szCs w:val="18"/>
                <w:lang w:val="en-US"/>
              </w:rPr>
            </w:pPr>
            <m:oMathPara>
              <m:oMath>
                <m:r>
                  <w:rPr>
                    <w:rFonts w:ascii="Cambria Math" w:eastAsiaTheme="minorEastAsia" w:hAnsi="Cambria Math" w:cs="Arial"/>
                    <w:szCs w:val="18"/>
                    <w:lang w:val="en-US"/>
                  </w:rPr>
                  <m:t xml:space="preserve">1.00 </m:t>
                </m:r>
                <m:r>
                  <w:rPr>
                    <w:rFonts w:ascii="Cambria Math" w:eastAsiaTheme="minorEastAsia" w:hAnsi="Cambria Math" w:cs="Calibri"/>
                    <w:szCs w:val="18"/>
                    <w:lang w:val="en-US"/>
                  </w:rPr>
                  <m:t>×</m:t>
                </m:r>
                <m:r>
                  <w:rPr>
                    <w:rFonts w:ascii="Cambria Math" w:eastAsiaTheme="minorEastAsia" w:hAnsi="Cambria Math" w:cs="Arial"/>
                    <w:szCs w:val="18"/>
                    <w:lang w:val="en-US"/>
                  </w:rPr>
                  <m:t xml:space="preserve"> </m:t>
                </m:r>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10</m:t>
                    </m:r>
                  </m:e>
                  <m:sup>
                    <m:r>
                      <w:rPr>
                        <w:rFonts w:ascii="Cambria Math" w:eastAsiaTheme="minorEastAsia" w:hAnsi="Cambria Math" w:cs="Arial"/>
                        <w:szCs w:val="18"/>
                        <w:lang w:val="en-US"/>
                      </w:rPr>
                      <m:t>-8</m:t>
                    </m:r>
                  </m:sup>
                </m:sSup>
              </m:oMath>
            </m:oMathPara>
          </w:p>
        </w:tc>
        <w:tc>
          <w:tcPr>
            <w:tcW w:w="806" w:type="pct"/>
            <w:shd w:val="clear" w:color="auto" w:fill="auto"/>
            <w:vAlign w:val="center"/>
          </w:tcPr>
          <w:p w14:paraId="1EC20843" w14:textId="77777777" w:rsidR="0095786E" w:rsidRPr="00200112" w:rsidRDefault="0095786E"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szCs w:val="18"/>
                <w:lang w:val="en-US"/>
              </w:rPr>
            </w:pPr>
            <m:oMathPara>
              <m:oMath>
                <m:r>
                  <m:rPr>
                    <m:sty m:val="p"/>
                  </m:rPr>
                  <w:rPr>
                    <w:rFonts w:ascii="Cambria Math" w:eastAsiaTheme="minorEastAsia" w:hAnsi="Cambria Math" w:cs="Arial"/>
                    <w:szCs w:val="18"/>
                    <w:lang w:val="en-US"/>
                  </w:rPr>
                  <m:t xml:space="preserve">mol </m:t>
                </m:r>
                <m:sSup>
                  <m:sSupPr>
                    <m:ctrlPr>
                      <w:rPr>
                        <w:rFonts w:ascii="Cambria Math" w:eastAsiaTheme="minorEastAsia" w:hAnsi="Cambria Math" w:cs="Arial"/>
                        <w:iCs/>
                        <w:szCs w:val="18"/>
                        <w:lang w:val="en-US"/>
                      </w:rPr>
                    </m:ctrlPr>
                  </m:sSupPr>
                  <m:e>
                    <m:r>
                      <w:rPr>
                        <w:rFonts w:ascii="Cambria Math" w:eastAsiaTheme="minorEastAsia" w:hAnsi="Cambria Math" w:cs="Arial"/>
                        <w:szCs w:val="18"/>
                        <w:lang w:val="en-US"/>
                      </w:rPr>
                      <m:t>L</m:t>
                    </m:r>
                  </m:e>
                  <m:sup>
                    <m:r>
                      <m:rPr>
                        <m:sty m:val="p"/>
                      </m:rPr>
                      <w:rPr>
                        <w:rFonts w:ascii="Cambria Math" w:eastAsiaTheme="minorEastAsia" w:hAnsi="Cambria Math" w:cs="Arial"/>
                        <w:szCs w:val="18"/>
                        <w:lang w:val="en-US"/>
                      </w:rPr>
                      <m:t>-1</m:t>
                    </m:r>
                  </m:sup>
                </m:sSup>
              </m:oMath>
            </m:oMathPara>
          </w:p>
        </w:tc>
        <w:tc>
          <w:tcPr>
            <w:tcW w:w="1774" w:type="pct"/>
            <w:shd w:val="clear" w:color="auto" w:fill="auto"/>
            <w:vAlign w:val="center"/>
          </w:tcPr>
          <w:p w14:paraId="14C3B09C" w14:textId="502C1FBC" w:rsidR="0095786E" w:rsidRPr="003B5CC9" w:rsidRDefault="00D02AE5"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sz w:val="16"/>
                <w:szCs w:val="16"/>
                <w:lang w:val="en-US"/>
              </w:rPr>
            </w:pPr>
            <w:r>
              <w:rPr>
                <w:rFonts w:eastAsiaTheme="minorEastAsia" w:cs="Arial"/>
                <w:iCs/>
                <w:sz w:val="16"/>
                <w:szCs w:val="16"/>
                <w:lang w:val="en-US"/>
              </w:rPr>
              <w:t>Concas et al. 2021b</w:t>
            </w:r>
          </w:p>
        </w:tc>
      </w:tr>
      <w:tr w:rsidR="0095786E" w:rsidRPr="003B5CC9" w14:paraId="16E91FE6" w14:textId="77777777" w:rsidTr="004D1A0C">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68679B3A" w14:textId="77777777" w:rsidR="0095786E" w:rsidRPr="003B5CC9" w:rsidRDefault="00000000" w:rsidP="004D1A0C">
            <w:pPr>
              <w:jc w:val="center"/>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k</m:t>
                    </m:r>
                  </m:e>
                  <m:sub>
                    <m:r>
                      <m:rPr>
                        <m:sty m:val="bi"/>
                      </m:rPr>
                      <w:rPr>
                        <w:rFonts w:ascii="Cambria Math" w:eastAsiaTheme="minorEastAsia" w:hAnsi="Cambria Math" w:cs="Arial"/>
                        <w:szCs w:val="18"/>
                        <w:lang w:val="en-US"/>
                      </w:rPr>
                      <m:t>0. i</m:t>
                    </m:r>
                  </m:sub>
                </m:sSub>
              </m:oMath>
            </m:oMathPara>
          </w:p>
        </w:tc>
        <w:tc>
          <w:tcPr>
            <w:tcW w:w="1452" w:type="pct"/>
            <w:shd w:val="clear" w:color="auto" w:fill="auto"/>
            <w:vAlign w:val="center"/>
          </w:tcPr>
          <w:p w14:paraId="69BADDE1" w14:textId="77777777" w:rsidR="0095786E" w:rsidRPr="003B5CC9"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
                <w:szCs w:val="18"/>
                <w:lang w:val="en-US"/>
              </w:rPr>
            </w:pPr>
            <m:oMathPara>
              <m:oMath>
                <m:r>
                  <w:rPr>
                    <w:rFonts w:ascii="Cambria Math" w:eastAsiaTheme="minorEastAsia" w:hAnsi="Cambria Math" w:cs="Arial"/>
                    <w:szCs w:val="18"/>
                    <w:lang w:val="en-US"/>
                  </w:rPr>
                  <m:t xml:space="preserve">1.50 </m:t>
                </m:r>
                <m:r>
                  <w:rPr>
                    <w:rFonts w:ascii="Cambria Math" w:eastAsiaTheme="minorEastAsia" w:hAnsi="Cambria Math" w:cs="Calibri"/>
                    <w:szCs w:val="18"/>
                    <w:lang w:val="en-US"/>
                  </w:rPr>
                  <m:t>×</m:t>
                </m:r>
                <m:r>
                  <w:rPr>
                    <w:rFonts w:ascii="Cambria Math" w:eastAsiaTheme="minorEastAsia" w:hAnsi="Cambria Math" w:cs="Arial"/>
                    <w:szCs w:val="18"/>
                    <w:lang w:val="en-US"/>
                  </w:rPr>
                  <m:t xml:space="preserve"> </m:t>
                </m:r>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10</m:t>
                    </m:r>
                  </m:e>
                  <m:sup>
                    <m:r>
                      <w:rPr>
                        <w:rFonts w:ascii="Cambria Math" w:eastAsiaTheme="minorEastAsia" w:hAnsi="Cambria Math" w:cs="Arial"/>
                        <w:szCs w:val="18"/>
                        <w:lang w:val="en-US"/>
                      </w:rPr>
                      <m:t>-1</m:t>
                    </m:r>
                  </m:sup>
                </m:sSup>
              </m:oMath>
            </m:oMathPara>
          </w:p>
        </w:tc>
        <w:tc>
          <w:tcPr>
            <w:tcW w:w="806" w:type="pct"/>
            <w:shd w:val="clear" w:color="auto" w:fill="auto"/>
            <w:vAlign w:val="center"/>
          </w:tcPr>
          <w:p w14:paraId="40DEEA76" w14:textId="77777777" w:rsidR="0095786E" w:rsidRPr="00200112" w:rsidRDefault="00000000"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Cs w:val="18"/>
                <w:lang w:val="en-US"/>
              </w:rPr>
            </w:pPr>
            <m:oMathPara>
              <m:oMath>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hr</m:t>
                    </m:r>
                  </m:e>
                  <m:sup>
                    <m:r>
                      <m:rPr>
                        <m:sty m:val="p"/>
                      </m:rPr>
                      <w:rPr>
                        <w:rFonts w:ascii="Cambria Math" w:eastAsiaTheme="minorEastAsia" w:hAnsi="Cambria Math" w:cs="Arial"/>
                        <w:szCs w:val="18"/>
                        <w:lang w:val="en-US"/>
                      </w:rPr>
                      <m:t>-1</m:t>
                    </m:r>
                  </m:sup>
                </m:sSup>
              </m:oMath>
            </m:oMathPara>
          </w:p>
        </w:tc>
        <w:tc>
          <w:tcPr>
            <w:tcW w:w="1774" w:type="pct"/>
            <w:shd w:val="clear" w:color="auto" w:fill="auto"/>
            <w:vAlign w:val="center"/>
          </w:tcPr>
          <w:p w14:paraId="42D59605" w14:textId="376FE95C" w:rsidR="0095786E" w:rsidRPr="003B5CC9" w:rsidRDefault="00D02AE5"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 w:val="16"/>
                <w:szCs w:val="16"/>
                <w:lang w:val="en-US"/>
              </w:rPr>
            </w:pPr>
            <w:r>
              <w:rPr>
                <w:rFonts w:eastAsiaTheme="minorEastAsia" w:cs="Arial"/>
                <w:iCs/>
                <w:sz w:val="16"/>
                <w:szCs w:val="16"/>
                <w:lang w:val="en-US"/>
              </w:rPr>
              <w:t>Concas et al. 2021b</w:t>
            </w:r>
          </w:p>
        </w:tc>
      </w:tr>
      <w:tr w:rsidR="0095786E" w:rsidRPr="003B5CC9" w14:paraId="18A6FB3F" w14:textId="77777777" w:rsidTr="004D1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08798B7B" w14:textId="77777777" w:rsidR="0095786E" w:rsidRPr="003B5CC9" w:rsidRDefault="00000000" w:rsidP="004D1A0C">
            <w:pPr>
              <w:jc w:val="left"/>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k</m:t>
                    </m:r>
                  </m:e>
                  <m:sub>
                    <m:r>
                      <m:rPr>
                        <m:sty m:val="bi"/>
                      </m:rPr>
                      <w:rPr>
                        <w:rFonts w:ascii="Cambria Math" w:eastAsiaTheme="minorEastAsia" w:hAnsi="Cambria Math" w:cs="Arial"/>
                        <w:szCs w:val="18"/>
                        <w:lang w:val="en-US"/>
                      </w:rPr>
                      <m:t>1. i</m:t>
                    </m:r>
                  </m:sub>
                </m:sSub>
              </m:oMath>
            </m:oMathPara>
          </w:p>
        </w:tc>
        <w:tc>
          <w:tcPr>
            <w:tcW w:w="1452" w:type="pct"/>
            <w:shd w:val="clear" w:color="auto" w:fill="auto"/>
            <w:vAlign w:val="center"/>
          </w:tcPr>
          <w:p w14:paraId="39E8A7C1" w14:textId="77777777" w:rsidR="0095786E" w:rsidRPr="003B5CC9" w:rsidRDefault="0095786E"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
                <w:szCs w:val="18"/>
                <w:lang w:val="en-US"/>
              </w:rPr>
            </w:pPr>
            <m:oMathPara>
              <m:oMath>
                <m:r>
                  <w:rPr>
                    <w:rFonts w:ascii="Cambria Math" w:eastAsiaTheme="minorEastAsia" w:hAnsi="Cambria Math" w:cs="Arial"/>
                    <w:szCs w:val="18"/>
                    <w:lang w:val="en-US"/>
                  </w:rPr>
                  <m:t xml:space="preserve">1.30 </m:t>
                </m:r>
                <m:r>
                  <w:rPr>
                    <w:rFonts w:ascii="Cambria Math" w:eastAsiaTheme="minorEastAsia" w:hAnsi="Cambria Math" w:cs="Calibri"/>
                    <w:szCs w:val="18"/>
                    <w:lang w:val="en-US"/>
                  </w:rPr>
                  <m:t>×</m:t>
                </m:r>
                <m:r>
                  <w:rPr>
                    <w:rFonts w:ascii="Cambria Math" w:eastAsiaTheme="minorEastAsia" w:hAnsi="Cambria Math" w:cs="Arial"/>
                    <w:szCs w:val="18"/>
                    <w:lang w:val="en-US"/>
                  </w:rPr>
                  <m:t xml:space="preserve"> </m:t>
                </m:r>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10</m:t>
                    </m:r>
                  </m:e>
                  <m:sup>
                    <m:r>
                      <w:rPr>
                        <w:rFonts w:ascii="Cambria Math" w:eastAsiaTheme="minorEastAsia" w:hAnsi="Cambria Math" w:cs="Arial"/>
                        <w:szCs w:val="18"/>
                        <w:lang w:val="en-US"/>
                      </w:rPr>
                      <m:t>-1</m:t>
                    </m:r>
                  </m:sup>
                </m:sSup>
              </m:oMath>
            </m:oMathPara>
          </w:p>
        </w:tc>
        <w:tc>
          <w:tcPr>
            <w:tcW w:w="806" w:type="pct"/>
            <w:shd w:val="clear" w:color="auto" w:fill="auto"/>
            <w:vAlign w:val="center"/>
          </w:tcPr>
          <w:p w14:paraId="2D786830" w14:textId="77777777" w:rsidR="0095786E" w:rsidRPr="00200112" w:rsidRDefault="00000000"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szCs w:val="18"/>
                <w:lang w:val="en-US"/>
              </w:rPr>
            </w:pPr>
            <m:oMathPara>
              <m:oMath>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hr</m:t>
                    </m:r>
                  </m:e>
                  <m:sup>
                    <m:r>
                      <m:rPr>
                        <m:sty m:val="p"/>
                      </m:rPr>
                      <w:rPr>
                        <w:rFonts w:ascii="Cambria Math" w:eastAsiaTheme="minorEastAsia" w:hAnsi="Cambria Math" w:cs="Arial"/>
                        <w:szCs w:val="18"/>
                        <w:lang w:val="en-US"/>
                      </w:rPr>
                      <m:t>-1</m:t>
                    </m:r>
                  </m:sup>
                </m:sSup>
              </m:oMath>
            </m:oMathPara>
          </w:p>
        </w:tc>
        <w:tc>
          <w:tcPr>
            <w:tcW w:w="1774" w:type="pct"/>
            <w:shd w:val="clear" w:color="auto" w:fill="auto"/>
          </w:tcPr>
          <w:p w14:paraId="7F41C171" w14:textId="64D62424" w:rsidR="0095786E" w:rsidRPr="003B5CC9" w:rsidRDefault="00D02AE5"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sz w:val="16"/>
                <w:szCs w:val="16"/>
                <w:lang w:val="en-US"/>
              </w:rPr>
            </w:pPr>
            <w:r>
              <w:rPr>
                <w:rFonts w:eastAsiaTheme="minorEastAsia" w:cs="Arial"/>
                <w:iCs/>
                <w:sz w:val="16"/>
                <w:szCs w:val="16"/>
                <w:lang w:val="en-US"/>
              </w:rPr>
              <w:t>Concas et al. 2021b</w:t>
            </w:r>
          </w:p>
        </w:tc>
      </w:tr>
      <w:tr w:rsidR="0095786E" w:rsidRPr="003B5CC9" w14:paraId="7F82B56A" w14:textId="77777777" w:rsidTr="004D1A0C">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590168A4" w14:textId="77777777" w:rsidR="0095786E" w:rsidRPr="003B5CC9" w:rsidRDefault="00000000" w:rsidP="004D1A0C">
            <w:pPr>
              <w:jc w:val="center"/>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K</m:t>
                    </m:r>
                  </m:e>
                  <m:sub>
                    <m:r>
                      <m:rPr>
                        <m:sty m:val="bi"/>
                      </m:rPr>
                      <w:rPr>
                        <w:rFonts w:ascii="Cambria Math" w:eastAsiaTheme="minorEastAsia" w:hAnsi="Cambria Math" w:cs="Arial"/>
                        <w:szCs w:val="18"/>
                        <w:lang w:val="en-US"/>
                      </w:rPr>
                      <m:t>TIC</m:t>
                    </m:r>
                  </m:sub>
                </m:sSub>
              </m:oMath>
            </m:oMathPara>
          </w:p>
        </w:tc>
        <w:tc>
          <w:tcPr>
            <w:tcW w:w="1452" w:type="pct"/>
            <w:shd w:val="clear" w:color="auto" w:fill="auto"/>
            <w:vAlign w:val="center"/>
          </w:tcPr>
          <w:p w14:paraId="261843BB" w14:textId="77777777" w:rsidR="0095786E" w:rsidRPr="003B5CC9" w:rsidRDefault="00000000"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
                <w:szCs w:val="18"/>
                <w:lang w:val="en-US"/>
              </w:rPr>
            </w:pPr>
            <m:oMathPara>
              <m:oMath>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 xml:space="preserve">1.00 </m:t>
                    </m:r>
                    <m:r>
                      <w:rPr>
                        <w:rFonts w:ascii="Cambria Math" w:eastAsiaTheme="minorEastAsia" w:hAnsi="Cambria Math" w:cs="Calibri"/>
                        <w:szCs w:val="18"/>
                        <w:lang w:val="en-US"/>
                      </w:rPr>
                      <m:t>×</m:t>
                    </m:r>
                    <m:r>
                      <w:rPr>
                        <w:rFonts w:ascii="Cambria Math" w:eastAsiaTheme="minorEastAsia" w:hAnsi="Cambria Math" w:cs="Arial"/>
                        <w:szCs w:val="18"/>
                        <w:lang w:val="en-US"/>
                      </w:rPr>
                      <m:t xml:space="preserve"> 10</m:t>
                    </m:r>
                  </m:e>
                  <m:sup>
                    <m:r>
                      <w:rPr>
                        <w:rFonts w:ascii="Cambria Math" w:eastAsiaTheme="minorEastAsia" w:hAnsi="Cambria Math" w:cs="Arial"/>
                        <w:szCs w:val="18"/>
                        <w:lang w:val="en-US"/>
                      </w:rPr>
                      <m:t>-6</m:t>
                    </m:r>
                  </m:sup>
                </m:sSup>
              </m:oMath>
            </m:oMathPara>
          </w:p>
        </w:tc>
        <w:tc>
          <w:tcPr>
            <w:tcW w:w="806" w:type="pct"/>
            <w:shd w:val="clear" w:color="auto" w:fill="auto"/>
            <w:vAlign w:val="center"/>
          </w:tcPr>
          <w:p w14:paraId="0BEB22D8" w14:textId="77777777" w:rsidR="0095786E" w:rsidRPr="00200112"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Cs w:val="18"/>
                <w:lang w:val="en-US"/>
              </w:rPr>
            </w:pPr>
            <m:oMathPara>
              <m:oMath>
                <m:r>
                  <m:rPr>
                    <m:sty m:val="p"/>
                  </m:rPr>
                  <w:rPr>
                    <w:rFonts w:ascii="Cambria Math" w:eastAsiaTheme="minorEastAsia" w:hAnsi="Cambria Math" w:cs="Arial"/>
                    <w:szCs w:val="18"/>
                    <w:lang w:val="en-US"/>
                  </w:rPr>
                  <m:t xml:space="preserve">mol </m:t>
                </m:r>
                <m:sSup>
                  <m:sSupPr>
                    <m:ctrlPr>
                      <w:rPr>
                        <w:rFonts w:ascii="Cambria Math" w:eastAsiaTheme="minorEastAsia" w:hAnsi="Cambria Math" w:cs="Arial"/>
                        <w:iCs/>
                        <w:szCs w:val="18"/>
                        <w:lang w:val="en-US"/>
                      </w:rPr>
                    </m:ctrlPr>
                  </m:sSupPr>
                  <m:e>
                    <m:r>
                      <w:rPr>
                        <w:rFonts w:ascii="Cambria Math" w:eastAsiaTheme="minorEastAsia" w:hAnsi="Cambria Math" w:cs="Arial"/>
                        <w:szCs w:val="18"/>
                        <w:lang w:val="en-US"/>
                      </w:rPr>
                      <m:t>L</m:t>
                    </m:r>
                  </m:e>
                  <m:sup>
                    <m:r>
                      <m:rPr>
                        <m:sty m:val="p"/>
                      </m:rPr>
                      <w:rPr>
                        <w:rFonts w:ascii="Cambria Math" w:eastAsiaTheme="minorEastAsia" w:hAnsi="Cambria Math" w:cs="Arial"/>
                        <w:szCs w:val="18"/>
                        <w:lang w:val="en-US"/>
                      </w:rPr>
                      <m:t>-1</m:t>
                    </m:r>
                  </m:sup>
                </m:sSup>
              </m:oMath>
            </m:oMathPara>
          </w:p>
        </w:tc>
        <w:tc>
          <w:tcPr>
            <w:tcW w:w="1774" w:type="pct"/>
            <w:shd w:val="clear" w:color="auto" w:fill="auto"/>
            <w:vAlign w:val="center"/>
          </w:tcPr>
          <w:p w14:paraId="56A47E00" w14:textId="77777777" w:rsidR="0095786E" w:rsidRPr="003B5CC9"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 w:val="16"/>
                <w:szCs w:val="16"/>
                <w:lang w:val="en-US"/>
              </w:rPr>
            </w:pPr>
            <w:proofErr w:type="spellStart"/>
            <w:r w:rsidRPr="003B5CC9">
              <w:rPr>
                <w:rFonts w:eastAsiaTheme="minorEastAsia" w:cs="Arial"/>
                <w:iCs/>
                <w:sz w:val="16"/>
                <w:szCs w:val="16"/>
                <w:lang w:val="en-US"/>
              </w:rPr>
              <w:t>Marsullo</w:t>
            </w:r>
            <w:proofErr w:type="spellEnd"/>
            <w:r w:rsidRPr="003B5CC9">
              <w:rPr>
                <w:rFonts w:eastAsiaTheme="minorEastAsia" w:cs="Arial"/>
                <w:iCs/>
                <w:sz w:val="16"/>
                <w:szCs w:val="16"/>
                <w:lang w:val="en-US"/>
              </w:rPr>
              <w:t xml:space="preserve"> et al., 2015</w:t>
            </w:r>
          </w:p>
        </w:tc>
      </w:tr>
      <w:tr w:rsidR="0095786E" w:rsidRPr="003B5CC9" w14:paraId="0B71B883" w14:textId="77777777" w:rsidTr="004D1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5476A788" w14:textId="77777777" w:rsidR="0095786E" w:rsidRPr="003B5CC9" w:rsidRDefault="00000000" w:rsidP="004D1A0C">
            <w:pPr>
              <w:jc w:val="center"/>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K</m:t>
                    </m:r>
                  </m:e>
                  <m:sub>
                    <m:r>
                      <m:rPr>
                        <m:sty m:val="bi"/>
                      </m:rPr>
                      <w:rPr>
                        <w:rFonts w:ascii="Cambria Math" w:eastAsiaTheme="minorEastAsia" w:hAnsi="Cambria Math" w:cs="Arial"/>
                        <w:szCs w:val="18"/>
                        <w:lang w:val="en-US"/>
                      </w:rPr>
                      <m:t>TIN</m:t>
                    </m:r>
                  </m:sub>
                </m:sSub>
              </m:oMath>
            </m:oMathPara>
          </w:p>
        </w:tc>
        <w:tc>
          <w:tcPr>
            <w:tcW w:w="1452" w:type="pct"/>
            <w:shd w:val="clear" w:color="auto" w:fill="auto"/>
            <w:vAlign w:val="center"/>
          </w:tcPr>
          <w:p w14:paraId="6705E857" w14:textId="77777777" w:rsidR="0095786E" w:rsidRPr="003B5CC9" w:rsidRDefault="00000000"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
                <w:szCs w:val="18"/>
                <w:lang w:val="en-US"/>
              </w:rPr>
            </w:pPr>
            <m:oMathPara>
              <m:oMath>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 xml:space="preserve">3.78 </m:t>
                    </m:r>
                    <m:r>
                      <w:rPr>
                        <w:rFonts w:ascii="Cambria Math" w:eastAsiaTheme="minorEastAsia" w:hAnsi="Cambria Math" w:cs="Calibri"/>
                        <w:szCs w:val="18"/>
                        <w:lang w:val="en-US"/>
                      </w:rPr>
                      <m:t>×</m:t>
                    </m:r>
                    <m:r>
                      <w:rPr>
                        <w:rFonts w:ascii="Cambria Math" w:eastAsiaTheme="minorEastAsia" w:hAnsi="Cambria Math" w:cs="Arial"/>
                        <w:szCs w:val="18"/>
                        <w:lang w:val="en-US"/>
                      </w:rPr>
                      <m:t xml:space="preserve"> 10</m:t>
                    </m:r>
                  </m:e>
                  <m:sup>
                    <m:r>
                      <w:rPr>
                        <w:rFonts w:ascii="Cambria Math" w:eastAsiaTheme="minorEastAsia" w:hAnsi="Cambria Math" w:cs="Arial"/>
                        <w:szCs w:val="18"/>
                        <w:lang w:val="en-US"/>
                      </w:rPr>
                      <m:t>-5</m:t>
                    </m:r>
                  </m:sup>
                </m:sSup>
              </m:oMath>
            </m:oMathPara>
          </w:p>
        </w:tc>
        <w:tc>
          <w:tcPr>
            <w:tcW w:w="806" w:type="pct"/>
            <w:shd w:val="clear" w:color="auto" w:fill="auto"/>
            <w:vAlign w:val="center"/>
          </w:tcPr>
          <w:p w14:paraId="68AF4CEF" w14:textId="77777777" w:rsidR="0095786E" w:rsidRPr="00200112" w:rsidRDefault="0095786E"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szCs w:val="18"/>
                <w:lang w:val="en-US"/>
              </w:rPr>
            </w:pPr>
            <m:oMathPara>
              <m:oMath>
                <m:r>
                  <m:rPr>
                    <m:sty m:val="p"/>
                  </m:rPr>
                  <w:rPr>
                    <w:rFonts w:ascii="Cambria Math" w:eastAsiaTheme="minorEastAsia" w:hAnsi="Cambria Math" w:cs="Arial"/>
                    <w:szCs w:val="18"/>
                    <w:lang w:val="en-US"/>
                  </w:rPr>
                  <m:t xml:space="preserve">mol </m:t>
                </m:r>
                <m:sSup>
                  <m:sSupPr>
                    <m:ctrlPr>
                      <w:rPr>
                        <w:rFonts w:ascii="Cambria Math" w:eastAsiaTheme="minorEastAsia" w:hAnsi="Cambria Math" w:cs="Arial"/>
                        <w:iCs/>
                        <w:szCs w:val="18"/>
                        <w:lang w:val="en-US"/>
                      </w:rPr>
                    </m:ctrlPr>
                  </m:sSupPr>
                  <m:e>
                    <m:r>
                      <w:rPr>
                        <w:rFonts w:ascii="Cambria Math" w:eastAsiaTheme="minorEastAsia" w:hAnsi="Cambria Math" w:cs="Arial"/>
                        <w:szCs w:val="18"/>
                        <w:lang w:val="en-US"/>
                      </w:rPr>
                      <m:t>L</m:t>
                    </m:r>
                  </m:e>
                  <m:sup>
                    <m:r>
                      <m:rPr>
                        <m:sty m:val="p"/>
                      </m:rPr>
                      <w:rPr>
                        <w:rFonts w:ascii="Cambria Math" w:eastAsiaTheme="minorEastAsia" w:hAnsi="Cambria Math" w:cs="Arial"/>
                        <w:szCs w:val="18"/>
                        <w:lang w:val="en-US"/>
                      </w:rPr>
                      <m:t>-1</m:t>
                    </m:r>
                  </m:sup>
                </m:sSup>
              </m:oMath>
            </m:oMathPara>
          </w:p>
        </w:tc>
        <w:tc>
          <w:tcPr>
            <w:tcW w:w="1774" w:type="pct"/>
            <w:shd w:val="clear" w:color="auto" w:fill="auto"/>
            <w:vAlign w:val="center"/>
          </w:tcPr>
          <w:p w14:paraId="28276C47" w14:textId="77777777" w:rsidR="0095786E" w:rsidRPr="003B5CC9" w:rsidRDefault="0095786E"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sz w:val="16"/>
                <w:szCs w:val="16"/>
                <w:lang w:val="en-US"/>
              </w:rPr>
            </w:pPr>
            <w:proofErr w:type="spellStart"/>
            <w:r w:rsidRPr="003B5CC9">
              <w:rPr>
                <w:rFonts w:eastAsiaTheme="minorEastAsia" w:cs="Arial"/>
                <w:iCs/>
                <w:sz w:val="16"/>
                <w:szCs w:val="16"/>
                <w:lang w:val="en-US"/>
              </w:rPr>
              <w:t>Baldia</w:t>
            </w:r>
            <w:proofErr w:type="spellEnd"/>
            <w:r w:rsidRPr="003B5CC9">
              <w:rPr>
                <w:rFonts w:eastAsiaTheme="minorEastAsia" w:cs="Arial"/>
                <w:iCs/>
                <w:sz w:val="16"/>
                <w:szCs w:val="16"/>
                <w:lang w:val="en-US"/>
              </w:rPr>
              <w:t xml:space="preserve"> et al., 2007</w:t>
            </w:r>
          </w:p>
        </w:tc>
      </w:tr>
      <w:tr w:rsidR="0095786E" w:rsidRPr="003B5CC9" w14:paraId="0A18BC42" w14:textId="77777777" w:rsidTr="004D1A0C">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24C02F77" w14:textId="77777777" w:rsidR="0095786E" w:rsidRPr="003B5CC9" w:rsidRDefault="00000000" w:rsidP="004D1A0C">
            <w:pPr>
              <w:jc w:val="center"/>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K</m:t>
                    </m:r>
                  </m:e>
                  <m:sub>
                    <m:r>
                      <m:rPr>
                        <m:sty m:val="bi"/>
                      </m:rPr>
                      <w:rPr>
                        <w:rFonts w:ascii="Cambria Math" w:eastAsiaTheme="minorEastAsia" w:hAnsi="Cambria Math" w:cs="Arial"/>
                        <w:szCs w:val="18"/>
                        <w:lang w:val="en-US"/>
                      </w:rPr>
                      <m:t>TIP</m:t>
                    </m:r>
                  </m:sub>
                </m:sSub>
              </m:oMath>
            </m:oMathPara>
          </w:p>
        </w:tc>
        <w:tc>
          <w:tcPr>
            <w:tcW w:w="1452" w:type="pct"/>
            <w:shd w:val="clear" w:color="auto" w:fill="auto"/>
            <w:vAlign w:val="center"/>
          </w:tcPr>
          <w:p w14:paraId="7BE9B2B5" w14:textId="77777777" w:rsidR="0095786E" w:rsidRPr="003B5CC9" w:rsidRDefault="00000000"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
                <w:szCs w:val="18"/>
                <w:lang w:val="en-US"/>
              </w:rPr>
            </w:pPr>
            <m:oMathPara>
              <m:oMath>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 xml:space="preserve">9.04 </m:t>
                    </m:r>
                    <m:r>
                      <w:rPr>
                        <w:rFonts w:ascii="Cambria Math" w:eastAsiaTheme="minorEastAsia" w:hAnsi="Cambria Math" w:cs="Calibri"/>
                        <w:szCs w:val="18"/>
                        <w:lang w:val="en-US"/>
                      </w:rPr>
                      <m:t>×</m:t>
                    </m:r>
                    <m:r>
                      <w:rPr>
                        <w:rFonts w:ascii="Cambria Math" w:eastAsiaTheme="minorEastAsia" w:hAnsi="Cambria Math" w:cs="Arial"/>
                        <w:szCs w:val="18"/>
                        <w:lang w:val="en-US"/>
                      </w:rPr>
                      <m:t xml:space="preserve"> 10</m:t>
                    </m:r>
                  </m:e>
                  <m:sup>
                    <m:r>
                      <w:rPr>
                        <w:rFonts w:ascii="Cambria Math" w:eastAsiaTheme="minorEastAsia" w:hAnsi="Cambria Math" w:cs="Arial"/>
                        <w:szCs w:val="18"/>
                        <w:lang w:val="en-US"/>
                      </w:rPr>
                      <m:t>-7</m:t>
                    </m:r>
                  </m:sup>
                </m:sSup>
              </m:oMath>
            </m:oMathPara>
          </w:p>
        </w:tc>
        <w:tc>
          <w:tcPr>
            <w:tcW w:w="806" w:type="pct"/>
            <w:shd w:val="clear" w:color="auto" w:fill="auto"/>
            <w:vAlign w:val="center"/>
          </w:tcPr>
          <w:p w14:paraId="4F79B8B9" w14:textId="77777777" w:rsidR="0095786E" w:rsidRPr="00200112"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Cs w:val="18"/>
                <w:lang w:val="en-US"/>
              </w:rPr>
            </w:pPr>
            <m:oMathPara>
              <m:oMath>
                <m:r>
                  <m:rPr>
                    <m:sty m:val="p"/>
                  </m:rPr>
                  <w:rPr>
                    <w:rFonts w:ascii="Cambria Math" w:eastAsiaTheme="minorEastAsia" w:hAnsi="Cambria Math" w:cs="Arial"/>
                    <w:szCs w:val="18"/>
                    <w:lang w:val="en-US"/>
                  </w:rPr>
                  <m:t xml:space="preserve">mol </m:t>
                </m:r>
                <m:sSup>
                  <m:sSupPr>
                    <m:ctrlPr>
                      <w:rPr>
                        <w:rFonts w:ascii="Cambria Math" w:eastAsiaTheme="minorEastAsia" w:hAnsi="Cambria Math" w:cs="Arial"/>
                        <w:iCs/>
                        <w:szCs w:val="18"/>
                        <w:lang w:val="en-US"/>
                      </w:rPr>
                    </m:ctrlPr>
                  </m:sSupPr>
                  <m:e>
                    <m:r>
                      <w:rPr>
                        <w:rFonts w:ascii="Cambria Math" w:eastAsiaTheme="minorEastAsia" w:hAnsi="Cambria Math" w:cs="Arial"/>
                        <w:szCs w:val="18"/>
                        <w:lang w:val="en-US"/>
                      </w:rPr>
                      <m:t>L</m:t>
                    </m:r>
                  </m:e>
                  <m:sup>
                    <m:r>
                      <m:rPr>
                        <m:sty m:val="p"/>
                      </m:rPr>
                      <w:rPr>
                        <w:rFonts w:ascii="Cambria Math" w:eastAsiaTheme="minorEastAsia" w:hAnsi="Cambria Math" w:cs="Arial"/>
                        <w:szCs w:val="18"/>
                        <w:lang w:val="en-US"/>
                      </w:rPr>
                      <m:t>-1</m:t>
                    </m:r>
                  </m:sup>
                </m:sSup>
              </m:oMath>
            </m:oMathPara>
          </w:p>
        </w:tc>
        <w:tc>
          <w:tcPr>
            <w:tcW w:w="1774" w:type="pct"/>
            <w:shd w:val="clear" w:color="auto" w:fill="auto"/>
            <w:vAlign w:val="center"/>
          </w:tcPr>
          <w:p w14:paraId="0BB06B80" w14:textId="77777777" w:rsidR="0095786E" w:rsidRPr="003B5CC9"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 w:val="16"/>
                <w:szCs w:val="16"/>
                <w:lang w:val="en-US"/>
              </w:rPr>
            </w:pPr>
            <w:proofErr w:type="spellStart"/>
            <w:r w:rsidRPr="003B5CC9">
              <w:rPr>
                <w:rFonts w:eastAsiaTheme="minorEastAsia" w:cs="Arial"/>
                <w:iCs/>
                <w:sz w:val="16"/>
                <w:szCs w:val="16"/>
                <w:lang w:val="en-US"/>
              </w:rPr>
              <w:t>Baldia</w:t>
            </w:r>
            <w:proofErr w:type="spellEnd"/>
            <w:r w:rsidRPr="003B5CC9">
              <w:rPr>
                <w:rFonts w:eastAsiaTheme="minorEastAsia" w:cs="Arial"/>
                <w:iCs/>
                <w:sz w:val="16"/>
                <w:szCs w:val="16"/>
                <w:lang w:val="en-US"/>
              </w:rPr>
              <w:t xml:space="preserve"> et al., 2007</w:t>
            </w:r>
          </w:p>
        </w:tc>
      </w:tr>
      <w:tr w:rsidR="0095786E" w:rsidRPr="003B5CC9" w14:paraId="134C9121" w14:textId="77777777" w:rsidTr="004D1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71FAF0A3" w14:textId="77777777" w:rsidR="0095786E" w:rsidRPr="003B5CC9" w:rsidRDefault="00000000" w:rsidP="004D1A0C">
            <w:pPr>
              <w:jc w:val="center"/>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X</m:t>
                    </m:r>
                  </m:e>
                  <m:sub>
                    <m:r>
                      <m:rPr>
                        <m:sty m:val="bi"/>
                      </m:rPr>
                      <w:rPr>
                        <w:rFonts w:ascii="Cambria Math" w:eastAsiaTheme="minorEastAsia" w:hAnsi="Cambria Math" w:cs="Arial"/>
                        <w:szCs w:val="18"/>
                        <w:lang w:val="en-US"/>
                      </w:rPr>
                      <m:t>0</m:t>
                    </m:r>
                  </m:sub>
                </m:sSub>
              </m:oMath>
            </m:oMathPara>
          </w:p>
        </w:tc>
        <w:tc>
          <w:tcPr>
            <w:tcW w:w="1452" w:type="pct"/>
            <w:shd w:val="clear" w:color="auto" w:fill="auto"/>
            <w:vAlign w:val="center"/>
          </w:tcPr>
          <w:p w14:paraId="42EE940D" w14:textId="77777777" w:rsidR="0095786E" w:rsidRPr="003B5CC9" w:rsidRDefault="0095786E"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
                <w:szCs w:val="18"/>
                <w:lang w:val="en-US"/>
              </w:rPr>
            </w:pPr>
            <m:oMathPara>
              <m:oMath>
                <m:r>
                  <w:rPr>
                    <w:rFonts w:ascii="Cambria Math" w:eastAsiaTheme="minorEastAsia" w:hAnsi="Cambria Math" w:cs="Arial"/>
                    <w:szCs w:val="18"/>
                    <w:lang w:val="en-US"/>
                  </w:rPr>
                  <m:t xml:space="preserve">1.25 </m:t>
                </m:r>
                <m:r>
                  <w:rPr>
                    <w:rFonts w:ascii="Cambria Math" w:eastAsiaTheme="minorEastAsia" w:hAnsi="Cambria Math" w:cs="Calibri"/>
                    <w:szCs w:val="18"/>
                    <w:lang w:val="en-US"/>
                  </w:rPr>
                  <m:t xml:space="preserve">× </m:t>
                </m:r>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10</m:t>
                    </m:r>
                  </m:e>
                  <m:sup>
                    <m:r>
                      <w:rPr>
                        <w:rFonts w:ascii="Cambria Math" w:eastAsiaTheme="minorEastAsia" w:hAnsi="Cambria Math" w:cs="Arial"/>
                        <w:szCs w:val="18"/>
                        <w:lang w:val="en-US"/>
                      </w:rPr>
                      <m:t>-1</m:t>
                    </m:r>
                  </m:sup>
                </m:sSup>
              </m:oMath>
            </m:oMathPara>
          </w:p>
        </w:tc>
        <w:tc>
          <w:tcPr>
            <w:tcW w:w="806" w:type="pct"/>
            <w:shd w:val="clear" w:color="auto" w:fill="auto"/>
            <w:vAlign w:val="center"/>
          </w:tcPr>
          <w:p w14:paraId="55B293DC" w14:textId="77777777" w:rsidR="0095786E" w:rsidRPr="00200112" w:rsidRDefault="00000000"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szCs w:val="18"/>
                <w:lang w:val="en-US"/>
              </w:rPr>
            </w:pPr>
            <m:oMathPara>
              <m:oMath>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g L</m:t>
                    </m:r>
                  </m:e>
                  <m:sup>
                    <m:r>
                      <m:rPr>
                        <m:sty m:val="p"/>
                      </m:rPr>
                      <w:rPr>
                        <w:rFonts w:ascii="Cambria Math" w:eastAsiaTheme="minorEastAsia" w:hAnsi="Cambria Math" w:cs="Arial"/>
                        <w:szCs w:val="18"/>
                        <w:lang w:val="en-US"/>
                      </w:rPr>
                      <m:t>-1</m:t>
                    </m:r>
                  </m:sup>
                </m:sSup>
              </m:oMath>
            </m:oMathPara>
          </w:p>
        </w:tc>
        <w:tc>
          <w:tcPr>
            <w:tcW w:w="1774" w:type="pct"/>
            <w:shd w:val="clear" w:color="auto" w:fill="auto"/>
            <w:vAlign w:val="center"/>
          </w:tcPr>
          <w:p w14:paraId="3EDF304B" w14:textId="77777777" w:rsidR="0095786E" w:rsidRPr="003B5CC9" w:rsidRDefault="0095786E"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sz w:val="16"/>
                <w:szCs w:val="16"/>
                <w:lang w:val="en-US"/>
              </w:rPr>
            </w:pPr>
            <w:r w:rsidRPr="003B5CC9">
              <w:rPr>
                <w:rFonts w:eastAsia="AdvGulliv-R" w:cs="Arial"/>
                <w:sz w:val="16"/>
                <w:szCs w:val="16"/>
                <w:lang w:val="en-US"/>
              </w:rPr>
              <w:t>Measured</w:t>
            </w:r>
          </w:p>
        </w:tc>
      </w:tr>
      <w:tr w:rsidR="0095786E" w:rsidRPr="003B5CC9" w14:paraId="292D7B99" w14:textId="77777777" w:rsidTr="004D1A0C">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7B685755" w14:textId="77777777" w:rsidR="0095786E" w:rsidRPr="003B5CC9" w:rsidRDefault="00000000" w:rsidP="004D1A0C">
            <w:pPr>
              <w:jc w:val="center"/>
              <w:rPr>
                <w:rFonts w:eastAsiaTheme="minorEastAsia" w:cs="Arial"/>
                <w:b w:val="0"/>
                <w:bCs w:val="0"/>
                <w:i/>
                <w:szCs w:val="18"/>
                <w:lang w:val="en-US"/>
              </w:rPr>
            </w:pPr>
            <m:oMathPara>
              <m:oMath>
                <m:sSub>
                  <m:sSubPr>
                    <m:ctrlPr>
                      <w:rPr>
                        <w:rFonts w:ascii="Cambria Math" w:hAnsi="Cambria Math" w:cs="Arial"/>
                        <w:b w:val="0"/>
                        <w:bCs w:val="0"/>
                        <w:i/>
                        <w:szCs w:val="18"/>
                        <w:lang w:val="en-US"/>
                      </w:rPr>
                    </m:ctrlPr>
                  </m:sSubPr>
                  <m:e>
                    <m:r>
                      <m:rPr>
                        <m:sty m:val="bi"/>
                      </m:rPr>
                      <w:rPr>
                        <w:rFonts w:ascii="Cambria Math" w:hAnsi="Cambria Math" w:cs="Arial"/>
                        <w:szCs w:val="18"/>
                        <w:lang w:val="en-US"/>
                      </w:rPr>
                      <m:t>μ</m:t>
                    </m:r>
                  </m:e>
                  <m:sub>
                    <m:r>
                      <m:rPr>
                        <m:sty m:val="bi"/>
                      </m:rPr>
                      <w:rPr>
                        <w:rFonts w:ascii="Cambria Math" w:hAnsi="Cambria Math" w:cs="Arial"/>
                        <w:szCs w:val="18"/>
                        <w:lang w:val="en-US"/>
                      </w:rPr>
                      <m:t>max</m:t>
                    </m:r>
                  </m:sub>
                </m:sSub>
              </m:oMath>
            </m:oMathPara>
          </w:p>
        </w:tc>
        <w:tc>
          <w:tcPr>
            <w:tcW w:w="1452" w:type="pct"/>
            <w:shd w:val="clear" w:color="auto" w:fill="auto"/>
            <w:vAlign w:val="center"/>
          </w:tcPr>
          <w:p w14:paraId="6CEB487E" w14:textId="77777777" w:rsidR="0095786E" w:rsidRPr="003B5CC9"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
                <w:szCs w:val="18"/>
                <w:lang w:val="en-US"/>
              </w:rPr>
            </w:pPr>
            <m:oMathPara>
              <m:oMath>
                <m:r>
                  <w:rPr>
                    <w:rFonts w:ascii="Cambria Math" w:eastAsiaTheme="minorEastAsia" w:hAnsi="Cambria Math" w:cs="Arial"/>
                    <w:szCs w:val="18"/>
                    <w:lang w:val="en-US"/>
                  </w:rPr>
                  <m:t xml:space="preserve">1.00 </m:t>
                </m:r>
                <m:r>
                  <w:rPr>
                    <w:rFonts w:ascii="Cambria Math" w:eastAsiaTheme="minorEastAsia" w:hAnsi="Cambria Math" w:cs="Calibri"/>
                    <w:szCs w:val="18"/>
                    <w:lang w:val="en-US"/>
                  </w:rPr>
                  <m:t>×</m:t>
                </m:r>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10</m:t>
                    </m:r>
                  </m:e>
                  <m:sup>
                    <m:r>
                      <w:rPr>
                        <w:rFonts w:ascii="Cambria Math" w:eastAsiaTheme="minorEastAsia" w:hAnsi="Cambria Math" w:cs="Arial"/>
                        <w:szCs w:val="18"/>
                        <w:lang w:val="en-US"/>
                      </w:rPr>
                      <m:t>-2</m:t>
                    </m:r>
                  </m:sup>
                </m:sSup>
              </m:oMath>
            </m:oMathPara>
          </w:p>
        </w:tc>
        <w:tc>
          <w:tcPr>
            <w:tcW w:w="806" w:type="pct"/>
            <w:shd w:val="clear" w:color="auto" w:fill="auto"/>
            <w:vAlign w:val="center"/>
          </w:tcPr>
          <w:p w14:paraId="19490A47" w14:textId="77777777" w:rsidR="0095786E" w:rsidRPr="00200112" w:rsidRDefault="00000000"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Cs w:val="18"/>
                <w:lang w:val="en-US"/>
              </w:rPr>
            </w:pPr>
            <m:oMathPara>
              <m:oMath>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hr</m:t>
                    </m:r>
                  </m:e>
                  <m:sup>
                    <m:r>
                      <m:rPr>
                        <m:sty m:val="p"/>
                      </m:rPr>
                      <w:rPr>
                        <w:rFonts w:ascii="Cambria Math" w:eastAsiaTheme="minorEastAsia" w:hAnsi="Cambria Math" w:cs="Arial"/>
                        <w:szCs w:val="18"/>
                        <w:lang w:val="en-US"/>
                      </w:rPr>
                      <m:t>-1</m:t>
                    </m:r>
                  </m:sup>
                </m:sSup>
              </m:oMath>
            </m:oMathPara>
          </w:p>
        </w:tc>
        <w:tc>
          <w:tcPr>
            <w:tcW w:w="1774" w:type="pct"/>
            <w:shd w:val="clear" w:color="auto" w:fill="auto"/>
            <w:vAlign w:val="center"/>
          </w:tcPr>
          <w:p w14:paraId="221C0D0D" w14:textId="77777777" w:rsidR="0095786E" w:rsidRPr="003B5CC9"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 w:val="16"/>
                <w:szCs w:val="16"/>
                <w:lang w:val="en-US"/>
              </w:rPr>
            </w:pPr>
            <w:proofErr w:type="spellStart"/>
            <w:r w:rsidRPr="003B5CC9">
              <w:rPr>
                <w:rFonts w:eastAsiaTheme="minorEastAsia" w:cs="Arial"/>
                <w:iCs/>
                <w:color w:val="000000"/>
                <w:sz w:val="16"/>
                <w:szCs w:val="16"/>
                <w:lang w:val="en-US"/>
              </w:rPr>
              <w:t>Jeffryes</w:t>
            </w:r>
            <w:proofErr w:type="spellEnd"/>
            <w:r w:rsidRPr="003B5CC9">
              <w:rPr>
                <w:rFonts w:eastAsiaTheme="minorEastAsia" w:cs="Arial"/>
                <w:iCs/>
                <w:color w:val="000000"/>
                <w:sz w:val="16"/>
                <w:szCs w:val="16"/>
                <w:lang w:val="en-US"/>
              </w:rPr>
              <w:t xml:space="preserve"> et al., 2013</w:t>
            </w:r>
          </w:p>
        </w:tc>
      </w:tr>
      <w:tr w:rsidR="0095786E" w:rsidRPr="003B5CC9" w14:paraId="255878A2" w14:textId="77777777" w:rsidTr="004D1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50EB682F" w14:textId="77777777" w:rsidR="0095786E" w:rsidRPr="003B5CC9" w:rsidRDefault="00000000" w:rsidP="004D1A0C">
            <w:pPr>
              <w:jc w:val="center"/>
              <w:rPr>
                <w:rFonts w:eastAsia="Calibri" w:cs="Arial"/>
                <w:b w:val="0"/>
                <w:bCs w:val="0"/>
                <w:szCs w:val="18"/>
                <w:lang w:val="en-US"/>
              </w:rPr>
            </w:pPr>
            <m:oMathPara>
              <m:oMath>
                <m:sSub>
                  <m:sSubPr>
                    <m:ctrlPr>
                      <w:rPr>
                        <w:rFonts w:ascii="Cambria Math" w:hAnsi="Cambria Math" w:cs="Arial"/>
                        <w:b w:val="0"/>
                        <w:bCs w:val="0"/>
                        <w:i/>
                        <w:szCs w:val="18"/>
                        <w:lang w:val="en-US"/>
                      </w:rPr>
                    </m:ctrlPr>
                  </m:sSubPr>
                  <m:e>
                    <m:r>
                      <m:rPr>
                        <m:sty m:val="bi"/>
                      </m:rPr>
                      <w:rPr>
                        <w:rFonts w:ascii="Cambria Math" w:hAnsi="Cambria Math" w:cs="Arial"/>
                        <w:szCs w:val="18"/>
                        <w:lang w:val="en-US"/>
                      </w:rPr>
                      <m:t>μ</m:t>
                    </m:r>
                  </m:e>
                  <m:sub>
                    <m:r>
                      <m:rPr>
                        <m:sty m:val="bi"/>
                      </m:rPr>
                      <w:rPr>
                        <w:rFonts w:ascii="Cambria Math" w:hAnsi="Cambria Math" w:cs="Arial"/>
                        <w:szCs w:val="18"/>
                        <w:lang w:val="en-US"/>
                      </w:rPr>
                      <m:t>d</m:t>
                    </m:r>
                  </m:sub>
                </m:sSub>
              </m:oMath>
            </m:oMathPara>
          </w:p>
        </w:tc>
        <w:tc>
          <w:tcPr>
            <w:tcW w:w="1452" w:type="pct"/>
            <w:shd w:val="clear" w:color="auto" w:fill="auto"/>
            <w:vAlign w:val="center"/>
          </w:tcPr>
          <w:p w14:paraId="7208B77A" w14:textId="77777777" w:rsidR="0095786E" w:rsidRPr="003B5CC9" w:rsidRDefault="0095786E"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
                <w:szCs w:val="18"/>
                <w:lang w:val="en-US"/>
              </w:rPr>
            </w:pPr>
            <m:oMathPara>
              <m:oMath>
                <m:r>
                  <w:rPr>
                    <w:rFonts w:ascii="Cambria Math" w:eastAsiaTheme="minorEastAsia" w:hAnsi="Cambria Math" w:cs="Arial"/>
                    <w:szCs w:val="18"/>
                    <w:lang w:val="en-US"/>
                  </w:rPr>
                  <m:t xml:space="preserve">1.00 </m:t>
                </m:r>
                <m:r>
                  <w:rPr>
                    <w:rFonts w:ascii="Cambria Math" w:eastAsiaTheme="minorEastAsia" w:hAnsi="Cambria Math" w:cs="Calibri"/>
                    <w:szCs w:val="18"/>
                    <w:lang w:val="en-US"/>
                  </w:rPr>
                  <m:t>×</m:t>
                </m:r>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10</m:t>
                    </m:r>
                  </m:e>
                  <m:sup>
                    <m:r>
                      <w:rPr>
                        <w:rFonts w:ascii="Cambria Math" w:eastAsiaTheme="minorEastAsia" w:hAnsi="Cambria Math" w:cs="Arial"/>
                        <w:szCs w:val="18"/>
                        <w:lang w:val="en-US"/>
                      </w:rPr>
                      <m:t>-5</m:t>
                    </m:r>
                  </m:sup>
                </m:sSup>
              </m:oMath>
            </m:oMathPara>
          </w:p>
        </w:tc>
        <w:tc>
          <w:tcPr>
            <w:tcW w:w="806" w:type="pct"/>
            <w:shd w:val="clear" w:color="auto" w:fill="auto"/>
            <w:vAlign w:val="center"/>
          </w:tcPr>
          <w:p w14:paraId="5373AC72" w14:textId="77777777" w:rsidR="0095786E" w:rsidRPr="00200112" w:rsidRDefault="00000000"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szCs w:val="18"/>
                <w:lang w:val="en-US"/>
              </w:rPr>
            </w:pPr>
            <m:oMathPara>
              <m:oMath>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hr</m:t>
                    </m:r>
                  </m:e>
                  <m:sup>
                    <m:r>
                      <m:rPr>
                        <m:sty m:val="p"/>
                      </m:rPr>
                      <w:rPr>
                        <w:rFonts w:ascii="Cambria Math" w:eastAsiaTheme="minorEastAsia" w:hAnsi="Cambria Math" w:cs="Arial"/>
                        <w:szCs w:val="18"/>
                        <w:lang w:val="en-US"/>
                      </w:rPr>
                      <m:t>-1</m:t>
                    </m:r>
                  </m:sup>
                </m:sSup>
              </m:oMath>
            </m:oMathPara>
          </w:p>
        </w:tc>
        <w:tc>
          <w:tcPr>
            <w:tcW w:w="1774" w:type="pct"/>
            <w:shd w:val="clear" w:color="auto" w:fill="auto"/>
            <w:vAlign w:val="center"/>
          </w:tcPr>
          <w:p w14:paraId="17AB6543" w14:textId="77777777" w:rsidR="0095786E" w:rsidRPr="003B5CC9" w:rsidRDefault="0095786E"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sz w:val="16"/>
                <w:szCs w:val="16"/>
                <w:lang w:val="en-US"/>
              </w:rPr>
            </w:pPr>
            <w:r w:rsidRPr="003B5CC9">
              <w:rPr>
                <w:rFonts w:eastAsiaTheme="minorEastAsia" w:cs="Arial"/>
                <w:iCs/>
                <w:color w:val="000000"/>
                <w:sz w:val="16"/>
                <w:szCs w:val="16"/>
                <w:lang w:val="en-US"/>
              </w:rPr>
              <w:t>Concas et al., 2013</w:t>
            </w:r>
          </w:p>
        </w:tc>
      </w:tr>
      <w:tr w:rsidR="0095786E" w:rsidRPr="003B5CC9" w14:paraId="50FE4563" w14:textId="77777777" w:rsidTr="004D1A0C">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4E18A8A8" w14:textId="77777777" w:rsidR="0095786E" w:rsidRPr="003B5CC9" w:rsidRDefault="00000000" w:rsidP="004D1A0C">
            <w:pPr>
              <w:jc w:val="center"/>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Y</m:t>
                    </m:r>
                  </m:e>
                  <m:sub>
                    <m:r>
                      <m:rPr>
                        <m:sty m:val="bi"/>
                      </m:rPr>
                      <w:rPr>
                        <w:rFonts w:ascii="Cambria Math" w:eastAsiaTheme="minorEastAsia" w:hAnsi="Cambria Math" w:cs="Arial"/>
                        <w:szCs w:val="18"/>
                        <w:lang w:val="en-US"/>
                      </w:rPr>
                      <m:t>TIC</m:t>
                    </m:r>
                  </m:sub>
                </m:sSub>
              </m:oMath>
            </m:oMathPara>
          </w:p>
        </w:tc>
        <w:tc>
          <w:tcPr>
            <w:tcW w:w="1452" w:type="pct"/>
            <w:shd w:val="clear" w:color="auto" w:fill="auto"/>
            <w:vAlign w:val="center"/>
          </w:tcPr>
          <w:p w14:paraId="230B0BA7" w14:textId="77777777" w:rsidR="0095786E" w:rsidRPr="003B5CC9"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
                <w:szCs w:val="18"/>
                <w:lang w:val="en-US"/>
              </w:rPr>
            </w:pPr>
            <m:oMathPara>
              <m:oMath>
                <m:r>
                  <w:rPr>
                    <w:rFonts w:ascii="Cambria Math" w:eastAsiaTheme="minorEastAsia" w:hAnsi="Cambria Math" w:cs="Arial"/>
                    <w:szCs w:val="18"/>
                    <w:lang w:val="en-US"/>
                  </w:rPr>
                  <m:t xml:space="preserve">3.70 </m:t>
                </m:r>
                <m:r>
                  <w:rPr>
                    <w:rFonts w:ascii="Cambria Math" w:eastAsiaTheme="minorEastAsia" w:hAnsi="Cambria Math" w:cs="Calibri"/>
                    <w:szCs w:val="18"/>
                    <w:lang w:val="en-US"/>
                  </w:rPr>
                  <m:t>×</m:t>
                </m:r>
                <m:sSup>
                  <m:sSupPr>
                    <m:ctrlPr>
                      <w:rPr>
                        <w:rFonts w:ascii="Cambria Math" w:eastAsiaTheme="minorEastAsia" w:hAnsi="Cambria Math" w:cs="Arial"/>
                        <w:i/>
                        <w:szCs w:val="18"/>
                        <w:lang w:val="en-US"/>
                      </w:rPr>
                    </m:ctrlPr>
                  </m:sSupPr>
                  <m:e>
                    <m:r>
                      <w:rPr>
                        <w:rFonts w:ascii="Cambria Math" w:eastAsiaTheme="minorEastAsia" w:hAnsi="Cambria Math" w:cs="Arial"/>
                        <w:szCs w:val="18"/>
                        <w:lang w:val="en-US"/>
                      </w:rPr>
                      <m:t>10</m:t>
                    </m:r>
                  </m:e>
                  <m:sup>
                    <m:r>
                      <w:rPr>
                        <w:rFonts w:ascii="Cambria Math" w:eastAsiaTheme="minorEastAsia" w:hAnsi="Cambria Math" w:cs="Arial"/>
                        <w:szCs w:val="18"/>
                        <w:lang w:val="en-US"/>
                      </w:rPr>
                      <m:t>-2</m:t>
                    </m:r>
                  </m:sup>
                </m:sSup>
              </m:oMath>
            </m:oMathPara>
          </w:p>
        </w:tc>
        <w:tc>
          <w:tcPr>
            <w:tcW w:w="806" w:type="pct"/>
            <w:shd w:val="clear" w:color="auto" w:fill="auto"/>
            <w:vAlign w:val="center"/>
          </w:tcPr>
          <w:p w14:paraId="79CAB83E" w14:textId="77777777" w:rsidR="0095786E" w:rsidRPr="00200112"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Cs w:val="18"/>
                <w:lang w:val="en-US"/>
              </w:rPr>
            </w:pPr>
            <m:oMathPara>
              <m:oMath>
                <m:r>
                  <m:rPr>
                    <m:sty m:val="p"/>
                  </m:rPr>
                  <w:rPr>
                    <w:rFonts w:ascii="Cambria Math" w:eastAsiaTheme="minorEastAsia" w:hAnsi="Cambria Math" w:cs="Arial"/>
                    <w:szCs w:val="18"/>
                    <w:lang w:val="en-US"/>
                  </w:rPr>
                  <m:t xml:space="preserve">mol </m:t>
                </m:r>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g</m:t>
                    </m:r>
                  </m:e>
                  <m:sup>
                    <m:r>
                      <m:rPr>
                        <m:sty m:val="p"/>
                      </m:rPr>
                      <w:rPr>
                        <w:rFonts w:ascii="Cambria Math" w:eastAsiaTheme="minorEastAsia" w:hAnsi="Cambria Math" w:cs="Arial"/>
                        <w:szCs w:val="18"/>
                        <w:lang w:val="en-US"/>
                      </w:rPr>
                      <m:t>-1</m:t>
                    </m:r>
                  </m:sup>
                </m:sSup>
              </m:oMath>
            </m:oMathPara>
          </w:p>
        </w:tc>
        <w:tc>
          <w:tcPr>
            <w:tcW w:w="1774" w:type="pct"/>
            <w:shd w:val="clear" w:color="auto" w:fill="auto"/>
            <w:vAlign w:val="center"/>
          </w:tcPr>
          <w:p w14:paraId="710B13AA" w14:textId="77777777" w:rsidR="0095786E" w:rsidRPr="003B5CC9"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 w:val="16"/>
                <w:szCs w:val="16"/>
                <w:lang w:val="en-US"/>
              </w:rPr>
            </w:pPr>
            <w:r w:rsidRPr="003B5CC9">
              <w:rPr>
                <w:rFonts w:eastAsiaTheme="minorEastAsia" w:cs="Arial"/>
                <w:iCs/>
                <w:sz w:val="16"/>
                <w:szCs w:val="16"/>
                <w:lang w:val="en-US"/>
              </w:rPr>
              <w:t>Cornet et al., 1992</w:t>
            </w:r>
          </w:p>
        </w:tc>
      </w:tr>
      <w:tr w:rsidR="0095786E" w:rsidRPr="003B5CC9" w14:paraId="78E50A8B" w14:textId="77777777" w:rsidTr="004D1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pct"/>
            <w:tcBorders>
              <w:right w:val="none" w:sz="0" w:space="0" w:color="auto"/>
            </w:tcBorders>
            <w:shd w:val="clear" w:color="auto" w:fill="auto"/>
            <w:vAlign w:val="center"/>
          </w:tcPr>
          <w:p w14:paraId="45B8BEB5" w14:textId="7A4F61AE" w:rsidR="0095786E" w:rsidRPr="003B5CC9" w:rsidRDefault="00000000" w:rsidP="004D1A0C">
            <w:pPr>
              <w:jc w:val="center"/>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Y</m:t>
                    </m:r>
                  </m:e>
                  <m:sub>
                    <m:r>
                      <m:rPr>
                        <m:sty m:val="bi"/>
                      </m:rPr>
                      <w:rPr>
                        <w:rFonts w:ascii="Cambria Math" w:eastAsiaTheme="minorEastAsia" w:hAnsi="Cambria Math" w:cs="Arial"/>
                        <w:szCs w:val="18"/>
                        <w:lang w:val="en-US"/>
                      </w:rPr>
                      <m:t>Alk</m:t>
                    </m:r>
                  </m:sub>
                </m:sSub>
              </m:oMath>
            </m:oMathPara>
          </w:p>
        </w:tc>
        <w:tc>
          <w:tcPr>
            <w:tcW w:w="1452" w:type="pct"/>
            <w:shd w:val="clear" w:color="auto" w:fill="auto"/>
            <w:vAlign w:val="center"/>
          </w:tcPr>
          <w:p w14:paraId="5B78F421" w14:textId="6CF0EBF2" w:rsidR="0095786E" w:rsidRPr="003B5CC9" w:rsidRDefault="00CC7977"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
                <w:szCs w:val="18"/>
                <w:lang w:val="en-US"/>
              </w:rPr>
            </w:pPr>
            <m:oMathPara>
              <m:oMath>
                <m:r>
                  <w:rPr>
                    <w:rFonts w:ascii="Cambria Math" w:eastAsiaTheme="minorEastAsia" w:hAnsi="Cambria Math" w:cs="Arial"/>
                    <w:szCs w:val="18"/>
                    <w:lang w:val="en-US"/>
                  </w:rPr>
                  <m:t>- 1.23</m:t>
                </m:r>
              </m:oMath>
            </m:oMathPara>
          </w:p>
        </w:tc>
        <w:tc>
          <w:tcPr>
            <w:tcW w:w="806" w:type="pct"/>
            <w:shd w:val="clear" w:color="auto" w:fill="auto"/>
            <w:vAlign w:val="center"/>
          </w:tcPr>
          <w:p w14:paraId="4A3A6FAD" w14:textId="76C8E99D" w:rsidR="0095786E" w:rsidRPr="00200112" w:rsidRDefault="00CC7977"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szCs w:val="18"/>
                <w:lang w:val="en-US"/>
              </w:rPr>
            </w:pPr>
            <m:oMathPara>
              <m:oMath>
                <m:r>
                  <m:rPr>
                    <m:sty m:val="p"/>
                  </m:rPr>
                  <w:rPr>
                    <w:rFonts w:ascii="Cambria Math" w:eastAsiaTheme="minorEastAsia" w:hAnsi="Cambria Math" w:cs="Arial"/>
                    <w:szCs w:val="18"/>
                    <w:lang w:val="en-US"/>
                  </w:rPr>
                  <m:t xml:space="preserve">mol </m:t>
                </m:r>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g</m:t>
                    </m:r>
                  </m:e>
                  <m:sup>
                    <m:r>
                      <m:rPr>
                        <m:sty m:val="p"/>
                      </m:rPr>
                      <w:rPr>
                        <w:rFonts w:ascii="Cambria Math" w:eastAsiaTheme="minorEastAsia" w:hAnsi="Cambria Math" w:cs="Arial"/>
                        <w:szCs w:val="18"/>
                        <w:lang w:val="en-US"/>
                      </w:rPr>
                      <m:t>-1</m:t>
                    </m:r>
                  </m:sup>
                </m:sSup>
              </m:oMath>
            </m:oMathPara>
          </w:p>
        </w:tc>
        <w:tc>
          <w:tcPr>
            <w:tcW w:w="1774" w:type="pct"/>
            <w:shd w:val="clear" w:color="auto" w:fill="auto"/>
            <w:vAlign w:val="center"/>
          </w:tcPr>
          <w:p w14:paraId="3EDB29F2" w14:textId="1DB5C1DD" w:rsidR="0095786E" w:rsidRPr="00CC7977" w:rsidRDefault="0095786E" w:rsidP="004D1A0C">
            <w:pPr>
              <w:jc w:val="center"/>
              <w:cnfStyle w:val="000000100000" w:firstRow="0" w:lastRow="0" w:firstColumn="0" w:lastColumn="0" w:oddVBand="0" w:evenVBand="0" w:oddHBand="1" w:evenHBand="0" w:firstRowFirstColumn="0" w:firstRowLastColumn="0" w:lastRowFirstColumn="0" w:lastRowLastColumn="0"/>
              <w:rPr>
                <w:rFonts w:eastAsiaTheme="minorEastAsia" w:cs="Arial"/>
                <w:iCs/>
                <w:color w:val="000000" w:themeColor="text1"/>
                <w:sz w:val="16"/>
                <w:szCs w:val="16"/>
                <w:lang w:val="en-US"/>
              </w:rPr>
            </w:pPr>
            <w:r w:rsidRPr="00CC7977">
              <w:rPr>
                <w:rFonts w:eastAsiaTheme="minorEastAsia" w:cs="Arial"/>
                <w:iCs/>
                <w:color w:val="000000" w:themeColor="text1"/>
                <w:sz w:val="16"/>
                <w:szCs w:val="16"/>
                <w:lang w:val="en-US"/>
              </w:rPr>
              <w:t xml:space="preserve">Tuned </w:t>
            </w:r>
          </w:p>
        </w:tc>
      </w:tr>
      <w:tr w:rsidR="0095786E" w:rsidRPr="003B5CC9" w14:paraId="47BCCC19" w14:textId="77777777" w:rsidTr="004D1A0C">
        <w:tc>
          <w:tcPr>
            <w:cnfStyle w:val="001000000000" w:firstRow="0" w:lastRow="0" w:firstColumn="1" w:lastColumn="0" w:oddVBand="0" w:evenVBand="0" w:oddHBand="0" w:evenHBand="0" w:firstRowFirstColumn="0" w:firstRowLastColumn="0" w:lastRowFirstColumn="0" w:lastRowLastColumn="0"/>
            <w:tcW w:w="968" w:type="pct"/>
            <w:tcBorders>
              <w:bottom w:val="single" w:sz="8" w:space="0" w:color="00B050"/>
              <w:right w:val="none" w:sz="0" w:space="0" w:color="auto"/>
            </w:tcBorders>
            <w:shd w:val="clear" w:color="auto" w:fill="auto"/>
            <w:vAlign w:val="center"/>
          </w:tcPr>
          <w:p w14:paraId="05D26A57" w14:textId="64446019" w:rsidR="0095786E" w:rsidRPr="003B5CC9" w:rsidRDefault="00000000" w:rsidP="004D1A0C">
            <w:pPr>
              <w:jc w:val="center"/>
              <w:rPr>
                <w:rFonts w:eastAsia="Calibri" w:cs="Arial"/>
                <w:b w:val="0"/>
                <w:bCs w:val="0"/>
                <w:szCs w:val="18"/>
                <w:lang w:val="en-US"/>
              </w:rPr>
            </w:pPr>
            <m:oMathPara>
              <m:oMath>
                <m:sSub>
                  <m:sSubPr>
                    <m:ctrlPr>
                      <w:rPr>
                        <w:rFonts w:ascii="Cambria Math" w:eastAsiaTheme="minorEastAsia" w:hAnsi="Cambria Math" w:cs="Arial"/>
                        <w:b w:val="0"/>
                        <w:bCs w:val="0"/>
                        <w:i/>
                        <w:szCs w:val="18"/>
                        <w:lang w:val="en-US"/>
                      </w:rPr>
                    </m:ctrlPr>
                  </m:sSubPr>
                  <m:e>
                    <m:r>
                      <m:rPr>
                        <m:sty m:val="bi"/>
                      </m:rPr>
                      <w:rPr>
                        <w:rFonts w:ascii="Cambria Math" w:eastAsiaTheme="minorEastAsia" w:hAnsi="Cambria Math" w:cs="Arial"/>
                        <w:szCs w:val="18"/>
                        <w:lang w:val="en-US"/>
                      </w:rPr>
                      <m:t>Y</m:t>
                    </m:r>
                  </m:e>
                  <m:sub>
                    <m:r>
                      <m:rPr>
                        <m:sty m:val="bi"/>
                      </m:rPr>
                      <w:rPr>
                        <w:rFonts w:ascii="Cambria Math" w:eastAsiaTheme="minorEastAsia" w:hAnsi="Cambria Math" w:cs="Arial"/>
                        <w:szCs w:val="18"/>
                        <w:lang w:val="en-US"/>
                      </w:rPr>
                      <m:t>TIP</m:t>
                    </m:r>
                  </m:sub>
                </m:sSub>
              </m:oMath>
            </m:oMathPara>
          </w:p>
        </w:tc>
        <w:tc>
          <w:tcPr>
            <w:tcW w:w="1452" w:type="pct"/>
            <w:tcBorders>
              <w:bottom w:val="single" w:sz="8" w:space="0" w:color="00B050"/>
            </w:tcBorders>
            <w:shd w:val="clear" w:color="auto" w:fill="auto"/>
            <w:vAlign w:val="center"/>
          </w:tcPr>
          <w:p w14:paraId="7446382F" w14:textId="581FF6BC" w:rsidR="0095786E" w:rsidRPr="003B5CC9" w:rsidRDefault="00CC7977"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
                <w:szCs w:val="18"/>
                <w:lang w:val="en-US"/>
              </w:rPr>
            </w:pPr>
            <m:oMathPara>
              <m:oMath>
                <m:r>
                  <w:rPr>
                    <w:rFonts w:ascii="Cambria Math" w:eastAsiaTheme="minorEastAsia" w:hAnsi="Cambria Math" w:cs="Arial"/>
                    <w:szCs w:val="18"/>
                    <w:lang w:val="en-US"/>
                  </w:rPr>
                  <m:t xml:space="preserve">9.27 </m:t>
                </m:r>
                <m:sSup>
                  <m:sSupPr>
                    <m:ctrlPr>
                      <w:rPr>
                        <w:rFonts w:ascii="Cambria Math" w:eastAsiaTheme="minorEastAsia" w:hAnsi="Cambria Math" w:cs="Arial"/>
                        <w:i/>
                        <w:szCs w:val="18"/>
                        <w:lang w:val="en-US"/>
                      </w:rPr>
                    </m:ctrlPr>
                  </m:sSupPr>
                  <m:e>
                    <m:r>
                      <w:rPr>
                        <w:rFonts w:ascii="Cambria Math" w:eastAsiaTheme="minorEastAsia" w:hAnsi="Cambria Math" w:cs="Calibri"/>
                        <w:szCs w:val="18"/>
                        <w:lang w:val="en-US"/>
                      </w:rPr>
                      <m:t>×</m:t>
                    </m:r>
                    <m:r>
                      <w:rPr>
                        <w:rFonts w:ascii="Cambria Math" w:eastAsiaTheme="minorEastAsia" w:hAnsi="Cambria Math" w:cs="Arial"/>
                        <w:szCs w:val="18"/>
                        <w:lang w:val="en-US"/>
                      </w:rPr>
                      <m:t>10</m:t>
                    </m:r>
                  </m:e>
                  <m:sup>
                    <m:r>
                      <w:rPr>
                        <w:rFonts w:ascii="Cambria Math" w:eastAsiaTheme="minorEastAsia" w:hAnsi="Cambria Math" w:cs="Arial"/>
                        <w:szCs w:val="18"/>
                        <w:lang w:val="en-US"/>
                      </w:rPr>
                      <m:t>-5</m:t>
                    </m:r>
                  </m:sup>
                </m:sSup>
              </m:oMath>
            </m:oMathPara>
          </w:p>
        </w:tc>
        <w:tc>
          <w:tcPr>
            <w:tcW w:w="806" w:type="pct"/>
            <w:tcBorders>
              <w:bottom w:val="single" w:sz="8" w:space="0" w:color="00B050"/>
            </w:tcBorders>
            <w:shd w:val="clear" w:color="auto" w:fill="auto"/>
            <w:vAlign w:val="center"/>
          </w:tcPr>
          <w:p w14:paraId="44E66633" w14:textId="05E42D98" w:rsidR="0095786E" w:rsidRPr="00200112" w:rsidRDefault="00CC7977"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szCs w:val="18"/>
                <w:lang w:val="en-US"/>
              </w:rPr>
            </w:pPr>
            <m:oMathPara>
              <m:oMath>
                <m:r>
                  <m:rPr>
                    <m:sty m:val="p"/>
                  </m:rPr>
                  <w:rPr>
                    <w:rFonts w:ascii="Cambria Math" w:eastAsiaTheme="minorEastAsia" w:hAnsi="Cambria Math" w:cs="Arial"/>
                    <w:szCs w:val="18"/>
                    <w:lang w:val="en-US"/>
                  </w:rPr>
                  <m:t xml:space="preserve">mol </m:t>
                </m:r>
                <m:sSup>
                  <m:sSupPr>
                    <m:ctrlPr>
                      <w:rPr>
                        <w:rFonts w:ascii="Cambria Math" w:eastAsiaTheme="minorEastAsia" w:hAnsi="Cambria Math" w:cs="Arial"/>
                        <w:iCs/>
                        <w:szCs w:val="18"/>
                        <w:lang w:val="en-US"/>
                      </w:rPr>
                    </m:ctrlPr>
                  </m:sSupPr>
                  <m:e>
                    <m:r>
                      <m:rPr>
                        <m:sty m:val="p"/>
                      </m:rPr>
                      <w:rPr>
                        <w:rFonts w:ascii="Cambria Math" w:eastAsiaTheme="minorEastAsia" w:hAnsi="Cambria Math" w:cs="Arial"/>
                        <w:szCs w:val="18"/>
                        <w:lang w:val="en-US"/>
                      </w:rPr>
                      <m:t>g</m:t>
                    </m:r>
                  </m:e>
                  <m:sup>
                    <m:r>
                      <m:rPr>
                        <m:sty m:val="p"/>
                      </m:rPr>
                      <w:rPr>
                        <w:rFonts w:ascii="Cambria Math" w:eastAsiaTheme="minorEastAsia" w:hAnsi="Cambria Math" w:cs="Arial"/>
                        <w:szCs w:val="18"/>
                        <w:lang w:val="en-US"/>
                      </w:rPr>
                      <m:t>-1</m:t>
                    </m:r>
                  </m:sup>
                </m:sSup>
              </m:oMath>
            </m:oMathPara>
          </w:p>
        </w:tc>
        <w:tc>
          <w:tcPr>
            <w:tcW w:w="1774" w:type="pct"/>
            <w:tcBorders>
              <w:bottom w:val="single" w:sz="8" w:space="0" w:color="00B050"/>
            </w:tcBorders>
            <w:shd w:val="clear" w:color="auto" w:fill="auto"/>
            <w:vAlign w:val="center"/>
          </w:tcPr>
          <w:p w14:paraId="55EB8792" w14:textId="60DB041D" w:rsidR="0095786E" w:rsidRPr="00CC7977" w:rsidRDefault="0095786E" w:rsidP="004D1A0C">
            <w:pPr>
              <w:jc w:val="center"/>
              <w:cnfStyle w:val="000000000000" w:firstRow="0" w:lastRow="0" w:firstColumn="0" w:lastColumn="0" w:oddVBand="0" w:evenVBand="0" w:oddHBand="0" w:evenHBand="0" w:firstRowFirstColumn="0" w:firstRowLastColumn="0" w:lastRowFirstColumn="0" w:lastRowLastColumn="0"/>
              <w:rPr>
                <w:rFonts w:eastAsiaTheme="minorEastAsia" w:cs="Arial"/>
                <w:iCs/>
                <w:color w:val="000000" w:themeColor="text1"/>
                <w:sz w:val="16"/>
                <w:szCs w:val="16"/>
                <w:lang w:val="en-US"/>
              </w:rPr>
            </w:pPr>
            <w:r w:rsidRPr="00CC7977">
              <w:rPr>
                <w:rFonts w:eastAsiaTheme="minorEastAsia" w:cs="Arial"/>
                <w:iCs/>
                <w:color w:val="000000" w:themeColor="text1"/>
                <w:sz w:val="16"/>
                <w:szCs w:val="16"/>
                <w:lang w:val="en-US"/>
              </w:rPr>
              <w:t>Tuned</w:t>
            </w:r>
          </w:p>
        </w:tc>
      </w:tr>
    </w:tbl>
    <w:p w14:paraId="24AB5243" w14:textId="77777777" w:rsidR="0095786E" w:rsidRPr="0095786E" w:rsidRDefault="0095786E" w:rsidP="0095786E">
      <w:pPr>
        <w:rPr>
          <w:lang w:val="en-US"/>
        </w:rPr>
      </w:pPr>
    </w:p>
    <w:p w14:paraId="4880B9FC" w14:textId="330F6A3C" w:rsidR="00027514" w:rsidRDefault="00027514" w:rsidP="00D373D8">
      <w:pPr>
        <w:rPr>
          <w:rFonts w:cs="Arial"/>
          <w:szCs w:val="18"/>
          <w:lang w:val="en-US"/>
        </w:rPr>
      </w:pPr>
      <w:r>
        <w:rPr>
          <w:rFonts w:cs="Arial"/>
          <w:color w:val="000000"/>
          <w:szCs w:val="18"/>
          <w:lang w:val="en-US"/>
        </w:rPr>
        <w:t>A good matching between experimental and model results wa</w:t>
      </w:r>
      <w:r w:rsidRPr="00027514">
        <w:rPr>
          <w:rFonts w:cs="Arial"/>
          <w:color w:val="000000"/>
          <w:szCs w:val="18"/>
          <w:lang w:val="en-US"/>
        </w:rPr>
        <w:t xml:space="preserve">s obtained as </w:t>
      </w:r>
      <w:r w:rsidRPr="00027514">
        <w:rPr>
          <w:rFonts w:cs="Arial"/>
          <w:szCs w:val="18"/>
          <w:lang w:val="en-US"/>
        </w:rPr>
        <w:t>confirmed by the statistical values of R</w:t>
      </w:r>
      <w:r w:rsidRPr="00027514">
        <w:rPr>
          <w:rFonts w:cs="Arial"/>
          <w:szCs w:val="18"/>
          <w:vertAlign w:val="superscript"/>
          <w:lang w:val="en-US"/>
        </w:rPr>
        <w:t>2</w:t>
      </w:r>
      <w:r w:rsidRPr="00027514">
        <w:rPr>
          <w:rFonts w:cs="Arial"/>
          <w:szCs w:val="18"/>
          <w:vertAlign w:val="subscript"/>
          <w:lang w:val="en-US"/>
        </w:rPr>
        <w:t>adj</w:t>
      </w:r>
      <w:r w:rsidRPr="00027514">
        <w:rPr>
          <w:rFonts w:cs="Arial"/>
          <w:szCs w:val="18"/>
          <w:lang w:val="en-US"/>
        </w:rPr>
        <w:t xml:space="preserve"> = 0.9</w:t>
      </w:r>
      <w:r w:rsidR="00FC2812">
        <w:rPr>
          <w:rFonts w:cs="Arial"/>
          <w:szCs w:val="18"/>
          <w:lang w:val="en-US"/>
        </w:rPr>
        <w:t>54</w:t>
      </w:r>
      <w:r w:rsidRPr="00027514">
        <w:rPr>
          <w:rFonts w:cs="Arial"/>
          <w:szCs w:val="18"/>
          <w:lang w:val="en-US"/>
        </w:rPr>
        <w:t xml:space="preserve"> and MSE =</w:t>
      </w:r>
      <w:r w:rsidR="00FC2812">
        <w:rPr>
          <w:rFonts w:cs="Arial"/>
          <w:szCs w:val="18"/>
          <w:lang w:val="en-US"/>
        </w:rPr>
        <w:t>5</w:t>
      </w:r>
      <w:r>
        <w:rPr>
          <w:rFonts w:cs="Arial"/>
          <w:szCs w:val="18"/>
          <w:lang w:val="en-US"/>
        </w:rPr>
        <w:t>.</w:t>
      </w:r>
      <w:r w:rsidR="00FC2812">
        <w:rPr>
          <w:rFonts w:cs="Arial"/>
          <w:szCs w:val="18"/>
          <w:lang w:val="en-US"/>
        </w:rPr>
        <w:t>1</w:t>
      </w:r>
      <w:r>
        <w:rPr>
          <w:rFonts w:ascii="Calibri" w:hAnsi="Calibri" w:cs="Calibri"/>
          <w:szCs w:val="18"/>
          <w:lang w:val="en-US"/>
        </w:rPr>
        <w:t>×</w:t>
      </w:r>
      <w:r>
        <w:rPr>
          <w:rFonts w:cs="Arial"/>
          <w:szCs w:val="18"/>
          <w:lang w:val="en-US"/>
        </w:rPr>
        <w:t>10</w:t>
      </w:r>
      <w:r w:rsidRPr="00027514">
        <w:rPr>
          <w:rFonts w:cs="Arial"/>
          <w:szCs w:val="18"/>
          <w:vertAlign w:val="superscript"/>
          <w:lang w:val="en-US"/>
        </w:rPr>
        <w:t>-3</w:t>
      </w:r>
      <w:r w:rsidRPr="00027514">
        <w:rPr>
          <w:rFonts w:cs="Arial"/>
          <w:szCs w:val="18"/>
          <w:lang w:val="en-US"/>
        </w:rPr>
        <w:t>.</w:t>
      </w:r>
      <w:r w:rsidR="00FC2812">
        <w:rPr>
          <w:rFonts w:cs="Arial"/>
          <w:szCs w:val="18"/>
          <w:lang w:val="en-US"/>
        </w:rPr>
        <w:t xml:space="preserve"> </w:t>
      </w:r>
      <w:r>
        <w:rPr>
          <w:rFonts w:cs="Arial"/>
          <w:szCs w:val="18"/>
          <w:lang w:val="en-US"/>
        </w:rPr>
        <w:t xml:space="preserve"> Then the experimental data obtained </w:t>
      </w:r>
      <w:r w:rsidR="002C433D">
        <w:rPr>
          <w:rFonts w:cs="Arial"/>
          <w:szCs w:val="18"/>
          <w:lang w:val="en-US"/>
        </w:rPr>
        <w:t>when</w:t>
      </w:r>
      <w:r>
        <w:rPr>
          <w:rFonts w:cs="Arial"/>
          <w:szCs w:val="18"/>
          <w:lang w:val="en-US"/>
        </w:rPr>
        <w:t xml:space="preserve"> using MM40 were correctly predicted </w:t>
      </w:r>
      <w:r w:rsidR="002C433D">
        <w:rPr>
          <w:rFonts w:cs="Arial"/>
          <w:szCs w:val="18"/>
          <w:lang w:val="en-US"/>
        </w:rPr>
        <w:t>(</w:t>
      </w:r>
      <w:r w:rsidR="002C433D" w:rsidRPr="00027514">
        <w:rPr>
          <w:rFonts w:cs="Arial"/>
          <w:szCs w:val="18"/>
          <w:lang w:val="en-US"/>
        </w:rPr>
        <w:t>R</w:t>
      </w:r>
      <w:r w:rsidR="002C433D" w:rsidRPr="00027514">
        <w:rPr>
          <w:rFonts w:cs="Arial"/>
          <w:szCs w:val="18"/>
          <w:vertAlign w:val="superscript"/>
          <w:lang w:val="en-US"/>
        </w:rPr>
        <w:t>2</w:t>
      </w:r>
      <w:r w:rsidR="002C433D" w:rsidRPr="00027514">
        <w:rPr>
          <w:rFonts w:cs="Arial"/>
          <w:szCs w:val="18"/>
          <w:vertAlign w:val="subscript"/>
          <w:lang w:val="en-US"/>
        </w:rPr>
        <w:t>adj</w:t>
      </w:r>
      <w:r w:rsidR="002C433D" w:rsidRPr="00027514">
        <w:rPr>
          <w:rFonts w:cs="Arial"/>
          <w:szCs w:val="18"/>
          <w:lang w:val="en-US"/>
        </w:rPr>
        <w:t xml:space="preserve"> = 0.9853 and MSE =</w:t>
      </w:r>
      <w:r w:rsidR="002C433D">
        <w:rPr>
          <w:rFonts w:cs="Arial"/>
          <w:szCs w:val="18"/>
          <w:lang w:val="en-US"/>
        </w:rPr>
        <w:t>7.7</w:t>
      </w:r>
      <w:r w:rsidR="002C433D">
        <w:rPr>
          <w:rFonts w:ascii="Calibri" w:hAnsi="Calibri" w:cs="Calibri"/>
          <w:szCs w:val="18"/>
          <w:lang w:val="en-US"/>
        </w:rPr>
        <w:t>×</w:t>
      </w:r>
      <w:r w:rsidR="002C433D">
        <w:rPr>
          <w:rFonts w:cs="Arial"/>
          <w:szCs w:val="18"/>
          <w:lang w:val="en-US"/>
        </w:rPr>
        <w:t>10</w:t>
      </w:r>
      <w:r w:rsidR="002C433D" w:rsidRPr="00027514">
        <w:rPr>
          <w:rFonts w:cs="Arial"/>
          <w:szCs w:val="18"/>
          <w:vertAlign w:val="superscript"/>
          <w:lang w:val="en-US"/>
        </w:rPr>
        <w:t>-3</w:t>
      </w:r>
      <w:r w:rsidR="002C433D">
        <w:rPr>
          <w:rFonts w:cs="Arial"/>
          <w:szCs w:val="18"/>
          <w:lang w:val="en-US"/>
        </w:rPr>
        <w:t xml:space="preserve">) </w:t>
      </w:r>
      <w:r>
        <w:rPr>
          <w:rFonts w:cs="Arial"/>
          <w:szCs w:val="18"/>
          <w:lang w:val="en-US"/>
        </w:rPr>
        <w:t>by the proposed model by keeping fixed the parameter</w:t>
      </w:r>
      <w:r w:rsidR="002C433D">
        <w:rPr>
          <w:rFonts w:cs="Arial"/>
          <w:szCs w:val="18"/>
          <w:lang w:val="en-US"/>
        </w:rPr>
        <w:t xml:space="preserve"> values</w:t>
      </w:r>
      <w:r>
        <w:rPr>
          <w:rFonts w:cs="Arial"/>
          <w:szCs w:val="18"/>
          <w:lang w:val="en-US"/>
        </w:rPr>
        <w:t xml:space="preserve"> </w:t>
      </w:r>
      <w:r w:rsidR="002C433D">
        <w:rPr>
          <w:rFonts w:cs="Arial"/>
          <w:szCs w:val="18"/>
          <w:lang w:val="en-US"/>
        </w:rPr>
        <w:t>obtained</w:t>
      </w:r>
      <w:r>
        <w:rPr>
          <w:rFonts w:cs="Arial"/>
          <w:szCs w:val="18"/>
          <w:lang w:val="en-US"/>
        </w:rPr>
        <w:t xml:space="preserve"> </w:t>
      </w:r>
      <w:r w:rsidR="002C433D">
        <w:rPr>
          <w:rFonts w:cs="Arial"/>
          <w:szCs w:val="18"/>
          <w:lang w:val="en-US"/>
        </w:rPr>
        <w:t>as previously discussed</w:t>
      </w:r>
      <w:r>
        <w:rPr>
          <w:rFonts w:cs="Arial"/>
          <w:szCs w:val="18"/>
          <w:lang w:val="en-US"/>
        </w:rPr>
        <w:t xml:space="preserve">. </w:t>
      </w:r>
      <w:r w:rsidR="00AE6A3F">
        <w:rPr>
          <w:rFonts w:cs="Arial"/>
          <w:szCs w:val="18"/>
          <w:lang w:val="en-US"/>
        </w:rPr>
        <w:t>Such a good predictivity capability of the model is confirmed by the good between the experimental and model results even in term</w:t>
      </w:r>
      <w:r w:rsidR="00B144A8">
        <w:rPr>
          <w:rFonts w:cs="Arial"/>
          <w:szCs w:val="18"/>
          <w:lang w:val="en-US"/>
        </w:rPr>
        <w:t>s</w:t>
      </w:r>
      <w:r w:rsidR="00AE6A3F">
        <w:rPr>
          <w:rFonts w:cs="Arial"/>
          <w:szCs w:val="18"/>
          <w:lang w:val="en-US"/>
        </w:rPr>
        <w:t xml:space="preserve"> of biomass productivity shown in Fig. </w:t>
      </w:r>
      <w:r w:rsidR="0095786E">
        <w:rPr>
          <w:rFonts w:cs="Arial"/>
          <w:szCs w:val="18"/>
          <w:lang w:val="en-US"/>
        </w:rPr>
        <w:t>2</w:t>
      </w:r>
      <w:r w:rsidR="00AE6A3F">
        <w:rPr>
          <w:rFonts w:cs="Arial"/>
          <w:szCs w:val="18"/>
          <w:lang w:val="en-US"/>
        </w:rPr>
        <w:t>b</w:t>
      </w:r>
      <w:r w:rsidR="000E24B1">
        <w:rPr>
          <w:rFonts w:cs="Arial"/>
          <w:szCs w:val="18"/>
          <w:lang w:val="en-US"/>
        </w:rPr>
        <w:t>.</w:t>
      </w:r>
    </w:p>
    <w:p w14:paraId="32881D9A" w14:textId="315215EB" w:rsidR="00D373D8" w:rsidRDefault="007C6C8E" w:rsidP="00B55AED">
      <w:pPr>
        <w:spacing w:after="120"/>
        <w:rPr>
          <w:i/>
          <w:iCs/>
        </w:rPr>
      </w:pPr>
      <w:r w:rsidRPr="000D7629">
        <w:rPr>
          <w:iCs/>
        </w:rPr>
        <w:t xml:space="preserve">While the results so far obtained are promising, it should be stressed that the possible application of the technology </w:t>
      </w:r>
      <w:r w:rsidR="00D02AE5">
        <w:rPr>
          <w:iCs/>
        </w:rPr>
        <w:t xml:space="preserve">described by Fais et al. </w:t>
      </w:r>
      <w:r w:rsidRPr="000D7629">
        <w:rPr>
          <w:iCs/>
        </w:rPr>
        <w:t>(</w:t>
      </w:r>
      <w:r w:rsidR="0095786E">
        <w:rPr>
          <w:iCs/>
        </w:rPr>
        <w:t>202</w:t>
      </w:r>
      <w:r w:rsidR="00D02AE5">
        <w:rPr>
          <w:iCs/>
        </w:rPr>
        <w:t>2a</w:t>
      </w:r>
      <w:r w:rsidRPr="000D7629">
        <w:rPr>
          <w:iCs/>
        </w:rPr>
        <w:t>) on Mars need</w:t>
      </w:r>
      <w:r>
        <w:rPr>
          <w:iCs/>
        </w:rPr>
        <w:t>s to be</w:t>
      </w:r>
      <w:r w:rsidRPr="000D7629">
        <w:rPr>
          <w:iCs/>
        </w:rPr>
        <w:t xml:space="preserve"> further</w:t>
      </w:r>
      <w:r>
        <w:rPr>
          <w:iCs/>
        </w:rPr>
        <w:t xml:space="preserve"> corroborated by additional</w:t>
      </w:r>
      <w:r w:rsidRPr="000D7629">
        <w:rPr>
          <w:iCs/>
        </w:rPr>
        <w:t xml:space="preserve"> research activity </w:t>
      </w:r>
      <w:r>
        <w:rPr>
          <w:iCs/>
        </w:rPr>
        <w:t xml:space="preserve">aimed </w:t>
      </w:r>
      <w:r w:rsidRPr="000D7629">
        <w:rPr>
          <w:iCs/>
        </w:rPr>
        <w:t>to verify the effect of</w:t>
      </w:r>
      <w:r>
        <w:rPr>
          <w:iCs/>
        </w:rPr>
        <w:t xml:space="preserve"> the strong variation of operating conditions, such as </w:t>
      </w:r>
      <w:r w:rsidRPr="000D7629">
        <w:rPr>
          <w:iCs/>
        </w:rPr>
        <w:t>temperature</w:t>
      </w:r>
      <w:r>
        <w:rPr>
          <w:iCs/>
        </w:rPr>
        <w:t xml:space="preserve">, light </w:t>
      </w:r>
      <w:proofErr w:type="gramStart"/>
      <w:r>
        <w:rPr>
          <w:iCs/>
        </w:rPr>
        <w:t>intensity</w:t>
      </w:r>
      <w:proofErr w:type="gramEnd"/>
      <w:r w:rsidRPr="000D7629">
        <w:rPr>
          <w:iCs/>
        </w:rPr>
        <w:t xml:space="preserve"> and </w:t>
      </w:r>
      <w:r>
        <w:rPr>
          <w:iCs/>
        </w:rPr>
        <w:t xml:space="preserve">medium composition, that might take place on Mars. </w:t>
      </w:r>
      <w:r w:rsidRPr="000D7629">
        <w:rPr>
          <w:iCs/>
        </w:rPr>
        <w:t>In this regard</w:t>
      </w:r>
      <w:r>
        <w:rPr>
          <w:iCs/>
        </w:rPr>
        <w:t>,</w:t>
      </w:r>
      <w:r w:rsidRPr="000D7629">
        <w:rPr>
          <w:iCs/>
        </w:rPr>
        <w:t xml:space="preserve"> the availability of a mathematical model might be strategic since </w:t>
      </w:r>
      <w:r>
        <w:rPr>
          <w:iCs/>
        </w:rPr>
        <w:t>it</w:t>
      </w:r>
      <w:r w:rsidRPr="000D7629">
        <w:rPr>
          <w:iCs/>
        </w:rPr>
        <w:t xml:space="preserve"> can provide </w:t>
      </w:r>
      <w:r>
        <w:rPr>
          <w:iCs/>
        </w:rPr>
        <w:t xml:space="preserve">an </w:t>
      </w:r>
      <w:r w:rsidRPr="000D7629">
        <w:rPr>
          <w:iCs/>
        </w:rPr>
        <w:t>“a – priori” information about the response of the system to changing operating conditions.</w:t>
      </w:r>
      <w:r w:rsidR="00081E58">
        <w:rPr>
          <w:iCs/>
        </w:rPr>
        <w:t xml:space="preserve"> </w:t>
      </w:r>
      <w:r w:rsidR="0095786E">
        <w:rPr>
          <w:iCs/>
        </w:rPr>
        <w:t>A</w:t>
      </w:r>
      <w:r w:rsidR="000D7629" w:rsidRPr="000D7629">
        <w:rPr>
          <w:iCs/>
        </w:rPr>
        <w:t xml:space="preserve">n example of how the model can be viably exploited to infer useful information is to assume that the </w:t>
      </w:r>
      <w:r w:rsidR="00293ADC">
        <w:rPr>
          <w:iCs/>
        </w:rPr>
        <w:t>algae</w:t>
      </w:r>
      <w:r w:rsidR="000D7629" w:rsidRPr="000D7629">
        <w:rPr>
          <w:iCs/>
        </w:rPr>
        <w:t xml:space="preserve"> will be</w:t>
      </w:r>
      <w:r w:rsidR="00293ADC">
        <w:rPr>
          <w:iCs/>
        </w:rPr>
        <w:t xml:space="preserve"> grown in an open pond (Fig. </w:t>
      </w:r>
      <w:r w:rsidR="00081E58">
        <w:rPr>
          <w:iCs/>
        </w:rPr>
        <w:t>3</w:t>
      </w:r>
      <w:r w:rsidR="00293ADC">
        <w:rPr>
          <w:iCs/>
        </w:rPr>
        <w:t xml:space="preserve">a) </w:t>
      </w:r>
      <w:r w:rsidR="000D7629" w:rsidRPr="000D7629">
        <w:rPr>
          <w:iCs/>
        </w:rPr>
        <w:t xml:space="preserve">operated in fed-batch mode </w:t>
      </w:r>
      <w:r w:rsidR="009D1A10">
        <w:rPr>
          <w:iCs/>
        </w:rPr>
        <w:t>up until a specific time (</w:t>
      </w:r>
      <w:proofErr w:type="spellStart"/>
      <w:r w:rsidR="009D1A10">
        <w:rPr>
          <w:iCs/>
        </w:rPr>
        <w:t>t</w:t>
      </w:r>
      <w:r w:rsidR="009D1A10" w:rsidRPr="009D1A10">
        <w:rPr>
          <w:iCs/>
          <w:vertAlign w:val="subscript"/>
        </w:rPr>
        <w:t>f</w:t>
      </w:r>
      <w:proofErr w:type="spellEnd"/>
      <w:r w:rsidR="009D1A10">
        <w:rPr>
          <w:iCs/>
        </w:rPr>
        <w:t xml:space="preserve">) </w:t>
      </w:r>
      <w:r w:rsidR="000D7629" w:rsidRPr="000D7629">
        <w:rPr>
          <w:iCs/>
        </w:rPr>
        <w:t>on Mars</w:t>
      </w:r>
      <w:r w:rsidR="000D7629">
        <w:rPr>
          <w:iCs/>
        </w:rPr>
        <w:t>. Indeed</w:t>
      </w:r>
      <w:r w:rsidR="009D1A10">
        <w:rPr>
          <w:iCs/>
        </w:rPr>
        <w:t>,</w:t>
      </w:r>
      <w:r w:rsidR="000D7629">
        <w:rPr>
          <w:iCs/>
        </w:rPr>
        <w:t xml:space="preserve"> this working mode allows to produce biomass continuously removing the </w:t>
      </w:r>
      <w:proofErr w:type="gramStart"/>
      <w:r w:rsidR="000D7629">
        <w:rPr>
          <w:iCs/>
        </w:rPr>
        <w:t>dead-times</w:t>
      </w:r>
      <w:proofErr w:type="gramEnd"/>
      <w:r w:rsidR="000D7629">
        <w:rPr>
          <w:iCs/>
        </w:rPr>
        <w:t xml:space="preserve"> associated to the operations of growing the culture, reactor emptying and recharging typical of the batch processes. This way higher biomass </w:t>
      </w:r>
      <w:r w:rsidR="00A819F0">
        <w:rPr>
          <w:iCs/>
        </w:rPr>
        <w:t>productivity</w:t>
      </w:r>
      <w:r w:rsidR="000D7629">
        <w:rPr>
          <w:iCs/>
        </w:rPr>
        <w:t xml:space="preserve"> could be also achieved. For this </w:t>
      </w:r>
      <w:r w:rsidR="00A819F0">
        <w:rPr>
          <w:iCs/>
        </w:rPr>
        <w:t>reason,</w:t>
      </w:r>
      <w:r w:rsidR="000D7629">
        <w:rPr>
          <w:iCs/>
        </w:rPr>
        <w:t xml:space="preserve"> further simulations were carried out by considering the biomass productivities achievable after </w:t>
      </w:r>
      <w:r w:rsidR="00A819F0">
        <w:rPr>
          <w:iCs/>
        </w:rPr>
        <w:t xml:space="preserve">different </w:t>
      </w:r>
      <w:r w:rsidR="000D7629">
        <w:rPr>
          <w:iCs/>
        </w:rPr>
        <w:t xml:space="preserve">operating </w:t>
      </w:r>
      <w:r w:rsidR="00A819F0">
        <w:rPr>
          <w:iCs/>
        </w:rPr>
        <w:t xml:space="preserve">for different </w:t>
      </w:r>
      <w:r w:rsidR="000D7629">
        <w:rPr>
          <w:iCs/>
        </w:rPr>
        <w:t>times</w:t>
      </w:r>
      <w:r w:rsidR="00A819F0">
        <w:rPr>
          <w:iCs/>
        </w:rPr>
        <w:t xml:space="preserve"> (</w:t>
      </w:r>
      <w:proofErr w:type="spellStart"/>
      <w:r w:rsidR="00A819F0">
        <w:rPr>
          <w:iCs/>
        </w:rPr>
        <w:t>t</w:t>
      </w:r>
      <w:r w:rsidR="00A819F0" w:rsidRPr="009D1A10">
        <w:rPr>
          <w:iCs/>
          <w:vertAlign w:val="subscript"/>
        </w:rPr>
        <w:t>f</w:t>
      </w:r>
      <w:proofErr w:type="spellEnd"/>
      <w:r w:rsidR="00A819F0">
        <w:rPr>
          <w:iCs/>
        </w:rPr>
        <w:t>)</w:t>
      </w:r>
      <w:r w:rsidR="000D7629">
        <w:rPr>
          <w:iCs/>
        </w:rPr>
        <w:t xml:space="preserve"> </w:t>
      </w:r>
      <w:r w:rsidR="00A819F0">
        <w:rPr>
          <w:iCs/>
        </w:rPr>
        <w:t xml:space="preserve">and using different dilution rates (D) in the equations already reported in the mathematical model section. The corresponding productivity was calculated according to the following equation.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4"/>
        <w:gridCol w:w="703"/>
      </w:tblGrid>
      <w:tr w:rsidR="007C6C8E" w:rsidRPr="007C6C8E" w14:paraId="3FC6CF11" w14:textId="77777777" w:rsidTr="0095786E">
        <w:tc>
          <w:tcPr>
            <w:tcW w:w="4600" w:type="pct"/>
            <w:vAlign w:val="center"/>
          </w:tcPr>
          <w:p w14:paraId="209CB7CC" w14:textId="2B27DB2B" w:rsidR="007C6C8E" w:rsidRPr="007C6C8E" w:rsidRDefault="0095786E" w:rsidP="007C6C8E">
            <w:pPr>
              <w:pStyle w:val="MTDisplayEquation"/>
              <w:tabs>
                <w:tab w:val="clear" w:pos="4560"/>
                <w:tab w:val="clear" w:pos="8780"/>
              </w:tabs>
              <w:ind w:left="0" w:firstLine="0"/>
              <w:jc w:val="left"/>
            </w:pPr>
            <w:r w:rsidRPr="007C6C8E">
              <w:rPr>
                <w:position w:val="-32"/>
              </w:rPr>
              <w:object w:dxaOrig="2760" w:dyaOrig="920" w14:anchorId="15776650">
                <v:shape id="_x0000_i1041" type="#_x0000_t75" style="width:110.25pt;height:36.4pt" o:ole="">
                  <v:imagedata r:id="rId44" o:title=""/>
                </v:shape>
                <o:OLEObject Type="Embed" ProgID="Equation.DSMT4" ShapeID="_x0000_i1041" DrawAspect="Content" ObjectID="_1741116513" r:id="rId45"/>
              </w:object>
            </w:r>
          </w:p>
        </w:tc>
        <w:tc>
          <w:tcPr>
            <w:tcW w:w="400" w:type="pct"/>
            <w:vAlign w:val="center"/>
          </w:tcPr>
          <w:p w14:paraId="3743D172" w14:textId="77777777" w:rsidR="007C6C8E" w:rsidRPr="007C6C8E" w:rsidRDefault="007C6C8E" w:rsidP="007C6C8E">
            <w:pPr>
              <w:pStyle w:val="MTDisplayEquation"/>
              <w:tabs>
                <w:tab w:val="clear" w:pos="4560"/>
                <w:tab w:val="clear" w:pos="8780"/>
              </w:tabs>
              <w:ind w:left="0" w:firstLine="0"/>
              <w:jc w:val="center"/>
            </w:pPr>
            <w:r w:rsidRPr="007C6C8E">
              <w:t>(12)</w:t>
            </w:r>
          </w:p>
        </w:tc>
      </w:tr>
    </w:tbl>
    <w:p w14:paraId="2E1CBBD6" w14:textId="643612C6" w:rsidR="007C6C8E" w:rsidRDefault="00A819F0" w:rsidP="00081E58">
      <w:pPr>
        <w:pStyle w:val="CETCaption"/>
        <w:spacing w:before="120" w:after="120"/>
        <w:rPr>
          <w:i w:val="0"/>
          <w:iCs/>
        </w:rPr>
      </w:pPr>
      <w:r w:rsidRPr="007C6C8E">
        <w:rPr>
          <w:i w:val="0"/>
          <w:iCs/>
        </w:rPr>
        <w:t xml:space="preserve">The results obtained by running the model for several values of </w:t>
      </w:r>
      <w:proofErr w:type="spellStart"/>
      <w:r w:rsidRPr="007C6C8E">
        <w:rPr>
          <w:i w:val="0"/>
          <w:iCs/>
        </w:rPr>
        <w:t>tf</w:t>
      </w:r>
      <w:proofErr w:type="spellEnd"/>
      <w:r w:rsidRPr="007C6C8E">
        <w:rPr>
          <w:i w:val="0"/>
          <w:iCs/>
        </w:rPr>
        <w:t xml:space="preserve"> and D are summarized in contour plot </w:t>
      </w:r>
      <w:proofErr w:type="gramStart"/>
      <w:r w:rsidRPr="007C6C8E">
        <w:rPr>
          <w:i w:val="0"/>
          <w:iCs/>
        </w:rPr>
        <w:t>of  Fig</w:t>
      </w:r>
      <w:r w:rsidR="00081E58">
        <w:rPr>
          <w:i w:val="0"/>
          <w:iCs/>
        </w:rPr>
        <w:t>.</w:t>
      </w:r>
      <w:proofErr w:type="gramEnd"/>
      <w:r w:rsidRPr="007C6C8E">
        <w:rPr>
          <w:i w:val="0"/>
          <w:iCs/>
        </w:rPr>
        <w:t xml:space="preserve"> </w:t>
      </w:r>
      <w:r w:rsidR="00081E58">
        <w:rPr>
          <w:i w:val="0"/>
          <w:iCs/>
        </w:rPr>
        <w:t>3</w:t>
      </w:r>
      <w:r w:rsidR="007C6C8E">
        <w:rPr>
          <w:i w:val="0"/>
          <w:iCs/>
        </w:rPr>
        <w:t>b</w:t>
      </w:r>
      <w:r w:rsidRPr="007C6C8E">
        <w:rPr>
          <w:i w:val="0"/>
          <w:iCs/>
        </w:rPr>
        <w:t>.</w:t>
      </w:r>
      <w:r>
        <w:t xml:space="preserve"> </w:t>
      </w:r>
      <w:r w:rsidR="007C6C8E" w:rsidRPr="00542D36">
        <w:rPr>
          <w:i w:val="0"/>
          <w:iCs/>
        </w:rPr>
        <w:t>It can be observed that the best results (5 g m</w:t>
      </w:r>
      <w:r w:rsidR="007C6C8E" w:rsidRPr="00542D36">
        <w:rPr>
          <w:i w:val="0"/>
          <w:iCs/>
          <w:vertAlign w:val="superscript"/>
        </w:rPr>
        <w:t>-2</w:t>
      </w:r>
      <w:r w:rsidR="007C6C8E" w:rsidRPr="00542D36">
        <w:rPr>
          <w:i w:val="0"/>
          <w:iCs/>
        </w:rPr>
        <w:t xml:space="preserve"> hr</w:t>
      </w:r>
      <w:r w:rsidR="007C6C8E" w:rsidRPr="00542D36">
        <w:rPr>
          <w:i w:val="0"/>
          <w:iCs/>
          <w:vertAlign w:val="superscript"/>
        </w:rPr>
        <w:t>-1</w:t>
      </w:r>
      <w:r w:rsidR="007C6C8E" w:rsidRPr="00542D36">
        <w:rPr>
          <w:i w:val="0"/>
          <w:iCs/>
        </w:rPr>
        <w:t>) are obtained by adopting a dilution rate ranging from 3 to 6 hr</w:t>
      </w:r>
      <w:r w:rsidR="007C6C8E" w:rsidRPr="00542D36">
        <w:rPr>
          <w:i w:val="0"/>
          <w:iCs/>
          <w:vertAlign w:val="superscript"/>
        </w:rPr>
        <w:t>-1</w:t>
      </w:r>
      <w:r w:rsidR="007C6C8E" w:rsidRPr="00542D36">
        <w:rPr>
          <w:i w:val="0"/>
          <w:iCs/>
        </w:rPr>
        <w:t xml:space="preserve"> and final times greater than 40 days. The corresponding biomass could be used to feed the crew. </w:t>
      </w:r>
    </w:p>
    <w:p w14:paraId="2256E57D" w14:textId="77777777" w:rsidR="00E66001" w:rsidRPr="00B57B36" w:rsidRDefault="00E66001" w:rsidP="00E66001">
      <w:pPr>
        <w:pStyle w:val="CETHeading1"/>
        <w:spacing w:line="264" w:lineRule="auto"/>
        <w:rPr>
          <w:lang w:val="en-GB"/>
        </w:rPr>
      </w:pPr>
      <w:r w:rsidRPr="00B57B36">
        <w:rPr>
          <w:lang w:val="en-GB"/>
        </w:rPr>
        <w:t>Conclusions</w:t>
      </w:r>
    </w:p>
    <w:p w14:paraId="7AAEB589" w14:textId="6388A199" w:rsidR="00E66001" w:rsidRDefault="00E66001" w:rsidP="00E66001">
      <w:pPr>
        <w:pStyle w:val="CETBodytext"/>
        <w:rPr>
          <w:lang w:val="en-GB"/>
        </w:rPr>
      </w:pPr>
      <w:r w:rsidRPr="006A317E">
        <w:rPr>
          <w:lang w:val="en-GB"/>
        </w:rPr>
        <w:t>The objective of this paper is to simulate and evaluate the growth of microalgae on Mars</w:t>
      </w:r>
      <w:r>
        <w:rPr>
          <w:lang w:val="en-GB"/>
        </w:rPr>
        <w:t xml:space="preserve"> accordingly to a process recently patented</w:t>
      </w:r>
      <w:r w:rsidRPr="006A317E">
        <w:rPr>
          <w:lang w:val="en-GB"/>
        </w:rPr>
        <w:t xml:space="preserve"> </w:t>
      </w:r>
      <w:r w:rsidR="000151B4">
        <w:rPr>
          <w:lang w:val="en-GB"/>
        </w:rPr>
        <w:t>t</w:t>
      </w:r>
      <w:r w:rsidRPr="006A317E">
        <w:rPr>
          <w:lang w:val="en-GB"/>
        </w:rPr>
        <w:t>o achieve this, an experimental study is conducted where the Martian atmosphere is replicated, and a growth medium is synthesized using the planet's resources according to the ISRU paradigm. A mathematical model</w:t>
      </w:r>
      <w:r>
        <w:rPr>
          <w:lang w:val="en-GB"/>
        </w:rPr>
        <w:t>, capable to well predict the experimental results,</w:t>
      </w:r>
      <w:r w:rsidRPr="006A317E">
        <w:rPr>
          <w:lang w:val="en-GB"/>
        </w:rPr>
        <w:t xml:space="preserve"> is developed to </w:t>
      </w:r>
      <w:r>
        <w:rPr>
          <w:lang w:val="en-GB"/>
        </w:rPr>
        <w:t>accurately simulate</w:t>
      </w:r>
      <w:r w:rsidRPr="006A317E">
        <w:rPr>
          <w:lang w:val="en-GB"/>
        </w:rPr>
        <w:t xml:space="preserve"> the growth process under different operating conditions</w:t>
      </w:r>
      <w:r>
        <w:rPr>
          <w:lang w:val="en-GB"/>
        </w:rPr>
        <w:t xml:space="preserve">. </w:t>
      </w:r>
      <w:r w:rsidRPr="006A317E">
        <w:rPr>
          <w:lang w:val="en-GB"/>
        </w:rPr>
        <w:t xml:space="preserve">The model is </w:t>
      </w:r>
      <w:r>
        <w:rPr>
          <w:lang w:val="en-GB"/>
        </w:rPr>
        <w:t xml:space="preserve">then </w:t>
      </w:r>
      <w:r w:rsidRPr="006A317E">
        <w:rPr>
          <w:lang w:val="en-GB"/>
        </w:rPr>
        <w:t>utilized to predict the potential biomass productivity of an open pond located in a Martian dome and operated in fed-batch mode. Future studies can integrate temperature-dependent functions and assess specific kinetic parameters.</w:t>
      </w:r>
    </w:p>
    <w:p w14:paraId="37DAC31F" w14:textId="64D76749" w:rsidR="00E43079" w:rsidRDefault="00E43079" w:rsidP="00E20F93">
      <w:pPr>
        <w:pStyle w:val="CETCaption"/>
        <w:spacing w:before="120" w:after="120"/>
        <w:jc w:val="center"/>
        <w:rPr>
          <w:rStyle w:val="CETCaptionCarattere"/>
          <w:i/>
        </w:rPr>
      </w:pPr>
      <w:r w:rsidRPr="00E43079">
        <w:rPr>
          <w:rStyle w:val="CETCaptionCarattere"/>
          <w:i/>
          <w:noProof/>
        </w:rPr>
        <w:lastRenderedPageBreak/>
        <w:drawing>
          <wp:inline distT="0" distB="0" distL="0" distR="0" wp14:anchorId="1164C65D" wp14:editId="1EAA5706">
            <wp:extent cx="5403272" cy="2030095"/>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a:extLst>
                        <a:ext uri="{28A0092B-C50C-407E-A947-70E740481C1C}">
                          <a14:useLocalDpi xmlns:a14="http://schemas.microsoft.com/office/drawing/2010/main" val="0"/>
                        </a:ext>
                      </a:extLst>
                    </a:blip>
                    <a:srcRect l="7130" r="1665" b="10996"/>
                    <a:stretch/>
                  </pic:blipFill>
                  <pic:spPr bwMode="auto">
                    <a:xfrm>
                      <a:off x="0" y="0"/>
                      <a:ext cx="5414733" cy="2034401"/>
                    </a:xfrm>
                    <a:prstGeom prst="rect">
                      <a:avLst/>
                    </a:prstGeom>
                    <a:noFill/>
                    <a:ln>
                      <a:noFill/>
                    </a:ln>
                    <a:extLst>
                      <a:ext uri="{53640926-AAD7-44D8-BBD7-CCE9431645EC}">
                        <a14:shadowObscured xmlns:a14="http://schemas.microsoft.com/office/drawing/2010/main"/>
                      </a:ext>
                    </a:extLst>
                  </pic:spPr>
                </pic:pic>
              </a:graphicData>
            </a:graphic>
          </wp:inline>
        </w:drawing>
      </w:r>
    </w:p>
    <w:p w14:paraId="655E850C" w14:textId="16723EAA" w:rsidR="00B304AA" w:rsidRDefault="00B304AA" w:rsidP="00E43079">
      <w:pPr>
        <w:pStyle w:val="CETCaption"/>
        <w:spacing w:before="120"/>
      </w:pPr>
      <w:r w:rsidRPr="00BD077D">
        <w:rPr>
          <w:rStyle w:val="CETCaptionCarattere"/>
          <w:i/>
        </w:rPr>
        <w:t xml:space="preserve">Figure </w:t>
      </w:r>
      <w:r w:rsidR="00081E58">
        <w:rPr>
          <w:rStyle w:val="CETCaptionCarattere"/>
          <w:i/>
        </w:rPr>
        <w:t>3</w:t>
      </w:r>
      <w:r w:rsidR="003F2393">
        <w:rPr>
          <w:rStyle w:val="CETCaptionCarattere"/>
          <w:i/>
        </w:rPr>
        <w:t>.</w:t>
      </w:r>
      <w:r w:rsidRPr="00BD077D">
        <w:rPr>
          <w:rStyle w:val="CETCaptionCarattere"/>
          <w:i/>
        </w:rPr>
        <w:t xml:space="preserve"> </w:t>
      </w:r>
      <w:r w:rsidR="003F2393">
        <w:rPr>
          <w:rStyle w:val="CETCaptionCarattere"/>
          <w:i/>
        </w:rPr>
        <w:t xml:space="preserve">Render </w:t>
      </w:r>
      <w:proofErr w:type="gramStart"/>
      <w:r w:rsidR="003F2393">
        <w:rPr>
          <w:rStyle w:val="CETCaptionCarattere"/>
          <w:i/>
        </w:rPr>
        <w:t>of  a</w:t>
      </w:r>
      <w:proofErr w:type="gramEnd"/>
      <w:r w:rsidR="003F2393">
        <w:rPr>
          <w:rStyle w:val="CETCaptionCarattere"/>
          <w:i/>
        </w:rPr>
        <w:t xml:space="preserve"> possible open pond on a Martian dome (a) and s</w:t>
      </w:r>
      <w:r w:rsidR="00C97642">
        <w:rPr>
          <w:rStyle w:val="CETCaptionCarattere"/>
          <w:i/>
        </w:rPr>
        <w:t xml:space="preserve">imulated effect </w:t>
      </w:r>
      <w:r w:rsidR="003F2393">
        <w:rPr>
          <w:rStyle w:val="CETCaptionCarattere"/>
          <w:i/>
        </w:rPr>
        <w:t>o</w:t>
      </w:r>
      <w:r w:rsidR="00C97642">
        <w:rPr>
          <w:rStyle w:val="CETCaptionCarattere"/>
          <w:i/>
        </w:rPr>
        <w:t>f the</w:t>
      </w:r>
      <w:r w:rsidR="009D1A10">
        <w:rPr>
          <w:rStyle w:val="CETCaptionCarattere"/>
          <w:i/>
        </w:rPr>
        <w:t xml:space="preserve"> cultivation</w:t>
      </w:r>
      <w:r w:rsidR="00C97642">
        <w:rPr>
          <w:rStyle w:val="CETCaptionCarattere"/>
          <w:i/>
        </w:rPr>
        <w:t xml:space="preserve"> of S. platensis on Mars in </w:t>
      </w:r>
      <w:r w:rsidR="003F2393">
        <w:rPr>
          <w:rStyle w:val="CETCaptionCarattere"/>
          <w:i/>
        </w:rPr>
        <w:t xml:space="preserve">the pond </w:t>
      </w:r>
      <w:r w:rsidR="00C97642">
        <w:t>fed-batch mode</w:t>
      </w:r>
      <w:r w:rsidR="003F2393">
        <w:t>.</w:t>
      </w:r>
    </w:p>
    <w:p w14:paraId="4F1327F8" w14:textId="77777777" w:rsidR="00600535" w:rsidRPr="00B57B36" w:rsidRDefault="00600535" w:rsidP="00D373D8">
      <w:pPr>
        <w:pStyle w:val="CETReference"/>
        <w:spacing w:line="264" w:lineRule="auto"/>
      </w:pPr>
      <w:r w:rsidRPr="00B57B36">
        <w:t>References</w:t>
      </w:r>
    </w:p>
    <w:p w14:paraId="693FFA41" w14:textId="5D877DE1" w:rsidR="004D65B1" w:rsidRDefault="004D65B1" w:rsidP="006324E3">
      <w:pPr>
        <w:pStyle w:val="CETReferencetext"/>
      </w:pPr>
      <w:proofErr w:type="spellStart"/>
      <w:r>
        <w:t>Baldia</w:t>
      </w:r>
      <w:proofErr w:type="spellEnd"/>
      <w:r w:rsidRPr="00D3051A">
        <w:t xml:space="preserve"> </w:t>
      </w:r>
      <w:r>
        <w:t>S. F, Evangelista</w:t>
      </w:r>
      <w:r w:rsidRPr="00D3051A">
        <w:t xml:space="preserve"> </w:t>
      </w:r>
      <w:r>
        <w:t xml:space="preserve">A. D., </w:t>
      </w:r>
      <w:proofErr w:type="spellStart"/>
      <w:r>
        <w:t>Aralar</w:t>
      </w:r>
      <w:proofErr w:type="spellEnd"/>
      <w:r w:rsidRPr="00D3051A">
        <w:t xml:space="preserve"> </w:t>
      </w:r>
      <w:r>
        <w:t>E. V., Santiago</w:t>
      </w:r>
      <w:r w:rsidRPr="00D3051A">
        <w:t xml:space="preserve"> </w:t>
      </w:r>
      <w:r>
        <w:t>A. E., 2007, Nitrogen and phosphorus utilization in the cyanobacterium Microcystis aeruginosa isolated 73 from Laguna de Bay, Philippines, Journal of Applied Phycology, 19, 607–613.</w:t>
      </w:r>
    </w:p>
    <w:p w14:paraId="56706EC5" w14:textId="77777777" w:rsidR="004D65B1" w:rsidRDefault="004D65B1" w:rsidP="006324E3">
      <w:pPr>
        <w:pStyle w:val="CETReferencetext"/>
      </w:pPr>
      <w:r>
        <w:t>Billi</w:t>
      </w:r>
      <w:r w:rsidRPr="00961F9E">
        <w:t xml:space="preserve"> </w:t>
      </w:r>
      <w:r>
        <w:t>D., Gallego Fernandez</w:t>
      </w:r>
      <w:r w:rsidRPr="00961F9E">
        <w:t xml:space="preserve"> </w:t>
      </w:r>
      <w:r>
        <w:t xml:space="preserve">B., </w:t>
      </w:r>
      <w:proofErr w:type="spellStart"/>
      <w:r>
        <w:t>Fagliarone</w:t>
      </w:r>
      <w:proofErr w:type="spellEnd"/>
      <w:r w:rsidRPr="00961F9E">
        <w:t xml:space="preserve"> </w:t>
      </w:r>
      <w:r>
        <w:t xml:space="preserve">C., </w:t>
      </w:r>
      <w:proofErr w:type="spellStart"/>
      <w:r>
        <w:t>Chiavarini</w:t>
      </w:r>
      <w:proofErr w:type="spellEnd"/>
      <w:r w:rsidRPr="00961F9E">
        <w:t xml:space="preserve"> </w:t>
      </w:r>
      <w:r>
        <w:t>S., Rothschild</w:t>
      </w:r>
      <w:r w:rsidRPr="00961F9E">
        <w:t xml:space="preserve"> </w:t>
      </w:r>
      <w:r>
        <w:t>L.J., 2021, Exploiting a perchlorate-tolerant desert cyanobacterium to support bacterial growth for in situ resource utilization on Mars, International Journal of Astrobiology, 20.1, 29-35.</w:t>
      </w:r>
    </w:p>
    <w:p w14:paraId="32566FA2" w14:textId="0A9A5CC6" w:rsidR="004D65B1" w:rsidRDefault="004D65B1" w:rsidP="006324E3">
      <w:pPr>
        <w:pStyle w:val="CETReferencetext"/>
      </w:pPr>
      <w:r>
        <w:t>Concas A., Corrias</w:t>
      </w:r>
      <w:r w:rsidRPr="00A908EA">
        <w:t xml:space="preserve"> </w:t>
      </w:r>
      <w:r>
        <w:t>G., Orrù</w:t>
      </w:r>
      <w:r w:rsidRPr="00A908EA">
        <w:t xml:space="preserve"> </w:t>
      </w:r>
      <w:r>
        <w:t>R., Licheri</w:t>
      </w:r>
      <w:r w:rsidRPr="00A908EA">
        <w:t xml:space="preserve"> </w:t>
      </w:r>
      <w:r>
        <w:t>R., Pisu</w:t>
      </w:r>
      <w:r w:rsidRPr="00A908EA">
        <w:t xml:space="preserve"> </w:t>
      </w:r>
      <w:r>
        <w:t>M., Cao</w:t>
      </w:r>
      <w:r w:rsidRPr="00A908EA">
        <w:t xml:space="preserve"> </w:t>
      </w:r>
      <w:r>
        <w:t>G., 2012, Remarks on ISRU and ISFR technologies for manned missions on moon and Mars, Eurasian Chem</w:t>
      </w:r>
      <w:r w:rsidR="00C313C0">
        <w:t xml:space="preserve">o Technological </w:t>
      </w:r>
      <w:r>
        <w:t>J</w:t>
      </w:r>
      <w:r w:rsidR="00C313C0">
        <w:t>ournal</w:t>
      </w:r>
      <w:r>
        <w:t xml:space="preserve"> 14.</w:t>
      </w:r>
    </w:p>
    <w:p w14:paraId="1E58C803" w14:textId="2A4C5E5F" w:rsidR="00F52CE7" w:rsidRDefault="00F52CE7" w:rsidP="006324E3">
      <w:pPr>
        <w:pStyle w:val="CETReferencetext"/>
      </w:pPr>
      <w:r w:rsidRPr="00F52CE7">
        <w:t>Concas A., Steriti A., Pisu M., Cao</w:t>
      </w:r>
      <w:r>
        <w:t xml:space="preserve"> </w:t>
      </w:r>
      <w:r w:rsidRPr="00F52CE7">
        <w:t>G.</w:t>
      </w:r>
      <w:r>
        <w:t>,</w:t>
      </w:r>
      <w:r w:rsidRPr="00F52CE7">
        <w:t xml:space="preserve"> 2021</w:t>
      </w:r>
      <w:r>
        <w:t>a,</w:t>
      </w:r>
      <w:r w:rsidRPr="00F52CE7">
        <w:t xml:space="preserve"> Experimental and theoretical investigation of the effects of iron on growth and lipid synthesis of microalgae in view of their use to produce biofuels</w:t>
      </w:r>
      <w:r>
        <w:t xml:space="preserve">, </w:t>
      </w:r>
      <w:r w:rsidRPr="00F52CE7">
        <w:t>Journal of Environmental Chemical Engineering, 9(4), 105349.</w:t>
      </w:r>
    </w:p>
    <w:p w14:paraId="39055B31" w14:textId="4ECD2D97" w:rsidR="004D65B1" w:rsidRPr="000D56D6" w:rsidRDefault="004D65B1" w:rsidP="006324E3">
      <w:pPr>
        <w:pStyle w:val="CETReferencetext"/>
      </w:pPr>
      <w:r>
        <w:t xml:space="preserve">Concas A., </w:t>
      </w:r>
      <w:proofErr w:type="spellStart"/>
      <w:r>
        <w:t>Lutzu</w:t>
      </w:r>
      <w:proofErr w:type="spellEnd"/>
      <w:r>
        <w:t xml:space="preserve"> G. A., Dunford N. T., 2021</w:t>
      </w:r>
      <w:proofErr w:type="gramStart"/>
      <w:r w:rsidR="00F52CE7">
        <w:t>b</w:t>
      </w:r>
      <w:r>
        <w:t>,  Experiments</w:t>
      </w:r>
      <w:proofErr w:type="gramEnd"/>
      <w:r>
        <w:t xml:space="preserve"> and </w:t>
      </w:r>
      <w:proofErr w:type="spellStart"/>
      <w:r>
        <w:t>modeling</w:t>
      </w:r>
      <w:proofErr w:type="spellEnd"/>
      <w:r>
        <w:t xml:space="preserve"> of </w:t>
      </w:r>
      <w:proofErr w:type="spellStart"/>
      <w:r>
        <w:t>Komvophoron</w:t>
      </w:r>
      <w:proofErr w:type="spellEnd"/>
      <w:r>
        <w:t xml:space="preserve"> sp. growth in hydraulic fracturing wastewater, Chemical Engineering Journal, 426, 131299.</w:t>
      </w:r>
    </w:p>
    <w:p w14:paraId="1D882944" w14:textId="592F1B3A" w:rsidR="004D65B1" w:rsidRDefault="004D65B1" w:rsidP="006324E3">
      <w:pPr>
        <w:pStyle w:val="CETReferencetext"/>
      </w:pPr>
      <w:r>
        <w:t>Concas A., Pisu M., and Cao G., 2013, Mathematical modelling of Chlorella vulgaris growth in semi-batch photobioreactors fed with pure CO</w:t>
      </w:r>
      <w:r w:rsidRPr="00D3051A">
        <w:rPr>
          <w:vertAlign w:val="subscript"/>
        </w:rPr>
        <w:t>2</w:t>
      </w:r>
      <w:r>
        <w:t>, Chemical Engineering Transactions, 32.</w:t>
      </w:r>
    </w:p>
    <w:p w14:paraId="7F3465F8" w14:textId="50325C52" w:rsidR="00E43079" w:rsidRDefault="00E43079" w:rsidP="006324E3">
      <w:pPr>
        <w:pStyle w:val="CETReferencetext"/>
      </w:pPr>
      <w:r w:rsidRPr="00E43079">
        <w:t xml:space="preserve">Concas A., Fais G., Enna, M., </w:t>
      </w:r>
      <w:proofErr w:type="spellStart"/>
      <w:r w:rsidRPr="00E43079">
        <w:t>Zucchelli</w:t>
      </w:r>
      <w:proofErr w:type="spellEnd"/>
      <w:r w:rsidRPr="00E43079">
        <w:t xml:space="preserve">, S., Caboni, P., Lai, N., </w:t>
      </w:r>
      <w:r>
        <w:t>Cincotti A., Cao G., 2</w:t>
      </w:r>
      <w:r w:rsidRPr="00E43079">
        <w:t>023</w:t>
      </w:r>
      <w:r>
        <w:t>,</w:t>
      </w:r>
      <w:r w:rsidRPr="00E43079">
        <w:t xml:space="preserve"> </w:t>
      </w:r>
      <w:proofErr w:type="spellStart"/>
      <w:r w:rsidRPr="00E43079">
        <w:t>Modeling</w:t>
      </w:r>
      <w:proofErr w:type="spellEnd"/>
      <w:r w:rsidRPr="00E43079">
        <w:t xml:space="preserve"> and experimental assessment of </w:t>
      </w:r>
      <w:proofErr w:type="spellStart"/>
      <w:r w:rsidRPr="00E43079">
        <w:rPr>
          <w:i/>
          <w:iCs/>
        </w:rPr>
        <w:t>Synechococcus</w:t>
      </w:r>
      <w:proofErr w:type="spellEnd"/>
      <w:r w:rsidRPr="00E43079">
        <w:rPr>
          <w:i/>
          <w:iCs/>
        </w:rPr>
        <w:t xml:space="preserve"> </w:t>
      </w:r>
      <w:proofErr w:type="spellStart"/>
      <w:r w:rsidRPr="00E43079">
        <w:rPr>
          <w:i/>
          <w:iCs/>
        </w:rPr>
        <w:t>nidulans</w:t>
      </w:r>
      <w:proofErr w:type="spellEnd"/>
      <w:r w:rsidRPr="00E43079">
        <w:t xml:space="preserve"> cultivation using simulated Martian medium and astronauts’ urine</w:t>
      </w:r>
      <w:r>
        <w:t>,</w:t>
      </w:r>
      <w:r w:rsidRPr="00E43079">
        <w:t xml:space="preserve"> Acta </w:t>
      </w:r>
      <w:proofErr w:type="spellStart"/>
      <w:r w:rsidRPr="00E43079">
        <w:t>Astronautica</w:t>
      </w:r>
      <w:proofErr w:type="spellEnd"/>
      <w:r>
        <w:t>, 205, 185-198</w:t>
      </w:r>
    </w:p>
    <w:p w14:paraId="261353C1" w14:textId="77777777" w:rsidR="004D65B1" w:rsidRDefault="004D65B1" w:rsidP="006324E3">
      <w:pPr>
        <w:pStyle w:val="CETReferencetext"/>
      </w:pPr>
      <w:r w:rsidRPr="004D65B1">
        <w:t xml:space="preserve">Cornet J. F., </w:t>
      </w:r>
      <w:proofErr w:type="spellStart"/>
      <w:proofErr w:type="gramStart"/>
      <w:r w:rsidRPr="004D65B1">
        <w:t>Dussap,C</w:t>
      </w:r>
      <w:proofErr w:type="spellEnd"/>
      <w:r w:rsidRPr="004D65B1">
        <w:t>.</w:t>
      </w:r>
      <w:proofErr w:type="gramEnd"/>
      <w:r w:rsidRPr="004D65B1">
        <w:t xml:space="preserve"> G., </w:t>
      </w:r>
      <w:proofErr w:type="spellStart"/>
      <w:r w:rsidRPr="004D65B1">
        <w:t>Cluzel</w:t>
      </w:r>
      <w:proofErr w:type="spellEnd"/>
      <w:r w:rsidRPr="004D65B1">
        <w:t xml:space="preserve"> P., </w:t>
      </w:r>
      <w:proofErr w:type="spellStart"/>
      <w:r w:rsidRPr="004D65B1">
        <w:t>Dubertret</w:t>
      </w:r>
      <w:proofErr w:type="spellEnd"/>
      <w:r w:rsidRPr="004D65B1">
        <w:t xml:space="preserve"> G.</w:t>
      </w:r>
      <w:r>
        <w:t xml:space="preserve">, </w:t>
      </w:r>
      <w:r w:rsidRPr="004D65B1">
        <w:t>1992</w:t>
      </w:r>
      <w:r>
        <w:t>,</w:t>
      </w:r>
      <w:r w:rsidRPr="004D65B1">
        <w:t xml:space="preserve"> A structured model for simulation of cultures of the cyanobacterium Spirulina platensis in photobioreactors: II. Identification of kinetic parameters under light and mineral limitations. Biotechnology and Bioengineering, 40(7), 826-834.</w:t>
      </w:r>
    </w:p>
    <w:p w14:paraId="4E80DF8A" w14:textId="3C94AF07" w:rsidR="004D65B1" w:rsidRDefault="004D65B1" w:rsidP="006324E3">
      <w:pPr>
        <w:pStyle w:val="CETReferencetext"/>
      </w:pPr>
      <w:r>
        <w:t>De Man P., 2019, In-Situ Resource Utilization: Legal Aspect. Promoting Productive Cooperation Between Space Lawyers and Engineers, IGI Global. 211-224.</w:t>
      </w:r>
    </w:p>
    <w:p w14:paraId="2F0B8599" w14:textId="5784AE21" w:rsidR="009625C9" w:rsidRDefault="009625C9" w:rsidP="006324E3">
      <w:pPr>
        <w:pStyle w:val="CETReferencetext"/>
      </w:pPr>
      <w:r w:rsidRPr="009625C9">
        <w:t>Fais G., Manca A., Concas A., Pantaleo A.</w:t>
      </w:r>
      <w:proofErr w:type="gramStart"/>
      <w:r w:rsidRPr="009625C9">
        <w:t>,  Cao</w:t>
      </w:r>
      <w:proofErr w:type="gramEnd"/>
      <w:r>
        <w:t xml:space="preserve"> </w:t>
      </w:r>
      <w:r w:rsidRPr="009625C9">
        <w:t>G.</w:t>
      </w:r>
      <w:r>
        <w:t>,</w:t>
      </w:r>
      <w:r w:rsidRPr="009625C9">
        <w:t xml:space="preserve"> 2022</w:t>
      </w:r>
      <w:r>
        <w:t xml:space="preserve">a, </w:t>
      </w:r>
      <w:r w:rsidRPr="009625C9">
        <w:t>A novel process to grow edible microalgae on Mars by exploiting in situ-available resources: Experimental investigation</w:t>
      </w:r>
      <w:r>
        <w:t>,</w:t>
      </w:r>
      <w:r w:rsidRPr="009625C9">
        <w:t xml:space="preserve"> Acta </w:t>
      </w:r>
      <w:proofErr w:type="spellStart"/>
      <w:r w:rsidRPr="009625C9">
        <w:t>Astronautica</w:t>
      </w:r>
      <w:proofErr w:type="spellEnd"/>
      <w:r w:rsidRPr="009625C9">
        <w:t>, 201, 454-463.</w:t>
      </w:r>
    </w:p>
    <w:p w14:paraId="2F18C77C" w14:textId="059C6236" w:rsidR="00B55AED" w:rsidRDefault="00B55AED" w:rsidP="006324E3">
      <w:pPr>
        <w:pStyle w:val="CETReferencetext"/>
      </w:pPr>
      <w:r w:rsidRPr="00B55AED">
        <w:t xml:space="preserve">Fais G., Manca A., Bolognesi F., Borselli M., Concas A., Busutti, M., ... </w:t>
      </w:r>
      <w:r>
        <w:t>and</w:t>
      </w:r>
      <w:r w:rsidRPr="00B55AED">
        <w:t xml:space="preserve"> Giannaccare G.</w:t>
      </w:r>
      <w:r>
        <w:t>,</w:t>
      </w:r>
      <w:r w:rsidRPr="00B55AED">
        <w:t xml:space="preserve"> 2022</w:t>
      </w:r>
      <w:r>
        <w:t>b,</w:t>
      </w:r>
      <w:r w:rsidRPr="00B55AED">
        <w:t xml:space="preserve"> Wide range applications of Spirulina: from earth to space missions</w:t>
      </w:r>
      <w:r>
        <w:t>,</w:t>
      </w:r>
      <w:r w:rsidRPr="00B55AED">
        <w:t xml:space="preserve"> Marine Drugs, 20(5), 299.</w:t>
      </w:r>
    </w:p>
    <w:p w14:paraId="1ACEB207" w14:textId="77777777" w:rsidR="004D65B1" w:rsidRDefault="004D65B1" w:rsidP="006324E3">
      <w:pPr>
        <w:pStyle w:val="CETReferencetext"/>
      </w:pPr>
      <w:proofErr w:type="spellStart"/>
      <w:r>
        <w:t>Jeffryes</w:t>
      </w:r>
      <w:proofErr w:type="spellEnd"/>
      <w:r w:rsidRPr="00D3051A">
        <w:t xml:space="preserve"> </w:t>
      </w:r>
      <w:r>
        <w:t>C., Rosenberger</w:t>
      </w:r>
      <w:r w:rsidRPr="00D3051A">
        <w:t xml:space="preserve"> </w:t>
      </w:r>
      <w:r>
        <w:t xml:space="preserve">J., </w:t>
      </w:r>
      <w:proofErr w:type="spellStart"/>
      <w:r>
        <w:t>Rorrer</w:t>
      </w:r>
      <w:proofErr w:type="spellEnd"/>
      <w:r w:rsidRPr="00D3051A">
        <w:t xml:space="preserve"> </w:t>
      </w:r>
      <w:r>
        <w:t xml:space="preserve">G. L., 2013, Fed-batch cultivation and bioprocess </w:t>
      </w:r>
      <w:proofErr w:type="spellStart"/>
      <w:r>
        <w:t>modeling</w:t>
      </w:r>
      <w:proofErr w:type="spellEnd"/>
      <w:r>
        <w:t xml:space="preserve"> of Cyclotella sp. for enhanced fatty acid production by controlled silicon limitation, Algal Research, 2, 16–27.</w:t>
      </w:r>
    </w:p>
    <w:p w14:paraId="06906813" w14:textId="77777777" w:rsidR="004D65B1" w:rsidRDefault="004D65B1" w:rsidP="006324E3">
      <w:pPr>
        <w:pStyle w:val="CETReferencetext"/>
      </w:pPr>
      <w:proofErr w:type="spellStart"/>
      <w:r w:rsidRPr="00D3051A">
        <w:t>Klöckner</w:t>
      </w:r>
      <w:proofErr w:type="spellEnd"/>
      <w:r w:rsidRPr="00D3051A">
        <w:t xml:space="preserve"> W., </w:t>
      </w:r>
      <w:proofErr w:type="spellStart"/>
      <w:r w:rsidRPr="00D3051A">
        <w:t>Gacem</w:t>
      </w:r>
      <w:proofErr w:type="spellEnd"/>
      <w:r w:rsidRPr="00D3051A">
        <w:t xml:space="preserve"> R., </w:t>
      </w:r>
      <w:proofErr w:type="spellStart"/>
      <w:r w:rsidRPr="00D3051A">
        <w:t>Anderlei</w:t>
      </w:r>
      <w:proofErr w:type="spellEnd"/>
      <w:r w:rsidRPr="00D3051A">
        <w:t xml:space="preserve"> T., Raven N., </w:t>
      </w:r>
      <w:proofErr w:type="spellStart"/>
      <w:r w:rsidRPr="00D3051A">
        <w:t>Schillberg</w:t>
      </w:r>
      <w:proofErr w:type="spellEnd"/>
      <w:r w:rsidRPr="00D3051A">
        <w:t xml:space="preserve"> S., </w:t>
      </w:r>
      <w:proofErr w:type="spellStart"/>
      <w:r w:rsidRPr="00D3051A">
        <w:t>Lattermann</w:t>
      </w:r>
      <w:proofErr w:type="spellEnd"/>
      <w:r>
        <w:t xml:space="preserve"> </w:t>
      </w:r>
      <w:r w:rsidRPr="00D3051A">
        <w:t xml:space="preserve">C., </w:t>
      </w:r>
      <w:proofErr w:type="spellStart"/>
      <w:r w:rsidRPr="00D3051A">
        <w:t>Büchs</w:t>
      </w:r>
      <w:proofErr w:type="spellEnd"/>
      <w:r w:rsidRPr="00D3051A">
        <w:t>, J.</w:t>
      </w:r>
      <w:r>
        <w:t>,</w:t>
      </w:r>
      <w:r w:rsidRPr="00D3051A">
        <w:t xml:space="preserve"> </w:t>
      </w:r>
      <w:r>
        <w:t xml:space="preserve">2013, Correlation between mass transfer coefficient </w:t>
      </w:r>
      <w:proofErr w:type="spellStart"/>
      <w:r>
        <w:t>kLa</w:t>
      </w:r>
      <w:proofErr w:type="spellEnd"/>
      <w:r>
        <w:t xml:space="preserve"> and relevant operating parameters in cylindrical disposable shaken bioreactors on a bench-to-pilot scale, Journal of Biological Engineering, 7, 1–14.</w:t>
      </w:r>
    </w:p>
    <w:p w14:paraId="6CF556D9" w14:textId="77777777" w:rsidR="004D65B1" w:rsidRDefault="004D65B1" w:rsidP="006324E3">
      <w:pPr>
        <w:pStyle w:val="CETReferencetext"/>
      </w:pPr>
      <w:proofErr w:type="spellStart"/>
      <w:r>
        <w:t>Marsullo</w:t>
      </w:r>
      <w:proofErr w:type="spellEnd"/>
      <w:r w:rsidRPr="00D3051A">
        <w:t xml:space="preserve"> </w:t>
      </w:r>
      <w:r>
        <w:t>M., Mian</w:t>
      </w:r>
      <w:r w:rsidRPr="00D3051A">
        <w:t xml:space="preserve"> </w:t>
      </w:r>
      <w:r>
        <w:t xml:space="preserve">A., </w:t>
      </w:r>
      <w:proofErr w:type="spellStart"/>
      <w:r>
        <w:t>Ensinas</w:t>
      </w:r>
      <w:proofErr w:type="spellEnd"/>
      <w:r w:rsidRPr="00D3051A">
        <w:t xml:space="preserve"> </w:t>
      </w:r>
      <w:r>
        <w:t xml:space="preserve">A. V., </w:t>
      </w:r>
      <w:proofErr w:type="spellStart"/>
      <w:r>
        <w:t>Manente</w:t>
      </w:r>
      <w:proofErr w:type="spellEnd"/>
      <w:r w:rsidRPr="00D3051A">
        <w:t xml:space="preserve"> </w:t>
      </w:r>
      <w:r>
        <w:t>G., Lazzaretto</w:t>
      </w:r>
      <w:r w:rsidRPr="00D3051A">
        <w:t xml:space="preserve"> </w:t>
      </w:r>
      <w:r>
        <w:t>A., Marechal</w:t>
      </w:r>
      <w:r w:rsidRPr="00D3051A">
        <w:t xml:space="preserve"> </w:t>
      </w:r>
      <w:r>
        <w:t xml:space="preserve">F., 2015, Dynamic </w:t>
      </w:r>
      <w:proofErr w:type="spellStart"/>
      <w:r>
        <w:t>modeling</w:t>
      </w:r>
      <w:proofErr w:type="spellEnd"/>
      <w:r>
        <w:t xml:space="preserve"> of the microalgae cultivation phase for energy production in open raceway ponds and flat panel photobioreactors, Frontiers in Energy Research, 3, 41.</w:t>
      </w:r>
    </w:p>
    <w:p w14:paraId="25AFE00F" w14:textId="77777777" w:rsidR="004D65B1" w:rsidRDefault="004D65B1" w:rsidP="006324E3">
      <w:pPr>
        <w:pStyle w:val="CETReferencetext"/>
      </w:pPr>
      <w:r>
        <w:t>Perrin</w:t>
      </w:r>
      <w:r w:rsidRPr="00961F9E">
        <w:t xml:space="preserve"> </w:t>
      </w:r>
      <w:r>
        <w:t xml:space="preserve">D. D., 1969, Dissociation constants of inorganic </w:t>
      </w:r>
      <w:proofErr w:type="spellStart"/>
      <w:r>
        <w:t>acidsand</w:t>
      </w:r>
      <w:proofErr w:type="spellEnd"/>
      <w:r>
        <w:t xml:space="preserve"> bases in aqueous solution, Pure and Applied Chemistry, 20, 33–236.</w:t>
      </w:r>
    </w:p>
    <w:p w14:paraId="73AB8925" w14:textId="16B932FA" w:rsidR="0071023C" w:rsidRDefault="004D65B1" w:rsidP="0071023C">
      <w:pPr>
        <w:pStyle w:val="CETReferencetext"/>
      </w:pPr>
      <w:r>
        <w:t>Sander</w:t>
      </w:r>
      <w:r w:rsidRPr="00961F9E">
        <w:t xml:space="preserve"> </w:t>
      </w:r>
      <w:r>
        <w:t>R., 2015, Compilation of Henry’s law constants (version 4.0) for water as solvent,” Atmospheric Chemistry and Physics, 15, 4399–4981.</w:t>
      </w:r>
    </w:p>
    <w:sectPr w:rsidR="0071023C"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CA266" w14:textId="77777777" w:rsidR="00020859" w:rsidRDefault="00020859" w:rsidP="004F5E36">
      <w:r>
        <w:separator/>
      </w:r>
    </w:p>
  </w:endnote>
  <w:endnote w:type="continuationSeparator" w:id="0">
    <w:p w14:paraId="1119F43E" w14:textId="77777777" w:rsidR="00020859" w:rsidRDefault="0002085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AdvGulliv-R">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1C910" w14:textId="77777777" w:rsidR="00020859" w:rsidRDefault="00020859" w:rsidP="004F5E36">
      <w:r>
        <w:separator/>
      </w:r>
    </w:p>
  </w:footnote>
  <w:footnote w:type="continuationSeparator" w:id="0">
    <w:p w14:paraId="70E5C693" w14:textId="77777777" w:rsidR="00020859" w:rsidRDefault="0002085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66387303">
    <w:abstractNumId w:val="10"/>
  </w:num>
  <w:num w:numId="2" w16cid:durableId="2098674370">
    <w:abstractNumId w:val="8"/>
  </w:num>
  <w:num w:numId="3" w16cid:durableId="328794582">
    <w:abstractNumId w:val="3"/>
  </w:num>
  <w:num w:numId="4" w16cid:durableId="1493715667">
    <w:abstractNumId w:val="2"/>
  </w:num>
  <w:num w:numId="5" w16cid:durableId="1685085189">
    <w:abstractNumId w:val="1"/>
  </w:num>
  <w:num w:numId="6" w16cid:durableId="1640961098">
    <w:abstractNumId w:val="0"/>
  </w:num>
  <w:num w:numId="7" w16cid:durableId="1329796237">
    <w:abstractNumId w:val="9"/>
  </w:num>
  <w:num w:numId="8" w16cid:durableId="434863390">
    <w:abstractNumId w:val="7"/>
  </w:num>
  <w:num w:numId="9" w16cid:durableId="2118745114">
    <w:abstractNumId w:val="6"/>
  </w:num>
  <w:num w:numId="10" w16cid:durableId="1667629960">
    <w:abstractNumId w:val="5"/>
  </w:num>
  <w:num w:numId="11" w16cid:durableId="1844857821">
    <w:abstractNumId w:val="4"/>
  </w:num>
  <w:num w:numId="12" w16cid:durableId="86924898">
    <w:abstractNumId w:val="17"/>
  </w:num>
  <w:num w:numId="13" w16cid:durableId="438063594">
    <w:abstractNumId w:val="12"/>
  </w:num>
  <w:num w:numId="14" w16cid:durableId="485241540">
    <w:abstractNumId w:val="18"/>
  </w:num>
  <w:num w:numId="15" w16cid:durableId="84573396">
    <w:abstractNumId w:val="20"/>
  </w:num>
  <w:num w:numId="16" w16cid:durableId="1219438931">
    <w:abstractNumId w:val="19"/>
  </w:num>
  <w:num w:numId="17" w16cid:durableId="2067365427">
    <w:abstractNumId w:val="11"/>
  </w:num>
  <w:num w:numId="18" w16cid:durableId="205527312">
    <w:abstractNumId w:val="12"/>
    <w:lvlOverride w:ilvl="0">
      <w:startOverride w:val="1"/>
    </w:lvlOverride>
  </w:num>
  <w:num w:numId="19" w16cid:durableId="717778197">
    <w:abstractNumId w:val="16"/>
  </w:num>
  <w:num w:numId="20" w16cid:durableId="975182865">
    <w:abstractNumId w:val="15"/>
  </w:num>
  <w:num w:numId="21" w16cid:durableId="1754474590">
    <w:abstractNumId w:val="14"/>
  </w:num>
  <w:num w:numId="22" w16cid:durableId="3557504">
    <w:abstractNumId w:val="13"/>
  </w:num>
  <w:num w:numId="23" w16cid:durableId="5583987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51B4"/>
    <w:rsid w:val="00020859"/>
    <w:rsid w:val="000224FA"/>
    <w:rsid w:val="00027514"/>
    <w:rsid w:val="0003148D"/>
    <w:rsid w:val="00031EEC"/>
    <w:rsid w:val="000360CD"/>
    <w:rsid w:val="00051566"/>
    <w:rsid w:val="000562A9"/>
    <w:rsid w:val="00062A9A"/>
    <w:rsid w:val="00065058"/>
    <w:rsid w:val="00066D9C"/>
    <w:rsid w:val="00081E58"/>
    <w:rsid w:val="00086C39"/>
    <w:rsid w:val="00092DEC"/>
    <w:rsid w:val="000A03B2"/>
    <w:rsid w:val="000C1070"/>
    <w:rsid w:val="000C5C9F"/>
    <w:rsid w:val="000D0268"/>
    <w:rsid w:val="000D34BE"/>
    <w:rsid w:val="000D7629"/>
    <w:rsid w:val="000E102F"/>
    <w:rsid w:val="000E24B1"/>
    <w:rsid w:val="000E36F1"/>
    <w:rsid w:val="000E3A73"/>
    <w:rsid w:val="000E414A"/>
    <w:rsid w:val="000F093C"/>
    <w:rsid w:val="000F787B"/>
    <w:rsid w:val="00105D30"/>
    <w:rsid w:val="0012091F"/>
    <w:rsid w:val="00126BC2"/>
    <w:rsid w:val="001308B6"/>
    <w:rsid w:val="0013121F"/>
    <w:rsid w:val="00131FE6"/>
    <w:rsid w:val="0013263F"/>
    <w:rsid w:val="001331DF"/>
    <w:rsid w:val="00134DE4"/>
    <w:rsid w:val="00136C68"/>
    <w:rsid w:val="0014034D"/>
    <w:rsid w:val="00144D16"/>
    <w:rsid w:val="00150E59"/>
    <w:rsid w:val="00152DE3"/>
    <w:rsid w:val="00164CF9"/>
    <w:rsid w:val="001667A6"/>
    <w:rsid w:val="00184AD6"/>
    <w:rsid w:val="00193D2F"/>
    <w:rsid w:val="00194624"/>
    <w:rsid w:val="001A4AF7"/>
    <w:rsid w:val="001B0349"/>
    <w:rsid w:val="001B1E93"/>
    <w:rsid w:val="001B65C1"/>
    <w:rsid w:val="001C140F"/>
    <w:rsid w:val="001C684B"/>
    <w:rsid w:val="001D0CFB"/>
    <w:rsid w:val="001D21AF"/>
    <w:rsid w:val="001D2C83"/>
    <w:rsid w:val="001D53FC"/>
    <w:rsid w:val="001D6519"/>
    <w:rsid w:val="001F42A5"/>
    <w:rsid w:val="001F7B9D"/>
    <w:rsid w:val="00200112"/>
    <w:rsid w:val="00201C93"/>
    <w:rsid w:val="002224B4"/>
    <w:rsid w:val="00226A1F"/>
    <w:rsid w:val="00232006"/>
    <w:rsid w:val="002447EF"/>
    <w:rsid w:val="00251550"/>
    <w:rsid w:val="002617D9"/>
    <w:rsid w:val="00263B05"/>
    <w:rsid w:val="00267191"/>
    <w:rsid w:val="0027221A"/>
    <w:rsid w:val="00275B61"/>
    <w:rsid w:val="00280FAF"/>
    <w:rsid w:val="00282656"/>
    <w:rsid w:val="00284EC6"/>
    <w:rsid w:val="00292004"/>
    <w:rsid w:val="00293ADC"/>
    <w:rsid w:val="00296B83"/>
    <w:rsid w:val="002B4015"/>
    <w:rsid w:val="002B78CE"/>
    <w:rsid w:val="002C2FB6"/>
    <w:rsid w:val="002C433D"/>
    <w:rsid w:val="002D1CE4"/>
    <w:rsid w:val="002E5FA7"/>
    <w:rsid w:val="002F3309"/>
    <w:rsid w:val="003008CE"/>
    <w:rsid w:val="003009B7"/>
    <w:rsid w:val="00300E56"/>
    <w:rsid w:val="0030152C"/>
    <w:rsid w:val="0030469C"/>
    <w:rsid w:val="00321CA6"/>
    <w:rsid w:val="00323763"/>
    <w:rsid w:val="00323C5F"/>
    <w:rsid w:val="00334C09"/>
    <w:rsid w:val="00354E24"/>
    <w:rsid w:val="003625C2"/>
    <w:rsid w:val="003723D4"/>
    <w:rsid w:val="00381905"/>
    <w:rsid w:val="00384CC8"/>
    <w:rsid w:val="003871FD"/>
    <w:rsid w:val="003A1E30"/>
    <w:rsid w:val="003A2829"/>
    <w:rsid w:val="003A384D"/>
    <w:rsid w:val="003A727E"/>
    <w:rsid w:val="003A7D1C"/>
    <w:rsid w:val="003B2F62"/>
    <w:rsid w:val="003B304B"/>
    <w:rsid w:val="003B3146"/>
    <w:rsid w:val="003B5CC9"/>
    <w:rsid w:val="003E0F51"/>
    <w:rsid w:val="003F015E"/>
    <w:rsid w:val="003F0712"/>
    <w:rsid w:val="003F2393"/>
    <w:rsid w:val="00400414"/>
    <w:rsid w:val="0041446B"/>
    <w:rsid w:val="004226AF"/>
    <w:rsid w:val="004364FA"/>
    <w:rsid w:val="0044071E"/>
    <w:rsid w:val="0044329C"/>
    <w:rsid w:val="00451DDB"/>
    <w:rsid w:val="00453E24"/>
    <w:rsid w:val="00454A2E"/>
    <w:rsid w:val="00457456"/>
    <w:rsid w:val="004577FE"/>
    <w:rsid w:val="00457B9C"/>
    <w:rsid w:val="0046164A"/>
    <w:rsid w:val="004628D2"/>
    <w:rsid w:val="00462DCD"/>
    <w:rsid w:val="004648AD"/>
    <w:rsid w:val="004703A9"/>
    <w:rsid w:val="004760DE"/>
    <w:rsid w:val="004763D7"/>
    <w:rsid w:val="004A004E"/>
    <w:rsid w:val="004A24CF"/>
    <w:rsid w:val="004B4BC9"/>
    <w:rsid w:val="004C3D1D"/>
    <w:rsid w:val="004C3D84"/>
    <w:rsid w:val="004C4262"/>
    <w:rsid w:val="004C7913"/>
    <w:rsid w:val="004D65B1"/>
    <w:rsid w:val="004E4DD6"/>
    <w:rsid w:val="004F5E36"/>
    <w:rsid w:val="00507B47"/>
    <w:rsid w:val="00507BEF"/>
    <w:rsid w:val="00507CC9"/>
    <w:rsid w:val="005119A5"/>
    <w:rsid w:val="00517FFC"/>
    <w:rsid w:val="005278B7"/>
    <w:rsid w:val="00532016"/>
    <w:rsid w:val="005346C8"/>
    <w:rsid w:val="00542D36"/>
    <w:rsid w:val="00543E7D"/>
    <w:rsid w:val="00547A68"/>
    <w:rsid w:val="005531C9"/>
    <w:rsid w:val="00570C43"/>
    <w:rsid w:val="00592418"/>
    <w:rsid w:val="005B160F"/>
    <w:rsid w:val="005B2110"/>
    <w:rsid w:val="005B2CEE"/>
    <w:rsid w:val="005B61E6"/>
    <w:rsid w:val="005B75A4"/>
    <w:rsid w:val="005C63BA"/>
    <w:rsid w:val="005C77E1"/>
    <w:rsid w:val="005D668A"/>
    <w:rsid w:val="005D6A2F"/>
    <w:rsid w:val="005E1A82"/>
    <w:rsid w:val="005E794C"/>
    <w:rsid w:val="005F0A28"/>
    <w:rsid w:val="005F0E5E"/>
    <w:rsid w:val="00600535"/>
    <w:rsid w:val="00601C9B"/>
    <w:rsid w:val="00601FDC"/>
    <w:rsid w:val="00610CD6"/>
    <w:rsid w:val="00615D83"/>
    <w:rsid w:val="00620DEE"/>
    <w:rsid w:val="00621F92"/>
    <w:rsid w:val="0062280A"/>
    <w:rsid w:val="00625639"/>
    <w:rsid w:val="00631B33"/>
    <w:rsid w:val="006324E3"/>
    <w:rsid w:val="0064184D"/>
    <w:rsid w:val="006422CC"/>
    <w:rsid w:val="00660E3E"/>
    <w:rsid w:val="00662E74"/>
    <w:rsid w:val="00676F66"/>
    <w:rsid w:val="00680C23"/>
    <w:rsid w:val="00693766"/>
    <w:rsid w:val="006A317E"/>
    <w:rsid w:val="006A3281"/>
    <w:rsid w:val="006B4888"/>
    <w:rsid w:val="006B6BFD"/>
    <w:rsid w:val="006C2E45"/>
    <w:rsid w:val="006C359C"/>
    <w:rsid w:val="006C5579"/>
    <w:rsid w:val="006D23E8"/>
    <w:rsid w:val="006D6E8B"/>
    <w:rsid w:val="006E737D"/>
    <w:rsid w:val="0071023C"/>
    <w:rsid w:val="00713973"/>
    <w:rsid w:val="00720A24"/>
    <w:rsid w:val="00732386"/>
    <w:rsid w:val="0073514D"/>
    <w:rsid w:val="007447F3"/>
    <w:rsid w:val="0075430A"/>
    <w:rsid w:val="0075499F"/>
    <w:rsid w:val="007661C8"/>
    <w:rsid w:val="0077098D"/>
    <w:rsid w:val="007931FA"/>
    <w:rsid w:val="007A4861"/>
    <w:rsid w:val="007A4B42"/>
    <w:rsid w:val="007A7BBA"/>
    <w:rsid w:val="007B0C50"/>
    <w:rsid w:val="007B48F9"/>
    <w:rsid w:val="007C1A43"/>
    <w:rsid w:val="007C38A8"/>
    <w:rsid w:val="007C6C8E"/>
    <w:rsid w:val="007D0951"/>
    <w:rsid w:val="007E10C4"/>
    <w:rsid w:val="007F5A72"/>
    <w:rsid w:val="0080013E"/>
    <w:rsid w:val="0081006C"/>
    <w:rsid w:val="0081236F"/>
    <w:rsid w:val="00813288"/>
    <w:rsid w:val="008168FC"/>
    <w:rsid w:val="00830996"/>
    <w:rsid w:val="008345F1"/>
    <w:rsid w:val="00844BCD"/>
    <w:rsid w:val="008657E2"/>
    <w:rsid w:val="00865B07"/>
    <w:rsid w:val="008667EA"/>
    <w:rsid w:val="00866CFE"/>
    <w:rsid w:val="0087637F"/>
    <w:rsid w:val="00880E70"/>
    <w:rsid w:val="00883BF0"/>
    <w:rsid w:val="00892AD5"/>
    <w:rsid w:val="008A1512"/>
    <w:rsid w:val="008D32B9"/>
    <w:rsid w:val="008D433B"/>
    <w:rsid w:val="008D4A16"/>
    <w:rsid w:val="008D5641"/>
    <w:rsid w:val="008E566E"/>
    <w:rsid w:val="008F5427"/>
    <w:rsid w:val="0090161A"/>
    <w:rsid w:val="00901EB6"/>
    <w:rsid w:val="00904C62"/>
    <w:rsid w:val="009122C4"/>
    <w:rsid w:val="00922BA8"/>
    <w:rsid w:val="00924DAC"/>
    <w:rsid w:val="00927058"/>
    <w:rsid w:val="00942750"/>
    <w:rsid w:val="009450CE"/>
    <w:rsid w:val="009459BB"/>
    <w:rsid w:val="00945ECA"/>
    <w:rsid w:val="00946932"/>
    <w:rsid w:val="00947179"/>
    <w:rsid w:val="0095164B"/>
    <w:rsid w:val="00954090"/>
    <w:rsid w:val="009573E7"/>
    <w:rsid w:val="0095786E"/>
    <w:rsid w:val="00961F9E"/>
    <w:rsid w:val="009625C9"/>
    <w:rsid w:val="00963E05"/>
    <w:rsid w:val="00964A45"/>
    <w:rsid w:val="00967843"/>
    <w:rsid w:val="00967CDA"/>
    <w:rsid w:val="00967D54"/>
    <w:rsid w:val="00971028"/>
    <w:rsid w:val="00982561"/>
    <w:rsid w:val="00993B84"/>
    <w:rsid w:val="00996483"/>
    <w:rsid w:val="00996F5A"/>
    <w:rsid w:val="009A7AC6"/>
    <w:rsid w:val="009B041A"/>
    <w:rsid w:val="009B2717"/>
    <w:rsid w:val="009C37C3"/>
    <w:rsid w:val="009C7C86"/>
    <w:rsid w:val="009D1A10"/>
    <w:rsid w:val="009D2FF7"/>
    <w:rsid w:val="009D5AAF"/>
    <w:rsid w:val="009E762D"/>
    <w:rsid w:val="009E7884"/>
    <w:rsid w:val="009E788A"/>
    <w:rsid w:val="009F0E08"/>
    <w:rsid w:val="009F1339"/>
    <w:rsid w:val="009F6DB7"/>
    <w:rsid w:val="00A03C28"/>
    <w:rsid w:val="00A1763D"/>
    <w:rsid w:val="00A17CEC"/>
    <w:rsid w:val="00A249BE"/>
    <w:rsid w:val="00A27EF0"/>
    <w:rsid w:val="00A42361"/>
    <w:rsid w:val="00A43CD2"/>
    <w:rsid w:val="00A47771"/>
    <w:rsid w:val="00A50B20"/>
    <w:rsid w:val="00A51390"/>
    <w:rsid w:val="00A60D13"/>
    <w:rsid w:val="00A7205A"/>
    <w:rsid w:val="00A7223D"/>
    <w:rsid w:val="00A72745"/>
    <w:rsid w:val="00A76EFC"/>
    <w:rsid w:val="00A819F0"/>
    <w:rsid w:val="00A87D50"/>
    <w:rsid w:val="00A908EA"/>
    <w:rsid w:val="00A91010"/>
    <w:rsid w:val="00A97F29"/>
    <w:rsid w:val="00AA702E"/>
    <w:rsid w:val="00AA7D26"/>
    <w:rsid w:val="00AB0964"/>
    <w:rsid w:val="00AB5011"/>
    <w:rsid w:val="00AC5A03"/>
    <w:rsid w:val="00AC7368"/>
    <w:rsid w:val="00AD16B9"/>
    <w:rsid w:val="00AD75D9"/>
    <w:rsid w:val="00AE377D"/>
    <w:rsid w:val="00AE6A3F"/>
    <w:rsid w:val="00AF0EBA"/>
    <w:rsid w:val="00AF7998"/>
    <w:rsid w:val="00B02C8A"/>
    <w:rsid w:val="00B13ECB"/>
    <w:rsid w:val="00B144A8"/>
    <w:rsid w:val="00B17FBD"/>
    <w:rsid w:val="00B27A8B"/>
    <w:rsid w:val="00B304AA"/>
    <w:rsid w:val="00B315A6"/>
    <w:rsid w:val="00B31813"/>
    <w:rsid w:val="00B32994"/>
    <w:rsid w:val="00B33365"/>
    <w:rsid w:val="00B55AED"/>
    <w:rsid w:val="00B57B36"/>
    <w:rsid w:val="00B57E6F"/>
    <w:rsid w:val="00B8686D"/>
    <w:rsid w:val="00B90E68"/>
    <w:rsid w:val="00B93F69"/>
    <w:rsid w:val="00BB1DDC"/>
    <w:rsid w:val="00BC30C9"/>
    <w:rsid w:val="00BD077D"/>
    <w:rsid w:val="00BD1332"/>
    <w:rsid w:val="00BE3E58"/>
    <w:rsid w:val="00C01616"/>
    <w:rsid w:val="00C0162B"/>
    <w:rsid w:val="00C05B25"/>
    <w:rsid w:val="00C068ED"/>
    <w:rsid w:val="00C22E0C"/>
    <w:rsid w:val="00C313C0"/>
    <w:rsid w:val="00C345B1"/>
    <w:rsid w:val="00C40142"/>
    <w:rsid w:val="00C42B73"/>
    <w:rsid w:val="00C52C3C"/>
    <w:rsid w:val="00C53B83"/>
    <w:rsid w:val="00C57182"/>
    <w:rsid w:val="00C57863"/>
    <w:rsid w:val="00C640AF"/>
    <w:rsid w:val="00C655FD"/>
    <w:rsid w:val="00C75407"/>
    <w:rsid w:val="00C870A8"/>
    <w:rsid w:val="00C94434"/>
    <w:rsid w:val="00C9538D"/>
    <w:rsid w:val="00C97642"/>
    <w:rsid w:val="00CA0D75"/>
    <w:rsid w:val="00CA1C95"/>
    <w:rsid w:val="00CA5A9C"/>
    <w:rsid w:val="00CB0E5F"/>
    <w:rsid w:val="00CB48A3"/>
    <w:rsid w:val="00CC4C20"/>
    <w:rsid w:val="00CC7977"/>
    <w:rsid w:val="00CD3517"/>
    <w:rsid w:val="00CD5FE2"/>
    <w:rsid w:val="00CE7C68"/>
    <w:rsid w:val="00D02AE5"/>
    <w:rsid w:val="00D02B4C"/>
    <w:rsid w:val="00D03690"/>
    <w:rsid w:val="00D0377E"/>
    <w:rsid w:val="00D040C4"/>
    <w:rsid w:val="00D20AD1"/>
    <w:rsid w:val="00D3051A"/>
    <w:rsid w:val="00D3251C"/>
    <w:rsid w:val="00D373D8"/>
    <w:rsid w:val="00D46B7E"/>
    <w:rsid w:val="00D53B9F"/>
    <w:rsid w:val="00D57C84"/>
    <w:rsid w:val="00D6057D"/>
    <w:rsid w:val="00D6239B"/>
    <w:rsid w:val="00D648B9"/>
    <w:rsid w:val="00D71640"/>
    <w:rsid w:val="00D836C5"/>
    <w:rsid w:val="00D84576"/>
    <w:rsid w:val="00DA1399"/>
    <w:rsid w:val="00DA24C6"/>
    <w:rsid w:val="00DA3A89"/>
    <w:rsid w:val="00DA4D7B"/>
    <w:rsid w:val="00DA6B67"/>
    <w:rsid w:val="00DB0D53"/>
    <w:rsid w:val="00DB4A5B"/>
    <w:rsid w:val="00DD271C"/>
    <w:rsid w:val="00DE264A"/>
    <w:rsid w:val="00DE5FCC"/>
    <w:rsid w:val="00DF5072"/>
    <w:rsid w:val="00E015B8"/>
    <w:rsid w:val="00E02D18"/>
    <w:rsid w:val="00E041E7"/>
    <w:rsid w:val="00E20F93"/>
    <w:rsid w:val="00E23CA1"/>
    <w:rsid w:val="00E23DDC"/>
    <w:rsid w:val="00E409A8"/>
    <w:rsid w:val="00E43079"/>
    <w:rsid w:val="00E50C12"/>
    <w:rsid w:val="00E64A2E"/>
    <w:rsid w:val="00E65B91"/>
    <w:rsid w:val="00E66001"/>
    <w:rsid w:val="00E7209D"/>
    <w:rsid w:val="00E72EAD"/>
    <w:rsid w:val="00E77223"/>
    <w:rsid w:val="00E8523F"/>
    <w:rsid w:val="00E8528B"/>
    <w:rsid w:val="00E85B94"/>
    <w:rsid w:val="00E978D0"/>
    <w:rsid w:val="00EA22F5"/>
    <w:rsid w:val="00EA4613"/>
    <w:rsid w:val="00EA5674"/>
    <w:rsid w:val="00EA7F91"/>
    <w:rsid w:val="00EB1523"/>
    <w:rsid w:val="00EC0E49"/>
    <w:rsid w:val="00EC101F"/>
    <w:rsid w:val="00EC1D9F"/>
    <w:rsid w:val="00EC76F0"/>
    <w:rsid w:val="00EE0131"/>
    <w:rsid w:val="00EE17B0"/>
    <w:rsid w:val="00EF06D9"/>
    <w:rsid w:val="00F03769"/>
    <w:rsid w:val="00F3049E"/>
    <w:rsid w:val="00F30C64"/>
    <w:rsid w:val="00F32BA2"/>
    <w:rsid w:val="00F32CDB"/>
    <w:rsid w:val="00F52CE7"/>
    <w:rsid w:val="00F565FE"/>
    <w:rsid w:val="00F63A70"/>
    <w:rsid w:val="00F63D8C"/>
    <w:rsid w:val="00F7534E"/>
    <w:rsid w:val="00F83C25"/>
    <w:rsid w:val="00F93EDF"/>
    <w:rsid w:val="00F968F7"/>
    <w:rsid w:val="00FA1802"/>
    <w:rsid w:val="00FA21D0"/>
    <w:rsid w:val="00FA5F5F"/>
    <w:rsid w:val="00FB071C"/>
    <w:rsid w:val="00FB1025"/>
    <w:rsid w:val="00FB36AA"/>
    <w:rsid w:val="00FB4F94"/>
    <w:rsid w:val="00FB730C"/>
    <w:rsid w:val="00FC2695"/>
    <w:rsid w:val="00FC2812"/>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link w:val="CETListbulletsChar"/>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character" w:customStyle="1" w:styleId="MTConvertedEquation">
    <w:name w:val="MTConvertedEquation"/>
    <w:basedOn w:val="DefaultParagraphFont"/>
    <w:rsid w:val="00F03769"/>
    <w:rPr>
      <w:rFonts w:ascii="Cambria Math" w:hAnsi="Cambria Math"/>
      <w:szCs w:val="18"/>
      <w:lang w:val="en-US"/>
    </w:rPr>
  </w:style>
  <w:style w:type="paragraph" w:customStyle="1" w:styleId="MTDisplayEquation">
    <w:name w:val="MTDisplayEquation"/>
    <w:basedOn w:val="CETListbullets"/>
    <w:next w:val="Normal"/>
    <w:link w:val="MTDisplayEquationChar"/>
    <w:rsid w:val="000224FA"/>
    <w:pPr>
      <w:tabs>
        <w:tab w:val="center" w:pos="4560"/>
        <w:tab w:val="right" w:pos="8780"/>
      </w:tabs>
    </w:pPr>
  </w:style>
  <w:style w:type="character" w:customStyle="1" w:styleId="CETListbulletsChar">
    <w:name w:val="CET List bullets Char"/>
    <w:basedOn w:val="DefaultParagraphFont"/>
    <w:link w:val="CETListbullets"/>
    <w:rsid w:val="000224FA"/>
    <w:rPr>
      <w:rFonts w:ascii="Arial" w:eastAsia="Times New Roman" w:hAnsi="Arial" w:cs="Times New Roman"/>
      <w:sz w:val="18"/>
      <w:szCs w:val="20"/>
      <w:lang w:val="en-GB"/>
    </w:rPr>
  </w:style>
  <w:style w:type="character" w:customStyle="1" w:styleId="MTDisplayEquationChar">
    <w:name w:val="MTDisplayEquation Char"/>
    <w:basedOn w:val="CETListbulletsChar"/>
    <w:link w:val="MTDisplayEquation"/>
    <w:rsid w:val="000224FA"/>
    <w:rPr>
      <w:rFonts w:ascii="Arial" w:eastAsia="Times New Roman" w:hAnsi="Arial" w:cs="Times New Roman"/>
      <w:sz w:val="18"/>
      <w:szCs w:val="20"/>
      <w:lang w:val="en-GB"/>
    </w:rPr>
  </w:style>
  <w:style w:type="character" w:styleId="PlaceholderText">
    <w:name w:val="Placeholder Text"/>
    <w:basedOn w:val="DefaultParagraphFont"/>
    <w:uiPriority w:val="99"/>
    <w:semiHidden/>
    <w:rsid w:val="00CB0E5F"/>
    <w:rPr>
      <w:color w:val="808080"/>
    </w:rPr>
  </w:style>
  <w:style w:type="table" w:styleId="PlainTable3">
    <w:name w:val="Plain Table 3"/>
    <w:basedOn w:val="TableNormal"/>
    <w:uiPriority w:val="43"/>
    <w:rsid w:val="003B5CC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0151B4"/>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8846605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20.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image" Target="media/image19.emf"/><Relationship Id="rId45" Type="http://schemas.openxmlformats.org/officeDocument/2006/relationships/oleObject" Target="embeddings/oleObject17.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wmf"/><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wmf"/><Relationship Id="rId46" Type="http://schemas.openxmlformats.org/officeDocument/2006/relationships/image" Target="media/image22.emf"/><Relationship Id="rId20" Type="http://schemas.openxmlformats.org/officeDocument/2006/relationships/image" Target="media/image9.wmf"/><Relationship Id="rId41" Type="http://schemas.openxmlformats.org/officeDocument/2006/relationships/oleObject" Target="embeddings/oleObject15.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3098</Words>
  <Characters>17660</Characters>
  <Application>Microsoft Office Word</Application>
  <DocSecurity>0</DocSecurity>
  <Lines>147</Lines>
  <Paragraphs>41</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Alessandro Concas</cp:lastModifiedBy>
  <cp:revision>3</cp:revision>
  <cp:lastPrinted>2015-05-12T18:31:00Z</cp:lastPrinted>
  <dcterms:created xsi:type="dcterms:W3CDTF">2023-03-23T21:40:00Z</dcterms:created>
  <dcterms:modified xsi:type="dcterms:W3CDTF">2023-03-23T21:41:00Z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TWinEqns">
    <vt:bool>true</vt:bool>
  </property>
  <property fmtid="{D5CDD505-2E9C-101B-9397-08002B2CF9AE}" pid="5" name="Mendeley Document_1">
    <vt:lpwstr>True</vt:lpwstr>
  </property>
  <property fmtid="{D5CDD505-2E9C-101B-9397-08002B2CF9AE}" pid="6" name="GrammarlyDocumentId">
    <vt:lpwstr>de09aa880b6bef98c891c16c6e450e9c5d93caf556cea4f6ea282d5900da2b98</vt:lpwstr>
  </property>
</Properties>
</file>