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87DD2">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87DD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287DD2">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8302244" w:rsidR="00E978D0" w:rsidRPr="00B57B36" w:rsidRDefault="00287DD2" w:rsidP="00E978D0">
      <w:pPr>
        <w:pStyle w:val="CETTitle"/>
      </w:pPr>
      <w:r w:rsidRPr="00287DD2">
        <w:t>Preliminary assessment of copper/cerium mixed oxides for thermochemical energy storage applications</w:t>
      </w:r>
    </w:p>
    <w:p w14:paraId="0488FED2" w14:textId="1E4C8A85" w:rsidR="00B57E6F" w:rsidRPr="00F066B1" w:rsidRDefault="00287DD2" w:rsidP="00B57E6F">
      <w:pPr>
        <w:pStyle w:val="CETAuthors"/>
        <w:rPr>
          <w:lang w:val="it-IT"/>
        </w:rPr>
      </w:pPr>
      <w:r w:rsidRPr="00F066B1">
        <w:rPr>
          <w:lang w:val="it-IT"/>
        </w:rPr>
        <w:t>Gianluca Landi</w:t>
      </w:r>
      <w:r w:rsidR="00B57E6F" w:rsidRPr="00F066B1">
        <w:rPr>
          <w:vertAlign w:val="superscript"/>
          <w:lang w:val="it-IT"/>
        </w:rPr>
        <w:t>a</w:t>
      </w:r>
      <w:r w:rsidR="00B57E6F" w:rsidRPr="00F066B1">
        <w:rPr>
          <w:lang w:val="it-IT"/>
        </w:rPr>
        <w:t xml:space="preserve">, </w:t>
      </w:r>
      <w:r w:rsidRPr="00F066B1">
        <w:rPr>
          <w:lang w:val="it-IT"/>
        </w:rPr>
        <w:t>Claudio Tregambi</w:t>
      </w:r>
      <w:r w:rsidRPr="00F066B1">
        <w:rPr>
          <w:vertAlign w:val="superscript"/>
          <w:lang w:val="it-IT"/>
        </w:rPr>
        <w:t>a,</w:t>
      </w:r>
      <w:r w:rsidR="00B57E6F" w:rsidRPr="00F066B1">
        <w:rPr>
          <w:vertAlign w:val="superscript"/>
          <w:lang w:val="it-IT"/>
        </w:rPr>
        <w:t>b,</w:t>
      </w:r>
      <w:r w:rsidR="00B57E6F" w:rsidRPr="00F066B1">
        <w:rPr>
          <w:lang w:val="it-IT"/>
        </w:rPr>
        <w:t xml:space="preserve">*, </w:t>
      </w:r>
      <w:r w:rsidRPr="00F066B1">
        <w:rPr>
          <w:lang w:val="it-IT"/>
        </w:rPr>
        <w:t>Piero Bareschino</w:t>
      </w:r>
      <w:r w:rsidRPr="00F066B1">
        <w:rPr>
          <w:vertAlign w:val="superscript"/>
          <w:lang w:val="it-IT"/>
        </w:rPr>
        <w:t>b</w:t>
      </w:r>
      <w:r w:rsidRPr="00F066B1">
        <w:rPr>
          <w:lang w:val="it-IT"/>
        </w:rPr>
        <w:t>, Erasmo Mancusi</w:t>
      </w:r>
      <w:r w:rsidRPr="00F066B1">
        <w:rPr>
          <w:vertAlign w:val="superscript"/>
          <w:lang w:val="it-IT"/>
        </w:rPr>
        <w:t>b</w:t>
      </w:r>
      <w:r w:rsidRPr="00F066B1">
        <w:rPr>
          <w:lang w:val="it-IT"/>
        </w:rPr>
        <w:t>, Francesco Pepe</w:t>
      </w:r>
      <w:r w:rsidRPr="00F066B1">
        <w:rPr>
          <w:vertAlign w:val="superscript"/>
          <w:lang w:val="it-IT"/>
        </w:rPr>
        <w:t>b</w:t>
      </w:r>
      <w:r w:rsidRPr="00F066B1">
        <w:rPr>
          <w:lang w:val="it-IT"/>
        </w:rPr>
        <w:t>, Roberto Solimene</w:t>
      </w:r>
      <w:r w:rsidRPr="00F066B1">
        <w:rPr>
          <w:vertAlign w:val="superscript"/>
          <w:lang w:val="it-IT"/>
        </w:rPr>
        <w:t>a</w:t>
      </w:r>
    </w:p>
    <w:p w14:paraId="6B2D21B3" w14:textId="38B389D4" w:rsidR="00B57E6F" w:rsidRPr="00F066B1" w:rsidRDefault="00B57E6F" w:rsidP="00B57E6F">
      <w:pPr>
        <w:pStyle w:val="CETAddress"/>
        <w:rPr>
          <w:lang w:val="it-IT"/>
        </w:rPr>
      </w:pPr>
      <w:r w:rsidRPr="00F066B1">
        <w:rPr>
          <w:vertAlign w:val="superscript"/>
          <w:lang w:val="it-IT"/>
        </w:rPr>
        <w:t>a</w:t>
      </w:r>
      <w:r w:rsidR="00287DD2" w:rsidRPr="00F066B1">
        <w:rPr>
          <w:lang w:val="it-IT"/>
        </w:rPr>
        <w:t xml:space="preserve"> Istituto di Scienze e Tecnologie per l’Energia e la Mobilità Sostenibili, </w:t>
      </w:r>
      <w:r w:rsidR="00C41FC6" w:rsidRPr="00F066B1">
        <w:rPr>
          <w:lang w:val="it-IT"/>
        </w:rPr>
        <w:t>CNR</w:t>
      </w:r>
      <w:r w:rsidR="00287DD2" w:rsidRPr="00F066B1">
        <w:rPr>
          <w:lang w:val="it-IT"/>
        </w:rPr>
        <w:t>, Piazzale Tecchio 80, 80125 Napoli, Italia</w:t>
      </w:r>
      <w:r w:rsidRPr="00F066B1">
        <w:rPr>
          <w:lang w:val="it-IT"/>
        </w:rPr>
        <w:t xml:space="preserve"> </w:t>
      </w:r>
    </w:p>
    <w:p w14:paraId="3D72B0B0" w14:textId="459E9237" w:rsidR="00B57E6F" w:rsidRPr="00F066B1" w:rsidRDefault="00B57E6F" w:rsidP="00287DD2">
      <w:pPr>
        <w:pStyle w:val="CETAddress"/>
        <w:rPr>
          <w:lang w:val="it-IT"/>
        </w:rPr>
      </w:pPr>
      <w:r w:rsidRPr="00F066B1">
        <w:rPr>
          <w:vertAlign w:val="superscript"/>
          <w:lang w:val="it-IT"/>
        </w:rPr>
        <w:t>b</w:t>
      </w:r>
      <w:r w:rsidR="00287DD2" w:rsidRPr="00F066B1">
        <w:rPr>
          <w:lang w:val="it-IT"/>
        </w:rPr>
        <w:t xml:space="preserve"> Dipartimento di Ingegneria, Università degli Studi del Sannio, Piazza Roma 21, 82100 Benevento, Italia</w:t>
      </w:r>
      <w:r w:rsidRPr="00F066B1">
        <w:rPr>
          <w:lang w:val="it-IT"/>
        </w:rPr>
        <w:t xml:space="preserve"> </w:t>
      </w:r>
    </w:p>
    <w:p w14:paraId="73F1267A" w14:textId="0F7DDC4C" w:rsidR="00B57E6F" w:rsidRPr="00B57B36" w:rsidRDefault="00B57E6F" w:rsidP="00B57E6F">
      <w:pPr>
        <w:pStyle w:val="CETemail"/>
      </w:pPr>
      <w:r w:rsidRPr="00F066B1">
        <w:rPr>
          <w:lang w:val="it-IT"/>
        </w:rPr>
        <w:t xml:space="preserve"> </w:t>
      </w:r>
      <w:r w:rsidR="00287DD2">
        <w:t>claudio.tregambi@unisannio.it</w:t>
      </w:r>
    </w:p>
    <w:p w14:paraId="7B7851DB" w14:textId="69C5DBD4" w:rsidR="0056392F" w:rsidRDefault="00E21CFB" w:rsidP="00287DD2">
      <w:pPr>
        <w:pStyle w:val="CETBodytext"/>
        <w:rPr>
          <w:lang w:val="en-GB"/>
        </w:rPr>
      </w:pPr>
      <w:r>
        <w:rPr>
          <w:lang w:val="en-GB"/>
        </w:rPr>
        <w:t xml:space="preserve">An extensive exploitation of renewable energies is required to face climate </w:t>
      </w:r>
      <w:proofErr w:type="gramStart"/>
      <w:r>
        <w:rPr>
          <w:lang w:val="en-GB"/>
        </w:rPr>
        <w:t>change</w:t>
      </w:r>
      <w:r w:rsidR="00F877EA">
        <w:rPr>
          <w:lang w:val="en-GB"/>
        </w:rPr>
        <w:t>,</w:t>
      </w:r>
      <w:r>
        <w:rPr>
          <w:lang w:val="en-GB"/>
        </w:rPr>
        <w:t xml:space="preserve"> and</w:t>
      </w:r>
      <w:proofErr w:type="gramEnd"/>
      <w:r>
        <w:rPr>
          <w:lang w:val="en-GB"/>
        </w:rPr>
        <w:t xml:space="preserve"> </w:t>
      </w:r>
      <w:r w:rsidR="004D4AE8">
        <w:rPr>
          <w:lang w:val="en-GB"/>
        </w:rPr>
        <w:t xml:space="preserve">reduce the dependence </w:t>
      </w:r>
      <w:r w:rsidR="00D91636">
        <w:rPr>
          <w:lang w:val="en-GB"/>
        </w:rPr>
        <w:t>on</w:t>
      </w:r>
      <w:r w:rsidR="004D4AE8">
        <w:rPr>
          <w:lang w:val="en-GB"/>
        </w:rPr>
        <w:t xml:space="preserve"> fossil fuels. </w:t>
      </w:r>
      <w:r w:rsidR="0056392F">
        <w:rPr>
          <w:lang w:val="en-GB"/>
        </w:rPr>
        <w:t xml:space="preserve">Thermochemical energy storage (TCES) systems are bound </w:t>
      </w:r>
      <w:r w:rsidR="004D4AE8">
        <w:rPr>
          <w:lang w:val="en-GB"/>
        </w:rPr>
        <w:t>to play a major role in the next years</w:t>
      </w:r>
      <w:r w:rsidR="0056392F">
        <w:rPr>
          <w:lang w:val="en-GB"/>
        </w:rPr>
        <w:t xml:space="preserve"> to overcome the intrinsic variability of many renewable sources, thus increasing their dispatchability. Within this field, reversible gas-solid chemical reactions are among the most promising systems thanks to high theoretical values of energy storage density, and virtual unlimited time scales of energy storage. Copper oxide is an interesting </w:t>
      </w:r>
      <w:r w:rsidR="002B5FC8">
        <w:rPr>
          <w:lang w:val="en-GB"/>
        </w:rPr>
        <w:t xml:space="preserve">candidate </w:t>
      </w:r>
      <w:r w:rsidR="0056392F">
        <w:rPr>
          <w:lang w:val="en-GB"/>
        </w:rPr>
        <w:t xml:space="preserve">for </w:t>
      </w:r>
      <w:proofErr w:type="gramStart"/>
      <w:r w:rsidR="0056392F">
        <w:rPr>
          <w:lang w:val="en-GB"/>
        </w:rPr>
        <w:t>TCES, but</w:t>
      </w:r>
      <w:proofErr w:type="gramEnd"/>
      <w:r w:rsidR="0056392F">
        <w:rPr>
          <w:lang w:val="en-GB"/>
        </w:rPr>
        <w:t xml:space="preserve"> suffer</w:t>
      </w:r>
      <w:r w:rsidR="00D53592">
        <w:rPr>
          <w:lang w:val="en-GB"/>
        </w:rPr>
        <w:t>s</w:t>
      </w:r>
      <w:r w:rsidR="0056392F">
        <w:rPr>
          <w:lang w:val="en-GB"/>
        </w:rPr>
        <w:t xml:space="preserve"> </w:t>
      </w:r>
      <w:r w:rsidR="00D91636">
        <w:rPr>
          <w:lang w:val="en-GB"/>
        </w:rPr>
        <w:t xml:space="preserve">from </w:t>
      </w:r>
      <w:r w:rsidR="002B5FC8">
        <w:rPr>
          <w:lang w:val="en-GB"/>
        </w:rPr>
        <w:t xml:space="preserve">particle </w:t>
      </w:r>
      <w:r w:rsidR="0056392F">
        <w:rPr>
          <w:lang w:val="en-GB"/>
        </w:rPr>
        <w:t xml:space="preserve">sintering/agglomeration at the high process temperature required by the system. In this work, several </w:t>
      </w:r>
      <w:proofErr w:type="spellStart"/>
      <w:proofErr w:type="gramStart"/>
      <w:r w:rsidR="0056392F">
        <w:rPr>
          <w:lang w:val="en-GB"/>
        </w:rPr>
        <w:t>Cu:Ce</w:t>
      </w:r>
      <w:proofErr w:type="spellEnd"/>
      <w:proofErr w:type="gramEnd"/>
      <w:r w:rsidR="0056392F">
        <w:rPr>
          <w:lang w:val="en-GB"/>
        </w:rPr>
        <w:t xml:space="preserve"> mixed oxides have been synthe</w:t>
      </w:r>
      <w:r w:rsidR="00961082">
        <w:rPr>
          <w:lang w:val="en-GB"/>
        </w:rPr>
        <w:t>s</w:t>
      </w:r>
      <w:r w:rsidR="0056392F">
        <w:rPr>
          <w:lang w:val="en-GB"/>
        </w:rPr>
        <w:t xml:space="preserve">ized and tested in a thermogravimetric </w:t>
      </w:r>
      <w:proofErr w:type="spellStart"/>
      <w:r w:rsidR="0056392F">
        <w:rPr>
          <w:lang w:val="en-GB"/>
        </w:rPr>
        <w:t>analyzer</w:t>
      </w:r>
      <w:proofErr w:type="spellEnd"/>
      <w:r w:rsidR="0056392F">
        <w:rPr>
          <w:lang w:val="en-GB"/>
        </w:rPr>
        <w:t xml:space="preserve"> </w:t>
      </w:r>
      <w:r w:rsidR="002B5FC8">
        <w:rPr>
          <w:lang w:val="en-GB"/>
        </w:rPr>
        <w:t xml:space="preserve">under process parameters relevant to </w:t>
      </w:r>
      <w:r w:rsidR="00D53592">
        <w:rPr>
          <w:lang w:val="en-GB"/>
        </w:rPr>
        <w:t xml:space="preserve">TCES </w:t>
      </w:r>
      <w:r w:rsidR="0056392F">
        <w:rPr>
          <w:lang w:val="en-GB"/>
        </w:rPr>
        <w:t>applications</w:t>
      </w:r>
      <w:r w:rsidR="00D53592">
        <w:rPr>
          <w:lang w:val="en-GB"/>
        </w:rPr>
        <w:t xml:space="preserve">, with the aim of preventing copper oxide sintering/agglomeration. </w:t>
      </w:r>
      <w:r w:rsidR="002B5FC8">
        <w:rPr>
          <w:lang w:val="en-GB"/>
        </w:rPr>
        <w:t>M</w:t>
      </w:r>
      <w:r w:rsidR="00D53592">
        <w:rPr>
          <w:lang w:val="en-GB"/>
        </w:rPr>
        <w:t xml:space="preserve">orphology </w:t>
      </w:r>
      <w:r w:rsidR="002B5FC8">
        <w:rPr>
          <w:lang w:val="en-GB"/>
        </w:rPr>
        <w:t xml:space="preserve">and chemical composition </w:t>
      </w:r>
      <w:r w:rsidR="00D53592">
        <w:rPr>
          <w:lang w:val="en-GB"/>
        </w:rPr>
        <w:t>of the synthe</w:t>
      </w:r>
      <w:r w:rsidR="00D215AD">
        <w:rPr>
          <w:lang w:val="en-GB"/>
        </w:rPr>
        <w:t>s</w:t>
      </w:r>
      <w:r w:rsidR="00D53592">
        <w:rPr>
          <w:lang w:val="en-GB"/>
        </w:rPr>
        <w:t xml:space="preserve">ized and reacted samples </w:t>
      </w:r>
      <w:r w:rsidR="002B5FC8">
        <w:rPr>
          <w:lang w:val="en-GB"/>
        </w:rPr>
        <w:t xml:space="preserve">have </w:t>
      </w:r>
      <w:r w:rsidR="00D53592">
        <w:rPr>
          <w:lang w:val="en-GB"/>
        </w:rPr>
        <w:t>been scrutinized by means of XRD and SEM-EDS analyses.</w:t>
      </w:r>
    </w:p>
    <w:p w14:paraId="476B2F2E" w14:textId="77777777" w:rsidR="00600535" w:rsidRPr="00B57B36" w:rsidRDefault="00600535" w:rsidP="00600535">
      <w:pPr>
        <w:pStyle w:val="CETHeading1"/>
        <w:rPr>
          <w:lang w:val="en-GB"/>
        </w:rPr>
      </w:pPr>
      <w:r w:rsidRPr="00B57B36">
        <w:rPr>
          <w:lang w:val="en-GB"/>
        </w:rPr>
        <w:t>Introduction</w:t>
      </w:r>
    </w:p>
    <w:p w14:paraId="5F03853E" w14:textId="72C32CFA" w:rsidR="00495A36" w:rsidRPr="004F5EB3" w:rsidRDefault="00287DD2" w:rsidP="00287DD2">
      <w:pPr>
        <w:pStyle w:val="CETBodytext"/>
        <w:rPr>
          <w:lang w:val="en-GB"/>
        </w:rPr>
      </w:pPr>
      <w:r w:rsidRPr="004F5EB3">
        <w:rPr>
          <w:lang w:val="en-GB"/>
        </w:rPr>
        <w:t>The current environmental, social, and economic scenario demands relevant modifications to the national energy plan of several Countries.</w:t>
      </w:r>
      <w:r w:rsidR="007A2413" w:rsidRPr="004F5EB3">
        <w:rPr>
          <w:lang w:val="en-GB"/>
        </w:rPr>
        <w:t xml:space="preserve"> The development of efficient energy storage systems is under the spotlight to deal with the intrinsic </w:t>
      </w:r>
      <w:r w:rsidR="007A2413" w:rsidRPr="00260B70">
        <w:rPr>
          <w:lang w:val="en-GB"/>
        </w:rPr>
        <w:t xml:space="preserve">intermittence of renewable energies. Conversion of renewable energy into fuels </w:t>
      </w:r>
      <w:r w:rsidR="002358FE" w:rsidRPr="00260B70">
        <w:rPr>
          <w:lang w:val="en-GB"/>
        </w:rPr>
        <w:t>that</w:t>
      </w:r>
      <w:r w:rsidR="007A2413" w:rsidRPr="00260B70">
        <w:rPr>
          <w:lang w:val="en-GB"/>
        </w:rPr>
        <w:t xml:space="preserve"> can be used when necessary is a </w:t>
      </w:r>
      <w:r w:rsidR="00982800" w:rsidRPr="00260B70">
        <w:rPr>
          <w:lang w:val="en-GB"/>
        </w:rPr>
        <w:t xml:space="preserve">possible </w:t>
      </w:r>
      <w:r w:rsidR="007A2413" w:rsidRPr="00260B70">
        <w:rPr>
          <w:lang w:val="en-GB"/>
        </w:rPr>
        <w:t xml:space="preserve">strategy. This can </w:t>
      </w:r>
      <w:r w:rsidR="00982800" w:rsidRPr="00260B70">
        <w:rPr>
          <w:lang w:val="en-GB"/>
        </w:rPr>
        <w:t xml:space="preserve">be </w:t>
      </w:r>
      <w:r w:rsidR="00BE0004" w:rsidRPr="00260B70">
        <w:rPr>
          <w:lang w:val="en-GB"/>
        </w:rPr>
        <w:t xml:space="preserve">achieved through </w:t>
      </w:r>
      <w:r w:rsidR="007A2413" w:rsidRPr="00260B70">
        <w:rPr>
          <w:lang w:val="en-GB"/>
        </w:rPr>
        <w:t>integration with</w:t>
      </w:r>
      <w:r w:rsidR="00BE0004" w:rsidRPr="00260B70">
        <w:rPr>
          <w:lang w:val="en-GB"/>
        </w:rPr>
        <w:t xml:space="preserve"> carbon capture technolog</w:t>
      </w:r>
      <w:r w:rsidR="005A239D" w:rsidRPr="00260B70">
        <w:rPr>
          <w:lang w:val="en-GB"/>
        </w:rPr>
        <w:t>ies</w:t>
      </w:r>
      <w:r w:rsidR="00BE0004" w:rsidRPr="00260B70">
        <w:rPr>
          <w:lang w:val="en-GB"/>
        </w:rPr>
        <w:t xml:space="preserve"> </w:t>
      </w:r>
      <w:r w:rsidR="00044CD5" w:rsidRPr="00260B70">
        <w:rPr>
          <w:lang w:val="en-GB"/>
        </w:rPr>
        <w:t>(</w:t>
      </w:r>
      <w:r w:rsidR="005A239D" w:rsidRPr="00260B70">
        <w:rPr>
          <w:lang w:val="en-GB"/>
        </w:rPr>
        <w:t>Tregambi et al., 2022</w:t>
      </w:r>
      <w:r w:rsidR="00044CD5" w:rsidRPr="00260B70">
        <w:rPr>
          <w:lang w:val="en-GB"/>
        </w:rPr>
        <w:t>)</w:t>
      </w:r>
      <w:r w:rsidR="00BE0004" w:rsidRPr="00260B70">
        <w:rPr>
          <w:lang w:val="en-GB"/>
        </w:rPr>
        <w:t xml:space="preserve">, gasification processes </w:t>
      </w:r>
      <w:r w:rsidR="00044CD5" w:rsidRPr="00260B70">
        <w:rPr>
          <w:lang w:val="en-GB"/>
        </w:rPr>
        <w:t>(</w:t>
      </w:r>
      <w:proofErr w:type="spellStart"/>
      <w:r w:rsidR="005A239D" w:rsidRPr="00260B70">
        <w:rPr>
          <w:lang w:val="en-GB"/>
        </w:rPr>
        <w:t>Bareschino</w:t>
      </w:r>
      <w:proofErr w:type="spellEnd"/>
      <w:r w:rsidR="005A239D" w:rsidRPr="00260B70">
        <w:rPr>
          <w:lang w:val="en-GB"/>
        </w:rPr>
        <w:t xml:space="preserve"> et al., 2021</w:t>
      </w:r>
      <w:r w:rsidR="00044CD5" w:rsidRPr="00260B70">
        <w:rPr>
          <w:lang w:val="en-GB"/>
        </w:rPr>
        <w:t>)</w:t>
      </w:r>
      <w:r w:rsidR="00BE0004" w:rsidRPr="00260B70">
        <w:rPr>
          <w:lang w:val="en-GB"/>
        </w:rPr>
        <w:t xml:space="preserve">, </w:t>
      </w:r>
      <w:r w:rsidR="00514639" w:rsidRPr="00260B70">
        <w:rPr>
          <w:lang w:val="en-GB"/>
        </w:rPr>
        <w:t>H</w:t>
      </w:r>
      <w:r w:rsidR="00514639" w:rsidRPr="00260B70">
        <w:rPr>
          <w:vertAlign w:val="subscript"/>
          <w:lang w:val="en-GB"/>
        </w:rPr>
        <w:t>2</w:t>
      </w:r>
      <w:r w:rsidR="00514639" w:rsidRPr="00260B70">
        <w:rPr>
          <w:lang w:val="en-GB"/>
        </w:rPr>
        <w:t>O/CO</w:t>
      </w:r>
      <w:r w:rsidR="00514639" w:rsidRPr="00260B70">
        <w:rPr>
          <w:vertAlign w:val="subscript"/>
          <w:lang w:val="en-GB"/>
        </w:rPr>
        <w:t>2</w:t>
      </w:r>
      <w:r w:rsidR="00514639" w:rsidRPr="00260B70">
        <w:rPr>
          <w:lang w:val="en-GB"/>
        </w:rPr>
        <w:t xml:space="preserve"> thermochemical splitting (</w:t>
      </w:r>
      <w:proofErr w:type="spellStart"/>
      <w:r w:rsidR="009B0ED7" w:rsidRPr="00260B70">
        <w:rPr>
          <w:lang w:val="en-GB"/>
        </w:rPr>
        <w:t>Portarapillo</w:t>
      </w:r>
      <w:proofErr w:type="spellEnd"/>
      <w:r w:rsidR="00514639" w:rsidRPr="00260B70">
        <w:rPr>
          <w:lang w:val="en-GB"/>
        </w:rPr>
        <w:t xml:space="preserve"> et al., </w:t>
      </w:r>
      <w:r w:rsidR="009B0ED7" w:rsidRPr="00260B70">
        <w:rPr>
          <w:lang w:val="en-GB"/>
        </w:rPr>
        <w:t>20</w:t>
      </w:r>
      <w:r w:rsidR="001F7DA8" w:rsidRPr="00260B70">
        <w:rPr>
          <w:lang w:val="en-GB"/>
        </w:rPr>
        <w:t>19</w:t>
      </w:r>
      <w:r w:rsidR="00CF64FB" w:rsidRPr="00260B70">
        <w:rPr>
          <w:lang w:val="en-GB"/>
        </w:rPr>
        <w:t xml:space="preserve">, </w:t>
      </w:r>
      <w:r w:rsidR="001F7DA8" w:rsidRPr="00260B70">
        <w:rPr>
          <w:lang w:val="en-GB"/>
        </w:rPr>
        <w:t>2022</w:t>
      </w:r>
      <w:r w:rsidR="00514639" w:rsidRPr="00260B70">
        <w:rPr>
          <w:lang w:val="en-GB"/>
        </w:rPr>
        <w:t xml:space="preserve">) </w:t>
      </w:r>
      <w:r w:rsidR="00BE0004" w:rsidRPr="00260B70">
        <w:rPr>
          <w:lang w:val="en-GB"/>
        </w:rPr>
        <w:t xml:space="preserve">or </w:t>
      </w:r>
      <w:r w:rsidR="00982800" w:rsidRPr="00260B70">
        <w:rPr>
          <w:lang w:val="en-GB"/>
        </w:rPr>
        <w:t xml:space="preserve">solar </w:t>
      </w:r>
      <w:r w:rsidR="00BE0004" w:rsidRPr="00260B70">
        <w:rPr>
          <w:lang w:val="en-GB"/>
        </w:rPr>
        <w:t xml:space="preserve">reforming of </w:t>
      </w:r>
      <w:r w:rsidR="00982800" w:rsidRPr="00260B70">
        <w:rPr>
          <w:lang w:val="en-GB"/>
        </w:rPr>
        <w:t>CH</w:t>
      </w:r>
      <w:r w:rsidR="00982800" w:rsidRPr="00260B70">
        <w:rPr>
          <w:vertAlign w:val="subscript"/>
          <w:lang w:val="en-GB"/>
        </w:rPr>
        <w:t>4</w:t>
      </w:r>
      <w:r w:rsidR="005A239D" w:rsidRPr="00260B70">
        <w:rPr>
          <w:lang w:val="en-GB"/>
        </w:rPr>
        <w:t xml:space="preserve"> streams </w:t>
      </w:r>
      <w:r w:rsidR="00044CD5" w:rsidRPr="00260B70">
        <w:rPr>
          <w:lang w:val="en-GB"/>
        </w:rPr>
        <w:t>(</w:t>
      </w:r>
      <w:proofErr w:type="spellStart"/>
      <w:r w:rsidR="005A239D" w:rsidRPr="00260B70">
        <w:rPr>
          <w:lang w:val="en-GB"/>
        </w:rPr>
        <w:t>Padula</w:t>
      </w:r>
      <w:proofErr w:type="spellEnd"/>
      <w:r w:rsidR="005A239D" w:rsidRPr="00260B70">
        <w:rPr>
          <w:lang w:val="en-GB"/>
        </w:rPr>
        <w:t xml:space="preserve"> et al., 202</w:t>
      </w:r>
      <w:r w:rsidR="00F877EA" w:rsidRPr="00260B70">
        <w:rPr>
          <w:lang w:val="en-GB"/>
        </w:rPr>
        <w:t>2</w:t>
      </w:r>
      <w:r w:rsidR="00044CD5" w:rsidRPr="00260B70">
        <w:rPr>
          <w:lang w:val="en-GB"/>
        </w:rPr>
        <w:t>)</w:t>
      </w:r>
      <w:r w:rsidR="00BE0004" w:rsidRPr="00260B70">
        <w:rPr>
          <w:lang w:val="en-GB"/>
        </w:rPr>
        <w:t>.</w:t>
      </w:r>
      <w:r w:rsidR="005A239D" w:rsidRPr="00260B70">
        <w:rPr>
          <w:lang w:val="en-GB"/>
        </w:rPr>
        <w:t xml:space="preserve"> Another solution is the use of </w:t>
      </w:r>
      <w:r w:rsidRPr="00260B70">
        <w:rPr>
          <w:lang w:val="en-GB"/>
        </w:rPr>
        <w:t xml:space="preserve">thermochemical energy storage (TCES) systems </w:t>
      </w:r>
      <w:r w:rsidR="00982800" w:rsidRPr="00260B70">
        <w:rPr>
          <w:lang w:val="en-GB"/>
        </w:rPr>
        <w:t xml:space="preserve">based </w:t>
      </w:r>
      <w:r w:rsidRPr="00260B70">
        <w:rPr>
          <w:lang w:val="en-GB"/>
        </w:rPr>
        <w:t>on reversible chemical reactions</w:t>
      </w:r>
      <w:r w:rsidR="00C41FC6" w:rsidRPr="00260B70">
        <w:rPr>
          <w:lang w:val="en-GB"/>
        </w:rPr>
        <w:t xml:space="preserve">: </w:t>
      </w:r>
      <w:r w:rsidRPr="00260B70">
        <w:rPr>
          <w:lang w:val="en-GB"/>
        </w:rPr>
        <w:t xml:space="preserve">collection of </w:t>
      </w:r>
      <w:r w:rsidR="005A239D" w:rsidRPr="00260B70">
        <w:rPr>
          <w:lang w:val="en-GB"/>
        </w:rPr>
        <w:t xml:space="preserve">renewable </w:t>
      </w:r>
      <w:r w:rsidRPr="00260B70">
        <w:rPr>
          <w:lang w:val="en-GB"/>
        </w:rPr>
        <w:t>energy occurs through the endothermal reaction step</w:t>
      </w:r>
      <w:r w:rsidR="00C41FC6" w:rsidRPr="00260B70">
        <w:rPr>
          <w:lang w:val="en-GB"/>
        </w:rPr>
        <w:t>, while r</w:t>
      </w:r>
      <w:r w:rsidRPr="00260B70">
        <w:rPr>
          <w:lang w:val="en-GB"/>
        </w:rPr>
        <w:t>eversal of the reaction allows the release of the stored energy. Decomposition</w:t>
      </w:r>
      <w:r w:rsidRPr="004F5EB3">
        <w:rPr>
          <w:lang w:val="en-GB"/>
        </w:rPr>
        <w:t xml:space="preserve"> and recombination of metal hydroxides, carbonates</w:t>
      </w:r>
      <w:r w:rsidR="00C41FC6" w:rsidRPr="004F5EB3">
        <w:rPr>
          <w:lang w:val="en-GB"/>
        </w:rPr>
        <w:t xml:space="preserve">, </w:t>
      </w:r>
      <w:r w:rsidRPr="004F5EB3">
        <w:rPr>
          <w:lang w:val="en-GB"/>
        </w:rPr>
        <w:t xml:space="preserve">oxides </w:t>
      </w:r>
      <w:r w:rsidR="00F90655" w:rsidRPr="004F5EB3">
        <w:rPr>
          <w:lang w:val="en-GB"/>
        </w:rPr>
        <w:t>are</w:t>
      </w:r>
      <w:r w:rsidRPr="004F5EB3">
        <w:rPr>
          <w:lang w:val="en-GB"/>
        </w:rPr>
        <w:t xml:space="preserve"> among the most investigated systems</w:t>
      </w:r>
      <w:r w:rsidR="005A239D" w:rsidRPr="004F5EB3">
        <w:rPr>
          <w:lang w:val="en-GB"/>
        </w:rPr>
        <w:t xml:space="preserve"> </w:t>
      </w:r>
      <w:r w:rsidR="00044CD5" w:rsidRPr="004F5EB3">
        <w:rPr>
          <w:lang w:val="en-GB"/>
        </w:rPr>
        <w:t>(Carrillo et al., 2019)</w:t>
      </w:r>
      <w:r w:rsidRPr="004F5EB3">
        <w:rPr>
          <w:lang w:val="en-GB"/>
        </w:rPr>
        <w:t>.</w:t>
      </w:r>
      <w:r w:rsidR="0006603D" w:rsidRPr="004F5EB3">
        <w:rPr>
          <w:lang w:val="en-GB"/>
        </w:rPr>
        <w:t xml:space="preserve"> </w:t>
      </w:r>
      <w:r w:rsidRPr="004F5EB3">
        <w:rPr>
          <w:lang w:val="en-GB"/>
        </w:rPr>
        <w:t xml:space="preserve">Copper oxide is an interesting material for TCES thanks to its high theoretical energy storage density </w:t>
      </w:r>
      <w:r w:rsidR="00C41FC6" w:rsidRPr="004F5EB3">
        <w:rPr>
          <w:lang w:val="en-GB"/>
        </w:rPr>
        <w:t xml:space="preserve">and </w:t>
      </w:r>
      <w:r w:rsidRPr="004F5EB3">
        <w:rPr>
          <w:lang w:val="en-GB"/>
        </w:rPr>
        <w:t>to the wide availability and low toxicity of the material.</w:t>
      </w:r>
      <w:r w:rsidR="0006603D" w:rsidRPr="004F5EB3">
        <w:rPr>
          <w:lang w:val="en-GB"/>
        </w:rPr>
        <w:t xml:space="preserve"> </w:t>
      </w:r>
      <w:r w:rsidRPr="004F5EB3">
        <w:rPr>
          <w:lang w:val="en-GB"/>
        </w:rPr>
        <w:t>The endothermic reduction of cupric oxide (</w:t>
      </w:r>
      <w:proofErr w:type="spellStart"/>
      <w:r w:rsidRPr="004F5EB3">
        <w:rPr>
          <w:lang w:val="en-GB"/>
        </w:rPr>
        <w:t>CuO</w:t>
      </w:r>
      <w:proofErr w:type="spellEnd"/>
      <w:r w:rsidRPr="004F5EB3">
        <w:rPr>
          <w:lang w:val="en-GB"/>
        </w:rPr>
        <w:t>) to cuprous oxide (Cu</w:t>
      </w:r>
      <w:r w:rsidRPr="004F5EB3">
        <w:rPr>
          <w:vertAlign w:val="subscript"/>
          <w:lang w:val="en-GB"/>
        </w:rPr>
        <w:t>2</w:t>
      </w:r>
      <w:r w:rsidRPr="004F5EB3">
        <w:rPr>
          <w:lang w:val="en-GB"/>
        </w:rPr>
        <w:t xml:space="preserve">O) can be performed in </w:t>
      </w:r>
      <w:r w:rsidR="00C41FC6" w:rsidRPr="004F5EB3">
        <w:rPr>
          <w:lang w:val="en-GB"/>
        </w:rPr>
        <w:t>N</w:t>
      </w:r>
      <w:r w:rsidR="00C41FC6" w:rsidRPr="004F5EB3">
        <w:rPr>
          <w:vertAlign w:val="subscript"/>
          <w:lang w:val="en-GB"/>
        </w:rPr>
        <w:t>2</w:t>
      </w:r>
      <w:r w:rsidRPr="004F5EB3">
        <w:rPr>
          <w:lang w:val="en-GB"/>
        </w:rPr>
        <w:t xml:space="preserve"> or air, </w:t>
      </w:r>
      <w:r w:rsidR="00C41FC6" w:rsidRPr="004F5EB3">
        <w:rPr>
          <w:lang w:val="en-GB"/>
        </w:rPr>
        <w:t xml:space="preserve">while </w:t>
      </w:r>
      <w:r w:rsidRPr="004F5EB3">
        <w:rPr>
          <w:lang w:val="en-GB"/>
        </w:rPr>
        <w:t xml:space="preserve">the exothermic re-oxidation is typically performed in air. The reaction temperature ranges within 700–1100 °C according to different literature studies. One of the main drawbacks of copper oxides is the strong decay of reactivity over cycling induced by the </w:t>
      </w:r>
      <w:r w:rsidR="00C41FC6" w:rsidRPr="004F5EB3">
        <w:rPr>
          <w:lang w:val="en-GB"/>
        </w:rPr>
        <w:t xml:space="preserve">material </w:t>
      </w:r>
      <w:r w:rsidRPr="004F5EB3">
        <w:rPr>
          <w:lang w:val="en-GB"/>
        </w:rPr>
        <w:t>sintering</w:t>
      </w:r>
      <w:r w:rsidR="00815B66">
        <w:rPr>
          <w:lang w:val="en-GB"/>
        </w:rPr>
        <w:t>/agglomeration</w:t>
      </w:r>
      <w:r w:rsidRPr="004F5EB3">
        <w:rPr>
          <w:lang w:val="en-GB"/>
        </w:rPr>
        <w:t>, as the melting temperature of Cu</w:t>
      </w:r>
      <w:r w:rsidRPr="004F5EB3">
        <w:rPr>
          <w:vertAlign w:val="subscript"/>
          <w:lang w:val="en-GB"/>
        </w:rPr>
        <w:t>2</w:t>
      </w:r>
      <w:r w:rsidRPr="004F5EB3">
        <w:rPr>
          <w:lang w:val="en-GB"/>
        </w:rPr>
        <w:t xml:space="preserve">O </w:t>
      </w:r>
      <w:r w:rsidR="00C41FC6" w:rsidRPr="004F5EB3">
        <w:rPr>
          <w:lang w:val="en-GB"/>
        </w:rPr>
        <w:t>(</w:t>
      </w:r>
      <w:r w:rsidR="00514639" w:rsidRPr="004F5EB3">
        <w:rPr>
          <w:lang w:val="en-GB"/>
        </w:rPr>
        <w:t>~</w:t>
      </w:r>
      <w:r w:rsidRPr="004F5EB3">
        <w:rPr>
          <w:lang w:val="en-GB"/>
        </w:rPr>
        <w:t>1200 °C</w:t>
      </w:r>
      <w:r w:rsidR="00C41FC6" w:rsidRPr="004F5EB3">
        <w:rPr>
          <w:lang w:val="en-GB"/>
        </w:rPr>
        <w:t>)</w:t>
      </w:r>
      <w:r w:rsidRPr="004F5EB3">
        <w:rPr>
          <w:lang w:val="en-GB"/>
        </w:rPr>
        <w:t xml:space="preserve"> is quite close to the reaction temperature. Different strategies are investigated in literature to overcome this drawback</w:t>
      </w:r>
      <w:r w:rsidR="00B66D83" w:rsidRPr="004F5EB3">
        <w:rPr>
          <w:lang w:val="en-GB"/>
        </w:rPr>
        <w:t xml:space="preserve">. The use of rotary kiln to decrease </w:t>
      </w:r>
      <w:r w:rsidR="00514639" w:rsidRPr="004F5EB3">
        <w:rPr>
          <w:lang w:val="en-GB"/>
        </w:rPr>
        <w:t xml:space="preserve">particle </w:t>
      </w:r>
      <w:r w:rsidR="00B66D83" w:rsidRPr="004F5EB3">
        <w:rPr>
          <w:lang w:val="en-GB"/>
        </w:rPr>
        <w:t>sintering</w:t>
      </w:r>
      <w:r w:rsidR="00815B66">
        <w:rPr>
          <w:lang w:val="en-GB"/>
        </w:rPr>
        <w:t>/agglomeration</w:t>
      </w:r>
      <w:r w:rsidR="00B66D83" w:rsidRPr="004F5EB3">
        <w:rPr>
          <w:lang w:val="en-GB"/>
        </w:rPr>
        <w:t xml:space="preserve"> has been </w:t>
      </w:r>
      <w:r w:rsidR="00F90655" w:rsidRPr="004F5EB3">
        <w:rPr>
          <w:lang w:val="en-GB"/>
        </w:rPr>
        <w:t>considered</w:t>
      </w:r>
      <w:r w:rsidR="00B66D83" w:rsidRPr="004F5EB3">
        <w:rPr>
          <w:lang w:val="en-GB"/>
        </w:rPr>
        <w:t xml:space="preserve"> (Alonso et al., 2015).</w:t>
      </w:r>
      <w:r w:rsidR="00C41FC6" w:rsidRPr="004F5EB3">
        <w:rPr>
          <w:lang w:val="en-GB"/>
        </w:rPr>
        <w:t xml:space="preserve"> </w:t>
      </w:r>
      <w:r w:rsidR="00B66D83" w:rsidRPr="004F5EB3">
        <w:rPr>
          <w:lang w:val="en-GB"/>
        </w:rPr>
        <w:t xml:space="preserve">The </w:t>
      </w:r>
      <w:r w:rsidRPr="004F5EB3">
        <w:rPr>
          <w:lang w:val="en-GB"/>
        </w:rPr>
        <w:t>synthesis of mixed or supported copper oxides</w:t>
      </w:r>
      <w:r w:rsidR="00B66D83" w:rsidRPr="004F5EB3">
        <w:rPr>
          <w:lang w:val="en-GB"/>
        </w:rPr>
        <w:t xml:space="preserve"> is another </w:t>
      </w:r>
      <w:r w:rsidR="00982800" w:rsidRPr="004F5EB3">
        <w:rPr>
          <w:lang w:val="en-GB"/>
        </w:rPr>
        <w:t xml:space="preserve">investigated </w:t>
      </w:r>
      <w:r w:rsidR="009644ED" w:rsidRPr="004F5EB3">
        <w:rPr>
          <w:lang w:val="en-GB"/>
        </w:rPr>
        <w:t>solution</w:t>
      </w:r>
      <w:r w:rsidRPr="004F5EB3">
        <w:rPr>
          <w:lang w:val="en-GB"/>
        </w:rPr>
        <w:t>.</w:t>
      </w:r>
      <w:r w:rsidR="00C62C0A" w:rsidRPr="004F5EB3">
        <w:rPr>
          <w:lang w:val="en-GB"/>
        </w:rPr>
        <w:t xml:space="preserve"> </w:t>
      </w:r>
      <w:r w:rsidR="00B66D83" w:rsidRPr="004F5EB3">
        <w:rPr>
          <w:lang w:val="en-GB"/>
        </w:rPr>
        <w:t>On this topic,</w:t>
      </w:r>
      <w:r w:rsidR="003374DC" w:rsidRPr="004F5EB3">
        <w:t xml:space="preserve"> </w:t>
      </w:r>
      <w:r w:rsidR="003374DC" w:rsidRPr="004F5EB3">
        <w:rPr>
          <w:lang w:val="en-GB"/>
        </w:rPr>
        <w:t xml:space="preserve">Block and </w:t>
      </w:r>
      <w:proofErr w:type="spellStart"/>
      <w:r w:rsidR="003374DC" w:rsidRPr="004F5EB3">
        <w:rPr>
          <w:lang w:val="en-GB"/>
        </w:rPr>
        <w:t>Schmücker</w:t>
      </w:r>
      <w:proofErr w:type="spellEnd"/>
      <w:r w:rsidR="003374DC" w:rsidRPr="004F5EB3">
        <w:rPr>
          <w:lang w:val="en-GB"/>
        </w:rPr>
        <w:t xml:space="preserve"> (2016) tested several</w:t>
      </w:r>
      <w:r w:rsidR="009644ED" w:rsidRPr="004F5EB3">
        <w:t xml:space="preserve"> copper </w:t>
      </w:r>
      <w:r w:rsidR="003374DC" w:rsidRPr="004F5EB3">
        <w:rPr>
          <w:lang w:val="en-GB"/>
        </w:rPr>
        <w:t>binary oxides</w:t>
      </w:r>
      <w:r w:rsidR="00982800" w:rsidRPr="004F5EB3">
        <w:rPr>
          <w:lang w:val="en-GB"/>
        </w:rPr>
        <w:t xml:space="preserve"> (</w:t>
      </w:r>
      <w:r w:rsidR="00514639" w:rsidRPr="004F5EB3">
        <w:rPr>
          <w:lang w:val="en-GB"/>
        </w:rPr>
        <w:t>Co, Mn, Fe, Cr</w:t>
      </w:r>
      <w:r w:rsidR="00982800" w:rsidRPr="004F5EB3">
        <w:rPr>
          <w:lang w:val="en-GB"/>
        </w:rPr>
        <w:t>)</w:t>
      </w:r>
      <w:r w:rsidR="0065047F" w:rsidRPr="004F5EB3">
        <w:rPr>
          <w:lang w:val="en-GB"/>
        </w:rPr>
        <w:t xml:space="preserve">, finding that </w:t>
      </w:r>
      <w:r w:rsidR="003374DC" w:rsidRPr="004F5EB3">
        <w:rPr>
          <w:lang w:val="en-GB"/>
        </w:rPr>
        <w:t>Cu</w:t>
      </w:r>
      <w:r w:rsidR="009644ED" w:rsidRPr="004F5EB3">
        <w:rPr>
          <w:lang w:val="en-GB"/>
        </w:rPr>
        <w:t>/</w:t>
      </w:r>
      <w:r w:rsidR="003374DC" w:rsidRPr="004F5EB3">
        <w:rPr>
          <w:lang w:val="en-GB"/>
        </w:rPr>
        <w:t>Co mixed oxide</w:t>
      </w:r>
      <w:r w:rsidR="00F90655" w:rsidRPr="004F5EB3">
        <w:rPr>
          <w:lang w:val="en-GB"/>
        </w:rPr>
        <w:t>s</w:t>
      </w:r>
      <w:r w:rsidR="003374DC" w:rsidRPr="004F5EB3">
        <w:rPr>
          <w:lang w:val="en-GB"/>
        </w:rPr>
        <w:t xml:space="preserve"> </w:t>
      </w:r>
      <w:r w:rsidR="0065047F" w:rsidRPr="004F5EB3">
        <w:rPr>
          <w:lang w:val="en-GB"/>
        </w:rPr>
        <w:t xml:space="preserve">are </w:t>
      </w:r>
      <w:r w:rsidR="003374DC" w:rsidRPr="004F5EB3">
        <w:rPr>
          <w:lang w:val="en-GB"/>
        </w:rPr>
        <w:t xml:space="preserve">promising as TCES material, </w:t>
      </w:r>
      <w:r w:rsidR="0065047F" w:rsidRPr="004F5EB3">
        <w:rPr>
          <w:lang w:val="en-GB"/>
        </w:rPr>
        <w:t xml:space="preserve">thanks to high </w:t>
      </w:r>
      <w:r w:rsidR="003374DC" w:rsidRPr="004F5EB3">
        <w:rPr>
          <w:lang w:val="en-GB"/>
        </w:rPr>
        <w:t>reaction</w:t>
      </w:r>
      <w:r w:rsidR="008F5430" w:rsidRPr="004F5EB3">
        <w:rPr>
          <w:lang w:val="en-GB"/>
        </w:rPr>
        <w:t xml:space="preserve"> </w:t>
      </w:r>
      <w:r w:rsidR="00F90655" w:rsidRPr="004F5EB3">
        <w:rPr>
          <w:lang w:val="en-GB"/>
        </w:rPr>
        <w:t xml:space="preserve">kinetics </w:t>
      </w:r>
      <w:r w:rsidR="009644ED" w:rsidRPr="004F5EB3">
        <w:rPr>
          <w:lang w:val="en-GB"/>
        </w:rPr>
        <w:t xml:space="preserve">and </w:t>
      </w:r>
      <w:r w:rsidR="008F5430" w:rsidRPr="004F5EB3">
        <w:rPr>
          <w:lang w:val="en-GB"/>
        </w:rPr>
        <w:t>enthalpy.</w:t>
      </w:r>
      <w:r w:rsidR="0065047F" w:rsidRPr="004F5EB3">
        <w:rPr>
          <w:lang w:val="en-GB"/>
        </w:rPr>
        <w:t xml:space="preserve"> </w:t>
      </w:r>
      <w:proofErr w:type="spellStart"/>
      <w:r w:rsidR="00C62C0A" w:rsidRPr="004F5EB3">
        <w:rPr>
          <w:lang w:val="en-GB"/>
        </w:rPr>
        <w:t>Gigantino</w:t>
      </w:r>
      <w:proofErr w:type="spellEnd"/>
      <w:r w:rsidR="00C62C0A" w:rsidRPr="004F5EB3">
        <w:rPr>
          <w:lang w:val="en-GB"/>
        </w:rPr>
        <w:t xml:space="preserve"> et al. (2020) tested </w:t>
      </w:r>
      <w:proofErr w:type="spellStart"/>
      <w:r w:rsidR="00C62C0A" w:rsidRPr="004F5EB3">
        <w:rPr>
          <w:lang w:val="en-GB"/>
        </w:rPr>
        <w:t>CuO</w:t>
      </w:r>
      <w:proofErr w:type="spellEnd"/>
      <w:r w:rsidR="009644ED" w:rsidRPr="004F5EB3">
        <w:rPr>
          <w:lang w:val="en-GB"/>
        </w:rPr>
        <w:t xml:space="preserve"> mixed with </w:t>
      </w:r>
      <w:proofErr w:type="gramStart"/>
      <w:r w:rsidR="00C62C0A" w:rsidRPr="004F5EB3">
        <w:rPr>
          <w:lang w:val="en-GB"/>
        </w:rPr>
        <w:t>YSZ,</w:t>
      </w:r>
      <w:r w:rsidR="009644ED" w:rsidRPr="004F5EB3">
        <w:rPr>
          <w:lang w:val="en-GB"/>
        </w:rPr>
        <w:t xml:space="preserve"> and</w:t>
      </w:r>
      <w:proofErr w:type="gramEnd"/>
      <w:r w:rsidR="009644ED" w:rsidRPr="004F5EB3">
        <w:rPr>
          <w:lang w:val="en-GB"/>
        </w:rPr>
        <w:t xml:space="preserve"> </w:t>
      </w:r>
      <w:r w:rsidR="00C62C0A" w:rsidRPr="004F5EB3">
        <w:rPr>
          <w:lang w:val="en-GB"/>
        </w:rPr>
        <w:t>reported</w:t>
      </w:r>
      <w:r w:rsidR="009644ED" w:rsidRPr="004F5EB3">
        <w:rPr>
          <w:lang w:val="en-GB"/>
        </w:rPr>
        <w:t xml:space="preserve"> </w:t>
      </w:r>
      <w:r w:rsidR="00C62C0A" w:rsidRPr="004F5EB3">
        <w:rPr>
          <w:lang w:val="en-GB"/>
        </w:rPr>
        <w:t xml:space="preserve">a good sintering resistance over repeated cycles. Xiang et al. </w:t>
      </w:r>
      <w:r w:rsidR="00982800" w:rsidRPr="004F5EB3">
        <w:rPr>
          <w:lang w:val="en-GB"/>
        </w:rPr>
        <w:t xml:space="preserve">(2021) </w:t>
      </w:r>
      <w:r w:rsidR="00C62C0A" w:rsidRPr="004F5EB3">
        <w:rPr>
          <w:lang w:val="en-GB"/>
        </w:rPr>
        <w:t>tested Al</w:t>
      </w:r>
      <w:r w:rsidR="00C62C0A" w:rsidRPr="004F5EB3">
        <w:rPr>
          <w:lang w:val="en-GB"/>
        </w:rPr>
        <w:noBreakHyphen/>
        <w:t xml:space="preserve">doped copper </w:t>
      </w:r>
      <w:proofErr w:type="gramStart"/>
      <w:r w:rsidR="00C62C0A" w:rsidRPr="004F5EB3">
        <w:rPr>
          <w:lang w:val="en-GB"/>
        </w:rPr>
        <w:t xml:space="preserve">oxides, </w:t>
      </w:r>
      <w:r w:rsidR="00514639" w:rsidRPr="004F5EB3">
        <w:rPr>
          <w:lang w:val="en-GB"/>
        </w:rPr>
        <w:t>and</w:t>
      </w:r>
      <w:proofErr w:type="gramEnd"/>
      <w:r w:rsidR="00514639" w:rsidRPr="004F5EB3">
        <w:rPr>
          <w:lang w:val="en-GB"/>
        </w:rPr>
        <w:t xml:space="preserve"> stated </w:t>
      </w:r>
      <w:r w:rsidR="00C62C0A" w:rsidRPr="004F5EB3">
        <w:rPr>
          <w:lang w:val="en-GB"/>
        </w:rPr>
        <w:t xml:space="preserve">that the formation of </w:t>
      </w:r>
      <w:r w:rsidR="00514639" w:rsidRPr="004F5EB3">
        <w:rPr>
          <w:lang w:val="en-GB"/>
        </w:rPr>
        <w:t xml:space="preserve">a </w:t>
      </w:r>
      <w:r w:rsidR="00C62C0A" w:rsidRPr="004F5EB3">
        <w:rPr>
          <w:lang w:val="en-GB"/>
        </w:rPr>
        <w:t>mixed phase (CuAl</w:t>
      </w:r>
      <w:r w:rsidR="00C62C0A" w:rsidRPr="004F5EB3">
        <w:rPr>
          <w:vertAlign w:val="subscript"/>
          <w:lang w:val="en-GB"/>
        </w:rPr>
        <w:t>2</w:t>
      </w:r>
      <w:r w:rsidR="00C62C0A" w:rsidRPr="004F5EB3">
        <w:rPr>
          <w:lang w:val="en-GB"/>
        </w:rPr>
        <w:t>O</w:t>
      </w:r>
      <w:r w:rsidR="00C62C0A" w:rsidRPr="004F5EB3">
        <w:rPr>
          <w:vertAlign w:val="subscript"/>
          <w:lang w:val="en-GB"/>
        </w:rPr>
        <w:t>4</w:t>
      </w:r>
      <w:r w:rsidR="00C62C0A" w:rsidRPr="004F5EB3">
        <w:rPr>
          <w:lang w:val="en-GB"/>
        </w:rPr>
        <w:t>) prevent</w:t>
      </w:r>
      <w:r w:rsidR="00164C44" w:rsidRPr="004F5EB3">
        <w:rPr>
          <w:lang w:val="en-GB"/>
        </w:rPr>
        <w:t xml:space="preserve">ed </w:t>
      </w:r>
      <w:r w:rsidR="00C62C0A" w:rsidRPr="004F5EB3">
        <w:rPr>
          <w:lang w:val="en-GB"/>
        </w:rPr>
        <w:t>material sintering.</w:t>
      </w:r>
      <w:r w:rsidR="0065047F" w:rsidRPr="004F5EB3">
        <w:rPr>
          <w:lang w:val="en-GB"/>
        </w:rPr>
        <w:t xml:space="preserve"> </w:t>
      </w:r>
      <w:r w:rsidR="00495A36" w:rsidRPr="004F5EB3">
        <w:rPr>
          <w:lang w:val="en-GB"/>
        </w:rPr>
        <w:t xml:space="preserve">In </w:t>
      </w:r>
      <w:r w:rsidR="00982800" w:rsidRPr="004F5EB3">
        <w:rPr>
          <w:lang w:val="en-GB"/>
        </w:rPr>
        <w:t xml:space="preserve">the present </w:t>
      </w:r>
      <w:r w:rsidR="00495A36" w:rsidRPr="004F5EB3">
        <w:rPr>
          <w:lang w:val="en-GB"/>
        </w:rPr>
        <w:t xml:space="preserve">work, the use of </w:t>
      </w:r>
      <w:proofErr w:type="spellStart"/>
      <w:r w:rsidR="00514639" w:rsidRPr="004F5EB3">
        <w:rPr>
          <w:lang w:val="en-GB"/>
        </w:rPr>
        <w:t>CuO</w:t>
      </w:r>
      <w:proofErr w:type="spellEnd"/>
      <w:r w:rsidR="00495A36" w:rsidRPr="004F5EB3">
        <w:rPr>
          <w:lang w:val="en-GB"/>
        </w:rPr>
        <w:t xml:space="preserve"> doped with ceria is experimentally investigated. Literature studies on this system mostly </w:t>
      </w:r>
      <w:r w:rsidR="00F90655" w:rsidRPr="004F5EB3">
        <w:rPr>
          <w:lang w:val="en-GB"/>
        </w:rPr>
        <w:t xml:space="preserve">dealt with </w:t>
      </w:r>
      <w:r w:rsidR="00495A36" w:rsidRPr="004F5EB3">
        <w:rPr>
          <w:lang w:val="en-GB"/>
        </w:rPr>
        <w:t>chemical looping combustion</w:t>
      </w:r>
      <w:r w:rsidR="00514639" w:rsidRPr="004F5EB3">
        <w:rPr>
          <w:lang w:val="en-GB"/>
        </w:rPr>
        <w:t xml:space="preserve"> </w:t>
      </w:r>
      <w:r w:rsidR="00495A36" w:rsidRPr="004F5EB3">
        <w:rPr>
          <w:lang w:val="en-GB"/>
        </w:rPr>
        <w:t>(</w:t>
      </w:r>
      <w:proofErr w:type="spellStart"/>
      <w:r w:rsidR="006A1C67" w:rsidRPr="004F5EB3">
        <w:rPr>
          <w:lang w:val="en-GB"/>
        </w:rPr>
        <w:t>Hedayati</w:t>
      </w:r>
      <w:proofErr w:type="spellEnd"/>
      <w:r w:rsidR="006A1C67" w:rsidRPr="004F5EB3">
        <w:rPr>
          <w:lang w:val="en-GB"/>
        </w:rPr>
        <w:t xml:space="preserve"> et al., </w:t>
      </w:r>
      <w:r w:rsidR="006A1C67" w:rsidRPr="004F5EB3">
        <w:rPr>
          <w:lang w:val="en-GB"/>
        </w:rPr>
        <w:lastRenderedPageBreak/>
        <w:t xml:space="preserve">2012; </w:t>
      </w:r>
      <w:proofErr w:type="spellStart"/>
      <w:r w:rsidR="006A1C67" w:rsidRPr="004F5EB3">
        <w:t>Rydén</w:t>
      </w:r>
      <w:proofErr w:type="spellEnd"/>
      <w:r w:rsidR="006A1C67" w:rsidRPr="004F5EB3">
        <w:t xml:space="preserve"> et al., 2014</w:t>
      </w:r>
      <w:r w:rsidR="00495A36" w:rsidRPr="004F5EB3">
        <w:rPr>
          <w:lang w:val="en-GB"/>
        </w:rPr>
        <w:t>). Here</w:t>
      </w:r>
      <w:r w:rsidR="00982800" w:rsidRPr="004F5EB3">
        <w:rPr>
          <w:lang w:val="en-GB"/>
        </w:rPr>
        <w:t xml:space="preserve">, </w:t>
      </w:r>
      <w:r w:rsidR="00495A36" w:rsidRPr="004F5EB3">
        <w:rPr>
          <w:lang w:val="en-GB"/>
        </w:rPr>
        <w:t xml:space="preserve">TCES is considered, </w:t>
      </w:r>
      <w:r w:rsidR="00982800" w:rsidRPr="004F5EB3">
        <w:rPr>
          <w:lang w:val="en-GB"/>
        </w:rPr>
        <w:t xml:space="preserve">that </w:t>
      </w:r>
      <w:r w:rsidR="00495A36" w:rsidRPr="004F5EB3">
        <w:rPr>
          <w:lang w:val="en-GB"/>
        </w:rPr>
        <w:t xml:space="preserve">is characterized by different process conditions. </w:t>
      </w:r>
      <w:r w:rsidR="00982800" w:rsidRPr="004F5EB3">
        <w:rPr>
          <w:lang w:val="en-GB"/>
        </w:rPr>
        <w:t xml:space="preserve">The use of a </w:t>
      </w:r>
      <w:r w:rsidR="00F87407" w:rsidRPr="004F5EB3">
        <w:rPr>
          <w:lang w:val="en-GB"/>
        </w:rPr>
        <w:t>Cu-</w:t>
      </w:r>
      <w:r w:rsidR="009021FE" w:rsidRPr="004F5EB3">
        <w:rPr>
          <w:lang w:val="en-GB"/>
        </w:rPr>
        <w:t xml:space="preserve">Ce system </w:t>
      </w:r>
      <w:r w:rsidR="00982800" w:rsidRPr="004F5EB3">
        <w:rPr>
          <w:lang w:val="en-GB"/>
        </w:rPr>
        <w:t xml:space="preserve">for TCES was </w:t>
      </w:r>
      <w:r w:rsidR="00514639" w:rsidRPr="004F5EB3">
        <w:rPr>
          <w:lang w:val="en-GB"/>
        </w:rPr>
        <w:t xml:space="preserve">recently </w:t>
      </w:r>
      <w:r w:rsidR="00982800" w:rsidRPr="004F5EB3">
        <w:rPr>
          <w:lang w:val="en-GB"/>
        </w:rPr>
        <w:t xml:space="preserve">investigated by Yilmaz et al. (2020), using a </w:t>
      </w:r>
      <w:proofErr w:type="spellStart"/>
      <w:r w:rsidR="009021FE" w:rsidRPr="004F5EB3">
        <w:rPr>
          <w:lang w:val="en-GB"/>
        </w:rPr>
        <w:t>CuO</w:t>
      </w:r>
      <w:proofErr w:type="spellEnd"/>
      <w:r w:rsidR="009021FE" w:rsidRPr="004F5EB3">
        <w:rPr>
          <w:lang w:val="en-GB"/>
        </w:rPr>
        <w:t xml:space="preserve"> content of 40%</w:t>
      </w:r>
      <w:r w:rsidR="00982800" w:rsidRPr="004F5EB3">
        <w:rPr>
          <w:vertAlign w:val="subscript"/>
          <w:lang w:val="en-GB"/>
        </w:rPr>
        <w:t>wt</w:t>
      </w:r>
      <w:r w:rsidR="00982800" w:rsidRPr="004F5EB3">
        <w:rPr>
          <w:lang w:val="en-GB"/>
        </w:rPr>
        <w:t xml:space="preserve"> and a reactive atmosphere of 5%</w:t>
      </w:r>
      <w:r w:rsidR="00982800" w:rsidRPr="004F5EB3">
        <w:rPr>
          <w:vertAlign w:val="subscript"/>
          <w:lang w:val="en-GB"/>
        </w:rPr>
        <w:t>v</w:t>
      </w:r>
      <w:r w:rsidR="00982800" w:rsidRPr="004F5EB3">
        <w:rPr>
          <w:lang w:val="en-GB"/>
        </w:rPr>
        <w:t xml:space="preserve"> O</w:t>
      </w:r>
      <w:r w:rsidR="00982800" w:rsidRPr="004F5EB3">
        <w:rPr>
          <w:vertAlign w:val="subscript"/>
          <w:lang w:val="en-GB"/>
        </w:rPr>
        <w:t>2</w:t>
      </w:r>
      <w:r w:rsidR="009021FE" w:rsidRPr="004F5EB3">
        <w:rPr>
          <w:lang w:val="en-GB"/>
        </w:rPr>
        <w:t xml:space="preserve">. In </w:t>
      </w:r>
      <w:r w:rsidR="00982800" w:rsidRPr="004F5EB3">
        <w:rPr>
          <w:lang w:val="en-GB"/>
        </w:rPr>
        <w:t xml:space="preserve">the present </w:t>
      </w:r>
      <w:r w:rsidR="009021FE" w:rsidRPr="004F5EB3">
        <w:rPr>
          <w:lang w:val="en-GB"/>
        </w:rPr>
        <w:t>study,</w:t>
      </w:r>
      <w:r w:rsidR="00F90655" w:rsidRPr="004F5EB3">
        <w:rPr>
          <w:lang w:val="en-GB"/>
        </w:rPr>
        <w:t xml:space="preserve"> </w:t>
      </w:r>
      <w:r w:rsidRPr="004F5EB3">
        <w:rPr>
          <w:lang w:val="en-GB"/>
        </w:rPr>
        <w:t xml:space="preserve">samples with a different </w:t>
      </w:r>
      <w:proofErr w:type="spellStart"/>
      <w:r w:rsidRPr="004F5EB3">
        <w:rPr>
          <w:lang w:val="en-GB"/>
        </w:rPr>
        <w:t>Ce:Cu</w:t>
      </w:r>
      <w:proofErr w:type="spellEnd"/>
      <w:r w:rsidRPr="004F5EB3">
        <w:rPr>
          <w:lang w:val="en-GB"/>
        </w:rPr>
        <w:t xml:space="preserve"> ratio </w:t>
      </w:r>
      <w:r w:rsidR="0006603D" w:rsidRPr="004F5EB3">
        <w:rPr>
          <w:lang w:val="en-GB"/>
        </w:rPr>
        <w:t xml:space="preserve">were </w:t>
      </w:r>
      <w:r w:rsidR="00161C31">
        <w:rPr>
          <w:lang w:val="en-GB"/>
        </w:rPr>
        <w:t>synthesized</w:t>
      </w:r>
      <w:r w:rsidRPr="004F5EB3">
        <w:rPr>
          <w:lang w:val="en-GB"/>
        </w:rPr>
        <w:t>.</w:t>
      </w:r>
      <w:r w:rsidR="0006603D" w:rsidRPr="004F5EB3">
        <w:rPr>
          <w:lang w:val="en-GB"/>
        </w:rPr>
        <w:t xml:space="preserve"> T</w:t>
      </w:r>
      <w:r w:rsidRPr="004F5EB3">
        <w:rPr>
          <w:lang w:val="en-GB"/>
        </w:rPr>
        <w:t xml:space="preserve">he reactivity of the materials </w:t>
      </w:r>
      <w:r w:rsidR="0006603D" w:rsidRPr="004F5EB3">
        <w:rPr>
          <w:lang w:val="en-GB"/>
        </w:rPr>
        <w:t xml:space="preserve">was </w:t>
      </w:r>
      <w:r w:rsidR="00F90655" w:rsidRPr="004F5EB3">
        <w:rPr>
          <w:lang w:val="en-GB"/>
        </w:rPr>
        <w:t xml:space="preserve">then </w:t>
      </w:r>
      <w:r w:rsidRPr="004F5EB3">
        <w:rPr>
          <w:lang w:val="en-GB"/>
        </w:rPr>
        <w:t xml:space="preserve">investigated </w:t>
      </w:r>
      <w:r w:rsidR="00982800" w:rsidRPr="004F5EB3">
        <w:rPr>
          <w:lang w:val="en-GB"/>
        </w:rPr>
        <w:t xml:space="preserve">by performing the reduction step in </w:t>
      </w:r>
      <w:r w:rsidR="00F90655" w:rsidRPr="004F5EB3">
        <w:rPr>
          <w:lang w:val="en-GB"/>
        </w:rPr>
        <w:t>N</w:t>
      </w:r>
      <w:r w:rsidR="00F90655" w:rsidRPr="004F5EB3">
        <w:rPr>
          <w:vertAlign w:val="subscript"/>
          <w:lang w:val="en-GB"/>
        </w:rPr>
        <w:t>2</w:t>
      </w:r>
      <w:r w:rsidR="00982800" w:rsidRPr="004F5EB3">
        <w:rPr>
          <w:lang w:val="en-GB"/>
        </w:rPr>
        <w:t xml:space="preserve"> and the oxidation step in air, </w:t>
      </w:r>
      <w:r w:rsidRPr="004F5EB3">
        <w:rPr>
          <w:lang w:val="en-GB"/>
        </w:rPr>
        <w:t xml:space="preserve">using a thermogravimetric </w:t>
      </w:r>
      <w:proofErr w:type="spellStart"/>
      <w:r w:rsidRPr="004F5EB3">
        <w:rPr>
          <w:lang w:val="en-GB"/>
        </w:rPr>
        <w:t>analyzer</w:t>
      </w:r>
      <w:proofErr w:type="spellEnd"/>
      <w:r w:rsidRPr="004F5EB3">
        <w:rPr>
          <w:lang w:val="en-GB"/>
        </w:rPr>
        <w:t xml:space="preserve"> with simultaneous thermal analysis.</w:t>
      </w:r>
      <w:r w:rsidR="0006603D" w:rsidRPr="004F5EB3">
        <w:rPr>
          <w:lang w:val="en-GB"/>
        </w:rPr>
        <w:t xml:space="preserve"> </w:t>
      </w:r>
      <w:r w:rsidRPr="004F5EB3">
        <w:rPr>
          <w:lang w:val="en-GB"/>
        </w:rPr>
        <w:t xml:space="preserve">Reaction degree and materials stability over iterated cycling </w:t>
      </w:r>
      <w:r w:rsidR="0006603D" w:rsidRPr="004F5EB3">
        <w:rPr>
          <w:lang w:val="en-GB"/>
        </w:rPr>
        <w:t xml:space="preserve">were </w:t>
      </w:r>
      <w:r w:rsidRPr="004F5EB3">
        <w:rPr>
          <w:lang w:val="en-GB"/>
        </w:rPr>
        <w:t>evaluated</w:t>
      </w:r>
      <w:r w:rsidR="0006603D" w:rsidRPr="004F5EB3">
        <w:rPr>
          <w:lang w:val="en-GB"/>
        </w:rPr>
        <w:t>.</w:t>
      </w:r>
      <w:r w:rsidR="002F4139" w:rsidRPr="004F5EB3">
        <w:rPr>
          <w:lang w:val="en-GB"/>
        </w:rPr>
        <w:t xml:space="preserve"> Samples were </w:t>
      </w:r>
      <w:proofErr w:type="spellStart"/>
      <w:r w:rsidR="002F4139" w:rsidRPr="004F5EB3">
        <w:rPr>
          <w:lang w:val="en-GB"/>
        </w:rPr>
        <w:t>analyzed</w:t>
      </w:r>
      <w:proofErr w:type="spellEnd"/>
      <w:r w:rsidR="002F4139" w:rsidRPr="004F5EB3">
        <w:rPr>
          <w:lang w:val="en-GB"/>
        </w:rPr>
        <w:t xml:space="preserve"> by means of X-ray Diffraction (XRD) and Scanning Electron Microscopy (SEM) to scrutinize the phases formed and the morphology of the </w:t>
      </w:r>
      <w:r w:rsidR="00523DE5" w:rsidRPr="004F5EB3">
        <w:rPr>
          <w:lang w:val="en-GB"/>
        </w:rPr>
        <w:t>materials</w:t>
      </w:r>
      <w:r w:rsidR="002F4139" w:rsidRPr="004F5EB3">
        <w:rPr>
          <w:lang w:val="en-GB"/>
        </w:rPr>
        <w:t>.</w:t>
      </w:r>
      <w:r w:rsidR="00523DE5" w:rsidRPr="004F5EB3">
        <w:rPr>
          <w:lang w:val="en-GB"/>
        </w:rPr>
        <w:t xml:space="preserve"> </w:t>
      </w:r>
      <w:r w:rsidR="002F4139" w:rsidRPr="004F5EB3">
        <w:rPr>
          <w:lang w:val="en-GB"/>
        </w:rPr>
        <w:t xml:space="preserve">Finally, the attainable densities of energy storage were computed to assess the potentiality of these materials towards </w:t>
      </w:r>
      <w:r w:rsidR="00635784" w:rsidRPr="004F5EB3">
        <w:rPr>
          <w:lang w:val="en-GB"/>
        </w:rPr>
        <w:t xml:space="preserve">TCES </w:t>
      </w:r>
      <w:r w:rsidR="002F4139" w:rsidRPr="004F5EB3">
        <w:rPr>
          <w:lang w:val="en-GB"/>
        </w:rPr>
        <w:t>applications.</w:t>
      </w:r>
    </w:p>
    <w:p w14:paraId="5741900F" w14:textId="05B16FE2" w:rsidR="00453E24" w:rsidRDefault="00287DD2" w:rsidP="00453E24">
      <w:pPr>
        <w:pStyle w:val="CETHeading1"/>
      </w:pPr>
      <w:r>
        <w:t>Experimental</w:t>
      </w:r>
    </w:p>
    <w:p w14:paraId="03473AE2" w14:textId="08C8BED8" w:rsidR="00A05742" w:rsidRDefault="00A05742" w:rsidP="00453E24">
      <w:pPr>
        <w:pStyle w:val="CETBodytext"/>
      </w:pPr>
      <w:r>
        <w:t xml:space="preserve">Four different samples were </w:t>
      </w:r>
      <w:r w:rsidR="00411E93">
        <w:t>synthesized</w:t>
      </w:r>
      <w:r>
        <w:t xml:space="preserve"> and tested in the present experimental campaign</w:t>
      </w:r>
      <w:r w:rsidR="00B229D2">
        <w:t>, with</w:t>
      </w:r>
      <w:r w:rsidR="00260CB4">
        <w:t xml:space="preserve"> nominal composition</w:t>
      </w:r>
      <w:r w:rsidR="00B229D2">
        <w:t xml:space="preserve"> </w:t>
      </w:r>
      <w:r w:rsidR="00260CB4">
        <w:t>detailed in Table 1.</w:t>
      </w:r>
      <w:r w:rsidR="00B229D2">
        <w:t xml:space="preserve"> </w:t>
      </w:r>
      <w:r>
        <w:t>In any case, the following experimental procedure was used. Appropriate amounts of cerium</w:t>
      </w:r>
      <w:r w:rsidR="00260CB4">
        <w:t xml:space="preserve"> (III) </w:t>
      </w:r>
      <w:r>
        <w:t>nitrate</w:t>
      </w:r>
      <w:r w:rsidR="00260CB4">
        <w:t xml:space="preserve"> hexahydrate </w:t>
      </w:r>
      <w:r>
        <w:t>and copper</w:t>
      </w:r>
      <w:r w:rsidR="00260CB4">
        <w:t xml:space="preserve"> (II) </w:t>
      </w:r>
      <w:r>
        <w:t xml:space="preserve">nitrate </w:t>
      </w:r>
      <w:r w:rsidR="002B37C5">
        <w:t>hemi</w:t>
      </w:r>
      <w:r w:rsidR="00665D6A">
        <w:t>(penta</w:t>
      </w:r>
      <w:r w:rsidR="00260CB4">
        <w:t>hydrate</w:t>
      </w:r>
      <w:r w:rsidR="00665D6A">
        <w:t xml:space="preserve">), purchased from </w:t>
      </w:r>
      <w:r w:rsidR="006F5B5A">
        <w:t>Sigma-Aldrich</w:t>
      </w:r>
      <w:r w:rsidR="00665D6A">
        <w:t xml:space="preserve"> and used as </w:t>
      </w:r>
      <w:r w:rsidR="006F5B5A">
        <w:t>received,</w:t>
      </w:r>
      <w:r w:rsidR="00260CB4">
        <w:t xml:space="preserve"> were dissolved in </w:t>
      </w:r>
      <w:r w:rsidR="006F5B5A">
        <w:t>bi-</w:t>
      </w:r>
      <w:r w:rsidR="00260CB4">
        <w:t xml:space="preserve">distillate water. Then, the solution was dried in a thermostatic stove at 120°C. </w:t>
      </w:r>
      <w:r w:rsidR="00B229D2">
        <w:t>The sample w</w:t>
      </w:r>
      <w:r w:rsidR="00635784">
        <w:t>as</w:t>
      </w:r>
      <w:r w:rsidR="00B229D2">
        <w:t xml:space="preserve"> then </w:t>
      </w:r>
      <w:r w:rsidR="00B229D2" w:rsidRPr="00D91636">
        <w:t xml:space="preserve">calcined at </w:t>
      </w:r>
      <w:r w:rsidR="00D91636" w:rsidRPr="00D91636">
        <w:t>950</w:t>
      </w:r>
      <w:r w:rsidR="00B229D2" w:rsidRPr="00D91636">
        <w:t xml:space="preserve"> °C in a mu</w:t>
      </w:r>
      <w:r w:rsidR="00B229D2">
        <w:t xml:space="preserve">ffle furnace under air for </w:t>
      </w:r>
      <w:r w:rsidR="00F512CB">
        <w:t>5</w:t>
      </w:r>
      <w:r w:rsidR="00B229D2">
        <w:t xml:space="preserve"> h.</w:t>
      </w:r>
    </w:p>
    <w:p w14:paraId="369196E1" w14:textId="366461DA" w:rsidR="00B229D2" w:rsidRPr="00B57B36" w:rsidRDefault="00B229D2" w:rsidP="00B229D2">
      <w:pPr>
        <w:pStyle w:val="CETTabletitle"/>
      </w:pPr>
      <w:r w:rsidRPr="00B57B36">
        <w:t xml:space="preserve">Table 1: </w:t>
      </w:r>
      <w:r>
        <w:t xml:space="preserve">Nominal </w:t>
      </w:r>
      <w:r w:rsidR="001805D0">
        <w:t xml:space="preserve">mass </w:t>
      </w:r>
      <w:r>
        <w:t xml:space="preserve">and atomic composition of the four </w:t>
      </w:r>
      <w:r w:rsidR="005D20E5">
        <w:t>synthe</w:t>
      </w:r>
      <w:r w:rsidR="00D215AD">
        <w:t>s</w:t>
      </w:r>
      <w:r w:rsidR="005D20E5">
        <w:t xml:space="preserve">ized </w:t>
      </w:r>
      <w:r>
        <w:t>samples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2"/>
        <w:gridCol w:w="2150"/>
        <w:gridCol w:w="1965"/>
        <w:gridCol w:w="1840"/>
        <w:gridCol w:w="1840"/>
      </w:tblGrid>
      <w:tr w:rsidR="00382A8D" w:rsidRPr="00B57B36" w14:paraId="4178B703" w14:textId="241089D1" w:rsidTr="00312444">
        <w:tc>
          <w:tcPr>
            <w:tcW w:w="992" w:type="dxa"/>
            <w:tcBorders>
              <w:top w:val="single" w:sz="12" w:space="0" w:color="008000"/>
              <w:bottom w:val="single" w:sz="6" w:space="0" w:color="008000"/>
            </w:tcBorders>
            <w:shd w:val="clear" w:color="auto" w:fill="FFFFFF"/>
          </w:tcPr>
          <w:p w14:paraId="0A560EE8" w14:textId="4DD56706" w:rsidR="00382A8D" w:rsidRPr="00B57B36" w:rsidRDefault="00382A8D" w:rsidP="00C07383">
            <w:pPr>
              <w:pStyle w:val="CETBodytext"/>
              <w:rPr>
                <w:lang w:val="en-GB"/>
              </w:rPr>
            </w:pPr>
            <w:r>
              <w:rPr>
                <w:lang w:val="en-GB"/>
              </w:rPr>
              <w:t>Name</w:t>
            </w:r>
            <w:r w:rsidRPr="00B57B36">
              <w:rPr>
                <w:lang w:val="en-GB"/>
              </w:rPr>
              <w:t xml:space="preserve"> </w:t>
            </w:r>
          </w:p>
        </w:tc>
        <w:tc>
          <w:tcPr>
            <w:tcW w:w="2150" w:type="dxa"/>
            <w:tcBorders>
              <w:top w:val="single" w:sz="12" w:space="0" w:color="008000"/>
              <w:bottom w:val="single" w:sz="6" w:space="0" w:color="008000"/>
            </w:tcBorders>
            <w:shd w:val="clear" w:color="auto" w:fill="FFFFFF"/>
          </w:tcPr>
          <w:p w14:paraId="2286939B" w14:textId="422363D6" w:rsidR="00382A8D" w:rsidRPr="00B57B36" w:rsidRDefault="00382A8D" w:rsidP="001805D0">
            <w:pPr>
              <w:pStyle w:val="CETBodytext"/>
              <w:jc w:val="center"/>
              <w:rPr>
                <w:lang w:val="en-GB"/>
              </w:rPr>
            </w:pPr>
            <w:proofErr w:type="gramStart"/>
            <w:r>
              <w:rPr>
                <w:lang w:val="en-GB"/>
              </w:rPr>
              <w:t>CuO:CeO</w:t>
            </w:r>
            <w:proofErr w:type="gramEnd"/>
            <w:r w:rsidRPr="001805D0">
              <w:rPr>
                <w:vertAlign w:val="subscript"/>
                <w:lang w:val="en-GB"/>
              </w:rPr>
              <w:t>2</w:t>
            </w:r>
            <w:r>
              <w:rPr>
                <w:lang w:val="en-GB"/>
              </w:rPr>
              <w:t xml:space="preserve"> mass ratio</w:t>
            </w:r>
          </w:p>
        </w:tc>
        <w:tc>
          <w:tcPr>
            <w:tcW w:w="1965" w:type="dxa"/>
            <w:tcBorders>
              <w:top w:val="single" w:sz="12" w:space="0" w:color="008000"/>
              <w:bottom w:val="single" w:sz="6" w:space="0" w:color="008000"/>
            </w:tcBorders>
            <w:shd w:val="clear" w:color="auto" w:fill="FFFFFF"/>
          </w:tcPr>
          <w:p w14:paraId="1FD95310" w14:textId="3B4A72AE" w:rsidR="00382A8D" w:rsidRPr="00B57B36" w:rsidRDefault="00382A8D" w:rsidP="001805D0">
            <w:pPr>
              <w:pStyle w:val="CETBodytext"/>
              <w:jc w:val="center"/>
              <w:rPr>
                <w:lang w:val="en-GB"/>
              </w:rPr>
            </w:pPr>
            <w:proofErr w:type="spellStart"/>
            <w:proofErr w:type="gramStart"/>
            <w:r w:rsidRPr="007C118D">
              <w:rPr>
                <w:lang w:val="en-GB"/>
              </w:rPr>
              <w:t>Cu:Ce</w:t>
            </w:r>
            <w:proofErr w:type="spellEnd"/>
            <w:proofErr w:type="gramEnd"/>
            <w:r w:rsidRPr="007C118D">
              <w:rPr>
                <w:lang w:val="en-GB"/>
              </w:rPr>
              <w:t xml:space="preserve"> atomic</w:t>
            </w:r>
            <w:r>
              <w:rPr>
                <w:lang w:val="en-GB"/>
              </w:rPr>
              <w:t xml:space="preserve"> ratio</w:t>
            </w:r>
          </w:p>
        </w:tc>
        <w:tc>
          <w:tcPr>
            <w:tcW w:w="3680" w:type="dxa"/>
            <w:gridSpan w:val="2"/>
            <w:tcBorders>
              <w:top w:val="single" w:sz="12" w:space="0" w:color="008000"/>
              <w:bottom w:val="single" w:sz="6" w:space="0" w:color="008000"/>
            </w:tcBorders>
            <w:shd w:val="clear" w:color="auto" w:fill="FFFFFF"/>
          </w:tcPr>
          <w:p w14:paraId="2983CCF3" w14:textId="781CD98F" w:rsidR="00382A8D" w:rsidRDefault="00382A8D" w:rsidP="00382A8D">
            <w:pPr>
              <w:pStyle w:val="CETBodytext"/>
              <w:jc w:val="center"/>
              <w:rPr>
                <w:lang w:val="en-GB"/>
              </w:rPr>
            </w:pPr>
            <w:r w:rsidRPr="00530C09">
              <w:rPr>
                <w:lang w:val="en-GB"/>
              </w:rPr>
              <w:t xml:space="preserve">Surface </w:t>
            </w:r>
            <w:proofErr w:type="spellStart"/>
            <w:proofErr w:type="gramStart"/>
            <w:r w:rsidRPr="00530C09">
              <w:rPr>
                <w:lang w:val="en-GB"/>
              </w:rPr>
              <w:t>Cu</w:t>
            </w:r>
            <w:r w:rsidR="00C27DA9" w:rsidRPr="00530C09">
              <w:rPr>
                <w:lang w:val="en-GB"/>
              </w:rPr>
              <w:t>:</w:t>
            </w:r>
            <w:r w:rsidRPr="00530C09">
              <w:rPr>
                <w:lang w:val="en-GB"/>
              </w:rPr>
              <w:t>Ce</w:t>
            </w:r>
            <w:proofErr w:type="spellEnd"/>
            <w:proofErr w:type="gramEnd"/>
            <w:r w:rsidRPr="00530C09">
              <w:rPr>
                <w:lang w:val="en-GB"/>
              </w:rPr>
              <w:t xml:space="preserve"> atomic ratio</w:t>
            </w:r>
            <w:r>
              <w:rPr>
                <w:lang w:val="en-GB"/>
              </w:rPr>
              <w:br/>
              <w:t>(as prepared)               (4 cycles)</w:t>
            </w:r>
          </w:p>
        </w:tc>
      </w:tr>
      <w:tr w:rsidR="00543ABB" w:rsidRPr="00B57B36" w14:paraId="7F613457" w14:textId="32E84E82" w:rsidTr="00543ABB">
        <w:tc>
          <w:tcPr>
            <w:tcW w:w="992" w:type="dxa"/>
            <w:shd w:val="clear" w:color="auto" w:fill="FFFFFF"/>
          </w:tcPr>
          <w:p w14:paraId="4F11CC0D" w14:textId="019846A7" w:rsidR="00543ABB" w:rsidRPr="00B57B36" w:rsidRDefault="00543ABB" w:rsidP="00C07383">
            <w:pPr>
              <w:pStyle w:val="CETBodytext"/>
              <w:rPr>
                <w:lang w:val="en-GB"/>
              </w:rPr>
            </w:pPr>
            <w:r>
              <w:rPr>
                <w:lang w:val="en-GB"/>
              </w:rPr>
              <w:t>Cu100</w:t>
            </w:r>
          </w:p>
        </w:tc>
        <w:tc>
          <w:tcPr>
            <w:tcW w:w="2150" w:type="dxa"/>
            <w:shd w:val="clear" w:color="auto" w:fill="FFFFFF"/>
          </w:tcPr>
          <w:p w14:paraId="78CDE004" w14:textId="1010E17C" w:rsidR="00543ABB" w:rsidRPr="00B57B36" w:rsidRDefault="00543ABB" w:rsidP="001805D0">
            <w:pPr>
              <w:pStyle w:val="CETBodytext"/>
              <w:jc w:val="center"/>
              <w:rPr>
                <w:lang w:val="en-GB"/>
              </w:rPr>
            </w:pPr>
            <w:r>
              <w:rPr>
                <w:lang w:val="en-GB"/>
              </w:rPr>
              <w:t>100:0</w:t>
            </w:r>
          </w:p>
        </w:tc>
        <w:tc>
          <w:tcPr>
            <w:tcW w:w="1965" w:type="dxa"/>
            <w:shd w:val="clear" w:color="auto" w:fill="FFFFFF"/>
          </w:tcPr>
          <w:p w14:paraId="0D17FCBB" w14:textId="6CBF84E2" w:rsidR="00543ABB" w:rsidRPr="00B57B36" w:rsidRDefault="00543ABB" w:rsidP="001805D0">
            <w:pPr>
              <w:pStyle w:val="CETBodytext"/>
              <w:jc w:val="center"/>
              <w:rPr>
                <w:lang w:val="en-GB"/>
              </w:rPr>
            </w:pPr>
            <w:r>
              <w:rPr>
                <w:lang w:val="en-GB"/>
              </w:rPr>
              <w:t>1.00</w:t>
            </w:r>
          </w:p>
        </w:tc>
        <w:tc>
          <w:tcPr>
            <w:tcW w:w="1840" w:type="dxa"/>
            <w:shd w:val="clear" w:color="auto" w:fill="FFFFFF"/>
          </w:tcPr>
          <w:p w14:paraId="1A0A297F" w14:textId="17CE6570" w:rsidR="00543ABB" w:rsidRDefault="003F651A" w:rsidP="001805D0">
            <w:pPr>
              <w:pStyle w:val="CETBodytext"/>
              <w:jc w:val="center"/>
              <w:rPr>
                <w:lang w:val="en-GB"/>
              </w:rPr>
            </w:pPr>
            <w:r>
              <w:rPr>
                <w:rFonts w:cs="Arial"/>
                <w:szCs w:val="18"/>
                <w:lang w:val="en-GB"/>
              </w:rPr>
              <w:t>–</w:t>
            </w:r>
          </w:p>
        </w:tc>
        <w:tc>
          <w:tcPr>
            <w:tcW w:w="1840" w:type="dxa"/>
            <w:shd w:val="clear" w:color="auto" w:fill="FFFFFF"/>
          </w:tcPr>
          <w:p w14:paraId="15189856" w14:textId="43A9C097" w:rsidR="00543ABB" w:rsidRDefault="003F651A" w:rsidP="001805D0">
            <w:pPr>
              <w:pStyle w:val="CETBodytext"/>
              <w:jc w:val="center"/>
              <w:rPr>
                <w:lang w:val="en-GB"/>
              </w:rPr>
            </w:pPr>
            <w:r>
              <w:rPr>
                <w:rFonts w:cs="Arial"/>
                <w:szCs w:val="18"/>
                <w:lang w:val="en-GB"/>
              </w:rPr>
              <w:t>–</w:t>
            </w:r>
          </w:p>
        </w:tc>
      </w:tr>
      <w:tr w:rsidR="00543ABB" w:rsidRPr="00B57B36" w14:paraId="72E8BA95" w14:textId="17CA8851" w:rsidTr="00543ABB">
        <w:tc>
          <w:tcPr>
            <w:tcW w:w="992" w:type="dxa"/>
            <w:shd w:val="clear" w:color="auto" w:fill="FFFFFF"/>
          </w:tcPr>
          <w:p w14:paraId="7750EF7A" w14:textId="5BD87211" w:rsidR="00543ABB" w:rsidRPr="00B57B36" w:rsidRDefault="00543ABB" w:rsidP="00C07383">
            <w:pPr>
              <w:pStyle w:val="CETBodytext"/>
              <w:rPr>
                <w:lang w:val="en-GB"/>
              </w:rPr>
            </w:pPr>
            <w:r>
              <w:rPr>
                <w:lang w:val="en-GB"/>
              </w:rPr>
              <w:t>Cu70</w:t>
            </w:r>
          </w:p>
        </w:tc>
        <w:tc>
          <w:tcPr>
            <w:tcW w:w="2150" w:type="dxa"/>
            <w:shd w:val="clear" w:color="auto" w:fill="FFFFFF"/>
          </w:tcPr>
          <w:p w14:paraId="770008A3" w14:textId="43354D9F" w:rsidR="00543ABB" w:rsidRPr="00B57B36" w:rsidRDefault="00543ABB" w:rsidP="001805D0">
            <w:pPr>
              <w:pStyle w:val="CETBodytext"/>
              <w:jc w:val="center"/>
              <w:rPr>
                <w:lang w:val="en-GB"/>
              </w:rPr>
            </w:pPr>
            <w:r>
              <w:rPr>
                <w:lang w:val="en-GB"/>
              </w:rPr>
              <w:t>70:30</w:t>
            </w:r>
          </w:p>
        </w:tc>
        <w:tc>
          <w:tcPr>
            <w:tcW w:w="1965" w:type="dxa"/>
            <w:shd w:val="clear" w:color="auto" w:fill="FFFFFF"/>
          </w:tcPr>
          <w:p w14:paraId="57585604" w14:textId="0B5C3DE7" w:rsidR="00543ABB" w:rsidRPr="00B57B36" w:rsidRDefault="00543ABB" w:rsidP="001805D0">
            <w:pPr>
              <w:pStyle w:val="CETBodytext"/>
              <w:jc w:val="center"/>
              <w:rPr>
                <w:lang w:val="en-GB"/>
              </w:rPr>
            </w:pPr>
            <w:r>
              <w:rPr>
                <w:lang w:val="en-GB"/>
              </w:rPr>
              <w:t>0.83</w:t>
            </w:r>
          </w:p>
        </w:tc>
        <w:tc>
          <w:tcPr>
            <w:tcW w:w="1840" w:type="dxa"/>
            <w:shd w:val="clear" w:color="auto" w:fill="FFFFFF"/>
          </w:tcPr>
          <w:p w14:paraId="2FB7265B" w14:textId="6C2E1EC0" w:rsidR="00543ABB" w:rsidRDefault="00D02722" w:rsidP="001805D0">
            <w:pPr>
              <w:pStyle w:val="CETBodytext"/>
              <w:jc w:val="center"/>
              <w:rPr>
                <w:lang w:val="en-GB"/>
              </w:rPr>
            </w:pPr>
            <w:r>
              <w:rPr>
                <w:lang w:val="en-GB"/>
              </w:rPr>
              <w:t>45.1</w:t>
            </w:r>
          </w:p>
        </w:tc>
        <w:tc>
          <w:tcPr>
            <w:tcW w:w="1840" w:type="dxa"/>
            <w:shd w:val="clear" w:color="auto" w:fill="FFFFFF"/>
          </w:tcPr>
          <w:p w14:paraId="4FDC5C33" w14:textId="0B13B315" w:rsidR="00543ABB" w:rsidRDefault="00611C1D" w:rsidP="001805D0">
            <w:pPr>
              <w:pStyle w:val="CETBodytext"/>
              <w:jc w:val="center"/>
              <w:rPr>
                <w:lang w:val="en-GB"/>
              </w:rPr>
            </w:pPr>
            <w:r>
              <w:rPr>
                <w:lang w:val="en-GB"/>
              </w:rPr>
              <w:t>5.2</w:t>
            </w:r>
          </w:p>
        </w:tc>
      </w:tr>
      <w:tr w:rsidR="00543ABB" w:rsidRPr="00B57B36" w14:paraId="7580C01A" w14:textId="2C926D65" w:rsidTr="00543ABB">
        <w:tc>
          <w:tcPr>
            <w:tcW w:w="992" w:type="dxa"/>
            <w:shd w:val="clear" w:color="auto" w:fill="FFFFFF"/>
          </w:tcPr>
          <w:p w14:paraId="4A0C7DE6" w14:textId="79605361" w:rsidR="00543ABB" w:rsidRPr="00B57B36" w:rsidRDefault="00543ABB" w:rsidP="00C07383">
            <w:pPr>
              <w:pStyle w:val="CETBodytext"/>
              <w:rPr>
                <w:lang w:val="en-GB"/>
              </w:rPr>
            </w:pPr>
            <w:r>
              <w:rPr>
                <w:lang w:val="en-GB"/>
              </w:rPr>
              <w:t>Cu40</w:t>
            </w:r>
          </w:p>
        </w:tc>
        <w:tc>
          <w:tcPr>
            <w:tcW w:w="2150" w:type="dxa"/>
            <w:shd w:val="clear" w:color="auto" w:fill="FFFFFF"/>
          </w:tcPr>
          <w:p w14:paraId="5C46C140" w14:textId="79B4E0AD" w:rsidR="00543ABB" w:rsidRPr="00B57B36" w:rsidRDefault="00543ABB" w:rsidP="001805D0">
            <w:pPr>
              <w:pStyle w:val="CETBodytext"/>
              <w:jc w:val="center"/>
              <w:rPr>
                <w:lang w:val="en-GB"/>
              </w:rPr>
            </w:pPr>
            <w:r>
              <w:rPr>
                <w:lang w:val="en-GB"/>
              </w:rPr>
              <w:t>40:60</w:t>
            </w:r>
          </w:p>
        </w:tc>
        <w:tc>
          <w:tcPr>
            <w:tcW w:w="1965" w:type="dxa"/>
            <w:shd w:val="clear" w:color="auto" w:fill="FFFFFF"/>
          </w:tcPr>
          <w:p w14:paraId="21708A92" w14:textId="66887998" w:rsidR="00543ABB" w:rsidRPr="00B57B36" w:rsidRDefault="00543ABB" w:rsidP="001805D0">
            <w:pPr>
              <w:pStyle w:val="CETBodytext"/>
              <w:jc w:val="center"/>
              <w:rPr>
                <w:lang w:val="en-GB"/>
              </w:rPr>
            </w:pPr>
            <w:r>
              <w:rPr>
                <w:lang w:val="en-GB"/>
              </w:rPr>
              <w:t>0.59</w:t>
            </w:r>
          </w:p>
        </w:tc>
        <w:tc>
          <w:tcPr>
            <w:tcW w:w="1840" w:type="dxa"/>
            <w:shd w:val="clear" w:color="auto" w:fill="FFFFFF"/>
          </w:tcPr>
          <w:p w14:paraId="40FC4411" w14:textId="3AB925DB" w:rsidR="00543ABB" w:rsidRDefault="00D02722" w:rsidP="001805D0">
            <w:pPr>
              <w:pStyle w:val="CETBodytext"/>
              <w:jc w:val="center"/>
              <w:rPr>
                <w:lang w:val="en-GB"/>
              </w:rPr>
            </w:pPr>
            <w:r>
              <w:rPr>
                <w:lang w:val="en-GB"/>
              </w:rPr>
              <w:t>38.1</w:t>
            </w:r>
          </w:p>
        </w:tc>
        <w:tc>
          <w:tcPr>
            <w:tcW w:w="1840" w:type="dxa"/>
            <w:shd w:val="clear" w:color="auto" w:fill="FFFFFF"/>
          </w:tcPr>
          <w:p w14:paraId="087B8B92" w14:textId="687CF53F" w:rsidR="00543ABB" w:rsidRDefault="002E4A9F" w:rsidP="001805D0">
            <w:pPr>
              <w:pStyle w:val="CETBodytext"/>
              <w:jc w:val="center"/>
              <w:rPr>
                <w:lang w:val="en-GB"/>
              </w:rPr>
            </w:pPr>
            <w:r>
              <w:rPr>
                <w:lang w:val="en-GB"/>
              </w:rPr>
              <w:t>7.8</w:t>
            </w:r>
          </w:p>
        </w:tc>
      </w:tr>
      <w:tr w:rsidR="00543ABB" w:rsidRPr="00B57B36" w14:paraId="70E5EA3E" w14:textId="344CB8B9" w:rsidTr="00543ABB">
        <w:tc>
          <w:tcPr>
            <w:tcW w:w="992" w:type="dxa"/>
            <w:shd w:val="clear" w:color="auto" w:fill="FFFFFF"/>
          </w:tcPr>
          <w:p w14:paraId="4F21F6B9" w14:textId="1C51FE74" w:rsidR="00543ABB" w:rsidRPr="00B57B36" w:rsidRDefault="00543ABB" w:rsidP="00C07383">
            <w:pPr>
              <w:pStyle w:val="CETBodytext"/>
              <w:ind w:right="-1"/>
              <w:rPr>
                <w:rFonts w:cs="Arial"/>
                <w:szCs w:val="18"/>
                <w:lang w:val="en-GB"/>
              </w:rPr>
            </w:pPr>
            <w:r>
              <w:rPr>
                <w:rFonts w:cs="Arial"/>
                <w:szCs w:val="18"/>
                <w:lang w:val="en-GB"/>
              </w:rPr>
              <w:t>Cu0</w:t>
            </w:r>
          </w:p>
        </w:tc>
        <w:tc>
          <w:tcPr>
            <w:tcW w:w="2150" w:type="dxa"/>
            <w:shd w:val="clear" w:color="auto" w:fill="FFFFFF"/>
          </w:tcPr>
          <w:p w14:paraId="650300A1" w14:textId="76D90812" w:rsidR="00543ABB" w:rsidRPr="00B57B36" w:rsidRDefault="00543ABB" w:rsidP="001805D0">
            <w:pPr>
              <w:pStyle w:val="CETBodytext"/>
              <w:ind w:right="-1"/>
              <w:jc w:val="center"/>
              <w:rPr>
                <w:rFonts w:cs="Arial"/>
                <w:szCs w:val="18"/>
                <w:lang w:val="en-GB"/>
              </w:rPr>
            </w:pPr>
            <w:r>
              <w:rPr>
                <w:rFonts w:cs="Arial"/>
                <w:szCs w:val="18"/>
                <w:lang w:val="en-GB"/>
              </w:rPr>
              <w:t>0</w:t>
            </w:r>
            <w:r>
              <w:rPr>
                <w:lang w:val="en-GB"/>
              </w:rPr>
              <w:t>:</w:t>
            </w:r>
            <w:r>
              <w:rPr>
                <w:rFonts w:cs="Arial"/>
                <w:szCs w:val="18"/>
                <w:lang w:val="en-GB"/>
              </w:rPr>
              <w:t>100</w:t>
            </w:r>
          </w:p>
        </w:tc>
        <w:tc>
          <w:tcPr>
            <w:tcW w:w="1965" w:type="dxa"/>
            <w:shd w:val="clear" w:color="auto" w:fill="FFFFFF"/>
          </w:tcPr>
          <w:p w14:paraId="3F3C1022" w14:textId="761C7226" w:rsidR="00543ABB" w:rsidRPr="00B57B36" w:rsidRDefault="00543ABB" w:rsidP="001805D0">
            <w:pPr>
              <w:pStyle w:val="CETBodytext"/>
              <w:ind w:right="-1"/>
              <w:jc w:val="center"/>
              <w:rPr>
                <w:rFonts w:cs="Arial"/>
                <w:szCs w:val="18"/>
                <w:lang w:val="en-GB"/>
              </w:rPr>
            </w:pPr>
            <w:r>
              <w:rPr>
                <w:rFonts w:cs="Arial"/>
                <w:szCs w:val="18"/>
                <w:lang w:val="en-GB"/>
              </w:rPr>
              <w:t>0.00</w:t>
            </w:r>
          </w:p>
        </w:tc>
        <w:tc>
          <w:tcPr>
            <w:tcW w:w="1840" w:type="dxa"/>
            <w:shd w:val="clear" w:color="auto" w:fill="FFFFFF"/>
          </w:tcPr>
          <w:p w14:paraId="39FFF6BB" w14:textId="032346F7" w:rsidR="00543ABB" w:rsidRDefault="003F651A" w:rsidP="001805D0">
            <w:pPr>
              <w:pStyle w:val="CETBodytext"/>
              <w:ind w:right="-1"/>
              <w:jc w:val="center"/>
              <w:rPr>
                <w:rFonts w:cs="Arial"/>
                <w:szCs w:val="18"/>
                <w:lang w:val="en-GB"/>
              </w:rPr>
            </w:pPr>
            <w:r>
              <w:rPr>
                <w:rFonts w:cs="Arial"/>
                <w:szCs w:val="18"/>
                <w:lang w:val="en-GB"/>
              </w:rPr>
              <w:t>–</w:t>
            </w:r>
          </w:p>
        </w:tc>
        <w:tc>
          <w:tcPr>
            <w:tcW w:w="1840" w:type="dxa"/>
            <w:shd w:val="clear" w:color="auto" w:fill="FFFFFF"/>
          </w:tcPr>
          <w:p w14:paraId="7E5764E6" w14:textId="6FB29EE0" w:rsidR="00543ABB" w:rsidRDefault="003F651A" w:rsidP="001805D0">
            <w:pPr>
              <w:pStyle w:val="CETBodytext"/>
              <w:ind w:right="-1"/>
              <w:jc w:val="center"/>
              <w:rPr>
                <w:rFonts w:cs="Arial"/>
                <w:szCs w:val="18"/>
                <w:lang w:val="en-GB"/>
              </w:rPr>
            </w:pPr>
            <w:r>
              <w:rPr>
                <w:rFonts w:cs="Arial"/>
                <w:szCs w:val="18"/>
                <w:lang w:val="en-GB"/>
              </w:rPr>
              <w:t>–</w:t>
            </w:r>
          </w:p>
        </w:tc>
      </w:tr>
    </w:tbl>
    <w:p w14:paraId="31449228" w14:textId="77777777" w:rsidR="00B229D2" w:rsidRDefault="00B229D2" w:rsidP="00453E24">
      <w:pPr>
        <w:pStyle w:val="CETBodytext"/>
      </w:pPr>
    </w:p>
    <w:p w14:paraId="09406386" w14:textId="3B718BD2" w:rsidR="00453E24" w:rsidRDefault="00A05742" w:rsidP="00453E24">
      <w:pPr>
        <w:pStyle w:val="CETBodytext"/>
      </w:pPr>
      <w:r>
        <w:t xml:space="preserve">The </w:t>
      </w:r>
      <w:r w:rsidR="005D20E5">
        <w:t>materials were then tested in a thermogravimetric analyze</w:t>
      </w:r>
      <w:r w:rsidR="00665A7B">
        <w:t xml:space="preserve">r </w:t>
      </w:r>
      <w:r w:rsidR="005D20E5">
        <w:t>with simultaneous thermal analysis (Mettler Toledo TGA/DSC</w:t>
      </w:r>
      <w:r w:rsidR="00665A7B">
        <w:t xml:space="preserve"> </w:t>
      </w:r>
      <w:r w:rsidR="005D20E5">
        <w:t>3</w:t>
      </w:r>
      <w:r w:rsidR="005D20E5" w:rsidRPr="00C27DA9">
        <w:rPr>
          <w:vertAlign w:val="superscript"/>
        </w:rPr>
        <w:t>+</w:t>
      </w:r>
      <w:r w:rsidR="005D20E5">
        <w:t xml:space="preserve">) to measure the mass loss/gain of the samples over iterated </w:t>
      </w:r>
      <w:r w:rsidR="00665A7B">
        <w:t xml:space="preserve">reduction/oxidation cycles, together with the heat absorbed </w:t>
      </w:r>
      <w:r w:rsidR="00635784">
        <w:t xml:space="preserve">and released </w:t>
      </w:r>
      <w:r w:rsidR="00665A7B">
        <w:t>by the samples during the chemical reactions. Reduction was performed using N</w:t>
      </w:r>
      <w:r w:rsidR="00665A7B" w:rsidRPr="00665A7B">
        <w:rPr>
          <w:vertAlign w:val="subscript"/>
        </w:rPr>
        <w:t>2</w:t>
      </w:r>
      <w:r w:rsidR="00665A7B">
        <w:t xml:space="preserve"> </w:t>
      </w:r>
      <w:r w:rsidR="00635784">
        <w:t xml:space="preserve">and oxidation using </w:t>
      </w:r>
      <w:r w:rsidR="00665A7B">
        <w:t>synthetic air, both with 99.999% purity</w:t>
      </w:r>
      <w:r w:rsidR="00635784">
        <w:t>. T</w:t>
      </w:r>
      <w:r w:rsidR="00665A7B">
        <w:t xml:space="preserve">he temperature was </w:t>
      </w:r>
      <w:r w:rsidR="00635784">
        <w:t xml:space="preserve">instead </w:t>
      </w:r>
      <w:r w:rsidR="00665A7B">
        <w:t xml:space="preserve">fixed to 950 °C </w:t>
      </w:r>
      <w:r w:rsidR="00635784">
        <w:t>for</w:t>
      </w:r>
      <w:r w:rsidR="00665A7B">
        <w:t xml:space="preserve"> both reaction steps.</w:t>
      </w:r>
      <w:r w:rsidR="00C036EC">
        <w:t xml:space="preserve"> During a typical test, </w:t>
      </w:r>
      <w:r w:rsidR="00697809">
        <w:t xml:space="preserve">a sample of about 30–40 mg </w:t>
      </w:r>
      <w:r w:rsidR="00C036EC">
        <w:t xml:space="preserve">was </w:t>
      </w:r>
      <w:r w:rsidR="00697809">
        <w:t xml:space="preserve">placed in a 90 </w:t>
      </w:r>
      <w:proofErr w:type="spellStart"/>
      <w:r w:rsidR="00697809">
        <w:rPr>
          <w:rFonts w:cs="Arial"/>
        </w:rPr>
        <w:t>μ</w:t>
      </w:r>
      <w:r w:rsidR="00697809">
        <w:t>L</w:t>
      </w:r>
      <w:proofErr w:type="spellEnd"/>
      <w:r w:rsidR="00697809">
        <w:t xml:space="preserve"> Al</w:t>
      </w:r>
      <w:r w:rsidR="00697809" w:rsidRPr="00697809">
        <w:rPr>
          <w:vertAlign w:val="subscript"/>
        </w:rPr>
        <w:t>2</w:t>
      </w:r>
      <w:r w:rsidR="00697809">
        <w:t>O</w:t>
      </w:r>
      <w:r w:rsidR="00697809" w:rsidRPr="00697809">
        <w:rPr>
          <w:vertAlign w:val="subscript"/>
        </w:rPr>
        <w:t>3</w:t>
      </w:r>
      <w:r w:rsidR="00697809">
        <w:t xml:space="preserve"> crucible and </w:t>
      </w:r>
      <w:r w:rsidR="00C036EC">
        <w:t>heated to 950</w:t>
      </w:r>
      <w:r w:rsidR="00697809">
        <w:t> </w:t>
      </w:r>
      <w:r w:rsidR="00C036EC">
        <w:t>°C at 20</w:t>
      </w:r>
      <w:r w:rsidR="00697809">
        <w:t> </w:t>
      </w:r>
      <w:r w:rsidR="00C036EC">
        <w:t>°C</w:t>
      </w:r>
      <w:r w:rsidR="00697809">
        <w:t xml:space="preserve"> </w:t>
      </w:r>
      <w:r w:rsidR="00C036EC">
        <w:t>min</w:t>
      </w:r>
      <w:r w:rsidR="00697809">
        <w:rPr>
          <w:vertAlign w:val="superscript"/>
        </w:rPr>
        <w:t>−1</w:t>
      </w:r>
      <w:r w:rsidR="00C036EC">
        <w:t xml:space="preserve"> under a N</w:t>
      </w:r>
      <w:r w:rsidR="00C036EC" w:rsidRPr="00C036EC">
        <w:rPr>
          <w:vertAlign w:val="subscript"/>
        </w:rPr>
        <w:t>2</w:t>
      </w:r>
      <w:r w:rsidR="00C036EC">
        <w:t xml:space="preserve"> flow of 50 mL min</w:t>
      </w:r>
      <w:r w:rsidR="00C036EC" w:rsidRPr="00C036EC">
        <w:rPr>
          <w:vertAlign w:val="superscript"/>
        </w:rPr>
        <w:t>−1</w:t>
      </w:r>
      <w:r w:rsidR="00C036EC">
        <w:t>.</w:t>
      </w:r>
      <w:r w:rsidR="006438EE">
        <w:t xml:space="preserve"> </w:t>
      </w:r>
      <w:r w:rsidR="00C036EC">
        <w:t>Then</w:t>
      </w:r>
      <w:r w:rsidR="006438EE">
        <w:t>, nine isothermal steps at 950°C</w:t>
      </w:r>
      <w:r w:rsidR="00697809">
        <w:t xml:space="preserve">, </w:t>
      </w:r>
      <w:r w:rsidR="006438EE">
        <w:t>50 min each</w:t>
      </w:r>
      <w:r w:rsidR="00697809">
        <w:t xml:space="preserve">, </w:t>
      </w:r>
      <w:r w:rsidR="006438EE">
        <w:t>were performed by switching the gas atmosphere between N</w:t>
      </w:r>
      <w:r w:rsidR="006438EE" w:rsidRPr="006438EE">
        <w:rPr>
          <w:vertAlign w:val="subscript"/>
        </w:rPr>
        <w:t>2</w:t>
      </w:r>
      <w:r w:rsidR="006438EE">
        <w:t xml:space="preserve"> and synthetic air, respectively.</w:t>
      </w:r>
      <w:r w:rsidR="00697809">
        <w:t xml:space="preserve"> </w:t>
      </w:r>
      <w:r w:rsidR="006438EE">
        <w:t xml:space="preserve">The flow stream was always set at 50 mL </w:t>
      </w:r>
      <w:proofErr w:type="gramStart"/>
      <w:r w:rsidR="006438EE">
        <w:t>min</w:t>
      </w:r>
      <w:r w:rsidR="006438EE" w:rsidRPr="00C036EC">
        <w:rPr>
          <w:vertAlign w:val="superscript"/>
        </w:rPr>
        <w:t>−1</w:t>
      </w:r>
      <w:proofErr w:type="gramEnd"/>
      <w:r w:rsidR="006438EE">
        <w:t>. The last isothermal step, as well as the final cooling of the sample to ambient temperature, w</w:t>
      </w:r>
      <w:r w:rsidR="00530C09">
        <w:t>ere</w:t>
      </w:r>
      <w:r w:rsidR="006438EE">
        <w:t xml:space="preserve"> performed in N</w:t>
      </w:r>
      <w:r w:rsidR="006438EE" w:rsidRPr="006438EE">
        <w:rPr>
          <w:vertAlign w:val="subscript"/>
        </w:rPr>
        <w:t>2</w:t>
      </w:r>
      <w:r w:rsidR="00697809">
        <w:t xml:space="preserve"> </w:t>
      </w:r>
      <w:r w:rsidR="005758BC">
        <w:t xml:space="preserve">to </w:t>
      </w:r>
      <w:r w:rsidR="00697809">
        <w:t xml:space="preserve">recover </w:t>
      </w:r>
      <w:r w:rsidR="005758BC">
        <w:t>the sample</w:t>
      </w:r>
      <w:r w:rsidR="00697809">
        <w:t xml:space="preserve">s </w:t>
      </w:r>
      <w:r w:rsidR="005758BC">
        <w:t>in their reduced state.</w:t>
      </w:r>
      <w:r w:rsidR="00497E0A">
        <w:t xml:space="preserve"> For each </w:t>
      </w:r>
      <w:r w:rsidR="00041C90">
        <w:t>reaction</w:t>
      </w:r>
      <w:r w:rsidR="00635784">
        <w:t xml:space="preserve"> step</w:t>
      </w:r>
      <w:r w:rsidR="00497E0A">
        <w:t>, it was computed the mass loss</w:t>
      </w:r>
      <w:r w:rsidR="00041C90">
        <w:t>/</w:t>
      </w:r>
      <w:r w:rsidR="00497E0A">
        <w:t>gain</w:t>
      </w:r>
      <w:r w:rsidR="00041C90">
        <w:t xml:space="preserve"> with respect to the previous step as</w:t>
      </w:r>
      <w:r w:rsidR="00635784">
        <w: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3"/>
        <w:gridCol w:w="804"/>
      </w:tblGrid>
      <w:tr w:rsidR="00497E0A" w:rsidRPr="00B57B36" w14:paraId="5BE5C804" w14:textId="77777777" w:rsidTr="006C3295">
        <w:tc>
          <w:tcPr>
            <w:tcW w:w="7974" w:type="dxa"/>
          </w:tcPr>
          <w:p w14:paraId="647C35D9" w14:textId="6D827E0C" w:rsidR="00497E0A" w:rsidRPr="00B57B36" w:rsidRDefault="00020665" w:rsidP="00C07383">
            <w:pPr>
              <w:pStyle w:val="CETEquation"/>
            </w:pPr>
            <m:oMathPara>
              <m:oMath>
                <m:r>
                  <w:rPr>
                    <w:rFonts w:ascii="Cambria Math" w:hAnsi="Cambria Math"/>
                  </w:rPr>
                  <m:t>Δm=</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N-1</m:t>
                        </m:r>
                      </m:sub>
                    </m:sSub>
                  </m:num>
                  <m:den>
                    <m:sSub>
                      <m:sSubPr>
                        <m:ctrlPr>
                          <w:rPr>
                            <w:rFonts w:ascii="Cambria Math" w:hAnsi="Cambria Math"/>
                            <w:i/>
                          </w:rPr>
                        </m:ctrlPr>
                      </m:sSubPr>
                      <m:e>
                        <m:r>
                          <w:rPr>
                            <w:rFonts w:ascii="Cambria Math" w:hAnsi="Cambria Math"/>
                          </w:rPr>
                          <m:t>m</m:t>
                        </m:r>
                      </m:e>
                      <m:sub>
                        <m:r>
                          <w:rPr>
                            <w:rFonts w:ascii="Cambria Math" w:hAnsi="Cambria Math"/>
                          </w:rPr>
                          <m:t>N-1</m:t>
                        </m:r>
                      </m:sub>
                    </m:sSub>
                  </m:den>
                </m:f>
                <m:r>
                  <w:rPr>
                    <w:rFonts w:ascii="Cambria Math" w:hAnsi="Cambria Math"/>
                  </w:rPr>
                  <m:t xml:space="preserve"> </m:t>
                </m:r>
              </m:oMath>
            </m:oMathPara>
          </w:p>
        </w:tc>
        <w:tc>
          <w:tcPr>
            <w:tcW w:w="803" w:type="dxa"/>
          </w:tcPr>
          <w:p w14:paraId="0C2AAAC4" w14:textId="77777777" w:rsidR="00497E0A" w:rsidRPr="00B57B36" w:rsidRDefault="00497E0A" w:rsidP="00C07383">
            <w:pPr>
              <w:pStyle w:val="CETEquation"/>
              <w:jc w:val="right"/>
            </w:pPr>
            <w:r w:rsidRPr="00B57B36">
              <w:t>(1)</w:t>
            </w:r>
          </w:p>
        </w:tc>
      </w:tr>
    </w:tbl>
    <w:p w14:paraId="7489C5F5" w14:textId="27EC1393" w:rsidR="00497E0A" w:rsidRPr="006C3295" w:rsidRDefault="00020665" w:rsidP="006C3295">
      <w:pPr>
        <w:pStyle w:val="CETBodytext"/>
      </w:pPr>
      <w:r>
        <w:t xml:space="preserve">where </w:t>
      </w:r>
      <w:r w:rsidRPr="00020665">
        <w:rPr>
          <w:i/>
          <w:iCs/>
        </w:rPr>
        <w:t>N</w:t>
      </w:r>
      <w:r>
        <w:t xml:space="preserve"> is a counter for the step (</w:t>
      </w:r>
      <w:r w:rsidRPr="00020665">
        <w:rPr>
          <w:i/>
          <w:iCs/>
        </w:rPr>
        <w:t>N</w:t>
      </w:r>
      <w:r w:rsidR="00635784">
        <w:rPr>
          <w:i/>
          <w:iCs/>
        </w:rPr>
        <w:t> </w:t>
      </w:r>
      <w:r>
        <w:t>=</w:t>
      </w:r>
      <w:r w:rsidR="00635784">
        <w:t> </w:t>
      </w:r>
      <w:r>
        <w:t xml:space="preserve">1…9) and </w:t>
      </w:r>
      <w:r w:rsidRPr="00020665">
        <w:rPr>
          <w:i/>
          <w:iCs/>
        </w:rPr>
        <w:t>m</w:t>
      </w:r>
      <w:r>
        <w:t xml:space="preserve"> is the mass of the sample at the end of the relevant reaction step. </w:t>
      </w:r>
      <w:r w:rsidR="006C3295">
        <w:t xml:space="preserve">Depending on the step considered, </w:t>
      </w:r>
      <w:proofErr w:type="spellStart"/>
      <w:r w:rsidR="006C3295" w:rsidRPr="006C3295">
        <w:rPr>
          <w:rFonts w:cs="Arial"/>
          <w:i/>
          <w:iCs/>
        </w:rPr>
        <w:t>Δ</w:t>
      </w:r>
      <w:r w:rsidR="006C3295" w:rsidRPr="006C3295">
        <w:rPr>
          <w:i/>
          <w:iCs/>
        </w:rPr>
        <w:t>m</w:t>
      </w:r>
      <w:proofErr w:type="spellEnd"/>
      <w:r w:rsidR="006C3295">
        <w:rPr>
          <w:i/>
          <w:iCs/>
        </w:rPr>
        <w:t xml:space="preserve"> </w:t>
      </w:r>
      <w:r w:rsidR="006C3295">
        <w:t xml:space="preserve">values </w:t>
      </w:r>
      <w:r w:rsidR="006C3295" w:rsidRPr="006C3295">
        <w:t>may</w:t>
      </w:r>
      <w:r w:rsidR="006C3295">
        <w:t xml:space="preserve"> refer to the reduction or oxidation step</w:t>
      </w:r>
      <w:r w:rsidR="006C3295" w:rsidRPr="006C3295">
        <w:t>.</w:t>
      </w:r>
      <w:r w:rsidR="006C3295">
        <w:t xml:space="preserve"> The integral heat flow signal</w:t>
      </w:r>
      <w:r w:rsidR="00635784">
        <w:t>s</w:t>
      </w:r>
      <w:r w:rsidR="006C3295">
        <w:t xml:space="preserve"> associated </w:t>
      </w:r>
      <w:r w:rsidR="00792DD3">
        <w:t>with</w:t>
      </w:r>
      <w:r w:rsidR="006C3295">
        <w:t xml:space="preserve"> each reaction step </w:t>
      </w:r>
      <w:r w:rsidR="00635784">
        <w:t>were</w:t>
      </w:r>
      <w:r w:rsidR="006C3295">
        <w:t xml:space="preserve"> instead normalized to the mass of </w:t>
      </w:r>
      <w:r w:rsidR="00635784">
        <w:t xml:space="preserve">the </w:t>
      </w:r>
      <w:r w:rsidR="002F2260">
        <w:t>reduced</w:t>
      </w:r>
      <w:r w:rsidR="00635784">
        <w:t xml:space="preserve"> sample</w:t>
      </w:r>
      <w:r w:rsidR="006C3295">
        <w:t>.</w:t>
      </w:r>
    </w:p>
    <w:p w14:paraId="46EC6158" w14:textId="484CF2FF" w:rsidR="00497E0A" w:rsidRDefault="00D8697D" w:rsidP="00453E24">
      <w:pPr>
        <w:pStyle w:val="CETBodytext"/>
      </w:pPr>
      <w:r>
        <w:t>Samples</w:t>
      </w:r>
      <w:r w:rsidR="00360D76">
        <w:t xml:space="preserve"> </w:t>
      </w:r>
      <w:r>
        <w:t>after the calcination in the muffle furnace</w:t>
      </w:r>
      <w:r w:rsidR="00A74065">
        <w:t xml:space="preserve">, </w:t>
      </w:r>
      <w:r>
        <w:t>and</w:t>
      </w:r>
      <w:r w:rsidR="00360D76">
        <w:t xml:space="preserve"> </w:t>
      </w:r>
      <w:r>
        <w:t xml:space="preserve">after the </w:t>
      </w:r>
      <w:r w:rsidR="00360D76">
        <w:t>thermogravimetric experiments, were analyzed by means of XRD</w:t>
      </w:r>
      <w:r w:rsidR="00523DE5">
        <w:t xml:space="preserve"> </w:t>
      </w:r>
      <w:r w:rsidR="00360D76">
        <w:t xml:space="preserve">and </w:t>
      </w:r>
      <w:r w:rsidR="00523DE5">
        <w:t>SEM</w:t>
      </w:r>
      <w:r w:rsidR="00360D76">
        <w:t xml:space="preserve"> with energy dispersive spectroscopy (SEM</w:t>
      </w:r>
      <w:r w:rsidR="00360D76">
        <w:noBreakHyphen/>
        <w:t xml:space="preserve">EDS). </w:t>
      </w:r>
    </w:p>
    <w:p w14:paraId="677EBFF0" w14:textId="77017ACA" w:rsidR="00600535" w:rsidRDefault="00287DD2" w:rsidP="00600535">
      <w:pPr>
        <w:pStyle w:val="CETHeading1"/>
        <w:tabs>
          <w:tab w:val="clear" w:pos="360"/>
          <w:tab w:val="right" w:pos="7100"/>
        </w:tabs>
        <w:jc w:val="both"/>
        <w:rPr>
          <w:lang w:val="en-GB"/>
        </w:rPr>
      </w:pPr>
      <w:r>
        <w:rPr>
          <w:lang w:val="en-GB"/>
        </w:rPr>
        <w:t>Results</w:t>
      </w:r>
    </w:p>
    <w:p w14:paraId="12700104" w14:textId="4838DB37" w:rsidR="00061B47" w:rsidRDefault="00061B47" w:rsidP="00061B47">
      <w:pPr>
        <w:pStyle w:val="CETheadingx"/>
      </w:pPr>
      <w:r>
        <w:t>The</w:t>
      </w:r>
      <w:r w:rsidR="00BC2ADE">
        <w:t>r</w:t>
      </w:r>
      <w:r>
        <w:t xml:space="preserve">mogravimetric analysis </w:t>
      </w:r>
    </w:p>
    <w:p w14:paraId="33E44C86" w14:textId="0465B695" w:rsidR="00C73AE3" w:rsidRDefault="00451047" w:rsidP="00363B74">
      <w:pPr>
        <w:pStyle w:val="CETBodytext"/>
      </w:pPr>
      <w:r>
        <w:t>Fig. 1</w:t>
      </w:r>
      <w:r>
        <w:noBreakHyphen/>
        <w:t xml:space="preserve">a shows the thermogravimetric curves obtained for the different </w:t>
      </w:r>
      <w:r w:rsidR="00F877EA">
        <w:t xml:space="preserve">types of </w:t>
      </w:r>
      <w:proofErr w:type="gramStart"/>
      <w:r>
        <w:t>sample</w:t>
      </w:r>
      <w:proofErr w:type="gramEnd"/>
      <w:r w:rsidR="00070B21">
        <w:t xml:space="preserve">. </w:t>
      </w:r>
      <w:r w:rsidR="007334BF">
        <w:t xml:space="preserve">In each case, </w:t>
      </w:r>
      <w:r w:rsidR="00070B21">
        <w:t xml:space="preserve">the reference mass </w:t>
      </w:r>
      <w:r w:rsidR="00661600">
        <w:t>(</w:t>
      </w:r>
      <w:proofErr w:type="spellStart"/>
      <w:r w:rsidR="00661600" w:rsidRPr="00661600">
        <w:rPr>
          <w:i/>
          <w:iCs/>
        </w:rPr>
        <w:t>m</w:t>
      </w:r>
      <w:r w:rsidR="00661600" w:rsidRPr="00661600">
        <w:rPr>
          <w:i/>
          <w:iCs/>
          <w:vertAlign w:val="subscript"/>
        </w:rPr>
        <w:t>ref</w:t>
      </w:r>
      <w:proofErr w:type="spellEnd"/>
      <w:r w:rsidR="00661600">
        <w:t xml:space="preserve">) </w:t>
      </w:r>
      <w:r w:rsidR="00070B21">
        <w:t>is that measured at about 700 °C during the initial heating, namely before the reduction step starts</w:t>
      </w:r>
      <w:r w:rsidR="00372883">
        <w:t>,</w:t>
      </w:r>
      <w:r w:rsidR="00070B21">
        <w:t xml:space="preserve"> but after </w:t>
      </w:r>
      <w:r w:rsidR="007334BF">
        <w:t xml:space="preserve">the </w:t>
      </w:r>
      <w:r w:rsidR="00070B21">
        <w:t>dehumidification and release of possible adsorbed compounds.</w:t>
      </w:r>
      <w:r w:rsidR="007334BF">
        <w:t xml:space="preserve"> </w:t>
      </w:r>
      <w:r w:rsidR="00070B21">
        <w:t>The analysis of Fig.</w:t>
      </w:r>
      <w:r w:rsidR="00372883">
        <w:t> </w:t>
      </w:r>
      <w:r w:rsidR="00070B21">
        <w:t>1</w:t>
      </w:r>
      <w:r w:rsidR="007334BF">
        <w:noBreakHyphen/>
        <w:t>a</w:t>
      </w:r>
      <w:r w:rsidR="00070B21">
        <w:t xml:space="preserve"> reveals that</w:t>
      </w:r>
      <w:r w:rsidR="007334BF">
        <w:t xml:space="preserve"> Cu100, Cu70 and Cu40 undergo repeated reduction and oxidation reactions when the gaseous atmosphere changes from N</w:t>
      </w:r>
      <w:r w:rsidR="007334BF" w:rsidRPr="007334BF">
        <w:rPr>
          <w:vertAlign w:val="subscript"/>
        </w:rPr>
        <w:t>2</w:t>
      </w:r>
      <w:r w:rsidR="007334BF">
        <w:t xml:space="preserve"> to air and vice-versa. Cu100 </w:t>
      </w:r>
      <w:r w:rsidR="00D17F17">
        <w:t xml:space="preserve">shows </w:t>
      </w:r>
      <w:r w:rsidR="007334BF">
        <w:t xml:space="preserve">the highest mass reduction, followed by Cu70 and Cu40. Moreover, no </w:t>
      </w:r>
      <w:r w:rsidR="006E21F4">
        <w:t xml:space="preserve">decrease in reactivity is observed over the four performed cycles, as the mass loss and gain appear to be </w:t>
      </w:r>
      <w:r w:rsidR="00D17F17">
        <w:t xml:space="preserve">mostly </w:t>
      </w:r>
      <w:r w:rsidR="006E21F4">
        <w:t>constant over cycling for all the</w:t>
      </w:r>
      <w:r w:rsidR="005C2EE8">
        <w:t xml:space="preserve"> materials</w:t>
      </w:r>
      <w:r w:rsidR="006E21F4">
        <w:t xml:space="preserve">. </w:t>
      </w:r>
      <w:r w:rsidR="007334BF">
        <w:t>Differently, for Cu0</w:t>
      </w:r>
      <w:r w:rsidR="00F14185">
        <w:t xml:space="preserve"> (i.e., pure CeO</w:t>
      </w:r>
      <w:r w:rsidR="00F14185" w:rsidRPr="00F14185">
        <w:rPr>
          <w:vertAlign w:val="subscript"/>
        </w:rPr>
        <w:t>2</w:t>
      </w:r>
      <w:r w:rsidR="00F14185">
        <w:t>)</w:t>
      </w:r>
      <w:r w:rsidR="007334BF">
        <w:t>, the mass variation upon O</w:t>
      </w:r>
      <w:r w:rsidR="007334BF" w:rsidRPr="007334BF">
        <w:rPr>
          <w:vertAlign w:val="subscript"/>
        </w:rPr>
        <w:t>2</w:t>
      </w:r>
      <w:r w:rsidR="007334BF">
        <w:t xml:space="preserve"> concentration swing is almost null.</w:t>
      </w:r>
      <w:r w:rsidR="00FC62F4">
        <w:t xml:space="preserve"> </w:t>
      </w:r>
      <w:r w:rsidR="006E21F4">
        <w:t>Fig. 1</w:t>
      </w:r>
      <w:r w:rsidR="006E21F4">
        <w:noBreakHyphen/>
        <w:t xml:space="preserve">b shows </w:t>
      </w:r>
      <w:r w:rsidR="00FC62F4">
        <w:t>the mass loss and gain for all the samples</w:t>
      </w:r>
      <w:r w:rsidR="00D17F17">
        <w:t>,</w:t>
      </w:r>
      <w:r w:rsidR="00FC62F4">
        <w:t xml:space="preserve"> computed as from Eq. (1), together with the theoretical prediction values. The latter were computed by assuming that all the cupric oxide reduc</w:t>
      </w:r>
      <w:r w:rsidR="005E3C82">
        <w:t xml:space="preserve">es </w:t>
      </w:r>
      <w:r w:rsidR="00FC62F4">
        <w:t xml:space="preserve">to cuprous oxide, while the </w:t>
      </w:r>
      <w:r w:rsidR="00F44EB7">
        <w:t>ceria</w:t>
      </w:r>
      <w:r w:rsidR="00FC62F4">
        <w:t xml:space="preserve"> remains unchanged. Data in </w:t>
      </w:r>
      <w:r w:rsidR="00FC62F4">
        <w:lastRenderedPageBreak/>
        <w:t>Figure 1</w:t>
      </w:r>
      <w:r w:rsidR="00FC62F4">
        <w:noBreakHyphen/>
        <w:t xml:space="preserve">b </w:t>
      </w:r>
      <w:r w:rsidR="005E3C82">
        <w:t xml:space="preserve">confirm the stability of the samples over cycling, as </w:t>
      </w:r>
      <w:proofErr w:type="spellStart"/>
      <w:r w:rsidR="005E3C82" w:rsidRPr="005E3C82">
        <w:rPr>
          <w:rFonts w:cs="Arial"/>
          <w:i/>
          <w:iCs/>
        </w:rPr>
        <w:t>Δ</w:t>
      </w:r>
      <w:r w:rsidR="005E3C82" w:rsidRPr="005E3C82">
        <w:rPr>
          <w:i/>
          <w:iCs/>
        </w:rPr>
        <w:t>m</w:t>
      </w:r>
      <w:proofErr w:type="spellEnd"/>
      <w:r w:rsidR="005E3C82">
        <w:t xml:space="preserve"> values for both reduction and oxidation steps are mostly </w:t>
      </w:r>
      <w:r w:rsidR="00D17F17">
        <w:t xml:space="preserve">constant </w:t>
      </w:r>
      <w:r w:rsidR="005E3C82">
        <w:t xml:space="preserve">over cycling. For Cu100, the experimental data are in good agreement </w:t>
      </w:r>
      <w:r w:rsidR="00D17F17">
        <w:t xml:space="preserve">also </w:t>
      </w:r>
      <w:r w:rsidR="005E3C82">
        <w:t>with the theoretical values, suggesting tha</w:t>
      </w:r>
      <w:r w:rsidR="00D17F17">
        <w:t xml:space="preserve">t </w:t>
      </w:r>
      <w:r w:rsidR="005E3C82">
        <w:t>the reduction of cupric oxide stops at cuprous oxide and does not proceed to metallic copper. For Cu70 and Cu40, the experimental values are higher than the theoretical ones</w:t>
      </w:r>
      <w:r w:rsidR="0090620C">
        <w:t xml:space="preserve">, with a difference that is more pronounced for the sample richer in ceric oxide (Cu40). This difference </w:t>
      </w:r>
      <w:r w:rsidR="00AC399D">
        <w:t xml:space="preserve">could </w:t>
      </w:r>
      <w:r w:rsidR="0090620C">
        <w:t xml:space="preserve">be ascribed to </w:t>
      </w:r>
      <w:r w:rsidR="00AC399D">
        <w:t>a</w:t>
      </w:r>
      <w:r w:rsidR="0090620C">
        <w:t xml:space="preserve"> composition of the samples being different from the nominal values reported in Table 1, or, alternatively, to a stronger reduction of the sample</w:t>
      </w:r>
      <w:r w:rsidR="00AC399D">
        <w:t>s</w:t>
      </w:r>
      <w:r w:rsidR="0090620C">
        <w:t xml:space="preserve">. The latter could be due to the reduction of a fraction of cuprous oxide to metallic copper </w:t>
      </w:r>
      <w:r w:rsidR="00960F37">
        <w:t>and/</w:t>
      </w:r>
      <w:r w:rsidR="0090620C">
        <w:t>or the reduction of a part of ceri</w:t>
      </w:r>
      <w:r w:rsidR="00FA360E">
        <w:t>um</w:t>
      </w:r>
      <w:r w:rsidR="0090620C">
        <w:t xml:space="preserve"> oxide</w:t>
      </w:r>
      <w:r w:rsidR="00AC399D">
        <w:t xml:space="preserve">, both </w:t>
      </w:r>
      <w:r w:rsidR="00D51633">
        <w:t xml:space="preserve">promoted </w:t>
      </w:r>
      <w:r w:rsidR="00AC399D">
        <w:t xml:space="preserve">by interfacial </w:t>
      </w:r>
      <w:proofErr w:type="spellStart"/>
      <w:r w:rsidR="00AC399D">
        <w:t>Cu:Ce</w:t>
      </w:r>
      <w:proofErr w:type="spellEnd"/>
      <w:r w:rsidR="00AC399D">
        <w:t xml:space="preserve"> interactions</w:t>
      </w:r>
      <w:r w:rsidR="00FA360E">
        <w:t xml:space="preserve"> </w:t>
      </w:r>
      <w:r w:rsidR="00285EF0">
        <w:t xml:space="preserve">(Chen et al., 2015; </w:t>
      </w:r>
      <w:r w:rsidR="00047FED">
        <w:t>Di Benedetto et al. 2017)</w:t>
      </w:r>
      <w:r w:rsidR="00AC399D">
        <w:t>.</w:t>
      </w:r>
      <w:r w:rsidR="00047FED">
        <w:t xml:space="preserve"> It is worth noting that </w:t>
      </w:r>
      <w:r w:rsidR="00D95592">
        <w:t>cerium oxide reduction can occur without the loss of its fluorite structure</w:t>
      </w:r>
      <w:r w:rsidR="00DB6AB9">
        <w:t xml:space="preserve">, i.e. with </w:t>
      </w:r>
      <w:r w:rsidR="00230421">
        <w:t xml:space="preserve">the formation of </w:t>
      </w:r>
      <w:r w:rsidR="00EF3805">
        <w:t xml:space="preserve">a </w:t>
      </w:r>
      <w:r w:rsidR="00230421">
        <w:t>non-stoichiometric CeO</w:t>
      </w:r>
      <w:r w:rsidR="00230421" w:rsidRPr="00EF3805">
        <w:rPr>
          <w:vertAlign w:val="subscript"/>
        </w:rPr>
        <w:t>2-</w:t>
      </w:r>
      <w:r w:rsidR="00230421" w:rsidRPr="00EF3805">
        <w:rPr>
          <w:rFonts w:ascii="Symbol" w:hAnsi="Symbol"/>
          <w:vertAlign w:val="subscript"/>
        </w:rPr>
        <w:t>d</w:t>
      </w:r>
      <w:r w:rsidR="00230421">
        <w:t xml:space="preserve"> </w:t>
      </w:r>
      <w:r w:rsidR="00EF3805">
        <w:t>phase (</w:t>
      </w:r>
      <w:proofErr w:type="spellStart"/>
      <w:r w:rsidR="00EF3805">
        <w:t>Portarapillo</w:t>
      </w:r>
      <w:proofErr w:type="spellEnd"/>
      <w:r w:rsidR="00EF3805">
        <w:t xml:space="preserve"> et al., 2022)</w:t>
      </w:r>
      <w:r w:rsidR="00C03BB9">
        <w:t>.</w:t>
      </w:r>
    </w:p>
    <w:p w14:paraId="58C3D69B" w14:textId="6C0CE6AD" w:rsidR="00C73AE3" w:rsidRDefault="00C73AE3" w:rsidP="00363B74">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326"/>
      </w:tblGrid>
      <w:tr w:rsidR="00AD3D39" w14:paraId="20350C4A" w14:textId="77777777" w:rsidTr="00D51633">
        <w:tc>
          <w:tcPr>
            <w:tcW w:w="4452" w:type="dxa"/>
          </w:tcPr>
          <w:p w14:paraId="04ABD196" w14:textId="217E81CC" w:rsidR="00C73AE3" w:rsidRDefault="00B65EF7" w:rsidP="00C73AE3">
            <w:pPr>
              <w:pStyle w:val="CETBodytext"/>
              <w:jc w:val="center"/>
            </w:pPr>
            <w:r>
              <w:t>(</w:t>
            </w:r>
            <w:r w:rsidR="00C73AE3">
              <w:t>a)</w:t>
            </w:r>
          </w:p>
        </w:tc>
        <w:tc>
          <w:tcPr>
            <w:tcW w:w="4335" w:type="dxa"/>
          </w:tcPr>
          <w:p w14:paraId="4E940949" w14:textId="77C48529" w:rsidR="00C73AE3" w:rsidRDefault="00B65EF7" w:rsidP="00C73AE3">
            <w:pPr>
              <w:pStyle w:val="CETBodytext"/>
              <w:jc w:val="center"/>
            </w:pPr>
            <w:r>
              <w:t>(</w:t>
            </w:r>
            <w:r w:rsidR="00C73AE3">
              <w:t>b)</w:t>
            </w:r>
          </w:p>
        </w:tc>
      </w:tr>
      <w:tr w:rsidR="00AD3D39" w14:paraId="5CD19015" w14:textId="77777777" w:rsidTr="00D51633">
        <w:tc>
          <w:tcPr>
            <w:tcW w:w="4452" w:type="dxa"/>
          </w:tcPr>
          <w:p w14:paraId="2E253366" w14:textId="3CB45D7B" w:rsidR="00C73AE3" w:rsidRDefault="00B65EF7" w:rsidP="00F81C7C">
            <w:pPr>
              <w:pStyle w:val="CETBodytext"/>
            </w:pPr>
            <w:r w:rsidRPr="004502E6">
              <w:rPr>
                <w:noProof/>
              </w:rPr>
              <w:drawing>
                <wp:inline distT="0" distB="0" distL="0" distR="0" wp14:anchorId="6E73083B" wp14:editId="4E0FA363">
                  <wp:extent cx="2737059" cy="215280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9494" t="6468" r="4544" b="4953"/>
                          <a:stretch/>
                        </pic:blipFill>
                        <pic:spPr bwMode="auto">
                          <a:xfrm>
                            <a:off x="0" y="0"/>
                            <a:ext cx="2737059" cy="2152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35" w:type="dxa"/>
          </w:tcPr>
          <w:p w14:paraId="64319297" w14:textId="6034E3AF" w:rsidR="00C73AE3" w:rsidRDefault="00B65EF7" w:rsidP="00F81C7C">
            <w:pPr>
              <w:pStyle w:val="CETBodytext"/>
            </w:pPr>
            <w:r w:rsidRPr="00304AEC">
              <w:rPr>
                <w:noProof/>
              </w:rPr>
              <w:drawing>
                <wp:inline distT="0" distB="0" distL="0" distR="0" wp14:anchorId="680FA8C2" wp14:editId="3BCA01CE">
                  <wp:extent cx="2656780" cy="21564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9349" t="15078" r="13840" b="3285"/>
                          <a:stretch/>
                        </pic:blipFill>
                        <pic:spPr bwMode="auto">
                          <a:xfrm>
                            <a:off x="0" y="0"/>
                            <a:ext cx="2656780" cy="21564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092F9A7" w14:textId="4FC589CE" w:rsidR="00061B47" w:rsidRDefault="00363B74" w:rsidP="00B65EF7">
      <w:pPr>
        <w:pStyle w:val="CETCaption"/>
      </w:pPr>
      <w:r w:rsidRPr="00BD077D">
        <w:rPr>
          <w:rStyle w:val="CETCaptionCarattere"/>
          <w:i/>
        </w:rPr>
        <w:t xml:space="preserve">Figure 1: </w:t>
      </w:r>
      <w:r w:rsidR="00B65EF7" w:rsidRPr="00B65EF7">
        <w:rPr>
          <w:rStyle w:val="CETCaptionCarattere"/>
          <w:i/>
        </w:rPr>
        <w:t>Thermogravimetric curves (a) and reduction/oxidation (b) extent of the four samples</w:t>
      </w:r>
      <w:r w:rsidR="00061B47">
        <w:t xml:space="preserve"> </w:t>
      </w:r>
    </w:p>
    <w:p w14:paraId="6EEF88CB" w14:textId="71B29C1D" w:rsidR="00061B47" w:rsidRDefault="00061B47" w:rsidP="00FA5F5F">
      <w:pPr>
        <w:pStyle w:val="CETheadingx"/>
      </w:pPr>
      <w:r>
        <w:t>XRD and SEM-EDS characterization</w:t>
      </w:r>
    </w:p>
    <w:p w14:paraId="0E5C227F" w14:textId="26CF8DAB" w:rsidR="00B00007" w:rsidRDefault="007E2977" w:rsidP="00C43580">
      <w:pPr>
        <w:tabs>
          <w:tab w:val="clear" w:pos="7100"/>
        </w:tabs>
        <w:spacing w:after="200" w:line="276" w:lineRule="auto"/>
      </w:pPr>
      <w:r>
        <w:t>In the follow</w:t>
      </w:r>
      <w:r w:rsidR="00B00007">
        <w:t>ing</w:t>
      </w:r>
      <w:r w:rsidR="0009743D">
        <w:t>,</w:t>
      </w:r>
      <w:r w:rsidR="00B00007">
        <w:t xml:space="preserve"> calcined samples</w:t>
      </w:r>
      <w:r w:rsidR="00145CFE">
        <w:t xml:space="preserve"> before being tested will </w:t>
      </w:r>
      <w:r w:rsidR="005D7BCA">
        <w:t xml:space="preserve">be </w:t>
      </w:r>
      <w:proofErr w:type="spellStart"/>
      <w:r w:rsidR="005D7BCA">
        <w:t>labeled</w:t>
      </w:r>
      <w:proofErr w:type="spellEnd"/>
      <w:r w:rsidR="00145CFE">
        <w:t xml:space="preserve"> “as</w:t>
      </w:r>
      <w:r w:rsidR="00D02C24">
        <w:t xml:space="preserve"> </w:t>
      </w:r>
      <w:r w:rsidR="00145CFE">
        <w:t xml:space="preserve">prepared”; </w:t>
      </w:r>
      <w:r w:rsidR="008106E0">
        <w:t xml:space="preserve">samples </w:t>
      </w:r>
      <w:r w:rsidR="00C00990">
        <w:t xml:space="preserve">that </w:t>
      </w:r>
      <w:r w:rsidR="008106E0">
        <w:t xml:space="preserve">underwent the reduction-oxidation cycles as described in Section 3.1 will be </w:t>
      </w:r>
      <w:proofErr w:type="spellStart"/>
      <w:r w:rsidR="00C00990">
        <w:t>labeled</w:t>
      </w:r>
      <w:proofErr w:type="spellEnd"/>
      <w:r w:rsidR="00CE3504">
        <w:t xml:space="preserve"> “4</w:t>
      </w:r>
      <w:r w:rsidR="00C00990">
        <w:t xml:space="preserve"> </w:t>
      </w:r>
      <w:r w:rsidR="00CE3504">
        <w:t>cycle</w:t>
      </w:r>
      <w:r w:rsidR="00C00990">
        <w:t>s</w:t>
      </w:r>
      <w:r w:rsidR="00CE3504">
        <w:t>”</w:t>
      </w:r>
      <w:r w:rsidR="00C00990">
        <w:t xml:space="preserve">. </w:t>
      </w:r>
      <w:r w:rsidR="008F59F2">
        <w:t xml:space="preserve">It is worth noting that the last treatment </w:t>
      </w:r>
      <w:r w:rsidR="00194EB1">
        <w:t>of the “4 cycles” procedure was a reduction</w:t>
      </w:r>
      <w:r w:rsidR="00EF3755">
        <w:t>.</w:t>
      </w:r>
    </w:p>
    <w:p w14:paraId="7665C566" w14:textId="111A4E6F" w:rsidR="00217BBE" w:rsidRDefault="00CA3050" w:rsidP="002F5E04">
      <w:pPr>
        <w:tabs>
          <w:tab w:val="clear" w:pos="7100"/>
        </w:tabs>
        <w:spacing w:after="200" w:line="276" w:lineRule="auto"/>
      </w:pPr>
      <w:r>
        <w:t xml:space="preserve">Figure </w:t>
      </w:r>
      <w:r w:rsidR="00034B8D">
        <w:t>2a</w:t>
      </w:r>
      <w:r w:rsidR="007B3C03">
        <w:t xml:space="preserve"> </w:t>
      </w:r>
      <w:r w:rsidR="00620689">
        <w:t>shows</w:t>
      </w:r>
      <w:r w:rsidR="00A63DB1">
        <w:t xml:space="preserve"> the XRD</w:t>
      </w:r>
      <w:r w:rsidR="00620689">
        <w:t xml:space="preserve"> </w:t>
      </w:r>
      <w:r w:rsidR="00A63DB1">
        <w:t>s</w:t>
      </w:r>
      <w:r w:rsidR="00620689">
        <w:t>pectra</w:t>
      </w:r>
      <w:r w:rsidR="00A63DB1">
        <w:t xml:space="preserve"> of the </w:t>
      </w:r>
      <w:r w:rsidR="00EF3755">
        <w:t>“</w:t>
      </w:r>
      <w:r w:rsidR="00620689">
        <w:t>as</w:t>
      </w:r>
      <w:r w:rsidR="00EF3755">
        <w:t xml:space="preserve"> </w:t>
      </w:r>
      <w:r w:rsidR="00620689">
        <w:t>prep</w:t>
      </w:r>
      <w:r w:rsidR="00770AB5">
        <w:t>ared</w:t>
      </w:r>
      <w:r w:rsidR="00EF3755">
        <w:t>” and “4 cycles”</w:t>
      </w:r>
      <w:r w:rsidR="00A63DB1">
        <w:t xml:space="preserve"> samples. As expected, </w:t>
      </w:r>
      <w:r w:rsidR="002350C8">
        <w:t>Cu0, i.e. pure ceria,</w:t>
      </w:r>
      <w:r w:rsidR="00A63DB1">
        <w:t xml:space="preserve"> exhibits the typical fluori</w:t>
      </w:r>
      <w:r w:rsidR="002350C8">
        <w:t>t</w:t>
      </w:r>
      <w:r w:rsidR="00A63DB1">
        <w:t xml:space="preserve">e structure spectrum and no differences </w:t>
      </w:r>
      <w:r w:rsidR="001D3106">
        <w:t>can be detected</w:t>
      </w:r>
      <w:r w:rsidR="00A63DB1">
        <w:t xml:space="preserve"> </w:t>
      </w:r>
      <w:r w:rsidR="001D3106">
        <w:t xml:space="preserve">before and after the </w:t>
      </w:r>
      <w:r w:rsidR="00667080">
        <w:t>reduction-oxidation cycles</w:t>
      </w:r>
      <w:r w:rsidR="00A63DB1">
        <w:t>.</w:t>
      </w:r>
      <w:r w:rsidR="00565DCF">
        <w:t xml:space="preserve"> </w:t>
      </w:r>
      <w:r w:rsidR="00667080">
        <w:t>”As prepa</w:t>
      </w:r>
      <w:r w:rsidR="00565DCF">
        <w:t>red”</w:t>
      </w:r>
      <w:r w:rsidR="00A63DB1">
        <w:t xml:space="preserve"> </w:t>
      </w:r>
      <w:r w:rsidR="00667080">
        <w:t>Cu100</w:t>
      </w:r>
      <w:r w:rsidR="00A63DB1">
        <w:t xml:space="preserve"> shows a spectrum </w:t>
      </w:r>
      <w:r w:rsidR="00464B28">
        <w:t>typical</w:t>
      </w:r>
      <w:r w:rsidR="00A63DB1">
        <w:t xml:space="preserve"> of the </w:t>
      </w:r>
      <w:proofErr w:type="spellStart"/>
      <w:r w:rsidR="00A63DB1">
        <w:t>CuO</w:t>
      </w:r>
      <w:proofErr w:type="spellEnd"/>
      <w:r w:rsidR="00CC3358">
        <w:t xml:space="preserve"> tenorite structure</w:t>
      </w:r>
      <w:r w:rsidR="00ED2416">
        <w:t>, while Cu</w:t>
      </w:r>
      <w:r w:rsidR="00B94AF4" w:rsidRPr="0099478E">
        <w:rPr>
          <w:vertAlign w:val="subscript"/>
        </w:rPr>
        <w:t>2</w:t>
      </w:r>
      <w:r w:rsidR="00B94AF4">
        <w:t xml:space="preserve">O is the only phase </w:t>
      </w:r>
      <w:r w:rsidR="00705DB6">
        <w:t xml:space="preserve">detected </w:t>
      </w:r>
      <w:r w:rsidR="00B94AF4">
        <w:t>after the 4 reduction-oxidation cycles</w:t>
      </w:r>
      <w:r w:rsidR="00A63DB1">
        <w:t>.</w:t>
      </w:r>
      <w:r w:rsidR="0099478E">
        <w:t xml:space="preserve"> These results agree with </w:t>
      </w:r>
      <w:r w:rsidR="00996B88">
        <w:t>the thermogravimetric analysis. “As prepared” m</w:t>
      </w:r>
      <w:r w:rsidR="00A63DB1">
        <w:t xml:space="preserve">ixed samples show the signals of all phases identified on the pure samples. </w:t>
      </w:r>
      <w:r w:rsidR="00F30295" w:rsidRPr="00F30295">
        <w:t xml:space="preserve">As expected, </w:t>
      </w:r>
      <w:r w:rsidR="00E549B0" w:rsidRPr="00F30295">
        <w:t xml:space="preserve">increasing the ceria content </w:t>
      </w:r>
      <w:r w:rsidR="00E549B0">
        <w:t xml:space="preserve">increases </w:t>
      </w:r>
      <w:r w:rsidR="00F30295" w:rsidRPr="00F30295">
        <w:t xml:space="preserve">the relative ratio between </w:t>
      </w:r>
      <w:proofErr w:type="spellStart"/>
      <w:r w:rsidR="00F30295" w:rsidRPr="00F30295">
        <w:t>CuO</w:t>
      </w:r>
      <w:proofErr w:type="spellEnd"/>
      <w:r w:rsidR="00F30295" w:rsidRPr="00F30295">
        <w:t xml:space="preserve"> and CeO</w:t>
      </w:r>
      <w:r w:rsidR="00F30295" w:rsidRPr="00F30295">
        <w:rPr>
          <w:vertAlign w:val="subscript"/>
        </w:rPr>
        <w:t>2</w:t>
      </w:r>
      <w:r w:rsidR="00F30295" w:rsidRPr="00F30295">
        <w:t xml:space="preserve"> peak intensity</w:t>
      </w:r>
      <w:r w:rsidR="006B4532">
        <w:t xml:space="preserve">. </w:t>
      </w:r>
      <w:r w:rsidR="00D23AD3">
        <w:t xml:space="preserve">In </w:t>
      </w:r>
      <w:r w:rsidR="005C4F9D">
        <w:t xml:space="preserve">“4 cycles” samples </w:t>
      </w:r>
      <w:r w:rsidR="002D2D1C">
        <w:t>the detected phases are Cu</w:t>
      </w:r>
      <w:r w:rsidR="002D2D1C" w:rsidRPr="00EB1EB9">
        <w:rPr>
          <w:vertAlign w:val="subscript"/>
        </w:rPr>
        <w:t>2</w:t>
      </w:r>
      <w:r w:rsidR="002D2D1C">
        <w:t>O and CeO</w:t>
      </w:r>
      <w:r w:rsidR="002D2D1C" w:rsidRPr="00EB1EB9">
        <w:rPr>
          <w:vertAlign w:val="subscript"/>
        </w:rPr>
        <w:t>2</w:t>
      </w:r>
      <w:r w:rsidR="009A1D7C">
        <w:t>,</w:t>
      </w:r>
      <w:r w:rsidR="00D23AD3">
        <w:t xml:space="preserve"> </w:t>
      </w:r>
      <w:r w:rsidR="00A63DB1">
        <w:t xml:space="preserve">no </w:t>
      </w:r>
      <w:r w:rsidR="009A1D7C">
        <w:t>peak</w:t>
      </w:r>
      <w:r w:rsidR="00A63DB1">
        <w:t xml:space="preserve"> related to metallic copper and/or Ce</w:t>
      </w:r>
      <w:r w:rsidR="00A63DB1" w:rsidRPr="00EB1EB9">
        <w:rPr>
          <w:vertAlign w:val="subscript"/>
        </w:rPr>
        <w:t>2</w:t>
      </w:r>
      <w:r w:rsidR="00A63DB1">
        <w:t>O</w:t>
      </w:r>
      <w:r w:rsidR="00A63DB1" w:rsidRPr="00EB1EB9">
        <w:rPr>
          <w:vertAlign w:val="subscript"/>
        </w:rPr>
        <w:t>3</w:t>
      </w:r>
      <w:r w:rsidR="00A33C8A">
        <w:t xml:space="preserve"> appearing</w:t>
      </w:r>
      <w:r w:rsidR="00A63DB1">
        <w:t xml:space="preserve">. </w:t>
      </w:r>
      <w:proofErr w:type="gramStart"/>
      <w:r w:rsidR="00A33C8A">
        <w:t>Actually, TGA</w:t>
      </w:r>
      <w:proofErr w:type="gramEnd"/>
      <w:r w:rsidR="00A33C8A">
        <w:t xml:space="preserve"> results suggest an </w:t>
      </w:r>
      <w:r w:rsidR="00BA2808">
        <w:t>over-reduction</w:t>
      </w:r>
      <w:r w:rsidR="00A33C8A">
        <w:t xml:space="preserve"> </w:t>
      </w:r>
      <w:r w:rsidR="00BA2808">
        <w:t>of these samples, as stated</w:t>
      </w:r>
      <w:r w:rsidR="00925BDF">
        <w:t xml:space="preserve"> in Section 3.1.</w:t>
      </w:r>
      <w:r w:rsidR="00F60E73">
        <w:t xml:space="preserve"> </w:t>
      </w:r>
      <w:r w:rsidR="005B3329">
        <w:t>In similar materials</w:t>
      </w:r>
      <w:r w:rsidR="00EB1EB9">
        <w:t>,</w:t>
      </w:r>
      <w:r w:rsidR="005B3329">
        <w:t xml:space="preserve"> the formation of metallic copper was not detected</w:t>
      </w:r>
      <w:r w:rsidR="007241D6">
        <w:t xml:space="preserve"> </w:t>
      </w:r>
      <w:r w:rsidR="00A714A3">
        <w:t>(</w:t>
      </w:r>
      <w:proofErr w:type="spellStart"/>
      <w:r w:rsidR="009A4433">
        <w:t>Colussi</w:t>
      </w:r>
      <w:proofErr w:type="spellEnd"/>
      <w:r w:rsidR="002F5E04">
        <w:t xml:space="preserve"> et al.</w:t>
      </w:r>
      <w:r w:rsidR="009A4433">
        <w:t>, 2014</w:t>
      </w:r>
      <w:r w:rsidR="002F5E04">
        <w:t>;</w:t>
      </w:r>
      <w:r w:rsidR="009F1C6B">
        <w:t xml:space="preserve"> Imtiaz</w:t>
      </w:r>
      <w:r w:rsidR="002F5E04">
        <w:t xml:space="preserve"> et al.</w:t>
      </w:r>
      <w:r w:rsidR="009F1C6B">
        <w:t>, 2015</w:t>
      </w:r>
      <w:r w:rsidR="007B6402">
        <w:t>,</w:t>
      </w:r>
      <w:r w:rsidR="007275F5">
        <w:t xml:space="preserve"> </w:t>
      </w:r>
      <w:r w:rsidR="00C86F78">
        <w:t>2021</w:t>
      </w:r>
      <w:r w:rsidR="009F1C6B">
        <w:t xml:space="preserve">), also due to </w:t>
      </w:r>
      <w:proofErr w:type="spellStart"/>
      <w:r w:rsidR="0082079C">
        <w:t>favorable</w:t>
      </w:r>
      <w:proofErr w:type="spellEnd"/>
      <w:r w:rsidR="009F1C6B">
        <w:t xml:space="preserve"> thermodynamics</w:t>
      </w:r>
      <w:r w:rsidR="00135283">
        <w:t xml:space="preserve"> (De Vos</w:t>
      </w:r>
      <w:r w:rsidR="0082079C">
        <w:t xml:space="preserve"> et al.</w:t>
      </w:r>
      <w:r w:rsidR="00135283">
        <w:t>, 2020). However, as</w:t>
      </w:r>
      <w:r w:rsidR="00174D9E">
        <w:t xml:space="preserve"> reported above, </w:t>
      </w:r>
      <w:r w:rsidR="00433684">
        <w:t xml:space="preserve">copper-ceria interfaces show unique redox features </w:t>
      </w:r>
      <w:r w:rsidR="00094292">
        <w:t>(</w:t>
      </w:r>
      <w:proofErr w:type="spellStart"/>
      <w:r w:rsidR="00C86F78">
        <w:t>Szabová</w:t>
      </w:r>
      <w:proofErr w:type="spellEnd"/>
      <w:r w:rsidR="00C86F78">
        <w:t xml:space="preserve"> et al., 2013; </w:t>
      </w:r>
      <w:r w:rsidR="00094292">
        <w:t>Popescu</w:t>
      </w:r>
      <w:r w:rsidR="0082079C">
        <w:t xml:space="preserve"> et al.</w:t>
      </w:r>
      <w:r w:rsidR="00094292">
        <w:t>, 2017</w:t>
      </w:r>
      <w:r w:rsidR="0082079C">
        <w:t>;</w:t>
      </w:r>
      <w:r w:rsidR="00094292">
        <w:t xml:space="preserve"> Chen</w:t>
      </w:r>
      <w:r w:rsidR="0082079C">
        <w:t xml:space="preserve"> et al.</w:t>
      </w:r>
      <w:r w:rsidR="00094292">
        <w:t>, 2019</w:t>
      </w:r>
      <w:r w:rsidR="00BD52A1">
        <w:t>)</w:t>
      </w:r>
      <w:r w:rsidR="00924200">
        <w:t xml:space="preserve">. </w:t>
      </w:r>
      <w:proofErr w:type="gramStart"/>
      <w:r w:rsidR="006B0F19">
        <w:t xml:space="preserve">In particular, </w:t>
      </w:r>
      <w:r w:rsidR="00A90ECE">
        <w:t>interfacial</w:t>
      </w:r>
      <w:proofErr w:type="gramEnd"/>
      <w:r w:rsidR="00A90ECE">
        <w:t xml:space="preserve"> copper-ceria sites can be reduced according to</w:t>
      </w:r>
      <w:r w:rsidR="0069634B">
        <w:t xml:space="preserve"> the following reaction:</w:t>
      </w:r>
    </w:p>
    <w:p w14:paraId="0EA174A3" w14:textId="52ED8769" w:rsidR="0069634B" w:rsidRPr="007D6581" w:rsidRDefault="00000000" w:rsidP="00094292">
      <w:pPr>
        <w:tabs>
          <w:tab w:val="clear" w:pos="7100"/>
        </w:tabs>
        <w:spacing w:after="200" w:line="276" w:lineRule="auto"/>
      </w:pPr>
      <m:oMathPara>
        <m:oMath>
          <m:sSup>
            <m:sSupPr>
              <m:ctrlPr>
                <w:rPr>
                  <w:rFonts w:ascii="Cambria Math" w:hAnsi="Cambria Math"/>
                  <w:i/>
                </w:rPr>
              </m:ctrlPr>
            </m:sSupPr>
            <m:e>
              <m:r>
                <w:rPr>
                  <w:rFonts w:ascii="Cambria Math" w:hAnsi="Cambria Math"/>
                </w:rPr>
                <m:t>Cu</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O</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Ce</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Cu</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Ce</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O</m:t>
              </m:r>
            </m:e>
            <m:sub>
              <m:r>
                <w:rPr>
                  <w:rFonts w:ascii="Cambria Math" w:hAnsi="Cambria Math"/>
                </w:rPr>
                <m:t>2</m:t>
              </m:r>
            </m:sub>
          </m:sSub>
        </m:oMath>
      </m:oMathPara>
    </w:p>
    <w:p w14:paraId="7D70B835" w14:textId="2630340C" w:rsidR="007D6581" w:rsidRDefault="007D6581" w:rsidP="00094292">
      <w:pPr>
        <w:tabs>
          <w:tab w:val="clear" w:pos="7100"/>
        </w:tabs>
        <w:spacing w:after="200" w:line="276" w:lineRule="auto"/>
      </w:pPr>
      <w:r>
        <w:t xml:space="preserve">explaining </w:t>
      </w:r>
      <w:r w:rsidR="00FD749F">
        <w:t xml:space="preserve">both </w:t>
      </w:r>
      <w:r>
        <w:t xml:space="preserve">the absence </w:t>
      </w:r>
      <w:r w:rsidR="00FD749F">
        <w:t xml:space="preserve">of metallic copper and </w:t>
      </w:r>
      <w:r w:rsidR="00076815">
        <w:t>the over-reduction</w:t>
      </w:r>
      <w:r w:rsidR="00C51DD7">
        <w:t xml:space="preserve"> </w:t>
      </w:r>
      <w:r w:rsidR="00FB6362">
        <w:t>that increases by increasing th</w:t>
      </w:r>
      <w:r w:rsidR="00CE774E">
        <w:t>e ceria content</w:t>
      </w:r>
      <w:r w:rsidR="00076815">
        <w:t xml:space="preserve">. </w:t>
      </w:r>
    </w:p>
    <w:p w14:paraId="67EEAB21" w14:textId="037DAF58" w:rsidR="00E6756F" w:rsidRPr="00490E69" w:rsidRDefault="00387ADE" w:rsidP="00A63DB1">
      <w:pPr>
        <w:tabs>
          <w:tab w:val="clear" w:pos="7100"/>
        </w:tabs>
        <w:spacing w:after="200" w:line="276" w:lineRule="auto"/>
        <w:jc w:val="left"/>
      </w:pPr>
      <w:r w:rsidRPr="00490E69">
        <w:rPr>
          <w:noProof/>
        </w:rPr>
        <w:lastRenderedPageBreak/>
        <w:drawing>
          <wp:inline distT="0" distB="0" distL="0" distR="0" wp14:anchorId="4B588154" wp14:editId="762F448C">
            <wp:extent cx="5433497" cy="4874167"/>
            <wp:effectExtent l="0" t="0" r="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3497" cy="4874167"/>
                    </a:xfrm>
                    <a:prstGeom prst="rect">
                      <a:avLst/>
                    </a:prstGeom>
                    <a:noFill/>
                  </pic:spPr>
                </pic:pic>
              </a:graphicData>
            </a:graphic>
          </wp:inline>
        </w:drawing>
      </w:r>
    </w:p>
    <w:p w14:paraId="4A27F970" w14:textId="522971A2" w:rsidR="00E6756F" w:rsidRPr="00BD077D" w:rsidRDefault="00E6756F" w:rsidP="00E6756F">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sidR="00387ADE">
        <w:rPr>
          <w:rStyle w:val="CETCaptionCarattere"/>
          <w:i/>
        </w:rPr>
        <w:t>XRD (a) and</w:t>
      </w:r>
      <w:r>
        <w:rPr>
          <w:rStyle w:val="CETCaptionCarattere"/>
          <w:i/>
        </w:rPr>
        <w:t xml:space="preserve"> </w:t>
      </w:r>
      <w:r w:rsidR="00387ADE">
        <w:rPr>
          <w:rStyle w:val="CETCaptionCarattere"/>
          <w:i/>
        </w:rPr>
        <w:t>SEM-EDS (</w:t>
      </w:r>
      <w:r>
        <w:rPr>
          <w:rStyle w:val="CETCaptionCarattere"/>
          <w:i/>
        </w:rPr>
        <w:t xml:space="preserve">b) </w:t>
      </w:r>
      <w:r w:rsidR="00387ADE">
        <w:rPr>
          <w:rStyle w:val="CETCaptionCarattere"/>
          <w:i/>
        </w:rPr>
        <w:t xml:space="preserve">of “as prepared” and “4 cycle” </w:t>
      </w:r>
      <w:proofErr w:type="gramStart"/>
      <w:r w:rsidR="00387ADE">
        <w:rPr>
          <w:rStyle w:val="CETCaptionCarattere"/>
          <w:i/>
        </w:rPr>
        <w:t>samples</w:t>
      </w:r>
      <w:proofErr w:type="gramEnd"/>
    </w:p>
    <w:p w14:paraId="6EF38153" w14:textId="0CB9DBC4" w:rsidR="00C03EC6" w:rsidRDefault="003666A8" w:rsidP="00A11201">
      <w:pPr>
        <w:tabs>
          <w:tab w:val="clear" w:pos="7100"/>
        </w:tabs>
        <w:spacing w:after="200" w:line="276" w:lineRule="auto"/>
      </w:pPr>
      <w:r>
        <w:t>Figure 2b shows</w:t>
      </w:r>
      <w:r w:rsidRPr="003666A8">
        <w:t xml:space="preserve"> SEM</w:t>
      </w:r>
      <w:r w:rsidR="00E07D43">
        <w:t xml:space="preserve"> images and corresponding EDS analys</w:t>
      </w:r>
      <w:r w:rsidR="00213997">
        <w:t>e</w:t>
      </w:r>
      <w:r w:rsidR="00E07D43">
        <w:t>s of “as prepared” and “4 cycles” samples</w:t>
      </w:r>
      <w:r w:rsidR="00110523">
        <w:t>. “As prepared” Cu100 and Cu0</w:t>
      </w:r>
      <w:r w:rsidRPr="003666A8">
        <w:t xml:space="preserve"> show </w:t>
      </w:r>
      <w:r w:rsidR="00110523">
        <w:t>ver</w:t>
      </w:r>
      <w:r w:rsidRPr="003666A8">
        <w:t xml:space="preserve">y different morphologies. </w:t>
      </w:r>
      <w:r w:rsidR="00F76C90">
        <w:t>Interestingly,</w:t>
      </w:r>
      <w:r w:rsidRPr="003666A8">
        <w:t xml:space="preserve"> the mixed samples </w:t>
      </w:r>
      <w:r w:rsidR="00F76C90">
        <w:t>appear</w:t>
      </w:r>
      <w:r w:rsidRPr="003666A8">
        <w:t xml:space="preserve"> more </w:t>
      </w:r>
      <w:proofErr w:type="gramStart"/>
      <w:r w:rsidRPr="003666A8">
        <w:t>similar to</w:t>
      </w:r>
      <w:proofErr w:type="gramEnd"/>
      <w:r w:rsidRPr="003666A8">
        <w:t xml:space="preserve"> </w:t>
      </w:r>
      <w:r w:rsidR="00F76C90">
        <w:t>Cu100</w:t>
      </w:r>
      <w:r w:rsidRPr="003666A8">
        <w:t xml:space="preserve">. </w:t>
      </w:r>
      <w:r w:rsidR="002E4A9F">
        <w:t>T</w:t>
      </w:r>
      <w:r w:rsidRPr="003666A8">
        <w:t xml:space="preserve">able </w:t>
      </w:r>
      <w:r w:rsidR="002E4A9F">
        <w:t>1</w:t>
      </w:r>
      <w:r w:rsidRPr="003666A8">
        <w:t xml:space="preserve"> shows the atomic ratio measured on the surface of the samples via EDS. </w:t>
      </w:r>
      <w:r w:rsidR="00DE58EA">
        <w:t>T</w:t>
      </w:r>
      <w:r w:rsidRPr="003666A8">
        <w:t xml:space="preserve">he fresh samples show a very high </w:t>
      </w:r>
      <w:proofErr w:type="spellStart"/>
      <w:r w:rsidRPr="003666A8">
        <w:t>Cu</w:t>
      </w:r>
      <w:r w:rsidR="003F284A">
        <w:t>:</w:t>
      </w:r>
      <w:r w:rsidRPr="003666A8">
        <w:t>Ce</w:t>
      </w:r>
      <w:proofErr w:type="spellEnd"/>
      <w:r w:rsidRPr="003666A8">
        <w:t xml:space="preserve"> ratio</w:t>
      </w:r>
      <w:r w:rsidR="00DE58EA">
        <w:t xml:space="preserve">, suggesting </w:t>
      </w:r>
      <w:r w:rsidR="00F55A49" w:rsidRPr="003666A8">
        <w:t>that copper oxide and cerium oxide form a core-shell structure, where cerium oxide particles are covered by copper oxide</w:t>
      </w:r>
      <w:r w:rsidR="006312C2">
        <w:t xml:space="preserve">, as reported in </w:t>
      </w:r>
      <w:r w:rsidR="00A94EAA">
        <w:t>Imtiaz et al. (2021</w:t>
      </w:r>
      <w:r w:rsidR="00F55A49">
        <w:t>)</w:t>
      </w:r>
      <w:r w:rsidRPr="003666A8">
        <w:t>. This would also account for the morphological similarity between the mixed samples and Cu</w:t>
      </w:r>
      <w:r w:rsidR="00F55A49">
        <w:t>100</w:t>
      </w:r>
      <w:r w:rsidRPr="003666A8">
        <w:t xml:space="preserve">. As regards the samples after 4 cycles, the SEM images </w:t>
      </w:r>
      <w:bookmarkStart w:id="0" w:name="_Hlk128416125"/>
      <w:r w:rsidRPr="003666A8">
        <w:t xml:space="preserve">show a significant morphological restructuring (obviously excluding the </w:t>
      </w:r>
      <w:r w:rsidR="00F55A49">
        <w:t>Cu0</w:t>
      </w:r>
      <w:r w:rsidRPr="003666A8">
        <w:t xml:space="preserve"> sample). In this restructuring, the cerium </w:t>
      </w:r>
      <w:r w:rsidR="00A11201">
        <w:t>migrates towards the surface</w:t>
      </w:r>
      <w:r w:rsidRPr="003666A8">
        <w:t xml:space="preserve">, as evidenced by the significant reduction of the </w:t>
      </w:r>
      <w:proofErr w:type="spellStart"/>
      <w:r w:rsidRPr="003666A8">
        <w:t>Cu</w:t>
      </w:r>
      <w:r w:rsidR="0064146F">
        <w:t>:</w:t>
      </w:r>
      <w:r w:rsidRPr="003666A8">
        <w:t>Ce</w:t>
      </w:r>
      <w:proofErr w:type="spellEnd"/>
      <w:r w:rsidRPr="003666A8">
        <w:t xml:space="preserve"> ratios shown in </w:t>
      </w:r>
      <w:r w:rsidR="00056CD7">
        <w:t>T</w:t>
      </w:r>
      <w:r w:rsidRPr="003666A8">
        <w:t>able</w:t>
      </w:r>
      <w:r w:rsidR="00A11201">
        <w:t xml:space="preserve"> 1</w:t>
      </w:r>
      <w:bookmarkEnd w:id="0"/>
      <w:r w:rsidRPr="003666A8">
        <w:t>.</w:t>
      </w:r>
    </w:p>
    <w:p w14:paraId="0EB53F1F" w14:textId="77777777" w:rsidR="00C03EC6" w:rsidRDefault="00C03EC6" w:rsidP="00C03EC6">
      <w:pPr>
        <w:pStyle w:val="CETheadingx"/>
      </w:pPr>
      <w:r>
        <w:t xml:space="preserve">Thermal analysis </w:t>
      </w:r>
    </w:p>
    <w:p w14:paraId="2F26B75E" w14:textId="1D8420ED" w:rsidR="004E38C5" w:rsidRDefault="00C03EC6" w:rsidP="00C03EC6">
      <w:pPr>
        <w:pStyle w:val="CETBodytext"/>
      </w:pPr>
      <w:r w:rsidRPr="003F284A">
        <w:t>Table 2 summarizes the values of gravimetric and volumetric energy storage density. Experimental data were computed by integrating the DSC signal measured during the thermal analysis. The reported values are average</w:t>
      </w:r>
      <w:r w:rsidR="003F284A" w:rsidRPr="003F284A">
        <w:t>d</w:t>
      </w:r>
      <w:r w:rsidRPr="003F284A">
        <w:t xml:space="preserve"> over the different oxidation and reduction steps.</w:t>
      </w:r>
      <w:r w:rsidR="00382A8D" w:rsidRPr="003F284A">
        <w:t xml:space="preserve"> </w:t>
      </w:r>
      <w:r w:rsidRPr="003F284A">
        <w:t>Theoretical data were instead computed by referring to the theoretical</w:t>
      </w:r>
      <w:r>
        <w:t xml:space="preserve"> reaction heat of the </w:t>
      </w:r>
      <w:proofErr w:type="spellStart"/>
      <w:r>
        <w:t>CuO</w:t>
      </w:r>
      <w:proofErr w:type="spellEnd"/>
      <w:r>
        <w:t xml:space="preserve"> to Cu</w:t>
      </w:r>
      <w:r w:rsidRPr="00082666">
        <w:rPr>
          <w:vertAlign w:val="subscript"/>
        </w:rPr>
        <w:t>2</w:t>
      </w:r>
      <w:r>
        <w:t>O reduction</w:t>
      </w:r>
      <w:r w:rsidR="004E38C5">
        <w:t xml:space="preserve">, but accounting for the experimental </w:t>
      </w:r>
      <w:r w:rsidR="00382A8D">
        <w:t xml:space="preserve">values of </w:t>
      </w:r>
      <m:oMath>
        <m:r>
          <w:rPr>
            <w:rFonts w:ascii="Cambria Math" w:hAnsi="Cambria Math"/>
          </w:rPr>
          <m:t>Δm</m:t>
        </m:r>
      </m:oMath>
      <w:r w:rsidR="00382A8D">
        <w:t xml:space="preserve"> obtained. </w:t>
      </w:r>
      <w:proofErr w:type="gramStart"/>
      <w:r w:rsidR="004E38C5">
        <w:t>More in particular, the</w:t>
      </w:r>
      <w:proofErr w:type="gramEnd"/>
      <w:r w:rsidR="004E38C5">
        <w:t xml:space="preserve"> over-reduction of the sample</w:t>
      </w:r>
      <w:r w:rsidR="003F284A">
        <w:t>s</w:t>
      </w:r>
      <w:r w:rsidR="004E38C5">
        <w:t xml:space="preserve"> was attributed to a higher content of </w:t>
      </w:r>
      <w:proofErr w:type="spellStart"/>
      <w:r w:rsidR="004E38C5">
        <w:t>CuO</w:t>
      </w:r>
      <w:proofErr w:type="spellEnd"/>
      <w:r w:rsidR="004E38C5">
        <w:t xml:space="preserve"> that reduces to Cu</w:t>
      </w:r>
      <w:r w:rsidR="004E38C5" w:rsidRPr="00082666">
        <w:rPr>
          <w:vertAlign w:val="subscript"/>
        </w:rPr>
        <w:t>2</w:t>
      </w:r>
      <w:r w:rsidR="004E38C5">
        <w:t>O, since the XRD/SEM analyses did not detect metallic copper or reduced ceria.</w:t>
      </w:r>
    </w:p>
    <w:p w14:paraId="23A529E4" w14:textId="0808CBFD" w:rsidR="009454B4" w:rsidRPr="006930C0" w:rsidRDefault="006930C0" w:rsidP="00C03EC6">
      <w:pPr>
        <w:pStyle w:val="CETBodytext"/>
      </w:pPr>
      <w:bookmarkStart w:id="1" w:name="_Hlk128477903"/>
      <w:r>
        <w:t xml:space="preserve">To compute the volumetric energy storage density, a bulk density of </w:t>
      </w:r>
      <w:r w:rsidR="007A5F41">
        <w:t>2088</w:t>
      </w:r>
      <w:r>
        <w:t xml:space="preserve"> kg m</w:t>
      </w:r>
      <w:r w:rsidRPr="006930C0">
        <w:rPr>
          <w:vertAlign w:val="superscript"/>
        </w:rPr>
        <w:t>−3</w:t>
      </w:r>
      <w:r>
        <w:t xml:space="preserve"> was used for all the samples. This was estimated by considering the theoretical density of Cu</w:t>
      </w:r>
      <w:r w:rsidRPr="006930C0">
        <w:rPr>
          <w:vertAlign w:val="subscript"/>
        </w:rPr>
        <w:t>2</w:t>
      </w:r>
      <w:r>
        <w:t>O, that is equal to 6000 kg m</w:t>
      </w:r>
      <w:r w:rsidRPr="006930C0">
        <w:rPr>
          <w:vertAlign w:val="superscript"/>
        </w:rPr>
        <w:t>−3</w:t>
      </w:r>
      <w:r>
        <w:t xml:space="preserve">, </w:t>
      </w:r>
      <w:r w:rsidR="00F25F0B">
        <w:t xml:space="preserve">assuming a conservative value for the </w:t>
      </w:r>
      <w:r w:rsidR="00F25F0B" w:rsidRPr="00F01EDF">
        <w:t xml:space="preserve">particle </w:t>
      </w:r>
      <w:r w:rsidRPr="00F01EDF">
        <w:t xml:space="preserve">porosity </w:t>
      </w:r>
      <w:r w:rsidRPr="007A5F41">
        <w:t xml:space="preserve">of </w:t>
      </w:r>
      <w:r w:rsidR="007A5F41" w:rsidRPr="007A5F41">
        <w:t>4</w:t>
      </w:r>
      <w:r w:rsidRPr="007A5F41">
        <w:t>0%</w:t>
      </w:r>
      <w:r w:rsidR="00F25F0B" w:rsidRPr="007A5F41">
        <w:t>,</w:t>
      </w:r>
      <w:r w:rsidR="00F25F0B" w:rsidRPr="00F01EDF">
        <w:t xml:space="preserve"> </w:t>
      </w:r>
      <w:r w:rsidRPr="00F01EDF">
        <w:t>and a</w:t>
      </w:r>
      <w:r>
        <w:t xml:space="preserve"> bed porosity of 42%. Th</w:t>
      </w:r>
      <w:r w:rsidR="00F25F0B">
        <w:t xml:space="preserve">e density value used </w:t>
      </w:r>
      <w:r>
        <w:t xml:space="preserve">should </w:t>
      </w:r>
      <w:r>
        <w:lastRenderedPageBreak/>
        <w:t xml:space="preserve">be conservative with respect to mixed </w:t>
      </w:r>
      <w:proofErr w:type="spellStart"/>
      <w:proofErr w:type="gramStart"/>
      <w:r>
        <w:t>Cu</w:t>
      </w:r>
      <w:r w:rsidR="008859CE">
        <w:t>:</w:t>
      </w:r>
      <w:r>
        <w:t>Ce</w:t>
      </w:r>
      <w:proofErr w:type="spellEnd"/>
      <w:proofErr w:type="gramEnd"/>
      <w:r>
        <w:t xml:space="preserve"> samples, due to the higher theoretical density of CeO</w:t>
      </w:r>
      <w:r w:rsidRPr="007F06E9">
        <w:rPr>
          <w:vertAlign w:val="subscript"/>
        </w:rPr>
        <w:t>2</w:t>
      </w:r>
      <w:r>
        <w:t xml:space="preserve"> (i.e., ~7200</w:t>
      </w:r>
      <w:r w:rsidR="00260B70">
        <w:t> </w:t>
      </w:r>
      <w:r>
        <w:t>kg m</w:t>
      </w:r>
      <w:r w:rsidRPr="006930C0">
        <w:rPr>
          <w:vertAlign w:val="superscript"/>
        </w:rPr>
        <w:t>−3</w:t>
      </w:r>
      <w:bookmarkEnd w:id="1"/>
      <w:r>
        <w:t>).</w:t>
      </w:r>
    </w:p>
    <w:p w14:paraId="61EFC0F7" w14:textId="5FDD91A6" w:rsidR="00C03EC6" w:rsidRPr="00B57B36" w:rsidRDefault="00C03EC6" w:rsidP="00C03EC6">
      <w:pPr>
        <w:pStyle w:val="CETTabletitle"/>
      </w:pPr>
      <w:r w:rsidRPr="00B57B36">
        <w:t xml:space="preserve">Table </w:t>
      </w:r>
      <w:r>
        <w:t>2</w:t>
      </w:r>
      <w:r w:rsidRPr="00B57B36">
        <w:t xml:space="preserve">: </w:t>
      </w:r>
      <w:r>
        <w:t>Experimentally measured</w:t>
      </w:r>
      <w:r w:rsidR="009454B4">
        <w:t>,</w:t>
      </w:r>
      <w:r>
        <w:t xml:space="preserve"> and theoretically computed</w:t>
      </w:r>
      <w:r w:rsidR="009454B4">
        <w:t xml:space="preserve">, </w:t>
      </w:r>
      <w:r>
        <w:t xml:space="preserve">values of energy storage </w:t>
      </w:r>
      <w:proofErr w:type="gramStart"/>
      <w:r>
        <w:t>density</w:t>
      </w:r>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2552"/>
        <w:gridCol w:w="2410"/>
      </w:tblGrid>
      <w:tr w:rsidR="00C03EC6" w:rsidRPr="00B57B36" w14:paraId="471551FE" w14:textId="77777777" w:rsidTr="008E4369">
        <w:tc>
          <w:tcPr>
            <w:tcW w:w="1134" w:type="dxa"/>
            <w:tcBorders>
              <w:top w:val="single" w:sz="12" w:space="0" w:color="008000"/>
              <w:bottom w:val="single" w:sz="6" w:space="0" w:color="008000"/>
            </w:tcBorders>
            <w:shd w:val="clear" w:color="auto" w:fill="FFFFFF"/>
          </w:tcPr>
          <w:p w14:paraId="45CAB9BE" w14:textId="77777777" w:rsidR="00C03EC6" w:rsidRPr="00B57B36" w:rsidRDefault="00C03EC6" w:rsidP="008E4369">
            <w:pPr>
              <w:pStyle w:val="CETBodytext"/>
              <w:rPr>
                <w:lang w:val="en-GB"/>
              </w:rPr>
            </w:pPr>
            <w:r>
              <w:rPr>
                <w:lang w:val="en-GB"/>
              </w:rPr>
              <w:t>Name</w:t>
            </w:r>
            <w:r w:rsidRPr="00B57B36">
              <w:rPr>
                <w:lang w:val="en-GB"/>
              </w:rPr>
              <w:t xml:space="preserve"> </w:t>
            </w:r>
          </w:p>
        </w:tc>
        <w:tc>
          <w:tcPr>
            <w:tcW w:w="2552" w:type="dxa"/>
            <w:tcBorders>
              <w:top w:val="single" w:sz="12" w:space="0" w:color="008000"/>
              <w:bottom w:val="single" w:sz="6" w:space="0" w:color="008000"/>
            </w:tcBorders>
            <w:shd w:val="clear" w:color="auto" w:fill="FFFFFF"/>
          </w:tcPr>
          <w:p w14:paraId="0D448B16" w14:textId="77777777" w:rsidR="00C03EC6" w:rsidRDefault="00C03EC6" w:rsidP="008E4369">
            <w:pPr>
              <w:pStyle w:val="CETBodytext"/>
              <w:jc w:val="center"/>
              <w:rPr>
                <w:lang w:val="en-GB"/>
              </w:rPr>
            </w:pPr>
            <w:r>
              <w:rPr>
                <w:lang w:val="en-GB"/>
              </w:rPr>
              <w:t>Experimental value</w:t>
            </w:r>
          </w:p>
          <w:p w14:paraId="19989566" w14:textId="41F484CA" w:rsidR="00C03EC6" w:rsidRPr="00B57B36" w:rsidRDefault="00C03EC6" w:rsidP="008E4369">
            <w:pPr>
              <w:pStyle w:val="CETBodytext"/>
              <w:jc w:val="center"/>
              <w:rPr>
                <w:lang w:val="en-GB"/>
              </w:rPr>
            </w:pPr>
            <w:r>
              <w:rPr>
                <w:lang w:val="en-GB"/>
              </w:rPr>
              <w:t>[J g</w:t>
            </w:r>
            <w:r w:rsidRPr="00241A84">
              <w:rPr>
                <w:vertAlign w:val="superscript"/>
                <w:lang w:val="en-GB"/>
              </w:rPr>
              <w:t>−1</w:t>
            </w:r>
            <w:r>
              <w:rPr>
                <w:lang w:val="en-GB"/>
              </w:rPr>
              <w:t xml:space="preserve">]         </w:t>
            </w:r>
            <w:proofErr w:type="gramStart"/>
            <w:r>
              <w:rPr>
                <w:lang w:val="en-GB"/>
              </w:rPr>
              <w:t xml:space="preserve">   [</w:t>
            </w:r>
            <w:proofErr w:type="gramEnd"/>
            <w:r>
              <w:rPr>
                <w:lang w:val="en-GB"/>
              </w:rPr>
              <w:t xml:space="preserve">GJ </w:t>
            </w:r>
            <w:r w:rsidR="00F877EA">
              <w:rPr>
                <w:lang w:val="en-GB"/>
              </w:rPr>
              <w:t>m</w:t>
            </w:r>
            <w:r w:rsidRPr="00241A84">
              <w:rPr>
                <w:vertAlign w:val="superscript"/>
                <w:lang w:val="en-GB"/>
              </w:rPr>
              <w:t>−</w:t>
            </w:r>
            <w:r>
              <w:rPr>
                <w:vertAlign w:val="superscript"/>
                <w:lang w:val="en-GB"/>
              </w:rPr>
              <w:t>3</w:t>
            </w:r>
            <w:r>
              <w:rPr>
                <w:lang w:val="en-GB"/>
              </w:rPr>
              <w:t>]</w:t>
            </w:r>
          </w:p>
        </w:tc>
        <w:tc>
          <w:tcPr>
            <w:tcW w:w="2410" w:type="dxa"/>
            <w:tcBorders>
              <w:top w:val="single" w:sz="12" w:space="0" w:color="008000"/>
              <w:bottom w:val="single" w:sz="6" w:space="0" w:color="008000"/>
            </w:tcBorders>
            <w:shd w:val="clear" w:color="auto" w:fill="FFFFFF"/>
          </w:tcPr>
          <w:p w14:paraId="0DA82BB2" w14:textId="77777777" w:rsidR="00C03EC6" w:rsidRDefault="00C03EC6" w:rsidP="008E4369">
            <w:pPr>
              <w:pStyle w:val="CETBodytext"/>
              <w:jc w:val="center"/>
              <w:rPr>
                <w:lang w:val="en-GB"/>
              </w:rPr>
            </w:pPr>
            <w:r>
              <w:rPr>
                <w:lang w:val="en-GB"/>
              </w:rPr>
              <w:t>Theoretical value</w:t>
            </w:r>
          </w:p>
          <w:p w14:paraId="07A103A4" w14:textId="2964D36B" w:rsidR="00C03EC6" w:rsidRPr="00B57B36" w:rsidRDefault="00C03EC6" w:rsidP="008E4369">
            <w:pPr>
              <w:pStyle w:val="CETBodytext"/>
              <w:jc w:val="center"/>
              <w:rPr>
                <w:lang w:val="en-GB"/>
              </w:rPr>
            </w:pPr>
            <w:r>
              <w:rPr>
                <w:lang w:val="en-GB"/>
              </w:rPr>
              <w:t>[J g</w:t>
            </w:r>
            <w:r w:rsidRPr="00241A84">
              <w:rPr>
                <w:vertAlign w:val="superscript"/>
                <w:lang w:val="en-GB"/>
              </w:rPr>
              <w:t>−1</w:t>
            </w:r>
            <w:r>
              <w:rPr>
                <w:lang w:val="en-GB"/>
              </w:rPr>
              <w:t xml:space="preserve">]         </w:t>
            </w:r>
            <w:proofErr w:type="gramStart"/>
            <w:r>
              <w:rPr>
                <w:lang w:val="en-GB"/>
              </w:rPr>
              <w:t xml:space="preserve">   [</w:t>
            </w:r>
            <w:proofErr w:type="gramEnd"/>
            <w:r>
              <w:rPr>
                <w:lang w:val="en-GB"/>
              </w:rPr>
              <w:t xml:space="preserve">GJ </w:t>
            </w:r>
            <w:r w:rsidR="00F877EA">
              <w:rPr>
                <w:lang w:val="en-GB"/>
              </w:rPr>
              <w:t>m</w:t>
            </w:r>
            <w:r w:rsidRPr="00241A84">
              <w:rPr>
                <w:vertAlign w:val="superscript"/>
                <w:lang w:val="en-GB"/>
              </w:rPr>
              <w:t>−</w:t>
            </w:r>
            <w:r>
              <w:rPr>
                <w:vertAlign w:val="superscript"/>
                <w:lang w:val="en-GB"/>
              </w:rPr>
              <w:t>3</w:t>
            </w:r>
            <w:r>
              <w:rPr>
                <w:lang w:val="en-GB"/>
              </w:rPr>
              <w:t>]</w:t>
            </w:r>
          </w:p>
        </w:tc>
      </w:tr>
      <w:tr w:rsidR="00C03EC6" w:rsidRPr="00B57B36" w14:paraId="2F3647B8" w14:textId="77777777" w:rsidTr="008E4369">
        <w:tc>
          <w:tcPr>
            <w:tcW w:w="1134" w:type="dxa"/>
            <w:shd w:val="clear" w:color="auto" w:fill="FFFFFF"/>
          </w:tcPr>
          <w:p w14:paraId="17F74595" w14:textId="77777777" w:rsidR="00C03EC6" w:rsidRPr="00B57B36" w:rsidRDefault="00C03EC6" w:rsidP="008E4369">
            <w:pPr>
              <w:pStyle w:val="CETBodytext"/>
              <w:rPr>
                <w:lang w:val="en-GB"/>
              </w:rPr>
            </w:pPr>
            <w:r>
              <w:rPr>
                <w:lang w:val="en-GB"/>
              </w:rPr>
              <w:t>Cu100</w:t>
            </w:r>
          </w:p>
        </w:tc>
        <w:tc>
          <w:tcPr>
            <w:tcW w:w="2552" w:type="dxa"/>
            <w:shd w:val="clear" w:color="auto" w:fill="FFFFFF"/>
          </w:tcPr>
          <w:p w14:paraId="04352379" w14:textId="2B335F8B" w:rsidR="00C03EC6" w:rsidRPr="00B57B36" w:rsidRDefault="00C03EC6" w:rsidP="008E4369">
            <w:pPr>
              <w:pStyle w:val="CETBodytext"/>
              <w:jc w:val="center"/>
              <w:rPr>
                <w:lang w:val="en-GB"/>
              </w:rPr>
            </w:pPr>
            <w:r>
              <w:rPr>
                <w:lang w:val="en-GB"/>
              </w:rPr>
              <w:t>758            1.</w:t>
            </w:r>
            <w:r w:rsidR="007A5F41">
              <w:rPr>
                <w:lang w:val="en-GB"/>
              </w:rPr>
              <w:t>58</w:t>
            </w:r>
          </w:p>
        </w:tc>
        <w:tc>
          <w:tcPr>
            <w:tcW w:w="2410" w:type="dxa"/>
            <w:shd w:val="clear" w:color="auto" w:fill="FFFFFF"/>
          </w:tcPr>
          <w:p w14:paraId="059E913B" w14:textId="0FB0B2FA" w:rsidR="00C03EC6" w:rsidRPr="00B57B36" w:rsidRDefault="00C03EC6" w:rsidP="008E4369">
            <w:pPr>
              <w:pStyle w:val="CETBodytext"/>
              <w:jc w:val="center"/>
              <w:rPr>
                <w:lang w:val="en-GB"/>
              </w:rPr>
            </w:pPr>
            <w:r>
              <w:rPr>
                <w:lang w:val="en-GB"/>
              </w:rPr>
              <w:t xml:space="preserve">807 </w:t>
            </w:r>
            <w:r w:rsidR="006930C0">
              <w:rPr>
                <w:lang w:val="en-GB"/>
              </w:rPr>
              <w:t xml:space="preserve"> </w:t>
            </w:r>
            <w:r>
              <w:rPr>
                <w:lang w:val="en-GB"/>
              </w:rPr>
              <w:t xml:space="preserve">     </w:t>
            </w:r>
            <w:r w:rsidR="004E38C5">
              <w:rPr>
                <w:lang w:val="en-GB"/>
              </w:rPr>
              <w:t>1.</w:t>
            </w:r>
            <w:r w:rsidR="007A5F41">
              <w:rPr>
                <w:lang w:val="en-GB"/>
              </w:rPr>
              <w:t>69</w:t>
            </w:r>
            <w:r>
              <w:rPr>
                <w:lang w:val="en-GB"/>
              </w:rPr>
              <w:t xml:space="preserve">      </w:t>
            </w:r>
          </w:p>
        </w:tc>
      </w:tr>
      <w:tr w:rsidR="00C03EC6" w:rsidRPr="00B57B36" w14:paraId="3C4835C7" w14:textId="77777777" w:rsidTr="008E4369">
        <w:tc>
          <w:tcPr>
            <w:tcW w:w="1134" w:type="dxa"/>
            <w:shd w:val="clear" w:color="auto" w:fill="FFFFFF"/>
          </w:tcPr>
          <w:p w14:paraId="506A3C07" w14:textId="77777777" w:rsidR="00C03EC6" w:rsidRPr="00B57B36" w:rsidRDefault="00C03EC6" w:rsidP="008E4369">
            <w:pPr>
              <w:pStyle w:val="CETBodytext"/>
              <w:rPr>
                <w:lang w:val="en-GB"/>
              </w:rPr>
            </w:pPr>
            <w:r>
              <w:rPr>
                <w:lang w:val="en-GB"/>
              </w:rPr>
              <w:t>Cu70</w:t>
            </w:r>
          </w:p>
        </w:tc>
        <w:tc>
          <w:tcPr>
            <w:tcW w:w="2552" w:type="dxa"/>
            <w:shd w:val="clear" w:color="auto" w:fill="FFFFFF"/>
          </w:tcPr>
          <w:p w14:paraId="168DBEBF" w14:textId="083B2C90" w:rsidR="00C03EC6" w:rsidRPr="00B57B36" w:rsidRDefault="00C03EC6" w:rsidP="008E4369">
            <w:pPr>
              <w:pStyle w:val="CETBodytext"/>
              <w:jc w:val="center"/>
              <w:rPr>
                <w:lang w:val="en-GB"/>
              </w:rPr>
            </w:pPr>
            <w:r>
              <w:rPr>
                <w:lang w:val="en-GB"/>
              </w:rPr>
              <w:t xml:space="preserve">552            </w:t>
            </w:r>
            <w:r w:rsidR="007A5F41">
              <w:rPr>
                <w:lang w:val="en-GB"/>
              </w:rPr>
              <w:t>1</w:t>
            </w:r>
            <w:r>
              <w:rPr>
                <w:lang w:val="en-GB"/>
              </w:rPr>
              <w:t>.</w:t>
            </w:r>
            <w:r w:rsidR="007A5F41">
              <w:rPr>
                <w:lang w:val="en-GB"/>
              </w:rPr>
              <w:t>15</w:t>
            </w:r>
          </w:p>
        </w:tc>
        <w:tc>
          <w:tcPr>
            <w:tcW w:w="2410" w:type="dxa"/>
            <w:shd w:val="clear" w:color="auto" w:fill="FFFFFF"/>
          </w:tcPr>
          <w:p w14:paraId="56DB75EF" w14:textId="0DAC700F" w:rsidR="00C03EC6" w:rsidRPr="00B57B36" w:rsidRDefault="00C03EC6" w:rsidP="008E4369">
            <w:pPr>
              <w:pStyle w:val="CETBodytext"/>
              <w:jc w:val="center"/>
              <w:rPr>
                <w:lang w:val="en-GB"/>
              </w:rPr>
            </w:pPr>
            <w:r>
              <w:rPr>
                <w:lang w:val="en-GB"/>
              </w:rPr>
              <w:t xml:space="preserve">650       </w:t>
            </w:r>
            <w:r w:rsidR="004E38C5">
              <w:rPr>
                <w:lang w:val="en-GB"/>
              </w:rPr>
              <w:t>1.</w:t>
            </w:r>
            <w:r w:rsidR="007A5F41">
              <w:rPr>
                <w:lang w:val="en-GB"/>
              </w:rPr>
              <w:t>36</w:t>
            </w:r>
            <w:r>
              <w:rPr>
                <w:lang w:val="en-GB"/>
              </w:rPr>
              <w:t xml:space="preserve">     </w:t>
            </w:r>
          </w:p>
        </w:tc>
      </w:tr>
      <w:tr w:rsidR="00C03EC6" w:rsidRPr="00B57B36" w14:paraId="19E2ED61" w14:textId="77777777" w:rsidTr="008E4369">
        <w:tc>
          <w:tcPr>
            <w:tcW w:w="1134" w:type="dxa"/>
            <w:shd w:val="clear" w:color="auto" w:fill="FFFFFF"/>
          </w:tcPr>
          <w:p w14:paraId="3943F8F9" w14:textId="77777777" w:rsidR="00C03EC6" w:rsidRPr="00B57B36" w:rsidRDefault="00C03EC6" w:rsidP="008E4369">
            <w:pPr>
              <w:pStyle w:val="CETBodytext"/>
              <w:rPr>
                <w:lang w:val="en-GB"/>
              </w:rPr>
            </w:pPr>
            <w:r>
              <w:rPr>
                <w:lang w:val="en-GB"/>
              </w:rPr>
              <w:t>Cu40</w:t>
            </w:r>
          </w:p>
        </w:tc>
        <w:tc>
          <w:tcPr>
            <w:tcW w:w="2552" w:type="dxa"/>
            <w:shd w:val="clear" w:color="auto" w:fill="FFFFFF"/>
          </w:tcPr>
          <w:p w14:paraId="7FB32E96" w14:textId="4DEE7EEA" w:rsidR="00C03EC6" w:rsidRPr="00B57B36" w:rsidRDefault="00C03EC6" w:rsidP="008E4369">
            <w:pPr>
              <w:pStyle w:val="CETBodytext"/>
              <w:jc w:val="center"/>
              <w:rPr>
                <w:lang w:val="en-GB"/>
              </w:rPr>
            </w:pPr>
            <w:r>
              <w:rPr>
                <w:lang w:val="en-GB"/>
              </w:rPr>
              <w:t>414            0.</w:t>
            </w:r>
            <w:r w:rsidR="007A5F41">
              <w:rPr>
                <w:lang w:val="en-GB"/>
              </w:rPr>
              <w:t>86</w:t>
            </w:r>
          </w:p>
        </w:tc>
        <w:tc>
          <w:tcPr>
            <w:tcW w:w="2410" w:type="dxa"/>
            <w:shd w:val="clear" w:color="auto" w:fill="FFFFFF"/>
          </w:tcPr>
          <w:p w14:paraId="180F314C" w14:textId="51886543" w:rsidR="00C03EC6" w:rsidRPr="00B57B36" w:rsidRDefault="00C03EC6" w:rsidP="008E4369">
            <w:pPr>
              <w:pStyle w:val="CETBodytext"/>
              <w:jc w:val="center"/>
              <w:rPr>
                <w:lang w:val="en-GB"/>
              </w:rPr>
            </w:pPr>
            <w:r>
              <w:rPr>
                <w:lang w:val="en-GB"/>
              </w:rPr>
              <w:t xml:space="preserve">463       </w:t>
            </w:r>
            <w:r w:rsidR="004E38C5">
              <w:rPr>
                <w:lang w:val="en-GB"/>
              </w:rPr>
              <w:t>0.</w:t>
            </w:r>
            <w:r w:rsidR="007A5F41">
              <w:rPr>
                <w:lang w:val="en-GB"/>
              </w:rPr>
              <w:t>97</w:t>
            </w:r>
            <w:r>
              <w:rPr>
                <w:lang w:val="en-GB"/>
              </w:rPr>
              <w:t xml:space="preserve">     </w:t>
            </w:r>
          </w:p>
        </w:tc>
      </w:tr>
      <w:tr w:rsidR="00C03EC6" w:rsidRPr="00B57B36" w14:paraId="5FFDB06A" w14:textId="77777777" w:rsidTr="008E4369">
        <w:tc>
          <w:tcPr>
            <w:tcW w:w="1134" w:type="dxa"/>
            <w:shd w:val="clear" w:color="auto" w:fill="FFFFFF"/>
          </w:tcPr>
          <w:p w14:paraId="31B961A1" w14:textId="77777777" w:rsidR="00C03EC6" w:rsidRPr="00B57B36" w:rsidRDefault="00C03EC6" w:rsidP="008E4369">
            <w:pPr>
              <w:pStyle w:val="CETBodytext"/>
              <w:ind w:right="-1"/>
              <w:rPr>
                <w:rFonts w:cs="Arial"/>
                <w:szCs w:val="18"/>
                <w:lang w:val="en-GB"/>
              </w:rPr>
            </w:pPr>
            <w:r>
              <w:rPr>
                <w:rFonts w:cs="Arial"/>
                <w:szCs w:val="18"/>
                <w:lang w:val="en-GB"/>
              </w:rPr>
              <w:t>Cu0</w:t>
            </w:r>
          </w:p>
        </w:tc>
        <w:tc>
          <w:tcPr>
            <w:tcW w:w="2552" w:type="dxa"/>
            <w:shd w:val="clear" w:color="auto" w:fill="FFFFFF"/>
          </w:tcPr>
          <w:p w14:paraId="2FE32A97" w14:textId="507A3F82" w:rsidR="00C03EC6" w:rsidRPr="00B57B36" w:rsidRDefault="004E38C5" w:rsidP="008E4369">
            <w:pPr>
              <w:pStyle w:val="CETBodytext"/>
              <w:ind w:right="-1"/>
              <w:jc w:val="center"/>
              <w:rPr>
                <w:rFonts w:cs="Arial"/>
                <w:szCs w:val="18"/>
                <w:lang w:val="en-GB"/>
              </w:rPr>
            </w:pPr>
            <w:r>
              <w:rPr>
                <w:rFonts w:cs="Arial"/>
                <w:szCs w:val="18"/>
                <w:lang w:val="en-GB"/>
              </w:rPr>
              <w:t>–</w:t>
            </w:r>
          </w:p>
        </w:tc>
        <w:tc>
          <w:tcPr>
            <w:tcW w:w="2410" w:type="dxa"/>
            <w:shd w:val="clear" w:color="auto" w:fill="FFFFFF"/>
          </w:tcPr>
          <w:p w14:paraId="38E5B92C" w14:textId="27F25FEC" w:rsidR="00C03EC6" w:rsidRPr="00B57B36" w:rsidRDefault="004E38C5" w:rsidP="008E4369">
            <w:pPr>
              <w:pStyle w:val="CETBodytext"/>
              <w:ind w:right="-1"/>
              <w:jc w:val="center"/>
              <w:rPr>
                <w:rFonts w:cs="Arial"/>
                <w:szCs w:val="18"/>
                <w:lang w:val="en-GB"/>
              </w:rPr>
            </w:pPr>
            <w:r>
              <w:rPr>
                <w:rFonts w:cs="Arial"/>
                <w:szCs w:val="18"/>
                <w:lang w:val="en-GB"/>
              </w:rPr>
              <w:t>–</w:t>
            </w:r>
            <w:r w:rsidR="00C03EC6">
              <w:rPr>
                <w:lang w:val="en-GB"/>
              </w:rPr>
              <w:t xml:space="preserve">            </w:t>
            </w:r>
          </w:p>
        </w:tc>
      </w:tr>
    </w:tbl>
    <w:p w14:paraId="2265ADC6" w14:textId="44E2181A" w:rsidR="00C03EC6" w:rsidRDefault="00C03EC6" w:rsidP="00C03EC6">
      <w:pPr>
        <w:pStyle w:val="CETBodytext"/>
      </w:pPr>
    </w:p>
    <w:p w14:paraId="30C37ABB" w14:textId="24622A68" w:rsidR="006930C0" w:rsidRDefault="006930C0" w:rsidP="00C03EC6">
      <w:pPr>
        <w:pStyle w:val="CETBodytext"/>
      </w:pPr>
      <w:r>
        <w:t xml:space="preserve">Data in Table 2 shows that the energy storage density is higher for the Cu100 sample and lower for the mixed oxides, as expected from the lower </w:t>
      </w:r>
      <w:r w:rsidR="001D3B7D">
        <w:t xml:space="preserve">values of </w:t>
      </w:r>
      <w:proofErr w:type="spellStart"/>
      <w:r w:rsidR="001D3B7D" w:rsidRPr="00897CB8">
        <w:rPr>
          <w:rFonts w:ascii="Times New Roman" w:hAnsi="Times New Roman"/>
          <w:i/>
          <w:iCs/>
        </w:rPr>
        <w:t>Δ</w:t>
      </w:r>
      <w:r w:rsidR="001D3B7D" w:rsidRPr="00897CB8">
        <w:rPr>
          <w:i/>
          <w:iCs/>
        </w:rPr>
        <w:t>m</w:t>
      </w:r>
      <w:proofErr w:type="spellEnd"/>
      <w:r w:rsidR="001D3B7D">
        <w:t xml:space="preserve"> observed in the thermogravimetric analyses. Experimental values are, on average, in good agreement with the theoretical on</w:t>
      </w:r>
      <w:r w:rsidR="004B0CFA">
        <w:t>es</w:t>
      </w:r>
      <w:r w:rsidR="001D3B7D">
        <w:t xml:space="preserve">, and about 12% lower, that is within the instrument accuracy. The volumetric values of energy storage density appear to be interesting when compared with other technologies. For instance, commercially used </w:t>
      </w:r>
      <w:r w:rsidR="001D3B7D" w:rsidRPr="00260B70">
        <w:t>molten salts are characterized by an energy storage density of about 0.8 GJ m</w:t>
      </w:r>
      <w:r w:rsidR="001D3B7D" w:rsidRPr="00260B70">
        <w:rPr>
          <w:vertAlign w:val="superscript"/>
        </w:rPr>
        <w:t>−3</w:t>
      </w:r>
      <w:r w:rsidR="001D3B7D" w:rsidRPr="00260B70">
        <w:t>, but the energy is stored as sensible heat and is released at lower temperature (290–565 °C), thus with subsequent lower efficiency in the thermodynamic cycle for energy generation. TCES systems relying on calcium carbonate calcination/carbonation (</w:t>
      </w:r>
      <w:proofErr w:type="spellStart"/>
      <w:r w:rsidR="00AA49F9" w:rsidRPr="00260B70">
        <w:t>Karasavvas</w:t>
      </w:r>
      <w:proofErr w:type="spellEnd"/>
      <w:r w:rsidR="00AA49F9" w:rsidRPr="00260B70">
        <w:t xml:space="preserve"> et al., 2018; </w:t>
      </w:r>
      <w:r w:rsidR="001D3B7D" w:rsidRPr="00260B70">
        <w:t>Tregambi et al., 2</w:t>
      </w:r>
      <w:r w:rsidR="00B37AF1" w:rsidRPr="00260B70">
        <w:t>021</w:t>
      </w:r>
      <w:r w:rsidR="001D3B7D" w:rsidRPr="00260B70">
        <w:t xml:space="preserve">), among the most investigated in current literature, feature instead </w:t>
      </w:r>
      <w:r w:rsidR="00353E7D" w:rsidRPr="00260B70">
        <w:t xml:space="preserve">an energy storage density of about </w:t>
      </w:r>
      <w:r w:rsidR="00260B70">
        <w:br/>
      </w:r>
      <w:r w:rsidR="00353E7D" w:rsidRPr="00260B70">
        <w:t>0.75–1.75</w:t>
      </w:r>
      <w:r w:rsidR="00260B70">
        <w:t> </w:t>
      </w:r>
      <w:r w:rsidR="00353E7D" w:rsidRPr="00260B70">
        <w:t>GJ m</w:t>
      </w:r>
      <w:r w:rsidR="00353E7D" w:rsidRPr="00260B70">
        <w:rPr>
          <w:vertAlign w:val="superscript"/>
        </w:rPr>
        <w:t>−3</w:t>
      </w:r>
      <w:r w:rsidR="00B37AF1" w:rsidRPr="00260B70">
        <w:t xml:space="preserve"> (Di Lauro et al., 2021), </w:t>
      </w:r>
      <w:r w:rsidR="00353E7D" w:rsidRPr="00260B70">
        <w:t>thus similar to that computed for the</w:t>
      </w:r>
      <w:r w:rsidR="00353E7D">
        <w:t xml:space="preserve"> material</w:t>
      </w:r>
      <w:r w:rsidR="001633B3">
        <w:t>s</w:t>
      </w:r>
      <w:r w:rsidR="00353E7D">
        <w:t xml:space="preserve"> investigated in this study.</w:t>
      </w:r>
    </w:p>
    <w:p w14:paraId="68D26B83" w14:textId="5D300616" w:rsidR="00600535" w:rsidRDefault="00600535" w:rsidP="00685D41">
      <w:pPr>
        <w:pStyle w:val="CETHeading1"/>
        <w:numPr>
          <w:ilvl w:val="0"/>
          <w:numId w:val="0"/>
        </w:numPr>
        <w:rPr>
          <w:lang w:val="en-GB"/>
        </w:rPr>
      </w:pPr>
      <w:r w:rsidRPr="00B57B36">
        <w:rPr>
          <w:lang w:val="en-GB"/>
        </w:rPr>
        <w:t>Conclusions</w:t>
      </w:r>
    </w:p>
    <w:p w14:paraId="4445C36C" w14:textId="77FE0911" w:rsidR="00685D41" w:rsidRPr="007F06E9" w:rsidRDefault="007F06E9" w:rsidP="00685D41">
      <w:pPr>
        <w:pStyle w:val="CETBodytext"/>
        <w:rPr>
          <w:lang w:val="en-GB"/>
        </w:rPr>
      </w:pPr>
      <w:r w:rsidRPr="007F06E9">
        <w:rPr>
          <w:lang w:val="en-GB"/>
        </w:rPr>
        <w:t xml:space="preserve">In this work </w:t>
      </w:r>
      <w:r w:rsidRPr="00344B56">
        <w:rPr>
          <w:lang w:val="en-GB"/>
        </w:rPr>
        <w:t xml:space="preserve">different </w:t>
      </w:r>
      <w:proofErr w:type="spellStart"/>
      <w:proofErr w:type="gramStart"/>
      <w:r w:rsidRPr="00344B56">
        <w:rPr>
          <w:lang w:val="en-GB"/>
        </w:rPr>
        <w:t>Cu:Ce</w:t>
      </w:r>
      <w:proofErr w:type="spellEnd"/>
      <w:proofErr w:type="gramEnd"/>
      <w:r w:rsidRPr="00344B56">
        <w:rPr>
          <w:lang w:val="en-GB"/>
        </w:rPr>
        <w:t xml:space="preserve"> mixed oxides were synthe</w:t>
      </w:r>
      <w:r w:rsidR="00D215AD">
        <w:rPr>
          <w:lang w:val="en-GB"/>
        </w:rPr>
        <w:t>s</w:t>
      </w:r>
      <w:r w:rsidRPr="00344B56">
        <w:rPr>
          <w:lang w:val="en-GB"/>
        </w:rPr>
        <w:t>ized and tested under process conditions relevant for TCES applications</w:t>
      </w:r>
      <w:r w:rsidR="00DE7E80" w:rsidRPr="00344B56">
        <w:rPr>
          <w:lang w:val="en-GB"/>
        </w:rPr>
        <w:t xml:space="preserve">, </w:t>
      </w:r>
      <w:r w:rsidRPr="00344B56">
        <w:rPr>
          <w:lang w:val="en-GB"/>
        </w:rPr>
        <w:t xml:space="preserve">using a thermogravimetric </w:t>
      </w:r>
      <w:proofErr w:type="spellStart"/>
      <w:r w:rsidRPr="00344B56">
        <w:rPr>
          <w:lang w:val="en-GB"/>
        </w:rPr>
        <w:t>analyzer</w:t>
      </w:r>
      <w:proofErr w:type="spellEnd"/>
      <w:r w:rsidRPr="00344B56">
        <w:rPr>
          <w:lang w:val="en-GB"/>
        </w:rPr>
        <w:t xml:space="preserve"> with simultaneous thermal analysis. Test</w:t>
      </w:r>
      <w:r w:rsidR="0021714E" w:rsidRPr="00344B56">
        <w:rPr>
          <w:lang w:val="en-GB"/>
        </w:rPr>
        <w:t>s</w:t>
      </w:r>
      <w:r w:rsidRPr="00344B56">
        <w:rPr>
          <w:lang w:val="en-GB"/>
        </w:rPr>
        <w:t xml:space="preserve"> were performed isothermally at 950°C, using N</w:t>
      </w:r>
      <w:r w:rsidRPr="00344B56">
        <w:rPr>
          <w:vertAlign w:val="subscript"/>
          <w:lang w:val="en-GB"/>
        </w:rPr>
        <w:t>2</w:t>
      </w:r>
      <w:r w:rsidRPr="00344B56">
        <w:rPr>
          <w:lang w:val="en-GB"/>
        </w:rPr>
        <w:t xml:space="preserve"> as reactive gas during the reduction step and synthetic air as reactive gas during oxidation. All the samples underwent iterative reduction and oxidation, without an</w:t>
      </w:r>
      <w:r w:rsidR="009635B8" w:rsidRPr="00344B56">
        <w:rPr>
          <w:lang w:val="en-GB"/>
        </w:rPr>
        <w:t>y</w:t>
      </w:r>
      <w:r w:rsidRPr="00344B56">
        <w:rPr>
          <w:lang w:val="en-GB"/>
        </w:rPr>
        <w:t xml:space="preserve"> appreciable decay of reactivity over cycling. An over</w:t>
      </w:r>
      <w:r w:rsidR="009635B8" w:rsidRPr="00344B56">
        <w:rPr>
          <w:lang w:val="en-GB"/>
        </w:rPr>
        <w:noBreakHyphen/>
      </w:r>
      <w:r w:rsidR="00F161B2" w:rsidRPr="00344B56">
        <w:rPr>
          <w:lang w:val="en-GB"/>
        </w:rPr>
        <w:t>reduction of the sample was observed with respect to nominal composition, which was partly attributed to a reduction of interfacial copper-ceria sites. Chemical</w:t>
      </w:r>
      <w:r w:rsidR="00F161B2" w:rsidRPr="00344B56">
        <w:rPr>
          <w:lang w:val="en-GB"/>
        </w:rPr>
        <w:noBreakHyphen/>
        <w:t>physical analyses on reduced samples revealed the only presence of Cu</w:t>
      </w:r>
      <w:r w:rsidR="00F161B2" w:rsidRPr="00344B56">
        <w:rPr>
          <w:vertAlign w:val="subscript"/>
          <w:lang w:val="en-GB"/>
        </w:rPr>
        <w:t>2</w:t>
      </w:r>
      <w:r w:rsidR="00F161B2" w:rsidRPr="00344B56">
        <w:rPr>
          <w:lang w:val="en-GB"/>
        </w:rPr>
        <w:t>O and CeO</w:t>
      </w:r>
      <w:r w:rsidR="00F161B2" w:rsidRPr="00344B56">
        <w:rPr>
          <w:vertAlign w:val="subscript"/>
          <w:lang w:val="en-GB"/>
        </w:rPr>
        <w:t>2</w:t>
      </w:r>
      <w:r w:rsidR="00F161B2" w:rsidRPr="00344B56">
        <w:rPr>
          <w:lang w:val="en-GB"/>
        </w:rPr>
        <w:t>, indicating that metallic copper is not formed</w:t>
      </w:r>
      <w:r w:rsidR="00D91636">
        <w:rPr>
          <w:lang w:val="en-GB"/>
        </w:rPr>
        <w:t xml:space="preserve"> or under detection limits of XRD</w:t>
      </w:r>
      <w:r w:rsidR="00F161B2" w:rsidRPr="00344B56">
        <w:rPr>
          <w:lang w:val="en-GB"/>
        </w:rPr>
        <w:t xml:space="preserve">, and </w:t>
      </w:r>
      <w:r w:rsidR="00D91636">
        <w:rPr>
          <w:lang w:val="en-GB"/>
        </w:rPr>
        <w:t xml:space="preserve">potential </w:t>
      </w:r>
      <w:r w:rsidR="00F161B2" w:rsidRPr="00344B56">
        <w:rPr>
          <w:lang w:val="en-GB"/>
        </w:rPr>
        <w:t>CeO</w:t>
      </w:r>
      <w:r w:rsidR="00F161B2" w:rsidRPr="00344B56">
        <w:rPr>
          <w:vertAlign w:val="subscript"/>
          <w:lang w:val="en-GB"/>
        </w:rPr>
        <w:t>2</w:t>
      </w:r>
      <w:r w:rsidR="00F161B2" w:rsidRPr="00344B56">
        <w:rPr>
          <w:lang w:val="en-GB"/>
        </w:rPr>
        <w:t xml:space="preserve"> </w:t>
      </w:r>
      <w:r w:rsidR="00D91636">
        <w:rPr>
          <w:lang w:val="en-GB"/>
        </w:rPr>
        <w:t xml:space="preserve">reduction occurs without </w:t>
      </w:r>
      <w:proofErr w:type="spellStart"/>
      <w:r w:rsidR="00D91636">
        <w:rPr>
          <w:lang w:val="en-GB"/>
        </w:rPr>
        <w:t>loosing</w:t>
      </w:r>
      <w:proofErr w:type="spellEnd"/>
      <w:r w:rsidR="00D91636">
        <w:rPr>
          <w:lang w:val="en-GB"/>
        </w:rPr>
        <w:t xml:space="preserve"> the fluorite structure</w:t>
      </w:r>
      <w:r w:rsidR="00F161B2">
        <w:rPr>
          <w:lang w:val="en-GB"/>
        </w:rPr>
        <w:t xml:space="preserve">, under the process </w:t>
      </w:r>
      <w:r w:rsidR="00683E79">
        <w:rPr>
          <w:lang w:val="en-GB"/>
        </w:rPr>
        <w:t xml:space="preserve">conditions </w:t>
      </w:r>
      <w:r w:rsidR="00F161B2">
        <w:rPr>
          <w:lang w:val="en-GB"/>
        </w:rPr>
        <w:t>investigated.</w:t>
      </w:r>
      <w:r w:rsidR="009635B8">
        <w:rPr>
          <w:lang w:val="en-GB"/>
        </w:rPr>
        <w:t xml:space="preserve"> </w:t>
      </w:r>
      <w:r w:rsidR="00DE7E80">
        <w:rPr>
          <w:lang w:val="en-GB"/>
        </w:rPr>
        <w:t xml:space="preserve">SEM analyses </w:t>
      </w:r>
      <w:r w:rsidR="00DE7E80" w:rsidRPr="00DE7E80">
        <w:rPr>
          <w:lang w:val="en-GB"/>
        </w:rPr>
        <w:t>show</w:t>
      </w:r>
      <w:r w:rsidR="00DE7E80">
        <w:rPr>
          <w:lang w:val="en-GB"/>
        </w:rPr>
        <w:t xml:space="preserve">ed that </w:t>
      </w:r>
      <w:r w:rsidR="00DE7E80" w:rsidRPr="00DE7E80">
        <w:rPr>
          <w:lang w:val="en-GB"/>
        </w:rPr>
        <w:t>cerium migrate</w:t>
      </w:r>
      <w:r w:rsidR="00DE7E80">
        <w:rPr>
          <w:lang w:val="en-GB"/>
        </w:rPr>
        <w:t>d</w:t>
      </w:r>
      <w:r w:rsidR="00DE7E80" w:rsidRPr="00DE7E80">
        <w:rPr>
          <w:lang w:val="en-GB"/>
        </w:rPr>
        <w:t xml:space="preserve"> towards the surface</w:t>
      </w:r>
      <w:r w:rsidR="00DE7E80">
        <w:rPr>
          <w:lang w:val="en-GB"/>
        </w:rPr>
        <w:t xml:space="preserve"> after the four reaction cycles</w:t>
      </w:r>
      <w:r w:rsidR="00DE7E80" w:rsidRPr="00DE7E80">
        <w:rPr>
          <w:lang w:val="en-GB"/>
        </w:rPr>
        <w:t>,</w:t>
      </w:r>
      <w:r w:rsidR="00DE7E80">
        <w:rPr>
          <w:lang w:val="en-GB"/>
        </w:rPr>
        <w:t xml:space="preserve"> </w:t>
      </w:r>
      <w:r w:rsidR="00DE7E80" w:rsidRPr="00DE7E80">
        <w:rPr>
          <w:lang w:val="en-GB"/>
        </w:rPr>
        <w:t xml:space="preserve">as evidenced by the significant reduction of the </w:t>
      </w:r>
      <w:proofErr w:type="spellStart"/>
      <w:proofErr w:type="gramStart"/>
      <w:r w:rsidR="00DE7E80" w:rsidRPr="00DE7E80">
        <w:rPr>
          <w:lang w:val="en-GB"/>
        </w:rPr>
        <w:t>Cu</w:t>
      </w:r>
      <w:r w:rsidR="0021714E">
        <w:rPr>
          <w:lang w:val="en-GB"/>
        </w:rPr>
        <w:t>:</w:t>
      </w:r>
      <w:r w:rsidR="00DE7E80" w:rsidRPr="00DE7E80">
        <w:rPr>
          <w:lang w:val="en-GB"/>
        </w:rPr>
        <w:t>Ce</w:t>
      </w:r>
      <w:proofErr w:type="spellEnd"/>
      <w:proofErr w:type="gramEnd"/>
      <w:r w:rsidR="00DE7E80" w:rsidRPr="00DE7E80">
        <w:rPr>
          <w:lang w:val="en-GB"/>
        </w:rPr>
        <w:t xml:space="preserve"> </w:t>
      </w:r>
      <w:r w:rsidR="00DE7E80">
        <w:rPr>
          <w:lang w:val="en-GB"/>
        </w:rPr>
        <w:t xml:space="preserve">atomic ratios at the particles surface. </w:t>
      </w:r>
      <w:r w:rsidR="009635B8">
        <w:rPr>
          <w:lang w:val="en-GB"/>
        </w:rPr>
        <w:t>The computed values of energy storage density range within 400–800 J g</w:t>
      </w:r>
      <w:r w:rsidR="009635B8" w:rsidRPr="009635B8">
        <w:rPr>
          <w:vertAlign w:val="superscript"/>
          <w:lang w:val="en-GB"/>
        </w:rPr>
        <w:t>−1</w:t>
      </w:r>
      <w:r w:rsidR="009635B8">
        <w:rPr>
          <w:lang w:val="en-GB"/>
        </w:rPr>
        <w:t xml:space="preserve"> and 0.</w:t>
      </w:r>
      <w:r w:rsidR="007A5F41">
        <w:rPr>
          <w:lang w:val="en-GB"/>
        </w:rPr>
        <w:t>9</w:t>
      </w:r>
      <w:r w:rsidR="009635B8">
        <w:rPr>
          <w:lang w:val="en-GB"/>
        </w:rPr>
        <w:t>–1.</w:t>
      </w:r>
      <w:r w:rsidR="007A5F41">
        <w:rPr>
          <w:lang w:val="en-GB"/>
        </w:rPr>
        <w:t>7</w:t>
      </w:r>
      <w:r w:rsidR="009635B8">
        <w:rPr>
          <w:lang w:val="en-GB"/>
        </w:rPr>
        <w:t xml:space="preserve"> GJ m</w:t>
      </w:r>
      <w:r w:rsidR="009635B8" w:rsidRPr="009635B8">
        <w:rPr>
          <w:vertAlign w:val="superscript"/>
          <w:lang w:val="en-GB"/>
        </w:rPr>
        <w:t>−3</w:t>
      </w:r>
      <w:r w:rsidR="009635B8">
        <w:rPr>
          <w:lang w:val="en-GB"/>
        </w:rPr>
        <w:t xml:space="preserve"> depending on the </w:t>
      </w:r>
      <w:proofErr w:type="gramStart"/>
      <w:r w:rsidR="009635B8">
        <w:rPr>
          <w:lang w:val="en-GB"/>
        </w:rPr>
        <w:t>sample, and</w:t>
      </w:r>
      <w:proofErr w:type="gramEnd"/>
      <w:r w:rsidR="009635B8">
        <w:rPr>
          <w:lang w:val="en-GB"/>
        </w:rPr>
        <w:t xml:space="preserve"> are comparable to </w:t>
      </w:r>
      <w:r w:rsidR="004D53C2" w:rsidRPr="0021714E">
        <w:rPr>
          <w:lang w:val="en-GB"/>
        </w:rPr>
        <w:t>those</w:t>
      </w:r>
      <w:r w:rsidR="009635B8" w:rsidRPr="0021714E">
        <w:rPr>
          <w:lang w:val="en-GB"/>
        </w:rPr>
        <w:t xml:space="preserve"> of other systems widely investigated in</w:t>
      </w:r>
      <w:r w:rsidR="00D91636">
        <w:rPr>
          <w:lang w:val="en-GB"/>
        </w:rPr>
        <w:t xml:space="preserve"> the</w:t>
      </w:r>
      <w:r w:rsidR="009635B8" w:rsidRPr="0021714E">
        <w:rPr>
          <w:lang w:val="en-GB"/>
        </w:rPr>
        <w:t xml:space="preserve"> literature. The preliminary results obtained in this work confirm that </w:t>
      </w:r>
      <w:proofErr w:type="spellStart"/>
      <w:proofErr w:type="gramStart"/>
      <w:r w:rsidR="009635B8" w:rsidRPr="0021714E">
        <w:rPr>
          <w:lang w:val="en-GB"/>
        </w:rPr>
        <w:t>Cu</w:t>
      </w:r>
      <w:r w:rsidR="0021714E" w:rsidRPr="0021714E">
        <w:rPr>
          <w:lang w:val="en-GB"/>
        </w:rPr>
        <w:t>:</w:t>
      </w:r>
      <w:r w:rsidR="009635B8" w:rsidRPr="0021714E">
        <w:rPr>
          <w:lang w:val="en-GB"/>
        </w:rPr>
        <w:t>Ce</w:t>
      </w:r>
      <w:proofErr w:type="spellEnd"/>
      <w:proofErr w:type="gramEnd"/>
      <w:r w:rsidR="009635B8" w:rsidRPr="0021714E">
        <w:rPr>
          <w:lang w:val="en-GB"/>
        </w:rPr>
        <w:t xml:space="preserve"> mixed oxides may be interesting materials for </w:t>
      </w:r>
      <w:r w:rsidR="0021714E">
        <w:rPr>
          <w:lang w:val="en-GB"/>
        </w:rPr>
        <w:t>TCES</w:t>
      </w:r>
      <w:r w:rsidR="009635B8" w:rsidRPr="0021714E">
        <w:rPr>
          <w:lang w:val="en-GB"/>
        </w:rPr>
        <w:t xml:space="preserve"> applications. Future studie</w:t>
      </w:r>
      <w:r w:rsidR="009635B8">
        <w:rPr>
          <w:lang w:val="en-GB"/>
        </w:rPr>
        <w:t xml:space="preserve">s will investigate the performance of these oxides under harsher reaction conditions, by </w:t>
      </w:r>
      <w:proofErr w:type="gramStart"/>
      <w:r w:rsidR="009635B8">
        <w:rPr>
          <w:lang w:val="en-GB"/>
        </w:rPr>
        <w:t>performing also</w:t>
      </w:r>
      <w:proofErr w:type="gramEnd"/>
      <w:r w:rsidR="009635B8">
        <w:rPr>
          <w:lang w:val="en-GB"/>
        </w:rPr>
        <w:t xml:space="preserve"> the reduction step in air at higher temperature, so as to avoid the need of a N</w:t>
      </w:r>
      <w:r w:rsidR="009635B8" w:rsidRPr="009635B8">
        <w:rPr>
          <w:vertAlign w:val="subscript"/>
          <w:lang w:val="en-GB"/>
        </w:rPr>
        <w:t>2</w:t>
      </w:r>
      <w:r w:rsidR="009635B8">
        <w:rPr>
          <w:lang w:val="en-GB"/>
        </w:rPr>
        <w:t xml:space="preserve"> stream.</w:t>
      </w:r>
    </w:p>
    <w:p w14:paraId="459D05E6" w14:textId="77777777" w:rsidR="00600535" w:rsidRPr="00B57B36" w:rsidRDefault="00600535" w:rsidP="00600535">
      <w:pPr>
        <w:pStyle w:val="CETAcknowledgementstitle"/>
      </w:pPr>
      <w:r w:rsidRPr="00B57B36">
        <w:t>Acknowledgments</w:t>
      </w:r>
    </w:p>
    <w:p w14:paraId="33F8138F" w14:textId="291FF0F7" w:rsidR="00600535" w:rsidRDefault="006C0B02" w:rsidP="00600535">
      <w:pPr>
        <w:pStyle w:val="CETBodytext"/>
        <w:rPr>
          <w:lang w:val="en-GB"/>
        </w:rPr>
      </w:pPr>
      <w:r>
        <w:rPr>
          <w:lang w:val="en-GB"/>
        </w:rPr>
        <w:t xml:space="preserve">Mr. Luciano Cortese (STEMS-CNR) is gratefully acknowledged for his help in </w:t>
      </w:r>
      <w:r w:rsidR="009454B4">
        <w:rPr>
          <w:lang w:val="en-GB"/>
        </w:rPr>
        <w:t xml:space="preserve">carrying out </w:t>
      </w:r>
      <w:r>
        <w:rPr>
          <w:lang w:val="en-GB"/>
        </w:rPr>
        <w:t>XRD and SEM</w:t>
      </w:r>
      <w:r>
        <w:rPr>
          <w:lang w:val="en-GB"/>
        </w:rPr>
        <w:noBreakHyphen/>
        <w:t>EDS analyses.</w:t>
      </w:r>
    </w:p>
    <w:p w14:paraId="4F1327F8" w14:textId="4F6523FB" w:rsidR="00600535" w:rsidRDefault="00600535" w:rsidP="00600535">
      <w:pPr>
        <w:pStyle w:val="CETReference"/>
      </w:pPr>
      <w:r w:rsidRPr="00B57B36">
        <w:t>References</w:t>
      </w:r>
    </w:p>
    <w:p w14:paraId="19C7DCC8" w14:textId="10E46A8E" w:rsidR="00B66D83" w:rsidRDefault="00B66D83" w:rsidP="00B66D83">
      <w:pPr>
        <w:pStyle w:val="CETReferencetext"/>
      </w:pPr>
      <w:r w:rsidRPr="00B66D83">
        <w:t>Alonso E., Pérez-</w:t>
      </w:r>
      <w:proofErr w:type="spellStart"/>
      <w:r w:rsidRPr="00B66D83">
        <w:t>Rábago</w:t>
      </w:r>
      <w:proofErr w:type="spellEnd"/>
      <w:r w:rsidRPr="00B66D83">
        <w:t xml:space="preserve"> C., </w:t>
      </w:r>
      <w:proofErr w:type="spellStart"/>
      <w:r w:rsidRPr="00B66D83">
        <w:t>Licurgo</w:t>
      </w:r>
      <w:proofErr w:type="spellEnd"/>
      <w:r w:rsidRPr="00B66D83">
        <w:t xml:space="preserve"> J., </w:t>
      </w:r>
      <w:proofErr w:type="spellStart"/>
      <w:r w:rsidRPr="00B66D83">
        <w:t>Fuentealba</w:t>
      </w:r>
      <w:proofErr w:type="spellEnd"/>
      <w:r w:rsidRPr="00B66D83">
        <w:t xml:space="preserve"> E., Estrada C.A., 2015, First experimental studies of solar redox reactions of copper oxides for thermochemical energy storage, Solar Energy, 115, 297</w:t>
      </w:r>
      <w:r w:rsidRPr="000E5F2F">
        <w:t>−</w:t>
      </w:r>
      <w:r w:rsidRPr="00B66D83">
        <w:t>305</w:t>
      </w:r>
      <w:r w:rsidR="003255B4">
        <w:t>.</w:t>
      </w:r>
    </w:p>
    <w:p w14:paraId="5087A3B1" w14:textId="25D89351" w:rsidR="00B66D83" w:rsidRDefault="00B66D83" w:rsidP="00B66D83">
      <w:pPr>
        <w:pStyle w:val="CETReferencetext"/>
      </w:pPr>
      <w:proofErr w:type="spellStart"/>
      <w:r w:rsidRPr="005A239D">
        <w:t>Bareschino</w:t>
      </w:r>
      <w:proofErr w:type="spellEnd"/>
      <w:r w:rsidRPr="005A239D">
        <w:t xml:space="preserve"> P</w:t>
      </w:r>
      <w:r>
        <w:t>.</w:t>
      </w:r>
      <w:r w:rsidRPr="005A239D">
        <w:t xml:space="preserve">, </w:t>
      </w:r>
      <w:proofErr w:type="spellStart"/>
      <w:r w:rsidRPr="005A239D">
        <w:t>Mancusi</w:t>
      </w:r>
      <w:proofErr w:type="spellEnd"/>
      <w:r w:rsidRPr="005A239D">
        <w:t xml:space="preserve"> E</w:t>
      </w:r>
      <w:r>
        <w:t>.</w:t>
      </w:r>
      <w:r w:rsidRPr="005A239D">
        <w:t>, Tregambi C</w:t>
      </w:r>
      <w:r>
        <w:t>.</w:t>
      </w:r>
      <w:r w:rsidRPr="005A239D">
        <w:t>, Pepe F</w:t>
      </w:r>
      <w:r>
        <w:t>.</w:t>
      </w:r>
      <w:r w:rsidRPr="005A239D">
        <w:t xml:space="preserve">, </w:t>
      </w:r>
      <w:proofErr w:type="spellStart"/>
      <w:r w:rsidRPr="005A239D">
        <w:t>Urciuolo</w:t>
      </w:r>
      <w:proofErr w:type="spellEnd"/>
      <w:r w:rsidRPr="005A239D">
        <w:t xml:space="preserve"> M</w:t>
      </w:r>
      <w:r>
        <w:t>.</w:t>
      </w:r>
      <w:r w:rsidRPr="005A239D">
        <w:t xml:space="preserve">, </w:t>
      </w:r>
      <w:proofErr w:type="spellStart"/>
      <w:r w:rsidRPr="005A239D">
        <w:t>Brachi</w:t>
      </w:r>
      <w:proofErr w:type="spellEnd"/>
      <w:r w:rsidRPr="005A239D">
        <w:t xml:space="preserve"> P</w:t>
      </w:r>
      <w:r>
        <w:t>.</w:t>
      </w:r>
      <w:r w:rsidRPr="005A239D">
        <w:t xml:space="preserve">, </w:t>
      </w:r>
      <w:proofErr w:type="spellStart"/>
      <w:r>
        <w:t>Ruppolo</w:t>
      </w:r>
      <w:proofErr w:type="spellEnd"/>
      <w:r>
        <w:t xml:space="preserve"> G.,</w:t>
      </w:r>
      <w:r w:rsidRPr="005A239D">
        <w:t xml:space="preserve"> </w:t>
      </w:r>
      <w:r>
        <w:t xml:space="preserve">2021, </w:t>
      </w:r>
      <w:r w:rsidRPr="005A239D">
        <w:t>Integration of biomasses gasification and renewable-energies-driven water electrolysis for methane production</w:t>
      </w:r>
      <w:r>
        <w:t xml:space="preserve">, </w:t>
      </w:r>
      <w:r w:rsidRPr="005A239D">
        <w:t>Energy</w:t>
      </w:r>
      <w:r>
        <w:t xml:space="preserve">, </w:t>
      </w:r>
      <w:r w:rsidRPr="005A239D">
        <w:t>230</w:t>
      </w:r>
      <w:r>
        <w:t xml:space="preserve">, </w:t>
      </w:r>
      <w:r w:rsidRPr="005A239D">
        <w:t>120863</w:t>
      </w:r>
      <w:r w:rsidR="003255B4">
        <w:t>.</w:t>
      </w:r>
    </w:p>
    <w:p w14:paraId="5735DF19" w14:textId="745B4CF4" w:rsidR="008F5430" w:rsidRDefault="008F5430" w:rsidP="00B66D83">
      <w:pPr>
        <w:pStyle w:val="CETReferencetext"/>
      </w:pPr>
      <w:r w:rsidRPr="008F5430">
        <w:t xml:space="preserve">Block T., </w:t>
      </w:r>
      <w:proofErr w:type="spellStart"/>
      <w:r w:rsidRPr="008F5430">
        <w:t>Schmücker</w:t>
      </w:r>
      <w:proofErr w:type="spellEnd"/>
      <w:r w:rsidRPr="008F5430">
        <w:t xml:space="preserve"> M., 2016, Metal oxides for thermochemical energy storage: A comparison of several metal oxide systems, Solar Energy 126, 2016, 195</w:t>
      </w:r>
      <w:r w:rsidR="004A606F" w:rsidRPr="000E5F2F">
        <w:t>−</w:t>
      </w:r>
      <w:r w:rsidRPr="008F5430">
        <w:t>207</w:t>
      </w:r>
      <w:r w:rsidR="003255B4">
        <w:t>.</w:t>
      </w:r>
    </w:p>
    <w:p w14:paraId="6DFC2C15" w14:textId="6FC467F6" w:rsidR="00B66D83" w:rsidRDefault="00B66D83" w:rsidP="00B66D83">
      <w:pPr>
        <w:pStyle w:val="CETReferencetext"/>
      </w:pPr>
      <w:r w:rsidRPr="00044CD5">
        <w:t xml:space="preserve">Carrillo A.J., </w:t>
      </w:r>
      <w:proofErr w:type="spellStart"/>
      <w:r w:rsidRPr="00044CD5">
        <w:t>González-Aguilar</w:t>
      </w:r>
      <w:proofErr w:type="spellEnd"/>
      <w:r w:rsidRPr="00044CD5">
        <w:t xml:space="preserve"> J., Romero M., Coronado J.M., 2019, Solar Energy on Demand: A Review on High Temperature Thermochemical Heat Storage Systems and Materials, Chemical Reviews, 119, 4777</w:t>
      </w:r>
      <w:r w:rsidRPr="000E5F2F">
        <w:t>−</w:t>
      </w:r>
      <w:r w:rsidRPr="00044CD5">
        <w:t>4816</w:t>
      </w:r>
      <w:r w:rsidR="003255B4">
        <w:t>.</w:t>
      </w:r>
    </w:p>
    <w:p w14:paraId="130089C9" w14:textId="5CD53922" w:rsidR="00285EF0" w:rsidRDefault="00285EF0" w:rsidP="00B66D83">
      <w:pPr>
        <w:pStyle w:val="CETReferencetext"/>
      </w:pPr>
      <w:r>
        <w:lastRenderedPageBreak/>
        <w:t>Chen</w:t>
      </w:r>
      <w:r w:rsidR="00D033BC" w:rsidRPr="00D033BC">
        <w:t xml:space="preserve"> </w:t>
      </w:r>
      <w:r w:rsidR="00D033BC">
        <w:t>C.</w:t>
      </w:r>
      <w:r>
        <w:t>, Wang</w:t>
      </w:r>
      <w:r w:rsidR="00D033BC" w:rsidRPr="00D033BC">
        <w:t xml:space="preserve"> </w:t>
      </w:r>
      <w:r w:rsidR="00D033BC">
        <w:t>R.</w:t>
      </w:r>
      <w:r>
        <w:t>, Shen</w:t>
      </w:r>
      <w:r w:rsidR="00D033BC" w:rsidRPr="00D033BC">
        <w:t xml:space="preserve"> </w:t>
      </w:r>
      <w:r w:rsidR="00D033BC">
        <w:t>P.</w:t>
      </w:r>
      <w:r>
        <w:t>, Zhao</w:t>
      </w:r>
      <w:r w:rsidR="00D033BC" w:rsidRPr="00D033BC">
        <w:t xml:space="preserve"> </w:t>
      </w:r>
      <w:r w:rsidR="00D033BC">
        <w:t>D.</w:t>
      </w:r>
      <w:r>
        <w:t>, Zhang</w:t>
      </w:r>
      <w:r w:rsidR="00D033BC" w:rsidRPr="00D033BC">
        <w:t xml:space="preserve"> </w:t>
      </w:r>
      <w:r w:rsidR="00D033BC">
        <w:t>N.</w:t>
      </w:r>
      <w:r>
        <w:t xml:space="preserve">, </w:t>
      </w:r>
      <w:r w:rsidR="00DB42B9">
        <w:t xml:space="preserve">2015, </w:t>
      </w:r>
      <w:r>
        <w:t>Inverse CeO</w:t>
      </w:r>
      <w:r w:rsidRPr="00D033BC">
        <w:rPr>
          <w:vertAlign w:val="subscript"/>
        </w:rPr>
        <w:t>2</w:t>
      </w:r>
      <w:r>
        <w:t>/</w:t>
      </w:r>
      <w:proofErr w:type="spellStart"/>
      <w:r>
        <w:t>CuO</w:t>
      </w:r>
      <w:proofErr w:type="spellEnd"/>
      <w:r>
        <w:t xml:space="preserve"> catalysts prepared from heterobimetallic metal-organic framework precursor for preferential CO oxidation in</w:t>
      </w:r>
      <w:r w:rsidR="000B097A">
        <w:t xml:space="preserve"> H</w:t>
      </w:r>
      <w:r w:rsidR="000B097A" w:rsidRPr="000B097A">
        <w:rPr>
          <w:vertAlign w:val="subscript"/>
        </w:rPr>
        <w:t>2</w:t>
      </w:r>
      <w:r>
        <w:t>-rich stream, Int</w:t>
      </w:r>
      <w:r w:rsidR="000B097A">
        <w:t>ernational</w:t>
      </w:r>
      <w:r>
        <w:t xml:space="preserve"> J</w:t>
      </w:r>
      <w:r w:rsidR="000B097A">
        <w:t xml:space="preserve">ournal of </w:t>
      </w:r>
      <w:r>
        <w:t>Hydrogen Energy</w:t>
      </w:r>
      <w:r w:rsidR="00DB42B9">
        <w:t>,</w:t>
      </w:r>
      <w:r>
        <w:t xml:space="preserve"> 40</w:t>
      </w:r>
      <w:r w:rsidR="00DB42B9">
        <w:t>,</w:t>
      </w:r>
      <w:r>
        <w:t xml:space="preserve"> 4830–4839</w:t>
      </w:r>
      <w:r w:rsidR="003255B4">
        <w:t>.</w:t>
      </w:r>
    </w:p>
    <w:p w14:paraId="5E96753F" w14:textId="7AFDC0F6" w:rsidR="004735CD" w:rsidRDefault="004735CD" w:rsidP="004735CD">
      <w:pPr>
        <w:pStyle w:val="CETReferencetext"/>
      </w:pPr>
      <w:r>
        <w:t>Chen</w:t>
      </w:r>
      <w:r w:rsidRPr="000D14B2">
        <w:t xml:space="preserve"> </w:t>
      </w:r>
      <w:r>
        <w:t>A., Yu</w:t>
      </w:r>
      <w:r w:rsidRPr="000D14B2">
        <w:t xml:space="preserve"> </w:t>
      </w:r>
      <w:r>
        <w:t>X., Zhou</w:t>
      </w:r>
      <w:r w:rsidRPr="000D14B2">
        <w:t xml:space="preserve"> </w:t>
      </w:r>
      <w:r>
        <w:t>Y., Miao</w:t>
      </w:r>
      <w:r w:rsidRPr="000D14B2">
        <w:t xml:space="preserve"> </w:t>
      </w:r>
      <w:r>
        <w:t>S., Li</w:t>
      </w:r>
      <w:r w:rsidRPr="000D14B2">
        <w:t xml:space="preserve"> </w:t>
      </w:r>
      <w:r>
        <w:t xml:space="preserve">Y., </w:t>
      </w:r>
      <w:proofErr w:type="spellStart"/>
      <w:r>
        <w:t>Kuld</w:t>
      </w:r>
      <w:proofErr w:type="spellEnd"/>
      <w:r w:rsidRPr="000D14B2">
        <w:t xml:space="preserve"> </w:t>
      </w:r>
      <w:r>
        <w:t xml:space="preserve">S., </w:t>
      </w:r>
      <w:proofErr w:type="spellStart"/>
      <w:r>
        <w:t>Sehested</w:t>
      </w:r>
      <w:proofErr w:type="spellEnd"/>
      <w:r w:rsidRPr="000D14B2">
        <w:t xml:space="preserve"> </w:t>
      </w:r>
      <w:r>
        <w:t>J., Liu</w:t>
      </w:r>
      <w:r w:rsidRPr="000D14B2">
        <w:t xml:space="preserve"> </w:t>
      </w:r>
      <w:r>
        <w:t>J., Aoki</w:t>
      </w:r>
      <w:r w:rsidRPr="00DB3614">
        <w:t xml:space="preserve"> </w:t>
      </w:r>
      <w:r>
        <w:t>T., Hong</w:t>
      </w:r>
      <w:r w:rsidRPr="00DB3614">
        <w:t xml:space="preserve"> </w:t>
      </w:r>
      <w:r>
        <w:t xml:space="preserve">S., </w:t>
      </w:r>
      <w:proofErr w:type="spellStart"/>
      <w:r>
        <w:t>Farnesi</w:t>
      </w:r>
      <w:proofErr w:type="spellEnd"/>
      <w:r>
        <w:t xml:space="preserve"> </w:t>
      </w:r>
      <w:proofErr w:type="spellStart"/>
      <w:r>
        <w:t>Camellone</w:t>
      </w:r>
      <w:proofErr w:type="spellEnd"/>
      <w:r w:rsidRPr="00DB3614">
        <w:t xml:space="preserve"> </w:t>
      </w:r>
      <w:r>
        <w:t xml:space="preserve">M., </w:t>
      </w:r>
      <w:proofErr w:type="spellStart"/>
      <w:r>
        <w:t>Fabris</w:t>
      </w:r>
      <w:proofErr w:type="spellEnd"/>
      <w:r w:rsidRPr="00DB3614">
        <w:t xml:space="preserve"> </w:t>
      </w:r>
      <w:r>
        <w:t>S., Ning</w:t>
      </w:r>
      <w:r w:rsidRPr="00DB3614">
        <w:t xml:space="preserve"> </w:t>
      </w:r>
      <w:r>
        <w:t xml:space="preserve">J., </w:t>
      </w:r>
      <w:proofErr w:type="spellStart"/>
      <w:r>
        <w:t>Jin</w:t>
      </w:r>
      <w:proofErr w:type="spellEnd"/>
      <w:r w:rsidRPr="00DB3614">
        <w:t xml:space="preserve"> </w:t>
      </w:r>
      <w:r>
        <w:t>C., Yang</w:t>
      </w:r>
      <w:r w:rsidRPr="00DB3614">
        <w:t xml:space="preserve"> </w:t>
      </w:r>
      <w:r>
        <w:t xml:space="preserve">C., </w:t>
      </w:r>
      <w:proofErr w:type="spellStart"/>
      <w:r>
        <w:t>Nefedov</w:t>
      </w:r>
      <w:proofErr w:type="spellEnd"/>
      <w:r w:rsidRPr="00DB3614">
        <w:t xml:space="preserve"> </w:t>
      </w:r>
      <w:r>
        <w:t xml:space="preserve">A., </w:t>
      </w:r>
      <w:proofErr w:type="spellStart"/>
      <w:r>
        <w:t>Wöll</w:t>
      </w:r>
      <w:proofErr w:type="spellEnd"/>
      <w:r w:rsidRPr="00DB3614">
        <w:t xml:space="preserve"> </w:t>
      </w:r>
      <w:r>
        <w:t>C., Wang</w:t>
      </w:r>
      <w:r w:rsidRPr="00DB3614">
        <w:t xml:space="preserve"> </w:t>
      </w:r>
      <w:r>
        <w:t>Y., Shen</w:t>
      </w:r>
      <w:r w:rsidRPr="00DB3614">
        <w:t xml:space="preserve"> </w:t>
      </w:r>
      <w:r>
        <w:t>W., 2019, Structure of the catalytically active copper–ceria interfacial perimeter, Nat</w:t>
      </w:r>
      <w:r w:rsidR="000B097A">
        <w:t xml:space="preserve">ure </w:t>
      </w:r>
      <w:r>
        <w:t>Catal</w:t>
      </w:r>
      <w:r w:rsidR="000B097A">
        <w:t>ysis</w:t>
      </w:r>
      <w:r>
        <w:t>, 2, 334–341</w:t>
      </w:r>
      <w:r w:rsidR="003255B4">
        <w:t>.</w:t>
      </w:r>
    </w:p>
    <w:p w14:paraId="66F79C66" w14:textId="01BC6C3F" w:rsidR="00B86AB6" w:rsidRDefault="00B86AB6" w:rsidP="00B66D83">
      <w:pPr>
        <w:pStyle w:val="CETReferencetext"/>
      </w:pPr>
      <w:proofErr w:type="spellStart"/>
      <w:r>
        <w:t>Colussi</w:t>
      </w:r>
      <w:proofErr w:type="spellEnd"/>
      <w:r w:rsidRPr="007E3128">
        <w:t xml:space="preserve"> </w:t>
      </w:r>
      <w:r>
        <w:t>S., Amoroso</w:t>
      </w:r>
      <w:r w:rsidRPr="007E3128">
        <w:t xml:space="preserve"> </w:t>
      </w:r>
      <w:r>
        <w:t>F., Katta</w:t>
      </w:r>
      <w:r w:rsidRPr="007E3128">
        <w:t xml:space="preserve"> </w:t>
      </w:r>
      <w:r>
        <w:t xml:space="preserve">L., </w:t>
      </w:r>
      <w:proofErr w:type="spellStart"/>
      <w:r>
        <w:t>Llorca</w:t>
      </w:r>
      <w:proofErr w:type="spellEnd"/>
      <w:r w:rsidRPr="007E3128">
        <w:t xml:space="preserve"> </w:t>
      </w:r>
      <w:r>
        <w:t xml:space="preserve">J., </w:t>
      </w:r>
      <w:proofErr w:type="spellStart"/>
      <w:r>
        <w:t>Trovarelli</w:t>
      </w:r>
      <w:proofErr w:type="spellEnd"/>
      <w:r w:rsidRPr="007E3128">
        <w:t xml:space="preserve"> </w:t>
      </w:r>
      <w:r>
        <w:t>A., 2014, The effect of ceria on the dynamics of CuO-Cu</w:t>
      </w:r>
      <w:r w:rsidRPr="007E3128">
        <w:rPr>
          <w:vertAlign w:val="subscript"/>
        </w:rPr>
        <w:t>2</w:t>
      </w:r>
      <w:r>
        <w:t>O redox transformation: CuO-Cu</w:t>
      </w:r>
      <w:r w:rsidRPr="007E3128">
        <w:rPr>
          <w:vertAlign w:val="subscript"/>
        </w:rPr>
        <w:t>2</w:t>
      </w:r>
      <w:r>
        <w:t>O hysteresis on ceria, Catal</w:t>
      </w:r>
      <w:r w:rsidR="006D4360">
        <w:t xml:space="preserve">ysis </w:t>
      </w:r>
      <w:r>
        <w:t>Letters., 144, 1023–1030</w:t>
      </w:r>
      <w:r w:rsidR="003255B4">
        <w:t>.</w:t>
      </w:r>
    </w:p>
    <w:p w14:paraId="492BEC1F" w14:textId="0C9949E3" w:rsidR="00B86AB6" w:rsidRDefault="00B86AB6" w:rsidP="00B66D83">
      <w:pPr>
        <w:pStyle w:val="CETReferencetext"/>
      </w:pPr>
      <w:r>
        <w:t>De Vos</w:t>
      </w:r>
      <w:r w:rsidRPr="00BA7DD0">
        <w:t xml:space="preserve"> </w:t>
      </w:r>
      <w:r>
        <w:t>Y., Jacobs</w:t>
      </w:r>
      <w:r w:rsidRPr="00BA7DD0">
        <w:t xml:space="preserve"> </w:t>
      </w:r>
      <w:r>
        <w:t>M., Van Der Voort</w:t>
      </w:r>
      <w:r w:rsidRPr="00BA7DD0">
        <w:t xml:space="preserve"> </w:t>
      </w:r>
      <w:r>
        <w:t xml:space="preserve">P., Van </w:t>
      </w:r>
      <w:proofErr w:type="spellStart"/>
      <w:r>
        <w:t>Driessche</w:t>
      </w:r>
      <w:proofErr w:type="spellEnd"/>
      <w:r w:rsidRPr="00BA7DD0">
        <w:t xml:space="preserve"> </w:t>
      </w:r>
      <w:r>
        <w:t xml:space="preserve">I., </w:t>
      </w:r>
      <w:proofErr w:type="spellStart"/>
      <w:r>
        <w:t>Snijkers</w:t>
      </w:r>
      <w:proofErr w:type="spellEnd"/>
      <w:r w:rsidRPr="00BA7DD0">
        <w:t xml:space="preserve"> </w:t>
      </w:r>
      <w:r>
        <w:t xml:space="preserve">F., </w:t>
      </w:r>
      <w:proofErr w:type="spellStart"/>
      <w:r>
        <w:t>Verberckmoes</w:t>
      </w:r>
      <w:proofErr w:type="spellEnd"/>
      <w:r w:rsidRPr="00BA7DD0">
        <w:t xml:space="preserve"> </w:t>
      </w:r>
      <w:r>
        <w:t>A., 2020, Development of Stable Oxygen Carrier Materials for Chemical Looping Processes—A Review, Catal</w:t>
      </w:r>
      <w:r w:rsidR="007554B6">
        <w:t>ysts</w:t>
      </w:r>
      <w:r>
        <w:t>, 10, 926</w:t>
      </w:r>
      <w:r w:rsidR="003255B4">
        <w:t>.</w:t>
      </w:r>
    </w:p>
    <w:p w14:paraId="497D5DF8" w14:textId="6FB44D1F" w:rsidR="006E43D1" w:rsidRDefault="006E43D1" w:rsidP="00B66D83">
      <w:pPr>
        <w:pStyle w:val="CETReferencetext"/>
      </w:pPr>
      <w:r>
        <w:t>Di Benedetto</w:t>
      </w:r>
      <w:r w:rsidR="00DB42B9" w:rsidRPr="00DB42B9">
        <w:t xml:space="preserve"> </w:t>
      </w:r>
      <w:r w:rsidR="00DB42B9">
        <w:t>A.</w:t>
      </w:r>
      <w:r>
        <w:t xml:space="preserve">, </w:t>
      </w:r>
      <w:proofErr w:type="spellStart"/>
      <w:r>
        <w:t>Landi</w:t>
      </w:r>
      <w:proofErr w:type="spellEnd"/>
      <w:r w:rsidR="00DB42B9" w:rsidRPr="00DB42B9">
        <w:t xml:space="preserve"> </w:t>
      </w:r>
      <w:r w:rsidR="00DB42B9">
        <w:t>G.</w:t>
      </w:r>
      <w:r>
        <w:t xml:space="preserve">, </w:t>
      </w:r>
      <w:proofErr w:type="spellStart"/>
      <w:r>
        <w:t>Lisi</w:t>
      </w:r>
      <w:proofErr w:type="spellEnd"/>
      <w:r w:rsidR="00DB42B9" w:rsidRPr="00DB42B9">
        <w:t xml:space="preserve"> </w:t>
      </w:r>
      <w:r w:rsidR="00DB42B9">
        <w:t>L.</w:t>
      </w:r>
      <w:r>
        <w:t xml:space="preserve">, </w:t>
      </w:r>
      <w:r w:rsidR="00BB130D">
        <w:t xml:space="preserve">2017, </w:t>
      </w:r>
      <w:r>
        <w:t xml:space="preserve">CO reactive adsorption at low temperature over </w:t>
      </w:r>
      <w:proofErr w:type="spellStart"/>
      <w:r>
        <w:t>CuO</w:t>
      </w:r>
      <w:proofErr w:type="spellEnd"/>
      <w:r>
        <w:t>/CeO</w:t>
      </w:r>
      <w:r w:rsidRPr="00BB130D">
        <w:rPr>
          <w:vertAlign w:val="subscript"/>
        </w:rPr>
        <w:t>2</w:t>
      </w:r>
      <w:r w:rsidR="00BB130D">
        <w:t xml:space="preserve"> s</w:t>
      </w:r>
      <w:r>
        <w:t>tructured catalytic monolith, Int</w:t>
      </w:r>
      <w:r w:rsidR="0049718C">
        <w:t xml:space="preserve">ernational </w:t>
      </w:r>
      <w:r>
        <w:t>J</w:t>
      </w:r>
      <w:r w:rsidR="0049718C">
        <w:t>ournal of</w:t>
      </w:r>
      <w:r>
        <w:t xml:space="preserve"> Hydrogen Energy</w:t>
      </w:r>
      <w:r w:rsidR="00BB130D">
        <w:t>,</w:t>
      </w:r>
      <w:r>
        <w:t xml:space="preserve"> 42</w:t>
      </w:r>
      <w:r w:rsidR="00BB130D">
        <w:t>,</w:t>
      </w:r>
      <w:r>
        <w:t xml:space="preserve"> 12262–12275</w:t>
      </w:r>
      <w:r w:rsidR="003255B4">
        <w:t>.</w:t>
      </w:r>
    </w:p>
    <w:p w14:paraId="40BB0828" w14:textId="72FF9F49" w:rsidR="007554B6" w:rsidRDefault="007554B6" w:rsidP="00B66D83">
      <w:pPr>
        <w:pStyle w:val="CETReferencetext"/>
      </w:pPr>
      <w:r w:rsidRPr="007554B6">
        <w:t xml:space="preserve">Di Lauro F., Tregambi C., Montagnaro F., Salatino P., </w:t>
      </w:r>
      <w:proofErr w:type="spellStart"/>
      <w:r w:rsidRPr="007554B6">
        <w:t>Chirone</w:t>
      </w:r>
      <w:proofErr w:type="spellEnd"/>
      <w:r w:rsidRPr="007554B6">
        <w:t xml:space="preserve"> R., Solimene R., 2021, Improving the performance of calcium looping for solar thermochemical energy storage and CO</w:t>
      </w:r>
      <w:r w:rsidRPr="007554B6">
        <w:rPr>
          <w:vertAlign w:val="subscript"/>
        </w:rPr>
        <w:t>2</w:t>
      </w:r>
      <w:r w:rsidRPr="007554B6">
        <w:t xml:space="preserve"> capture, Fuel</w:t>
      </w:r>
      <w:r>
        <w:t xml:space="preserve">, </w:t>
      </w:r>
      <w:r w:rsidRPr="007554B6">
        <w:t>298</w:t>
      </w:r>
      <w:r>
        <w:t xml:space="preserve">, </w:t>
      </w:r>
      <w:r w:rsidRPr="007554B6">
        <w:t>120791</w:t>
      </w:r>
      <w:r w:rsidR="003255B4">
        <w:t>.</w:t>
      </w:r>
    </w:p>
    <w:p w14:paraId="773EECFA" w14:textId="538EABA1" w:rsidR="000E5F2F" w:rsidRDefault="00164C44" w:rsidP="000E5F2F">
      <w:pPr>
        <w:pStyle w:val="CETReferencetext"/>
      </w:pPr>
      <w:proofErr w:type="spellStart"/>
      <w:r>
        <w:t>Gigantino</w:t>
      </w:r>
      <w:proofErr w:type="spellEnd"/>
      <w:r>
        <w:t xml:space="preserve"> M., </w:t>
      </w:r>
      <w:proofErr w:type="spellStart"/>
      <w:r>
        <w:t>Brunser</w:t>
      </w:r>
      <w:proofErr w:type="spellEnd"/>
      <w:r>
        <w:t xml:space="preserve"> S.S., Steinfeld A., 2020, High-Temperature Thermochemical Heat Storage via the </w:t>
      </w:r>
      <w:proofErr w:type="spellStart"/>
      <w:r>
        <w:t>CuO</w:t>
      </w:r>
      <w:proofErr w:type="spellEnd"/>
      <w:r>
        <w:t>/Cu</w:t>
      </w:r>
      <w:r w:rsidRPr="00164C44">
        <w:rPr>
          <w:vertAlign w:val="subscript"/>
        </w:rPr>
        <w:t>2</w:t>
      </w:r>
      <w:r>
        <w:t xml:space="preserve">O Redox Cycle: From Material Synthesis to Packed-Bed Reactor Engineering and Cyclic Operation, Energy </w:t>
      </w:r>
      <w:r w:rsidR="000E5F2F">
        <w:t xml:space="preserve">&amp; </w:t>
      </w:r>
      <w:r>
        <w:t xml:space="preserve">Fuels, 34, </w:t>
      </w:r>
      <w:r w:rsidRPr="00164C44">
        <w:t>16772−16782</w:t>
      </w:r>
      <w:r w:rsidR="003255B4">
        <w:t>.</w:t>
      </w:r>
    </w:p>
    <w:p w14:paraId="48F12051" w14:textId="235B1FEC" w:rsidR="004735CD" w:rsidRPr="00757661" w:rsidRDefault="004735CD" w:rsidP="004735CD">
      <w:pPr>
        <w:pStyle w:val="CETReferencetext"/>
      </w:pPr>
      <w:proofErr w:type="spellStart"/>
      <w:r w:rsidRPr="006A1C67">
        <w:t>Hedayati</w:t>
      </w:r>
      <w:proofErr w:type="spellEnd"/>
      <w:r w:rsidRPr="006A1C67">
        <w:t xml:space="preserve"> A., Azad A.M., </w:t>
      </w:r>
      <w:proofErr w:type="spellStart"/>
      <w:r w:rsidRPr="006A1C67">
        <w:t>Rydén</w:t>
      </w:r>
      <w:proofErr w:type="spellEnd"/>
      <w:r w:rsidRPr="006A1C67">
        <w:t xml:space="preserve"> M., </w:t>
      </w:r>
      <w:proofErr w:type="spellStart"/>
      <w:r w:rsidRPr="006A1C67">
        <w:t>Leion</w:t>
      </w:r>
      <w:proofErr w:type="spellEnd"/>
      <w:r w:rsidRPr="006A1C67">
        <w:t xml:space="preserve"> H., </w:t>
      </w:r>
      <w:proofErr w:type="spellStart"/>
      <w:r w:rsidRPr="006A1C67">
        <w:t>Mattisson</w:t>
      </w:r>
      <w:proofErr w:type="spellEnd"/>
      <w:r w:rsidRPr="006A1C67">
        <w:t xml:space="preserve"> T., 2012, Evaluation of Novel Ceria-Supported Metal Oxides </w:t>
      </w:r>
      <w:proofErr w:type="gramStart"/>
      <w:r w:rsidRPr="006A1C67">
        <w:t>As</w:t>
      </w:r>
      <w:proofErr w:type="gramEnd"/>
      <w:r w:rsidRPr="006A1C67">
        <w:t xml:space="preserve"> Oxygen Carriers for Chemical-Looping Combustion, Industrial &amp; Engineering Chemistry </w:t>
      </w:r>
      <w:r w:rsidRPr="00757661">
        <w:t>Research, 51, 12796−12806</w:t>
      </w:r>
      <w:r w:rsidR="003255B4" w:rsidRPr="00757661">
        <w:t>.</w:t>
      </w:r>
    </w:p>
    <w:p w14:paraId="727226CB" w14:textId="63AAB280" w:rsidR="00B86AB6" w:rsidRPr="00757661" w:rsidRDefault="00B86AB6" w:rsidP="00B86AB6">
      <w:pPr>
        <w:pStyle w:val="CETReferencetext"/>
      </w:pPr>
      <w:r w:rsidRPr="00757661">
        <w:t xml:space="preserve">Imtiaz Q., </w:t>
      </w:r>
      <w:proofErr w:type="spellStart"/>
      <w:r w:rsidRPr="00757661">
        <w:t>Kurlov</w:t>
      </w:r>
      <w:proofErr w:type="spellEnd"/>
      <w:r w:rsidRPr="00757661">
        <w:t xml:space="preserve"> A., Rupp J.L.M., Müller C.R., 2015, Highly Efficient Oxygen-Storage Material with Intrinsic Coke Resistance for Chemical Looping Combustion-Based CO</w:t>
      </w:r>
      <w:r w:rsidRPr="00757661">
        <w:rPr>
          <w:vertAlign w:val="subscript"/>
        </w:rPr>
        <w:t>2</w:t>
      </w:r>
      <w:r w:rsidRPr="00757661">
        <w:t xml:space="preserve"> Capture, </w:t>
      </w:r>
      <w:proofErr w:type="spellStart"/>
      <w:r w:rsidRPr="00757661">
        <w:t>ChemSusChem</w:t>
      </w:r>
      <w:proofErr w:type="spellEnd"/>
      <w:r w:rsidRPr="00757661">
        <w:t>, 8, 2055–2065</w:t>
      </w:r>
      <w:r w:rsidR="003255B4" w:rsidRPr="00757661">
        <w:t>.</w:t>
      </w:r>
    </w:p>
    <w:p w14:paraId="55BAB4AF" w14:textId="2E97EF96" w:rsidR="00B86AB6" w:rsidRPr="00757661" w:rsidRDefault="00B86AB6" w:rsidP="00B86AB6">
      <w:pPr>
        <w:pStyle w:val="CETReferencetext"/>
      </w:pPr>
      <w:r w:rsidRPr="00757661">
        <w:t xml:space="preserve">Imtiaz Q., </w:t>
      </w:r>
      <w:proofErr w:type="spellStart"/>
      <w:r w:rsidRPr="00757661">
        <w:t>Armutlulu</w:t>
      </w:r>
      <w:proofErr w:type="spellEnd"/>
      <w:r w:rsidRPr="00757661">
        <w:t xml:space="preserve"> A., </w:t>
      </w:r>
      <w:proofErr w:type="spellStart"/>
      <w:r w:rsidRPr="00757661">
        <w:t>Donat</w:t>
      </w:r>
      <w:proofErr w:type="spellEnd"/>
      <w:r w:rsidRPr="00757661">
        <w:t xml:space="preserve"> F., Naeem M.A., Müller C.R., 2021, Preventing Agglomeration of </w:t>
      </w:r>
      <w:proofErr w:type="spellStart"/>
      <w:r w:rsidRPr="00757661">
        <w:t>CuO</w:t>
      </w:r>
      <w:proofErr w:type="spellEnd"/>
      <w:r w:rsidRPr="00757661">
        <w:t>-Based Oxygen Carriers for Chemical Looping Applications, ACS Sustain</w:t>
      </w:r>
      <w:r w:rsidR="0049718C" w:rsidRPr="00757661">
        <w:t xml:space="preserve">able </w:t>
      </w:r>
      <w:r w:rsidRPr="00757661">
        <w:t>Chem</w:t>
      </w:r>
      <w:r w:rsidR="0049718C" w:rsidRPr="00757661">
        <w:t xml:space="preserve">istry </w:t>
      </w:r>
      <w:r w:rsidRPr="00757661">
        <w:t>Eng</w:t>
      </w:r>
      <w:r w:rsidR="0049718C" w:rsidRPr="00757661">
        <w:t>ineering</w:t>
      </w:r>
      <w:r w:rsidRPr="00757661">
        <w:t>, 9, 5972–5980</w:t>
      </w:r>
      <w:r w:rsidR="003255B4" w:rsidRPr="00757661">
        <w:t>.</w:t>
      </w:r>
    </w:p>
    <w:p w14:paraId="15CF0AA3" w14:textId="01C8976E" w:rsidR="002A2CDC" w:rsidRPr="00757661" w:rsidRDefault="002A2CDC" w:rsidP="00B86AB6">
      <w:pPr>
        <w:pStyle w:val="CETReferencetext"/>
      </w:pPr>
      <w:proofErr w:type="spellStart"/>
      <w:r w:rsidRPr="00757661">
        <w:t>Karasavvas</w:t>
      </w:r>
      <w:proofErr w:type="spellEnd"/>
      <w:r w:rsidRPr="00757661">
        <w:t xml:space="preserve"> E., </w:t>
      </w:r>
      <w:proofErr w:type="spellStart"/>
      <w:r w:rsidRPr="00757661">
        <w:t>Panopoulos</w:t>
      </w:r>
      <w:proofErr w:type="spellEnd"/>
      <w:r w:rsidRPr="00757661">
        <w:t xml:space="preserve"> K.D., </w:t>
      </w:r>
      <w:proofErr w:type="spellStart"/>
      <w:r w:rsidRPr="00757661">
        <w:t>Papadopoulou</w:t>
      </w:r>
      <w:proofErr w:type="spellEnd"/>
      <w:r w:rsidRPr="00757661">
        <w:t xml:space="preserve"> S., </w:t>
      </w:r>
      <w:proofErr w:type="spellStart"/>
      <w:r w:rsidRPr="00757661">
        <w:t>Voutetakis</w:t>
      </w:r>
      <w:proofErr w:type="spellEnd"/>
      <w:r w:rsidRPr="00757661">
        <w:t xml:space="preserve"> S., 2018, Design of an Integrated CSP-Calcium Looping for Uninterrupted Power Production Through Energy Storage, Chemical Engineering Transactions, 70, 2131–2136.</w:t>
      </w:r>
    </w:p>
    <w:p w14:paraId="64323FCE" w14:textId="2535EC29" w:rsidR="005A239D" w:rsidRPr="00757661" w:rsidRDefault="005A239D" w:rsidP="005A239D">
      <w:pPr>
        <w:pStyle w:val="CETReferencetext"/>
      </w:pPr>
      <w:proofErr w:type="spellStart"/>
      <w:r w:rsidRPr="00757661">
        <w:t>Padula</w:t>
      </w:r>
      <w:proofErr w:type="spellEnd"/>
      <w:r w:rsidRPr="00757661">
        <w:t xml:space="preserve"> S., Tregambi C., Troiano M., Di Benedetto A., Salatino P., </w:t>
      </w:r>
      <w:proofErr w:type="spellStart"/>
      <w:r w:rsidRPr="00757661">
        <w:t>Landi</w:t>
      </w:r>
      <w:proofErr w:type="spellEnd"/>
      <w:r w:rsidRPr="00757661">
        <w:t xml:space="preserve"> G., Solimene R., 2022, Chemical Looping Reforming with Perovskite-Based Catalysts for Thermochemical Energy Storage, Energies, 15, 8556</w:t>
      </w:r>
      <w:r w:rsidR="003255B4" w:rsidRPr="00757661">
        <w:t>.</w:t>
      </w:r>
    </w:p>
    <w:p w14:paraId="48F1ADA3" w14:textId="20B1B09F" w:rsidR="004735CD" w:rsidRPr="00757661" w:rsidRDefault="004735CD" w:rsidP="005A239D">
      <w:pPr>
        <w:pStyle w:val="CETReferencetext"/>
      </w:pPr>
      <w:r w:rsidRPr="00757661">
        <w:t xml:space="preserve">Popescu I., </w:t>
      </w:r>
      <w:proofErr w:type="spellStart"/>
      <w:r w:rsidRPr="00757661">
        <w:t>Piumetti</w:t>
      </w:r>
      <w:proofErr w:type="spellEnd"/>
      <w:r w:rsidRPr="00757661">
        <w:t xml:space="preserve"> M., </w:t>
      </w:r>
      <w:proofErr w:type="spellStart"/>
      <w:r w:rsidRPr="00757661">
        <w:t>Bensaid</w:t>
      </w:r>
      <w:proofErr w:type="spellEnd"/>
      <w:r w:rsidRPr="00757661">
        <w:t xml:space="preserve"> S., </w:t>
      </w:r>
      <w:proofErr w:type="spellStart"/>
      <w:r w:rsidRPr="00757661">
        <w:t>Marcu</w:t>
      </w:r>
      <w:proofErr w:type="spellEnd"/>
      <w:r w:rsidRPr="00757661">
        <w:t xml:space="preserve"> I.C., 2017, Study of Ce–Cu mixed oxide catalysts by in situ electrical conductivity measurements, Phys</w:t>
      </w:r>
      <w:r w:rsidR="00471D41" w:rsidRPr="00757661">
        <w:t xml:space="preserve">ical </w:t>
      </w:r>
      <w:r w:rsidRPr="00757661">
        <w:t>Chem</w:t>
      </w:r>
      <w:r w:rsidR="00471D41" w:rsidRPr="00757661">
        <w:t xml:space="preserve">istry </w:t>
      </w:r>
      <w:r w:rsidRPr="00757661">
        <w:t>Chem</w:t>
      </w:r>
      <w:r w:rsidR="00471D41" w:rsidRPr="00757661">
        <w:t xml:space="preserve">ical </w:t>
      </w:r>
      <w:r w:rsidRPr="00757661">
        <w:t>Phys</w:t>
      </w:r>
      <w:r w:rsidR="00471D41" w:rsidRPr="00757661">
        <w:t>ics</w:t>
      </w:r>
      <w:r w:rsidRPr="00757661">
        <w:t>, 19, 31929–31939</w:t>
      </w:r>
      <w:r w:rsidR="003255B4" w:rsidRPr="00757661">
        <w:t>.</w:t>
      </w:r>
    </w:p>
    <w:p w14:paraId="2B0C92D4" w14:textId="7BF92FB1" w:rsidR="00463ACD" w:rsidRPr="00757661" w:rsidRDefault="001F7DA8" w:rsidP="005A239D">
      <w:pPr>
        <w:pStyle w:val="CETReferencetext"/>
      </w:pPr>
      <w:proofErr w:type="spellStart"/>
      <w:r w:rsidRPr="00757661">
        <w:t>Portarapillo</w:t>
      </w:r>
      <w:proofErr w:type="spellEnd"/>
      <w:r w:rsidRPr="00757661">
        <w:t xml:space="preserve"> M., </w:t>
      </w:r>
      <w:proofErr w:type="spellStart"/>
      <w:r w:rsidRPr="00757661">
        <w:t>Aronne</w:t>
      </w:r>
      <w:proofErr w:type="spellEnd"/>
      <w:r w:rsidRPr="00757661">
        <w:t xml:space="preserve"> A., Di Benedetto A., </w:t>
      </w:r>
      <w:proofErr w:type="spellStart"/>
      <w:r w:rsidRPr="00757661">
        <w:t>Imparato</w:t>
      </w:r>
      <w:proofErr w:type="spellEnd"/>
      <w:r w:rsidRPr="00757661">
        <w:t xml:space="preserve"> C., </w:t>
      </w:r>
      <w:proofErr w:type="spellStart"/>
      <w:r w:rsidRPr="00757661">
        <w:t>Landi</w:t>
      </w:r>
      <w:proofErr w:type="spellEnd"/>
      <w:r w:rsidRPr="00757661">
        <w:t xml:space="preserve"> G., </w:t>
      </w:r>
      <w:proofErr w:type="spellStart"/>
      <w:r w:rsidRPr="00757661">
        <w:t>Luciani</w:t>
      </w:r>
      <w:proofErr w:type="spellEnd"/>
      <w:r w:rsidRPr="00757661">
        <w:t xml:space="preserve"> G., 2019, Syngas production through H</w:t>
      </w:r>
      <w:r w:rsidRPr="00757661">
        <w:rPr>
          <w:vertAlign w:val="subscript"/>
        </w:rPr>
        <w:t>2</w:t>
      </w:r>
      <w:r w:rsidRPr="00757661">
        <w:t>O/CO</w:t>
      </w:r>
      <w:r w:rsidRPr="00757661">
        <w:rPr>
          <w:vertAlign w:val="subscript"/>
        </w:rPr>
        <w:t>2</w:t>
      </w:r>
      <w:r w:rsidRPr="00757661">
        <w:t xml:space="preserve"> Thermochemical Splitting, Chemical Engineering Transactions, 74, 43–48.</w:t>
      </w:r>
    </w:p>
    <w:p w14:paraId="5B6AD7DB" w14:textId="77777777" w:rsidR="001F7DA8" w:rsidRDefault="001F7DA8" w:rsidP="001F7DA8">
      <w:pPr>
        <w:pStyle w:val="CETReferencetext"/>
      </w:pPr>
      <w:proofErr w:type="spellStart"/>
      <w:r w:rsidRPr="00757661">
        <w:t>Portarapillo</w:t>
      </w:r>
      <w:proofErr w:type="spellEnd"/>
      <w:r w:rsidRPr="00757661">
        <w:t xml:space="preserve"> M., </w:t>
      </w:r>
      <w:proofErr w:type="spellStart"/>
      <w:r w:rsidRPr="00757661">
        <w:t>Landi</w:t>
      </w:r>
      <w:proofErr w:type="spellEnd"/>
      <w:r w:rsidRPr="00757661">
        <w:t xml:space="preserve"> G., </w:t>
      </w:r>
      <w:proofErr w:type="spellStart"/>
      <w:r w:rsidRPr="00757661">
        <w:t>Luciani</w:t>
      </w:r>
      <w:proofErr w:type="spellEnd"/>
      <w:r w:rsidRPr="00757661">
        <w:t xml:space="preserve"> G., </w:t>
      </w:r>
      <w:proofErr w:type="spellStart"/>
      <w:r w:rsidRPr="00757661">
        <w:t>Imparato</w:t>
      </w:r>
      <w:proofErr w:type="spellEnd"/>
      <w:r w:rsidRPr="00757661">
        <w:t xml:space="preserve"> C., </w:t>
      </w:r>
      <w:proofErr w:type="spellStart"/>
      <w:r w:rsidRPr="00757661">
        <w:t>Vitiello</w:t>
      </w:r>
      <w:proofErr w:type="spellEnd"/>
      <w:r w:rsidRPr="00757661">
        <w:t xml:space="preserve"> G., </w:t>
      </w:r>
      <w:proofErr w:type="spellStart"/>
      <w:r w:rsidRPr="00757661">
        <w:t>Deorsola</w:t>
      </w:r>
      <w:proofErr w:type="spellEnd"/>
      <w:r w:rsidRPr="00757661">
        <w:t xml:space="preserve"> F.A., </w:t>
      </w:r>
      <w:proofErr w:type="spellStart"/>
      <w:r w:rsidRPr="00757661">
        <w:t>Aronne</w:t>
      </w:r>
      <w:proofErr w:type="spellEnd"/>
      <w:r w:rsidRPr="00757661">
        <w:t xml:space="preserve"> A., Di Benedetto A., 2022, Redox </w:t>
      </w:r>
      <w:proofErr w:type="spellStart"/>
      <w:r w:rsidRPr="00757661">
        <w:t>behavior</w:t>
      </w:r>
      <w:proofErr w:type="spellEnd"/>
      <w:r w:rsidRPr="00757661">
        <w:t xml:space="preserve"> of potassium doped and transition metal co-doped Ce</w:t>
      </w:r>
      <w:r w:rsidRPr="00757661">
        <w:rPr>
          <w:vertAlign w:val="subscript"/>
        </w:rPr>
        <w:t>0.75</w:t>
      </w:r>
      <w:r w:rsidRPr="00757661">
        <w:t>Zr</w:t>
      </w:r>
      <w:r w:rsidRPr="00757661">
        <w:rPr>
          <w:vertAlign w:val="subscript"/>
        </w:rPr>
        <w:t>0.25</w:t>
      </w:r>
      <w:r w:rsidRPr="00757661">
        <w:t>O</w:t>
      </w:r>
      <w:r w:rsidRPr="00757661">
        <w:rPr>
          <w:vertAlign w:val="subscript"/>
        </w:rPr>
        <w:t>2</w:t>
      </w:r>
      <w:r w:rsidRPr="00757661">
        <w:t xml:space="preserve"> for thermochemical H</w:t>
      </w:r>
      <w:r w:rsidRPr="00757661">
        <w:rPr>
          <w:vertAlign w:val="subscript"/>
        </w:rPr>
        <w:t>2</w:t>
      </w:r>
      <w:r w:rsidRPr="00757661">
        <w:t>O/CO</w:t>
      </w:r>
      <w:r w:rsidRPr="00757661">
        <w:rPr>
          <w:vertAlign w:val="subscript"/>
        </w:rPr>
        <w:t>2</w:t>
      </w:r>
      <w:r w:rsidRPr="00757661">
        <w:t xml:space="preserve"> splitting,</w:t>
      </w:r>
      <w:r>
        <w:t xml:space="preserve"> RSC Advances, 12, 14645–14654.</w:t>
      </w:r>
    </w:p>
    <w:p w14:paraId="6D8D5348" w14:textId="1C7975D3" w:rsidR="006A1C67" w:rsidRDefault="006A1C67" w:rsidP="005A239D">
      <w:pPr>
        <w:pStyle w:val="CETReferencetext"/>
      </w:pPr>
      <w:proofErr w:type="spellStart"/>
      <w:r w:rsidRPr="006A1C67">
        <w:t>Rydén</w:t>
      </w:r>
      <w:proofErr w:type="spellEnd"/>
      <w:r w:rsidRPr="006A1C67">
        <w:t xml:space="preserve"> M., Jing D., </w:t>
      </w:r>
      <w:proofErr w:type="spellStart"/>
      <w:r w:rsidRPr="006A1C67">
        <w:t>Källén</w:t>
      </w:r>
      <w:proofErr w:type="spellEnd"/>
      <w:r w:rsidRPr="006A1C67">
        <w:t xml:space="preserve"> M., </w:t>
      </w:r>
      <w:proofErr w:type="spellStart"/>
      <w:r w:rsidRPr="006A1C67">
        <w:t>Leion</w:t>
      </w:r>
      <w:proofErr w:type="spellEnd"/>
      <w:r w:rsidRPr="006A1C67">
        <w:t xml:space="preserve"> H., </w:t>
      </w:r>
      <w:proofErr w:type="spellStart"/>
      <w:r w:rsidRPr="006A1C67">
        <w:t>Lyngfelt</w:t>
      </w:r>
      <w:proofErr w:type="spellEnd"/>
      <w:r w:rsidRPr="006A1C67">
        <w:t xml:space="preserve"> A., </w:t>
      </w:r>
      <w:proofErr w:type="spellStart"/>
      <w:r w:rsidRPr="006A1C67">
        <w:t>Mattisson</w:t>
      </w:r>
      <w:proofErr w:type="spellEnd"/>
      <w:r w:rsidRPr="006A1C67">
        <w:t xml:space="preserve"> T., 2014, </w:t>
      </w:r>
      <w:proofErr w:type="spellStart"/>
      <w:r w:rsidRPr="006A1C67">
        <w:t>CuO</w:t>
      </w:r>
      <w:proofErr w:type="spellEnd"/>
      <w:r w:rsidRPr="006A1C67">
        <w:t xml:space="preserve">-Based Oxygen-Carrier Particles for Chemical-Looping with Oxygen Uncoupling − Experiments in Batch Reactor and in Continuous Operation, </w:t>
      </w:r>
      <w:r w:rsidR="004A6CE4">
        <w:t xml:space="preserve">Industrial &amp; Engineering Chemistry Research, </w:t>
      </w:r>
      <w:r w:rsidRPr="006A1C67">
        <w:t>5</w:t>
      </w:r>
      <w:r w:rsidR="004A6CE4">
        <w:t>3</w:t>
      </w:r>
      <w:r w:rsidRPr="006A1C67">
        <w:t>, 6255</w:t>
      </w:r>
      <w:r w:rsidR="00471D41">
        <w:t>–</w:t>
      </w:r>
      <w:r w:rsidRPr="006A1C67">
        <w:t>6267</w:t>
      </w:r>
      <w:r w:rsidR="003255B4">
        <w:t>.</w:t>
      </w:r>
    </w:p>
    <w:p w14:paraId="33AB26AC" w14:textId="7626E578" w:rsidR="0033476C" w:rsidRDefault="0033476C" w:rsidP="0033476C">
      <w:pPr>
        <w:pStyle w:val="CETReferencetext"/>
      </w:pPr>
      <w:proofErr w:type="spellStart"/>
      <w:r>
        <w:t>Szabová</w:t>
      </w:r>
      <w:proofErr w:type="spellEnd"/>
      <w:r w:rsidRPr="006D0577">
        <w:t xml:space="preserve"> </w:t>
      </w:r>
      <w:r>
        <w:t xml:space="preserve">L., </w:t>
      </w:r>
      <w:proofErr w:type="spellStart"/>
      <w:r>
        <w:t>Skála</w:t>
      </w:r>
      <w:proofErr w:type="spellEnd"/>
      <w:r w:rsidRPr="006D0577">
        <w:t xml:space="preserve"> </w:t>
      </w:r>
      <w:r>
        <w:t xml:space="preserve">T., </w:t>
      </w:r>
      <w:proofErr w:type="spellStart"/>
      <w:r>
        <w:t>Matolínová</w:t>
      </w:r>
      <w:proofErr w:type="spellEnd"/>
      <w:r w:rsidRPr="006D0577">
        <w:t xml:space="preserve"> </w:t>
      </w:r>
      <w:r>
        <w:t xml:space="preserve">I., </w:t>
      </w:r>
      <w:proofErr w:type="spellStart"/>
      <w:r>
        <w:t>Fabris</w:t>
      </w:r>
      <w:proofErr w:type="spellEnd"/>
      <w:r w:rsidRPr="006D0577">
        <w:t xml:space="preserve"> </w:t>
      </w:r>
      <w:r>
        <w:t xml:space="preserve">S., </w:t>
      </w:r>
      <w:proofErr w:type="spellStart"/>
      <w:r>
        <w:t>Farnesi</w:t>
      </w:r>
      <w:proofErr w:type="spellEnd"/>
      <w:r>
        <w:t xml:space="preserve"> </w:t>
      </w:r>
      <w:proofErr w:type="spellStart"/>
      <w:r>
        <w:t>Camellone</w:t>
      </w:r>
      <w:proofErr w:type="spellEnd"/>
      <w:r w:rsidRPr="00B86AB6">
        <w:t xml:space="preserve"> </w:t>
      </w:r>
      <w:r>
        <w:t xml:space="preserve">M., </w:t>
      </w:r>
      <w:proofErr w:type="spellStart"/>
      <w:r>
        <w:t>Matolín</w:t>
      </w:r>
      <w:proofErr w:type="spellEnd"/>
      <w:r w:rsidRPr="00B86AB6">
        <w:t xml:space="preserve"> </w:t>
      </w:r>
      <w:r>
        <w:t>V., 2013, Copper-ceria interaction: A combined photoemission and DFT study, Appl</w:t>
      </w:r>
      <w:r w:rsidR="001C41D3">
        <w:t>ied</w:t>
      </w:r>
      <w:r>
        <w:t xml:space="preserve"> Surf</w:t>
      </w:r>
      <w:r w:rsidR="001C41D3">
        <w:t>ace</w:t>
      </w:r>
      <w:r>
        <w:t xml:space="preserve"> Sci</w:t>
      </w:r>
      <w:r w:rsidR="001C41D3">
        <w:t>ence</w:t>
      </w:r>
      <w:r>
        <w:t>, 267, 12–16</w:t>
      </w:r>
      <w:r w:rsidR="003255B4">
        <w:t>.</w:t>
      </w:r>
    </w:p>
    <w:p w14:paraId="0A05DC3F" w14:textId="7B47FA57" w:rsidR="00B66D83" w:rsidRDefault="00B66D83" w:rsidP="00B66D83">
      <w:pPr>
        <w:pStyle w:val="CETReferencetext"/>
      </w:pPr>
      <w:r w:rsidRPr="00BE0004">
        <w:t>Tregambi C</w:t>
      </w:r>
      <w:r>
        <w:t>.</w:t>
      </w:r>
      <w:r w:rsidRPr="00BE0004">
        <w:t xml:space="preserve">, </w:t>
      </w:r>
      <w:proofErr w:type="spellStart"/>
      <w:r w:rsidRPr="00BE0004">
        <w:t>Bareschino</w:t>
      </w:r>
      <w:proofErr w:type="spellEnd"/>
      <w:r w:rsidRPr="00BE0004">
        <w:t xml:space="preserve"> P</w:t>
      </w:r>
      <w:r>
        <w:t>.</w:t>
      </w:r>
      <w:r w:rsidRPr="00BE0004">
        <w:t xml:space="preserve">, </w:t>
      </w:r>
      <w:proofErr w:type="spellStart"/>
      <w:r w:rsidRPr="00BE0004">
        <w:t>Hanak</w:t>
      </w:r>
      <w:proofErr w:type="spellEnd"/>
      <w:r w:rsidRPr="00BE0004">
        <w:t xml:space="preserve"> D</w:t>
      </w:r>
      <w:r>
        <w:t>.</w:t>
      </w:r>
      <w:r w:rsidRPr="00BE0004">
        <w:t>, Montagnaro F</w:t>
      </w:r>
      <w:r>
        <w:t>.</w:t>
      </w:r>
      <w:r w:rsidRPr="00BE0004">
        <w:t>, Pepe F</w:t>
      </w:r>
      <w:r>
        <w:t>.</w:t>
      </w:r>
      <w:r w:rsidRPr="00BE0004">
        <w:t xml:space="preserve">, </w:t>
      </w:r>
      <w:proofErr w:type="spellStart"/>
      <w:r w:rsidRPr="00BE0004">
        <w:t>Mancusi</w:t>
      </w:r>
      <w:proofErr w:type="spellEnd"/>
      <w:r w:rsidRPr="00BE0004">
        <w:t xml:space="preserve"> E.</w:t>
      </w:r>
      <w:r>
        <w:t xml:space="preserve">, 2022, </w:t>
      </w:r>
      <w:r w:rsidRPr="00BE0004">
        <w:t>Modelling of an integrated process for atmospheric carbon dioxide capture and methanation</w:t>
      </w:r>
      <w:r w:rsidR="003255B4">
        <w:t>,</w:t>
      </w:r>
      <w:r w:rsidRPr="00BE0004">
        <w:t xml:space="preserve"> J</w:t>
      </w:r>
      <w:r>
        <w:t>ournal of</w:t>
      </w:r>
      <w:r w:rsidRPr="00BE0004">
        <w:t xml:space="preserve"> Clean</w:t>
      </w:r>
      <w:r>
        <w:t>er</w:t>
      </w:r>
      <w:r w:rsidRPr="00BE0004">
        <w:t xml:space="preserve"> Prod</w:t>
      </w:r>
      <w:r>
        <w:t xml:space="preserve">uction, </w:t>
      </w:r>
      <w:r w:rsidRPr="00BE0004">
        <w:t>356</w:t>
      </w:r>
      <w:r>
        <w:t xml:space="preserve">, </w:t>
      </w:r>
      <w:r w:rsidRPr="00BE0004">
        <w:t>131827</w:t>
      </w:r>
      <w:r w:rsidR="003255B4">
        <w:t>.</w:t>
      </w:r>
    </w:p>
    <w:p w14:paraId="7AFBFA82" w14:textId="135BCC13" w:rsidR="007554B6" w:rsidRDefault="007554B6" w:rsidP="007554B6">
      <w:pPr>
        <w:pStyle w:val="CETReferencetext"/>
      </w:pPr>
      <w:r>
        <w:t xml:space="preserve">Tregambi C., </w:t>
      </w:r>
      <w:proofErr w:type="spellStart"/>
      <w:r>
        <w:t>Bareschino</w:t>
      </w:r>
      <w:proofErr w:type="spellEnd"/>
      <w:r>
        <w:t xml:space="preserve"> P., </w:t>
      </w:r>
      <w:proofErr w:type="spellStart"/>
      <w:r>
        <w:t>Mancusi</w:t>
      </w:r>
      <w:proofErr w:type="spellEnd"/>
      <w:r>
        <w:t xml:space="preserve"> E., Pepe F., Montagnaro F., Solimene R., Salatino P., 2021, Modelling of a concentrated solar power – photovoltaics hybrid plant for carbon dioxide capture and utilization via calcium looping and methanation, Energy Conversion and Management, 230, 113792</w:t>
      </w:r>
      <w:r w:rsidR="003255B4">
        <w:t>.</w:t>
      </w:r>
    </w:p>
    <w:p w14:paraId="42EA3096" w14:textId="43B0C11B" w:rsidR="00B66D83" w:rsidRDefault="00B66D83" w:rsidP="00B66D83">
      <w:pPr>
        <w:pStyle w:val="CETReferencetext"/>
      </w:pPr>
      <w:r w:rsidRPr="000E5F2F">
        <w:t xml:space="preserve">Xiang D., Gu C., Xu H., Deng J., Zhu P., Xiao G., </w:t>
      </w:r>
      <w:r>
        <w:t xml:space="preserve">2021, </w:t>
      </w:r>
      <w:r w:rsidRPr="000E5F2F">
        <w:t xml:space="preserve">Al-Modified </w:t>
      </w:r>
      <w:proofErr w:type="spellStart"/>
      <w:r w:rsidRPr="000E5F2F">
        <w:t>CuO</w:t>
      </w:r>
      <w:proofErr w:type="spellEnd"/>
      <w:r w:rsidRPr="000E5F2F">
        <w:t>/Cu2O for High-Temperature Thermochemical</w:t>
      </w:r>
      <w:r>
        <w:t xml:space="preserve"> </w:t>
      </w:r>
      <w:r w:rsidRPr="000E5F2F">
        <w:t>Energy Storage: from Reaction Performance to Modification Mechanism</w:t>
      </w:r>
      <w:r>
        <w:t xml:space="preserve">, ACS </w:t>
      </w:r>
      <w:r w:rsidRPr="000E5F2F">
        <w:t>Appl</w:t>
      </w:r>
      <w:r>
        <w:t xml:space="preserve">ied </w:t>
      </w:r>
      <w:r w:rsidRPr="000E5F2F">
        <w:t>Mater</w:t>
      </w:r>
      <w:r>
        <w:t xml:space="preserve">ial &amp; </w:t>
      </w:r>
      <w:r w:rsidRPr="000E5F2F">
        <w:t>Interfaces</w:t>
      </w:r>
      <w:r>
        <w:t xml:space="preserve">, 13, </w:t>
      </w:r>
      <w:r w:rsidRPr="000E5F2F">
        <w:t>57274−57284</w:t>
      </w:r>
      <w:r w:rsidR="003255B4">
        <w:t>.</w:t>
      </w:r>
    </w:p>
    <w:p w14:paraId="24E83995" w14:textId="6EECF83B" w:rsidR="009021FE" w:rsidRDefault="009021FE" w:rsidP="00B66D83">
      <w:pPr>
        <w:pStyle w:val="CETReferencetext"/>
      </w:pPr>
      <w:r w:rsidRPr="009021FE">
        <w:t xml:space="preserve">Yilmaz D., Darwish E., </w:t>
      </w:r>
      <w:proofErr w:type="spellStart"/>
      <w:r w:rsidRPr="009021FE">
        <w:t>Leion</w:t>
      </w:r>
      <w:proofErr w:type="spellEnd"/>
      <w:r w:rsidRPr="009021FE">
        <w:t xml:space="preserve"> H., 2020, Thermochemical energy storage performance of copper oxides: Effect of support materials, Journal of Energy Storage, 32, 102012</w:t>
      </w:r>
      <w:r w:rsidR="003255B4">
        <w:t>.</w:t>
      </w:r>
    </w:p>
    <w:sectPr w:rsidR="009021F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E002" w14:textId="77777777" w:rsidR="000A396C" w:rsidRDefault="000A396C" w:rsidP="004F5E36">
      <w:r>
        <w:separator/>
      </w:r>
    </w:p>
  </w:endnote>
  <w:endnote w:type="continuationSeparator" w:id="0">
    <w:p w14:paraId="3A1F2482" w14:textId="77777777" w:rsidR="000A396C" w:rsidRDefault="000A396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6544" w14:textId="77777777" w:rsidR="000A396C" w:rsidRDefault="000A396C" w:rsidP="004F5E36">
      <w:r>
        <w:separator/>
      </w:r>
    </w:p>
  </w:footnote>
  <w:footnote w:type="continuationSeparator" w:id="0">
    <w:p w14:paraId="08C62518" w14:textId="77777777" w:rsidR="000A396C" w:rsidRDefault="000A396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482987">
    <w:abstractNumId w:val="10"/>
  </w:num>
  <w:num w:numId="2" w16cid:durableId="868834885">
    <w:abstractNumId w:val="8"/>
  </w:num>
  <w:num w:numId="3" w16cid:durableId="146174487">
    <w:abstractNumId w:val="3"/>
  </w:num>
  <w:num w:numId="4" w16cid:durableId="1737389302">
    <w:abstractNumId w:val="2"/>
  </w:num>
  <w:num w:numId="5" w16cid:durableId="1536850330">
    <w:abstractNumId w:val="1"/>
  </w:num>
  <w:num w:numId="6" w16cid:durableId="1458914189">
    <w:abstractNumId w:val="0"/>
  </w:num>
  <w:num w:numId="7" w16cid:durableId="1474055313">
    <w:abstractNumId w:val="9"/>
  </w:num>
  <w:num w:numId="8" w16cid:durableId="1754625301">
    <w:abstractNumId w:val="7"/>
  </w:num>
  <w:num w:numId="9" w16cid:durableId="1306812077">
    <w:abstractNumId w:val="6"/>
  </w:num>
  <w:num w:numId="10" w16cid:durableId="1960338842">
    <w:abstractNumId w:val="5"/>
  </w:num>
  <w:num w:numId="11" w16cid:durableId="861094180">
    <w:abstractNumId w:val="4"/>
  </w:num>
  <w:num w:numId="12" w16cid:durableId="1409841647">
    <w:abstractNumId w:val="17"/>
  </w:num>
  <w:num w:numId="13" w16cid:durableId="1346445002">
    <w:abstractNumId w:val="12"/>
  </w:num>
  <w:num w:numId="14" w16cid:durableId="1931739560">
    <w:abstractNumId w:val="18"/>
  </w:num>
  <w:num w:numId="15" w16cid:durableId="1028602409">
    <w:abstractNumId w:val="20"/>
  </w:num>
  <w:num w:numId="16" w16cid:durableId="1921329315">
    <w:abstractNumId w:val="19"/>
  </w:num>
  <w:num w:numId="17" w16cid:durableId="764885821">
    <w:abstractNumId w:val="11"/>
  </w:num>
  <w:num w:numId="18" w16cid:durableId="1082220746">
    <w:abstractNumId w:val="12"/>
    <w:lvlOverride w:ilvl="0">
      <w:startOverride w:val="1"/>
    </w:lvlOverride>
  </w:num>
  <w:num w:numId="19" w16cid:durableId="2118677106">
    <w:abstractNumId w:val="16"/>
  </w:num>
  <w:num w:numId="20" w16cid:durableId="1879968931">
    <w:abstractNumId w:val="15"/>
  </w:num>
  <w:num w:numId="21" w16cid:durableId="1387484080">
    <w:abstractNumId w:val="14"/>
  </w:num>
  <w:num w:numId="22" w16cid:durableId="6738438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0665"/>
    <w:rsid w:val="0003148D"/>
    <w:rsid w:val="00031EEC"/>
    <w:rsid w:val="00034B8D"/>
    <w:rsid w:val="00041C90"/>
    <w:rsid w:val="00044CD5"/>
    <w:rsid w:val="00047FED"/>
    <w:rsid w:val="00051566"/>
    <w:rsid w:val="000562A9"/>
    <w:rsid w:val="00056CD7"/>
    <w:rsid w:val="00061B47"/>
    <w:rsid w:val="00062A9A"/>
    <w:rsid w:val="00065058"/>
    <w:rsid w:val="0006603D"/>
    <w:rsid w:val="00070B21"/>
    <w:rsid w:val="00076815"/>
    <w:rsid w:val="00080AFD"/>
    <w:rsid w:val="00082DA0"/>
    <w:rsid w:val="00086C39"/>
    <w:rsid w:val="00094292"/>
    <w:rsid w:val="0009640B"/>
    <w:rsid w:val="0009743D"/>
    <w:rsid w:val="000A03B2"/>
    <w:rsid w:val="000A396C"/>
    <w:rsid w:val="000B097A"/>
    <w:rsid w:val="000C0C37"/>
    <w:rsid w:val="000D0268"/>
    <w:rsid w:val="000D14B2"/>
    <w:rsid w:val="000D34BE"/>
    <w:rsid w:val="000E102F"/>
    <w:rsid w:val="000E36F1"/>
    <w:rsid w:val="000E3A73"/>
    <w:rsid w:val="000E414A"/>
    <w:rsid w:val="000E5F2F"/>
    <w:rsid w:val="000F093C"/>
    <w:rsid w:val="000F6F98"/>
    <w:rsid w:val="000F787B"/>
    <w:rsid w:val="00110523"/>
    <w:rsid w:val="0012091F"/>
    <w:rsid w:val="00126BC2"/>
    <w:rsid w:val="001308B6"/>
    <w:rsid w:val="0013121F"/>
    <w:rsid w:val="00131FE6"/>
    <w:rsid w:val="0013263F"/>
    <w:rsid w:val="001331DF"/>
    <w:rsid w:val="00134DE4"/>
    <w:rsid w:val="00135283"/>
    <w:rsid w:val="0014034D"/>
    <w:rsid w:val="00144D16"/>
    <w:rsid w:val="00145CFE"/>
    <w:rsid w:val="00150E59"/>
    <w:rsid w:val="00152DE3"/>
    <w:rsid w:val="0016009D"/>
    <w:rsid w:val="00161C31"/>
    <w:rsid w:val="001633B3"/>
    <w:rsid w:val="00164C44"/>
    <w:rsid w:val="00164CF9"/>
    <w:rsid w:val="001667A6"/>
    <w:rsid w:val="00170E14"/>
    <w:rsid w:val="00174D9E"/>
    <w:rsid w:val="001805D0"/>
    <w:rsid w:val="00184AD6"/>
    <w:rsid w:val="00194EB1"/>
    <w:rsid w:val="001A1693"/>
    <w:rsid w:val="001A4AF7"/>
    <w:rsid w:val="001B0349"/>
    <w:rsid w:val="001B1E93"/>
    <w:rsid w:val="001B65C1"/>
    <w:rsid w:val="001C41D3"/>
    <w:rsid w:val="001C684B"/>
    <w:rsid w:val="001D0CFB"/>
    <w:rsid w:val="001D21AF"/>
    <w:rsid w:val="001D3106"/>
    <w:rsid w:val="001D3B7D"/>
    <w:rsid w:val="001D53FC"/>
    <w:rsid w:val="001E5E04"/>
    <w:rsid w:val="001E6317"/>
    <w:rsid w:val="001F42A5"/>
    <w:rsid w:val="001F4C30"/>
    <w:rsid w:val="001F7B9D"/>
    <w:rsid w:val="001F7DA8"/>
    <w:rsid w:val="00201C93"/>
    <w:rsid w:val="00213997"/>
    <w:rsid w:val="0021714E"/>
    <w:rsid w:val="00217BBE"/>
    <w:rsid w:val="002224B4"/>
    <w:rsid w:val="00230421"/>
    <w:rsid w:val="002350C8"/>
    <w:rsid w:val="002358FE"/>
    <w:rsid w:val="002447EF"/>
    <w:rsid w:val="00251550"/>
    <w:rsid w:val="00260B70"/>
    <w:rsid w:val="00260CB4"/>
    <w:rsid w:val="00263B05"/>
    <w:rsid w:val="00267970"/>
    <w:rsid w:val="0027221A"/>
    <w:rsid w:val="00275B61"/>
    <w:rsid w:val="00280FAF"/>
    <w:rsid w:val="00282656"/>
    <w:rsid w:val="00285EF0"/>
    <w:rsid w:val="00287DD2"/>
    <w:rsid w:val="00296B83"/>
    <w:rsid w:val="002A2CDC"/>
    <w:rsid w:val="002B0619"/>
    <w:rsid w:val="002B37C5"/>
    <w:rsid w:val="002B4015"/>
    <w:rsid w:val="002B5FC8"/>
    <w:rsid w:val="002B78CE"/>
    <w:rsid w:val="002C2FB6"/>
    <w:rsid w:val="002D2D1C"/>
    <w:rsid w:val="002E4A9F"/>
    <w:rsid w:val="002E5FA7"/>
    <w:rsid w:val="002F2260"/>
    <w:rsid w:val="002F3309"/>
    <w:rsid w:val="002F411A"/>
    <w:rsid w:val="002F4139"/>
    <w:rsid w:val="002F5C56"/>
    <w:rsid w:val="002F5E04"/>
    <w:rsid w:val="003008CE"/>
    <w:rsid w:val="003009B7"/>
    <w:rsid w:val="00300E56"/>
    <w:rsid w:val="0030152C"/>
    <w:rsid w:val="0030469C"/>
    <w:rsid w:val="00321CA6"/>
    <w:rsid w:val="00323763"/>
    <w:rsid w:val="00323C5F"/>
    <w:rsid w:val="003255B4"/>
    <w:rsid w:val="0033476C"/>
    <w:rsid w:val="00334C09"/>
    <w:rsid w:val="003374DC"/>
    <w:rsid w:val="00337E2A"/>
    <w:rsid w:val="00344B56"/>
    <w:rsid w:val="00353E7D"/>
    <w:rsid w:val="003559C2"/>
    <w:rsid w:val="00360D76"/>
    <w:rsid w:val="00363B74"/>
    <w:rsid w:val="003666A8"/>
    <w:rsid w:val="0036709F"/>
    <w:rsid w:val="003723D4"/>
    <w:rsid w:val="00372883"/>
    <w:rsid w:val="00381905"/>
    <w:rsid w:val="00382A8D"/>
    <w:rsid w:val="00384CC8"/>
    <w:rsid w:val="003871FD"/>
    <w:rsid w:val="00387ADE"/>
    <w:rsid w:val="003A1E30"/>
    <w:rsid w:val="003A2829"/>
    <w:rsid w:val="003A4AB4"/>
    <w:rsid w:val="003A7D1C"/>
    <w:rsid w:val="003B304B"/>
    <w:rsid w:val="003B3146"/>
    <w:rsid w:val="003F015E"/>
    <w:rsid w:val="003F284A"/>
    <w:rsid w:val="003F4DF1"/>
    <w:rsid w:val="003F651A"/>
    <w:rsid w:val="00400414"/>
    <w:rsid w:val="00411E93"/>
    <w:rsid w:val="0041446B"/>
    <w:rsid w:val="00433684"/>
    <w:rsid w:val="0044071E"/>
    <w:rsid w:val="0044329C"/>
    <w:rsid w:val="00451047"/>
    <w:rsid w:val="00453E24"/>
    <w:rsid w:val="00457456"/>
    <w:rsid w:val="004577FE"/>
    <w:rsid w:val="00457B9C"/>
    <w:rsid w:val="0046164A"/>
    <w:rsid w:val="004628D2"/>
    <w:rsid w:val="00462DCD"/>
    <w:rsid w:val="00463ACD"/>
    <w:rsid w:val="004648AD"/>
    <w:rsid w:val="00464B28"/>
    <w:rsid w:val="00466064"/>
    <w:rsid w:val="004703A9"/>
    <w:rsid w:val="00471D41"/>
    <w:rsid w:val="004735CD"/>
    <w:rsid w:val="004753B1"/>
    <w:rsid w:val="004760DE"/>
    <w:rsid w:val="004763D7"/>
    <w:rsid w:val="00490CF7"/>
    <w:rsid w:val="00490E69"/>
    <w:rsid w:val="00495A36"/>
    <w:rsid w:val="00496AAA"/>
    <w:rsid w:val="00497129"/>
    <w:rsid w:val="0049718C"/>
    <w:rsid w:val="00497E0A"/>
    <w:rsid w:val="004A004E"/>
    <w:rsid w:val="004A24CF"/>
    <w:rsid w:val="004A606F"/>
    <w:rsid w:val="004A6CE4"/>
    <w:rsid w:val="004B0CFA"/>
    <w:rsid w:val="004C3D1D"/>
    <w:rsid w:val="004C3D84"/>
    <w:rsid w:val="004C7913"/>
    <w:rsid w:val="004D29B5"/>
    <w:rsid w:val="004D4AE8"/>
    <w:rsid w:val="004D53C2"/>
    <w:rsid w:val="004E38C5"/>
    <w:rsid w:val="004E4DD6"/>
    <w:rsid w:val="004F5E36"/>
    <w:rsid w:val="004F5EB3"/>
    <w:rsid w:val="00507B47"/>
    <w:rsid w:val="00507BEF"/>
    <w:rsid w:val="00507CC9"/>
    <w:rsid w:val="005119A5"/>
    <w:rsid w:val="0051423B"/>
    <w:rsid w:val="00514639"/>
    <w:rsid w:val="00523DE5"/>
    <w:rsid w:val="005278B7"/>
    <w:rsid w:val="00530C09"/>
    <w:rsid w:val="00532016"/>
    <w:rsid w:val="005346C8"/>
    <w:rsid w:val="00541FA1"/>
    <w:rsid w:val="00543ABB"/>
    <w:rsid w:val="00543E7D"/>
    <w:rsid w:val="00547A68"/>
    <w:rsid w:val="00552C26"/>
    <w:rsid w:val="005531C9"/>
    <w:rsid w:val="0056392F"/>
    <w:rsid w:val="00565DCF"/>
    <w:rsid w:val="00570C43"/>
    <w:rsid w:val="0057494B"/>
    <w:rsid w:val="005758BC"/>
    <w:rsid w:val="0058337F"/>
    <w:rsid w:val="00596A62"/>
    <w:rsid w:val="005A239D"/>
    <w:rsid w:val="005B2110"/>
    <w:rsid w:val="005B3329"/>
    <w:rsid w:val="005B61E6"/>
    <w:rsid w:val="005C2EE8"/>
    <w:rsid w:val="005C4F9D"/>
    <w:rsid w:val="005C6C95"/>
    <w:rsid w:val="005C77E1"/>
    <w:rsid w:val="005D20E5"/>
    <w:rsid w:val="005D668A"/>
    <w:rsid w:val="005D6A2F"/>
    <w:rsid w:val="005D7BCA"/>
    <w:rsid w:val="005E1A82"/>
    <w:rsid w:val="005E3C82"/>
    <w:rsid w:val="005E794C"/>
    <w:rsid w:val="005F0A28"/>
    <w:rsid w:val="005F0E5E"/>
    <w:rsid w:val="00600535"/>
    <w:rsid w:val="00601A37"/>
    <w:rsid w:val="00610C35"/>
    <w:rsid w:val="00610CD6"/>
    <w:rsid w:val="00611C1D"/>
    <w:rsid w:val="00615BBD"/>
    <w:rsid w:val="00620689"/>
    <w:rsid w:val="00620DEE"/>
    <w:rsid w:val="00621F92"/>
    <w:rsid w:val="0062280A"/>
    <w:rsid w:val="00625639"/>
    <w:rsid w:val="006312C2"/>
    <w:rsid w:val="00631B33"/>
    <w:rsid w:val="00635784"/>
    <w:rsid w:val="0064146F"/>
    <w:rsid w:val="0064184D"/>
    <w:rsid w:val="006422CC"/>
    <w:rsid w:val="006438EE"/>
    <w:rsid w:val="0065047F"/>
    <w:rsid w:val="00660E3E"/>
    <w:rsid w:val="00661600"/>
    <w:rsid w:val="00662E74"/>
    <w:rsid w:val="006641FC"/>
    <w:rsid w:val="00665A7B"/>
    <w:rsid w:val="00665D6A"/>
    <w:rsid w:val="00667080"/>
    <w:rsid w:val="00675F7F"/>
    <w:rsid w:val="00680C23"/>
    <w:rsid w:val="0068343D"/>
    <w:rsid w:val="00683E79"/>
    <w:rsid w:val="00685D41"/>
    <w:rsid w:val="006930C0"/>
    <w:rsid w:val="00693766"/>
    <w:rsid w:val="0069634B"/>
    <w:rsid w:val="00697809"/>
    <w:rsid w:val="006A1180"/>
    <w:rsid w:val="006A1C67"/>
    <w:rsid w:val="006A3281"/>
    <w:rsid w:val="006B0F19"/>
    <w:rsid w:val="006B16A2"/>
    <w:rsid w:val="006B4532"/>
    <w:rsid w:val="006B4888"/>
    <w:rsid w:val="006C0B02"/>
    <w:rsid w:val="006C2E45"/>
    <w:rsid w:val="006C3295"/>
    <w:rsid w:val="006C359C"/>
    <w:rsid w:val="006C5579"/>
    <w:rsid w:val="006D0577"/>
    <w:rsid w:val="006D4360"/>
    <w:rsid w:val="006D6E8B"/>
    <w:rsid w:val="006E21F4"/>
    <w:rsid w:val="006E43D1"/>
    <w:rsid w:val="006E6997"/>
    <w:rsid w:val="006E737D"/>
    <w:rsid w:val="006F5B5A"/>
    <w:rsid w:val="00705DB6"/>
    <w:rsid w:val="00713973"/>
    <w:rsid w:val="00720A24"/>
    <w:rsid w:val="007241D6"/>
    <w:rsid w:val="007275F5"/>
    <w:rsid w:val="00732386"/>
    <w:rsid w:val="007334BF"/>
    <w:rsid w:val="0073514D"/>
    <w:rsid w:val="007447F3"/>
    <w:rsid w:val="00745AFD"/>
    <w:rsid w:val="00746E24"/>
    <w:rsid w:val="0075499F"/>
    <w:rsid w:val="007554B6"/>
    <w:rsid w:val="00757661"/>
    <w:rsid w:val="007661C8"/>
    <w:rsid w:val="0077098D"/>
    <w:rsid w:val="00770AB5"/>
    <w:rsid w:val="00792DD3"/>
    <w:rsid w:val="007931FA"/>
    <w:rsid w:val="007A2413"/>
    <w:rsid w:val="007A4861"/>
    <w:rsid w:val="007A5F41"/>
    <w:rsid w:val="007A7BBA"/>
    <w:rsid w:val="007B0C50"/>
    <w:rsid w:val="007B3C03"/>
    <w:rsid w:val="007B48F9"/>
    <w:rsid w:val="007B6402"/>
    <w:rsid w:val="007C118D"/>
    <w:rsid w:val="007C1A43"/>
    <w:rsid w:val="007D0951"/>
    <w:rsid w:val="007D6581"/>
    <w:rsid w:val="007E2977"/>
    <w:rsid w:val="007E3128"/>
    <w:rsid w:val="007E4C73"/>
    <w:rsid w:val="007F06E9"/>
    <w:rsid w:val="0080013E"/>
    <w:rsid w:val="008106E0"/>
    <w:rsid w:val="00813288"/>
    <w:rsid w:val="00815B66"/>
    <w:rsid w:val="00816846"/>
    <w:rsid w:val="008168FC"/>
    <w:rsid w:val="0082079C"/>
    <w:rsid w:val="00830996"/>
    <w:rsid w:val="008345F1"/>
    <w:rsid w:val="0083567E"/>
    <w:rsid w:val="00840D0A"/>
    <w:rsid w:val="00865B07"/>
    <w:rsid w:val="008667EA"/>
    <w:rsid w:val="00874EA2"/>
    <w:rsid w:val="0087637F"/>
    <w:rsid w:val="008859CE"/>
    <w:rsid w:val="00892AD5"/>
    <w:rsid w:val="00897CB8"/>
    <w:rsid w:val="008A1512"/>
    <w:rsid w:val="008B1E73"/>
    <w:rsid w:val="008B42DD"/>
    <w:rsid w:val="008D32B9"/>
    <w:rsid w:val="008D433B"/>
    <w:rsid w:val="008D4A16"/>
    <w:rsid w:val="008E4C99"/>
    <w:rsid w:val="008E566E"/>
    <w:rsid w:val="008F3919"/>
    <w:rsid w:val="008F5430"/>
    <w:rsid w:val="008F59F2"/>
    <w:rsid w:val="0090161A"/>
    <w:rsid w:val="00901EB6"/>
    <w:rsid w:val="009021FE"/>
    <w:rsid w:val="00904C62"/>
    <w:rsid w:val="0090620C"/>
    <w:rsid w:val="00906795"/>
    <w:rsid w:val="00911EA1"/>
    <w:rsid w:val="00916174"/>
    <w:rsid w:val="00922BA8"/>
    <w:rsid w:val="00923521"/>
    <w:rsid w:val="00924200"/>
    <w:rsid w:val="00924DAC"/>
    <w:rsid w:val="00924E87"/>
    <w:rsid w:val="00925BDF"/>
    <w:rsid w:val="00927058"/>
    <w:rsid w:val="00942750"/>
    <w:rsid w:val="009450CE"/>
    <w:rsid w:val="009454B4"/>
    <w:rsid w:val="009459BB"/>
    <w:rsid w:val="009467E6"/>
    <w:rsid w:val="00947179"/>
    <w:rsid w:val="0095164B"/>
    <w:rsid w:val="00953170"/>
    <w:rsid w:val="00954090"/>
    <w:rsid w:val="009573E7"/>
    <w:rsid w:val="00960F37"/>
    <w:rsid w:val="00961082"/>
    <w:rsid w:val="009635B8"/>
    <w:rsid w:val="00963E05"/>
    <w:rsid w:val="009644ED"/>
    <w:rsid w:val="00964A45"/>
    <w:rsid w:val="00967843"/>
    <w:rsid w:val="00967D54"/>
    <w:rsid w:val="00971028"/>
    <w:rsid w:val="0097664B"/>
    <w:rsid w:val="00982800"/>
    <w:rsid w:val="00993B84"/>
    <w:rsid w:val="0099478E"/>
    <w:rsid w:val="00996483"/>
    <w:rsid w:val="00996B88"/>
    <w:rsid w:val="00996F5A"/>
    <w:rsid w:val="009A1D7C"/>
    <w:rsid w:val="009A4433"/>
    <w:rsid w:val="009A6A4B"/>
    <w:rsid w:val="009B041A"/>
    <w:rsid w:val="009B0A46"/>
    <w:rsid w:val="009B0ED7"/>
    <w:rsid w:val="009C37C3"/>
    <w:rsid w:val="009C6387"/>
    <w:rsid w:val="009C7C86"/>
    <w:rsid w:val="009D2FF7"/>
    <w:rsid w:val="009E7884"/>
    <w:rsid w:val="009E788A"/>
    <w:rsid w:val="009F0E08"/>
    <w:rsid w:val="009F1339"/>
    <w:rsid w:val="009F1C6B"/>
    <w:rsid w:val="00A05742"/>
    <w:rsid w:val="00A11201"/>
    <w:rsid w:val="00A1763D"/>
    <w:rsid w:val="00A17CEC"/>
    <w:rsid w:val="00A27EF0"/>
    <w:rsid w:val="00A33C8A"/>
    <w:rsid w:val="00A42361"/>
    <w:rsid w:val="00A47C3C"/>
    <w:rsid w:val="00A50B20"/>
    <w:rsid w:val="00A51390"/>
    <w:rsid w:val="00A60D13"/>
    <w:rsid w:val="00A63DB1"/>
    <w:rsid w:val="00A7062E"/>
    <w:rsid w:val="00A714A3"/>
    <w:rsid w:val="00A7223D"/>
    <w:rsid w:val="00A72745"/>
    <w:rsid w:val="00A74065"/>
    <w:rsid w:val="00A76EFC"/>
    <w:rsid w:val="00A87D50"/>
    <w:rsid w:val="00A90ECE"/>
    <w:rsid w:val="00A91010"/>
    <w:rsid w:val="00A94EAA"/>
    <w:rsid w:val="00A97C3D"/>
    <w:rsid w:val="00A97F29"/>
    <w:rsid w:val="00AA49F9"/>
    <w:rsid w:val="00AA702E"/>
    <w:rsid w:val="00AA7D26"/>
    <w:rsid w:val="00AB0964"/>
    <w:rsid w:val="00AB5011"/>
    <w:rsid w:val="00AC399D"/>
    <w:rsid w:val="00AC3A5E"/>
    <w:rsid w:val="00AC7368"/>
    <w:rsid w:val="00AD16B9"/>
    <w:rsid w:val="00AD3D39"/>
    <w:rsid w:val="00AE377D"/>
    <w:rsid w:val="00AF0EBA"/>
    <w:rsid w:val="00B00007"/>
    <w:rsid w:val="00B02C8A"/>
    <w:rsid w:val="00B06CCA"/>
    <w:rsid w:val="00B17FBD"/>
    <w:rsid w:val="00B229D2"/>
    <w:rsid w:val="00B315A6"/>
    <w:rsid w:val="00B31813"/>
    <w:rsid w:val="00B33365"/>
    <w:rsid w:val="00B37AF1"/>
    <w:rsid w:val="00B4410D"/>
    <w:rsid w:val="00B52961"/>
    <w:rsid w:val="00B57B36"/>
    <w:rsid w:val="00B57E6F"/>
    <w:rsid w:val="00B6092C"/>
    <w:rsid w:val="00B65EF7"/>
    <w:rsid w:val="00B66D83"/>
    <w:rsid w:val="00B8686D"/>
    <w:rsid w:val="00B86AB6"/>
    <w:rsid w:val="00B87DC1"/>
    <w:rsid w:val="00B92EE9"/>
    <w:rsid w:val="00B93F69"/>
    <w:rsid w:val="00B94AF4"/>
    <w:rsid w:val="00BA131D"/>
    <w:rsid w:val="00BA2808"/>
    <w:rsid w:val="00BA7DD0"/>
    <w:rsid w:val="00BB130D"/>
    <w:rsid w:val="00BB1DDC"/>
    <w:rsid w:val="00BC2ADE"/>
    <w:rsid w:val="00BC30C9"/>
    <w:rsid w:val="00BD077D"/>
    <w:rsid w:val="00BD52A1"/>
    <w:rsid w:val="00BE0004"/>
    <w:rsid w:val="00BE0E69"/>
    <w:rsid w:val="00BE3E58"/>
    <w:rsid w:val="00BF1FE3"/>
    <w:rsid w:val="00BF71E4"/>
    <w:rsid w:val="00C00990"/>
    <w:rsid w:val="00C01616"/>
    <w:rsid w:val="00C0162B"/>
    <w:rsid w:val="00C036EC"/>
    <w:rsid w:val="00C03BB9"/>
    <w:rsid w:val="00C03EC6"/>
    <w:rsid w:val="00C068ED"/>
    <w:rsid w:val="00C13F70"/>
    <w:rsid w:val="00C22E0C"/>
    <w:rsid w:val="00C27DA9"/>
    <w:rsid w:val="00C345B1"/>
    <w:rsid w:val="00C40142"/>
    <w:rsid w:val="00C41FC6"/>
    <w:rsid w:val="00C42B73"/>
    <w:rsid w:val="00C4335F"/>
    <w:rsid w:val="00C43580"/>
    <w:rsid w:val="00C51DD7"/>
    <w:rsid w:val="00C52C3C"/>
    <w:rsid w:val="00C57182"/>
    <w:rsid w:val="00C57863"/>
    <w:rsid w:val="00C62C0A"/>
    <w:rsid w:val="00C640AF"/>
    <w:rsid w:val="00C655FD"/>
    <w:rsid w:val="00C708C8"/>
    <w:rsid w:val="00C73AE3"/>
    <w:rsid w:val="00C75407"/>
    <w:rsid w:val="00C84B87"/>
    <w:rsid w:val="00C86F78"/>
    <w:rsid w:val="00C870A8"/>
    <w:rsid w:val="00C94434"/>
    <w:rsid w:val="00CA0D75"/>
    <w:rsid w:val="00CA1C95"/>
    <w:rsid w:val="00CA3050"/>
    <w:rsid w:val="00CA5A9C"/>
    <w:rsid w:val="00CB5E3D"/>
    <w:rsid w:val="00CC3358"/>
    <w:rsid w:val="00CC4C20"/>
    <w:rsid w:val="00CD3517"/>
    <w:rsid w:val="00CD5FE2"/>
    <w:rsid w:val="00CE3504"/>
    <w:rsid w:val="00CE774E"/>
    <w:rsid w:val="00CE7C68"/>
    <w:rsid w:val="00CF64FB"/>
    <w:rsid w:val="00D006DC"/>
    <w:rsid w:val="00D02722"/>
    <w:rsid w:val="00D02B4C"/>
    <w:rsid w:val="00D02C24"/>
    <w:rsid w:val="00D033BC"/>
    <w:rsid w:val="00D040C4"/>
    <w:rsid w:val="00D17F17"/>
    <w:rsid w:val="00D20AD1"/>
    <w:rsid w:val="00D215AD"/>
    <w:rsid w:val="00D23AD3"/>
    <w:rsid w:val="00D46B7E"/>
    <w:rsid w:val="00D51633"/>
    <w:rsid w:val="00D53592"/>
    <w:rsid w:val="00D57C84"/>
    <w:rsid w:val="00D6057D"/>
    <w:rsid w:val="00D71640"/>
    <w:rsid w:val="00D836C5"/>
    <w:rsid w:val="00D84576"/>
    <w:rsid w:val="00D8697D"/>
    <w:rsid w:val="00D91636"/>
    <w:rsid w:val="00D95592"/>
    <w:rsid w:val="00DA1399"/>
    <w:rsid w:val="00DA24C6"/>
    <w:rsid w:val="00DA4D7B"/>
    <w:rsid w:val="00DB3614"/>
    <w:rsid w:val="00DB42B9"/>
    <w:rsid w:val="00DB6AB9"/>
    <w:rsid w:val="00DD271C"/>
    <w:rsid w:val="00DE264A"/>
    <w:rsid w:val="00DE58EA"/>
    <w:rsid w:val="00DE7E80"/>
    <w:rsid w:val="00DF5072"/>
    <w:rsid w:val="00E02D18"/>
    <w:rsid w:val="00E041E7"/>
    <w:rsid w:val="00E04CA4"/>
    <w:rsid w:val="00E07D43"/>
    <w:rsid w:val="00E21CFB"/>
    <w:rsid w:val="00E23CA1"/>
    <w:rsid w:val="00E409A8"/>
    <w:rsid w:val="00E50C12"/>
    <w:rsid w:val="00E549B0"/>
    <w:rsid w:val="00E65B91"/>
    <w:rsid w:val="00E6756F"/>
    <w:rsid w:val="00E7209D"/>
    <w:rsid w:val="00E72EAD"/>
    <w:rsid w:val="00E77223"/>
    <w:rsid w:val="00E8528B"/>
    <w:rsid w:val="00E85B94"/>
    <w:rsid w:val="00E8767A"/>
    <w:rsid w:val="00E978D0"/>
    <w:rsid w:val="00EA4613"/>
    <w:rsid w:val="00EA7F91"/>
    <w:rsid w:val="00EB111D"/>
    <w:rsid w:val="00EB1523"/>
    <w:rsid w:val="00EB1EB9"/>
    <w:rsid w:val="00EC0E49"/>
    <w:rsid w:val="00EC101F"/>
    <w:rsid w:val="00EC1D9F"/>
    <w:rsid w:val="00ED2416"/>
    <w:rsid w:val="00EE0131"/>
    <w:rsid w:val="00EE112B"/>
    <w:rsid w:val="00EE17B0"/>
    <w:rsid w:val="00EF06D9"/>
    <w:rsid w:val="00EF3755"/>
    <w:rsid w:val="00EF3805"/>
    <w:rsid w:val="00F01EDF"/>
    <w:rsid w:val="00F048E4"/>
    <w:rsid w:val="00F066B1"/>
    <w:rsid w:val="00F14185"/>
    <w:rsid w:val="00F1511C"/>
    <w:rsid w:val="00F161B2"/>
    <w:rsid w:val="00F25F0B"/>
    <w:rsid w:val="00F30295"/>
    <w:rsid w:val="00F3049E"/>
    <w:rsid w:val="00F30C64"/>
    <w:rsid w:val="00F32BA2"/>
    <w:rsid w:val="00F32CDB"/>
    <w:rsid w:val="00F44EB7"/>
    <w:rsid w:val="00F512CB"/>
    <w:rsid w:val="00F5330D"/>
    <w:rsid w:val="00F55A49"/>
    <w:rsid w:val="00F565FE"/>
    <w:rsid w:val="00F60E73"/>
    <w:rsid w:val="00F63217"/>
    <w:rsid w:val="00F63A70"/>
    <w:rsid w:val="00F63D8C"/>
    <w:rsid w:val="00F7534E"/>
    <w:rsid w:val="00F76C90"/>
    <w:rsid w:val="00F81C7C"/>
    <w:rsid w:val="00F82A0C"/>
    <w:rsid w:val="00F87407"/>
    <w:rsid w:val="00F877EA"/>
    <w:rsid w:val="00F90655"/>
    <w:rsid w:val="00F93EDF"/>
    <w:rsid w:val="00FA1802"/>
    <w:rsid w:val="00FA21D0"/>
    <w:rsid w:val="00FA360E"/>
    <w:rsid w:val="00FA5F5F"/>
    <w:rsid w:val="00FB6362"/>
    <w:rsid w:val="00FB6FF8"/>
    <w:rsid w:val="00FB730C"/>
    <w:rsid w:val="00FC2695"/>
    <w:rsid w:val="00FC3E03"/>
    <w:rsid w:val="00FC3FC1"/>
    <w:rsid w:val="00FC45BA"/>
    <w:rsid w:val="00FC62F4"/>
    <w:rsid w:val="00FD749F"/>
    <w:rsid w:val="00FF3761"/>
    <w:rsid w:val="00FF429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497E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0038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luca\AppData\Local\Chemistry%20Add-in%20for%20Word\Chemistry%20Gallery\Chem4Word.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customXml/itemProps2.xml><?xml version="1.0" encoding="utf-8"?>
<ds:datastoreItem xmlns:ds="http://schemas.openxmlformats.org/officeDocument/2006/customXml" ds:itemID="{76B1FD07-FABF-4176-92BD-56593AECE076}">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46</TotalTime>
  <Pages>6</Pages>
  <Words>3391</Words>
  <Characters>19329</Characters>
  <Application>Microsoft Office Word</Application>
  <DocSecurity>0</DocSecurity>
  <Lines>161</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CLAUDIO TREGAMBI</cp:lastModifiedBy>
  <cp:revision>44</cp:revision>
  <cp:lastPrinted>2015-05-12T18:31:00Z</cp:lastPrinted>
  <dcterms:created xsi:type="dcterms:W3CDTF">2023-02-27T22:47:00Z</dcterms:created>
  <dcterms:modified xsi:type="dcterms:W3CDTF">2023-03-23T15:39:00Z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http://www.zotero.org/styles/chemical-engineering-journal</vt:lpwstr>
  </property>
  <property fmtid="{D5CDD505-2E9C-101B-9397-08002B2CF9AE}" pid="11" name="Mendeley Recent Style Name 3_1">
    <vt:lpwstr>Chemical Engineering Journal</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http://www.zotero.org/styles/fuel</vt:lpwstr>
  </property>
  <property fmtid="{D5CDD505-2E9C-101B-9397-08002B2CF9AE}" pid="15" name="Mendeley Recent Style Name 5_1">
    <vt:lpwstr>Fuel</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http://www.zotero.org/styles/international-journal-of-hydrogen-energy</vt:lpwstr>
  </property>
  <property fmtid="{D5CDD505-2E9C-101B-9397-08002B2CF9AE}" pid="19" name="Mendeley Recent Style Name 7_1">
    <vt:lpwstr>International Journal of Hydrogen Energy</vt:lpwstr>
  </property>
  <property fmtid="{D5CDD505-2E9C-101B-9397-08002B2CF9AE}" pid="20" name="Mendeley Recent Style Id 8_1">
    <vt:lpwstr>http://www.zotero.org/styles/journal-of-cleaner-production</vt:lpwstr>
  </property>
  <property fmtid="{D5CDD505-2E9C-101B-9397-08002B2CF9AE}" pid="21" name="Mendeley Recent Style Name 8_1">
    <vt:lpwstr>Journal of Cleaner Production</vt:lpwstr>
  </property>
  <property fmtid="{D5CDD505-2E9C-101B-9397-08002B2CF9AE}" pid="22" name="Mendeley Recent Style Id 9_1">
    <vt:lpwstr>http://www.zotero.org/styles/wiley-vch-books</vt:lpwstr>
  </property>
  <property fmtid="{D5CDD505-2E9C-101B-9397-08002B2CF9AE}" pid="23" name="Mendeley Recent Style Name 9_1">
    <vt:lpwstr>Wiley-VCH books</vt:lpwstr>
  </property>
  <property fmtid="{D5CDD505-2E9C-101B-9397-08002B2CF9AE}" pid="24" name="GrammarlyDocumentId">
    <vt:lpwstr>d9edaab00e9e73879656171c676315b1d2c52ea1f7bd15b1c6f5f2740cf21522</vt:lpwstr>
  </property>
</Properties>
</file>