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408A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408A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408A9">
        <w:trPr>
          <w:trHeight w:val="68"/>
          <w:jc w:val="center"/>
        </w:trPr>
        <w:tc>
          <w:tcPr>
            <w:tcW w:w="8782" w:type="dxa"/>
            <w:gridSpan w:val="2"/>
          </w:tcPr>
          <w:p w14:paraId="1D8DD3C9" w14:textId="72C518CF"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w:t>
            </w:r>
            <w:r w:rsidRPr="00F93EDF">
              <w:rPr>
                <w:rFonts w:ascii="Tahoma" w:hAnsi="Tahoma" w:cs="Tahoma"/>
                <w:color w:val="000000"/>
                <w:sz w:val="14"/>
                <w:szCs w:val="14"/>
                <w:shd w:val="clear" w:color="auto" w:fill="FFFFFF"/>
              </w:rPr>
              <w:t xml:space="preserve"> </w:t>
            </w:r>
            <w:proofErr w:type="spellStart"/>
            <w:r w:rsidRPr="00293D18">
              <w:rPr>
                <w:rFonts w:ascii="Tahoma" w:hAnsi="Tahoma" w:cs="Tahoma"/>
                <w:sz w:val="14"/>
                <w:szCs w:val="14"/>
              </w:rPr>
              <w:t>Sauro</w:t>
            </w:r>
            <w:proofErr w:type="spellEnd"/>
            <w:r w:rsidRPr="00293D18">
              <w:rPr>
                <w:rFonts w:ascii="Tahoma" w:hAnsi="Tahoma" w:cs="Tahoma"/>
                <w:sz w:val="14"/>
                <w:szCs w:val="14"/>
              </w:rPr>
              <w:t xml:space="preserve"> </w:t>
            </w:r>
            <w:proofErr w:type="spellStart"/>
            <w:r w:rsidRPr="00293D18">
              <w:rPr>
                <w:rFonts w:ascii="Tahoma" w:hAnsi="Tahoma" w:cs="Tahoma"/>
                <w:sz w:val="14"/>
                <w:szCs w:val="14"/>
              </w:rPr>
              <w:t>Pierucci</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5DB6D938" w14:textId="52B5C936" w:rsidR="00E408A9" w:rsidRPr="00207D94" w:rsidRDefault="00EA6DF6" w:rsidP="00E408A9">
      <w:pPr>
        <w:pStyle w:val="CETTitle"/>
        <w:rPr>
          <w:szCs w:val="32"/>
        </w:rPr>
      </w:pPr>
      <w:r w:rsidRPr="00207D94">
        <w:rPr>
          <w:szCs w:val="32"/>
        </w:rPr>
        <w:t>Sequential reductive/oxidative bioelectrochemical process for chlorinated aliphatic hydrocarbons removal in contaminated groundwaters</w:t>
      </w:r>
      <w:r w:rsidRPr="007502CD">
        <w:rPr>
          <w:szCs w:val="32"/>
        </w:rPr>
        <w:t>:</w:t>
      </w:r>
      <w:r w:rsidR="00401589" w:rsidRPr="007502CD">
        <w:rPr>
          <w:szCs w:val="32"/>
        </w:rPr>
        <w:t xml:space="preserve"> Flu</w:t>
      </w:r>
      <w:r w:rsidR="00580822" w:rsidRPr="007502CD">
        <w:rPr>
          <w:szCs w:val="32"/>
        </w:rPr>
        <w:t xml:space="preserve">id </w:t>
      </w:r>
      <w:r w:rsidR="00401589" w:rsidRPr="007502CD">
        <w:rPr>
          <w:szCs w:val="32"/>
        </w:rPr>
        <w:t>d</w:t>
      </w:r>
      <w:r w:rsidR="00580822" w:rsidRPr="007502CD">
        <w:rPr>
          <w:szCs w:val="32"/>
        </w:rPr>
        <w:t>y</w:t>
      </w:r>
      <w:r w:rsidR="00401589" w:rsidRPr="007502CD">
        <w:rPr>
          <w:szCs w:val="32"/>
        </w:rPr>
        <w:t xml:space="preserve">namic characterization of </w:t>
      </w:r>
      <w:r w:rsidRPr="007502CD">
        <w:rPr>
          <w:szCs w:val="32"/>
        </w:rPr>
        <w:t>the scaled-up field test</w:t>
      </w:r>
    </w:p>
    <w:p w14:paraId="4AB82491" w14:textId="62E99843" w:rsidR="00E408A9" w:rsidRPr="00207D94" w:rsidRDefault="00EA6DF6" w:rsidP="00E408A9">
      <w:pPr>
        <w:pStyle w:val="CETAuthors"/>
        <w:rPr>
          <w:szCs w:val="24"/>
          <w:lang w:val="it-IT"/>
        </w:rPr>
      </w:pPr>
      <w:r w:rsidRPr="00207D94">
        <w:rPr>
          <w:szCs w:val="24"/>
          <w:lang w:val="it-IT"/>
        </w:rPr>
        <w:t>Marco Zeppilli</w:t>
      </w:r>
      <w:r w:rsidRPr="00207D94">
        <w:rPr>
          <w:szCs w:val="24"/>
          <w:vertAlign w:val="superscript"/>
          <w:lang w:val="it-IT"/>
        </w:rPr>
        <w:t>1</w:t>
      </w:r>
      <w:r w:rsidRPr="00207D94">
        <w:rPr>
          <w:szCs w:val="24"/>
          <w:lang w:val="it-IT"/>
        </w:rPr>
        <w:t>*, Edoardo Dell’Armi</w:t>
      </w:r>
      <w:r w:rsidRPr="00207D94">
        <w:rPr>
          <w:szCs w:val="24"/>
          <w:vertAlign w:val="superscript"/>
          <w:lang w:val="it-IT"/>
        </w:rPr>
        <w:t>1</w:t>
      </w:r>
      <w:r w:rsidRPr="00207D94">
        <w:rPr>
          <w:szCs w:val="24"/>
          <w:lang w:val="it-IT"/>
        </w:rPr>
        <w:t>, Maria Teresa Palumbo</w:t>
      </w:r>
      <w:r w:rsidRPr="00207D94">
        <w:rPr>
          <w:szCs w:val="24"/>
          <w:vertAlign w:val="superscript"/>
          <w:lang w:val="it-IT"/>
        </w:rPr>
        <w:t>2</w:t>
      </w:r>
      <w:r w:rsidRPr="00207D94">
        <w:rPr>
          <w:szCs w:val="24"/>
          <w:lang w:val="it-IT"/>
        </w:rPr>
        <w:t>, Marco Petrangeli Papini</w:t>
      </w:r>
      <w:r w:rsidRPr="00207D94">
        <w:rPr>
          <w:szCs w:val="24"/>
          <w:vertAlign w:val="superscript"/>
          <w:lang w:val="it-IT"/>
        </w:rPr>
        <w:t>1</w:t>
      </w:r>
    </w:p>
    <w:p w14:paraId="155FA5BF" w14:textId="044167CA" w:rsidR="00E408A9" w:rsidRDefault="00A40E7A" w:rsidP="00E408A9">
      <w:pPr>
        <w:pStyle w:val="CETAddress"/>
        <w:rPr>
          <w:sz w:val="18"/>
          <w:szCs w:val="22"/>
        </w:rPr>
      </w:pPr>
      <w:r w:rsidRPr="00A40E7A">
        <w:rPr>
          <w:sz w:val="18"/>
          <w:szCs w:val="22"/>
          <w:vertAlign w:val="superscript"/>
        </w:rPr>
        <w:t>1</w:t>
      </w:r>
      <w:r w:rsidR="00E408A9" w:rsidRPr="00CD7775">
        <w:rPr>
          <w:sz w:val="18"/>
          <w:szCs w:val="22"/>
        </w:rPr>
        <w:t>Department of Chemistry, University of Rome Sapienza, Piazzale Aldo Moro 5 00185 Roma</w:t>
      </w:r>
    </w:p>
    <w:p w14:paraId="3DB2334A" w14:textId="45221E0F" w:rsidR="00EA6DF6" w:rsidRPr="00EA6DF6" w:rsidRDefault="00EA6DF6" w:rsidP="00E408A9">
      <w:pPr>
        <w:pStyle w:val="CETAddress"/>
        <w:rPr>
          <w:sz w:val="18"/>
          <w:szCs w:val="22"/>
          <w:lang w:val="en-US"/>
        </w:rPr>
      </w:pPr>
      <w:r w:rsidRPr="00A40E7A">
        <w:rPr>
          <w:sz w:val="18"/>
          <w:szCs w:val="22"/>
          <w:vertAlign w:val="superscript"/>
          <w:lang w:val="en-US"/>
        </w:rPr>
        <w:t>2</w:t>
      </w:r>
      <w:r w:rsidRPr="00EA6DF6">
        <w:rPr>
          <w:sz w:val="18"/>
          <w:szCs w:val="22"/>
          <w:lang w:val="en-US"/>
        </w:rPr>
        <w:t>Water Research Institute (IRSA), National Research Council (CNR), Via del Mulino, 19, 20861 Brugherio, MB, Italy</w:t>
      </w:r>
    </w:p>
    <w:p w14:paraId="1166466A" w14:textId="77777777" w:rsidR="00E408A9" w:rsidRPr="00CD7775" w:rsidRDefault="00E408A9" w:rsidP="00E408A9">
      <w:pPr>
        <w:pStyle w:val="CETAddress"/>
        <w:rPr>
          <w:sz w:val="18"/>
          <w:szCs w:val="22"/>
        </w:rPr>
      </w:pPr>
      <w:r w:rsidRPr="00CD7775">
        <w:rPr>
          <w:sz w:val="18"/>
          <w:szCs w:val="22"/>
        </w:rPr>
        <w:t xml:space="preserve">* </w:t>
      </w:r>
      <w:r>
        <w:rPr>
          <w:sz w:val="18"/>
          <w:szCs w:val="22"/>
        </w:rPr>
        <w:t>c</w:t>
      </w:r>
      <w:r w:rsidRPr="00CD7775">
        <w:rPr>
          <w:sz w:val="18"/>
          <w:szCs w:val="22"/>
        </w:rPr>
        <w:t>orresponding author</w:t>
      </w:r>
    </w:p>
    <w:p w14:paraId="1BA80290" w14:textId="3B9B6B18" w:rsidR="00E408A9" w:rsidRDefault="00E408A9" w:rsidP="00E408A9">
      <w:pPr>
        <w:pStyle w:val="CETAddress"/>
        <w:rPr>
          <w:sz w:val="18"/>
          <w:szCs w:val="22"/>
        </w:rPr>
      </w:pPr>
      <w:r w:rsidRPr="00CD7775">
        <w:rPr>
          <w:sz w:val="18"/>
          <w:szCs w:val="22"/>
        </w:rPr>
        <w:t>email:</w:t>
      </w:r>
      <w:r w:rsidR="00EA6DF6">
        <w:t xml:space="preserve"> marco.zeppilli@uniroma1.it</w:t>
      </w:r>
    </w:p>
    <w:p w14:paraId="3C2B9A59" w14:textId="5B17131E" w:rsidR="00BE4F48" w:rsidRPr="00EA6DF6" w:rsidRDefault="00EA6DF6" w:rsidP="00BE4F48">
      <w:pPr>
        <w:spacing w:before="240"/>
        <w:rPr>
          <w:lang w:val="en-US"/>
        </w:rPr>
      </w:pPr>
      <w:r w:rsidRPr="00EA6DF6">
        <w:t xml:space="preserve">Chlorinated Aliphatic Hydrocarbons (CAHs) as Perchloroethylene (PCE) and Trichloroethylene (TCE) are worldwide contaminants due to their uncorrected disposal and storage in the past years. An effective remediation strategy for CAHs contaminated groundwaters is the stimulation of dechlorinating microorganisms which </w:t>
      </w:r>
      <w:proofErr w:type="gramStart"/>
      <w:r w:rsidRPr="00EA6DF6">
        <w:t>are able to</w:t>
      </w:r>
      <w:proofErr w:type="gramEnd"/>
      <w:r w:rsidRPr="00EA6DF6">
        <w:t xml:space="preserve"> carry out reductive and oxidative reactions which allowed for the complete mineralization of CAHs. More in detail, dehalorespiring microorganisms can reduce PCE and TCE via the reductive dechlorination reaction (RD), while aerobic dechlorinating microorganisms oxidize low chlorinated compounds such as cis-dichloroethylene (</w:t>
      </w:r>
      <w:proofErr w:type="spellStart"/>
      <w:r w:rsidRPr="00EA6DF6">
        <w:t>cDCE</w:t>
      </w:r>
      <w:proofErr w:type="spellEnd"/>
      <w:r w:rsidRPr="00EA6DF6">
        <w:t>) and vinyl chloride (VC) into CO</w:t>
      </w:r>
      <w:r w:rsidRPr="007502CD">
        <w:rPr>
          <w:vertAlign w:val="subscript"/>
        </w:rPr>
        <w:t>2</w:t>
      </w:r>
      <w:r w:rsidRPr="00EA6DF6">
        <w:t>. The combination of reductive and oxidative dechlorination can be easily tuned by the adoption of bioelectrochemical systems, in which an electrodic material interact with so-called electroactive microorganisms acting like electron acceptor or donor of the microbial metabolism. In this study, a sequential reductive/oxidative bioelectrochemical process developed by the combination in series of two membrane-less microbial electrolysis cells (MECs) has been applied for the treatment of a CAHs contaminated groundwater coming from a polluted site in northern Italy. More in detail, the study presents the development and the validation of the sequential bioelectrochemical process under laboratory conditions and the and subsequent scale-up of the process for a field. The investigation of the laboratory scale performance was conducted by synthetic and real contaminated groundwater while the design and the characterization of the scaled-up process have been obtained with real contaminated in a field test. The scale-up allowed to increase the reactor volume 42 times (from 10 L to 420 L) dividing the reductive and the oxidative sections into 4 different columns with a volume of 105 L</w:t>
      </w:r>
      <w:r>
        <w:t xml:space="preserve"> </w:t>
      </w:r>
      <w:r w:rsidRPr="00EA6DF6">
        <w:t>(Figure 1). The field test of the bioelectrochemical technology represents the most important scaled-up application in a bioelectrochemical system devoted to the remediation of CAHs contaminated groundwater, thus, it shows an effective solution for the stimulation of microbial activity without the utilization of any chemical in a real environment.</w:t>
      </w:r>
    </w:p>
    <w:p w14:paraId="36E4F0BB" w14:textId="77777777" w:rsidR="00E408A9" w:rsidRPr="00EA6DF6" w:rsidRDefault="00E408A9" w:rsidP="00E408A9">
      <w:pPr>
        <w:pStyle w:val="CETAddress"/>
        <w:rPr>
          <w:sz w:val="18"/>
          <w:szCs w:val="22"/>
          <w:lang w:val="en-US"/>
        </w:rPr>
      </w:pPr>
    </w:p>
    <w:p w14:paraId="476B2F2E" w14:textId="17AFCFB4" w:rsidR="00600535" w:rsidRDefault="00600535" w:rsidP="00600535">
      <w:pPr>
        <w:pStyle w:val="CETHeading1"/>
        <w:rPr>
          <w:lang w:val="en-GB"/>
        </w:rPr>
      </w:pPr>
      <w:r w:rsidRPr="00B57B36">
        <w:rPr>
          <w:lang w:val="en-GB"/>
        </w:rPr>
        <w:t>Introduction</w:t>
      </w:r>
    </w:p>
    <w:p w14:paraId="063C5FC6" w14:textId="326AF692" w:rsidR="00527C1D" w:rsidRPr="00527C1D" w:rsidRDefault="00527C1D" w:rsidP="00527C1D">
      <w:pPr>
        <w:pStyle w:val="CETBodytext"/>
        <w:rPr>
          <w:lang w:val="en-GB"/>
        </w:rPr>
      </w:pPr>
      <w:r w:rsidRPr="00527C1D">
        <w:rPr>
          <w:lang w:val="en-GB"/>
        </w:rPr>
        <w:t>Chlorinated Aliphatic hydrocarbons, i.e. Tetrachloroethane (</w:t>
      </w:r>
      <w:proofErr w:type="spellStart"/>
      <w:r w:rsidRPr="00527C1D">
        <w:rPr>
          <w:lang w:val="en-GB"/>
        </w:rPr>
        <w:t>TeCA</w:t>
      </w:r>
      <w:proofErr w:type="spellEnd"/>
      <w:r w:rsidRPr="00527C1D">
        <w:rPr>
          <w:lang w:val="en-GB"/>
        </w:rPr>
        <w:t>), Trichloroethylene (</w:t>
      </w:r>
      <w:proofErr w:type="spellStart"/>
      <w:r w:rsidRPr="00527C1D">
        <w:rPr>
          <w:lang w:val="en-GB"/>
        </w:rPr>
        <w:t>TeCA</w:t>
      </w:r>
      <w:proofErr w:type="spellEnd"/>
      <w:r w:rsidRPr="00527C1D">
        <w:rPr>
          <w:lang w:val="en-GB"/>
        </w:rPr>
        <w:t xml:space="preserve">) and Perchloroethylene (PCE), are harmful and worldwide spread contaminants </w:t>
      </w:r>
      <w:r w:rsidR="00C32F38">
        <w:rPr>
          <w:lang w:val="en-GB"/>
        </w:rPr>
        <w:t>(USEPA, 2004)</w:t>
      </w:r>
      <w:r w:rsidRPr="00527C1D">
        <w:rPr>
          <w:lang w:val="en-GB"/>
        </w:rPr>
        <w:t xml:space="preserve">. Due to their peculiar chemical and physical properties and extremely low threshold contamination concentrations, the chlorinated solvents impacted groundwaters are </w:t>
      </w:r>
      <w:proofErr w:type="gramStart"/>
      <w:r w:rsidRPr="00527C1D">
        <w:rPr>
          <w:lang w:val="en-GB"/>
        </w:rPr>
        <w:t>really difficult</w:t>
      </w:r>
      <w:proofErr w:type="gramEnd"/>
      <w:r w:rsidRPr="00527C1D">
        <w:rPr>
          <w:lang w:val="en-GB"/>
        </w:rPr>
        <w:t xml:space="preserve"> to clean up </w:t>
      </w:r>
      <w:r w:rsidR="00C32F38">
        <w:rPr>
          <w:lang w:val="en-GB"/>
        </w:rPr>
        <w:t>(</w:t>
      </w:r>
      <w:proofErr w:type="spellStart"/>
      <w:r w:rsidR="00C32F38">
        <w:rPr>
          <w:lang w:val="en-GB"/>
        </w:rPr>
        <w:t>Casasso</w:t>
      </w:r>
      <w:proofErr w:type="spellEnd"/>
      <w:r w:rsidR="00C32F38">
        <w:rPr>
          <w:lang w:val="en-GB"/>
        </w:rPr>
        <w:t xml:space="preserve"> et al., 2020)</w:t>
      </w:r>
      <w:r w:rsidRPr="00527C1D">
        <w:rPr>
          <w:lang w:val="en-GB"/>
        </w:rPr>
        <w:t>. Over the years many type</w:t>
      </w:r>
      <w:r w:rsidR="00627228">
        <w:rPr>
          <w:lang w:val="en-GB"/>
        </w:rPr>
        <w:t>s</w:t>
      </w:r>
      <w:r w:rsidRPr="00527C1D">
        <w:rPr>
          <w:lang w:val="en-GB"/>
        </w:rPr>
        <w:t xml:space="preserve"> of technology and approaches has being developed </w:t>
      </w:r>
      <w:r w:rsidR="00C32F38">
        <w:rPr>
          <w:lang w:val="en-GB"/>
        </w:rPr>
        <w:t>(</w:t>
      </w:r>
      <w:proofErr w:type="spellStart"/>
      <w:r w:rsidR="00C32F38">
        <w:rPr>
          <w:lang w:val="en-GB"/>
        </w:rPr>
        <w:t>Ciampi</w:t>
      </w:r>
      <w:proofErr w:type="spellEnd"/>
      <w:r w:rsidR="00C32F38">
        <w:rPr>
          <w:lang w:val="en-GB"/>
        </w:rPr>
        <w:t xml:space="preserve"> et al., 2019)</w:t>
      </w:r>
      <w:r w:rsidRPr="00527C1D">
        <w:rPr>
          <w:lang w:val="en-GB"/>
        </w:rPr>
        <w:t xml:space="preserve">, but the one’s that involves the contaminated matrices indigenous microorganisms seems to be the most costs effective and promising </w:t>
      </w:r>
      <w:r w:rsidR="00C32F38">
        <w:rPr>
          <w:lang w:val="en-GB"/>
        </w:rPr>
        <w:t xml:space="preserve">(Rossi </w:t>
      </w:r>
      <w:r w:rsidR="00C32F38">
        <w:rPr>
          <w:lang w:val="en-GB"/>
        </w:rPr>
        <w:lastRenderedPageBreak/>
        <w:t>et al., 2021)</w:t>
      </w:r>
      <w:r w:rsidRPr="00527C1D">
        <w:rPr>
          <w:lang w:val="en-GB"/>
        </w:rPr>
        <w:t xml:space="preserve">. </w:t>
      </w:r>
      <w:r w:rsidR="00627228" w:rsidRPr="00527C1D">
        <w:rPr>
          <w:lang w:val="en-GB"/>
        </w:rPr>
        <w:t>Actually,</w:t>
      </w:r>
      <w:r w:rsidRPr="00527C1D">
        <w:rPr>
          <w:lang w:val="en-GB"/>
        </w:rPr>
        <w:t xml:space="preserve"> </w:t>
      </w:r>
      <w:proofErr w:type="gramStart"/>
      <w:r w:rsidRPr="00527C1D">
        <w:rPr>
          <w:lang w:val="en-GB"/>
        </w:rPr>
        <w:t>some kind of microorganisms</w:t>
      </w:r>
      <w:proofErr w:type="gramEnd"/>
      <w:r w:rsidRPr="00527C1D">
        <w:rPr>
          <w:lang w:val="en-GB"/>
        </w:rPr>
        <w:t xml:space="preserve"> are able to remove from the </w:t>
      </w:r>
      <w:proofErr w:type="spellStart"/>
      <w:r w:rsidRPr="00527C1D">
        <w:rPr>
          <w:lang w:val="en-GB"/>
        </w:rPr>
        <w:t>hydrocarburic</w:t>
      </w:r>
      <w:proofErr w:type="spellEnd"/>
      <w:r w:rsidRPr="00527C1D">
        <w:rPr>
          <w:lang w:val="en-GB"/>
        </w:rPr>
        <w:t xml:space="preserve"> skeleton of the molecule the chlorine atoms reducing their toxicity. Two major type of dechlorinating reactions are </w:t>
      </w:r>
      <w:r w:rsidR="00A40E7A" w:rsidRPr="00527C1D">
        <w:rPr>
          <w:lang w:val="en-GB"/>
        </w:rPr>
        <w:t>known</w:t>
      </w:r>
      <w:r w:rsidRPr="00527C1D">
        <w:rPr>
          <w:lang w:val="en-GB"/>
        </w:rPr>
        <w:t xml:space="preserve">: the reductive dechlorination reaction, that occurs in anaerobic environments, and the oxidative dechlorination which take places in the aerobic ones. Reductive dechlorination is a </w:t>
      </w:r>
      <w:r w:rsidR="00A40E7A">
        <w:rPr>
          <w:lang w:val="en-GB"/>
        </w:rPr>
        <w:t xml:space="preserve">sequential </w:t>
      </w:r>
      <w:r w:rsidRPr="00527C1D">
        <w:rPr>
          <w:lang w:val="en-GB"/>
        </w:rPr>
        <w:t xml:space="preserve">step reaction in which chlorinated compounds is reduced as a consequence of the substitution of a chlorine atom with </w:t>
      </w:r>
      <w:r w:rsidR="00A40E7A" w:rsidRPr="00527C1D">
        <w:rPr>
          <w:lang w:val="en-GB"/>
        </w:rPr>
        <w:t>a</w:t>
      </w:r>
      <w:r w:rsidRPr="00527C1D">
        <w:rPr>
          <w:lang w:val="en-GB"/>
        </w:rPr>
        <w:t xml:space="preserve"> hydrogen atom that came from the reduction of the molecular hydrogen. Only one kind of microorganisms </w:t>
      </w:r>
      <w:proofErr w:type="gramStart"/>
      <w:r w:rsidRPr="00527C1D">
        <w:rPr>
          <w:lang w:val="en-GB"/>
        </w:rPr>
        <w:t>is able to</w:t>
      </w:r>
      <w:proofErr w:type="gramEnd"/>
      <w:r w:rsidRPr="00527C1D">
        <w:rPr>
          <w:lang w:val="en-GB"/>
        </w:rPr>
        <w:t xml:space="preserve"> reduce the PCE to ethylene which is the only non-toxic backbone daughter products and it is the </w:t>
      </w:r>
      <w:proofErr w:type="spellStart"/>
      <w:r w:rsidRPr="00527C1D">
        <w:rPr>
          <w:lang w:val="en-GB"/>
        </w:rPr>
        <w:t>Dehaloccoides</w:t>
      </w:r>
      <w:proofErr w:type="spellEnd"/>
      <w:r w:rsidRPr="00527C1D">
        <w:rPr>
          <w:lang w:val="en-GB"/>
        </w:rPr>
        <w:t xml:space="preserve"> </w:t>
      </w:r>
      <w:proofErr w:type="spellStart"/>
      <w:r w:rsidRPr="00527C1D">
        <w:rPr>
          <w:lang w:val="en-GB"/>
        </w:rPr>
        <w:t>McCartyii</w:t>
      </w:r>
      <w:proofErr w:type="spellEnd"/>
      <w:r w:rsidRPr="00527C1D">
        <w:rPr>
          <w:lang w:val="en-GB"/>
        </w:rPr>
        <w:t xml:space="preserve">. Often, due to the lack of the proper redox condition and electron donor quantity, the reductive dechlorination led to the accumulation of cis-Dichloroethylene and Vinyl Chloride. </w:t>
      </w:r>
      <w:proofErr w:type="gramStart"/>
      <w:r w:rsidRPr="00527C1D">
        <w:rPr>
          <w:lang w:val="en-GB"/>
        </w:rPr>
        <w:t>In particular the</w:t>
      </w:r>
      <w:proofErr w:type="gramEnd"/>
      <w:r w:rsidRPr="00527C1D">
        <w:rPr>
          <w:lang w:val="en-GB"/>
        </w:rPr>
        <w:t xml:space="preserve"> VC is the only cancerogenic compound in the RD pathway. However, the oxidative dechlorination which is a co-metabolic reaction that produce carbon dioxide, cannot dechlorinate high chlorinated compounds due to electronegativity issues. For these reasons a combination of reduction and oxidation seems to be a promising way to fully mineralize the starting CAHs </w:t>
      </w:r>
      <w:r w:rsidR="0091319B">
        <w:rPr>
          <w:lang w:val="en-GB"/>
        </w:rPr>
        <w:t>(M. Zeppilli et al., 2019)</w:t>
      </w:r>
      <w:r w:rsidRPr="00527C1D">
        <w:rPr>
          <w:lang w:val="en-GB"/>
        </w:rPr>
        <w:t xml:space="preserve">. In the lasts twenty years </w:t>
      </w:r>
      <w:r w:rsidR="00A40E7A" w:rsidRPr="00527C1D">
        <w:rPr>
          <w:lang w:val="en-GB"/>
        </w:rPr>
        <w:t>bioelectrochemical</w:t>
      </w:r>
      <w:r w:rsidRPr="00527C1D">
        <w:rPr>
          <w:lang w:val="en-GB"/>
        </w:rPr>
        <w:t xml:space="preserve"> systems </w:t>
      </w:r>
      <w:r w:rsidR="00BF04B2">
        <w:rPr>
          <w:lang w:val="en-GB"/>
        </w:rPr>
        <w:t>(Rosembaum et al., 2011)</w:t>
      </w:r>
      <w:r w:rsidRPr="00527C1D">
        <w:rPr>
          <w:lang w:val="en-GB"/>
        </w:rPr>
        <w:t xml:space="preserve">, electrochemical technology that involves the interaction between solid state electrodes and microorganisms, has been study for remediation purposes due to their capability to easily generate sequential reductive/oxidative environments and the low operational energy requirements. In this paper the </w:t>
      </w:r>
      <w:r w:rsidR="00E77369">
        <w:rPr>
          <w:lang w:val="en-GB"/>
        </w:rPr>
        <w:t xml:space="preserve">fluidynamic </w:t>
      </w:r>
      <w:r w:rsidRPr="00527C1D">
        <w:rPr>
          <w:lang w:val="en-GB"/>
        </w:rPr>
        <w:t xml:space="preserve">characterization of </w:t>
      </w:r>
      <w:r w:rsidR="00E77369">
        <w:rPr>
          <w:lang w:val="en-GB"/>
        </w:rPr>
        <w:t xml:space="preserve">reductive and oxidative upscaled units </w:t>
      </w:r>
      <w:r w:rsidRPr="00527C1D">
        <w:rPr>
          <w:lang w:val="en-GB"/>
        </w:rPr>
        <w:t xml:space="preserve">is reported. After a laboratory scale validation period </w:t>
      </w:r>
      <w:r w:rsidR="00BF04B2">
        <w:rPr>
          <w:lang w:val="en-GB"/>
        </w:rPr>
        <w:t>(Dell’Armi et al., 2022a)</w:t>
      </w:r>
      <w:r w:rsidRPr="00527C1D">
        <w:rPr>
          <w:lang w:val="en-GB"/>
        </w:rPr>
        <w:t xml:space="preserve"> the reactors configuration has been scaled up to prove the capability of BESs for groundwater remediation possibility on a field test.</w:t>
      </w:r>
      <w:r w:rsidR="00E77369">
        <w:rPr>
          <w:lang w:val="en-GB"/>
        </w:rPr>
        <w:t xml:space="preserve"> Tracer tests and Reynolds number determination were adopted to describe the results of the scale-up procedure.</w:t>
      </w:r>
    </w:p>
    <w:p w14:paraId="145D361D" w14:textId="77777777" w:rsidR="00BE4F48" w:rsidRPr="00BE4F48" w:rsidRDefault="00BE4F48" w:rsidP="00BE4F48">
      <w:pPr>
        <w:spacing w:before="240"/>
        <w:rPr>
          <w:rFonts w:cstheme="minorHAnsi"/>
          <w:b/>
          <w:bCs/>
          <w:color w:val="000000"/>
          <w:sz w:val="20"/>
          <w:lang w:val="en-US" w:eastAsia="it-IT"/>
        </w:rPr>
      </w:pPr>
      <w:r w:rsidRPr="00BE4F48">
        <w:rPr>
          <w:rFonts w:cstheme="minorHAnsi"/>
          <w:b/>
          <w:bCs/>
          <w:color w:val="000000"/>
          <w:sz w:val="20"/>
          <w:lang w:val="en-US" w:eastAsia="it-IT"/>
        </w:rPr>
        <w:t>2. Material and methods</w:t>
      </w:r>
    </w:p>
    <w:p w14:paraId="4298919B" w14:textId="20D2905F" w:rsidR="0023527D" w:rsidRPr="00EB6C53" w:rsidRDefault="0023527D" w:rsidP="00EB6C53">
      <w:pPr>
        <w:spacing w:before="240"/>
        <w:rPr>
          <w:rFonts w:cstheme="minorHAnsi"/>
          <w:i/>
          <w:iCs/>
          <w:color w:val="000000"/>
          <w:lang w:eastAsia="it-IT"/>
        </w:rPr>
      </w:pPr>
      <w:r w:rsidRPr="00EB6C53">
        <w:rPr>
          <w:rFonts w:cstheme="minorHAnsi"/>
          <w:i/>
          <w:iCs/>
          <w:color w:val="000000"/>
          <w:lang w:eastAsia="it-IT"/>
        </w:rPr>
        <w:t xml:space="preserve">2.1 Laboratory and pilot scale </w:t>
      </w:r>
      <w:r w:rsidR="00EB6C53">
        <w:rPr>
          <w:rFonts w:cstheme="minorHAnsi"/>
          <w:i/>
          <w:iCs/>
          <w:color w:val="000000"/>
          <w:lang w:eastAsia="it-IT"/>
        </w:rPr>
        <w:t>reactors</w:t>
      </w:r>
      <w:r w:rsidRPr="00EB6C53">
        <w:rPr>
          <w:rFonts w:cstheme="minorHAnsi"/>
          <w:i/>
          <w:iCs/>
          <w:color w:val="000000"/>
          <w:lang w:eastAsia="it-IT"/>
        </w:rPr>
        <w:t xml:space="preserve"> configuration </w:t>
      </w:r>
    </w:p>
    <w:p w14:paraId="601D7692" w14:textId="7E639F00" w:rsidR="0023527D" w:rsidRPr="00A3055B" w:rsidRDefault="0023527D" w:rsidP="0023527D">
      <w:pPr>
        <w:spacing w:before="240"/>
        <w:rPr>
          <w:rFonts w:cstheme="minorHAnsi"/>
          <w:color w:val="000000"/>
          <w:lang w:val="en-US" w:eastAsia="it-IT"/>
        </w:rPr>
      </w:pPr>
      <w:r w:rsidRPr="00A3055B">
        <w:rPr>
          <w:rFonts w:cstheme="minorHAnsi"/>
          <w:color w:val="000000"/>
          <w:lang w:val="en-US" w:eastAsia="it-IT"/>
        </w:rPr>
        <w:t>The laboratory-scale sequential bioelectrochemical process consisted of a reductive and an oxidative reactor with an empty volume of 8.24 and 3.14 L</w:t>
      </w:r>
      <w:r w:rsidR="00C32F38">
        <w:rPr>
          <w:rFonts w:cstheme="minorHAnsi"/>
          <w:color w:val="000000"/>
          <w:lang w:val="en-US" w:eastAsia="it-IT"/>
        </w:rPr>
        <w:t xml:space="preserve"> (Dell’Armi et al., 2022</w:t>
      </w:r>
      <w:r w:rsidR="00BF04B2">
        <w:rPr>
          <w:rFonts w:cstheme="minorHAnsi"/>
          <w:color w:val="000000"/>
          <w:lang w:val="en-US" w:eastAsia="it-IT"/>
        </w:rPr>
        <w:t>b</w:t>
      </w:r>
      <w:r w:rsidR="00C32F38">
        <w:rPr>
          <w:rFonts w:cstheme="minorHAnsi"/>
          <w:color w:val="000000"/>
          <w:lang w:val="en-US" w:eastAsia="it-IT"/>
        </w:rPr>
        <w:t>)</w:t>
      </w:r>
      <w:r w:rsidRPr="00A3055B">
        <w:rPr>
          <w:rFonts w:cstheme="minorHAnsi"/>
          <w:color w:val="000000"/>
          <w:lang w:val="en-US" w:eastAsia="it-IT"/>
        </w:rPr>
        <w:t>, respectively.</w:t>
      </w:r>
      <w:r w:rsidR="007502CD">
        <w:rPr>
          <w:rFonts w:cstheme="minorHAnsi"/>
          <w:color w:val="000000"/>
          <w:lang w:val="en-US" w:eastAsia="it-IT"/>
        </w:rPr>
        <w:t xml:space="preserve"> The reductive reactor was a borosilicate glass column with a height of 100 cm and an internal diameter of 10 cm while the oxidative reactor was constructed with a borosilicate glass column with a height of 40 cm and an internal diameter of 10 cm.</w:t>
      </w:r>
      <w:r w:rsidRPr="00A3055B">
        <w:rPr>
          <w:rFonts w:cstheme="minorHAnsi"/>
          <w:color w:val="000000"/>
          <w:lang w:val="en-US" w:eastAsia="it-IT"/>
        </w:rPr>
        <w:t xml:space="preserve"> Both reactors were equipped with an internal counter electrode consisting of a tubular structure filled with graphite granules enveloped in a plastic material that avoided the shortcut of the circuit while allowing for electrolyte migration. The scale-up strategy adopted was the Geometric similarity approach which consists of the maintenance of a constant scale ratio between the volume of the laboratory scale and the scaled-up units. As reported in table 1, a constant scale factor of 13 was maintained for the scale-up of the working and counterelectrode volume (i.e. the external and the internal reactor body). Figure 1 shows the scheme of the reductive and oxidative bioelectrochemical units.</w:t>
      </w:r>
      <w:r w:rsidR="00EB6C53">
        <w:rPr>
          <w:rFonts w:cstheme="minorHAnsi"/>
          <w:color w:val="000000"/>
          <w:lang w:val="en-US" w:eastAsia="it-IT"/>
        </w:rPr>
        <w:t xml:space="preserve"> </w:t>
      </w:r>
    </w:p>
    <w:p w14:paraId="7D57BB28" w14:textId="17EB8584" w:rsidR="00FA44DE" w:rsidRPr="00B57B36" w:rsidRDefault="00FA44DE" w:rsidP="00FA44DE">
      <w:pPr>
        <w:pStyle w:val="CETTabletitle"/>
      </w:pPr>
      <w:r w:rsidRPr="00B57B36">
        <w:t xml:space="preserve">Table 1: </w:t>
      </w:r>
      <w:r w:rsidRPr="00FA44DE">
        <w:t>Working volume of the laboratory and pilot scale bioelectrochemical units and the relative scale factor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1559"/>
        <w:gridCol w:w="1701"/>
        <w:gridCol w:w="1701"/>
      </w:tblGrid>
      <w:tr w:rsidR="00FA44DE" w:rsidRPr="00B57B36" w14:paraId="752FBB1B" w14:textId="77777777" w:rsidTr="00FA44DE">
        <w:tc>
          <w:tcPr>
            <w:tcW w:w="2977" w:type="dxa"/>
            <w:tcBorders>
              <w:top w:val="single" w:sz="12" w:space="0" w:color="008000"/>
              <w:bottom w:val="single" w:sz="6" w:space="0" w:color="008000"/>
            </w:tcBorders>
            <w:shd w:val="clear" w:color="auto" w:fill="FFFFFF"/>
          </w:tcPr>
          <w:p w14:paraId="29B3FA9F" w14:textId="416DDE0A" w:rsidR="00FA44DE" w:rsidRPr="00B57B36" w:rsidRDefault="00FA44DE" w:rsidP="001E1B03">
            <w:pPr>
              <w:pStyle w:val="CETBodytext"/>
              <w:rPr>
                <w:lang w:val="en-GB"/>
              </w:rPr>
            </w:pPr>
          </w:p>
        </w:tc>
        <w:tc>
          <w:tcPr>
            <w:tcW w:w="1559" w:type="dxa"/>
            <w:tcBorders>
              <w:top w:val="single" w:sz="12" w:space="0" w:color="008000"/>
              <w:bottom w:val="single" w:sz="6" w:space="0" w:color="008000"/>
            </w:tcBorders>
            <w:shd w:val="clear" w:color="auto" w:fill="FFFFFF"/>
          </w:tcPr>
          <w:p w14:paraId="78A280CC" w14:textId="2AE1C072" w:rsidR="00FA44DE" w:rsidRPr="00B57B36" w:rsidRDefault="00FA44DE" w:rsidP="001E1B03">
            <w:pPr>
              <w:pStyle w:val="CETBodytext"/>
              <w:rPr>
                <w:lang w:val="en-GB"/>
              </w:rPr>
            </w:pPr>
            <w:r w:rsidRPr="001B79C8">
              <w:rPr>
                <w:rFonts w:cs="Arial"/>
                <w:szCs w:val="18"/>
              </w:rPr>
              <w:t>LAB SCALE</w:t>
            </w:r>
          </w:p>
        </w:tc>
        <w:tc>
          <w:tcPr>
            <w:tcW w:w="1701" w:type="dxa"/>
            <w:tcBorders>
              <w:top w:val="single" w:sz="12" w:space="0" w:color="008000"/>
              <w:bottom w:val="single" w:sz="6" w:space="0" w:color="008000"/>
            </w:tcBorders>
            <w:shd w:val="clear" w:color="auto" w:fill="FFFFFF"/>
          </w:tcPr>
          <w:p w14:paraId="0D34068D" w14:textId="20B02497" w:rsidR="00FA44DE" w:rsidRPr="00B57B36" w:rsidRDefault="00FA44DE" w:rsidP="001E1B03">
            <w:pPr>
              <w:pStyle w:val="CETBodytext"/>
              <w:rPr>
                <w:lang w:val="en-GB"/>
              </w:rPr>
            </w:pPr>
            <w:r w:rsidRPr="001B79C8">
              <w:rPr>
                <w:rFonts w:cs="Arial"/>
                <w:szCs w:val="18"/>
              </w:rPr>
              <w:t>PILOT SCALE</w:t>
            </w:r>
          </w:p>
        </w:tc>
        <w:tc>
          <w:tcPr>
            <w:tcW w:w="1701" w:type="dxa"/>
            <w:tcBorders>
              <w:top w:val="single" w:sz="12" w:space="0" w:color="008000"/>
              <w:bottom w:val="single" w:sz="6" w:space="0" w:color="008000"/>
            </w:tcBorders>
            <w:shd w:val="clear" w:color="auto" w:fill="FFFFFF"/>
          </w:tcPr>
          <w:p w14:paraId="1FEC0D31" w14:textId="0FDE4598" w:rsidR="00FA44DE" w:rsidRPr="00B57B36" w:rsidRDefault="00FA44DE" w:rsidP="001E1B03">
            <w:pPr>
              <w:pStyle w:val="CETBodytext"/>
              <w:ind w:right="-1"/>
              <w:rPr>
                <w:rFonts w:cs="Arial"/>
                <w:szCs w:val="18"/>
                <w:lang w:val="en-GB"/>
              </w:rPr>
            </w:pPr>
            <w:r w:rsidRPr="001B79C8">
              <w:rPr>
                <w:rFonts w:cs="Arial"/>
                <w:szCs w:val="18"/>
              </w:rPr>
              <w:t>SCALE FACTOR</w:t>
            </w:r>
          </w:p>
        </w:tc>
      </w:tr>
      <w:tr w:rsidR="00FA44DE" w:rsidRPr="00B57B36" w14:paraId="13C82AB3" w14:textId="77777777" w:rsidTr="00FA44DE">
        <w:tc>
          <w:tcPr>
            <w:tcW w:w="2977" w:type="dxa"/>
            <w:shd w:val="clear" w:color="auto" w:fill="FFFFFF"/>
          </w:tcPr>
          <w:p w14:paraId="4329FD7C" w14:textId="1E7A9B8C" w:rsidR="00FA44DE" w:rsidRPr="00B57B36" w:rsidRDefault="00FA44DE" w:rsidP="00FA44DE">
            <w:pPr>
              <w:pStyle w:val="CETBodytext"/>
              <w:rPr>
                <w:lang w:val="en-GB"/>
              </w:rPr>
            </w:pPr>
            <w:r w:rsidRPr="001B79C8">
              <w:rPr>
                <w:rFonts w:cs="Arial"/>
                <w:szCs w:val="18"/>
              </w:rPr>
              <w:t>Working electrode volume (L)</w:t>
            </w:r>
          </w:p>
        </w:tc>
        <w:tc>
          <w:tcPr>
            <w:tcW w:w="1559" w:type="dxa"/>
            <w:shd w:val="clear" w:color="auto" w:fill="FFFFFF"/>
            <w:vAlign w:val="center"/>
          </w:tcPr>
          <w:p w14:paraId="3CEE4F7F" w14:textId="2DE44FFF" w:rsidR="00FA44DE" w:rsidRPr="00B57B36" w:rsidRDefault="00FA44DE" w:rsidP="00FA44DE">
            <w:pPr>
              <w:pStyle w:val="CETBodytext"/>
              <w:rPr>
                <w:lang w:val="en-GB"/>
              </w:rPr>
            </w:pPr>
            <w:r w:rsidRPr="001B79C8">
              <w:rPr>
                <w:rFonts w:cs="Arial"/>
                <w:szCs w:val="18"/>
              </w:rPr>
              <w:t>6.54</w:t>
            </w:r>
          </w:p>
        </w:tc>
        <w:tc>
          <w:tcPr>
            <w:tcW w:w="1701" w:type="dxa"/>
            <w:shd w:val="clear" w:color="auto" w:fill="FFFFFF"/>
            <w:vAlign w:val="center"/>
          </w:tcPr>
          <w:p w14:paraId="1D6C7FA0" w14:textId="2ADDA8F4" w:rsidR="00FA44DE" w:rsidRPr="00B57B36" w:rsidRDefault="00FA44DE" w:rsidP="00FA44DE">
            <w:pPr>
              <w:pStyle w:val="CETBodytext"/>
              <w:rPr>
                <w:lang w:val="en-GB"/>
              </w:rPr>
            </w:pPr>
            <w:r w:rsidRPr="001B79C8">
              <w:rPr>
                <w:rFonts w:cs="Arial"/>
                <w:szCs w:val="18"/>
              </w:rPr>
              <w:t>82</w:t>
            </w:r>
          </w:p>
        </w:tc>
        <w:tc>
          <w:tcPr>
            <w:tcW w:w="1701" w:type="dxa"/>
            <w:shd w:val="clear" w:color="auto" w:fill="FFFFFF"/>
            <w:vAlign w:val="center"/>
          </w:tcPr>
          <w:p w14:paraId="6668D159" w14:textId="14A75EC7" w:rsidR="00FA44DE" w:rsidRPr="00B57B36" w:rsidRDefault="00FA44DE" w:rsidP="00FA44DE">
            <w:pPr>
              <w:pStyle w:val="CETBodytext"/>
              <w:ind w:right="-1"/>
              <w:rPr>
                <w:rFonts w:cs="Arial"/>
                <w:szCs w:val="18"/>
                <w:lang w:val="en-GB"/>
              </w:rPr>
            </w:pPr>
            <w:r w:rsidRPr="001B79C8">
              <w:rPr>
                <w:rFonts w:cs="Arial"/>
                <w:szCs w:val="18"/>
              </w:rPr>
              <w:t>12.5</w:t>
            </w:r>
          </w:p>
        </w:tc>
      </w:tr>
      <w:tr w:rsidR="00FA44DE" w:rsidRPr="00B57B36" w14:paraId="1A76ECD2" w14:textId="77777777" w:rsidTr="00FA44DE">
        <w:tc>
          <w:tcPr>
            <w:tcW w:w="2977" w:type="dxa"/>
            <w:shd w:val="clear" w:color="auto" w:fill="FFFFFF"/>
            <w:vAlign w:val="center"/>
          </w:tcPr>
          <w:p w14:paraId="3F92BFB7" w14:textId="29E19112" w:rsidR="00FA44DE" w:rsidRPr="001B79C8" w:rsidRDefault="00FA44DE" w:rsidP="00FA44DE">
            <w:pPr>
              <w:pStyle w:val="CETBodytext"/>
              <w:rPr>
                <w:rFonts w:cs="Arial"/>
                <w:szCs w:val="18"/>
              </w:rPr>
            </w:pPr>
            <w:r w:rsidRPr="001B79C8">
              <w:rPr>
                <w:rFonts w:cs="Arial"/>
                <w:szCs w:val="18"/>
              </w:rPr>
              <w:t>Counter electrode volume (L)</w:t>
            </w:r>
          </w:p>
        </w:tc>
        <w:tc>
          <w:tcPr>
            <w:tcW w:w="1559" w:type="dxa"/>
            <w:shd w:val="clear" w:color="auto" w:fill="FFFFFF"/>
            <w:vAlign w:val="center"/>
          </w:tcPr>
          <w:p w14:paraId="7BD1A45F" w14:textId="4D87163C" w:rsidR="00FA44DE" w:rsidRPr="00B57B36" w:rsidRDefault="00FA44DE" w:rsidP="00FA44DE">
            <w:pPr>
              <w:pStyle w:val="CETBodytext"/>
              <w:rPr>
                <w:lang w:val="en-GB"/>
              </w:rPr>
            </w:pPr>
            <w:r w:rsidRPr="001B79C8">
              <w:rPr>
                <w:rFonts w:cs="Arial"/>
                <w:szCs w:val="18"/>
              </w:rPr>
              <w:t>1.70</w:t>
            </w:r>
          </w:p>
        </w:tc>
        <w:tc>
          <w:tcPr>
            <w:tcW w:w="1701" w:type="dxa"/>
            <w:shd w:val="clear" w:color="auto" w:fill="FFFFFF"/>
            <w:vAlign w:val="center"/>
          </w:tcPr>
          <w:p w14:paraId="349BC8FF" w14:textId="526CEC90" w:rsidR="00FA44DE" w:rsidRPr="00B57B36" w:rsidRDefault="00FA44DE" w:rsidP="00FA44DE">
            <w:pPr>
              <w:pStyle w:val="CETBodytext"/>
              <w:rPr>
                <w:lang w:val="en-GB"/>
              </w:rPr>
            </w:pPr>
            <w:r w:rsidRPr="001B79C8">
              <w:rPr>
                <w:rFonts w:cs="Arial"/>
                <w:szCs w:val="18"/>
              </w:rPr>
              <w:t>23</w:t>
            </w:r>
          </w:p>
        </w:tc>
        <w:tc>
          <w:tcPr>
            <w:tcW w:w="1701" w:type="dxa"/>
            <w:shd w:val="clear" w:color="auto" w:fill="FFFFFF"/>
            <w:vAlign w:val="center"/>
          </w:tcPr>
          <w:p w14:paraId="577ABB79" w14:textId="37BC3850" w:rsidR="00FA44DE" w:rsidRPr="00B57B36" w:rsidRDefault="00FA44DE" w:rsidP="00FA44DE">
            <w:pPr>
              <w:pStyle w:val="CETBodytext"/>
              <w:ind w:right="-1"/>
              <w:rPr>
                <w:rFonts w:cs="Arial"/>
                <w:szCs w:val="18"/>
                <w:lang w:val="en-GB"/>
              </w:rPr>
            </w:pPr>
            <w:r w:rsidRPr="001B79C8">
              <w:rPr>
                <w:rFonts w:cs="Arial"/>
                <w:szCs w:val="18"/>
              </w:rPr>
              <w:t>13.5</w:t>
            </w:r>
          </w:p>
        </w:tc>
      </w:tr>
      <w:tr w:rsidR="00FA44DE" w:rsidRPr="00B57B36" w14:paraId="3B7E926B" w14:textId="77777777" w:rsidTr="00FA44DE">
        <w:tc>
          <w:tcPr>
            <w:tcW w:w="2977" w:type="dxa"/>
            <w:shd w:val="clear" w:color="auto" w:fill="FFFFFF"/>
            <w:vAlign w:val="center"/>
          </w:tcPr>
          <w:p w14:paraId="011AC0A4" w14:textId="56A8313A" w:rsidR="00FA44DE" w:rsidRPr="00B57B36" w:rsidRDefault="00FA44DE" w:rsidP="00FA44DE">
            <w:pPr>
              <w:pStyle w:val="CETBodytext"/>
              <w:ind w:right="-1"/>
              <w:rPr>
                <w:rFonts w:cs="Arial"/>
                <w:szCs w:val="18"/>
                <w:lang w:val="en-GB"/>
              </w:rPr>
            </w:pPr>
            <w:r w:rsidRPr="001B79C8">
              <w:rPr>
                <w:rFonts w:cs="Arial"/>
                <w:szCs w:val="18"/>
              </w:rPr>
              <w:t>Working/Counter Ratio</w:t>
            </w:r>
          </w:p>
        </w:tc>
        <w:tc>
          <w:tcPr>
            <w:tcW w:w="1559" w:type="dxa"/>
            <w:shd w:val="clear" w:color="auto" w:fill="FFFFFF"/>
            <w:vAlign w:val="center"/>
          </w:tcPr>
          <w:p w14:paraId="7A5CFC1C" w14:textId="0D756327" w:rsidR="00FA44DE" w:rsidRPr="00B57B36" w:rsidRDefault="00FA44DE" w:rsidP="00FA44DE">
            <w:pPr>
              <w:pStyle w:val="CETBodytext"/>
              <w:ind w:right="-1"/>
              <w:rPr>
                <w:rFonts w:cs="Arial"/>
                <w:szCs w:val="18"/>
                <w:lang w:val="en-GB"/>
              </w:rPr>
            </w:pPr>
            <w:r w:rsidRPr="001B79C8">
              <w:rPr>
                <w:rFonts w:cs="Arial"/>
                <w:szCs w:val="18"/>
              </w:rPr>
              <w:t>3.8</w:t>
            </w:r>
          </w:p>
        </w:tc>
        <w:tc>
          <w:tcPr>
            <w:tcW w:w="1701" w:type="dxa"/>
            <w:shd w:val="clear" w:color="auto" w:fill="FFFFFF"/>
            <w:vAlign w:val="center"/>
          </w:tcPr>
          <w:p w14:paraId="5C40C8A4" w14:textId="6B6983EA" w:rsidR="00FA44DE" w:rsidRPr="00B57B36" w:rsidRDefault="00FA44DE" w:rsidP="00FA44DE">
            <w:pPr>
              <w:pStyle w:val="CETBodytext"/>
              <w:ind w:right="-1"/>
              <w:rPr>
                <w:rFonts w:cs="Arial"/>
                <w:szCs w:val="18"/>
                <w:lang w:val="en-GB"/>
              </w:rPr>
            </w:pPr>
            <w:r w:rsidRPr="001B79C8">
              <w:rPr>
                <w:rFonts w:cs="Arial"/>
                <w:szCs w:val="18"/>
              </w:rPr>
              <w:t>3.6</w:t>
            </w:r>
          </w:p>
        </w:tc>
        <w:tc>
          <w:tcPr>
            <w:tcW w:w="1701" w:type="dxa"/>
            <w:shd w:val="clear" w:color="auto" w:fill="FFFFFF"/>
            <w:vAlign w:val="center"/>
          </w:tcPr>
          <w:p w14:paraId="3C5E145E" w14:textId="77777777" w:rsidR="00FA44DE" w:rsidRPr="00B57B36" w:rsidRDefault="00FA44DE" w:rsidP="00FA44DE">
            <w:pPr>
              <w:pStyle w:val="CETBodytext"/>
              <w:ind w:right="-1"/>
              <w:rPr>
                <w:rFonts w:cs="Arial"/>
                <w:szCs w:val="18"/>
                <w:lang w:val="en-GB"/>
              </w:rPr>
            </w:pPr>
          </w:p>
        </w:tc>
      </w:tr>
    </w:tbl>
    <w:p w14:paraId="2200D9FC" w14:textId="06181877" w:rsidR="0023527D" w:rsidRDefault="00EB6C53" w:rsidP="0023527D">
      <w:pPr>
        <w:spacing w:before="240"/>
        <w:rPr>
          <w:rFonts w:cstheme="minorHAnsi"/>
          <w:color w:val="000000"/>
          <w:sz w:val="20"/>
          <w:lang w:val="en-US" w:eastAsia="it-IT"/>
        </w:rPr>
      </w:pPr>
      <w:r>
        <w:rPr>
          <w:rFonts w:cstheme="minorHAnsi"/>
          <w:color w:val="000000"/>
          <w:lang w:val="en-US" w:eastAsia="it-IT"/>
        </w:rPr>
        <w:t xml:space="preserve">Pilot scale units were realized with an external HDPE pipe with a diameter of 300 mm and </w:t>
      </w:r>
      <w:r w:rsidR="00CE1481">
        <w:rPr>
          <w:rFonts w:cstheme="minorHAnsi"/>
          <w:color w:val="000000"/>
          <w:lang w:val="en-US" w:eastAsia="it-IT"/>
        </w:rPr>
        <w:t>a</w:t>
      </w:r>
      <w:bookmarkStart w:id="0" w:name="_GoBack"/>
      <w:bookmarkEnd w:id="0"/>
      <w:r>
        <w:rPr>
          <w:rFonts w:cstheme="minorHAnsi"/>
          <w:color w:val="000000"/>
          <w:lang w:val="en-US" w:eastAsia="it-IT"/>
        </w:rPr>
        <w:t xml:space="preserve"> height a 1500 mm, while a PVC pipe with a diameter of 170 mm and an height of 1000 mm was used as internal body to realize the counterelectrode. </w:t>
      </w:r>
      <w:r w:rsidRPr="00A3055B">
        <w:rPr>
          <w:rFonts w:cstheme="minorHAnsi"/>
          <w:color w:val="000000"/>
          <w:lang w:val="en-US" w:eastAsia="it-IT"/>
        </w:rPr>
        <w:t>The same packing materials were used in laboratory and pilot scale units consisting of graphite granules and gravel. Graphite granules were previously selected and washed with water using a vibrating screen, which allowed the selection of the granules with a diameter higher than 1 mm. With a similar approach, the gravel was washed and selected with a diameter higher than 1 mm. The average graphite granules diameter in the laboratory and pilot scale units, estimated by using a particle distribution size average was 2 mm while, a substantial difference</w:t>
      </w:r>
      <w:r w:rsidR="00A82849">
        <w:rPr>
          <w:rFonts w:cstheme="minorHAnsi"/>
          <w:color w:val="000000"/>
          <w:lang w:val="en-US" w:eastAsia="it-IT"/>
        </w:rPr>
        <w:t>,</w:t>
      </w:r>
      <w:r w:rsidRPr="00A3055B">
        <w:rPr>
          <w:rFonts w:cstheme="minorHAnsi"/>
          <w:color w:val="000000"/>
          <w:lang w:val="en-US" w:eastAsia="it-IT"/>
        </w:rPr>
        <w:t xml:space="preserve"> in the gravel average diameter was used in laboratory and pilot scale </w:t>
      </w:r>
      <w:r>
        <w:rPr>
          <w:rFonts w:cstheme="minorHAnsi"/>
          <w:color w:val="000000"/>
          <w:lang w:val="en-US" w:eastAsia="it-IT"/>
        </w:rPr>
        <w:t xml:space="preserve">resulted 2 and 10 mm respectively. Static porosity determination by a cylinder test allowed for the determination of </w:t>
      </w:r>
      <w:r w:rsidRPr="000B3865">
        <w:rPr>
          <w:rFonts w:cstheme="minorHAnsi"/>
          <w:color w:val="000000"/>
          <w:lang w:eastAsia="it-IT"/>
        </w:rPr>
        <w:t>0.336 and 0.472 for the graphite granules and gravel</w:t>
      </w:r>
      <w:r>
        <w:rPr>
          <w:rFonts w:cstheme="minorHAnsi"/>
          <w:color w:val="000000"/>
          <w:lang w:eastAsia="it-IT"/>
        </w:rPr>
        <w:t>, respectively.</w:t>
      </w:r>
    </w:p>
    <w:p w14:paraId="15B75744" w14:textId="77777777" w:rsidR="0023527D" w:rsidRDefault="0023527D" w:rsidP="0023527D">
      <w:pPr>
        <w:keepNext/>
        <w:spacing w:after="160" w:line="259" w:lineRule="auto"/>
        <w:jc w:val="center"/>
      </w:pPr>
      <w:r w:rsidRPr="002B7D15">
        <w:rPr>
          <w:noProof/>
        </w:rPr>
        <w:lastRenderedPageBreak/>
        <w:drawing>
          <wp:inline distT="0" distB="0" distL="0" distR="0" wp14:anchorId="299BB730" wp14:editId="55CF6622">
            <wp:extent cx="5568654" cy="2333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933"/>
                    <a:stretch/>
                  </pic:blipFill>
                  <pic:spPr bwMode="auto">
                    <a:xfrm>
                      <a:off x="0" y="0"/>
                      <a:ext cx="5599208" cy="2346429"/>
                    </a:xfrm>
                    <a:prstGeom prst="rect">
                      <a:avLst/>
                    </a:prstGeom>
                    <a:noFill/>
                    <a:ln>
                      <a:noFill/>
                    </a:ln>
                    <a:extLst>
                      <a:ext uri="{53640926-AAD7-44D8-BBD7-CCE9431645EC}">
                        <a14:shadowObscured xmlns:a14="http://schemas.microsoft.com/office/drawing/2010/main"/>
                      </a:ext>
                    </a:extLst>
                  </pic:spPr>
                </pic:pic>
              </a:graphicData>
            </a:graphic>
          </wp:inline>
        </w:drawing>
      </w:r>
    </w:p>
    <w:p w14:paraId="359B8074" w14:textId="77777777" w:rsidR="0023527D" w:rsidRPr="001B79C8" w:rsidRDefault="0023527D" w:rsidP="0023527D">
      <w:pPr>
        <w:pStyle w:val="Didascalia"/>
        <w:jc w:val="center"/>
        <w:rPr>
          <w:rFonts w:cstheme="minorHAnsi"/>
          <w:b w:val="0"/>
          <w:bCs w:val="0"/>
          <w:i/>
          <w:iCs/>
          <w:color w:val="000000"/>
          <w:sz w:val="20"/>
          <w:szCs w:val="20"/>
          <w:lang w:val="en-US" w:eastAsia="it-IT"/>
        </w:rPr>
      </w:pPr>
      <w:r w:rsidRPr="001B79C8">
        <w:rPr>
          <w:rFonts w:cstheme="minorHAnsi"/>
          <w:b w:val="0"/>
          <w:bCs w:val="0"/>
          <w:i/>
          <w:iCs/>
          <w:color w:val="000000"/>
          <w:sz w:val="20"/>
          <w:szCs w:val="20"/>
          <w:lang w:val="en-US" w:eastAsia="it-IT"/>
        </w:rPr>
        <w:t xml:space="preserve">Figure </w:t>
      </w:r>
      <w:r w:rsidRPr="001B79C8">
        <w:rPr>
          <w:rFonts w:cstheme="minorHAnsi"/>
          <w:b w:val="0"/>
          <w:bCs w:val="0"/>
          <w:i/>
          <w:iCs/>
          <w:color w:val="000000"/>
          <w:sz w:val="20"/>
          <w:szCs w:val="20"/>
          <w:lang w:val="en-US" w:eastAsia="it-IT"/>
        </w:rPr>
        <w:fldChar w:fldCharType="begin"/>
      </w:r>
      <w:r w:rsidRPr="001B79C8">
        <w:rPr>
          <w:rFonts w:cstheme="minorHAnsi"/>
          <w:b w:val="0"/>
          <w:bCs w:val="0"/>
          <w:i/>
          <w:iCs/>
          <w:color w:val="000000"/>
          <w:sz w:val="20"/>
          <w:szCs w:val="20"/>
          <w:lang w:val="en-US" w:eastAsia="it-IT"/>
        </w:rPr>
        <w:instrText xml:space="preserve"> SEQ Figure \* ARABIC </w:instrText>
      </w:r>
      <w:r w:rsidRPr="001B79C8">
        <w:rPr>
          <w:rFonts w:cstheme="minorHAnsi"/>
          <w:b w:val="0"/>
          <w:bCs w:val="0"/>
          <w:i/>
          <w:iCs/>
          <w:color w:val="000000"/>
          <w:sz w:val="20"/>
          <w:szCs w:val="20"/>
          <w:lang w:val="en-US" w:eastAsia="it-IT"/>
        </w:rPr>
        <w:fldChar w:fldCharType="separate"/>
      </w:r>
      <w:r w:rsidRPr="001B79C8">
        <w:rPr>
          <w:rFonts w:cstheme="minorHAnsi"/>
          <w:b w:val="0"/>
          <w:bCs w:val="0"/>
          <w:i/>
          <w:iCs/>
          <w:color w:val="000000"/>
          <w:sz w:val="20"/>
          <w:szCs w:val="20"/>
          <w:lang w:val="en-US" w:eastAsia="it-IT"/>
        </w:rPr>
        <w:t>1</w:t>
      </w:r>
      <w:r w:rsidRPr="001B79C8">
        <w:rPr>
          <w:rFonts w:cstheme="minorHAnsi"/>
          <w:b w:val="0"/>
          <w:bCs w:val="0"/>
          <w:i/>
          <w:iCs/>
          <w:color w:val="000000"/>
          <w:sz w:val="20"/>
          <w:szCs w:val="20"/>
          <w:lang w:val="en-US" w:eastAsia="it-IT"/>
        </w:rPr>
        <w:fldChar w:fldCharType="end"/>
      </w:r>
      <w:r w:rsidRPr="001B79C8">
        <w:rPr>
          <w:rFonts w:cstheme="minorHAnsi"/>
          <w:b w:val="0"/>
          <w:bCs w:val="0"/>
          <w:i/>
          <w:iCs/>
          <w:color w:val="000000"/>
          <w:sz w:val="20"/>
          <w:szCs w:val="20"/>
          <w:lang w:val="en-US" w:eastAsia="it-IT"/>
        </w:rPr>
        <w:t>. Schematic representation of the reductive and oxidative scaled up bioelectrochemical units</w:t>
      </w:r>
    </w:p>
    <w:p w14:paraId="7A245D55" w14:textId="6838880A" w:rsidR="0023527D" w:rsidRPr="00A3055B" w:rsidRDefault="00A3055B" w:rsidP="00BE4F48">
      <w:pPr>
        <w:pStyle w:val="Paragrafoelenco"/>
        <w:spacing w:before="240"/>
        <w:ind w:left="0"/>
        <w:rPr>
          <w:sz w:val="16"/>
          <w:lang w:val="en-US"/>
        </w:rPr>
      </w:pPr>
      <w:r>
        <w:rPr>
          <w:rFonts w:cstheme="minorHAnsi"/>
          <w:color w:val="000000"/>
          <w:lang w:val="en-US" w:eastAsia="it-IT"/>
        </w:rPr>
        <w:t xml:space="preserve">Borosilicate glass was used for the realization of the laboratory scale reactors while HDPE and PVC were used for the realization the external and internal chamber of the upscaled bioelectrochemical </w:t>
      </w:r>
      <w:r w:rsidR="00FA44DE">
        <w:rPr>
          <w:rFonts w:cstheme="minorHAnsi"/>
          <w:color w:val="000000"/>
          <w:lang w:val="en-US" w:eastAsia="it-IT"/>
        </w:rPr>
        <w:t>reactor.</w:t>
      </w:r>
      <w:r w:rsidR="006F13CC">
        <w:rPr>
          <w:rFonts w:cstheme="minorHAnsi"/>
          <w:color w:val="000000"/>
          <w:lang w:val="en-US" w:eastAsia="it-IT"/>
        </w:rPr>
        <w:t xml:space="preserve"> </w:t>
      </w:r>
      <w:r w:rsidR="006F13CC" w:rsidRPr="006F13CC">
        <w:rPr>
          <w:rFonts w:cstheme="minorHAnsi"/>
          <w:color w:val="000000"/>
          <w:lang w:val="en-US" w:eastAsia="it-IT"/>
        </w:rPr>
        <w:t xml:space="preserve">Graphite granules were adopted to set </w:t>
      </w:r>
      <w:r w:rsidR="006F13CC">
        <w:rPr>
          <w:rFonts w:cstheme="minorHAnsi"/>
          <w:color w:val="000000"/>
          <w:lang w:val="en-US" w:eastAsia="it-IT"/>
        </w:rPr>
        <w:t>the different</w:t>
      </w:r>
      <w:r w:rsidR="006F13CC" w:rsidRPr="006F13CC">
        <w:rPr>
          <w:rFonts w:cstheme="minorHAnsi"/>
          <w:color w:val="000000"/>
          <w:lang w:val="en-US" w:eastAsia="it-IT"/>
        </w:rPr>
        <w:t xml:space="preserve"> counterelectrode</w:t>
      </w:r>
      <w:r w:rsidR="006F13CC">
        <w:rPr>
          <w:rFonts w:cstheme="minorHAnsi"/>
          <w:color w:val="000000"/>
          <w:lang w:val="en-US" w:eastAsia="it-IT"/>
        </w:rPr>
        <w:t>s in all the reactors explored, while in the laboratory scale configuration the graphite granules were enveloped in a tubular plastic grid, in the pilot scale reactor the graphite granules were inserted in a</w:t>
      </w:r>
      <w:r w:rsidR="006F13CC" w:rsidRPr="006F13CC">
        <w:rPr>
          <w:rFonts w:cstheme="minorHAnsi"/>
          <w:color w:val="000000"/>
          <w:lang w:val="en-US" w:eastAsia="it-IT"/>
        </w:rPr>
        <w:t xml:space="preserve"> cracked PVC pipe covered by a geotextile HDPE membrane</w:t>
      </w:r>
      <w:r w:rsidR="006F13CC">
        <w:rPr>
          <w:rFonts w:cstheme="minorHAnsi"/>
          <w:color w:val="000000"/>
          <w:lang w:val="en-US" w:eastAsia="it-IT"/>
        </w:rPr>
        <w:t xml:space="preserve">. Both laboratory and pilot scale reactors were assembled introducing the tubular counterelectrode in the inner body of the external chamber, in which the hydraulic connection for the influent and the effluent were present in the bottom and on the top of the cylindrical reactor. </w:t>
      </w:r>
    </w:p>
    <w:p w14:paraId="714CD255" w14:textId="2B2DF4E0" w:rsidR="0023527D" w:rsidRDefault="0023527D" w:rsidP="00BE4F48">
      <w:pPr>
        <w:pStyle w:val="Paragrafoelenco"/>
        <w:spacing w:before="240"/>
        <w:ind w:left="0"/>
        <w:rPr>
          <w:lang w:val="en-US"/>
        </w:rPr>
      </w:pPr>
    </w:p>
    <w:p w14:paraId="5608FCD4" w14:textId="697AA190" w:rsidR="0023527D" w:rsidRPr="00EB6C53" w:rsidRDefault="0023527D" w:rsidP="00EB6C53">
      <w:pPr>
        <w:spacing w:before="240"/>
        <w:rPr>
          <w:rFonts w:cstheme="minorHAnsi"/>
          <w:i/>
          <w:iCs/>
          <w:color w:val="000000"/>
          <w:lang w:eastAsia="it-IT"/>
        </w:rPr>
      </w:pPr>
      <w:r w:rsidRPr="00EB6C53">
        <w:rPr>
          <w:rFonts w:cstheme="minorHAnsi"/>
          <w:i/>
          <w:iCs/>
          <w:color w:val="000000"/>
          <w:lang w:eastAsia="it-IT"/>
        </w:rPr>
        <w:t>2.2 Tracer test conduction on pilot scale units</w:t>
      </w:r>
    </w:p>
    <w:p w14:paraId="2094F62C" w14:textId="77777777" w:rsidR="00A3055B" w:rsidRDefault="00A3055B" w:rsidP="0023527D">
      <w:pPr>
        <w:pStyle w:val="Paragrafoelenco"/>
        <w:spacing w:before="240"/>
        <w:ind w:left="0"/>
        <w:rPr>
          <w:lang w:val="en-US"/>
        </w:rPr>
      </w:pPr>
    </w:p>
    <w:p w14:paraId="48581E66" w14:textId="5460FCF4" w:rsidR="0023527D" w:rsidRDefault="0023527D" w:rsidP="00BE4F48">
      <w:pPr>
        <w:pStyle w:val="Paragrafoelenco"/>
        <w:spacing w:before="240"/>
        <w:ind w:left="0"/>
        <w:rPr>
          <w:lang w:val="en-US"/>
        </w:rPr>
      </w:pPr>
      <w:r w:rsidRPr="0023527D">
        <w:rPr>
          <w:lang w:val="en-US"/>
        </w:rPr>
        <w:t xml:space="preserve">The step tracer test (named F-test) consisted of the continuous feeding of the tracer solution in the inlet of each chamber at a constant flow rate of 1.4 L/min, while the pulse test (named C-test) consisted of the injection of 60 mL of the concentrated NaCl solution in the inlet of the RED 1 and OXI 2. Both tracer tests were performed by the continuous acquisition of the solution conductivity (χ) in the outlet of the respective reactor performed by a </w:t>
      </w:r>
      <w:proofErr w:type="spellStart"/>
      <w:r w:rsidRPr="0023527D">
        <w:rPr>
          <w:lang w:val="en-US"/>
        </w:rPr>
        <w:t>Handylab</w:t>
      </w:r>
      <w:proofErr w:type="spellEnd"/>
      <w:r w:rsidRPr="0023527D">
        <w:rPr>
          <w:lang w:val="en-US"/>
        </w:rPr>
        <w:t>® 330 conductometer</w:t>
      </w:r>
      <w:r>
        <w:rPr>
          <w:lang w:val="en-US"/>
        </w:rPr>
        <w:t>.</w:t>
      </w:r>
      <w:r w:rsidR="00A3055B" w:rsidRPr="00A3055B">
        <w:rPr>
          <w:lang w:val="en-US"/>
        </w:rPr>
        <w:t xml:space="preserve"> </w:t>
      </w:r>
      <w:r w:rsidR="00A3055B" w:rsidRPr="00652089">
        <w:rPr>
          <w:lang w:val="en-US"/>
        </w:rPr>
        <w:t>(SI-analytics, Germany)</w:t>
      </w:r>
      <w:r w:rsidR="00F86DFF" w:rsidRPr="00F86DFF">
        <w:rPr>
          <w:lang w:val="en-US"/>
        </w:rPr>
        <w:t xml:space="preserve"> </w:t>
      </w:r>
      <w:r w:rsidR="00F86DFF" w:rsidRPr="00652089">
        <w:rPr>
          <w:lang w:val="en-US"/>
        </w:rPr>
        <w:t>The conductivity of the outlet solution was utilized to build an F-curve according to the following equations, and the first derivate method was then used for the flex point of the F-curve determination, which represented the experimental hydraulic retention time (HRT).</w:t>
      </w:r>
      <w:r w:rsidR="00730F16">
        <w:rPr>
          <w:lang w:val="en-US"/>
        </w:rPr>
        <w:t xml:space="preserve"> </w:t>
      </w:r>
      <w:r w:rsidR="006F13CC" w:rsidRPr="00FA44DE">
        <w:rPr>
          <w:rFonts w:cstheme="minorHAnsi"/>
          <w:color w:val="000000"/>
          <w:lang w:eastAsia="it-IT"/>
        </w:rPr>
        <w:t>In the step trace</w:t>
      </w:r>
      <w:r w:rsidR="006F13CC">
        <w:rPr>
          <w:rFonts w:cstheme="minorHAnsi"/>
          <w:color w:val="000000"/>
          <w:lang w:eastAsia="it-IT"/>
        </w:rPr>
        <w:t xml:space="preserve"> test</w:t>
      </w:r>
      <w:r w:rsidR="006F13CC" w:rsidRPr="00FA44DE">
        <w:rPr>
          <w:rFonts w:cstheme="minorHAnsi"/>
          <w:color w:val="000000"/>
          <w:lang w:eastAsia="it-IT"/>
        </w:rPr>
        <w:t xml:space="preserve">, indicated also as F-test the conductivity (χ) continuously recorded </w:t>
      </w:r>
      <w:r w:rsidR="006F13CC">
        <w:rPr>
          <w:rFonts w:cstheme="minorHAnsi"/>
          <w:color w:val="000000"/>
          <w:lang w:eastAsia="it-IT"/>
        </w:rPr>
        <w:t xml:space="preserve">in the outlet of the reactor </w:t>
      </w:r>
      <w:r w:rsidR="006F13CC" w:rsidRPr="00FA44DE">
        <w:rPr>
          <w:rFonts w:cstheme="minorHAnsi"/>
          <w:color w:val="000000"/>
          <w:lang w:eastAsia="it-IT"/>
        </w:rPr>
        <w:t>was divided with the conductivity of the tracer’s solution (χ0)</w:t>
      </w:r>
      <w:r w:rsidR="006F13CC">
        <w:rPr>
          <w:rFonts w:cstheme="minorHAnsi"/>
          <w:color w:val="000000"/>
          <w:lang w:eastAsia="it-IT"/>
        </w:rPr>
        <w:t xml:space="preserve">. In the pulse trace test, the net conductivity </w:t>
      </w:r>
      <w:r w:rsidR="006F13CC" w:rsidRPr="00FA44DE">
        <w:rPr>
          <w:rFonts w:cstheme="minorHAnsi"/>
          <w:color w:val="000000"/>
          <w:lang w:eastAsia="it-IT"/>
        </w:rPr>
        <w:t xml:space="preserve">recorded </w:t>
      </w:r>
      <w:r w:rsidR="006F13CC">
        <w:rPr>
          <w:rFonts w:cstheme="minorHAnsi"/>
          <w:color w:val="000000"/>
          <w:lang w:eastAsia="it-IT"/>
        </w:rPr>
        <w:t xml:space="preserve">(i.e. the conductivity recorded minus the water conductivity) in the outlet of the reactor, corresponded to the C-curve. The graphical resolution of the F and C curve integral was used to evaluate the experimental HRT in the reactor, the experimental flow rate allowed for the determination of the effective free volume inside the reactors. </w:t>
      </w:r>
    </w:p>
    <w:p w14:paraId="60E5728C" w14:textId="5D685D45" w:rsidR="0023527D" w:rsidRDefault="0023527D" w:rsidP="00BE4F48">
      <w:pPr>
        <w:pStyle w:val="Paragrafoelenco"/>
        <w:spacing w:before="240"/>
        <w:ind w:left="0"/>
        <w:rPr>
          <w:lang w:val="en-US"/>
        </w:rPr>
      </w:pPr>
    </w:p>
    <w:p w14:paraId="27D4FA3A" w14:textId="77777777" w:rsidR="00730F16" w:rsidRPr="00EB6C53" w:rsidRDefault="00730F16" w:rsidP="00EB6C53">
      <w:pPr>
        <w:spacing w:before="240"/>
        <w:rPr>
          <w:rFonts w:cstheme="minorHAnsi"/>
          <w:i/>
          <w:iCs/>
          <w:color w:val="000000"/>
          <w:lang w:eastAsia="it-IT"/>
        </w:rPr>
      </w:pPr>
      <w:r w:rsidRPr="00EB6C53">
        <w:rPr>
          <w:rFonts w:cstheme="minorHAnsi"/>
          <w:i/>
          <w:iCs/>
          <w:color w:val="000000"/>
          <w:lang w:eastAsia="it-IT"/>
        </w:rPr>
        <w:t xml:space="preserve">2.3 Data elaboration </w:t>
      </w:r>
    </w:p>
    <w:p w14:paraId="07CEF5F0" w14:textId="309057E4" w:rsidR="0023527D" w:rsidRDefault="0023527D" w:rsidP="00BE4F48">
      <w:pPr>
        <w:pStyle w:val="Paragrafoelenco"/>
        <w:spacing w:before="240"/>
        <w:ind w:left="0"/>
        <w:rPr>
          <w:lang w:val="en-US"/>
        </w:rPr>
      </w:pPr>
    </w:p>
    <w:p w14:paraId="3267FEB9" w14:textId="77777777" w:rsidR="00730F16" w:rsidRDefault="00730F16" w:rsidP="00BE4F48">
      <w:pPr>
        <w:pStyle w:val="Paragrafoelenco"/>
        <w:spacing w:before="240"/>
        <w:ind w:left="0"/>
        <w:rPr>
          <w:lang w:val="en-US"/>
        </w:rPr>
      </w:pPr>
      <w:r>
        <w:rPr>
          <w:lang w:val="en-US"/>
        </w:rPr>
        <w:t>Reynolds number determination was conducted by using the following equation</w:t>
      </w:r>
    </w:p>
    <w:p w14:paraId="59B39F93" w14:textId="5C315295" w:rsidR="00730F16" w:rsidRDefault="00730F16" w:rsidP="00BE4F48">
      <w:pPr>
        <w:pStyle w:val="Paragrafoelenco"/>
        <w:spacing w:before="240"/>
        <w:ind w:left="0"/>
        <w:rPr>
          <w:lang w:val="en-US"/>
        </w:rPr>
      </w:pPr>
    </w:p>
    <w:p w14:paraId="6B39F56B" w14:textId="494E2C8D" w:rsidR="00730F16" w:rsidRDefault="00730F16" w:rsidP="00BE4F48">
      <w:pPr>
        <w:pStyle w:val="Paragrafoelenco"/>
        <w:spacing w:before="240"/>
        <w:ind w:left="0"/>
        <w:rPr>
          <w:lang w:val="en-US"/>
        </w:rPr>
      </w:pPr>
      <w:r w:rsidRPr="001D22B7">
        <w:rPr>
          <w:rFonts w:cstheme="minorHAnsi"/>
          <w:i/>
          <w:iCs/>
          <w:noProof/>
          <w:color w:val="000000"/>
          <w:sz w:val="20"/>
          <w:lang w:eastAsia="it-IT"/>
        </w:rPr>
        <w:drawing>
          <wp:inline distT="0" distB="0" distL="0" distR="0" wp14:anchorId="570FED9F" wp14:editId="7F1CD395">
            <wp:extent cx="1228725" cy="539745"/>
            <wp:effectExtent l="0" t="0" r="0" b="0"/>
            <wp:docPr id="3" name="Picture 2">
              <a:extLst xmlns:a="http://schemas.openxmlformats.org/drawingml/2006/main">
                <a:ext uri="{FF2B5EF4-FFF2-40B4-BE49-F238E27FC236}">
                  <a16:creationId xmlns:a16="http://schemas.microsoft.com/office/drawing/2014/main" id="{99A7C217-5AA8-8F4A-427F-BA5975F51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9A7C217-5AA8-8F4A-427F-BA5975F51A6D}"/>
                        </a:ext>
                      </a:extLst>
                    </pic:cNvPr>
                    <pic:cNvPicPr>
                      <a:picLocks noChangeAspect="1"/>
                    </pic:cNvPicPr>
                  </pic:nvPicPr>
                  <pic:blipFill rotWithShape="1">
                    <a:blip r:embed="rId11"/>
                    <a:srcRect l="41657" r="41228"/>
                    <a:stretch/>
                  </pic:blipFill>
                  <pic:spPr>
                    <a:xfrm>
                      <a:off x="0" y="0"/>
                      <a:ext cx="1268558" cy="557242"/>
                    </a:xfrm>
                    <a:prstGeom prst="rect">
                      <a:avLst/>
                    </a:prstGeom>
                  </pic:spPr>
                </pic:pic>
              </a:graphicData>
            </a:graphic>
          </wp:inline>
        </w:drawing>
      </w:r>
    </w:p>
    <w:p w14:paraId="51EB752A" w14:textId="6477C8AA" w:rsidR="00730F16" w:rsidRDefault="00730F16" w:rsidP="00BE4F48">
      <w:pPr>
        <w:pStyle w:val="Paragrafoelenco"/>
        <w:spacing w:before="240"/>
        <w:ind w:left="0"/>
        <w:rPr>
          <w:lang w:val="en-US"/>
        </w:rPr>
      </w:pPr>
    </w:p>
    <w:p w14:paraId="2C8890FC" w14:textId="051B9243" w:rsidR="00730F16" w:rsidRPr="00AB3BBF" w:rsidRDefault="00730F16" w:rsidP="00BE4F48">
      <w:pPr>
        <w:pStyle w:val="Paragrafoelenco"/>
        <w:spacing w:before="240"/>
        <w:ind w:left="0"/>
        <w:rPr>
          <w:lang w:val="en-US"/>
        </w:rPr>
      </w:pPr>
      <w:r>
        <w:rPr>
          <w:lang w:val="en-US"/>
        </w:rPr>
        <w:t xml:space="preserve">In which </w:t>
      </w:r>
      <w:proofErr w:type="spellStart"/>
      <w:r>
        <w:rPr>
          <w:lang w:val="en-US"/>
        </w:rPr>
        <w:t>D</w:t>
      </w:r>
      <w:r w:rsidRPr="00730F16">
        <w:rPr>
          <w:vertAlign w:val="subscript"/>
          <w:lang w:val="en-US"/>
        </w:rPr>
        <w:t>p</w:t>
      </w:r>
      <w:proofErr w:type="spellEnd"/>
      <w:r>
        <w:rPr>
          <w:lang w:val="en-US"/>
        </w:rPr>
        <w:t xml:space="preserve"> is the diameter of the section of the investigated reactor,</w:t>
      </w:r>
      <m:oMath>
        <m:r>
          <w:rPr>
            <w:rFonts w:ascii="Cambria Math" w:hAnsi="Cambria Math"/>
            <w:lang w:val="en-US"/>
          </w:rPr>
          <m:t xml:space="preserve"> </m:t>
        </m:r>
        <m:bar>
          <m:barPr>
            <m:pos m:val="top"/>
            <m:ctrlPr>
              <w:rPr>
                <w:rFonts w:ascii="Cambria Math" w:hAnsi="Cambria Math"/>
                <w:i/>
                <w:lang w:val="en-US"/>
              </w:rPr>
            </m:ctrlPr>
          </m:barPr>
          <m:e>
            <m:r>
              <w:rPr>
                <w:rFonts w:ascii="Cambria Math" w:hAnsi="Cambria Math"/>
                <w:lang w:val="en-US"/>
              </w:rPr>
              <m:t>ν</m:t>
            </m:r>
          </m:e>
        </m:bar>
      </m:oMath>
      <w:r w:rsidR="00A82849">
        <w:rPr>
          <w:lang w:val="en-US"/>
        </w:rPr>
        <w:t xml:space="preserve"> i</w:t>
      </w:r>
      <w:r>
        <w:rPr>
          <w:lang w:val="en-US"/>
        </w:rPr>
        <w:t xml:space="preserve">s the linear velocity, </w:t>
      </w:r>
      <w:r>
        <w:rPr>
          <w:rFonts w:cs="Arial"/>
          <w:lang w:val="en-US"/>
        </w:rPr>
        <w:t>ρ</w:t>
      </w:r>
      <w:r>
        <w:rPr>
          <w:lang w:val="en-US"/>
        </w:rPr>
        <w:t xml:space="preserve"> and </w:t>
      </w:r>
      <w:r>
        <w:rPr>
          <w:rFonts w:cs="Arial"/>
          <w:lang w:val="en-US"/>
        </w:rPr>
        <w:t>µ</w:t>
      </w:r>
      <w:r>
        <w:rPr>
          <w:lang w:val="en-US"/>
        </w:rPr>
        <w:t xml:space="preserve"> are the density and viscosity of the fluid and </w:t>
      </w:r>
      <w:r>
        <w:rPr>
          <w:rFonts w:cs="Arial"/>
          <w:lang w:val="en-US"/>
        </w:rPr>
        <w:t>ɛ</w:t>
      </w:r>
      <w:r>
        <w:rPr>
          <w:lang w:val="en-US"/>
        </w:rPr>
        <w:t xml:space="preserve"> represent the porosity of the packed bed. The equation allows the </w:t>
      </w:r>
      <w:r>
        <w:rPr>
          <w:lang w:val="en-US"/>
        </w:rPr>
        <w:lastRenderedPageBreak/>
        <w:t xml:space="preserve">determination of Re number in packed bed. Table 2 and Table 3 reports the different parameter utilized for Re determination in the laboratory and pilot scale reductive and oxidative units. </w:t>
      </w:r>
    </w:p>
    <w:p w14:paraId="01B91A2A" w14:textId="5A6B29D9" w:rsidR="001D22B7" w:rsidRPr="00BE4F48" w:rsidRDefault="001D22B7" w:rsidP="00BE4F48">
      <w:pPr>
        <w:pStyle w:val="Paragrafoelenco"/>
        <w:spacing w:before="240"/>
        <w:ind w:left="0"/>
        <w:rPr>
          <w:rFonts w:cstheme="minorHAnsi"/>
          <w:i/>
          <w:iCs/>
          <w:color w:val="000000"/>
          <w:sz w:val="20"/>
          <w:lang w:eastAsia="it-IT"/>
        </w:rPr>
      </w:pPr>
    </w:p>
    <w:p w14:paraId="5350ADD1" w14:textId="4F840489" w:rsidR="00FA44DE" w:rsidRPr="00B57B36" w:rsidRDefault="00FA44DE" w:rsidP="00FA44DE">
      <w:pPr>
        <w:pStyle w:val="CETTabletitle"/>
      </w:pPr>
      <w:r w:rsidRPr="00B57B36">
        <w:t xml:space="preserve">Table </w:t>
      </w:r>
      <w:r>
        <w:t>2</w:t>
      </w:r>
      <w:r w:rsidRPr="00B57B36">
        <w:t xml:space="preserve">: </w:t>
      </w:r>
      <w:r w:rsidR="00837F42">
        <w:t>Parameter of the laboratory and pilot scale reductive reactors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2268"/>
        <w:gridCol w:w="2126"/>
      </w:tblGrid>
      <w:tr w:rsidR="00FA44DE" w:rsidRPr="00B57B36" w14:paraId="71D44C85" w14:textId="77777777" w:rsidTr="00FA44DE">
        <w:tc>
          <w:tcPr>
            <w:tcW w:w="3261" w:type="dxa"/>
            <w:tcBorders>
              <w:top w:val="single" w:sz="12" w:space="0" w:color="008000"/>
              <w:bottom w:val="single" w:sz="6" w:space="0" w:color="008000"/>
            </w:tcBorders>
            <w:shd w:val="clear" w:color="auto" w:fill="FFFFFF"/>
          </w:tcPr>
          <w:p w14:paraId="5929152C" w14:textId="77777777" w:rsidR="00FA44DE" w:rsidRPr="00B57B36" w:rsidRDefault="00FA44DE" w:rsidP="001E1B03">
            <w:pPr>
              <w:pStyle w:val="CETBodytext"/>
              <w:rPr>
                <w:lang w:val="en-GB"/>
              </w:rPr>
            </w:pPr>
          </w:p>
        </w:tc>
        <w:tc>
          <w:tcPr>
            <w:tcW w:w="2268" w:type="dxa"/>
            <w:tcBorders>
              <w:top w:val="single" w:sz="12" w:space="0" w:color="008000"/>
              <w:bottom w:val="single" w:sz="6" w:space="0" w:color="008000"/>
            </w:tcBorders>
            <w:shd w:val="clear" w:color="auto" w:fill="FFFFFF"/>
          </w:tcPr>
          <w:p w14:paraId="181E288E" w14:textId="77777777" w:rsidR="00FA44DE" w:rsidRPr="00B57B36" w:rsidRDefault="00FA44DE" w:rsidP="001E1B03">
            <w:pPr>
              <w:pStyle w:val="CETBodytext"/>
              <w:rPr>
                <w:lang w:val="en-GB"/>
              </w:rPr>
            </w:pPr>
            <w:r w:rsidRPr="001B79C8">
              <w:rPr>
                <w:rFonts w:cs="Arial"/>
                <w:szCs w:val="18"/>
              </w:rPr>
              <w:t>LAB SCALE</w:t>
            </w:r>
          </w:p>
        </w:tc>
        <w:tc>
          <w:tcPr>
            <w:tcW w:w="2126" w:type="dxa"/>
            <w:tcBorders>
              <w:top w:val="single" w:sz="12" w:space="0" w:color="008000"/>
              <w:bottom w:val="single" w:sz="6" w:space="0" w:color="008000"/>
            </w:tcBorders>
            <w:shd w:val="clear" w:color="auto" w:fill="FFFFFF"/>
          </w:tcPr>
          <w:p w14:paraId="580694D2" w14:textId="77777777" w:rsidR="00FA44DE" w:rsidRPr="00B57B36" w:rsidRDefault="00FA44DE" w:rsidP="001E1B03">
            <w:pPr>
              <w:pStyle w:val="CETBodytext"/>
              <w:rPr>
                <w:lang w:val="en-GB"/>
              </w:rPr>
            </w:pPr>
            <w:r w:rsidRPr="001B79C8">
              <w:rPr>
                <w:rFonts w:cs="Arial"/>
                <w:szCs w:val="18"/>
              </w:rPr>
              <w:t>PILOT SCALE</w:t>
            </w:r>
          </w:p>
        </w:tc>
      </w:tr>
      <w:tr w:rsidR="00FA44DE" w:rsidRPr="00B57B36" w14:paraId="1C00AE97" w14:textId="77777777" w:rsidTr="0032250A">
        <w:tc>
          <w:tcPr>
            <w:tcW w:w="3261" w:type="dxa"/>
            <w:shd w:val="clear" w:color="auto" w:fill="FFFFFF"/>
            <w:vAlign w:val="center"/>
          </w:tcPr>
          <w:p w14:paraId="78888AF7" w14:textId="6C1D84B3" w:rsidR="00FA44DE" w:rsidRPr="00B57B36" w:rsidRDefault="00FA44DE" w:rsidP="00FA44DE">
            <w:pPr>
              <w:pStyle w:val="CETBodytext"/>
              <w:rPr>
                <w:lang w:val="en-GB"/>
              </w:rPr>
            </w:pPr>
            <w:r w:rsidRPr="001D22B7">
              <w:rPr>
                <w:rFonts w:cs="Arial"/>
                <w:szCs w:val="18"/>
              </w:rPr>
              <w:t>Porosity ε</w:t>
            </w:r>
          </w:p>
        </w:tc>
        <w:tc>
          <w:tcPr>
            <w:tcW w:w="2268" w:type="dxa"/>
            <w:shd w:val="clear" w:color="auto" w:fill="FFFFFF"/>
            <w:vAlign w:val="center"/>
          </w:tcPr>
          <w:p w14:paraId="2948214A" w14:textId="13801049" w:rsidR="00FA44DE" w:rsidRPr="00B57B36" w:rsidRDefault="00FA44DE" w:rsidP="00FA44DE">
            <w:pPr>
              <w:pStyle w:val="CETBodytext"/>
              <w:rPr>
                <w:lang w:val="en-GB"/>
              </w:rPr>
            </w:pPr>
            <w:r>
              <w:rPr>
                <w:rFonts w:cs="Arial"/>
                <w:szCs w:val="18"/>
              </w:rPr>
              <w:t>0.334</w:t>
            </w:r>
          </w:p>
        </w:tc>
        <w:tc>
          <w:tcPr>
            <w:tcW w:w="2126" w:type="dxa"/>
            <w:shd w:val="clear" w:color="auto" w:fill="FFFFFF"/>
            <w:vAlign w:val="center"/>
          </w:tcPr>
          <w:p w14:paraId="4F31DB97" w14:textId="41746281" w:rsidR="00FA44DE" w:rsidRPr="00B57B36" w:rsidRDefault="00FA44DE" w:rsidP="00FA44DE">
            <w:pPr>
              <w:pStyle w:val="CETBodytext"/>
              <w:rPr>
                <w:lang w:val="en-GB"/>
              </w:rPr>
            </w:pPr>
            <w:r>
              <w:rPr>
                <w:rFonts w:cs="Arial"/>
                <w:szCs w:val="18"/>
              </w:rPr>
              <w:t>0.334</w:t>
            </w:r>
          </w:p>
        </w:tc>
      </w:tr>
      <w:tr w:rsidR="00FA44DE" w:rsidRPr="00B57B36" w14:paraId="4A134D44" w14:textId="77777777" w:rsidTr="00FA44DE">
        <w:tc>
          <w:tcPr>
            <w:tcW w:w="3261" w:type="dxa"/>
            <w:shd w:val="clear" w:color="auto" w:fill="FFFFFF"/>
            <w:vAlign w:val="center"/>
          </w:tcPr>
          <w:p w14:paraId="61369724" w14:textId="0863B815" w:rsidR="00FA44DE" w:rsidRPr="001B79C8" w:rsidRDefault="00FA44DE" w:rsidP="00FA44DE">
            <w:pPr>
              <w:pStyle w:val="CETBodytext"/>
              <w:rPr>
                <w:rFonts w:cs="Arial"/>
                <w:szCs w:val="18"/>
              </w:rPr>
            </w:pPr>
            <w:proofErr w:type="spellStart"/>
            <w:r w:rsidRPr="001D22B7">
              <w:rPr>
                <w:rFonts w:cs="Arial"/>
                <w:szCs w:val="18"/>
                <w:lang w:val="it-IT"/>
              </w:rPr>
              <w:t>Particles</w:t>
            </w:r>
            <w:proofErr w:type="spellEnd"/>
            <w:r w:rsidRPr="001D22B7">
              <w:rPr>
                <w:rFonts w:cs="Arial"/>
                <w:szCs w:val="18"/>
                <w:lang w:val="it-IT"/>
              </w:rPr>
              <w:t xml:space="preserve"> average </w:t>
            </w:r>
            <w:proofErr w:type="spellStart"/>
            <w:r w:rsidRPr="001D22B7">
              <w:rPr>
                <w:rFonts w:cs="Arial"/>
                <w:szCs w:val="18"/>
                <w:lang w:val="it-IT"/>
              </w:rPr>
              <w:t>diameter</w:t>
            </w:r>
            <w:proofErr w:type="spellEnd"/>
            <w:r w:rsidRPr="001D22B7">
              <w:rPr>
                <w:rFonts w:cs="Arial"/>
                <w:szCs w:val="18"/>
                <w:lang w:val="it-IT"/>
              </w:rPr>
              <w:t xml:space="preserve"> (</w:t>
            </w:r>
            <w:proofErr w:type="spellStart"/>
            <w:r w:rsidRPr="001D22B7">
              <w:rPr>
                <w:rFonts w:cs="Arial"/>
                <w:szCs w:val="18"/>
                <w:lang w:val="it-IT"/>
              </w:rPr>
              <w:t>Dp</w:t>
            </w:r>
            <w:proofErr w:type="spellEnd"/>
            <w:r w:rsidRPr="001D22B7">
              <w:rPr>
                <w:rFonts w:cs="Arial"/>
                <w:szCs w:val="18"/>
                <w:lang w:val="it-IT"/>
              </w:rPr>
              <w:t>)</w:t>
            </w:r>
          </w:p>
        </w:tc>
        <w:tc>
          <w:tcPr>
            <w:tcW w:w="2268" w:type="dxa"/>
            <w:shd w:val="clear" w:color="auto" w:fill="FFFFFF"/>
            <w:vAlign w:val="center"/>
          </w:tcPr>
          <w:p w14:paraId="06513A71" w14:textId="2D6FBBA8" w:rsidR="00FA44DE" w:rsidRPr="00B57B36" w:rsidRDefault="00FA44DE" w:rsidP="00FA44DE">
            <w:pPr>
              <w:pStyle w:val="CETBodytext"/>
              <w:rPr>
                <w:lang w:val="en-GB"/>
              </w:rPr>
            </w:pPr>
            <w:r>
              <w:rPr>
                <w:rFonts w:cs="Arial"/>
                <w:szCs w:val="18"/>
              </w:rPr>
              <w:t>2</w:t>
            </w:r>
          </w:p>
        </w:tc>
        <w:tc>
          <w:tcPr>
            <w:tcW w:w="2126" w:type="dxa"/>
            <w:shd w:val="clear" w:color="auto" w:fill="FFFFFF"/>
            <w:vAlign w:val="center"/>
          </w:tcPr>
          <w:p w14:paraId="753BA5EA" w14:textId="490D7BD1" w:rsidR="00FA44DE" w:rsidRPr="00B57B36" w:rsidRDefault="00FA44DE" w:rsidP="00FA44DE">
            <w:pPr>
              <w:pStyle w:val="CETBodytext"/>
              <w:rPr>
                <w:lang w:val="en-GB"/>
              </w:rPr>
            </w:pPr>
            <w:r>
              <w:rPr>
                <w:rFonts w:cs="Arial"/>
                <w:szCs w:val="18"/>
              </w:rPr>
              <w:t>2</w:t>
            </w:r>
          </w:p>
        </w:tc>
      </w:tr>
      <w:tr w:rsidR="00FA44DE" w:rsidRPr="00B57B36" w14:paraId="62813061" w14:textId="77777777" w:rsidTr="00FA44DE">
        <w:tc>
          <w:tcPr>
            <w:tcW w:w="3261" w:type="dxa"/>
            <w:shd w:val="clear" w:color="auto" w:fill="FFFFFF"/>
            <w:vAlign w:val="center"/>
          </w:tcPr>
          <w:p w14:paraId="61880291" w14:textId="47CA435E" w:rsidR="00FA44DE" w:rsidRPr="00B57B36" w:rsidRDefault="00FA44DE" w:rsidP="00FA44DE">
            <w:pPr>
              <w:pStyle w:val="CETBodytext"/>
              <w:ind w:right="-1"/>
              <w:rPr>
                <w:rFonts w:cs="Arial"/>
                <w:szCs w:val="18"/>
                <w:lang w:val="en-GB"/>
              </w:rPr>
            </w:pPr>
            <w:r w:rsidRPr="001D22B7">
              <w:rPr>
                <w:rFonts w:cs="Arial"/>
                <w:szCs w:val="18"/>
                <w:lang w:val="it-IT"/>
              </w:rPr>
              <w:t xml:space="preserve">Section </w:t>
            </w:r>
            <w:proofErr w:type="spellStart"/>
            <w:r w:rsidRPr="001D22B7">
              <w:rPr>
                <w:rFonts w:cs="Arial"/>
                <w:szCs w:val="18"/>
                <w:lang w:val="it-IT"/>
              </w:rPr>
              <w:t>Diameter</w:t>
            </w:r>
            <w:proofErr w:type="spellEnd"/>
            <w:r w:rsidRPr="001D22B7">
              <w:rPr>
                <w:rFonts w:cs="Arial"/>
                <w:szCs w:val="18"/>
                <w:lang w:val="it-IT"/>
              </w:rPr>
              <w:t xml:space="preserve"> (mm)</w:t>
            </w:r>
          </w:p>
        </w:tc>
        <w:tc>
          <w:tcPr>
            <w:tcW w:w="2268" w:type="dxa"/>
            <w:shd w:val="clear" w:color="auto" w:fill="FFFFFF"/>
            <w:vAlign w:val="center"/>
          </w:tcPr>
          <w:p w14:paraId="39D75EDA" w14:textId="1D1641B7" w:rsidR="00FA44DE" w:rsidRPr="00B57B36" w:rsidRDefault="00FA44DE" w:rsidP="00FA44DE">
            <w:pPr>
              <w:pStyle w:val="CETBodytext"/>
              <w:ind w:right="-1"/>
              <w:rPr>
                <w:rFonts w:cs="Arial"/>
                <w:szCs w:val="18"/>
                <w:lang w:val="en-GB"/>
              </w:rPr>
            </w:pPr>
            <w:r>
              <w:rPr>
                <w:rFonts w:cs="Arial"/>
                <w:szCs w:val="18"/>
              </w:rPr>
              <w:t>100</w:t>
            </w:r>
          </w:p>
        </w:tc>
        <w:tc>
          <w:tcPr>
            <w:tcW w:w="2126" w:type="dxa"/>
            <w:shd w:val="clear" w:color="auto" w:fill="FFFFFF"/>
            <w:vAlign w:val="center"/>
          </w:tcPr>
          <w:p w14:paraId="165E936F" w14:textId="30F47341" w:rsidR="00FA44DE" w:rsidRPr="00B57B36" w:rsidRDefault="00FA44DE" w:rsidP="00FA44DE">
            <w:pPr>
              <w:pStyle w:val="CETBodytext"/>
              <w:ind w:right="-1"/>
              <w:rPr>
                <w:rFonts w:cs="Arial"/>
                <w:szCs w:val="18"/>
                <w:lang w:val="en-GB"/>
              </w:rPr>
            </w:pPr>
            <w:r>
              <w:rPr>
                <w:rFonts w:cs="Arial"/>
                <w:szCs w:val="18"/>
              </w:rPr>
              <w:t>300</w:t>
            </w:r>
          </w:p>
        </w:tc>
      </w:tr>
    </w:tbl>
    <w:p w14:paraId="06C40828" w14:textId="4D4847B4" w:rsidR="00FA44DE" w:rsidRPr="00B57B36" w:rsidRDefault="00FA44DE" w:rsidP="00FA44DE">
      <w:pPr>
        <w:pStyle w:val="CETTabletitle"/>
      </w:pPr>
      <w:r w:rsidRPr="00B57B36">
        <w:t xml:space="preserve">Table </w:t>
      </w:r>
      <w:r>
        <w:t>3</w:t>
      </w:r>
      <w:r w:rsidRPr="00B57B36">
        <w:t xml:space="preserve">: </w:t>
      </w:r>
      <w:r w:rsidR="00837F42">
        <w:t>Parameter of the laboratory and pilot scale oxidative reactors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2268"/>
        <w:gridCol w:w="2126"/>
      </w:tblGrid>
      <w:tr w:rsidR="00FA44DE" w:rsidRPr="00B57B36" w14:paraId="207EC57E" w14:textId="77777777" w:rsidTr="001E1B03">
        <w:tc>
          <w:tcPr>
            <w:tcW w:w="3261" w:type="dxa"/>
            <w:tcBorders>
              <w:top w:val="single" w:sz="12" w:space="0" w:color="008000"/>
              <w:bottom w:val="single" w:sz="6" w:space="0" w:color="008000"/>
            </w:tcBorders>
            <w:shd w:val="clear" w:color="auto" w:fill="FFFFFF"/>
          </w:tcPr>
          <w:p w14:paraId="29798B2C" w14:textId="77777777" w:rsidR="00FA44DE" w:rsidRPr="00B57B36" w:rsidRDefault="00FA44DE" w:rsidP="001E1B03">
            <w:pPr>
              <w:pStyle w:val="CETBodytext"/>
              <w:rPr>
                <w:lang w:val="en-GB"/>
              </w:rPr>
            </w:pPr>
          </w:p>
        </w:tc>
        <w:tc>
          <w:tcPr>
            <w:tcW w:w="2268" w:type="dxa"/>
            <w:tcBorders>
              <w:top w:val="single" w:sz="12" w:space="0" w:color="008000"/>
              <w:bottom w:val="single" w:sz="6" w:space="0" w:color="008000"/>
            </w:tcBorders>
            <w:shd w:val="clear" w:color="auto" w:fill="FFFFFF"/>
          </w:tcPr>
          <w:p w14:paraId="36DCEA01" w14:textId="77777777" w:rsidR="00FA44DE" w:rsidRPr="00B57B36" w:rsidRDefault="00FA44DE" w:rsidP="001E1B03">
            <w:pPr>
              <w:pStyle w:val="CETBodytext"/>
              <w:rPr>
                <w:lang w:val="en-GB"/>
              </w:rPr>
            </w:pPr>
            <w:r w:rsidRPr="001B79C8">
              <w:rPr>
                <w:rFonts w:cs="Arial"/>
                <w:szCs w:val="18"/>
              </w:rPr>
              <w:t>LAB SCALE</w:t>
            </w:r>
          </w:p>
        </w:tc>
        <w:tc>
          <w:tcPr>
            <w:tcW w:w="2126" w:type="dxa"/>
            <w:tcBorders>
              <w:top w:val="single" w:sz="12" w:space="0" w:color="008000"/>
              <w:bottom w:val="single" w:sz="6" w:space="0" w:color="008000"/>
            </w:tcBorders>
            <w:shd w:val="clear" w:color="auto" w:fill="FFFFFF"/>
          </w:tcPr>
          <w:p w14:paraId="540A0C18" w14:textId="77777777" w:rsidR="00FA44DE" w:rsidRPr="00B57B36" w:rsidRDefault="00FA44DE" w:rsidP="001E1B03">
            <w:pPr>
              <w:pStyle w:val="CETBodytext"/>
              <w:rPr>
                <w:lang w:val="en-GB"/>
              </w:rPr>
            </w:pPr>
            <w:r w:rsidRPr="001B79C8">
              <w:rPr>
                <w:rFonts w:cs="Arial"/>
                <w:szCs w:val="18"/>
              </w:rPr>
              <w:t>PILOT SCALE</w:t>
            </w:r>
          </w:p>
        </w:tc>
      </w:tr>
      <w:tr w:rsidR="00FA44DE" w:rsidRPr="00B57B36" w14:paraId="0C50AECD" w14:textId="77777777" w:rsidTr="001E1B03">
        <w:tc>
          <w:tcPr>
            <w:tcW w:w="3261" w:type="dxa"/>
            <w:shd w:val="clear" w:color="auto" w:fill="FFFFFF"/>
            <w:vAlign w:val="center"/>
          </w:tcPr>
          <w:p w14:paraId="3A6B4545" w14:textId="77777777" w:rsidR="00FA44DE" w:rsidRPr="00B57B36" w:rsidRDefault="00FA44DE" w:rsidP="00FA44DE">
            <w:pPr>
              <w:pStyle w:val="CETBodytext"/>
              <w:rPr>
                <w:lang w:val="en-GB"/>
              </w:rPr>
            </w:pPr>
            <w:r w:rsidRPr="001D22B7">
              <w:rPr>
                <w:rFonts w:cs="Arial"/>
                <w:szCs w:val="18"/>
              </w:rPr>
              <w:t>Porosity ε</w:t>
            </w:r>
          </w:p>
        </w:tc>
        <w:tc>
          <w:tcPr>
            <w:tcW w:w="2268" w:type="dxa"/>
            <w:shd w:val="clear" w:color="auto" w:fill="FFFFFF"/>
            <w:vAlign w:val="center"/>
          </w:tcPr>
          <w:p w14:paraId="404D4162" w14:textId="592D055F" w:rsidR="00FA44DE" w:rsidRPr="00B57B36" w:rsidRDefault="00FA44DE" w:rsidP="00FA44DE">
            <w:pPr>
              <w:pStyle w:val="CETBodytext"/>
              <w:rPr>
                <w:lang w:val="en-GB"/>
              </w:rPr>
            </w:pPr>
            <w:r>
              <w:rPr>
                <w:rFonts w:cs="Arial"/>
                <w:szCs w:val="18"/>
              </w:rPr>
              <w:t>0.400</w:t>
            </w:r>
          </w:p>
        </w:tc>
        <w:tc>
          <w:tcPr>
            <w:tcW w:w="2126" w:type="dxa"/>
            <w:shd w:val="clear" w:color="auto" w:fill="FFFFFF"/>
            <w:vAlign w:val="center"/>
          </w:tcPr>
          <w:p w14:paraId="6ED213DB" w14:textId="78A6322E" w:rsidR="00FA44DE" w:rsidRPr="00B57B36" w:rsidRDefault="00FA44DE" w:rsidP="00FA44DE">
            <w:pPr>
              <w:pStyle w:val="CETBodytext"/>
              <w:rPr>
                <w:lang w:val="en-GB"/>
              </w:rPr>
            </w:pPr>
            <w:r>
              <w:rPr>
                <w:rFonts w:cs="Arial"/>
                <w:szCs w:val="18"/>
              </w:rPr>
              <w:t>0.472</w:t>
            </w:r>
          </w:p>
        </w:tc>
      </w:tr>
      <w:tr w:rsidR="00FA44DE" w:rsidRPr="00B57B36" w14:paraId="7F7A574C" w14:textId="77777777" w:rsidTr="001E1B03">
        <w:tc>
          <w:tcPr>
            <w:tcW w:w="3261" w:type="dxa"/>
            <w:shd w:val="clear" w:color="auto" w:fill="FFFFFF"/>
            <w:vAlign w:val="center"/>
          </w:tcPr>
          <w:p w14:paraId="0E4E93DE" w14:textId="77777777" w:rsidR="00FA44DE" w:rsidRPr="001B79C8" w:rsidRDefault="00FA44DE" w:rsidP="00FA44DE">
            <w:pPr>
              <w:pStyle w:val="CETBodytext"/>
              <w:rPr>
                <w:rFonts w:cs="Arial"/>
                <w:szCs w:val="18"/>
              </w:rPr>
            </w:pPr>
            <w:proofErr w:type="spellStart"/>
            <w:r w:rsidRPr="001D22B7">
              <w:rPr>
                <w:rFonts w:cs="Arial"/>
                <w:szCs w:val="18"/>
                <w:lang w:val="it-IT"/>
              </w:rPr>
              <w:t>Particles</w:t>
            </w:r>
            <w:proofErr w:type="spellEnd"/>
            <w:r w:rsidRPr="001D22B7">
              <w:rPr>
                <w:rFonts w:cs="Arial"/>
                <w:szCs w:val="18"/>
                <w:lang w:val="it-IT"/>
              </w:rPr>
              <w:t xml:space="preserve"> average </w:t>
            </w:r>
            <w:proofErr w:type="spellStart"/>
            <w:r w:rsidRPr="001D22B7">
              <w:rPr>
                <w:rFonts w:cs="Arial"/>
                <w:szCs w:val="18"/>
                <w:lang w:val="it-IT"/>
              </w:rPr>
              <w:t>diameter</w:t>
            </w:r>
            <w:proofErr w:type="spellEnd"/>
            <w:r w:rsidRPr="001D22B7">
              <w:rPr>
                <w:rFonts w:cs="Arial"/>
                <w:szCs w:val="18"/>
                <w:lang w:val="it-IT"/>
              </w:rPr>
              <w:t xml:space="preserve"> (</w:t>
            </w:r>
            <w:proofErr w:type="spellStart"/>
            <w:r w:rsidRPr="001D22B7">
              <w:rPr>
                <w:rFonts w:cs="Arial"/>
                <w:szCs w:val="18"/>
                <w:lang w:val="it-IT"/>
              </w:rPr>
              <w:t>Dp</w:t>
            </w:r>
            <w:proofErr w:type="spellEnd"/>
            <w:r w:rsidRPr="001D22B7">
              <w:rPr>
                <w:rFonts w:cs="Arial"/>
                <w:szCs w:val="18"/>
                <w:lang w:val="it-IT"/>
              </w:rPr>
              <w:t>)</w:t>
            </w:r>
          </w:p>
        </w:tc>
        <w:tc>
          <w:tcPr>
            <w:tcW w:w="2268" w:type="dxa"/>
            <w:shd w:val="clear" w:color="auto" w:fill="FFFFFF"/>
            <w:vAlign w:val="center"/>
          </w:tcPr>
          <w:p w14:paraId="778B5142" w14:textId="1D6FFDCC" w:rsidR="00FA44DE" w:rsidRPr="00B57B36" w:rsidRDefault="00FA44DE" w:rsidP="00FA44DE">
            <w:pPr>
              <w:pStyle w:val="CETBodytext"/>
              <w:rPr>
                <w:lang w:val="en-GB"/>
              </w:rPr>
            </w:pPr>
            <w:r>
              <w:rPr>
                <w:rFonts w:cs="Arial"/>
                <w:szCs w:val="18"/>
              </w:rPr>
              <w:t>6</w:t>
            </w:r>
          </w:p>
        </w:tc>
        <w:tc>
          <w:tcPr>
            <w:tcW w:w="2126" w:type="dxa"/>
            <w:shd w:val="clear" w:color="auto" w:fill="FFFFFF"/>
            <w:vAlign w:val="center"/>
          </w:tcPr>
          <w:p w14:paraId="36B95839" w14:textId="78846BF9" w:rsidR="00FA44DE" w:rsidRPr="00B57B36" w:rsidRDefault="00FA44DE" w:rsidP="00FA44DE">
            <w:pPr>
              <w:pStyle w:val="CETBodytext"/>
              <w:rPr>
                <w:lang w:val="en-GB"/>
              </w:rPr>
            </w:pPr>
            <w:r>
              <w:rPr>
                <w:rFonts w:cs="Arial"/>
                <w:szCs w:val="18"/>
              </w:rPr>
              <w:t>10</w:t>
            </w:r>
          </w:p>
        </w:tc>
      </w:tr>
      <w:tr w:rsidR="00FA44DE" w:rsidRPr="00B57B36" w14:paraId="15FB4D2B" w14:textId="77777777" w:rsidTr="001E1B03">
        <w:tc>
          <w:tcPr>
            <w:tcW w:w="3261" w:type="dxa"/>
            <w:shd w:val="clear" w:color="auto" w:fill="FFFFFF"/>
            <w:vAlign w:val="center"/>
          </w:tcPr>
          <w:p w14:paraId="13740196" w14:textId="77777777" w:rsidR="00FA44DE" w:rsidRPr="00B57B36" w:rsidRDefault="00FA44DE" w:rsidP="00FA44DE">
            <w:pPr>
              <w:pStyle w:val="CETBodytext"/>
              <w:ind w:right="-1"/>
              <w:rPr>
                <w:rFonts w:cs="Arial"/>
                <w:szCs w:val="18"/>
                <w:lang w:val="en-GB"/>
              </w:rPr>
            </w:pPr>
            <w:r w:rsidRPr="001D22B7">
              <w:rPr>
                <w:rFonts w:cs="Arial"/>
                <w:szCs w:val="18"/>
                <w:lang w:val="it-IT"/>
              </w:rPr>
              <w:t xml:space="preserve">Section </w:t>
            </w:r>
            <w:proofErr w:type="spellStart"/>
            <w:r w:rsidRPr="001D22B7">
              <w:rPr>
                <w:rFonts w:cs="Arial"/>
                <w:szCs w:val="18"/>
                <w:lang w:val="it-IT"/>
              </w:rPr>
              <w:t>Diameter</w:t>
            </w:r>
            <w:proofErr w:type="spellEnd"/>
            <w:r w:rsidRPr="001D22B7">
              <w:rPr>
                <w:rFonts w:cs="Arial"/>
                <w:szCs w:val="18"/>
                <w:lang w:val="it-IT"/>
              </w:rPr>
              <w:t xml:space="preserve"> (mm)</w:t>
            </w:r>
          </w:p>
        </w:tc>
        <w:tc>
          <w:tcPr>
            <w:tcW w:w="2268" w:type="dxa"/>
            <w:shd w:val="clear" w:color="auto" w:fill="FFFFFF"/>
            <w:vAlign w:val="center"/>
          </w:tcPr>
          <w:p w14:paraId="646D9E73" w14:textId="2C277970" w:rsidR="00FA44DE" w:rsidRPr="00B57B36" w:rsidRDefault="00FA44DE" w:rsidP="00FA44DE">
            <w:pPr>
              <w:pStyle w:val="CETBodytext"/>
              <w:ind w:right="-1"/>
              <w:rPr>
                <w:rFonts w:cs="Arial"/>
                <w:szCs w:val="18"/>
                <w:lang w:val="en-GB"/>
              </w:rPr>
            </w:pPr>
            <w:r>
              <w:rPr>
                <w:rFonts w:cs="Arial"/>
                <w:szCs w:val="18"/>
              </w:rPr>
              <w:t>100</w:t>
            </w:r>
          </w:p>
        </w:tc>
        <w:tc>
          <w:tcPr>
            <w:tcW w:w="2126" w:type="dxa"/>
            <w:shd w:val="clear" w:color="auto" w:fill="FFFFFF"/>
            <w:vAlign w:val="center"/>
          </w:tcPr>
          <w:p w14:paraId="5C647C24" w14:textId="6CEB79C3" w:rsidR="00FA44DE" w:rsidRPr="00B57B36" w:rsidRDefault="00FA44DE" w:rsidP="00FA44DE">
            <w:pPr>
              <w:pStyle w:val="CETBodytext"/>
              <w:ind w:right="-1"/>
              <w:rPr>
                <w:rFonts w:cs="Arial"/>
                <w:szCs w:val="18"/>
                <w:lang w:val="en-GB"/>
              </w:rPr>
            </w:pPr>
            <w:r>
              <w:rPr>
                <w:rFonts w:cs="Arial"/>
                <w:szCs w:val="18"/>
              </w:rPr>
              <w:t>300</w:t>
            </w:r>
          </w:p>
        </w:tc>
      </w:tr>
    </w:tbl>
    <w:p w14:paraId="13E05635" w14:textId="0BA71652" w:rsidR="00BE4F48" w:rsidRDefault="00BE4F48" w:rsidP="00BE4F48">
      <w:pPr>
        <w:rPr>
          <w:lang w:val="en-US"/>
        </w:rPr>
      </w:pPr>
    </w:p>
    <w:p w14:paraId="24100E26" w14:textId="77777777" w:rsidR="00EB6C53" w:rsidRPr="00BE4F48" w:rsidRDefault="00EB6C53" w:rsidP="00BE4F48">
      <w:pPr>
        <w:rPr>
          <w:lang w:val="en-US"/>
        </w:rPr>
      </w:pPr>
    </w:p>
    <w:p w14:paraId="6FC097D3" w14:textId="77777777" w:rsidR="00BE4F48" w:rsidRPr="00BE4F48" w:rsidRDefault="00BE4F48" w:rsidP="00BE4F48">
      <w:pPr>
        <w:spacing w:line="240" w:lineRule="auto"/>
        <w:outlineLvl w:val="3"/>
        <w:rPr>
          <w:rFonts w:cstheme="minorHAnsi"/>
          <w:b/>
          <w:bCs/>
          <w:color w:val="000000"/>
          <w:sz w:val="20"/>
          <w:lang w:eastAsia="it-IT"/>
        </w:rPr>
      </w:pPr>
      <w:r w:rsidRPr="00BE4F48">
        <w:rPr>
          <w:rFonts w:cstheme="minorHAnsi"/>
          <w:b/>
          <w:bCs/>
          <w:color w:val="000000"/>
          <w:sz w:val="20"/>
          <w:lang w:eastAsia="it-IT"/>
        </w:rPr>
        <w:t>3.Result and discussion</w:t>
      </w:r>
    </w:p>
    <w:p w14:paraId="19152B4A" w14:textId="68B6D375" w:rsidR="001B79C8" w:rsidRPr="00EB6C53" w:rsidRDefault="001B79C8" w:rsidP="001D5EE2">
      <w:pPr>
        <w:spacing w:before="240"/>
        <w:rPr>
          <w:rFonts w:cstheme="minorHAnsi"/>
          <w:i/>
          <w:iCs/>
          <w:color w:val="000000"/>
          <w:lang w:eastAsia="it-IT"/>
        </w:rPr>
      </w:pPr>
      <w:r w:rsidRPr="00EB6C53">
        <w:rPr>
          <w:rFonts w:cstheme="minorHAnsi"/>
          <w:i/>
          <w:iCs/>
          <w:color w:val="000000"/>
          <w:lang w:eastAsia="it-IT"/>
        </w:rPr>
        <w:t>3.</w:t>
      </w:r>
      <w:r w:rsidR="005C2165" w:rsidRPr="00EB6C53">
        <w:rPr>
          <w:rFonts w:cstheme="minorHAnsi"/>
          <w:i/>
          <w:iCs/>
          <w:color w:val="000000"/>
          <w:lang w:eastAsia="it-IT"/>
        </w:rPr>
        <w:t>1</w:t>
      </w:r>
      <w:r w:rsidR="001D5EE2" w:rsidRPr="00EB6C53">
        <w:rPr>
          <w:rFonts w:cstheme="minorHAnsi"/>
          <w:i/>
          <w:iCs/>
          <w:color w:val="000000"/>
          <w:lang w:eastAsia="it-IT"/>
        </w:rPr>
        <w:t xml:space="preserve"> </w:t>
      </w:r>
      <w:r w:rsidR="005C2165" w:rsidRPr="00EB6C53">
        <w:rPr>
          <w:rFonts w:cstheme="minorHAnsi"/>
          <w:i/>
          <w:iCs/>
          <w:color w:val="000000"/>
          <w:lang w:eastAsia="it-IT"/>
        </w:rPr>
        <w:t>Tracer test results, volume determination of the two upscaled units</w:t>
      </w:r>
    </w:p>
    <w:p w14:paraId="4E582573" w14:textId="01EB5C94" w:rsidR="001B79C8" w:rsidRPr="00FA44DE" w:rsidRDefault="001B79C8" w:rsidP="001B79C8">
      <w:pPr>
        <w:pStyle w:val="Paragrafoelenco"/>
        <w:spacing w:before="240"/>
        <w:ind w:left="0"/>
        <w:rPr>
          <w:rFonts w:cstheme="minorHAnsi"/>
          <w:color w:val="000000"/>
          <w:lang w:eastAsia="it-IT"/>
        </w:rPr>
      </w:pPr>
      <w:r w:rsidRPr="00FA44DE">
        <w:rPr>
          <w:rFonts w:cstheme="minorHAnsi"/>
          <w:color w:val="000000"/>
          <w:lang w:eastAsia="it-IT"/>
        </w:rPr>
        <w:t xml:space="preserve">To evaluate the effective volume of each bioelectrochemical reactor, two different tracer tests were conducted in the RED 1 and OXI 2 unit, the tracer tests were conducted only in one reductive and oxidative unit assuming the similarity between the two reductive and oxidative units. A step mode and pulse mode tracer tests were performed by using a 2 g/L NaCl solution and a 20 g/L NaCl respectively. In the step trace, indicated also as F-test allowed the conductivity (χ) continuously recorded was divided with the conductivity of the tracer’s solution (χ0) to obtain the F curve, reported in Figure </w:t>
      </w:r>
      <w:r w:rsidR="00EB6C53">
        <w:rPr>
          <w:rFonts w:cstheme="minorHAnsi"/>
          <w:color w:val="000000"/>
          <w:lang w:eastAsia="it-IT"/>
        </w:rPr>
        <w:t>2</w:t>
      </w:r>
      <w:r w:rsidRPr="00FA44DE">
        <w:rPr>
          <w:rFonts w:cstheme="minorHAnsi"/>
          <w:color w:val="000000"/>
          <w:lang w:eastAsia="it-IT"/>
        </w:rPr>
        <w:t xml:space="preserve"> which was used for the determination of the effective hydraulic retention time (HRT). The resulting C-test curve, reported in Figure </w:t>
      </w:r>
      <w:r w:rsidR="00EB6C53">
        <w:rPr>
          <w:rFonts w:cstheme="minorHAnsi"/>
          <w:color w:val="000000"/>
          <w:lang w:eastAsia="it-IT"/>
        </w:rPr>
        <w:t>2</w:t>
      </w:r>
      <w:r w:rsidRPr="00FA44DE">
        <w:rPr>
          <w:rFonts w:cstheme="minorHAnsi"/>
          <w:color w:val="000000"/>
          <w:lang w:eastAsia="it-IT"/>
        </w:rPr>
        <w:t xml:space="preserve">, shows the results of the pulse tracer test for the reductive and the oxidative bioelectrochemical reactor. By using curve elaboration, the effective HRT of the fluid particles has been determined, the results of the different curves are shown in Table </w:t>
      </w:r>
      <w:r w:rsidR="00EB6C53">
        <w:rPr>
          <w:rFonts w:cstheme="minorHAnsi"/>
          <w:color w:val="000000"/>
          <w:lang w:eastAsia="it-IT"/>
        </w:rPr>
        <w:t>4</w:t>
      </w:r>
      <w:r w:rsidRPr="00FA44DE">
        <w:rPr>
          <w:rFonts w:cstheme="minorHAnsi"/>
          <w:color w:val="000000"/>
          <w:lang w:eastAsia="it-IT"/>
        </w:rPr>
        <w:t>.</w:t>
      </w:r>
    </w:p>
    <w:p w14:paraId="53BF2FD4" w14:textId="23725D7A" w:rsidR="00BE4F48" w:rsidRPr="00BE4F48" w:rsidRDefault="001D22B7" w:rsidP="00D34AD0">
      <w:pPr>
        <w:spacing w:before="240"/>
        <w:jc w:val="center"/>
        <w:rPr>
          <w:rFonts w:cstheme="minorHAnsi"/>
          <w:i/>
          <w:iCs/>
          <w:color w:val="000000"/>
          <w:sz w:val="20"/>
          <w:lang w:val="en-US" w:eastAsia="it-IT"/>
        </w:rPr>
      </w:pPr>
      <w:r w:rsidRPr="00E70FC5">
        <w:rPr>
          <w:noProof/>
        </w:rPr>
        <w:drawing>
          <wp:inline distT="0" distB="0" distL="0" distR="0" wp14:anchorId="7578E875" wp14:editId="4D690F6B">
            <wp:extent cx="5817818" cy="1914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653" cy="1915129"/>
                    </a:xfrm>
                    <a:prstGeom prst="rect">
                      <a:avLst/>
                    </a:prstGeom>
                    <a:noFill/>
                    <a:ln>
                      <a:noFill/>
                    </a:ln>
                  </pic:spPr>
                </pic:pic>
              </a:graphicData>
            </a:graphic>
          </wp:inline>
        </w:drawing>
      </w:r>
    </w:p>
    <w:p w14:paraId="11CB4E8D" w14:textId="54D9B5EE" w:rsidR="00BE4F48" w:rsidRPr="001D22B7" w:rsidRDefault="00BE4F48" w:rsidP="00BE4F48">
      <w:pPr>
        <w:pStyle w:val="Paragrafoelenco"/>
        <w:spacing w:before="240"/>
        <w:ind w:left="0"/>
        <w:rPr>
          <w:rFonts w:cstheme="minorHAnsi"/>
          <w:i/>
          <w:iCs/>
          <w:color w:val="000000"/>
          <w:sz w:val="20"/>
          <w:lang w:eastAsia="it-IT"/>
        </w:rPr>
      </w:pPr>
      <w:r w:rsidRPr="00BE4F48">
        <w:rPr>
          <w:rFonts w:cstheme="minorHAnsi"/>
          <w:i/>
          <w:iCs/>
          <w:color w:val="000000"/>
          <w:sz w:val="20"/>
          <w:lang w:val="en-US" w:eastAsia="it-IT"/>
        </w:rPr>
        <w:t xml:space="preserve">Figure 2. </w:t>
      </w:r>
      <w:r w:rsidR="001D22B7" w:rsidRPr="001D22B7">
        <w:rPr>
          <w:rFonts w:cstheme="minorHAnsi"/>
          <w:i/>
          <w:iCs/>
          <w:color w:val="000000"/>
          <w:sz w:val="20"/>
          <w:lang w:val="en-US" w:eastAsia="it-IT"/>
        </w:rPr>
        <w:t>Tracer test results for the F-test and for the C-test</w:t>
      </w:r>
    </w:p>
    <w:p w14:paraId="3F914167" w14:textId="13D93D02" w:rsidR="00BE4F48" w:rsidRPr="009A7672" w:rsidRDefault="00BE4F48" w:rsidP="00BE4F48">
      <w:pPr>
        <w:spacing w:before="240"/>
        <w:rPr>
          <w:rFonts w:cstheme="minorHAnsi"/>
          <w:i/>
          <w:iCs/>
          <w:color w:val="000000"/>
          <w:sz w:val="20"/>
          <w:lang w:val="en-US" w:eastAsia="it-IT"/>
        </w:rPr>
      </w:pPr>
    </w:p>
    <w:p w14:paraId="26CE8C02" w14:textId="405263D5" w:rsidR="001D22B7" w:rsidRDefault="001D22B7" w:rsidP="00BE4F48">
      <w:pPr>
        <w:rPr>
          <w:rFonts w:cstheme="minorHAnsi"/>
          <w:color w:val="000000"/>
          <w:lang w:val="en-US" w:eastAsia="it-IT"/>
        </w:rPr>
      </w:pPr>
      <w:r w:rsidRPr="00FA44DE">
        <w:rPr>
          <w:rFonts w:cstheme="minorHAnsi"/>
          <w:color w:val="000000"/>
          <w:lang w:val="en-US" w:eastAsia="it-IT"/>
        </w:rPr>
        <w:t xml:space="preserve">As reported in Table </w:t>
      </w:r>
      <w:r w:rsidR="005C2165">
        <w:rPr>
          <w:rFonts w:cstheme="minorHAnsi"/>
          <w:color w:val="000000"/>
          <w:lang w:val="en-US" w:eastAsia="it-IT"/>
        </w:rPr>
        <w:t>4</w:t>
      </w:r>
      <w:r w:rsidRPr="00FA44DE">
        <w:rPr>
          <w:rFonts w:cstheme="minorHAnsi"/>
          <w:color w:val="000000"/>
          <w:lang w:val="en-US" w:eastAsia="it-IT"/>
        </w:rPr>
        <w:t xml:space="preserve"> the F-test and the C-test results for the reductive reactor were more similar that the results for the oxidative reactor, which were significantly different. To assess the effectiveness of the tests, a separate determination of the porosity of each packing material (i.e. the graphite granules and the grave,) was performed using a graduated cylinder. </w:t>
      </w:r>
    </w:p>
    <w:p w14:paraId="4E104C36" w14:textId="77777777" w:rsidR="00207D94" w:rsidRPr="00FA44DE" w:rsidRDefault="00207D94" w:rsidP="00BE4F48">
      <w:pPr>
        <w:rPr>
          <w:rFonts w:cstheme="minorHAnsi"/>
          <w:color w:val="000000"/>
          <w:lang w:val="en-US" w:eastAsia="it-IT"/>
        </w:rPr>
      </w:pPr>
    </w:p>
    <w:p w14:paraId="4C34173B" w14:textId="2964974F" w:rsidR="00FA44DE" w:rsidRPr="00B57B36" w:rsidRDefault="00FA44DE" w:rsidP="00FA44DE">
      <w:pPr>
        <w:pStyle w:val="CETTabletitle"/>
      </w:pPr>
      <w:r w:rsidRPr="00B57B36">
        <w:lastRenderedPageBreak/>
        <w:t xml:space="preserve">Table </w:t>
      </w:r>
      <w:r w:rsidR="005C2165">
        <w:t>4</w:t>
      </w:r>
      <w:r w:rsidRPr="00B57B36">
        <w:t xml:space="preserve">: </w:t>
      </w:r>
      <w:r w:rsidR="005C2165" w:rsidRPr="00FA44DE">
        <w:rPr>
          <w:rFonts w:cstheme="minorHAnsi"/>
          <w:color w:val="000000"/>
          <w:lang w:val="en-US" w:eastAsia="it-IT"/>
        </w:rPr>
        <w:t xml:space="preserve">F-test and the C-test results for the reductive </w:t>
      </w:r>
      <w:r w:rsidR="005C2165">
        <w:rPr>
          <w:rFonts w:cstheme="minorHAnsi"/>
          <w:color w:val="000000"/>
          <w:lang w:val="en-US" w:eastAsia="it-IT"/>
        </w:rPr>
        <w:t xml:space="preserve">and oxidative pilot </w:t>
      </w:r>
      <w:r w:rsidR="005C2165" w:rsidRPr="00FA44DE">
        <w:rPr>
          <w:rFonts w:cstheme="minorHAnsi"/>
          <w:color w:val="000000"/>
          <w:lang w:val="en-US" w:eastAsia="it-IT"/>
        </w:rPr>
        <w:t>reactor</w:t>
      </w:r>
      <w:r w:rsidR="005C2165">
        <w:rPr>
          <w:rFonts w:cstheme="minorHAnsi"/>
          <w:color w:val="000000"/>
          <w:lang w:val="en-US" w:eastAsia="it-IT"/>
        </w:rPr>
        <w:t>s</w:t>
      </w:r>
      <w:r w:rsidR="005C2165" w:rsidRPr="00FA44DE">
        <w:rPr>
          <w:rFonts w:cstheme="minorHAnsi"/>
          <w:color w:val="000000"/>
          <w:lang w:val="en-US" w:eastAsia="it-IT"/>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61"/>
        <w:gridCol w:w="2409"/>
        <w:gridCol w:w="1985"/>
      </w:tblGrid>
      <w:tr w:rsidR="00FA44DE" w:rsidRPr="00B57B36" w14:paraId="59B43AC6" w14:textId="77777777" w:rsidTr="00FA44DE">
        <w:tc>
          <w:tcPr>
            <w:tcW w:w="3261" w:type="dxa"/>
            <w:tcBorders>
              <w:top w:val="single" w:sz="12" w:space="0" w:color="008000"/>
              <w:bottom w:val="single" w:sz="6" w:space="0" w:color="008000"/>
            </w:tcBorders>
            <w:shd w:val="clear" w:color="auto" w:fill="FFFFFF"/>
          </w:tcPr>
          <w:p w14:paraId="056C0708" w14:textId="77777777" w:rsidR="00FA44DE" w:rsidRPr="00B57B36" w:rsidRDefault="00FA44DE" w:rsidP="00FA44DE">
            <w:pPr>
              <w:pStyle w:val="CETBodytext"/>
              <w:rPr>
                <w:lang w:val="en-GB"/>
              </w:rPr>
            </w:pPr>
          </w:p>
        </w:tc>
        <w:tc>
          <w:tcPr>
            <w:tcW w:w="2409" w:type="dxa"/>
            <w:tcBorders>
              <w:top w:val="single" w:sz="12" w:space="0" w:color="008000"/>
              <w:bottom w:val="single" w:sz="6" w:space="0" w:color="008000"/>
            </w:tcBorders>
            <w:shd w:val="clear" w:color="auto" w:fill="FFFFFF"/>
            <w:vAlign w:val="center"/>
          </w:tcPr>
          <w:p w14:paraId="1C567428" w14:textId="4091731F" w:rsidR="00FA44DE" w:rsidRPr="00B57B36" w:rsidRDefault="00FA44DE" w:rsidP="00FA44DE">
            <w:pPr>
              <w:pStyle w:val="CETBodytext"/>
              <w:rPr>
                <w:lang w:val="en-GB"/>
              </w:rPr>
            </w:pPr>
            <w:r w:rsidRPr="001D22B7">
              <w:rPr>
                <w:rFonts w:cs="Arial"/>
                <w:szCs w:val="18"/>
              </w:rPr>
              <w:t>F -TEST</w:t>
            </w:r>
          </w:p>
        </w:tc>
        <w:tc>
          <w:tcPr>
            <w:tcW w:w="1985" w:type="dxa"/>
            <w:tcBorders>
              <w:top w:val="single" w:sz="12" w:space="0" w:color="008000"/>
              <w:bottom w:val="single" w:sz="6" w:space="0" w:color="008000"/>
            </w:tcBorders>
            <w:shd w:val="clear" w:color="auto" w:fill="FFFFFF"/>
            <w:vAlign w:val="center"/>
          </w:tcPr>
          <w:p w14:paraId="3BB2E97D" w14:textId="6B0F7D3A" w:rsidR="00FA44DE" w:rsidRPr="00B57B36" w:rsidRDefault="00FA44DE" w:rsidP="00FA44DE">
            <w:pPr>
              <w:pStyle w:val="CETBodytext"/>
              <w:rPr>
                <w:lang w:val="en-GB"/>
              </w:rPr>
            </w:pPr>
            <w:r w:rsidRPr="001D22B7">
              <w:rPr>
                <w:rFonts w:cs="Arial"/>
                <w:szCs w:val="18"/>
              </w:rPr>
              <w:t>C -TEST</w:t>
            </w:r>
          </w:p>
        </w:tc>
      </w:tr>
      <w:tr w:rsidR="00FA44DE" w:rsidRPr="00B57B36" w14:paraId="764D8087" w14:textId="77777777" w:rsidTr="00FA44DE">
        <w:tc>
          <w:tcPr>
            <w:tcW w:w="3261" w:type="dxa"/>
            <w:shd w:val="clear" w:color="auto" w:fill="FFFFFF"/>
            <w:vAlign w:val="center"/>
          </w:tcPr>
          <w:p w14:paraId="723F9A04" w14:textId="4B8372A3" w:rsidR="00FA44DE" w:rsidRPr="00B57B36" w:rsidRDefault="00FA44DE" w:rsidP="00FA44DE">
            <w:pPr>
              <w:pStyle w:val="CETBodytext"/>
              <w:rPr>
                <w:lang w:val="en-GB"/>
              </w:rPr>
            </w:pPr>
            <w:r w:rsidRPr="001D22B7">
              <w:rPr>
                <w:rFonts w:cs="Arial"/>
                <w:szCs w:val="18"/>
              </w:rPr>
              <w:t>Reductive unit (L)</w:t>
            </w:r>
          </w:p>
        </w:tc>
        <w:tc>
          <w:tcPr>
            <w:tcW w:w="2409" w:type="dxa"/>
            <w:shd w:val="clear" w:color="auto" w:fill="FFFFFF"/>
            <w:vAlign w:val="center"/>
          </w:tcPr>
          <w:p w14:paraId="0D046E5D" w14:textId="5674CF6C" w:rsidR="00FA44DE" w:rsidRPr="00B57B36" w:rsidRDefault="00FA44DE" w:rsidP="00FA44DE">
            <w:pPr>
              <w:pStyle w:val="CETBodytext"/>
              <w:rPr>
                <w:lang w:val="en-GB"/>
              </w:rPr>
            </w:pPr>
            <w:r w:rsidRPr="001D22B7">
              <w:rPr>
                <w:rFonts w:cs="Arial"/>
                <w:szCs w:val="18"/>
              </w:rPr>
              <w:t>37</w:t>
            </w:r>
          </w:p>
        </w:tc>
        <w:tc>
          <w:tcPr>
            <w:tcW w:w="1985" w:type="dxa"/>
            <w:shd w:val="clear" w:color="auto" w:fill="FFFFFF"/>
            <w:vAlign w:val="center"/>
          </w:tcPr>
          <w:p w14:paraId="7E0A9044" w14:textId="52A6C025" w:rsidR="00FA44DE" w:rsidRPr="00B57B36" w:rsidRDefault="00FA44DE" w:rsidP="00FA44DE">
            <w:pPr>
              <w:pStyle w:val="CETBodytext"/>
              <w:rPr>
                <w:lang w:val="en-GB"/>
              </w:rPr>
            </w:pPr>
            <w:r w:rsidRPr="001D22B7">
              <w:rPr>
                <w:rFonts w:cs="Arial"/>
                <w:szCs w:val="18"/>
              </w:rPr>
              <w:t>41</w:t>
            </w:r>
          </w:p>
        </w:tc>
      </w:tr>
      <w:tr w:rsidR="00FA44DE" w:rsidRPr="00B57B36" w14:paraId="46DCC1F3" w14:textId="77777777" w:rsidTr="00FA44DE">
        <w:tc>
          <w:tcPr>
            <w:tcW w:w="3261" w:type="dxa"/>
            <w:shd w:val="clear" w:color="auto" w:fill="FFFFFF"/>
            <w:vAlign w:val="center"/>
          </w:tcPr>
          <w:p w14:paraId="7A0B1BEF" w14:textId="63097D30" w:rsidR="00FA44DE" w:rsidRPr="00B57B36" w:rsidRDefault="00FA44DE" w:rsidP="00FA44DE">
            <w:pPr>
              <w:pStyle w:val="CETBodytext"/>
              <w:ind w:right="-1"/>
              <w:rPr>
                <w:rFonts w:cs="Arial"/>
                <w:szCs w:val="18"/>
                <w:lang w:val="en-GB"/>
              </w:rPr>
            </w:pPr>
            <w:r w:rsidRPr="001D22B7">
              <w:rPr>
                <w:rFonts w:cs="Arial"/>
                <w:szCs w:val="18"/>
              </w:rPr>
              <w:t>Oxidative unit (L)</w:t>
            </w:r>
          </w:p>
        </w:tc>
        <w:tc>
          <w:tcPr>
            <w:tcW w:w="2409" w:type="dxa"/>
            <w:shd w:val="clear" w:color="auto" w:fill="FFFFFF"/>
            <w:vAlign w:val="center"/>
          </w:tcPr>
          <w:p w14:paraId="173B8F18" w14:textId="6C1510F7" w:rsidR="00FA44DE" w:rsidRPr="00B57B36" w:rsidRDefault="00FA44DE" w:rsidP="00FA44DE">
            <w:pPr>
              <w:pStyle w:val="CETBodytext"/>
              <w:ind w:right="-1"/>
              <w:rPr>
                <w:rFonts w:cs="Arial"/>
                <w:szCs w:val="18"/>
                <w:lang w:val="en-GB"/>
              </w:rPr>
            </w:pPr>
            <w:r w:rsidRPr="001D22B7">
              <w:rPr>
                <w:rFonts w:cs="Arial"/>
                <w:szCs w:val="18"/>
              </w:rPr>
              <w:t>45</w:t>
            </w:r>
          </w:p>
        </w:tc>
        <w:tc>
          <w:tcPr>
            <w:tcW w:w="1985" w:type="dxa"/>
            <w:shd w:val="clear" w:color="auto" w:fill="FFFFFF"/>
            <w:vAlign w:val="center"/>
          </w:tcPr>
          <w:p w14:paraId="62ED5B84" w14:textId="3EDA2F98" w:rsidR="00FA44DE" w:rsidRPr="00B57B36" w:rsidRDefault="00FA44DE" w:rsidP="00FA44DE">
            <w:pPr>
              <w:pStyle w:val="CETBodytext"/>
              <w:ind w:right="-1"/>
              <w:rPr>
                <w:rFonts w:cs="Arial"/>
                <w:szCs w:val="18"/>
                <w:lang w:val="en-GB"/>
              </w:rPr>
            </w:pPr>
            <w:r w:rsidRPr="001D22B7">
              <w:rPr>
                <w:rFonts w:cs="Arial"/>
                <w:szCs w:val="18"/>
              </w:rPr>
              <w:t>64</w:t>
            </w:r>
          </w:p>
        </w:tc>
      </w:tr>
    </w:tbl>
    <w:p w14:paraId="26D4C91D" w14:textId="77777777" w:rsidR="00FA44DE" w:rsidRDefault="00FA44DE" w:rsidP="00BE4F48">
      <w:pPr>
        <w:rPr>
          <w:rFonts w:cstheme="minorHAnsi"/>
          <w:color w:val="000000"/>
          <w:sz w:val="20"/>
          <w:lang w:eastAsia="it-IT"/>
        </w:rPr>
      </w:pPr>
    </w:p>
    <w:p w14:paraId="5AF632FE" w14:textId="0B3FCB0D" w:rsidR="001D22B7" w:rsidRPr="000B3865" w:rsidRDefault="001D22B7" w:rsidP="00BE4F48">
      <w:pPr>
        <w:rPr>
          <w:rFonts w:cstheme="minorHAnsi"/>
          <w:color w:val="000000"/>
          <w:lang w:eastAsia="it-IT"/>
        </w:rPr>
      </w:pPr>
      <w:r w:rsidRPr="000B3865">
        <w:rPr>
          <w:rFonts w:cstheme="minorHAnsi"/>
          <w:color w:val="000000"/>
          <w:lang w:eastAsia="it-IT"/>
        </w:rPr>
        <w:t xml:space="preserve">As reported in Table </w:t>
      </w:r>
      <w:r w:rsidR="005C2165">
        <w:rPr>
          <w:rFonts w:cstheme="minorHAnsi"/>
          <w:color w:val="000000"/>
          <w:lang w:eastAsia="it-IT"/>
        </w:rPr>
        <w:t>5</w:t>
      </w:r>
      <w:r w:rsidRPr="000B3865">
        <w:rPr>
          <w:rFonts w:cstheme="minorHAnsi"/>
          <w:color w:val="000000"/>
          <w:lang w:eastAsia="it-IT"/>
        </w:rPr>
        <w:t>, the resulting free volume of each unit, calculated by considering the geometric volume of the internal and external reactor body (82 and 23 litres), and the relative porosity (graphite granules 0.336 and 0.472 for the gravel) resulted in 35 and 46 L for the reductive and oxidative reactor. The correspondence with the F-test of the obtained results confirmed the contribution to the total volume of the reactor of the internal body of the reactor (i.e. the counterelectrode), which does not represent a dead zone of the reactor but is crossed by the liquid particles.</w:t>
      </w:r>
    </w:p>
    <w:p w14:paraId="2A7AEDB9" w14:textId="4AF30941" w:rsidR="0002014E" w:rsidRPr="00B57B36" w:rsidRDefault="0002014E" w:rsidP="0002014E">
      <w:pPr>
        <w:pStyle w:val="CETTabletitle"/>
      </w:pPr>
      <w:r w:rsidRPr="00B57B36">
        <w:t xml:space="preserve">Table </w:t>
      </w:r>
      <w:r w:rsidR="005C2165">
        <w:t>5</w:t>
      </w:r>
      <w:r w:rsidRPr="00B57B36">
        <w:t xml:space="preserve">: </w:t>
      </w:r>
      <w:r w:rsidR="005C2165">
        <w:rPr>
          <w:rFonts w:cstheme="minorHAnsi"/>
          <w:color w:val="000000"/>
          <w:lang w:val="en-US" w:eastAsia="it-IT"/>
        </w:rPr>
        <w:t xml:space="preserve">Effective volume determination </w:t>
      </w:r>
      <w:r w:rsidR="00EB6C53">
        <w:rPr>
          <w:rFonts w:cstheme="minorHAnsi"/>
          <w:color w:val="000000"/>
          <w:lang w:val="en-US" w:eastAsia="it-IT"/>
        </w:rPr>
        <w:t xml:space="preserve">considering static and fluidynamic porosity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95"/>
        <w:gridCol w:w="1967"/>
        <w:gridCol w:w="1842"/>
        <w:gridCol w:w="1276"/>
      </w:tblGrid>
      <w:tr w:rsidR="0002014E" w:rsidRPr="00B57B36" w14:paraId="385712E9" w14:textId="77777777" w:rsidTr="00A53315">
        <w:tc>
          <w:tcPr>
            <w:tcW w:w="2995" w:type="dxa"/>
            <w:tcBorders>
              <w:top w:val="single" w:sz="12" w:space="0" w:color="008000"/>
              <w:bottom w:val="single" w:sz="6" w:space="0" w:color="008000"/>
            </w:tcBorders>
            <w:shd w:val="clear" w:color="auto" w:fill="FFFFFF"/>
          </w:tcPr>
          <w:p w14:paraId="48FEAE98" w14:textId="77777777" w:rsidR="0002014E" w:rsidRPr="00B57B36" w:rsidRDefault="0002014E" w:rsidP="00A53315">
            <w:pPr>
              <w:pStyle w:val="CETBodytext"/>
              <w:rPr>
                <w:lang w:val="en-GB"/>
              </w:rPr>
            </w:pPr>
          </w:p>
        </w:tc>
        <w:tc>
          <w:tcPr>
            <w:tcW w:w="1967" w:type="dxa"/>
            <w:tcBorders>
              <w:top w:val="single" w:sz="12" w:space="0" w:color="008000"/>
              <w:bottom w:val="single" w:sz="6" w:space="0" w:color="008000"/>
            </w:tcBorders>
            <w:shd w:val="clear" w:color="auto" w:fill="FFFFFF"/>
            <w:vAlign w:val="center"/>
          </w:tcPr>
          <w:p w14:paraId="6D7CD5A2" w14:textId="77777777" w:rsidR="0002014E" w:rsidRPr="00B57B36" w:rsidRDefault="0002014E" w:rsidP="00A53315">
            <w:pPr>
              <w:pStyle w:val="CETBodytext"/>
              <w:rPr>
                <w:lang w:val="en-GB"/>
              </w:rPr>
            </w:pPr>
            <w:r w:rsidRPr="001D22B7">
              <w:rPr>
                <w:rFonts w:cs="Arial"/>
                <w:szCs w:val="18"/>
              </w:rPr>
              <w:t>GEOMETRIC</w:t>
            </w:r>
          </w:p>
        </w:tc>
        <w:tc>
          <w:tcPr>
            <w:tcW w:w="1842" w:type="dxa"/>
            <w:tcBorders>
              <w:top w:val="single" w:sz="12" w:space="0" w:color="008000"/>
              <w:bottom w:val="single" w:sz="6" w:space="0" w:color="008000"/>
            </w:tcBorders>
            <w:shd w:val="clear" w:color="auto" w:fill="FFFFFF"/>
            <w:vAlign w:val="center"/>
          </w:tcPr>
          <w:p w14:paraId="691C8E93" w14:textId="77777777" w:rsidR="0002014E" w:rsidRPr="001D22B7" w:rsidRDefault="0002014E" w:rsidP="00A53315">
            <w:pPr>
              <w:pStyle w:val="CETBodytext"/>
              <w:rPr>
                <w:rFonts w:cs="Arial"/>
                <w:szCs w:val="18"/>
              </w:rPr>
            </w:pPr>
            <w:r w:rsidRPr="001D22B7">
              <w:rPr>
                <w:rFonts w:cs="Arial"/>
                <w:szCs w:val="18"/>
              </w:rPr>
              <w:t>POROSITY</w:t>
            </w:r>
          </w:p>
        </w:tc>
        <w:tc>
          <w:tcPr>
            <w:tcW w:w="1276" w:type="dxa"/>
            <w:tcBorders>
              <w:top w:val="single" w:sz="12" w:space="0" w:color="008000"/>
              <w:bottom w:val="single" w:sz="6" w:space="0" w:color="008000"/>
            </w:tcBorders>
            <w:shd w:val="clear" w:color="auto" w:fill="FFFFFF"/>
            <w:vAlign w:val="center"/>
          </w:tcPr>
          <w:p w14:paraId="07969ECF" w14:textId="77777777" w:rsidR="0002014E" w:rsidRPr="00B57B36" w:rsidRDefault="0002014E" w:rsidP="00A53315">
            <w:pPr>
              <w:pStyle w:val="CETBodytext"/>
              <w:rPr>
                <w:lang w:val="en-GB"/>
              </w:rPr>
            </w:pPr>
            <w:r w:rsidRPr="001D22B7">
              <w:rPr>
                <w:rFonts w:cs="Arial"/>
                <w:szCs w:val="18"/>
              </w:rPr>
              <w:t>F-TEST</w:t>
            </w:r>
          </w:p>
        </w:tc>
      </w:tr>
      <w:tr w:rsidR="0002014E" w:rsidRPr="00B57B36" w14:paraId="60695EDA" w14:textId="77777777" w:rsidTr="00A53315">
        <w:tc>
          <w:tcPr>
            <w:tcW w:w="2995" w:type="dxa"/>
            <w:shd w:val="clear" w:color="auto" w:fill="FFFFFF"/>
            <w:vAlign w:val="center"/>
          </w:tcPr>
          <w:p w14:paraId="7F7D58D2" w14:textId="77777777" w:rsidR="0002014E" w:rsidRPr="00B57B36" w:rsidRDefault="0002014E" w:rsidP="00A53315">
            <w:pPr>
              <w:pStyle w:val="CETBodytext"/>
              <w:rPr>
                <w:lang w:val="en-GB"/>
              </w:rPr>
            </w:pPr>
            <w:r w:rsidRPr="001D22B7">
              <w:rPr>
                <w:rFonts w:cs="Arial"/>
                <w:szCs w:val="18"/>
              </w:rPr>
              <w:t>Reductive unit (L)</w:t>
            </w:r>
          </w:p>
        </w:tc>
        <w:tc>
          <w:tcPr>
            <w:tcW w:w="1967" w:type="dxa"/>
            <w:shd w:val="clear" w:color="auto" w:fill="FFFFFF"/>
            <w:vAlign w:val="center"/>
          </w:tcPr>
          <w:p w14:paraId="06C56AE0" w14:textId="77777777" w:rsidR="0002014E" w:rsidRPr="00B57B36" w:rsidRDefault="0002014E" w:rsidP="00A53315">
            <w:pPr>
              <w:pStyle w:val="CETBodytext"/>
              <w:rPr>
                <w:lang w:val="en-GB"/>
              </w:rPr>
            </w:pPr>
            <w:r w:rsidRPr="001D22B7">
              <w:rPr>
                <w:rFonts w:cs="Arial"/>
                <w:szCs w:val="18"/>
              </w:rPr>
              <w:t>37</w:t>
            </w:r>
          </w:p>
        </w:tc>
        <w:tc>
          <w:tcPr>
            <w:tcW w:w="1842" w:type="dxa"/>
            <w:shd w:val="clear" w:color="auto" w:fill="FFFFFF"/>
            <w:vAlign w:val="center"/>
          </w:tcPr>
          <w:p w14:paraId="5EA1CD25" w14:textId="77777777" w:rsidR="0002014E" w:rsidRPr="001D22B7" w:rsidRDefault="0002014E" w:rsidP="00A53315">
            <w:pPr>
              <w:pStyle w:val="CETBodytext"/>
              <w:rPr>
                <w:rFonts w:cs="Arial"/>
                <w:szCs w:val="18"/>
              </w:rPr>
            </w:pPr>
            <w:r w:rsidRPr="001D22B7">
              <w:rPr>
                <w:rFonts w:cs="Arial"/>
                <w:szCs w:val="18"/>
              </w:rPr>
              <w:t>35</w:t>
            </w:r>
          </w:p>
        </w:tc>
        <w:tc>
          <w:tcPr>
            <w:tcW w:w="1276" w:type="dxa"/>
            <w:shd w:val="clear" w:color="auto" w:fill="FFFFFF"/>
            <w:vAlign w:val="center"/>
          </w:tcPr>
          <w:p w14:paraId="0047E002" w14:textId="77777777" w:rsidR="0002014E" w:rsidRPr="00B57B36" w:rsidRDefault="0002014E" w:rsidP="00A53315">
            <w:pPr>
              <w:pStyle w:val="CETBodytext"/>
              <w:rPr>
                <w:lang w:val="en-GB"/>
              </w:rPr>
            </w:pPr>
            <w:r w:rsidRPr="001D22B7">
              <w:rPr>
                <w:rFonts w:cs="Arial"/>
                <w:szCs w:val="18"/>
              </w:rPr>
              <w:t>37</w:t>
            </w:r>
          </w:p>
        </w:tc>
      </w:tr>
      <w:tr w:rsidR="0002014E" w:rsidRPr="00B57B36" w14:paraId="7AF3A7C2" w14:textId="77777777" w:rsidTr="00A53315">
        <w:tc>
          <w:tcPr>
            <w:tcW w:w="2995" w:type="dxa"/>
            <w:shd w:val="clear" w:color="auto" w:fill="FFFFFF"/>
            <w:vAlign w:val="center"/>
          </w:tcPr>
          <w:p w14:paraId="4568BEE4" w14:textId="77777777" w:rsidR="0002014E" w:rsidRPr="00B57B36" w:rsidRDefault="0002014E" w:rsidP="00A53315">
            <w:pPr>
              <w:pStyle w:val="CETBodytext"/>
              <w:ind w:right="-1"/>
              <w:rPr>
                <w:rFonts w:cs="Arial"/>
                <w:szCs w:val="18"/>
                <w:lang w:val="en-GB"/>
              </w:rPr>
            </w:pPr>
            <w:r w:rsidRPr="001D22B7">
              <w:rPr>
                <w:rFonts w:cs="Arial"/>
                <w:szCs w:val="18"/>
              </w:rPr>
              <w:t>Oxidative unit (L)</w:t>
            </w:r>
          </w:p>
        </w:tc>
        <w:tc>
          <w:tcPr>
            <w:tcW w:w="1967" w:type="dxa"/>
            <w:shd w:val="clear" w:color="auto" w:fill="FFFFFF"/>
            <w:vAlign w:val="center"/>
          </w:tcPr>
          <w:p w14:paraId="5E70160E" w14:textId="77777777" w:rsidR="0002014E" w:rsidRPr="00B57B36" w:rsidRDefault="0002014E" w:rsidP="00A53315">
            <w:pPr>
              <w:pStyle w:val="CETBodytext"/>
              <w:ind w:right="-1"/>
              <w:rPr>
                <w:rFonts w:cs="Arial"/>
                <w:szCs w:val="18"/>
                <w:lang w:val="en-GB"/>
              </w:rPr>
            </w:pPr>
            <w:r w:rsidRPr="001D22B7">
              <w:rPr>
                <w:rFonts w:cs="Arial"/>
                <w:szCs w:val="18"/>
              </w:rPr>
              <w:t>45</w:t>
            </w:r>
          </w:p>
        </w:tc>
        <w:tc>
          <w:tcPr>
            <w:tcW w:w="1842" w:type="dxa"/>
            <w:shd w:val="clear" w:color="auto" w:fill="FFFFFF"/>
            <w:vAlign w:val="center"/>
          </w:tcPr>
          <w:p w14:paraId="0D0B0024" w14:textId="77777777" w:rsidR="0002014E" w:rsidRPr="001D22B7" w:rsidRDefault="0002014E" w:rsidP="00A53315">
            <w:pPr>
              <w:pStyle w:val="CETBodytext"/>
              <w:ind w:right="-1"/>
              <w:rPr>
                <w:rFonts w:cs="Arial"/>
                <w:szCs w:val="18"/>
              </w:rPr>
            </w:pPr>
            <w:r w:rsidRPr="001D22B7">
              <w:rPr>
                <w:rFonts w:cs="Arial"/>
                <w:szCs w:val="18"/>
              </w:rPr>
              <w:t>46</w:t>
            </w:r>
          </w:p>
        </w:tc>
        <w:tc>
          <w:tcPr>
            <w:tcW w:w="1276" w:type="dxa"/>
            <w:shd w:val="clear" w:color="auto" w:fill="FFFFFF"/>
            <w:vAlign w:val="center"/>
          </w:tcPr>
          <w:p w14:paraId="7A110B83" w14:textId="77777777" w:rsidR="0002014E" w:rsidRPr="00B57B36" w:rsidRDefault="0002014E" w:rsidP="00A53315">
            <w:pPr>
              <w:pStyle w:val="CETBodytext"/>
              <w:ind w:right="-1"/>
              <w:rPr>
                <w:rFonts w:cs="Arial"/>
                <w:szCs w:val="18"/>
                <w:lang w:val="en-GB"/>
              </w:rPr>
            </w:pPr>
            <w:r w:rsidRPr="001D22B7">
              <w:rPr>
                <w:rFonts w:cs="Arial"/>
                <w:szCs w:val="18"/>
              </w:rPr>
              <w:t>41</w:t>
            </w:r>
          </w:p>
        </w:tc>
      </w:tr>
    </w:tbl>
    <w:p w14:paraId="002348B7" w14:textId="1DCAB7A4" w:rsidR="001D22B7" w:rsidRDefault="001D22B7" w:rsidP="00BE4F48">
      <w:pPr>
        <w:rPr>
          <w:rFonts w:cstheme="minorHAnsi"/>
          <w:color w:val="000000"/>
          <w:sz w:val="20"/>
          <w:lang w:eastAsia="it-IT"/>
        </w:rPr>
      </w:pPr>
    </w:p>
    <w:p w14:paraId="1C59E63B" w14:textId="6BD14D1F" w:rsidR="005C2165" w:rsidRDefault="005C2165" w:rsidP="00BE4F48">
      <w:pPr>
        <w:rPr>
          <w:rFonts w:cstheme="minorHAnsi"/>
          <w:color w:val="000000"/>
          <w:lang w:eastAsia="it-IT"/>
        </w:rPr>
      </w:pPr>
      <w:r w:rsidRPr="001D5EE2">
        <w:rPr>
          <w:rFonts w:cstheme="minorHAnsi"/>
          <w:i/>
          <w:iCs/>
          <w:color w:val="000000"/>
          <w:sz w:val="20"/>
          <w:lang w:eastAsia="it-IT"/>
        </w:rPr>
        <w:t>3.</w:t>
      </w:r>
      <w:r>
        <w:rPr>
          <w:rFonts w:cstheme="minorHAnsi"/>
          <w:i/>
          <w:iCs/>
          <w:color w:val="000000"/>
          <w:sz w:val="20"/>
          <w:lang w:eastAsia="it-IT"/>
        </w:rPr>
        <w:t>2</w:t>
      </w:r>
      <w:r w:rsidRPr="001D5EE2">
        <w:rPr>
          <w:rFonts w:cstheme="minorHAnsi"/>
          <w:i/>
          <w:iCs/>
          <w:color w:val="000000"/>
          <w:sz w:val="20"/>
          <w:lang w:eastAsia="it-IT"/>
        </w:rPr>
        <w:tab/>
      </w:r>
      <w:r>
        <w:rPr>
          <w:rFonts w:cstheme="minorHAnsi"/>
          <w:i/>
          <w:iCs/>
          <w:color w:val="000000"/>
          <w:sz w:val="20"/>
          <w:lang w:eastAsia="it-IT"/>
        </w:rPr>
        <w:t xml:space="preserve"> </w:t>
      </w:r>
      <w:r>
        <w:t>F</w:t>
      </w:r>
      <w:r w:rsidRPr="005C2165">
        <w:rPr>
          <w:rFonts w:cstheme="minorHAnsi"/>
          <w:i/>
          <w:iCs/>
          <w:color w:val="000000"/>
          <w:sz w:val="20"/>
          <w:lang w:eastAsia="it-IT"/>
        </w:rPr>
        <w:t>luidynamic similarity</w:t>
      </w:r>
      <w:r>
        <w:rPr>
          <w:rFonts w:cstheme="minorHAnsi"/>
          <w:i/>
          <w:iCs/>
          <w:color w:val="000000"/>
          <w:sz w:val="20"/>
          <w:lang w:eastAsia="it-IT"/>
        </w:rPr>
        <w:t xml:space="preserve"> determination of the laboratory and pilot scale reactors</w:t>
      </w:r>
    </w:p>
    <w:p w14:paraId="5FF69369" w14:textId="77777777" w:rsidR="005C2165" w:rsidRDefault="005C2165" w:rsidP="00BE4F48">
      <w:pPr>
        <w:rPr>
          <w:rFonts w:cstheme="minorHAnsi"/>
          <w:color w:val="000000"/>
          <w:lang w:eastAsia="it-IT"/>
        </w:rPr>
      </w:pPr>
    </w:p>
    <w:p w14:paraId="0BCEAF9D" w14:textId="01224113" w:rsidR="000610AA" w:rsidRPr="00456CFD" w:rsidRDefault="000610AA" w:rsidP="00BE4F48">
      <w:pPr>
        <w:rPr>
          <w:rFonts w:cstheme="minorHAnsi"/>
          <w:color w:val="000000"/>
          <w:lang w:eastAsia="it-IT"/>
        </w:rPr>
      </w:pPr>
      <w:r w:rsidRPr="00456CFD">
        <w:rPr>
          <w:rFonts w:cstheme="minorHAnsi"/>
          <w:color w:val="000000"/>
          <w:lang w:eastAsia="it-IT"/>
        </w:rPr>
        <w:t xml:space="preserve">The fluidynamic similarity of the laboratory and pilot scale reactors has been determined </w:t>
      </w:r>
      <w:r w:rsidR="005C2165">
        <w:rPr>
          <w:rFonts w:cstheme="minorHAnsi"/>
          <w:color w:val="000000"/>
          <w:lang w:eastAsia="it-IT"/>
        </w:rPr>
        <w:t xml:space="preserve">as described in the previous section. The evaluation of the Re number has been conducted considering three </w:t>
      </w:r>
      <w:r w:rsidR="005C2165" w:rsidRPr="00456CFD">
        <w:rPr>
          <w:rFonts w:cstheme="minorHAnsi"/>
          <w:color w:val="000000"/>
          <w:lang w:eastAsia="it-IT"/>
        </w:rPr>
        <w:t>different HRT</w:t>
      </w:r>
      <w:r w:rsidR="005C2165">
        <w:rPr>
          <w:rFonts w:cstheme="minorHAnsi"/>
          <w:color w:val="000000"/>
          <w:lang w:eastAsia="it-IT"/>
        </w:rPr>
        <w:t>s</w:t>
      </w:r>
      <w:r w:rsidR="005C2165" w:rsidRPr="00456CFD">
        <w:rPr>
          <w:rFonts w:cstheme="minorHAnsi"/>
          <w:color w:val="000000"/>
          <w:lang w:eastAsia="it-IT"/>
        </w:rPr>
        <w:t xml:space="preserve"> (i.e. different linear velocit</w:t>
      </w:r>
      <w:r w:rsidR="005C2165">
        <w:rPr>
          <w:rFonts w:cstheme="minorHAnsi"/>
          <w:color w:val="000000"/>
          <w:lang w:eastAsia="it-IT"/>
        </w:rPr>
        <w:t>ies) investigated in the laboratory condition (i.e. 4.1, 1.8 and 1.2 d) and projected for the pilot scale test (i.e. 1.3, 0.7 and 0.2 d). A</w:t>
      </w:r>
      <w:r w:rsidRPr="00456CFD">
        <w:rPr>
          <w:rFonts w:cstheme="minorHAnsi"/>
          <w:color w:val="000000"/>
          <w:lang w:eastAsia="it-IT"/>
        </w:rPr>
        <w:t xml:space="preserve">s reported in </w:t>
      </w:r>
      <w:r w:rsidR="005C2165">
        <w:rPr>
          <w:rFonts w:cstheme="minorHAnsi"/>
          <w:color w:val="000000"/>
          <w:lang w:eastAsia="it-IT"/>
        </w:rPr>
        <w:t>T</w:t>
      </w:r>
      <w:r w:rsidRPr="00456CFD">
        <w:rPr>
          <w:rFonts w:cstheme="minorHAnsi"/>
          <w:color w:val="000000"/>
          <w:lang w:eastAsia="it-IT"/>
        </w:rPr>
        <w:t xml:space="preserve">able </w:t>
      </w:r>
      <w:r w:rsidR="005C2165">
        <w:rPr>
          <w:rFonts w:cstheme="minorHAnsi"/>
          <w:color w:val="000000"/>
          <w:lang w:eastAsia="it-IT"/>
        </w:rPr>
        <w:t>6</w:t>
      </w:r>
      <w:r w:rsidRPr="00456CFD">
        <w:rPr>
          <w:rFonts w:cstheme="minorHAnsi"/>
          <w:color w:val="000000"/>
          <w:lang w:eastAsia="it-IT"/>
        </w:rPr>
        <w:t xml:space="preserve">, which reports the Reynolds number obtained </w:t>
      </w:r>
      <w:r w:rsidR="005C2165">
        <w:rPr>
          <w:rFonts w:cstheme="minorHAnsi"/>
          <w:color w:val="000000"/>
          <w:lang w:eastAsia="it-IT"/>
        </w:rPr>
        <w:t>for the laboratory and pilot scale reactors, t</w:t>
      </w:r>
      <w:r w:rsidRPr="00456CFD">
        <w:rPr>
          <w:rFonts w:cstheme="minorHAnsi"/>
          <w:color w:val="000000"/>
          <w:lang w:eastAsia="it-IT"/>
        </w:rPr>
        <w:t xml:space="preserve">he fluidynamic similarity of the reductive units was </w:t>
      </w:r>
      <w:r w:rsidR="00456CFD" w:rsidRPr="00456CFD">
        <w:rPr>
          <w:rFonts w:cstheme="minorHAnsi"/>
          <w:color w:val="000000"/>
          <w:lang w:eastAsia="it-IT"/>
        </w:rPr>
        <w:t>maintained</w:t>
      </w:r>
      <w:r w:rsidRPr="00456CFD">
        <w:rPr>
          <w:rFonts w:cstheme="minorHAnsi"/>
          <w:color w:val="000000"/>
          <w:lang w:eastAsia="it-IT"/>
        </w:rPr>
        <w:t>, indeed during the operation at similar HRTs of 1.2 an</w:t>
      </w:r>
      <w:r w:rsidR="00456CFD">
        <w:rPr>
          <w:rFonts w:cstheme="minorHAnsi"/>
          <w:color w:val="000000"/>
          <w:lang w:eastAsia="it-IT"/>
        </w:rPr>
        <w:t>d</w:t>
      </w:r>
      <w:r w:rsidRPr="00456CFD">
        <w:rPr>
          <w:rFonts w:cstheme="minorHAnsi"/>
          <w:color w:val="000000"/>
          <w:lang w:eastAsia="it-IT"/>
        </w:rPr>
        <w:t xml:space="preserve"> 1.3 days, the Reynolds number resulted 4.58 and 5.92 which means that the two scale of reactors were under full laminar regime. On the contrary, </w:t>
      </w:r>
      <w:r w:rsidR="005C2165">
        <w:rPr>
          <w:rFonts w:cstheme="minorHAnsi"/>
          <w:color w:val="000000"/>
          <w:lang w:eastAsia="it-IT"/>
        </w:rPr>
        <w:t xml:space="preserve">as reported in Table 7, </w:t>
      </w:r>
      <w:r w:rsidRPr="00456CFD">
        <w:rPr>
          <w:rFonts w:cstheme="minorHAnsi"/>
          <w:color w:val="000000"/>
          <w:lang w:eastAsia="it-IT"/>
        </w:rPr>
        <w:t xml:space="preserve">the determination of the Re number for the oxidative unit at similar HRTs of 0.7 d showed a strong difference of the Reynolds number for the laboratory and the pilot scale reactors with 5.62 and 49.64, respectively. The main difference in Reynolds number can be easily explained by the significative difference in terms of average diameter of the gravel used as </w:t>
      </w:r>
      <w:r w:rsidR="00456CFD" w:rsidRPr="00456CFD">
        <w:rPr>
          <w:rFonts w:cstheme="minorHAnsi"/>
          <w:color w:val="000000"/>
          <w:lang w:eastAsia="it-IT"/>
        </w:rPr>
        <w:t>packing</w:t>
      </w:r>
      <w:r w:rsidRPr="00456CFD">
        <w:rPr>
          <w:rFonts w:cstheme="minorHAnsi"/>
          <w:color w:val="000000"/>
          <w:lang w:eastAsia="it-IT"/>
        </w:rPr>
        <w:t xml:space="preserve"> material in the lab and pilot scale reactor. Interestingly, </w:t>
      </w:r>
      <w:r w:rsidR="00456CFD" w:rsidRPr="00456CFD">
        <w:rPr>
          <w:rFonts w:cstheme="minorHAnsi"/>
          <w:color w:val="000000"/>
          <w:lang w:eastAsia="it-IT"/>
        </w:rPr>
        <w:t>during all the operational period of the operation of the reactors, the reductive reactors have been operated at full laminar regime while during the pilot test, the oxidative units resulted operated in the transient fluidynamic regime between laminar and turbulent.</w:t>
      </w:r>
      <w:r w:rsidRPr="00456CFD">
        <w:rPr>
          <w:rFonts w:cstheme="minorHAnsi"/>
          <w:color w:val="000000"/>
          <w:lang w:eastAsia="it-IT"/>
        </w:rPr>
        <w:t xml:space="preserve"> </w:t>
      </w:r>
    </w:p>
    <w:p w14:paraId="25C326DC" w14:textId="4B6A3BC5" w:rsidR="00A00ACA" w:rsidRPr="00B57B36" w:rsidRDefault="00A00ACA" w:rsidP="00A00ACA">
      <w:pPr>
        <w:pStyle w:val="CETTabletitle"/>
      </w:pPr>
      <w:r w:rsidRPr="00B57B36">
        <w:t xml:space="preserve">Table </w:t>
      </w:r>
      <w:r w:rsidR="005C2165">
        <w:t>6</w:t>
      </w:r>
      <w:r w:rsidRPr="00B57B36">
        <w:t xml:space="preserve">: </w:t>
      </w:r>
      <w:r>
        <w:t>Reductive units Reynolds number comparison</w:t>
      </w:r>
    </w:p>
    <w:p w14:paraId="09CDD3D4" w14:textId="1225D329" w:rsidR="001D22B7" w:rsidRDefault="001D22B7" w:rsidP="00BE4F48">
      <w:pPr>
        <w:rPr>
          <w:rFonts w:cstheme="minorHAnsi"/>
          <w:color w:val="000000"/>
          <w:sz w:val="20"/>
          <w:lang w:val="en-US" w:eastAsia="it-IT"/>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02"/>
        <w:gridCol w:w="1150"/>
        <w:gridCol w:w="1120"/>
        <w:gridCol w:w="1148"/>
        <w:gridCol w:w="992"/>
        <w:gridCol w:w="1134"/>
        <w:gridCol w:w="1134"/>
      </w:tblGrid>
      <w:tr w:rsidR="00A00ACA" w:rsidRPr="00B57B36" w14:paraId="38B55E74" w14:textId="77777777" w:rsidTr="00A00ACA">
        <w:tc>
          <w:tcPr>
            <w:tcW w:w="1402" w:type="dxa"/>
            <w:tcBorders>
              <w:top w:val="single" w:sz="12" w:space="0" w:color="008000"/>
              <w:bottom w:val="single" w:sz="6" w:space="0" w:color="008000"/>
            </w:tcBorders>
            <w:shd w:val="clear" w:color="auto" w:fill="FFFFFF"/>
          </w:tcPr>
          <w:p w14:paraId="4260C1B9" w14:textId="77777777" w:rsidR="00A00ACA" w:rsidRPr="00B57B36" w:rsidRDefault="00A00ACA" w:rsidP="001E1B03">
            <w:pPr>
              <w:pStyle w:val="CETBodytext"/>
              <w:rPr>
                <w:lang w:val="en-GB"/>
              </w:rPr>
            </w:pPr>
          </w:p>
        </w:tc>
        <w:tc>
          <w:tcPr>
            <w:tcW w:w="3418" w:type="dxa"/>
            <w:gridSpan w:val="3"/>
            <w:tcBorders>
              <w:top w:val="single" w:sz="12" w:space="0" w:color="008000"/>
              <w:bottom w:val="single" w:sz="6" w:space="0" w:color="008000"/>
            </w:tcBorders>
            <w:shd w:val="clear" w:color="auto" w:fill="FFFFFF"/>
            <w:vAlign w:val="center"/>
          </w:tcPr>
          <w:p w14:paraId="62AEF717" w14:textId="0D5190A1" w:rsidR="00A00ACA" w:rsidRPr="001D22B7" w:rsidRDefault="00A00ACA" w:rsidP="00A00ACA">
            <w:pPr>
              <w:pStyle w:val="CETBodytext"/>
              <w:jc w:val="center"/>
              <w:rPr>
                <w:rFonts w:cs="Arial"/>
                <w:szCs w:val="18"/>
              </w:rPr>
            </w:pPr>
            <w:r>
              <w:rPr>
                <w:rFonts w:cs="Arial"/>
                <w:szCs w:val="18"/>
              </w:rPr>
              <w:t>LAB SCALE</w:t>
            </w:r>
          </w:p>
        </w:tc>
        <w:tc>
          <w:tcPr>
            <w:tcW w:w="3260" w:type="dxa"/>
            <w:gridSpan w:val="3"/>
            <w:tcBorders>
              <w:top w:val="single" w:sz="12" w:space="0" w:color="008000"/>
              <w:bottom w:val="single" w:sz="6" w:space="0" w:color="008000"/>
            </w:tcBorders>
            <w:shd w:val="clear" w:color="auto" w:fill="FFFFFF"/>
          </w:tcPr>
          <w:p w14:paraId="4A74DDA1" w14:textId="60BE7B0D" w:rsidR="00A00ACA" w:rsidRPr="001D22B7" w:rsidRDefault="00A00ACA" w:rsidP="00A00ACA">
            <w:pPr>
              <w:pStyle w:val="CETBodytext"/>
              <w:jc w:val="center"/>
              <w:rPr>
                <w:rFonts w:cs="Arial"/>
                <w:szCs w:val="18"/>
              </w:rPr>
            </w:pPr>
            <w:r>
              <w:rPr>
                <w:rFonts w:cs="Arial"/>
                <w:szCs w:val="18"/>
              </w:rPr>
              <w:t>PILOT SCALE</w:t>
            </w:r>
          </w:p>
        </w:tc>
      </w:tr>
      <w:tr w:rsidR="00A00ACA" w:rsidRPr="00B57B36" w14:paraId="70B33D2F" w14:textId="77777777" w:rsidTr="00A00ACA">
        <w:trPr>
          <w:trHeight w:val="76"/>
        </w:trPr>
        <w:tc>
          <w:tcPr>
            <w:tcW w:w="1402" w:type="dxa"/>
            <w:shd w:val="clear" w:color="auto" w:fill="FFFFFF"/>
            <w:vAlign w:val="center"/>
          </w:tcPr>
          <w:p w14:paraId="20F55625" w14:textId="5BC8A8F8" w:rsidR="00A00ACA" w:rsidRPr="00B57B36" w:rsidRDefault="00A00ACA" w:rsidP="001E1B03">
            <w:pPr>
              <w:pStyle w:val="CETBodytext"/>
              <w:rPr>
                <w:lang w:val="en-GB"/>
              </w:rPr>
            </w:pPr>
            <w:r>
              <w:rPr>
                <w:rFonts w:cs="Arial"/>
                <w:szCs w:val="18"/>
              </w:rPr>
              <w:t>HRT</w:t>
            </w:r>
            <w:r w:rsidRPr="001D22B7">
              <w:rPr>
                <w:rFonts w:cs="Arial"/>
                <w:szCs w:val="18"/>
              </w:rPr>
              <w:t xml:space="preserve"> (</w:t>
            </w:r>
            <w:r>
              <w:rPr>
                <w:rFonts w:cs="Arial"/>
                <w:szCs w:val="18"/>
              </w:rPr>
              <w:t>d</w:t>
            </w:r>
            <w:r w:rsidRPr="001D22B7">
              <w:rPr>
                <w:rFonts w:cs="Arial"/>
                <w:szCs w:val="18"/>
              </w:rPr>
              <w:t>)</w:t>
            </w:r>
          </w:p>
        </w:tc>
        <w:tc>
          <w:tcPr>
            <w:tcW w:w="1150" w:type="dxa"/>
            <w:shd w:val="clear" w:color="auto" w:fill="FFFFFF"/>
            <w:vAlign w:val="center"/>
          </w:tcPr>
          <w:p w14:paraId="7EF68049" w14:textId="63287355" w:rsidR="00A00ACA" w:rsidRPr="00B57B36" w:rsidRDefault="00A00ACA" w:rsidP="001E1B03">
            <w:pPr>
              <w:pStyle w:val="CETBodytext"/>
              <w:rPr>
                <w:lang w:val="en-GB"/>
              </w:rPr>
            </w:pPr>
            <w:r>
              <w:rPr>
                <w:rFonts w:cs="Arial"/>
                <w:szCs w:val="18"/>
              </w:rPr>
              <w:t>4.1</w:t>
            </w:r>
          </w:p>
        </w:tc>
        <w:tc>
          <w:tcPr>
            <w:tcW w:w="1120" w:type="dxa"/>
            <w:shd w:val="clear" w:color="auto" w:fill="FFFFFF"/>
          </w:tcPr>
          <w:p w14:paraId="21651CF9" w14:textId="725F1D31" w:rsidR="00A00ACA" w:rsidRPr="001D22B7" w:rsidRDefault="00A00ACA" w:rsidP="001E1B03">
            <w:pPr>
              <w:pStyle w:val="CETBodytext"/>
              <w:rPr>
                <w:rFonts w:cs="Arial"/>
                <w:szCs w:val="18"/>
              </w:rPr>
            </w:pPr>
            <w:r>
              <w:rPr>
                <w:rFonts w:cs="Arial"/>
                <w:szCs w:val="18"/>
              </w:rPr>
              <w:t>1.8</w:t>
            </w:r>
          </w:p>
        </w:tc>
        <w:tc>
          <w:tcPr>
            <w:tcW w:w="1148" w:type="dxa"/>
            <w:shd w:val="clear" w:color="auto" w:fill="FFFFFF"/>
          </w:tcPr>
          <w:p w14:paraId="50FF216A" w14:textId="3F14B492" w:rsidR="00A00ACA" w:rsidRPr="001D22B7" w:rsidRDefault="00A00ACA" w:rsidP="001E1B03">
            <w:pPr>
              <w:pStyle w:val="CETBodytext"/>
              <w:rPr>
                <w:rFonts w:cs="Arial"/>
                <w:szCs w:val="18"/>
              </w:rPr>
            </w:pPr>
            <w:r>
              <w:rPr>
                <w:rFonts w:cs="Arial"/>
                <w:szCs w:val="18"/>
              </w:rPr>
              <w:t>1.2</w:t>
            </w:r>
          </w:p>
        </w:tc>
        <w:tc>
          <w:tcPr>
            <w:tcW w:w="992" w:type="dxa"/>
            <w:shd w:val="clear" w:color="auto" w:fill="FFFFFF"/>
          </w:tcPr>
          <w:p w14:paraId="6E071565" w14:textId="3BEFDB07" w:rsidR="00A00ACA" w:rsidRPr="001D22B7" w:rsidRDefault="00A00ACA" w:rsidP="001E1B03">
            <w:pPr>
              <w:pStyle w:val="CETBodytext"/>
              <w:rPr>
                <w:rFonts w:cs="Arial"/>
                <w:szCs w:val="18"/>
              </w:rPr>
            </w:pPr>
            <w:r>
              <w:rPr>
                <w:rFonts w:cs="Arial"/>
                <w:szCs w:val="18"/>
              </w:rPr>
              <w:t>1.3</w:t>
            </w:r>
          </w:p>
        </w:tc>
        <w:tc>
          <w:tcPr>
            <w:tcW w:w="1134" w:type="dxa"/>
            <w:shd w:val="clear" w:color="auto" w:fill="FFFFFF"/>
          </w:tcPr>
          <w:p w14:paraId="160AC8AB" w14:textId="65190B18" w:rsidR="00A00ACA" w:rsidRPr="001D22B7" w:rsidRDefault="00A00ACA" w:rsidP="001E1B03">
            <w:pPr>
              <w:pStyle w:val="CETBodytext"/>
              <w:rPr>
                <w:rFonts w:cs="Arial"/>
                <w:szCs w:val="18"/>
              </w:rPr>
            </w:pPr>
            <w:r>
              <w:rPr>
                <w:rFonts w:cs="Arial"/>
                <w:szCs w:val="18"/>
              </w:rPr>
              <w:t>0.7</w:t>
            </w:r>
          </w:p>
        </w:tc>
        <w:tc>
          <w:tcPr>
            <w:tcW w:w="1134" w:type="dxa"/>
            <w:shd w:val="clear" w:color="auto" w:fill="FFFFFF"/>
          </w:tcPr>
          <w:p w14:paraId="16E4A44A" w14:textId="67B94EF3" w:rsidR="00A00ACA" w:rsidRPr="001D22B7" w:rsidRDefault="00A00ACA" w:rsidP="001E1B03">
            <w:pPr>
              <w:pStyle w:val="CETBodytext"/>
              <w:rPr>
                <w:rFonts w:cs="Arial"/>
                <w:szCs w:val="18"/>
              </w:rPr>
            </w:pPr>
            <w:r>
              <w:rPr>
                <w:rFonts w:cs="Arial"/>
                <w:szCs w:val="18"/>
              </w:rPr>
              <w:t>0.2</w:t>
            </w:r>
          </w:p>
        </w:tc>
      </w:tr>
      <w:tr w:rsidR="00A00ACA" w:rsidRPr="00B57B36" w14:paraId="69DE1179" w14:textId="77777777" w:rsidTr="00A00ACA">
        <w:tc>
          <w:tcPr>
            <w:tcW w:w="1402" w:type="dxa"/>
            <w:shd w:val="clear" w:color="auto" w:fill="FFFFFF"/>
            <w:vAlign w:val="center"/>
          </w:tcPr>
          <w:p w14:paraId="273F1D0D" w14:textId="1141E249" w:rsidR="00A00ACA" w:rsidRPr="00B57B36" w:rsidRDefault="00A00ACA" w:rsidP="001E1B03">
            <w:pPr>
              <w:pStyle w:val="CETBodytext"/>
              <w:ind w:right="-1"/>
              <w:rPr>
                <w:rFonts w:cs="Arial"/>
                <w:szCs w:val="18"/>
                <w:lang w:val="en-GB"/>
              </w:rPr>
            </w:pPr>
            <w:r>
              <w:rPr>
                <w:rFonts w:cs="Arial"/>
                <w:szCs w:val="18"/>
              </w:rPr>
              <w:t>Re</w:t>
            </w:r>
          </w:p>
        </w:tc>
        <w:tc>
          <w:tcPr>
            <w:tcW w:w="1150" w:type="dxa"/>
            <w:shd w:val="clear" w:color="auto" w:fill="FFFFFF"/>
            <w:vAlign w:val="center"/>
          </w:tcPr>
          <w:p w14:paraId="3B4A41A2" w14:textId="53E169B9" w:rsidR="00A00ACA" w:rsidRPr="00B57B36" w:rsidRDefault="00A00ACA" w:rsidP="001E1B03">
            <w:pPr>
              <w:pStyle w:val="CETBodytext"/>
              <w:ind w:right="-1"/>
              <w:rPr>
                <w:rFonts w:cs="Arial"/>
                <w:szCs w:val="18"/>
                <w:lang w:val="en-GB"/>
              </w:rPr>
            </w:pPr>
            <w:r>
              <w:rPr>
                <w:rFonts w:cs="Arial"/>
                <w:szCs w:val="18"/>
              </w:rPr>
              <w:t>1.34</w:t>
            </w:r>
          </w:p>
        </w:tc>
        <w:tc>
          <w:tcPr>
            <w:tcW w:w="1120" w:type="dxa"/>
            <w:shd w:val="clear" w:color="auto" w:fill="FFFFFF"/>
          </w:tcPr>
          <w:p w14:paraId="2BBA0B8A" w14:textId="32643410" w:rsidR="00A00ACA" w:rsidRPr="001D22B7" w:rsidRDefault="00A00ACA" w:rsidP="001E1B03">
            <w:pPr>
              <w:pStyle w:val="CETBodytext"/>
              <w:ind w:right="-1"/>
              <w:rPr>
                <w:rFonts w:cs="Arial"/>
                <w:szCs w:val="18"/>
              </w:rPr>
            </w:pPr>
            <w:r>
              <w:rPr>
                <w:rFonts w:cs="Arial"/>
                <w:szCs w:val="18"/>
              </w:rPr>
              <w:t>3.05</w:t>
            </w:r>
          </w:p>
        </w:tc>
        <w:tc>
          <w:tcPr>
            <w:tcW w:w="1148" w:type="dxa"/>
            <w:shd w:val="clear" w:color="auto" w:fill="FFFFFF"/>
          </w:tcPr>
          <w:p w14:paraId="4CD54959" w14:textId="78FC2676" w:rsidR="00A00ACA" w:rsidRPr="001D22B7" w:rsidRDefault="00A00ACA" w:rsidP="001E1B03">
            <w:pPr>
              <w:pStyle w:val="CETBodytext"/>
              <w:ind w:right="-1"/>
              <w:rPr>
                <w:rFonts w:cs="Arial"/>
                <w:szCs w:val="18"/>
              </w:rPr>
            </w:pPr>
            <w:r>
              <w:rPr>
                <w:rFonts w:cs="Arial"/>
                <w:szCs w:val="18"/>
              </w:rPr>
              <w:t>4.58</w:t>
            </w:r>
          </w:p>
        </w:tc>
        <w:tc>
          <w:tcPr>
            <w:tcW w:w="992" w:type="dxa"/>
            <w:shd w:val="clear" w:color="auto" w:fill="FFFFFF"/>
          </w:tcPr>
          <w:p w14:paraId="65C6F083" w14:textId="30FCDD4D" w:rsidR="00A00ACA" w:rsidRPr="001D22B7" w:rsidRDefault="00A00ACA" w:rsidP="001E1B03">
            <w:pPr>
              <w:pStyle w:val="CETBodytext"/>
              <w:ind w:right="-1"/>
              <w:rPr>
                <w:rFonts w:cs="Arial"/>
                <w:szCs w:val="18"/>
              </w:rPr>
            </w:pPr>
            <w:r>
              <w:rPr>
                <w:rFonts w:cs="Arial"/>
                <w:szCs w:val="18"/>
              </w:rPr>
              <w:t>5.92</w:t>
            </w:r>
          </w:p>
        </w:tc>
        <w:tc>
          <w:tcPr>
            <w:tcW w:w="1134" w:type="dxa"/>
            <w:shd w:val="clear" w:color="auto" w:fill="FFFFFF"/>
          </w:tcPr>
          <w:p w14:paraId="288E9F92" w14:textId="78571DE9" w:rsidR="00A00ACA" w:rsidRPr="001D22B7" w:rsidRDefault="00A00ACA" w:rsidP="001E1B03">
            <w:pPr>
              <w:pStyle w:val="CETBodytext"/>
              <w:ind w:right="-1"/>
              <w:rPr>
                <w:rFonts w:cs="Arial"/>
                <w:szCs w:val="18"/>
              </w:rPr>
            </w:pPr>
            <w:r>
              <w:rPr>
                <w:rFonts w:cs="Arial"/>
                <w:szCs w:val="18"/>
              </w:rPr>
              <w:t>11.84</w:t>
            </w:r>
          </w:p>
        </w:tc>
        <w:tc>
          <w:tcPr>
            <w:tcW w:w="1134" w:type="dxa"/>
            <w:shd w:val="clear" w:color="auto" w:fill="FFFFFF"/>
          </w:tcPr>
          <w:p w14:paraId="210864C9" w14:textId="5AC3485E" w:rsidR="00A00ACA" w:rsidRPr="001D22B7" w:rsidRDefault="00A00ACA" w:rsidP="001E1B03">
            <w:pPr>
              <w:pStyle w:val="CETBodytext"/>
              <w:ind w:right="-1"/>
              <w:rPr>
                <w:rFonts w:cs="Arial"/>
                <w:szCs w:val="18"/>
              </w:rPr>
            </w:pPr>
            <w:r>
              <w:rPr>
                <w:rFonts w:cs="Arial"/>
                <w:szCs w:val="18"/>
              </w:rPr>
              <w:t>44.26</w:t>
            </w:r>
          </w:p>
        </w:tc>
      </w:tr>
    </w:tbl>
    <w:p w14:paraId="50227C73" w14:textId="560D163A" w:rsidR="00A00ACA" w:rsidRDefault="00A00ACA" w:rsidP="00BE4F48">
      <w:pPr>
        <w:rPr>
          <w:rFonts w:cstheme="minorHAnsi"/>
          <w:color w:val="000000"/>
          <w:sz w:val="20"/>
          <w:lang w:val="en-US" w:eastAsia="it-IT"/>
        </w:rPr>
      </w:pPr>
    </w:p>
    <w:p w14:paraId="0281563F" w14:textId="6F35BF0F" w:rsidR="00A00ACA" w:rsidRPr="00B57B36" w:rsidRDefault="00A00ACA" w:rsidP="00A00ACA">
      <w:pPr>
        <w:pStyle w:val="CETTabletitle"/>
      </w:pPr>
      <w:r w:rsidRPr="00B57B36">
        <w:t xml:space="preserve">Table </w:t>
      </w:r>
      <w:r w:rsidR="005C2165">
        <w:t>7</w:t>
      </w:r>
      <w:r w:rsidRPr="00B57B36">
        <w:t xml:space="preserve">: </w:t>
      </w:r>
      <w:r>
        <w:t>Oxidative units Reynolds number comparison</w:t>
      </w:r>
    </w:p>
    <w:p w14:paraId="4F1A8FBA" w14:textId="4908B88C" w:rsidR="00A00ACA" w:rsidRPr="00A00ACA" w:rsidRDefault="00A00ACA" w:rsidP="00BE4F48">
      <w:pPr>
        <w:rPr>
          <w:rFonts w:cstheme="minorHAnsi"/>
          <w:color w:val="000000"/>
          <w:sz w:val="20"/>
          <w:lang w:eastAsia="it-IT"/>
        </w:rPr>
      </w:pP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02"/>
        <w:gridCol w:w="1150"/>
        <w:gridCol w:w="1120"/>
        <w:gridCol w:w="1148"/>
        <w:gridCol w:w="992"/>
        <w:gridCol w:w="1134"/>
        <w:gridCol w:w="1134"/>
      </w:tblGrid>
      <w:tr w:rsidR="00A00ACA" w:rsidRPr="00B57B36" w14:paraId="31A4C7A1" w14:textId="77777777" w:rsidTr="001E1B03">
        <w:tc>
          <w:tcPr>
            <w:tcW w:w="1402" w:type="dxa"/>
            <w:tcBorders>
              <w:top w:val="single" w:sz="12" w:space="0" w:color="008000"/>
              <w:bottom w:val="single" w:sz="6" w:space="0" w:color="008000"/>
            </w:tcBorders>
            <w:shd w:val="clear" w:color="auto" w:fill="FFFFFF"/>
          </w:tcPr>
          <w:p w14:paraId="5879380B" w14:textId="77777777" w:rsidR="00A00ACA" w:rsidRPr="00B57B36" w:rsidRDefault="00A00ACA" w:rsidP="001E1B03">
            <w:pPr>
              <w:pStyle w:val="CETBodytext"/>
              <w:rPr>
                <w:lang w:val="en-GB"/>
              </w:rPr>
            </w:pPr>
          </w:p>
        </w:tc>
        <w:tc>
          <w:tcPr>
            <w:tcW w:w="3418" w:type="dxa"/>
            <w:gridSpan w:val="3"/>
            <w:tcBorders>
              <w:top w:val="single" w:sz="12" w:space="0" w:color="008000"/>
              <w:bottom w:val="single" w:sz="6" w:space="0" w:color="008000"/>
            </w:tcBorders>
            <w:shd w:val="clear" w:color="auto" w:fill="FFFFFF"/>
            <w:vAlign w:val="center"/>
          </w:tcPr>
          <w:p w14:paraId="3D67F20F" w14:textId="77777777" w:rsidR="00A00ACA" w:rsidRPr="001D22B7" w:rsidRDefault="00A00ACA" w:rsidP="001E1B03">
            <w:pPr>
              <w:pStyle w:val="CETBodytext"/>
              <w:jc w:val="center"/>
              <w:rPr>
                <w:rFonts w:cs="Arial"/>
                <w:szCs w:val="18"/>
              </w:rPr>
            </w:pPr>
            <w:r>
              <w:rPr>
                <w:rFonts w:cs="Arial"/>
                <w:szCs w:val="18"/>
              </w:rPr>
              <w:t>LAB SCALE</w:t>
            </w:r>
          </w:p>
        </w:tc>
        <w:tc>
          <w:tcPr>
            <w:tcW w:w="3260" w:type="dxa"/>
            <w:gridSpan w:val="3"/>
            <w:tcBorders>
              <w:top w:val="single" w:sz="12" w:space="0" w:color="008000"/>
              <w:bottom w:val="single" w:sz="6" w:space="0" w:color="008000"/>
            </w:tcBorders>
            <w:shd w:val="clear" w:color="auto" w:fill="FFFFFF"/>
          </w:tcPr>
          <w:p w14:paraId="57BE1126" w14:textId="77777777" w:rsidR="00A00ACA" w:rsidRPr="001D22B7" w:rsidRDefault="00A00ACA" w:rsidP="001E1B03">
            <w:pPr>
              <w:pStyle w:val="CETBodytext"/>
              <w:jc w:val="center"/>
              <w:rPr>
                <w:rFonts w:cs="Arial"/>
                <w:szCs w:val="18"/>
              </w:rPr>
            </w:pPr>
            <w:r>
              <w:rPr>
                <w:rFonts w:cs="Arial"/>
                <w:szCs w:val="18"/>
              </w:rPr>
              <w:t>PILOT SCALE</w:t>
            </w:r>
          </w:p>
        </w:tc>
      </w:tr>
      <w:tr w:rsidR="00A00ACA" w:rsidRPr="00B57B36" w14:paraId="48F15E01" w14:textId="77777777" w:rsidTr="001E1B03">
        <w:trPr>
          <w:trHeight w:val="76"/>
        </w:trPr>
        <w:tc>
          <w:tcPr>
            <w:tcW w:w="1402" w:type="dxa"/>
            <w:shd w:val="clear" w:color="auto" w:fill="FFFFFF"/>
            <w:vAlign w:val="center"/>
          </w:tcPr>
          <w:p w14:paraId="198B49C0" w14:textId="77777777" w:rsidR="00A00ACA" w:rsidRPr="00B57B36" w:rsidRDefault="00A00ACA" w:rsidP="001E1B03">
            <w:pPr>
              <w:pStyle w:val="CETBodytext"/>
              <w:rPr>
                <w:lang w:val="en-GB"/>
              </w:rPr>
            </w:pPr>
            <w:r>
              <w:rPr>
                <w:rFonts w:cs="Arial"/>
                <w:szCs w:val="18"/>
              </w:rPr>
              <w:t>HRT</w:t>
            </w:r>
            <w:r w:rsidRPr="001D22B7">
              <w:rPr>
                <w:rFonts w:cs="Arial"/>
                <w:szCs w:val="18"/>
              </w:rPr>
              <w:t xml:space="preserve"> (</w:t>
            </w:r>
            <w:r>
              <w:rPr>
                <w:rFonts w:cs="Arial"/>
                <w:szCs w:val="18"/>
              </w:rPr>
              <w:t>d</w:t>
            </w:r>
            <w:r w:rsidRPr="001D22B7">
              <w:rPr>
                <w:rFonts w:cs="Arial"/>
                <w:szCs w:val="18"/>
              </w:rPr>
              <w:t>)</w:t>
            </w:r>
          </w:p>
        </w:tc>
        <w:tc>
          <w:tcPr>
            <w:tcW w:w="1150" w:type="dxa"/>
            <w:shd w:val="clear" w:color="auto" w:fill="FFFFFF"/>
            <w:vAlign w:val="center"/>
          </w:tcPr>
          <w:p w14:paraId="0F99118F" w14:textId="7AFC4C24" w:rsidR="00A00ACA" w:rsidRPr="00B57B36" w:rsidRDefault="00A00ACA" w:rsidP="001E1B03">
            <w:pPr>
              <w:pStyle w:val="CETBodytext"/>
              <w:rPr>
                <w:lang w:val="en-GB"/>
              </w:rPr>
            </w:pPr>
            <w:r>
              <w:rPr>
                <w:rFonts w:cs="Arial"/>
                <w:szCs w:val="18"/>
              </w:rPr>
              <w:t>1.6</w:t>
            </w:r>
          </w:p>
        </w:tc>
        <w:tc>
          <w:tcPr>
            <w:tcW w:w="1120" w:type="dxa"/>
            <w:shd w:val="clear" w:color="auto" w:fill="FFFFFF"/>
          </w:tcPr>
          <w:p w14:paraId="7E43675F" w14:textId="4344D4EC" w:rsidR="00A00ACA" w:rsidRPr="001D22B7" w:rsidRDefault="00A00ACA" w:rsidP="001E1B03">
            <w:pPr>
              <w:pStyle w:val="CETBodytext"/>
              <w:rPr>
                <w:rFonts w:cs="Arial"/>
                <w:szCs w:val="18"/>
              </w:rPr>
            </w:pPr>
            <w:r>
              <w:rPr>
                <w:rFonts w:cs="Arial"/>
                <w:szCs w:val="18"/>
              </w:rPr>
              <w:t>0.7</w:t>
            </w:r>
          </w:p>
        </w:tc>
        <w:tc>
          <w:tcPr>
            <w:tcW w:w="1148" w:type="dxa"/>
            <w:shd w:val="clear" w:color="auto" w:fill="FFFFFF"/>
          </w:tcPr>
          <w:p w14:paraId="7AE1B233" w14:textId="6033866E" w:rsidR="00A00ACA" w:rsidRPr="001D22B7" w:rsidRDefault="00A00ACA" w:rsidP="001E1B03">
            <w:pPr>
              <w:pStyle w:val="CETBodytext"/>
              <w:rPr>
                <w:rFonts w:cs="Arial"/>
                <w:szCs w:val="18"/>
              </w:rPr>
            </w:pPr>
            <w:r>
              <w:rPr>
                <w:rFonts w:cs="Arial"/>
                <w:szCs w:val="18"/>
              </w:rPr>
              <w:t>0.5</w:t>
            </w:r>
          </w:p>
        </w:tc>
        <w:tc>
          <w:tcPr>
            <w:tcW w:w="992" w:type="dxa"/>
            <w:shd w:val="clear" w:color="auto" w:fill="FFFFFF"/>
          </w:tcPr>
          <w:p w14:paraId="3F7E571F" w14:textId="77777777" w:rsidR="00A00ACA" w:rsidRPr="001D22B7" w:rsidRDefault="00A00ACA" w:rsidP="001E1B03">
            <w:pPr>
              <w:pStyle w:val="CETBodytext"/>
              <w:rPr>
                <w:rFonts w:cs="Arial"/>
                <w:szCs w:val="18"/>
              </w:rPr>
            </w:pPr>
            <w:r>
              <w:rPr>
                <w:rFonts w:cs="Arial"/>
                <w:szCs w:val="18"/>
              </w:rPr>
              <w:t>1.3</w:t>
            </w:r>
          </w:p>
        </w:tc>
        <w:tc>
          <w:tcPr>
            <w:tcW w:w="1134" w:type="dxa"/>
            <w:shd w:val="clear" w:color="auto" w:fill="FFFFFF"/>
          </w:tcPr>
          <w:p w14:paraId="6CE11F32" w14:textId="77777777" w:rsidR="00A00ACA" w:rsidRPr="001D22B7" w:rsidRDefault="00A00ACA" w:rsidP="001E1B03">
            <w:pPr>
              <w:pStyle w:val="CETBodytext"/>
              <w:rPr>
                <w:rFonts w:cs="Arial"/>
                <w:szCs w:val="18"/>
              </w:rPr>
            </w:pPr>
            <w:r>
              <w:rPr>
                <w:rFonts w:cs="Arial"/>
                <w:szCs w:val="18"/>
              </w:rPr>
              <w:t>0.7</w:t>
            </w:r>
          </w:p>
        </w:tc>
        <w:tc>
          <w:tcPr>
            <w:tcW w:w="1134" w:type="dxa"/>
            <w:shd w:val="clear" w:color="auto" w:fill="FFFFFF"/>
          </w:tcPr>
          <w:p w14:paraId="1376A053" w14:textId="77777777" w:rsidR="00A00ACA" w:rsidRPr="001D22B7" w:rsidRDefault="00A00ACA" w:rsidP="001E1B03">
            <w:pPr>
              <w:pStyle w:val="CETBodytext"/>
              <w:rPr>
                <w:rFonts w:cs="Arial"/>
                <w:szCs w:val="18"/>
              </w:rPr>
            </w:pPr>
            <w:r>
              <w:rPr>
                <w:rFonts w:cs="Arial"/>
                <w:szCs w:val="18"/>
              </w:rPr>
              <w:t>0.2</w:t>
            </w:r>
          </w:p>
        </w:tc>
      </w:tr>
      <w:tr w:rsidR="00A00ACA" w:rsidRPr="00B57B36" w14:paraId="2F9237F1" w14:textId="77777777" w:rsidTr="001E1B03">
        <w:tc>
          <w:tcPr>
            <w:tcW w:w="1402" w:type="dxa"/>
            <w:shd w:val="clear" w:color="auto" w:fill="FFFFFF"/>
            <w:vAlign w:val="center"/>
          </w:tcPr>
          <w:p w14:paraId="6EB01BA3" w14:textId="77777777" w:rsidR="00A00ACA" w:rsidRPr="00B57B36" w:rsidRDefault="00A00ACA" w:rsidP="001E1B03">
            <w:pPr>
              <w:pStyle w:val="CETBodytext"/>
              <w:ind w:right="-1"/>
              <w:rPr>
                <w:rFonts w:cs="Arial"/>
                <w:szCs w:val="18"/>
                <w:lang w:val="en-GB"/>
              </w:rPr>
            </w:pPr>
            <w:r>
              <w:rPr>
                <w:rFonts w:cs="Arial"/>
                <w:szCs w:val="18"/>
              </w:rPr>
              <w:t>Re</w:t>
            </w:r>
          </w:p>
        </w:tc>
        <w:tc>
          <w:tcPr>
            <w:tcW w:w="1150" w:type="dxa"/>
            <w:shd w:val="clear" w:color="auto" w:fill="FFFFFF"/>
            <w:vAlign w:val="center"/>
          </w:tcPr>
          <w:p w14:paraId="75211CCB" w14:textId="31E7455C" w:rsidR="00A00ACA" w:rsidRPr="00B57B36" w:rsidRDefault="00A00ACA" w:rsidP="001E1B03">
            <w:pPr>
              <w:pStyle w:val="CETBodytext"/>
              <w:ind w:right="-1"/>
              <w:rPr>
                <w:rFonts w:cs="Arial"/>
                <w:szCs w:val="18"/>
                <w:lang w:val="en-GB"/>
              </w:rPr>
            </w:pPr>
            <w:r>
              <w:rPr>
                <w:rFonts w:cs="Arial"/>
                <w:szCs w:val="18"/>
              </w:rPr>
              <w:t>2.47</w:t>
            </w:r>
          </w:p>
        </w:tc>
        <w:tc>
          <w:tcPr>
            <w:tcW w:w="1120" w:type="dxa"/>
            <w:shd w:val="clear" w:color="auto" w:fill="FFFFFF"/>
          </w:tcPr>
          <w:p w14:paraId="125A9D32" w14:textId="28032BDC" w:rsidR="00A00ACA" w:rsidRPr="001D22B7" w:rsidRDefault="00A00ACA" w:rsidP="001E1B03">
            <w:pPr>
              <w:pStyle w:val="CETBodytext"/>
              <w:ind w:right="-1"/>
              <w:rPr>
                <w:rFonts w:cs="Arial"/>
                <w:szCs w:val="18"/>
              </w:rPr>
            </w:pPr>
            <w:r>
              <w:rPr>
                <w:rFonts w:cs="Arial"/>
                <w:szCs w:val="18"/>
              </w:rPr>
              <w:t>5.62</w:t>
            </w:r>
          </w:p>
        </w:tc>
        <w:tc>
          <w:tcPr>
            <w:tcW w:w="1148" w:type="dxa"/>
            <w:shd w:val="clear" w:color="auto" w:fill="FFFFFF"/>
          </w:tcPr>
          <w:p w14:paraId="394D4DF9" w14:textId="158D6C75" w:rsidR="00A00ACA" w:rsidRPr="001D22B7" w:rsidRDefault="00A00ACA" w:rsidP="001E1B03">
            <w:pPr>
              <w:pStyle w:val="CETBodytext"/>
              <w:ind w:right="-1"/>
              <w:rPr>
                <w:rFonts w:cs="Arial"/>
                <w:szCs w:val="18"/>
              </w:rPr>
            </w:pPr>
            <w:r>
              <w:rPr>
                <w:rFonts w:cs="Arial"/>
                <w:szCs w:val="18"/>
              </w:rPr>
              <w:t>8.44</w:t>
            </w:r>
          </w:p>
        </w:tc>
        <w:tc>
          <w:tcPr>
            <w:tcW w:w="992" w:type="dxa"/>
            <w:shd w:val="clear" w:color="auto" w:fill="FFFFFF"/>
          </w:tcPr>
          <w:p w14:paraId="65B515E2" w14:textId="4ADB28C1" w:rsidR="00A00ACA" w:rsidRPr="001D22B7" w:rsidRDefault="00A00ACA" w:rsidP="001E1B03">
            <w:pPr>
              <w:pStyle w:val="CETBodytext"/>
              <w:ind w:right="-1"/>
              <w:rPr>
                <w:rFonts w:cs="Arial"/>
                <w:szCs w:val="18"/>
              </w:rPr>
            </w:pPr>
            <w:r>
              <w:rPr>
                <w:rFonts w:cs="Arial"/>
                <w:szCs w:val="18"/>
              </w:rPr>
              <w:t>24.82</w:t>
            </w:r>
          </w:p>
        </w:tc>
        <w:tc>
          <w:tcPr>
            <w:tcW w:w="1134" w:type="dxa"/>
            <w:shd w:val="clear" w:color="auto" w:fill="FFFFFF"/>
          </w:tcPr>
          <w:p w14:paraId="6F15636E" w14:textId="439D6399" w:rsidR="00A00ACA" w:rsidRPr="001D22B7" w:rsidRDefault="00A00ACA" w:rsidP="001E1B03">
            <w:pPr>
              <w:pStyle w:val="CETBodytext"/>
              <w:ind w:right="-1"/>
              <w:rPr>
                <w:rFonts w:cs="Arial"/>
                <w:szCs w:val="18"/>
              </w:rPr>
            </w:pPr>
            <w:r>
              <w:rPr>
                <w:rFonts w:cs="Arial"/>
                <w:szCs w:val="18"/>
              </w:rPr>
              <w:t>49.64</w:t>
            </w:r>
          </w:p>
        </w:tc>
        <w:tc>
          <w:tcPr>
            <w:tcW w:w="1134" w:type="dxa"/>
            <w:shd w:val="clear" w:color="auto" w:fill="FFFFFF"/>
          </w:tcPr>
          <w:p w14:paraId="2294551E" w14:textId="501ABBE6" w:rsidR="00A00ACA" w:rsidRPr="001D22B7" w:rsidRDefault="00A00ACA" w:rsidP="001E1B03">
            <w:pPr>
              <w:pStyle w:val="CETBodytext"/>
              <w:ind w:right="-1"/>
              <w:rPr>
                <w:rFonts w:cs="Arial"/>
                <w:szCs w:val="18"/>
              </w:rPr>
            </w:pPr>
            <w:r>
              <w:rPr>
                <w:rFonts w:cs="Arial"/>
                <w:szCs w:val="18"/>
              </w:rPr>
              <w:t>185.54</w:t>
            </w:r>
          </w:p>
        </w:tc>
      </w:tr>
    </w:tbl>
    <w:p w14:paraId="6E9CB4DD" w14:textId="0CD3729B" w:rsidR="00A00ACA" w:rsidRDefault="00A00ACA" w:rsidP="00BE4F48">
      <w:pPr>
        <w:rPr>
          <w:rFonts w:cstheme="minorHAnsi"/>
          <w:color w:val="000000"/>
          <w:sz w:val="20"/>
          <w:lang w:val="en-US" w:eastAsia="it-IT"/>
        </w:rPr>
      </w:pPr>
    </w:p>
    <w:p w14:paraId="26E06293" w14:textId="09327912" w:rsidR="00A00ACA" w:rsidRDefault="00A00ACA" w:rsidP="00BE4F48">
      <w:pPr>
        <w:rPr>
          <w:rFonts w:cstheme="minorHAnsi"/>
          <w:color w:val="000000"/>
          <w:sz w:val="20"/>
          <w:lang w:val="en-US" w:eastAsia="it-IT"/>
        </w:rPr>
      </w:pPr>
    </w:p>
    <w:p w14:paraId="705B6EF1" w14:textId="7EBC17B9" w:rsidR="00A00ACA" w:rsidRDefault="00A00ACA" w:rsidP="00BE4F48">
      <w:pPr>
        <w:rPr>
          <w:rFonts w:cstheme="minorHAnsi"/>
          <w:color w:val="000000"/>
          <w:sz w:val="20"/>
          <w:lang w:val="en-US" w:eastAsia="it-IT"/>
        </w:rPr>
      </w:pPr>
    </w:p>
    <w:p w14:paraId="10E6FDEF" w14:textId="45216468" w:rsidR="00A00ACA" w:rsidRDefault="00A00ACA" w:rsidP="00BE4F48">
      <w:pPr>
        <w:rPr>
          <w:rFonts w:cstheme="minorHAnsi"/>
          <w:color w:val="000000"/>
          <w:sz w:val="20"/>
          <w:lang w:val="en-US" w:eastAsia="it-IT"/>
        </w:rPr>
      </w:pPr>
    </w:p>
    <w:p w14:paraId="64CF2DAB" w14:textId="31685D30" w:rsidR="00BE4F48" w:rsidRDefault="00BE4F48" w:rsidP="00BE4F48">
      <w:pPr>
        <w:spacing w:line="240" w:lineRule="auto"/>
        <w:outlineLvl w:val="3"/>
        <w:rPr>
          <w:rFonts w:cstheme="minorHAnsi"/>
          <w:b/>
          <w:bCs/>
          <w:color w:val="000000"/>
          <w:sz w:val="20"/>
          <w:lang w:eastAsia="it-IT"/>
        </w:rPr>
      </w:pPr>
      <w:r w:rsidRPr="00BE4F48">
        <w:rPr>
          <w:rFonts w:cstheme="minorHAnsi"/>
          <w:b/>
          <w:bCs/>
          <w:color w:val="000000"/>
          <w:sz w:val="20"/>
          <w:lang w:eastAsia="it-IT"/>
        </w:rPr>
        <w:t>4. Conclusions</w:t>
      </w:r>
    </w:p>
    <w:p w14:paraId="0BCBC1B3" w14:textId="77777777" w:rsidR="00D34AD0" w:rsidRPr="00BE4F48" w:rsidRDefault="00D34AD0" w:rsidP="00BE4F48">
      <w:pPr>
        <w:spacing w:line="240" w:lineRule="auto"/>
        <w:outlineLvl w:val="3"/>
        <w:rPr>
          <w:rFonts w:cstheme="minorHAnsi"/>
          <w:b/>
          <w:bCs/>
          <w:color w:val="000000"/>
          <w:sz w:val="20"/>
          <w:lang w:eastAsia="it-IT"/>
        </w:rPr>
      </w:pPr>
    </w:p>
    <w:p w14:paraId="4EEAFC6E" w14:textId="066AB6BF" w:rsidR="00D34AD0" w:rsidRPr="000610AA" w:rsidRDefault="00D34AD0" w:rsidP="00BE4F48">
      <w:pPr>
        <w:spacing w:line="240" w:lineRule="auto"/>
        <w:outlineLvl w:val="3"/>
        <w:rPr>
          <w:rFonts w:cstheme="minorHAnsi"/>
          <w:color w:val="000000"/>
          <w:lang w:eastAsia="it-IT"/>
        </w:rPr>
      </w:pPr>
      <w:r w:rsidRPr="000610AA">
        <w:rPr>
          <w:rFonts w:cstheme="minorHAnsi"/>
          <w:color w:val="000000"/>
          <w:lang w:val="en-US" w:eastAsia="it-IT"/>
        </w:rPr>
        <w:t>The correspondence with the F-test of the obtained results confirmed the contribution to the total volume of the reactor of the internal body of the reactor (i.e. the counterelectrode), which does not represent a dead zone of the reactor but is crossed by the liquid particles.</w:t>
      </w:r>
      <w:r w:rsidR="000610AA" w:rsidRPr="000610AA">
        <w:rPr>
          <w:rFonts w:cstheme="minorHAnsi"/>
          <w:color w:val="000000"/>
          <w:lang w:val="en-US" w:eastAsia="it-IT"/>
        </w:rPr>
        <w:t xml:space="preserve"> The fluidynamic similarity is obtained for the reductive unit due </w:t>
      </w:r>
      <w:r w:rsidR="000610AA" w:rsidRPr="000610AA">
        <w:rPr>
          <w:rFonts w:cstheme="minorHAnsi"/>
          <w:color w:val="000000"/>
          <w:lang w:val="en-US" w:eastAsia="it-IT"/>
        </w:rPr>
        <w:lastRenderedPageBreak/>
        <w:t>to the utilization of the granular electrodic material</w:t>
      </w:r>
      <w:r w:rsidR="000610AA">
        <w:rPr>
          <w:rFonts w:cstheme="minorHAnsi"/>
          <w:color w:val="000000"/>
          <w:lang w:val="en-US" w:eastAsia="it-IT"/>
        </w:rPr>
        <w:t xml:space="preserve">, </w:t>
      </w:r>
      <w:r w:rsidR="000610AA" w:rsidRPr="000610AA">
        <w:rPr>
          <w:rFonts w:cstheme="minorHAnsi"/>
          <w:color w:val="000000"/>
          <w:lang w:val="en-US" w:eastAsia="it-IT"/>
        </w:rPr>
        <w:t>On the contrary, due to the different average diameter of the packing material the fluidynamic similarity of the oxidative units is not ma</w:t>
      </w:r>
      <w:r w:rsidR="000610AA" w:rsidRPr="007502CD">
        <w:rPr>
          <w:rFonts w:cstheme="minorHAnsi"/>
          <w:color w:val="000000"/>
          <w:lang w:val="en-US" w:eastAsia="it-IT"/>
        </w:rPr>
        <w:t>intained.</w:t>
      </w:r>
      <w:r w:rsidR="00BF04B2" w:rsidRPr="007502CD">
        <w:rPr>
          <w:rFonts w:cstheme="minorHAnsi"/>
          <w:color w:val="000000"/>
          <w:lang w:val="en-US" w:eastAsia="it-IT"/>
        </w:rPr>
        <w:t xml:space="preserve"> This </w:t>
      </w:r>
      <w:r w:rsidR="007502CD" w:rsidRPr="007502CD">
        <w:rPr>
          <w:rFonts w:cstheme="minorHAnsi"/>
          <w:color w:val="000000"/>
          <w:lang w:val="en-US" w:eastAsia="it-IT"/>
        </w:rPr>
        <w:t>not significant</w:t>
      </w:r>
      <w:r w:rsidR="00BF04B2" w:rsidRPr="007502CD">
        <w:rPr>
          <w:rFonts w:cstheme="minorHAnsi"/>
          <w:color w:val="000000"/>
          <w:lang w:val="en-US" w:eastAsia="it-IT"/>
        </w:rPr>
        <w:t xml:space="preserve"> difference, anyway</w:t>
      </w:r>
      <w:r w:rsidR="00907888" w:rsidRPr="007502CD">
        <w:rPr>
          <w:rFonts w:cstheme="minorHAnsi"/>
          <w:color w:val="000000"/>
          <w:lang w:val="en-US" w:eastAsia="it-IT"/>
        </w:rPr>
        <w:t xml:space="preserve">, </w:t>
      </w:r>
      <w:r w:rsidR="007502CD" w:rsidRPr="007502CD">
        <w:rPr>
          <w:rFonts w:cstheme="minorHAnsi"/>
          <w:color w:val="000000"/>
          <w:lang w:val="en-US" w:eastAsia="it-IT"/>
        </w:rPr>
        <w:t>should</w:t>
      </w:r>
      <w:r w:rsidR="00907888" w:rsidRPr="007502CD">
        <w:rPr>
          <w:rFonts w:cstheme="minorHAnsi"/>
          <w:color w:val="000000"/>
          <w:lang w:val="en-US" w:eastAsia="it-IT"/>
        </w:rPr>
        <w:t xml:space="preserve"> not lead to changes in the performances of the oxidative units.</w:t>
      </w:r>
    </w:p>
    <w:p w14:paraId="5F9FAF86" w14:textId="77777777" w:rsidR="00BE4F48" w:rsidRPr="000610AA" w:rsidRDefault="00BE4F48" w:rsidP="00BE4F48">
      <w:pPr>
        <w:spacing w:line="240" w:lineRule="auto"/>
        <w:outlineLvl w:val="3"/>
        <w:rPr>
          <w:rFonts w:cstheme="minorHAnsi"/>
          <w:b/>
          <w:bCs/>
          <w:color w:val="000000"/>
          <w:lang w:val="en-US" w:eastAsia="it-IT"/>
        </w:rPr>
      </w:pPr>
    </w:p>
    <w:p w14:paraId="003A7E1B" w14:textId="0FFD9400" w:rsidR="001B79C8" w:rsidRPr="00B57B36" w:rsidRDefault="00572FDA" w:rsidP="001B79C8">
      <w:pPr>
        <w:pStyle w:val="CETAcknowledgementstitle"/>
      </w:pPr>
      <w:r>
        <w:t>Funding information</w:t>
      </w:r>
    </w:p>
    <w:p w14:paraId="5F047686" w14:textId="77777777" w:rsidR="001B79C8" w:rsidRPr="00A95CF0" w:rsidRDefault="001B79C8" w:rsidP="001B79C8">
      <w:pPr>
        <w:pStyle w:val="CETBodytext"/>
      </w:pPr>
      <w:r>
        <w:t xml:space="preserve">This project has received funding from the European Union’s Horizon 2020 research and innovation </w:t>
      </w:r>
      <w:proofErr w:type="spellStart"/>
      <w:r>
        <w:t>programme</w:t>
      </w:r>
      <w:proofErr w:type="spellEnd"/>
      <w:r>
        <w:t xml:space="preserve"> under grant agreement No 826244-ELECTRA.</w:t>
      </w:r>
    </w:p>
    <w:p w14:paraId="49F030E4" w14:textId="0B3526AA" w:rsidR="001B79C8" w:rsidRDefault="001B79C8" w:rsidP="00BE4F48">
      <w:pPr>
        <w:spacing w:line="240" w:lineRule="auto"/>
        <w:outlineLvl w:val="3"/>
        <w:rPr>
          <w:rFonts w:cstheme="minorHAnsi"/>
          <w:b/>
          <w:bCs/>
          <w:color w:val="000000"/>
          <w:sz w:val="20"/>
          <w:lang w:val="en-US" w:eastAsia="it-IT"/>
        </w:rPr>
      </w:pPr>
    </w:p>
    <w:p w14:paraId="05E104AE" w14:textId="77777777" w:rsidR="00572FDA" w:rsidRPr="00BE4F48" w:rsidRDefault="00572FDA" w:rsidP="00572FDA">
      <w:pPr>
        <w:spacing w:line="240" w:lineRule="auto"/>
        <w:outlineLvl w:val="3"/>
        <w:rPr>
          <w:rFonts w:cstheme="minorHAnsi"/>
          <w:b/>
          <w:bCs/>
          <w:color w:val="000000"/>
          <w:sz w:val="20"/>
          <w:lang w:eastAsia="it-IT"/>
        </w:rPr>
      </w:pPr>
      <w:r w:rsidRPr="00BE4F48">
        <w:rPr>
          <w:rFonts w:cstheme="minorHAnsi"/>
          <w:b/>
          <w:bCs/>
          <w:color w:val="000000"/>
          <w:sz w:val="20"/>
          <w:lang w:eastAsia="it-IT"/>
        </w:rPr>
        <w:t>Acknowledgments</w:t>
      </w:r>
    </w:p>
    <w:p w14:paraId="247D403C" w14:textId="77777777" w:rsidR="00572FDA" w:rsidRDefault="00572FDA" w:rsidP="00572FDA">
      <w:pPr>
        <w:spacing w:line="240" w:lineRule="auto"/>
        <w:outlineLvl w:val="3"/>
        <w:rPr>
          <w:rFonts w:cstheme="minorHAnsi"/>
          <w:b/>
          <w:bCs/>
          <w:color w:val="000000"/>
          <w:sz w:val="20"/>
          <w:lang w:eastAsia="it-IT"/>
        </w:rPr>
      </w:pPr>
    </w:p>
    <w:p w14:paraId="7415FA09" w14:textId="77777777" w:rsidR="00572FDA" w:rsidRDefault="00572FDA" w:rsidP="00572FDA">
      <w:pPr>
        <w:spacing w:line="240" w:lineRule="auto"/>
        <w:outlineLvl w:val="3"/>
        <w:rPr>
          <w:rFonts w:cstheme="minorHAnsi"/>
          <w:b/>
          <w:bCs/>
          <w:color w:val="000000"/>
          <w:sz w:val="20"/>
          <w:lang w:eastAsia="it-IT"/>
        </w:rPr>
      </w:pPr>
      <w:r>
        <w:rPr>
          <w:rFonts w:cstheme="minorHAnsi"/>
          <w:color w:val="000000"/>
          <w:szCs w:val="18"/>
          <w:lang w:val="en-US" w:eastAsia="it-IT"/>
        </w:rPr>
        <w:t xml:space="preserve">Prof. Mauro </w:t>
      </w:r>
      <w:proofErr w:type="spellStart"/>
      <w:r>
        <w:rPr>
          <w:rFonts w:cstheme="minorHAnsi"/>
          <w:color w:val="000000"/>
          <w:szCs w:val="18"/>
          <w:lang w:val="en-US" w:eastAsia="it-IT"/>
        </w:rPr>
        <w:t>Majone</w:t>
      </w:r>
      <w:proofErr w:type="spellEnd"/>
      <w:r>
        <w:rPr>
          <w:rFonts w:cstheme="minorHAnsi"/>
          <w:color w:val="000000"/>
          <w:szCs w:val="18"/>
          <w:lang w:val="en-US" w:eastAsia="it-IT"/>
        </w:rPr>
        <w:t xml:space="preserve"> is acknowledged for helpful support and discussion during the experimental activity.</w:t>
      </w:r>
    </w:p>
    <w:p w14:paraId="1118F7A4" w14:textId="77777777" w:rsidR="00572FDA" w:rsidRPr="00572FDA" w:rsidRDefault="00572FDA" w:rsidP="00BE4F48">
      <w:pPr>
        <w:spacing w:line="240" w:lineRule="auto"/>
        <w:outlineLvl w:val="3"/>
        <w:rPr>
          <w:rFonts w:cstheme="minorHAnsi"/>
          <w:b/>
          <w:bCs/>
          <w:color w:val="000000"/>
          <w:sz w:val="20"/>
          <w:lang w:eastAsia="it-IT"/>
        </w:rPr>
      </w:pPr>
    </w:p>
    <w:p w14:paraId="65E9FB5D" w14:textId="77777777" w:rsidR="00BE4F48" w:rsidRPr="00BE4F48" w:rsidRDefault="00BE4F48" w:rsidP="00BE4F48">
      <w:pPr>
        <w:spacing w:line="240" w:lineRule="auto"/>
        <w:outlineLvl w:val="3"/>
        <w:rPr>
          <w:rFonts w:cstheme="minorHAnsi"/>
          <w:b/>
          <w:bCs/>
          <w:color w:val="000000"/>
          <w:sz w:val="20"/>
          <w:lang w:eastAsia="it-IT"/>
        </w:rPr>
      </w:pPr>
      <w:r w:rsidRPr="00BE4F48">
        <w:rPr>
          <w:rFonts w:cstheme="minorHAnsi"/>
          <w:b/>
          <w:bCs/>
          <w:color w:val="000000"/>
          <w:sz w:val="20"/>
          <w:lang w:eastAsia="it-IT"/>
        </w:rPr>
        <w:t>References</w:t>
      </w:r>
    </w:p>
    <w:p w14:paraId="66F0F0E1" w14:textId="33B43426" w:rsidR="00BE4F48" w:rsidRDefault="00BE4F48" w:rsidP="00BE4F48">
      <w:pPr>
        <w:pStyle w:val="CETBodytext"/>
        <w:rPr>
          <w:lang w:val="en-GB"/>
        </w:rPr>
      </w:pPr>
    </w:p>
    <w:p w14:paraId="53137ED6" w14:textId="6EA3CBD9" w:rsidR="00527C1D" w:rsidRDefault="00527C1D" w:rsidP="00527C1D">
      <w:pPr>
        <w:pStyle w:val="CETBodytext"/>
        <w:rPr>
          <w:lang w:val="en-GB"/>
        </w:rPr>
      </w:pPr>
      <w:r w:rsidRPr="00527C1D">
        <w:rPr>
          <w:lang w:val="en-GB"/>
        </w:rPr>
        <w:tab/>
        <w:t>USEPA (U.S. Environmental Protection Agency), Cleaning Up the Nation’s Waste Sites: Markets and Technology Trends., (2004).</w:t>
      </w:r>
    </w:p>
    <w:p w14:paraId="1E788571" w14:textId="77777777" w:rsidR="00527C1D" w:rsidRPr="00527C1D" w:rsidRDefault="00527C1D" w:rsidP="00527C1D">
      <w:pPr>
        <w:pStyle w:val="CETBodytext"/>
        <w:rPr>
          <w:lang w:val="en-GB"/>
        </w:rPr>
      </w:pPr>
    </w:p>
    <w:p w14:paraId="2DF5B03C" w14:textId="0E414BC6" w:rsidR="00527C1D" w:rsidRDefault="00527C1D" w:rsidP="00527C1D">
      <w:pPr>
        <w:pStyle w:val="CETBodytext"/>
        <w:rPr>
          <w:lang w:val="en-GB"/>
        </w:rPr>
      </w:pPr>
      <w:r w:rsidRPr="00527C1D">
        <w:rPr>
          <w:lang w:val="en-GB"/>
        </w:rPr>
        <w:tab/>
        <w:t xml:space="preserve">A. </w:t>
      </w:r>
      <w:proofErr w:type="spellStart"/>
      <w:r w:rsidRPr="00527C1D">
        <w:rPr>
          <w:lang w:val="en-GB"/>
        </w:rPr>
        <w:t>Casasso</w:t>
      </w:r>
      <w:proofErr w:type="spellEnd"/>
      <w:r w:rsidRPr="00527C1D">
        <w:rPr>
          <w:lang w:val="en-GB"/>
        </w:rPr>
        <w:t xml:space="preserve">, T. Tosco, C. Bianco, A. Bucci, R. Sethi, </w:t>
      </w:r>
      <w:proofErr w:type="gramStart"/>
      <w:r w:rsidRPr="00527C1D">
        <w:rPr>
          <w:lang w:val="en-GB"/>
        </w:rPr>
        <w:t>How</w:t>
      </w:r>
      <w:proofErr w:type="gramEnd"/>
      <w:r w:rsidRPr="00527C1D">
        <w:rPr>
          <w:lang w:val="en-GB"/>
        </w:rPr>
        <w:t xml:space="preserve"> can we make pump and treat systems more energetically </w:t>
      </w:r>
      <w:r w:rsidR="00405B4F" w:rsidRPr="00527C1D">
        <w:rPr>
          <w:lang w:val="en-GB"/>
        </w:rPr>
        <w:t>sustainable?</w:t>
      </w:r>
      <w:r w:rsidRPr="00527C1D">
        <w:rPr>
          <w:lang w:val="en-GB"/>
        </w:rPr>
        <w:t xml:space="preserve"> Water (Switzerland). 12 (2020). https://doi.org/10.3390/w12010067.</w:t>
      </w:r>
    </w:p>
    <w:p w14:paraId="7FCD50AA" w14:textId="77777777" w:rsidR="00527C1D" w:rsidRPr="00527C1D" w:rsidRDefault="00527C1D" w:rsidP="00527C1D">
      <w:pPr>
        <w:pStyle w:val="CETBodytext"/>
        <w:rPr>
          <w:lang w:val="en-GB"/>
        </w:rPr>
      </w:pPr>
    </w:p>
    <w:p w14:paraId="4576B521" w14:textId="34AE272F" w:rsidR="00527C1D" w:rsidRDefault="00527C1D" w:rsidP="00527C1D">
      <w:pPr>
        <w:pStyle w:val="CETBodytext"/>
        <w:rPr>
          <w:lang w:val="en-GB"/>
        </w:rPr>
      </w:pPr>
      <w:r w:rsidRPr="00527C1D">
        <w:rPr>
          <w:lang w:val="en-GB"/>
        </w:rPr>
        <w:tab/>
        <w:t xml:space="preserve">P. </w:t>
      </w:r>
      <w:proofErr w:type="spellStart"/>
      <w:r w:rsidRPr="00527C1D">
        <w:rPr>
          <w:lang w:val="en-GB"/>
        </w:rPr>
        <w:t>Ciampi</w:t>
      </w:r>
      <w:proofErr w:type="spellEnd"/>
      <w:r w:rsidRPr="00527C1D">
        <w:rPr>
          <w:lang w:val="en-GB"/>
        </w:rPr>
        <w:t xml:space="preserve">, C. Esposito, P. </w:t>
      </w:r>
      <w:proofErr w:type="spellStart"/>
      <w:r w:rsidRPr="00527C1D">
        <w:rPr>
          <w:lang w:val="en-GB"/>
        </w:rPr>
        <w:t>Viotti</w:t>
      </w:r>
      <w:proofErr w:type="spellEnd"/>
      <w:r w:rsidRPr="00527C1D">
        <w:rPr>
          <w:lang w:val="en-GB"/>
        </w:rPr>
        <w:t xml:space="preserve">, J. </w:t>
      </w:r>
      <w:proofErr w:type="spellStart"/>
      <w:r w:rsidRPr="00527C1D">
        <w:rPr>
          <w:lang w:val="en-GB"/>
        </w:rPr>
        <w:t>Boaga</w:t>
      </w:r>
      <w:proofErr w:type="spellEnd"/>
      <w:r w:rsidRPr="00527C1D">
        <w:rPr>
          <w:lang w:val="en-GB"/>
        </w:rPr>
        <w:t xml:space="preserve">, G. </w:t>
      </w:r>
      <w:proofErr w:type="spellStart"/>
      <w:r w:rsidRPr="00527C1D">
        <w:rPr>
          <w:lang w:val="en-GB"/>
        </w:rPr>
        <w:t>Cassiani</w:t>
      </w:r>
      <w:proofErr w:type="spellEnd"/>
      <w:r w:rsidRPr="00527C1D">
        <w:rPr>
          <w:lang w:val="en-GB"/>
        </w:rPr>
        <w:t xml:space="preserve">, M.P. </w:t>
      </w:r>
      <w:proofErr w:type="spellStart"/>
      <w:r w:rsidRPr="00527C1D">
        <w:rPr>
          <w:lang w:val="en-GB"/>
        </w:rPr>
        <w:t>Papini</w:t>
      </w:r>
      <w:proofErr w:type="spellEnd"/>
      <w:r w:rsidRPr="00527C1D">
        <w:rPr>
          <w:lang w:val="en-GB"/>
        </w:rPr>
        <w:t xml:space="preserve">, </w:t>
      </w:r>
      <w:proofErr w:type="gramStart"/>
      <w:r w:rsidRPr="00527C1D">
        <w:rPr>
          <w:lang w:val="en-GB"/>
        </w:rPr>
        <w:t>An</w:t>
      </w:r>
      <w:proofErr w:type="gramEnd"/>
      <w:r w:rsidRPr="00527C1D">
        <w:rPr>
          <w:lang w:val="en-GB"/>
        </w:rPr>
        <w:t xml:space="preserve"> integrated approach supporting remediation of an aquifer contaminated with chlorinated solvents by a combination of adsorption and biodegradation, Appl. Sci. 9 (2019). https://doi.org/10.3390/app9204318.</w:t>
      </w:r>
    </w:p>
    <w:p w14:paraId="4A54ADD7" w14:textId="77777777" w:rsidR="00527C1D" w:rsidRPr="00527C1D" w:rsidRDefault="00527C1D" w:rsidP="00527C1D">
      <w:pPr>
        <w:pStyle w:val="CETBodytext"/>
        <w:rPr>
          <w:lang w:val="en-GB"/>
        </w:rPr>
      </w:pPr>
    </w:p>
    <w:p w14:paraId="760F89D4" w14:textId="335C26C9" w:rsidR="00527C1D" w:rsidRDefault="00527C1D" w:rsidP="00527C1D">
      <w:pPr>
        <w:pStyle w:val="CETBodytext"/>
        <w:rPr>
          <w:lang w:val="en-GB"/>
        </w:rPr>
      </w:pPr>
      <w:r w:rsidRPr="00527C1D">
        <w:rPr>
          <w:lang w:val="en-GB"/>
        </w:rPr>
        <w:tab/>
        <w:t xml:space="preserve">M.M. Rossi, E. Dell’Armi, L. Lorini, N. </w:t>
      </w:r>
      <w:proofErr w:type="spellStart"/>
      <w:r w:rsidRPr="00527C1D">
        <w:rPr>
          <w:lang w:val="en-GB"/>
        </w:rPr>
        <w:t>Amanat</w:t>
      </w:r>
      <w:proofErr w:type="spellEnd"/>
      <w:r w:rsidRPr="00527C1D">
        <w:rPr>
          <w:lang w:val="en-GB"/>
        </w:rPr>
        <w:t xml:space="preserve">, M. Zeppilli, M. </w:t>
      </w:r>
      <w:proofErr w:type="spellStart"/>
      <w:r w:rsidRPr="00527C1D">
        <w:rPr>
          <w:lang w:val="en-GB"/>
        </w:rPr>
        <w:t>Villano</w:t>
      </w:r>
      <w:proofErr w:type="spellEnd"/>
      <w:r w:rsidRPr="00527C1D">
        <w:rPr>
          <w:lang w:val="en-GB"/>
        </w:rPr>
        <w:t xml:space="preserve">, M. </w:t>
      </w:r>
      <w:proofErr w:type="spellStart"/>
      <w:r w:rsidRPr="00527C1D">
        <w:rPr>
          <w:lang w:val="en-GB"/>
        </w:rPr>
        <w:t>Petrangeli</w:t>
      </w:r>
      <w:proofErr w:type="spellEnd"/>
      <w:r w:rsidRPr="00527C1D">
        <w:rPr>
          <w:lang w:val="en-GB"/>
        </w:rPr>
        <w:t xml:space="preserve"> </w:t>
      </w:r>
      <w:proofErr w:type="spellStart"/>
      <w:r w:rsidRPr="00527C1D">
        <w:rPr>
          <w:lang w:val="en-GB"/>
        </w:rPr>
        <w:t>Papini</w:t>
      </w:r>
      <w:proofErr w:type="spellEnd"/>
      <w:r w:rsidRPr="00527C1D">
        <w:rPr>
          <w:lang w:val="en-GB"/>
        </w:rPr>
        <w:t>, Combined Strategies to Prompt the Biological Reduction of Chlorinated Aliphatic Hydrocarbons: New Sustainable Options for Bioremediation Application, Bioengineering. 8 (2021) 109. https://doi.org/10.3390/bioengineering8080109.</w:t>
      </w:r>
    </w:p>
    <w:p w14:paraId="5A2FEB28" w14:textId="77777777" w:rsidR="00527C1D" w:rsidRPr="00527C1D" w:rsidRDefault="00527C1D" w:rsidP="00527C1D">
      <w:pPr>
        <w:pStyle w:val="CETBodytext"/>
        <w:rPr>
          <w:lang w:val="en-GB"/>
        </w:rPr>
      </w:pPr>
    </w:p>
    <w:p w14:paraId="4D2777DC" w14:textId="3E986455" w:rsidR="00527C1D" w:rsidRDefault="00527C1D" w:rsidP="00527C1D">
      <w:pPr>
        <w:pStyle w:val="CETBodytext"/>
        <w:rPr>
          <w:lang w:val="en-GB"/>
        </w:rPr>
      </w:pPr>
      <w:r w:rsidRPr="00527C1D">
        <w:rPr>
          <w:lang w:val="en-GB"/>
        </w:rPr>
        <w:tab/>
      </w:r>
      <w:r w:rsidR="002F57EF">
        <w:rPr>
          <w:lang w:val="en-GB"/>
        </w:rPr>
        <w:t xml:space="preserve">M. </w:t>
      </w:r>
      <w:r w:rsidRPr="00527C1D">
        <w:rPr>
          <w:lang w:val="en-GB"/>
        </w:rPr>
        <w:t xml:space="preserve">Zeppilli, </w:t>
      </w:r>
      <w:r w:rsidR="002F57EF">
        <w:rPr>
          <w:lang w:val="en-GB"/>
        </w:rPr>
        <w:t xml:space="preserve">E. </w:t>
      </w:r>
      <w:r w:rsidRPr="00527C1D">
        <w:rPr>
          <w:lang w:val="en-GB"/>
        </w:rPr>
        <w:t xml:space="preserve">Dell’Armi, </w:t>
      </w:r>
      <w:r w:rsidR="002F57EF">
        <w:rPr>
          <w:lang w:val="en-GB"/>
        </w:rPr>
        <w:t xml:space="preserve">L. </w:t>
      </w:r>
      <w:r w:rsidRPr="00527C1D">
        <w:rPr>
          <w:lang w:val="en-GB"/>
        </w:rPr>
        <w:t xml:space="preserve">Cristiani, </w:t>
      </w:r>
      <w:r w:rsidR="002F57EF">
        <w:rPr>
          <w:lang w:val="en-GB"/>
        </w:rPr>
        <w:t xml:space="preserve">M. </w:t>
      </w:r>
      <w:proofErr w:type="spellStart"/>
      <w:r w:rsidRPr="00527C1D">
        <w:rPr>
          <w:lang w:val="en-GB"/>
        </w:rPr>
        <w:t>Petrangeli</w:t>
      </w:r>
      <w:proofErr w:type="spellEnd"/>
      <w:r w:rsidRPr="00527C1D">
        <w:rPr>
          <w:lang w:val="en-GB"/>
        </w:rPr>
        <w:t xml:space="preserve"> </w:t>
      </w:r>
      <w:proofErr w:type="spellStart"/>
      <w:r w:rsidRPr="00527C1D">
        <w:rPr>
          <w:lang w:val="en-GB"/>
        </w:rPr>
        <w:t>Papini</w:t>
      </w:r>
      <w:proofErr w:type="spellEnd"/>
      <w:r w:rsidRPr="00527C1D">
        <w:rPr>
          <w:lang w:val="en-GB"/>
        </w:rPr>
        <w:t xml:space="preserve">, </w:t>
      </w:r>
      <w:r w:rsidR="002F57EF">
        <w:rPr>
          <w:lang w:val="en-GB"/>
        </w:rPr>
        <w:t xml:space="preserve">M. </w:t>
      </w:r>
      <w:proofErr w:type="spellStart"/>
      <w:r w:rsidRPr="00527C1D">
        <w:rPr>
          <w:lang w:val="en-GB"/>
        </w:rPr>
        <w:t>Majone</w:t>
      </w:r>
      <w:proofErr w:type="spellEnd"/>
      <w:r w:rsidRPr="00527C1D">
        <w:rPr>
          <w:lang w:val="en-GB"/>
        </w:rPr>
        <w:t>, Reductive/Oxidative Sequential Bioelectrochemical Process for Perchloroethylene Removal, Water. 11 (2019) 2579. https://doi.org/10.3390/w11122579.</w:t>
      </w:r>
    </w:p>
    <w:p w14:paraId="426066B0" w14:textId="77777777" w:rsidR="00527C1D" w:rsidRPr="00527C1D" w:rsidRDefault="00527C1D" w:rsidP="00527C1D">
      <w:pPr>
        <w:pStyle w:val="CETBodytext"/>
        <w:rPr>
          <w:lang w:val="en-GB"/>
        </w:rPr>
      </w:pPr>
    </w:p>
    <w:p w14:paraId="7E2E17D9" w14:textId="78D7B2DB" w:rsidR="00527C1D" w:rsidRDefault="00527C1D" w:rsidP="00527C1D">
      <w:pPr>
        <w:pStyle w:val="CETBodytext"/>
        <w:rPr>
          <w:lang w:val="en-GB"/>
        </w:rPr>
      </w:pPr>
      <w:r w:rsidRPr="00527C1D">
        <w:rPr>
          <w:lang w:val="en-GB"/>
        </w:rPr>
        <w:t xml:space="preserve">M. Rosenbaum, F. </w:t>
      </w:r>
      <w:proofErr w:type="spellStart"/>
      <w:r w:rsidRPr="00527C1D">
        <w:rPr>
          <w:lang w:val="en-GB"/>
        </w:rPr>
        <w:t>Aulenta</w:t>
      </w:r>
      <w:proofErr w:type="spellEnd"/>
      <w:r w:rsidRPr="00527C1D">
        <w:rPr>
          <w:lang w:val="en-GB"/>
        </w:rPr>
        <w:t xml:space="preserve">, M. </w:t>
      </w:r>
      <w:proofErr w:type="spellStart"/>
      <w:r w:rsidRPr="00527C1D">
        <w:rPr>
          <w:lang w:val="en-GB"/>
        </w:rPr>
        <w:t>Villano</w:t>
      </w:r>
      <w:proofErr w:type="spellEnd"/>
      <w:r w:rsidRPr="00527C1D">
        <w:rPr>
          <w:lang w:val="en-GB"/>
        </w:rPr>
        <w:t xml:space="preserve">, L.T. </w:t>
      </w:r>
      <w:proofErr w:type="spellStart"/>
      <w:r w:rsidRPr="00527C1D">
        <w:rPr>
          <w:lang w:val="en-GB"/>
        </w:rPr>
        <w:t>Angenent</w:t>
      </w:r>
      <w:proofErr w:type="spellEnd"/>
      <w:r w:rsidRPr="00527C1D">
        <w:rPr>
          <w:lang w:val="en-GB"/>
        </w:rPr>
        <w:t xml:space="preserve">, Cathodes as electron donors for microbial metabolism: Which extracellular electron transfer mechanisms are </w:t>
      </w:r>
      <w:proofErr w:type="gramStart"/>
      <w:r w:rsidRPr="00527C1D">
        <w:rPr>
          <w:lang w:val="en-GB"/>
        </w:rPr>
        <w:t>involved?,</w:t>
      </w:r>
      <w:proofErr w:type="gramEnd"/>
      <w:r w:rsidRPr="00527C1D">
        <w:rPr>
          <w:lang w:val="en-GB"/>
        </w:rPr>
        <w:t xml:space="preserve"> </w:t>
      </w:r>
      <w:proofErr w:type="spellStart"/>
      <w:r w:rsidRPr="00527C1D">
        <w:rPr>
          <w:lang w:val="en-GB"/>
        </w:rPr>
        <w:t>Bioresour</w:t>
      </w:r>
      <w:proofErr w:type="spellEnd"/>
      <w:r w:rsidRPr="00527C1D">
        <w:rPr>
          <w:lang w:val="en-GB"/>
        </w:rPr>
        <w:t>. Technol. 102 (2011) 324–333. https://doi.org/10.1016/j.biortech.2010.07.008.</w:t>
      </w:r>
    </w:p>
    <w:p w14:paraId="6C78DD95" w14:textId="35E6878B" w:rsidR="00527C1D" w:rsidRDefault="00527C1D" w:rsidP="00527C1D">
      <w:pPr>
        <w:pStyle w:val="CETBodytext"/>
        <w:rPr>
          <w:lang w:val="en-GB"/>
        </w:rPr>
      </w:pPr>
    </w:p>
    <w:p w14:paraId="4955D35F" w14:textId="17474965" w:rsidR="00527C1D" w:rsidRPr="007502CD" w:rsidRDefault="00527C1D" w:rsidP="00527C1D">
      <w:pPr>
        <w:pStyle w:val="CETBodytext"/>
        <w:rPr>
          <w:lang w:val="en-GB"/>
        </w:rPr>
      </w:pPr>
      <w:r w:rsidRPr="00527C1D">
        <w:rPr>
          <w:lang w:val="en-GB"/>
        </w:rPr>
        <w:t xml:space="preserve">E. Dell’Armi, M. Zeppilli, M.L. Di Franca, B. </w:t>
      </w:r>
      <w:proofErr w:type="spellStart"/>
      <w:r w:rsidRPr="00527C1D">
        <w:rPr>
          <w:lang w:val="en-GB"/>
        </w:rPr>
        <w:t>Matturro</w:t>
      </w:r>
      <w:proofErr w:type="spellEnd"/>
      <w:r w:rsidRPr="00527C1D">
        <w:rPr>
          <w:lang w:val="en-GB"/>
        </w:rPr>
        <w:t xml:space="preserve">, V. Feigl, M. Molnár, Z. </w:t>
      </w:r>
      <w:proofErr w:type="spellStart"/>
      <w:r w:rsidRPr="00527C1D">
        <w:rPr>
          <w:lang w:val="en-GB"/>
        </w:rPr>
        <w:t>Berkl</w:t>
      </w:r>
      <w:proofErr w:type="spellEnd"/>
      <w:r w:rsidRPr="00527C1D">
        <w:rPr>
          <w:lang w:val="en-GB"/>
        </w:rPr>
        <w:t xml:space="preserve">, I. </w:t>
      </w:r>
      <w:proofErr w:type="spellStart"/>
      <w:r w:rsidRPr="00527C1D">
        <w:rPr>
          <w:lang w:val="en-GB"/>
        </w:rPr>
        <w:t>Németh</w:t>
      </w:r>
      <w:proofErr w:type="spellEnd"/>
      <w:r w:rsidRPr="00527C1D">
        <w:rPr>
          <w:lang w:val="en-GB"/>
        </w:rPr>
        <w:t xml:space="preserve">, H. Yaqoubi, S. Rossetti, M.P. Papini, M. </w:t>
      </w:r>
      <w:proofErr w:type="spellStart"/>
      <w:r w:rsidRPr="00527C1D">
        <w:rPr>
          <w:lang w:val="en-GB"/>
        </w:rPr>
        <w:t>Majone</w:t>
      </w:r>
      <w:proofErr w:type="spellEnd"/>
      <w:r w:rsidRPr="00527C1D">
        <w:rPr>
          <w:lang w:val="en-GB"/>
        </w:rPr>
        <w:t xml:space="preserve">, Evaluation of a bioelectrochemical reductive/oxidative sequential process for </w:t>
      </w:r>
      <w:r w:rsidRPr="007502CD">
        <w:rPr>
          <w:lang w:val="en-GB"/>
        </w:rPr>
        <w:t>chlorinated aliphatic hydrocarbons (CAHs) removal from a real contaminated groundwater, J. Water Process Eng. 49 (</w:t>
      </w:r>
      <w:proofErr w:type="gramStart"/>
      <w:r w:rsidRPr="007502CD">
        <w:rPr>
          <w:lang w:val="en-GB"/>
        </w:rPr>
        <w:t>2022)</w:t>
      </w:r>
      <w:r w:rsidR="00EA3DA8" w:rsidRPr="007502CD">
        <w:rPr>
          <w:lang w:val="en-GB"/>
        </w:rPr>
        <w:t>a</w:t>
      </w:r>
      <w:proofErr w:type="gramEnd"/>
      <w:r w:rsidRPr="007502CD">
        <w:rPr>
          <w:lang w:val="en-GB"/>
        </w:rPr>
        <w:t xml:space="preserve"> 103101. https://doi.org/10.1016/J.JWPE.2022.103101.</w:t>
      </w:r>
    </w:p>
    <w:p w14:paraId="7C9AC0F2" w14:textId="77777777" w:rsidR="00527C1D" w:rsidRPr="007502CD" w:rsidRDefault="00527C1D" w:rsidP="00527C1D">
      <w:pPr>
        <w:pStyle w:val="CETBodytext"/>
        <w:rPr>
          <w:lang w:val="en-GB"/>
        </w:rPr>
      </w:pPr>
    </w:p>
    <w:p w14:paraId="3ECE3E13" w14:textId="24D775FE" w:rsidR="002F57EF" w:rsidRPr="002F57EF" w:rsidRDefault="0091319B" w:rsidP="002F57EF">
      <w:pPr>
        <w:pStyle w:val="CETBodytext"/>
        <w:rPr>
          <w:lang w:val="en-GB"/>
        </w:rPr>
      </w:pPr>
      <w:r w:rsidRPr="007502CD">
        <w:rPr>
          <w:lang w:val="en-GB"/>
        </w:rPr>
        <w:t xml:space="preserve">E. Dell’Armi, M.M. Rossi, M. Zeppilli, M. </w:t>
      </w:r>
      <w:proofErr w:type="spellStart"/>
      <w:r w:rsidRPr="007502CD">
        <w:rPr>
          <w:lang w:val="en-GB"/>
        </w:rPr>
        <w:t>Petrangeli</w:t>
      </w:r>
      <w:proofErr w:type="spellEnd"/>
      <w:r w:rsidRPr="007502CD">
        <w:rPr>
          <w:lang w:val="en-GB"/>
        </w:rPr>
        <w:t xml:space="preserve"> </w:t>
      </w:r>
      <w:proofErr w:type="spellStart"/>
      <w:r w:rsidRPr="007502CD">
        <w:rPr>
          <w:lang w:val="en-GB"/>
        </w:rPr>
        <w:t>Papini</w:t>
      </w:r>
      <w:proofErr w:type="spellEnd"/>
      <w:r w:rsidRPr="007502CD">
        <w:rPr>
          <w:lang w:val="en-GB"/>
        </w:rPr>
        <w:t xml:space="preserve">, M. </w:t>
      </w:r>
      <w:proofErr w:type="spellStart"/>
      <w:r w:rsidRPr="007502CD">
        <w:rPr>
          <w:lang w:val="en-GB"/>
        </w:rPr>
        <w:t>Majone</w:t>
      </w:r>
      <w:proofErr w:type="spellEnd"/>
      <w:r w:rsidRPr="007502CD">
        <w:rPr>
          <w:lang w:val="en-GB"/>
        </w:rPr>
        <w:t xml:space="preserve">, </w:t>
      </w:r>
      <w:r w:rsidR="002F57EF" w:rsidRPr="007502CD">
        <w:rPr>
          <w:lang w:val="en-GB"/>
        </w:rPr>
        <w:t>Bioelectrochemical Chlorinated Aliphatic Hydrocarbons Reduction in Synthetic and Real Contaminated Groundwaters</w:t>
      </w:r>
      <w:r w:rsidR="006C3BB7" w:rsidRPr="007502CD">
        <w:rPr>
          <w:lang w:val="en-GB"/>
        </w:rPr>
        <w:t>, Chemical Engineering</w:t>
      </w:r>
      <w:r w:rsidR="008C79F7" w:rsidRPr="007502CD">
        <w:rPr>
          <w:lang w:val="en-GB"/>
        </w:rPr>
        <w:t xml:space="preserve"> Transactions, 93 (</w:t>
      </w:r>
      <w:proofErr w:type="gramStart"/>
      <w:r w:rsidR="008C79F7" w:rsidRPr="007502CD">
        <w:rPr>
          <w:lang w:val="en-GB"/>
        </w:rPr>
        <w:t>2022)</w:t>
      </w:r>
      <w:r w:rsidR="00EA3DA8" w:rsidRPr="007502CD">
        <w:rPr>
          <w:lang w:val="en-GB"/>
        </w:rPr>
        <w:t>b</w:t>
      </w:r>
      <w:proofErr w:type="gramEnd"/>
      <w:r w:rsidR="008C79F7" w:rsidRPr="007502CD">
        <w:rPr>
          <w:lang w:val="en-GB"/>
        </w:rPr>
        <w:t>, 217</w:t>
      </w:r>
      <w:r w:rsidR="008C79F7">
        <w:rPr>
          <w:lang w:val="en-GB"/>
        </w:rPr>
        <w:t>-222.</w:t>
      </w:r>
      <w:r w:rsidR="00BF04B2">
        <w:rPr>
          <w:lang w:val="en-GB"/>
        </w:rPr>
        <w:t xml:space="preserve">    </w:t>
      </w:r>
    </w:p>
    <w:p w14:paraId="234163F5" w14:textId="77777777" w:rsidR="00527C1D" w:rsidRPr="00BE4F48" w:rsidRDefault="00527C1D" w:rsidP="00BE4F48">
      <w:pPr>
        <w:pStyle w:val="CETBodytext"/>
        <w:rPr>
          <w:lang w:val="en-GB"/>
        </w:rPr>
      </w:pPr>
    </w:p>
    <w:sectPr w:rsidR="00527C1D" w:rsidRPr="00BE4F4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B7602" w14:textId="77777777" w:rsidR="00346A9A" w:rsidRDefault="00346A9A" w:rsidP="004F5E36">
      <w:r>
        <w:separator/>
      </w:r>
    </w:p>
  </w:endnote>
  <w:endnote w:type="continuationSeparator" w:id="0">
    <w:p w14:paraId="77D1E01A" w14:textId="77777777" w:rsidR="00346A9A" w:rsidRDefault="00346A9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9558" w14:textId="77777777" w:rsidR="00346A9A" w:rsidRDefault="00346A9A" w:rsidP="004F5E36">
      <w:r>
        <w:separator/>
      </w:r>
    </w:p>
  </w:footnote>
  <w:footnote w:type="continuationSeparator" w:id="0">
    <w:p w14:paraId="0D92C2F7" w14:textId="77777777" w:rsidR="00346A9A" w:rsidRDefault="00346A9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14E"/>
    <w:rsid w:val="000279F5"/>
    <w:rsid w:val="0003148D"/>
    <w:rsid w:val="00031EEC"/>
    <w:rsid w:val="00051566"/>
    <w:rsid w:val="000562A9"/>
    <w:rsid w:val="000610AA"/>
    <w:rsid w:val="00062A9A"/>
    <w:rsid w:val="00063288"/>
    <w:rsid w:val="00065058"/>
    <w:rsid w:val="00086C39"/>
    <w:rsid w:val="000A03B2"/>
    <w:rsid w:val="000B3865"/>
    <w:rsid w:val="000D0268"/>
    <w:rsid w:val="000D34BE"/>
    <w:rsid w:val="000E102F"/>
    <w:rsid w:val="000E36F1"/>
    <w:rsid w:val="000E3A73"/>
    <w:rsid w:val="000E414A"/>
    <w:rsid w:val="000F093C"/>
    <w:rsid w:val="000F787B"/>
    <w:rsid w:val="0012091F"/>
    <w:rsid w:val="0012364E"/>
    <w:rsid w:val="00126BC2"/>
    <w:rsid w:val="001308B6"/>
    <w:rsid w:val="0013121F"/>
    <w:rsid w:val="00131FE6"/>
    <w:rsid w:val="0013263F"/>
    <w:rsid w:val="001331DF"/>
    <w:rsid w:val="00134DE4"/>
    <w:rsid w:val="0014034D"/>
    <w:rsid w:val="00144D16"/>
    <w:rsid w:val="00150E59"/>
    <w:rsid w:val="00152DE3"/>
    <w:rsid w:val="00160EFC"/>
    <w:rsid w:val="00164CF9"/>
    <w:rsid w:val="001667A6"/>
    <w:rsid w:val="00184AD6"/>
    <w:rsid w:val="001A4AF7"/>
    <w:rsid w:val="001B0349"/>
    <w:rsid w:val="001B1E93"/>
    <w:rsid w:val="001B65C1"/>
    <w:rsid w:val="001B79C8"/>
    <w:rsid w:val="001C684B"/>
    <w:rsid w:val="001D0CFB"/>
    <w:rsid w:val="001D21AF"/>
    <w:rsid w:val="001D22B7"/>
    <w:rsid w:val="001D53FC"/>
    <w:rsid w:val="001D5EE2"/>
    <w:rsid w:val="001F42A5"/>
    <w:rsid w:val="001F7B9D"/>
    <w:rsid w:val="00201C93"/>
    <w:rsid w:val="00207D94"/>
    <w:rsid w:val="002224B4"/>
    <w:rsid w:val="0023527D"/>
    <w:rsid w:val="002447EF"/>
    <w:rsid w:val="00244948"/>
    <w:rsid w:val="00251550"/>
    <w:rsid w:val="00263B05"/>
    <w:rsid w:val="0027221A"/>
    <w:rsid w:val="00275B61"/>
    <w:rsid w:val="00280FAF"/>
    <w:rsid w:val="00282656"/>
    <w:rsid w:val="00283190"/>
    <w:rsid w:val="00286B88"/>
    <w:rsid w:val="00296B83"/>
    <w:rsid w:val="002B4015"/>
    <w:rsid w:val="002B6320"/>
    <w:rsid w:val="002B78CE"/>
    <w:rsid w:val="002C2FB6"/>
    <w:rsid w:val="002E5FA7"/>
    <w:rsid w:val="002E7882"/>
    <w:rsid w:val="002F3309"/>
    <w:rsid w:val="002F57EF"/>
    <w:rsid w:val="003008CE"/>
    <w:rsid w:val="003009B7"/>
    <w:rsid w:val="00300E56"/>
    <w:rsid w:val="0030152C"/>
    <w:rsid w:val="0030469C"/>
    <w:rsid w:val="00321CA6"/>
    <w:rsid w:val="00323763"/>
    <w:rsid w:val="00323C5F"/>
    <w:rsid w:val="00334C09"/>
    <w:rsid w:val="00346A9A"/>
    <w:rsid w:val="003723D4"/>
    <w:rsid w:val="00381905"/>
    <w:rsid w:val="00384CC8"/>
    <w:rsid w:val="003871FD"/>
    <w:rsid w:val="003A1E30"/>
    <w:rsid w:val="003A2829"/>
    <w:rsid w:val="003A7D1C"/>
    <w:rsid w:val="003B304B"/>
    <w:rsid w:val="003B3146"/>
    <w:rsid w:val="003F015E"/>
    <w:rsid w:val="003F764A"/>
    <w:rsid w:val="00400414"/>
    <w:rsid w:val="00401589"/>
    <w:rsid w:val="00405B4F"/>
    <w:rsid w:val="00406BA2"/>
    <w:rsid w:val="0041446B"/>
    <w:rsid w:val="0044071E"/>
    <w:rsid w:val="0044329C"/>
    <w:rsid w:val="00453E24"/>
    <w:rsid w:val="00456CFD"/>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E75FA"/>
    <w:rsid w:val="004F5791"/>
    <w:rsid w:val="004F5E36"/>
    <w:rsid w:val="00507B47"/>
    <w:rsid w:val="00507BEF"/>
    <w:rsid w:val="00507CC9"/>
    <w:rsid w:val="005119A5"/>
    <w:rsid w:val="005278B7"/>
    <w:rsid w:val="00527C1D"/>
    <w:rsid w:val="00532016"/>
    <w:rsid w:val="005346C8"/>
    <w:rsid w:val="00543E7D"/>
    <w:rsid w:val="00547A68"/>
    <w:rsid w:val="005531C9"/>
    <w:rsid w:val="00570C43"/>
    <w:rsid w:val="00572FDA"/>
    <w:rsid w:val="00580822"/>
    <w:rsid w:val="005B2110"/>
    <w:rsid w:val="005B363D"/>
    <w:rsid w:val="005B61E6"/>
    <w:rsid w:val="005C2165"/>
    <w:rsid w:val="005C77E1"/>
    <w:rsid w:val="005D668A"/>
    <w:rsid w:val="005D6A2F"/>
    <w:rsid w:val="005E1A82"/>
    <w:rsid w:val="005E794C"/>
    <w:rsid w:val="005F0A28"/>
    <w:rsid w:val="005F0E5E"/>
    <w:rsid w:val="00600535"/>
    <w:rsid w:val="00610CD6"/>
    <w:rsid w:val="00620DEE"/>
    <w:rsid w:val="00621F92"/>
    <w:rsid w:val="0062280A"/>
    <w:rsid w:val="00625639"/>
    <w:rsid w:val="00627228"/>
    <w:rsid w:val="0063048C"/>
    <w:rsid w:val="00631B33"/>
    <w:rsid w:val="0064184D"/>
    <w:rsid w:val="006422CC"/>
    <w:rsid w:val="00652089"/>
    <w:rsid w:val="00660E3E"/>
    <w:rsid w:val="00662E74"/>
    <w:rsid w:val="00667EA3"/>
    <w:rsid w:val="00680C23"/>
    <w:rsid w:val="00693766"/>
    <w:rsid w:val="006A3281"/>
    <w:rsid w:val="006B4888"/>
    <w:rsid w:val="006C2E45"/>
    <w:rsid w:val="006C359C"/>
    <w:rsid w:val="006C3BB7"/>
    <w:rsid w:val="006C5579"/>
    <w:rsid w:val="006D6E8B"/>
    <w:rsid w:val="006E737D"/>
    <w:rsid w:val="006F13CC"/>
    <w:rsid w:val="00713973"/>
    <w:rsid w:val="00720A24"/>
    <w:rsid w:val="00730F16"/>
    <w:rsid w:val="00732386"/>
    <w:rsid w:val="0073514D"/>
    <w:rsid w:val="007447F3"/>
    <w:rsid w:val="007502CD"/>
    <w:rsid w:val="0075499F"/>
    <w:rsid w:val="007661C8"/>
    <w:rsid w:val="0077098D"/>
    <w:rsid w:val="00776550"/>
    <w:rsid w:val="00792E0E"/>
    <w:rsid w:val="007931FA"/>
    <w:rsid w:val="007A2FAD"/>
    <w:rsid w:val="007A4861"/>
    <w:rsid w:val="007A7BBA"/>
    <w:rsid w:val="007B0C50"/>
    <w:rsid w:val="007B48F9"/>
    <w:rsid w:val="007C1A43"/>
    <w:rsid w:val="007D0951"/>
    <w:rsid w:val="007E7439"/>
    <w:rsid w:val="0080013E"/>
    <w:rsid w:val="00813288"/>
    <w:rsid w:val="008168FC"/>
    <w:rsid w:val="00830996"/>
    <w:rsid w:val="008345F1"/>
    <w:rsid w:val="00837F42"/>
    <w:rsid w:val="00865B07"/>
    <w:rsid w:val="008667EA"/>
    <w:rsid w:val="0087637F"/>
    <w:rsid w:val="00892AD5"/>
    <w:rsid w:val="008A1512"/>
    <w:rsid w:val="008C1C58"/>
    <w:rsid w:val="008C79F7"/>
    <w:rsid w:val="008D1F2C"/>
    <w:rsid w:val="008D32B9"/>
    <w:rsid w:val="008D433B"/>
    <w:rsid w:val="008D4A16"/>
    <w:rsid w:val="008E566E"/>
    <w:rsid w:val="0090161A"/>
    <w:rsid w:val="00901EB6"/>
    <w:rsid w:val="00904C62"/>
    <w:rsid w:val="00907888"/>
    <w:rsid w:val="0091319B"/>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0D0E"/>
    <w:rsid w:val="00971028"/>
    <w:rsid w:val="00984C6A"/>
    <w:rsid w:val="00993B84"/>
    <w:rsid w:val="00996483"/>
    <w:rsid w:val="00996F5A"/>
    <w:rsid w:val="009A7672"/>
    <w:rsid w:val="009B041A"/>
    <w:rsid w:val="009C37C3"/>
    <w:rsid w:val="009C7C86"/>
    <w:rsid w:val="009D2FF7"/>
    <w:rsid w:val="009E7884"/>
    <w:rsid w:val="009E788A"/>
    <w:rsid w:val="009F0E08"/>
    <w:rsid w:val="009F1339"/>
    <w:rsid w:val="00A00ACA"/>
    <w:rsid w:val="00A1763D"/>
    <w:rsid w:val="00A17CEC"/>
    <w:rsid w:val="00A27EF0"/>
    <w:rsid w:val="00A3055B"/>
    <w:rsid w:val="00A40E7A"/>
    <w:rsid w:val="00A42361"/>
    <w:rsid w:val="00A50B20"/>
    <w:rsid w:val="00A51390"/>
    <w:rsid w:val="00A60D13"/>
    <w:rsid w:val="00A7223D"/>
    <w:rsid w:val="00A72745"/>
    <w:rsid w:val="00A76EFC"/>
    <w:rsid w:val="00A82849"/>
    <w:rsid w:val="00A87D50"/>
    <w:rsid w:val="00A90856"/>
    <w:rsid w:val="00A91010"/>
    <w:rsid w:val="00A97F29"/>
    <w:rsid w:val="00AA702E"/>
    <w:rsid w:val="00AA7D26"/>
    <w:rsid w:val="00AB0964"/>
    <w:rsid w:val="00AB3BBF"/>
    <w:rsid w:val="00AB5011"/>
    <w:rsid w:val="00AC7368"/>
    <w:rsid w:val="00AD16B9"/>
    <w:rsid w:val="00AE377D"/>
    <w:rsid w:val="00AF0EBA"/>
    <w:rsid w:val="00B01484"/>
    <w:rsid w:val="00B02C8A"/>
    <w:rsid w:val="00B17FBD"/>
    <w:rsid w:val="00B2572B"/>
    <w:rsid w:val="00B315A6"/>
    <w:rsid w:val="00B31813"/>
    <w:rsid w:val="00B33365"/>
    <w:rsid w:val="00B57B36"/>
    <w:rsid w:val="00B57E6F"/>
    <w:rsid w:val="00B8686D"/>
    <w:rsid w:val="00B93F69"/>
    <w:rsid w:val="00BB1DDC"/>
    <w:rsid w:val="00BC30C9"/>
    <w:rsid w:val="00BD077D"/>
    <w:rsid w:val="00BE3E58"/>
    <w:rsid w:val="00BE4F48"/>
    <w:rsid w:val="00BF04B2"/>
    <w:rsid w:val="00C01616"/>
    <w:rsid w:val="00C0162B"/>
    <w:rsid w:val="00C068ED"/>
    <w:rsid w:val="00C21F56"/>
    <w:rsid w:val="00C22E0C"/>
    <w:rsid w:val="00C32F38"/>
    <w:rsid w:val="00C345B1"/>
    <w:rsid w:val="00C40142"/>
    <w:rsid w:val="00C42B73"/>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1481"/>
    <w:rsid w:val="00CE7C68"/>
    <w:rsid w:val="00D02B4C"/>
    <w:rsid w:val="00D040C4"/>
    <w:rsid w:val="00D20AD1"/>
    <w:rsid w:val="00D34AD0"/>
    <w:rsid w:val="00D45253"/>
    <w:rsid w:val="00D46B7E"/>
    <w:rsid w:val="00D528EF"/>
    <w:rsid w:val="00D57C84"/>
    <w:rsid w:val="00D6057D"/>
    <w:rsid w:val="00D71640"/>
    <w:rsid w:val="00D836C5"/>
    <w:rsid w:val="00D84576"/>
    <w:rsid w:val="00D94802"/>
    <w:rsid w:val="00DA1399"/>
    <w:rsid w:val="00DA24C6"/>
    <w:rsid w:val="00DA4D7B"/>
    <w:rsid w:val="00DD271C"/>
    <w:rsid w:val="00DE264A"/>
    <w:rsid w:val="00DF5072"/>
    <w:rsid w:val="00DF56C5"/>
    <w:rsid w:val="00E02D18"/>
    <w:rsid w:val="00E041E7"/>
    <w:rsid w:val="00E23CA1"/>
    <w:rsid w:val="00E408A9"/>
    <w:rsid w:val="00E409A8"/>
    <w:rsid w:val="00E50C12"/>
    <w:rsid w:val="00E65B91"/>
    <w:rsid w:val="00E7209D"/>
    <w:rsid w:val="00E72EAD"/>
    <w:rsid w:val="00E77223"/>
    <w:rsid w:val="00E77369"/>
    <w:rsid w:val="00E8528B"/>
    <w:rsid w:val="00E85B94"/>
    <w:rsid w:val="00E978D0"/>
    <w:rsid w:val="00EA3DA8"/>
    <w:rsid w:val="00EA4613"/>
    <w:rsid w:val="00EA5BF8"/>
    <w:rsid w:val="00EA6DF6"/>
    <w:rsid w:val="00EA7F91"/>
    <w:rsid w:val="00EB1523"/>
    <w:rsid w:val="00EB6C53"/>
    <w:rsid w:val="00EC0E49"/>
    <w:rsid w:val="00EC101F"/>
    <w:rsid w:val="00EC1D9F"/>
    <w:rsid w:val="00EE0131"/>
    <w:rsid w:val="00EE17B0"/>
    <w:rsid w:val="00EF06D9"/>
    <w:rsid w:val="00EF52F7"/>
    <w:rsid w:val="00F03E5C"/>
    <w:rsid w:val="00F3049E"/>
    <w:rsid w:val="00F30C64"/>
    <w:rsid w:val="00F32BA2"/>
    <w:rsid w:val="00F32CDB"/>
    <w:rsid w:val="00F565FE"/>
    <w:rsid w:val="00F63A70"/>
    <w:rsid w:val="00F63D8C"/>
    <w:rsid w:val="00F7534E"/>
    <w:rsid w:val="00F86DFF"/>
    <w:rsid w:val="00F93EDF"/>
    <w:rsid w:val="00FA1440"/>
    <w:rsid w:val="00FA1802"/>
    <w:rsid w:val="00FA21D0"/>
    <w:rsid w:val="00FA44DE"/>
    <w:rsid w:val="00FA5F5F"/>
    <w:rsid w:val="00FB730C"/>
    <w:rsid w:val="00FC2695"/>
    <w:rsid w:val="00FC3E03"/>
    <w:rsid w:val="00FC3FC1"/>
    <w:rsid w:val="00FD2F84"/>
    <w:rsid w:val="00FE63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E408A9"/>
    <w:rPr>
      <w:color w:val="605E5C"/>
      <w:shd w:val="clear" w:color="auto" w:fill="E1DFDD"/>
    </w:rPr>
  </w:style>
  <w:style w:type="character" w:styleId="Enfasicorsivo">
    <w:name w:val="Emphasis"/>
    <w:basedOn w:val="Carpredefinitoparagrafo"/>
    <w:uiPriority w:val="20"/>
    <w:qFormat/>
    <w:rsid w:val="00BE4F48"/>
    <w:rPr>
      <w:i/>
      <w:iCs/>
    </w:rPr>
  </w:style>
  <w:style w:type="character" w:styleId="Testosegnaposto">
    <w:name w:val="Placeholder Text"/>
    <w:basedOn w:val="Carpredefinitoparagrafo"/>
    <w:uiPriority w:val="99"/>
    <w:semiHidden/>
    <w:rsid w:val="00027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783">
      <w:bodyDiv w:val="1"/>
      <w:marLeft w:val="0"/>
      <w:marRight w:val="0"/>
      <w:marTop w:val="0"/>
      <w:marBottom w:val="0"/>
      <w:divBdr>
        <w:top w:val="none" w:sz="0" w:space="0" w:color="auto"/>
        <w:left w:val="none" w:sz="0" w:space="0" w:color="auto"/>
        <w:bottom w:val="none" w:sz="0" w:space="0" w:color="auto"/>
        <w:right w:val="none" w:sz="0" w:space="0" w:color="auto"/>
      </w:divBdr>
    </w:div>
    <w:div w:id="53446371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306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201176075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2EE6B5-EE80-4C1E-880E-B8E3F0AE3F8A}">
  <we:reference id="wa104382081" version="1.46.0.0" store="it-IT" storeType="OMEX"/>
  <we:alternateReferences>
    <we:reference id="WA104382081" version="1.46.0.0" store="WA104382081" storeType="OMEX"/>
  </we:alternateReferences>
  <we:properties>
    <we:property name="MENDELEY_CITATIONS" value="[{&quot;citationID&quot;:&quot;MENDELEY_CITATION_5c941b9c-8744-40d0-a57e-f08cce8b5c36&quot;,&quot;properties&quot;:{&quot;noteIndex&quot;:0},&quot;isEdited&quot;:false,&quot;manualOverride&quot;:{&quot;isManuallyOverridden&quot;:false,&quot;citeprocText&quot;:&quot;(Akhtar et al., 2009)&quot;,&quot;manualOverrideText&quot;:&quot;&quot;},&quot;citationTag&quot;:&quot;MENDELEY_CITATION_v3_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&quot;,&quot;citationItems&quot;:[{&quot;id&quot;:&quot;fbf165d8-64f8-374c-ae7a-1bf1512abd41&quot;,&quot;itemData&quot;:{&quot;type&quot;:&quot;article-journal&quot;,&quot;id&quot;:&quot;fbf165d8-64f8-374c-ae7a-1bf1512abd41&quot;,&quot;title&quot;:&quot;Strategy to inactivate Clostridium perfringens spores in meat products&quot;,&quot;author&quot;:[{&quot;family&quot;:&quot;Akhtar&quot;,&quot;given&quot;:&quot;Saeed&quot;,&quot;parse-names&quot;:false,&quot;dropping-particle&quot;:&quot;&quot;,&quot;non-dropping-particle&quot;:&quot;&quot;},{&quot;family&quot;:&quot;Paredes-Sabja&quot;,&quot;given&quot;:&quot;Daniel&quot;,&quot;parse-names&quot;:false,&quot;dropping-particle&quot;:&quot;&quot;,&quot;non-dropping-particle&quot;:&quot;&quot;},{&quot;family&quot;:&quot;Torres&quot;,&quot;given&quot;:&quot;J. Antonio&quot;,&quot;parse-names&quot;:false,&quot;dropping-particle&quot;:&quot;&quot;,&quot;non-dropping-particle&quot;:&quot;&quot;},{&quot;family&quot;:&quot;Sarker&quot;,&quot;given&quot;:&quot;Mahfuzur R.&quot;,&quot;parse-names&quot;:false,&quot;dropping-particle&quot;:&quot;&quot;,&quot;non-dropping-particle&quot;:&quot;&quot;}],&quot;container-title&quot;:&quot;Food Microbiology&quot;,&quot;container-title-short&quot;:&quot;Food Microbiol&quot;,&quot;DOI&quot;:&quot;10.1016/j.fm.2008.12.011&quot;,&quot;ISSN&quot;:&quot;07400020&quot;,&quot;PMID&quot;:&quot;19269568&quot;,&quot;issued&quot;:{&quot;date-parts&quot;:[[2009,5]]},&quot;page&quot;:&quot;272-277&quot;,&quot;abstract&quot;:&quot;The current study aimed to develop an inactivation strategy for Clostridium perfringens spores in meat through a combination of spore activation at low pressure (100-200 MPa, 7 min) and elevated temperature (80 °C, 10 min); spore germination at high temperatures (55, 60 or 65 °C); and inactivation of germinated spores with elevated temperatures (80 and 90 °C, 10 and 20 min) and high pressure (586 MPa, at 23 and 73 °C, 10 min). Low pressures (100-200 MPa) were insufficient to efficiently activate C. perfringens spores for germination. However, C. perfringens spores were efficiently activated with elevated temperature (80 °C, 10 min), and germinated at temperatures lethal for vegetative cells (≥55 °C) when incubated for 60 min with a mixture of l-asparagine and KCl (AK) in phosphate buffer (pH 7) and in poultry meat. Inactivation of spores (∼4 decimal reduction) in meat by elevated temperatures (80-90 °C for 20 min) required a long germination period (55 °C for 60 min). However, similar inactivation level was reached with shorter germination period (55 °C for 15 min) when spore contaminated-meat was treated with pressure-assisted thermal processing (568 MPa, 73 °C, 10 min). Therefore, the most efficient strategy to inactivate C. perfringens spores in poultry meat containing 50 mM AK consisted: (i) a primary heat treatment (80 °C, 10 min) to pasteurize and denature the meat proteins and to activate C. perfringens spores for germination; (ii) cooling of the product to 55 °C in about 20 min and further incubation at 55 °C for about 15 min for spore germination; and (iii) inactivation of germinated spores by pressure-assisted thermal processing (586 MPa at 73 °C for 10 min). Collectively, this study demonstrates the feasibility of an alternative and novel strategy to inactivate C. perfringens spores in meat products formulated with germinants specific for C. perfringens. © 2009 Elsevier Ltd. All rights reserved.&quot;,&quot;issue&quot;:&quot;3&quot;,&quot;volume&quot;:&quot;26&quot;},&quot;isTemporary&quot;:false}]},{&quot;citationID&quot;:&quot;MENDELEY_CITATION_3f768b6f-b58e-4853-bf68-d236544b45d7&quot;,&quot;properties&quot;:{&quot;noteIndex&quot;:0},&quot;isEdited&quot;:false,&quot;manualOverride&quot;:{&quot;isManuallyOverridden&quot;:true,&quot;citeprocText&quot;:&quot;(Cristiani et al., 2022)&quot;,&quot;manualOverrideText&quot;:&quot;Cristiani et al., 2022&quot;},&quot;citationTag&quot;:&quot;MENDELEY_CITATION_v3_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&quot;,&quot;citationItems&quot;:[{&quot;id&quot;:&quot;f42219ce-d3ac-32eb-b1fd-26ddd0668e49&quot;,&quot;itemData&quot;:{&quot;type&quot;:&quot;article-journal&quot;,&quot;id&quot;:&quot;f42219ce-d3ac-32eb-b1fd-26ddd0668e49&quot;,&quot;title&quot;:&quot;Autotrophic Acetate Production under Hydrogenophilic and Bioelectrochemical Conditions with a Thermally Treated Mixed Culture&quot;,&quot;author&quot;:[{&quot;family&quot;:&quot;Cristiani&quot;,&quot;given&quot;:&quot;Lorenzo&quot;,&quot;parse-names&quot;:false,&quot;dropping-particle&quot;:&quot;&quot;,&quot;non-dropping-particle&quot;:&quot;&quot;},{&quot;family&quot;:&quot;Ferretti&quot;,&quot;given&quot;:&quot;Jacopo&quot;,&quot;parse-names&quot;:false,&quot;dropping-particle&quot;:&quot;&quot;,&quot;non-dropping-particle&quot;:&quot;&quot;},{&quot;family&quot;:&quot;Majone&quot;,&quot;given&quot;:&quot;Mauro&quot;,&quot;parse-names&quot;:false,&quot;dropping-particle&quot;:&quot;&quot;,&quot;non-dropping-particle&quot;:&quot;&quot;},{&quot;family&quot;:&quot;Villano&quot;,&quot;given&quot;:&quot;Marianna&quot;,&quot;parse-names&quot;:false,&quot;dropping-particle&quot;:&quot;&quot;,&quot;non-dropping-particle&quot;:&quot;&quot;},{&quot;family&quot;:&quot;Zeppilli&quot;,&quot;given&quot;:&quot;Marco&quot;,&quot;parse-names&quot;:false,&quot;dropping-particle&quot;:&quot;&quot;,&quot;non-dropping-particle&quot;:&quot;&quot;}],&quot;container-title&quot;:&quot;Membranes&quot;,&quot;DOI&quot;:&quot;10.3390/membranes12020126&quot;,&quot;ISSN&quot;:&quot;20770375&quot;,&quot;issued&quot;:{&quot;date-parts&quot;:[[2022,2,1]]},&quot;abstract&quot;:&quot;Bioelectrochemical systems are emerging technologies for the reduction in CO2 in fuels and chemicals, in which anaerobic chemoautotrophic microorganisms such as methanogens and acetogens are typically used as biocatalysts. The anaerobic digestion digestate represents an abundant source of methanogens and acetogens microorganisms. In a mixed culture environment, methanogen’s inhibition is necessary to avoid acetate consumption by the presence of acetoclastic methanogens. In this study, a methanogenesis inhibition approach based on the thermal treatment of mixed cultures was adopted and evaluated in terms of acetate production under different tests consisting of hydrogenophilic and bioelectrochemical experiments. Batch experiments were carried out under hydrogenophilic and bioelectrochemical conditions, demonstrating the effectiveness of the thermal treatment and showing a 30 times higher acetate production with respect to the raw anaerobic digestate. Moreover, a continuous flow bioelectrochemical reactor equipped with an anion exchange membrane (AEM) successfully overcomes the methanogens reactivation, allowing for a continuous acetate production. The AEM membrane guaranteed the migration of the acetate from the biological compartment and its concentration in the abiotic chamber avoiding its consumption by acetoclastic methanogenesis. The system allowed an acetate concentration of 1745 ± 30 mg/L in the abiotic chamber, nearly five times the concentration measured in the cathodic chamber.&quot;,&quot;publisher&quot;:&quot;MDPI&quot;,&quot;issue&quot;:&quot;2&quot;,&quot;volume&quot;:&quot;12&quot;,&quot;container-title-short&quot;:&quot;Membranes (Basel)&quot;},&quot;isTemporary&quot;:false}]},{&quot;citationID&quot;:&quot;MENDELEY_CITATION_066bdeb0-b290-4562-afcc-53d30e1d2e0f&quot;,&quot;properties&quot;:{&quot;noteIndex&quot;:0},&quot;isEdited&quot;:false,&quot;manualOverride&quot;:{&quot;isManuallyOverridden&quot;:true,&quot;citeprocText&quot;:&quot;(Ferretti et al., 2022)&quot;,&quot;manualOverrideText&quot;:&quot;Ferretti et al., 2022.&quot;},&quot;citationTag&quot;:&quot;MENDELEY_CITATION_v3_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&quot;,&quot;citationItems&quot;:[{&quot;id&quot;:&quot;f28218b2-7d06-3133-a9e8-eb2275769bc5&quot;,&quot;itemData&quot;:{&quot;type&quot;:&quot;article-journal&quot;,&quot;id&quot;:&quot;f28218b2-7d06-3133-a9e8-eb2275769bc5&quot;,&quot;title&quot;:&quot;Hydrogenophilic and Bioelectrochemical Production of Acetate with a Pure Culture of Acetobacterium Woodii&quot;,&quot;author&quot;:[{&quot;family&quot;:&quot;Ferretti&quot;,&quot;given&quot;:&quot;Jacopo&quot;,&quot;parse-names&quot;:false,&quot;dropping-particle&quot;:&quot;&quot;,&quot;non-dropping-particle&quot;:&quot;&quot;},{&quot;family&quot;:&quot;Zeppilli&quot;,&quot;given&quot;:&quot;Marco&quot;,&quot;parse-names&quot;:false,&quot;dropping-particle&quot;:&quot;&quot;,&quot;non-dropping-particle&quot;:&quot;&quot;},{&quot;family&quot;:&quot;Cristiani&quot;,&quot;given&quot;:&quot;Lorenzo&quot;,&quot;parse-names&quot;:false,&quot;dropping-particle&quot;:&quot;&quot;,&quot;non-dropping-particle&quot;:&quot;&quot;},{&quot;family&quot;:&quot;Majone&quot;,&quot;given&quot;:&quot;Mauro&quot;,&quot;parse-names&quot;:false,&quot;dropping-particle&quot;:&quot;&quot;,&quot;non-dropping-particle&quot;:&quot;&quot;},{&quot;family&quot;:&quot;Villano&quot;,&quot;given&quot;:&quot;Marianna&quot;,&quot;parse-names&quot;:false,&quot;dropping-particle&quot;:&quot;&quot;,&quot;non-dropping-particle&quot;:&quot;&quot;}],&quot;container-title&quot;:&quot;Chemical Engineering Transactions&quot;,&quot;DOI&quot;:&quot;10.3303/CET2293038&quot;,&quot;ISSN&quot;:&quot;22839216&quot;,&quot;issued&quot;:{&quot;date-parts&quot;:[[2022]]},&quot;page&quot;:&quot;223-228&quot;,&quot;abstract&quot;:&quot;In recent years there has been a growing interest in the potential use of autotrophic acetogenic bacteria to produce compounds of interest through CO2 fixation, representing an alternative solution to currently used CO2 storage technologies. This group of microorganisms are ubiquitous in nature and they are characterised by a Wood-Ljungdahl pathway that combines CO2 fixation with adenosine triphosphate (ATP) synthesis by using H2 as electron donor. In this work the autotrophic production of acetate by a pure colture of Acetobacterium woodii has been tested under hydrogenophilic or bioelectrochemical conditions. More in details, the hydrogenophilic tests were conducted at two different pH values (5.5 and 7.5) with an H2 partial pressure of 0.52 atm, while bioelectrochemical tests were performed at an applied cathodic potential of -0.90 V vs. SHE (Standard Hydrogen Electrode). The bioelectrochemical tests were set up in H-type reactors (250 mL), in which graphite rods were used as electrodic material and an anion exchange membrane served to separate the anodic and cathodic chambers while allowing anions migration for electroneutrality maintenance. The hydrogenophilic tests resulted in different kinetics depending on the applied pH value. The bioelectrochemical tests, performed at a pH value of 7.5, reached an acetate production rate 2 times higher than in the hydrogenophilic experiments at pH 7.5, as well as an increase in the efficiency of using the reducing power, suggesting an improvement in hydrogen uptake. At pH 5.5, on the other hand, production is improved by increasing the partial pressure of H2 operates under mild conditions. Biological transformation is possible through photosynthetic and non-photosynthetic fixation. Photosynthetic fixation is subject to photoinhibition and strictly depends on the day/night cycle and weather conditions, therefore it requires artificial lighting with increased production costs (Blanken et al., 2013). Non-photosynthetic fixation, on the other hand, has the advantages of operating in mild conditions (Salehizadeh et al., 2020). In fact, the production of ethanol, formate, butyrate, butanol and 2,3-butanediol has been reported (Lee et al., 2012). However, the most common products are methane and acetate, produced from methanogens and acetogens, respectively. Acetogens are interesting for the high acetate production from the reduction of CO2 through the Wood-Ljungdahl pathway, using H2 as an electron donor. A detailed review of acetogens and their metabolism is reported (Drake et al., 2008). A new perspective of using these organisms implement them in electrosynthesis cells (MES), in which a bioelectrode (cathode) is used to provide electrons for CO2 reduction. This technology is based on the ability of some bacteria to interact directly with the electrode as an electron donor (Bajracharya et al., 2017). High level of hydrogenophilic acetate can be produced by Acetobacterium woodii starting from H2 and CO2 as substrates (Balch et al., 1977). A. woodii is a strictly anaerobic, non-spore forming bacterium, which grows well at moderate temperatures of about 30°C. A. woodii is the most studied and characterized bacterium, especially regarding the conservation of energy (Hess et al., 2013). But the possibility of A. woodii to produce acetate in a bioelectrochemical system has not been studied in depth. A. woodii's inability to use direct current has been reported(Nevin et al., 2011), however, it could synthesize acetate using hydrogen produced directly from the electrode. This could overcome the limits of low H2 transfer in the aqueous phase. Several studies have shown that A. woodii is often dominant in the microbial community in CO2 reduction processes in bioelectrochemical systems for microbial electrosynthesis (Hou et al., 2006; Marshall et al., 2012). In this study, the hydrogenophilic productions of acetate through a pure culture of A. woodii under both hydrogenophilic and bioelectrochemical conditions were compared. Furthermore, hydrogenophilic production was tested at two pH levels, 7.5 and 5.5.&quot;,&quot;publisher&quot;:&quot;Italian Association of Chemical Engineering - AIDIC&quot;,&quot;volume&quot;:&quot;93&quot;,&quot;container-title-short&quot;:&quot;Chem Eng Trans&quot;},&quot;isTemporary&quot;:false}]},{&quot;citationID&quot;:&quot;MENDELEY_CITATION_c50420f7-1698-4bb6-a328-57a64ec60e55&quot;,&quot;properties&quot;:{&quot;noteIndex&quot;:0},&quot;isEdited&quot;:false,&quot;manualOverride&quot;:{&quot;isManuallyOverridden&quot;:false,&quot;citeprocText&quot;:&quot;(Straub et al., 2014)&quot;,&quot;manualOverrideText&quot;:&quot;&quot;},&quot;citationTag&quot;:&quot;MENDELEY_CITATION_v3_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&quot;,&quot;citationItems&quot;:[{&quot;id&quot;:&quot;7338c0fb-bce7-3210-b124-196746eb7797&quot;,&quot;itemData&quot;:{&quot;type&quot;:&quot;article-journal&quot;,&quot;id&quot;:&quot;7338c0fb-bce7-3210-b124-196746eb7797&quot;,&quot;title&quot;:&quot;Selective enhancement of autotrophic acetate production with genetically modified Acetobacterium woodii&quot;,&quot;author&quot;:[{&quot;family&quot;:&quot;Straub&quot;,&quot;given&quot;:&quot;Melanie&quot;,&quot;parse-names&quot;:false,&quot;dropping-particle&quot;:&quot;&quot;,&quot;non-dropping-particle&quot;:&quot;&quot;},{&quot;family&quot;:&quot;Demler&quot;,&quot;given&quot;:&quot;Martin&quot;,&quot;parse-names&quot;:false,&quot;dropping-particle&quot;:&quot;&quot;,&quot;non-dropping-particle&quot;:&quot;&quot;},{&quot;family&quot;:&quot;Weuster-Botz&quot;,&quot;given&quot;:&quot;Dirk&quot;,&quot;parse-names&quot;:false,&quot;dropping-particle&quot;:&quot;&quot;,&quot;non-dropping-particle&quot;:&quot;&quot;},{&quot;family&quot;:&quot;Dürre&quot;,&quot;given&quot;:&quot;Peter&quot;,&quot;parse-names&quot;:false,&quot;dropping-particle&quot;:&quot;&quot;,&quot;non-dropping-particle&quot;:&quot;&quot;}],&quot;container-title&quot;:&quot;Journal of Biotechnology&quot;,&quot;container-title-short&quot;:&quot;J Biotechnol&quot;,&quot;DOI&quot;:&quot;10.1016/j.jbiotec.2014.03.005&quot;,&quot;ISSN&quot;:&quot;18734863&quot;,&quot;PMID&quot;:&quot;24637370&quot;,&quot;issued&quot;:{&quot;date-parts&quot;:[[2014,5,20]]},&quot;page&quot;:&quot;67-72&quot;,&quot;abstract&quot;:&quot;Great interest has emerged in the recent past towards the potential of autotrophic acetogenic bacteria for the sustainable production of fuels and chemicals. This group of microorganisms possesses an ancient pathway for the fixation of carbon dioxide in the presence of hydrogen, making them highly attractive for the utilization of gas mixtures as a cheap and abundant carbon and energy source. As more and more genome sequence data of acetogens becomes available, the genetic tools are being developed concomitantly. Here, we demonstrate for the first time the genetic modification of the well-characterized acetogen Acetobacterium woodii. This microorganism selectively produces acetate under autotrophic conditions, but seems to be limited at high acetate concentrations. To increase the carbon flow through the Wood-Ljungdahl pathway and therefore increase the efficiency of CO2 fixation, genes of enzyme groups of this pathway were selectively overexpressed (the four THF-dependent enzymes for the processing of formate as well as phosphotransacetylase and acetate kinase to enhance an ATP-generation step). Acetate production with genetically modified strains was increased in a batch process under pH-controlled reaction conditions in a stirred-tank reactor with continuous sparging of H2 and CO2. Final acetate concentrations of more than 50gL-1 acetate were thus measured with the recombinant strains at low cell concentrations of 1.5-2gL-1 dry cell mass in less than four days under autotrophic conditions. © 2014 Elsevier B.V.&quot;,&quot;publisher&quot;:&quot;Elsevier&quot;,&quot;issue&quot;:&quot;1&quot;,&quot;volume&quot;:&quot;178&quot;},&quot;isTemporary&quot;:false}]},{&quot;citationID&quot;:&quot;MENDELEY_CITATION_840f1f11-86bc-4d2b-961e-4180c2a3511f&quot;,&quot;properties&quot;:{&quot;noteIndex&quot;:0},&quot;isEdited&quot;:false,&quot;manualOverride&quot;:{&quot;isManuallyOverridden&quot;:false,&quot;citeprocText&quot;:&quot;(Ferretti et al., 2022)&quot;,&quot;manualOverrideText&quot;:&quot;&quot;},&quot;citationTag&quot;:&quot;MENDELEY_CITATION_v3_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&quot;,&quot;citationItems&quot;:[{&quot;id&quot;:&quot;f28218b2-7d06-3133-a9e8-eb2275769bc5&quot;,&quot;itemData&quot;:{&quot;type&quot;:&quot;article-journal&quot;,&quot;id&quot;:&quot;f28218b2-7d06-3133-a9e8-eb2275769bc5&quot;,&quot;title&quot;:&quot;Hydrogenophilic and Bioelectrochemical Production of Acetate with a Pure Culture of Acetobacterium Woodii&quot;,&quot;author&quot;:[{&quot;family&quot;:&quot;Ferretti&quot;,&quot;given&quot;:&quot;Jacopo&quot;,&quot;parse-names&quot;:false,&quot;dropping-particle&quot;:&quot;&quot;,&quot;non-dropping-particle&quot;:&quot;&quot;},{&quot;family&quot;:&quot;Zeppilli&quot;,&quot;given&quot;:&quot;Marco&quot;,&quot;parse-names&quot;:false,&quot;dropping-particle&quot;:&quot;&quot;,&quot;non-dropping-particle&quot;:&quot;&quot;},{&quot;family&quot;:&quot;Cristiani&quot;,&quot;given&quot;:&quot;Lorenzo&quot;,&quot;parse-names&quot;:false,&quot;dropping-particle&quot;:&quot;&quot;,&quot;non-dropping-particle&quot;:&quot;&quot;},{&quot;family&quot;:&quot;Majone&quot;,&quot;given&quot;:&quot;Mauro&quot;,&quot;parse-names&quot;:false,&quot;dropping-particle&quot;:&quot;&quot;,&quot;non-dropping-particle&quot;:&quot;&quot;},{&quot;family&quot;:&quot;Villano&quot;,&quot;given&quot;:&quot;Marianna&quot;,&quot;parse-names&quot;:false,&quot;dropping-particle&quot;:&quot;&quot;,&quot;non-dropping-particle&quot;:&quot;&quot;}],&quot;container-title&quot;:&quot;Chemical Engineering Transactions&quot;,&quot;DOI&quot;:&quot;10.3303/CET2293038&quot;,&quot;ISSN&quot;:&quot;22839216&quot;,&quot;issued&quot;:{&quot;date-parts&quot;:[[2022]]},&quot;page&quot;:&quot;223-228&quot;,&quot;abstract&quot;:&quot;In recent years there has been a growing interest in the potential use of autotrophic acetogenic bacteria to produce compounds of interest through CO2 fixation, representing an alternative solution to currently used CO2 storage technologies. This group of microorganisms are ubiquitous in nature and they are characterised by a Wood-Ljungdahl pathway that combines CO2 fixation with adenosine triphosphate (ATP) synthesis by using H2 as electron donor. In this work the autotrophic production of acetate by a pure colture of Acetobacterium woodii has been tested under hydrogenophilic or bioelectrochemical conditions. More in details, the hydrogenophilic tests were conducted at two different pH values (5.5 and 7.5) with an H2 partial pressure of 0.52 atm, while bioelectrochemical tests were performed at an applied cathodic potential of -0.90 V vs. SHE (Standard Hydrogen Electrode). The bioelectrochemical tests were set up in H-type reactors (250 mL), in which graphite rods were used as electrodic material and an anion exchange membrane served to separate the anodic and cathodic chambers while allowing anions migration for electroneutrality maintenance. The hydrogenophilic tests resulted in different kinetics depending on the applied pH value. The bioelectrochemical tests, performed at a pH value of 7.5, reached an acetate production rate 2 times higher than in the hydrogenophilic experiments at pH 7.5, as well as an increase in the efficiency of using the reducing power, suggesting an improvement in hydrogen uptake. At pH 5.5, on the other hand, production is improved by increasing the partial pressure of H2 operates under mild conditions. Biological transformation is possible through photosynthetic and non-photosynthetic fixation. Photosynthetic fixation is subject to photoinhibition and strictly depends on the day/night cycle and weather conditions, therefore it requires artificial lighting with increased production costs (Blanken et al., 2013). Non-photosynthetic fixation, on the other hand, has the advantages of operating in mild conditions (Salehizadeh et al., 2020). In fact, the production of ethanol, formate, butyrate, butanol and 2,3-butanediol has been reported (Lee et al., 2012). However, the most common products are methane and acetate, produced from methanogens and acetogens, respectively. Acetogens are interesting for the high acetate production from the reduction of CO2 through the Wood-Ljungdahl pathway, using H2 as an electron donor. A detailed review of acetogens and their metabolism is reported (Drake et al., 2008). A new perspective of using these organisms implement them in electrosynthesis cells (MES), in which a bioelectrode (cathode) is used to provide electrons for CO2 reduction. This technology is based on the ability of some bacteria to interact directly with the electrode as an electron donor (Bajracharya et al., 2017). High level of hydrogenophilic acetate can be produced by Acetobacterium woodii starting from H2 and CO2 as substrates (Balch et al., 1977). A. woodii is a strictly anaerobic, non-spore forming bacterium, which grows well at moderate temperatures of about 30°C. A. woodii is the most studied and characterized bacterium, especially regarding the conservation of energy (Hess et al., 2013). But the possibility of A. woodii to produce acetate in a bioelectrochemical system has not been studied in depth. A. woodii's inability to use direct current has been reported(Nevin et al., 2011), however, it could synthesize acetate using hydrogen produced directly from the electrode. This could overcome the limits of low H2 transfer in the aqueous phase. Several studies have shown that A. woodii is often dominant in the microbial community in CO2 reduction processes in bioelectrochemical systems for microbial electrosynthesis (Hou et al., 2006; Marshall et al., 2012). In this study, the hydrogenophilic productions of acetate through a pure culture of A. woodii under both hydrogenophilic and bioelectrochemical conditions were compared. Furthermore, hydrogenophilic production was tested at two pH levels, 7.5 and 5.5.&quot;,&quot;publisher&quot;:&quot;Italian Association of Chemical Engineering - AIDIC&quot;,&quot;volume&quot;:&quot;93&quot;,&quot;container-title-short&quot;:&quot;Chem Eng Trans&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E646-0AD7-4DA7-A3A8-7678E598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2828</Words>
  <Characters>16123</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Marco Zeppilli</cp:lastModifiedBy>
  <cp:revision>2</cp:revision>
  <cp:lastPrinted>2015-05-12T18:31:00Z</cp:lastPrinted>
  <dcterms:created xsi:type="dcterms:W3CDTF">2023-04-13T13:17:00Z</dcterms:created>
  <dcterms:modified xsi:type="dcterms:W3CDTF">2023-04-13T13:17:00Z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