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3708DC">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A8EB877"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D0951">
              <w:rPr>
                <w:rFonts w:cs="Arial"/>
                <w:b/>
                <w:bCs/>
                <w:i/>
                <w:iCs/>
                <w:color w:val="000066"/>
                <w:sz w:val="22"/>
                <w:szCs w:val="22"/>
                <w:lang w:eastAsia="it-IT"/>
              </w:rPr>
              <w:t>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7D0951">
              <w:rPr>
                <w:rFonts w:cs="Arial"/>
                <w:b/>
                <w:bCs/>
                <w:i/>
                <w:iCs/>
                <w:color w:val="000066"/>
                <w:sz w:val="22"/>
                <w:szCs w:val="22"/>
                <w:lang w:eastAsia="it-IT"/>
              </w:rPr>
              <w:t>YYYY</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3708DC">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3708DC">
        <w:trPr>
          <w:trHeight w:val="68"/>
          <w:jc w:val="center"/>
        </w:trPr>
        <w:tc>
          <w:tcPr>
            <w:tcW w:w="8782" w:type="dxa"/>
            <w:gridSpan w:val="2"/>
          </w:tcPr>
          <w:p w14:paraId="4B0BB442" w14:textId="56E3C32D" w:rsidR="00300E56" w:rsidRPr="00930F75" w:rsidRDefault="00300E56" w:rsidP="00B57E6F">
            <w:pPr>
              <w:ind w:left="-107"/>
              <w:outlineLvl w:val="2"/>
              <w:rPr>
                <w:rFonts w:ascii="Tahoma" w:hAnsi="Tahoma" w:cs="Tahoma"/>
                <w:bCs/>
                <w:color w:val="000000"/>
                <w:sz w:val="14"/>
                <w:szCs w:val="14"/>
                <w:lang w:eastAsia="it-IT"/>
              </w:rPr>
            </w:pPr>
            <w:r w:rsidRPr="00930F75">
              <w:rPr>
                <w:rFonts w:ascii="Tahoma" w:hAnsi="Tahoma" w:cs="Tahoma"/>
                <w:iCs/>
                <w:color w:val="333333"/>
                <w:sz w:val="14"/>
                <w:szCs w:val="14"/>
                <w:lang w:eastAsia="it-IT"/>
              </w:rPr>
              <w:t>Guest Editors:</w:t>
            </w:r>
            <w:r w:rsidR="001D21AF" w:rsidRPr="00930F75">
              <w:rPr>
                <w:rFonts w:ascii="Tahoma" w:hAnsi="Tahoma" w:cs="Tahoma"/>
                <w:color w:val="000000"/>
                <w:sz w:val="14"/>
                <w:szCs w:val="14"/>
                <w:shd w:val="clear" w:color="auto" w:fill="FFFFFF"/>
              </w:rPr>
              <w:t xml:space="preserve"> </w:t>
            </w:r>
            <w:proofErr w:type="spellStart"/>
            <w:r w:rsidR="007D0951" w:rsidRPr="00930F75">
              <w:rPr>
                <w:sz w:val="14"/>
                <w:szCs w:val="14"/>
              </w:rPr>
              <w:t>xxxxxxxxx</w:t>
            </w:r>
            <w:proofErr w:type="spellEnd"/>
          </w:p>
          <w:p w14:paraId="1B0F1814" w14:textId="2FD273EB"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7D0951">
              <w:rPr>
                <w:rFonts w:ascii="Tahoma" w:hAnsi="Tahoma" w:cs="Tahoma"/>
                <w:iCs/>
                <w:color w:val="333333"/>
                <w:sz w:val="14"/>
                <w:szCs w:val="14"/>
                <w:lang w:eastAsia="it-IT"/>
              </w:rPr>
              <w:t>3</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0562A9" w:rsidRPr="000562A9">
              <w:rPr>
                <w:rFonts w:ascii="Tahoma" w:hAnsi="Tahoma" w:cs="Tahoma"/>
                <w:sz w:val="14"/>
                <w:szCs w:val="14"/>
              </w:rPr>
              <w:t>979-12-81206</w:t>
            </w:r>
            <w:r w:rsidR="00D46B7E">
              <w:rPr>
                <w:rFonts w:ascii="Tahoma" w:hAnsi="Tahoma" w:cs="Tahoma"/>
                <w:sz w:val="14"/>
                <w:szCs w:val="14"/>
              </w:rPr>
              <w:t>-</w:t>
            </w:r>
            <w:r w:rsidR="007D0951">
              <w:rPr>
                <w:rFonts w:ascii="Tahoma" w:hAnsi="Tahoma" w:cs="Tahoma"/>
                <w:sz w:val="14"/>
                <w:szCs w:val="14"/>
              </w:rPr>
              <w:t>xx-y</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2E667253" w14:textId="20CC690B" w:rsidR="00E978D0" w:rsidRPr="00B57B36" w:rsidRDefault="00511012" w:rsidP="00511012">
      <w:pPr>
        <w:pStyle w:val="CETTitle"/>
        <w:jc w:val="both"/>
      </w:pPr>
      <w:r>
        <w:t xml:space="preserve">Catalytic </w:t>
      </w:r>
      <w:r w:rsidR="003708DC" w:rsidRPr="003708DC">
        <w:t xml:space="preserve">Steam </w:t>
      </w:r>
      <w:r w:rsidR="00DD0B91">
        <w:t>Hydrolysis</w:t>
      </w:r>
      <w:r w:rsidR="003708DC" w:rsidRPr="003708DC">
        <w:t xml:space="preserve"> of</w:t>
      </w:r>
      <w:r>
        <w:t xml:space="preserve"> </w:t>
      </w:r>
      <w:r w:rsidR="003708DC" w:rsidRPr="003708DC">
        <w:t xml:space="preserve">Polyethylene Terephthalate </w:t>
      </w:r>
      <w:r>
        <w:t xml:space="preserve">to </w:t>
      </w:r>
      <w:r w:rsidR="003708DC" w:rsidRPr="003708DC">
        <w:t>Terephthalic Acid followed by Repolymerisation</w:t>
      </w:r>
    </w:p>
    <w:p w14:paraId="0488FED2" w14:textId="01AA646D" w:rsidR="00B57E6F" w:rsidRPr="003708DC" w:rsidRDefault="003708DC" w:rsidP="00B57E6F">
      <w:pPr>
        <w:pStyle w:val="CETAuthors"/>
      </w:pPr>
      <w:r>
        <w:t>Hubertus Warsahartana</w:t>
      </w:r>
      <w:r w:rsidR="00B57E6F" w:rsidRPr="00B57B36">
        <w:rPr>
          <w:vertAlign w:val="superscript"/>
        </w:rPr>
        <w:t>a</w:t>
      </w:r>
      <w:r>
        <w:rPr>
          <w:vertAlign w:val="superscript"/>
        </w:rPr>
        <w:t>,</w:t>
      </w:r>
      <w:r>
        <w:t>*</w:t>
      </w:r>
      <w:r w:rsidR="00B57E6F" w:rsidRPr="00B57B36">
        <w:t xml:space="preserve">, </w:t>
      </w:r>
      <w:r>
        <w:t>Abdulrahman Bashir</w:t>
      </w:r>
      <w:r>
        <w:rPr>
          <w:vertAlign w:val="superscript"/>
        </w:rPr>
        <w:t>b</w:t>
      </w:r>
      <w:r w:rsidR="00B57E6F" w:rsidRPr="00B57B36">
        <w:t xml:space="preserve">, </w:t>
      </w:r>
      <w:r>
        <w:t>Adam Keyworth</w:t>
      </w:r>
      <w:r>
        <w:rPr>
          <w:vertAlign w:val="superscript"/>
        </w:rPr>
        <w:t>a</w:t>
      </w:r>
      <w:r>
        <w:t>, Ryan Davies</w:t>
      </w:r>
      <w:r>
        <w:rPr>
          <w:vertAlign w:val="superscript"/>
        </w:rPr>
        <w:t>a</w:t>
      </w:r>
      <w:r>
        <w:t>, Marta Falkowska</w:t>
      </w:r>
      <w:r>
        <w:rPr>
          <w:vertAlign w:val="superscript"/>
        </w:rPr>
        <w:t>a</w:t>
      </w:r>
      <w:r>
        <w:t>, Edidiong Asuquo</w:t>
      </w:r>
      <w:r>
        <w:rPr>
          <w:vertAlign w:val="superscript"/>
        </w:rPr>
        <w:t>a</w:t>
      </w:r>
      <w:r>
        <w:t>, Stephen Edmondson</w:t>
      </w:r>
      <w:r>
        <w:rPr>
          <w:vertAlign w:val="superscript"/>
        </w:rPr>
        <w:t>b</w:t>
      </w:r>
      <w:r>
        <w:t>, Arthur Garforth</w:t>
      </w:r>
      <w:r>
        <w:rPr>
          <w:vertAlign w:val="superscript"/>
        </w:rPr>
        <w:t>a</w:t>
      </w:r>
    </w:p>
    <w:p w14:paraId="6B2D21B3" w14:textId="7551C476" w:rsidR="00B57E6F" w:rsidRPr="00B57B36" w:rsidRDefault="00B57E6F" w:rsidP="00B57E6F">
      <w:pPr>
        <w:pStyle w:val="CETAddress"/>
      </w:pPr>
      <w:r w:rsidRPr="00B57B36">
        <w:rPr>
          <w:vertAlign w:val="superscript"/>
        </w:rPr>
        <w:t>a</w:t>
      </w:r>
      <w:r w:rsidR="003708DC">
        <w:t>Department of Chemical Engineering, The University of Manchester, Manchester, M13 9PL, UK</w:t>
      </w:r>
      <w:r w:rsidRPr="00B57B36">
        <w:t xml:space="preserve"> </w:t>
      </w:r>
    </w:p>
    <w:p w14:paraId="3D72B0B0" w14:textId="4D7589E3" w:rsidR="00B57E6F" w:rsidRPr="00B57B36" w:rsidRDefault="00B57E6F" w:rsidP="00B57E6F">
      <w:pPr>
        <w:pStyle w:val="CETAddress"/>
      </w:pPr>
      <w:r w:rsidRPr="00B57B36">
        <w:rPr>
          <w:vertAlign w:val="superscript"/>
        </w:rPr>
        <w:t>b</w:t>
      </w:r>
      <w:r w:rsidR="003708DC">
        <w:t>Department of Materials, The University of Manchester, Manchester, M13 9PL, UK</w:t>
      </w:r>
      <w:r w:rsidR="003708DC" w:rsidRPr="00B57B36">
        <w:t xml:space="preserve"> </w:t>
      </w:r>
      <w:r w:rsidRPr="00B57B36">
        <w:t xml:space="preserve"> </w:t>
      </w:r>
    </w:p>
    <w:p w14:paraId="73F1267A" w14:textId="6E1016E1" w:rsidR="00B57E6F" w:rsidRPr="00B57B36" w:rsidRDefault="00B57E6F" w:rsidP="00B57E6F">
      <w:pPr>
        <w:pStyle w:val="CETemail"/>
      </w:pPr>
      <w:r>
        <w:t xml:space="preserve"> </w:t>
      </w:r>
      <w:r w:rsidR="003708DC">
        <w:t>hubertus.warsahartana@manchester.ac.uk</w:t>
      </w:r>
    </w:p>
    <w:p w14:paraId="736D6EAF" w14:textId="0FE4A08E" w:rsidR="00DB6EE9" w:rsidRDefault="00DB6EE9" w:rsidP="00600535">
      <w:pPr>
        <w:pStyle w:val="CETBodytext"/>
        <w:rPr>
          <w:lang w:val="en-GB"/>
        </w:rPr>
      </w:pPr>
      <w:r w:rsidRPr="00DB6EE9">
        <w:rPr>
          <w:lang w:val="en-GB"/>
        </w:rPr>
        <w:t>A novel industrial cleaning process (</w:t>
      </w:r>
      <w:r w:rsidR="004840C0">
        <w:rPr>
          <w:lang w:val="en-GB"/>
        </w:rPr>
        <w:t xml:space="preserve">DEECOM®, </w:t>
      </w:r>
      <w:r w:rsidRPr="00DB6EE9">
        <w:rPr>
          <w:lang w:val="en-GB"/>
        </w:rPr>
        <w:t>B&amp;M Longworth</w:t>
      </w:r>
      <w:r w:rsidR="000B20E1">
        <w:rPr>
          <w:lang w:val="en-GB"/>
        </w:rPr>
        <w:t>, Blackburn</w:t>
      </w:r>
      <w:r w:rsidRPr="00DB6EE9">
        <w:rPr>
          <w:lang w:val="en-GB"/>
        </w:rPr>
        <w:t>) hydrolyses polyethylene terephthalate (PET) on contaminated filters using superheated steam at elevated temperature and pressure</w:t>
      </w:r>
      <w:r>
        <w:rPr>
          <w:lang w:val="en-GB"/>
        </w:rPr>
        <w:t xml:space="preserve"> (300</w:t>
      </w:r>
      <w:r>
        <w:rPr>
          <w:rFonts w:cs="Arial"/>
          <w:lang w:val="en-GB"/>
        </w:rPr>
        <w:t>°</w:t>
      </w:r>
      <w:r>
        <w:rPr>
          <w:lang w:val="en-GB"/>
        </w:rPr>
        <w:t>C and 3 barg)</w:t>
      </w:r>
      <w:r w:rsidRPr="00DB6EE9">
        <w:rPr>
          <w:lang w:val="en-GB"/>
        </w:rPr>
        <w:t>. The technology is being adapted to depolymerise waste textiles</w:t>
      </w:r>
      <w:r>
        <w:rPr>
          <w:lang w:val="en-GB"/>
        </w:rPr>
        <w:t>.</w:t>
      </w:r>
      <w:r w:rsidRPr="00DB6EE9">
        <w:rPr>
          <w:lang w:val="en-GB"/>
        </w:rPr>
        <w:t xml:space="preserve"> </w:t>
      </w:r>
      <w:r>
        <w:rPr>
          <w:lang w:val="en-GB"/>
        </w:rPr>
        <w:t>T</w:t>
      </w:r>
      <w:r w:rsidRPr="00DB6EE9">
        <w:rPr>
          <w:lang w:val="en-GB"/>
        </w:rPr>
        <w:t>his study</w:t>
      </w:r>
      <w:r>
        <w:rPr>
          <w:lang w:val="en-GB"/>
        </w:rPr>
        <w:t xml:space="preserve"> first involved an assessment of the current large</w:t>
      </w:r>
      <w:r w:rsidR="009E4167">
        <w:rPr>
          <w:lang w:val="en-GB"/>
        </w:rPr>
        <w:t>-</w:t>
      </w:r>
      <w:r>
        <w:rPr>
          <w:lang w:val="en-GB"/>
        </w:rPr>
        <w:t xml:space="preserve">scale cleaning process’ PET conversion and yield of terephthalic acid (TPA). Then a </w:t>
      </w:r>
      <w:r w:rsidRPr="00DB6EE9">
        <w:rPr>
          <w:lang w:val="en-GB"/>
        </w:rPr>
        <w:t>zinc chloride homogenous catalyst</w:t>
      </w:r>
      <w:r>
        <w:rPr>
          <w:lang w:val="en-GB"/>
        </w:rPr>
        <w:t>,</w:t>
      </w:r>
      <w:r w:rsidRPr="00DB6EE9">
        <w:rPr>
          <w:lang w:val="en-GB"/>
        </w:rPr>
        <w:t xml:space="preserve"> and</w:t>
      </w:r>
      <w:r w:rsidR="009E4167">
        <w:rPr>
          <w:lang w:val="en-GB"/>
        </w:rPr>
        <w:t xml:space="preserve">, </w:t>
      </w:r>
      <w:r w:rsidRPr="00DB6EE9">
        <w:rPr>
          <w:lang w:val="en-GB"/>
        </w:rPr>
        <w:t>zinc and platinum loaded zeolite beta</w:t>
      </w:r>
      <w:r w:rsidR="005F3060" w:rsidRPr="005F3060">
        <w:rPr>
          <w:lang w:val="en-GB"/>
        </w:rPr>
        <w:t xml:space="preserve"> </w:t>
      </w:r>
      <w:r w:rsidR="005F3060" w:rsidRPr="00DB6EE9">
        <w:rPr>
          <w:lang w:val="en-GB"/>
        </w:rPr>
        <w:t xml:space="preserve">heterogeneous catalysts, </w:t>
      </w:r>
      <w:r>
        <w:rPr>
          <w:lang w:val="en-GB"/>
        </w:rPr>
        <w:t xml:space="preserve"> were investigated using a laboratory-scale autoclave reactor to mimic the process</w:t>
      </w:r>
      <w:r w:rsidRPr="00DB6EE9">
        <w:rPr>
          <w:lang w:val="en-GB"/>
        </w:rPr>
        <w:t>. In addition, the industrial waste stream of crude terephthalic acid (TPA) was then purified, repolymeri</w:t>
      </w:r>
      <w:r w:rsidR="00C66039">
        <w:rPr>
          <w:lang w:val="en-GB"/>
        </w:rPr>
        <w:t>s</w:t>
      </w:r>
      <w:r w:rsidRPr="00DB6EE9">
        <w:rPr>
          <w:lang w:val="en-GB"/>
        </w:rPr>
        <w:t>ed into PET via the dimethyl terephthalate (DMT) synthesis route, characteri</w:t>
      </w:r>
      <w:r w:rsidR="00C66039">
        <w:rPr>
          <w:lang w:val="en-GB"/>
        </w:rPr>
        <w:t>s</w:t>
      </w:r>
      <w:r w:rsidRPr="00DB6EE9">
        <w:rPr>
          <w:lang w:val="en-GB"/>
        </w:rPr>
        <w:t>ed and compared with commercial PET</w:t>
      </w:r>
      <w:r>
        <w:rPr>
          <w:lang w:val="en-GB"/>
        </w:rPr>
        <w:t xml:space="preserve"> data</w:t>
      </w:r>
      <w:r w:rsidRPr="00DB6EE9">
        <w:rPr>
          <w:lang w:val="en-GB"/>
        </w:rPr>
        <w:t xml:space="preserve">. </w:t>
      </w:r>
      <w:r>
        <w:rPr>
          <w:lang w:val="en-GB"/>
        </w:rPr>
        <w:t>Characteri</w:t>
      </w:r>
      <w:r w:rsidR="000C1E90">
        <w:rPr>
          <w:lang w:val="en-GB"/>
        </w:rPr>
        <w:t>s</w:t>
      </w:r>
      <w:r>
        <w:rPr>
          <w:lang w:val="en-GB"/>
        </w:rPr>
        <w:t>ation methods of the repolymeri</w:t>
      </w:r>
      <w:r w:rsidR="00B172A6">
        <w:rPr>
          <w:lang w:val="en-GB"/>
        </w:rPr>
        <w:t>s</w:t>
      </w:r>
      <w:r>
        <w:rPr>
          <w:lang w:val="en-GB"/>
        </w:rPr>
        <w:t xml:space="preserve">ed PET include DSC, TGA, GPC. </w:t>
      </w:r>
      <w:r w:rsidRPr="00DB6EE9">
        <w:rPr>
          <w:lang w:val="en-GB"/>
        </w:rPr>
        <w:t>While still a work in progress, this shows proof-of-concept in terms of closing the loop and moving to a circular economy.</w:t>
      </w:r>
    </w:p>
    <w:p w14:paraId="476B2F2E" w14:textId="77777777" w:rsidR="00600535" w:rsidRPr="00B57B36" w:rsidRDefault="00600535" w:rsidP="00600535">
      <w:pPr>
        <w:pStyle w:val="CETHeading1"/>
        <w:rPr>
          <w:lang w:val="en-GB"/>
        </w:rPr>
      </w:pPr>
      <w:r w:rsidRPr="00B57B36">
        <w:rPr>
          <w:lang w:val="en-GB"/>
        </w:rPr>
        <w:t>Introduction</w:t>
      </w:r>
    </w:p>
    <w:p w14:paraId="552BA8FD" w14:textId="6E9960B0" w:rsidR="00213C9E" w:rsidRDefault="00C678C1" w:rsidP="00E758AB">
      <w:pPr>
        <w:pStyle w:val="CETListbullets"/>
        <w:ind w:left="0" w:firstLine="0"/>
      </w:pPr>
      <w:r>
        <w:t>Synthetic p</w:t>
      </w:r>
      <w:r w:rsidR="00E758AB">
        <w:t xml:space="preserve">olymers have become an integral part of modern life due to their many customisable properties. </w:t>
      </w:r>
      <w:r>
        <w:t xml:space="preserve">However, many polymer applications are </w:t>
      </w:r>
      <w:r w:rsidR="000B20E1">
        <w:t>single use</w:t>
      </w:r>
      <w:r>
        <w:t>, meaning products are often landfilled. Th</w:t>
      </w:r>
      <w:r w:rsidR="00833ECC">
        <w:t>rough landfilling, th</w:t>
      </w:r>
      <w:r>
        <w:t>ese polymers are known to pollute the environmen</w:t>
      </w:r>
      <w:r w:rsidR="00EB31DE">
        <w:t xml:space="preserve">t, </w:t>
      </w:r>
      <w:r w:rsidR="00A359E0">
        <w:t xml:space="preserve">to the detriment of </w:t>
      </w:r>
      <w:r w:rsidR="00D61754">
        <w:t>both human and animal health</w:t>
      </w:r>
      <w:r w:rsidR="00033D63">
        <w:t>.</w:t>
      </w:r>
      <w:r w:rsidR="00D61754">
        <w:t xml:space="preserve"> (</w:t>
      </w:r>
      <w:r w:rsidR="003F7CE0">
        <w:t xml:space="preserve">Alabi et al., 2019) </w:t>
      </w:r>
      <w:r w:rsidR="00BD2F5D">
        <w:t>Mechanical recycling has found success in recirculating a variety of polymer waste streams, but continually reduces the value of the recycled polymer due to declines in crystallinity, molecular weight, colour quality, etc after each cycle.</w:t>
      </w:r>
      <w:r w:rsidR="007F3876">
        <w:t xml:space="preserve"> (Rodriguez et al., </w:t>
      </w:r>
      <w:r w:rsidR="004B3EEF">
        <w:t>2014)</w:t>
      </w:r>
      <w:r w:rsidR="00BD2F5D">
        <w:t xml:space="preserve"> </w:t>
      </w:r>
      <w:r w:rsidR="00E4180E">
        <w:t xml:space="preserve">Furthermore, contamination in mechanical recycling can present a significant challenge in re-extrusion. (Tocháček et al., 2021) </w:t>
      </w:r>
      <w:r w:rsidR="00BD2F5D">
        <w:t xml:space="preserve">Chemical recycling </w:t>
      </w:r>
      <w:r w:rsidR="00C6335F">
        <w:t>can return</w:t>
      </w:r>
      <w:r w:rsidR="00BD2F5D">
        <w:t xml:space="preserve"> the waste polymer to its original monomers for </w:t>
      </w:r>
      <w:r w:rsidR="009E4167">
        <w:t>re</w:t>
      </w:r>
      <w:r w:rsidR="00BD2F5D">
        <w:t>polymer</w:t>
      </w:r>
      <w:r w:rsidR="009E4167">
        <w:t xml:space="preserve">isation. </w:t>
      </w:r>
      <w:r w:rsidR="00CA25E7">
        <w:t>(Wang et al., 2022)</w:t>
      </w:r>
    </w:p>
    <w:p w14:paraId="46E6EB87" w14:textId="77777777" w:rsidR="008410F0" w:rsidRDefault="008410F0" w:rsidP="00E758AB">
      <w:pPr>
        <w:pStyle w:val="CETListbullets"/>
        <w:ind w:left="0" w:firstLine="0"/>
      </w:pPr>
    </w:p>
    <w:p w14:paraId="3995AD70" w14:textId="0236611E" w:rsidR="00A3664D" w:rsidRDefault="0054429C" w:rsidP="009E4167">
      <w:pPr>
        <w:pStyle w:val="CETListbullets"/>
        <w:keepNext/>
        <w:ind w:left="0" w:firstLine="0"/>
      </w:pPr>
      <w:r>
        <w:rPr>
          <w:noProof/>
        </w:rPr>
        <w:drawing>
          <wp:inline distT="0" distB="0" distL="0" distR="0" wp14:anchorId="7B386C13" wp14:editId="5A299523">
            <wp:extent cx="4704715" cy="1951061"/>
            <wp:effectExtent l="0" t="0" r="635"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0"/>
                    <a:stretch>
                      <a:fillRect/>
                    </a:stretch>
                  </pic:blipFill>
                  <pic:spPr>
                    <a:xfrm>
                      <a:off x="0" y="0"/>
                      <a:ext cx="4816171" cy="1997282"/>
                    </a:xfrm>
                    <a:prstGeom prst="rect">
                      <a:avLst/>
                    </a:prstGeom>
                  </pic:spPr>
                </pic:pic>
              </a:graphicData>
            </a:graphic>
          </wp:inline>
        </w:drawing>
      </w:r>
    </w:p>
    <w:p w14:paraId="720A3938" w14:textId="6ED17C95" w:rsidR="00A17DA1" w:rsidRDefault="00A3664D" w:rsidP="00A3664D">
      <w:pPr>
        <w:pStyle w:val="CETCaption"/>
      </w:pPr>
      <w:r>
        <w:t xml:space="preserve">Figure </w:t>
      </w:r>
      <w:r>
        <w:fldChar w:fldCharType="begin"/>
      </w:r>
      <w:r>
        <w:instrText xml:space="preserve"> SEQ Figure \* ARABIC </w:instrText>
      </w:r>
      <w:r>
        <w:fldChar w:fldCharType="separate"/>
      </w:r>
      <w:r w:rsidR="003709E4">
        <w:rPr>
          <w:noProof/>
        </w:rPr>
        <w:t>1</w:t>
      </w:r>
      <w:r>
        <w:fldChar w:fldCharType="end"/>
      </w:r>
      <w:r>
        <w:t>: Hydrolysis of PET, and potential non-oligomer products</w:t>
      </w:r>
    </w:p>
    <w:p w14:paraId="18E65ED1" w14:textId="77777777" w:rsidR="008410F0" w:rsidRDefault="008410F0" w:rsidP="008410F0">
      <w:pPr>
        <w:pStyle w:val="CETListbullets"/>
        <w:ind w:left="0" w:firstLine="0"/>
      </w:pPr>
      <w:r>
        <w:lastRenderedPageBreak/>
        <w:t xml:space="preserve">A novel cleaning process (DEECOM®, B&amp;M Longworth) for the removal of polymer from industrial components has been found to depolymerise polyethylene terephthalate (PET) into terephthalic acid (TPA) and ethylene glycol (EG), despite being </w:t>
      </w:r>
      <w:proofErr w:type="spellStart"/>
      <w:r>
        <w:t>unoptimised</w:t>
      </w:r>
      <w:proofErr w:type="spellEnd"/>
      <w:r>
        <w:t xml:space="preserve"> to do so. DEECOM® is a batch process in which the industrial component contaminated with polymer is suspended in a vessel and exposed to cycles of superheated steam compression and decompression. The high temperature melts the polymer and pulses of steam penetrates the porous components and pushes the polymer melts out. The polymer melt (including TPA if the polymer was PET) collects at the bottom of the vessel and is emptied after each run. In the typical conditions of DEECOM® (300 </w:t>
      </w:r>
      <w:r>
        <w:rPr>
          <w:rFonts w:cs="Arial"/>
        </w:rPr>
        <w:t>°</w:t>
      </w:r>
      <w:r>
        <w:t xml:space="preserve">C, 3 barg), the EG formed boils out of the reactor. It is condensed later in the process along with the constant steam flow, causing the EG to be highly diluted. Therefore, EG is not recovered at the current process. Sublimation of TPA occurs to a certain extent, but the sublimed TPA can be largely recovered via a cyclone after the reactor. </w:t>
      </w:r>
    </w:p>
    <w:p w14:paraId="6D70FD75" w14:textId="77777777" w:rsidR="008410F0" w:rsidRDefault="008410F0" w:rsidP="00E758AB">
      <w:pPr>
        <w:pStyle w:val="CETListbullets"/>
        <w:ind w:left="0" w:firstLine="0"/>
      </w:pPr>
    </w:p>
    <w:p w14:paraId="1B05D50A" w14:textId="37B31D1F" w:rsidR="00C4221F" w:rsidRDefault="00BA3BA0" w:rsidP="00E758AB">
      <w:pPr>
        <w:pStyle w:val="CETListbullets"/>
        <w:ind w:left="0" w:firstLine="0"/>
      </w:pPr>
      <w:r>
        <w:t xml:space="preserve">Due to the </w:t>
      </w:r>
      <w:r w:rsidR="00736A5E">
        <w:t>prevalence of polyester</w:t>
      </w:r>
      <w:r w:rsidR="005040F4">
        <w:t>’s use as face</w:t>
      </w:r>
      <w:r w:rsidR="00736A5E">
        <w:t xml:space="preserve"> fibres</w:t>
      </w:r>
      <w:r w:rsidR="005040F4">
        <w:t xml:space="preserve"> in carpets (approx. 60 wt% of total carpet), DEECOM</w:t>
      </w:r>
      <w:r w:rsidR="00590734">
        <w:t xml:space="preserve">® is being investigated as a solution to carpet waste through </w:t>
      </w:r>
      <w:r w:rsidR="001B3742">
        <w:t>the chemical recycling</w:t>
      </w:r>
      <w:r w:rsidR="00590734">
        <w:t xml:space="preserve"> of </w:t>
      </w:r>
      <w:r w:rsidR="009A49ED">
        <w:t xml:space="preserve">polyester fibres. </w:t>
      </w:r>
      <w:r w:rsidR="00FC498C">
        <w:t xml:space="preserve">Previous studies on DEECOM® have only focused on the recycling of carbon fibres </w:t>
      </w:r>
      <w:r w:rsidR="00344654">
        <w:t>and</w:t>
      </w:r>
      <w:r w:rsidR="00FC498C">
        <w:t xml:space="preserve"> composites, and</w:t>
      </w:r>
      <w:r w:rsidR="006954C2">
        <w:t xml:space="preserve"> no</w:t>
      </w:r>
      <w:r w:rsidR="00DD3BE7">
        <w:t xml:space="preserve"> formal</w:t>
      </w:r>
      <w:r w:rsidR="006954C2">
        <w:t xml:space="preserve"> studies have previously been conducted on DEECOM®</w:t>
      </w:r>
      <w:r w:rsidR="00FC498C">
        <w:t xml:space="preserve"> for the recycling of </w:t>
      </w:r>
      <w:r w:rsidR="00344654">
        <w:t>polymers. T</w:t>
      </w:r>
      <w:r w:rsidR="00DD3BE7">
        <w:t>his initial study aims to</w:t>
      </w:r>
      <w:r w:rsidR="00525736">
        <w:t xml:space="preserve"> first d</w:t>
      </w:r>
      <w:r w:rsidR="00525736" w:rsidRPr="00525736">
        <w:t>etermine the current extent of conversion of PET and yield to TPA of typical filters being cleaned in DEECOM®</w:t>
      </w:r>
      <w:r w:rsidR="00525736">
        <w:t xml:space="preserve">, assess </w:t>
      </w:r>
      <w:r w:rsidR="00F1657A">
        <w:t xml:space="preserve">the viability of catalyst use in neutral hydrolysis of PET, and </w:t>
      </w:r>
      <w:r w:rsidR="00C4221F">
        <w:t>whether crude TPA from DEECOM® can be purified and repolymerised to PET.</w:t>
      </w:r>
    </w:p>
    <w:p w14:paraId="5741900F" w14:textId="0D24D964" w:rsidR="00453E24" w:rsidRDefault="000C3B46" w:rsidP="00453E24">
      <w:pPr>
        <w:pStyle w:val="CETHeading1"/>
      </w:pPr>
      <w:r>
        <w:t xml:space="preserve">Materials and </w:t>
      </w:r>
      <w:r w:rsidR="000B20E1">
        <w:t>m</w:t>
      </w:r>
      <w:r>
        <w:t>ethods</w:t>
      </w:r>
    </w:p>
    <w:p w14:paraId="1583B115" w14:textId="74AD9943" w:rsidR="000E4598" w:rsidRDefault="002E3512" w:rsidP="00453E24">
      <w:pPr>
        <w:pStyle w:val="CETBodytext"/>
        <w:rPr>
          <w:lang w:val="en-GB"/>
        </w:rPr>
      </w:pPr>
      <w:r>
        <w:rPr>
          <w:lang w:val="en-GB"/>
        </w:rPr>
        <w:t xml:space="preserve">Reagent grade </w:t>
      </w:r>
      <w:r w:rsidR="00EA3E34">
        <w:rPr>
          <w:lang w:val="en-GB"/>
        </w:rPr>
        <w:t>hydrochloric acid solution</w:t>
      </w:r>
      <w:r>
        <w:rPr>
          <w:lang w:val="en-GB"/>
        </w:rPr>
        <w:t xml:space="preserve"> (37 vol%),</w:t>
      </w:r>
      <w:r w:rsidR="00EA3E34">
        <w:rPr>
          <w:lang w:val="en-GB"/>
        </w:rPr>
        <w:t xml:space="preserve"> sodium hydroxide</w:t>
      </w:r>
      <w:r>
        <w:rPr>
          <w:lang w:val="en-GB"/>
        </w:rPr>
        <w:t xml:space="preserve"> pellets and PET pellets (containing 30 wt% glass reinforcer) were supplied by Sigma Aldrich. PET fibres were supplied by a local carpet </w:t>
      </w:r>
      <w:r w:rsidR="005A333D">
        <w:rPr>
          <w:lang w:val="en-GB"/>
        </w:rPr>
        <w:t>manufacturer but</w:t>
      </w:r>
      <w:r>
        <w:rPr>
          <w:lang w:val="en-GB"/>
        </w:rPr>
        <w:t xml:space="preserve"> were produced by AYM syntax Ltd.</w:t>
      </w:r>
      <w:r w:rsidR="000C3B46">
        <w:rPr>
          <w:lang w:val="en-GB"/>
        </w:rPr>
        <w:t xml:space="preserve"> </w:t>
      </w:r>
      <w:r>
        <w:rPr>
          <w:lang w:val="en-GB"/>
        </w:rPr>
        <w:t xml:space="preserve">Zeolite beta </w:t>
      </w:r>
      <w:r w:rsidRPr="002E3512">
        <w:rPr>
          <w:lang w:val="en-GB"/>
        </w:rPr>
        <w:t>(product code – CP814E, Si/Al 12.50)</w:t>
      </w:r>
      <w:r>
        <w:rPr>
          <w:lang w:val="en-GB"/>
        </w:rPr>
        <w:t xml:space="preserve"> was purchased from Zeolyst International.</w:t>
      </w:r>
      <w:r w:rsidR="00D001FA">
        <w:rPr>
          <w:lang w:val="en-GB"/>
        </w:rPr>
        <w:t xml:space="preserve"> </w:t>
      </w:r>
      <w:r w:rsidR="00D001FA" w:rsidRPr="00D001FA">
        <w:rPr>
          <w:lang w:val="en-GB"/>
        </w:rPr>
        <w:t>Zinc nitrate hexahydrate</w:t>
      </w:r>
      <w:r w:rsidR="00396DD0">
        <w:rPr>
          <w:lang w:val="en-GB"/>
        </w:rPr>
        <w:t xml:space="preserve">, </w:t>
      </w:r>
      <w:r w:rsidR="00D001FA" w:rsidRPr="00D001FA">
        <w:rPr>
          <w:lang w:val="en-GB"/>
        </w:rPr>
        <w:t>tetraamineplatinum(II) chloride hydrate</w:t>
      </w:r>
      <w:r w:rsidR="00396DD0">
        <w:rPr>
          <w:lang w:val="en-GB"/>
        </w:rPr>
        <w:t xml:space="preserve">, methanol, EG, sulfuric acid, and zinc acetate dihydrate </w:t>
      </w:r>
      <w:r w:rsidR="00D001FA">
        <w:rPr>
          <w:lang w:val="en-GB"/>
        </w:rPr>
        <w:t xml:space="preserve">were </w:t>
      </w:r>
      <w:r w:rsidR="00D001FA" w:rsidRPr="00D001FA">
        <w:rPr>
          <w:lang w:val="en-GB"/>
        </w:rPr>
        <w:t>attained from Sigma Aldric</w:t>
      </w:r>
      <w:r w:rsidR="00D001FA">
        <w:rPr>
          <w:lang w:val="en-GB"/>
        </w:rPr>
        <w:t>h.</w:t>
      </w:r>
    </w:p>
    <w:p w14:paraId="2F920271" w14:textId="6157F6A9" w:rsidR="00521CFA" w:rsidRDefault="006619C5" w:rsidP="000C3B46">
      <w:pPr>
        <w:pStyle w:val="CETheadingx"/>
      </w:pPr>
      <w:r>
        <w:t xml:space="preserve">Catalyst </w:t>
      </w:r>
      <w:r w:rsidR="000B20E1">
        <w:t>p</w:t>
      </w:r>
      <w:r>
        <w:t>reparation</w:t>
      </w:r>
    </w:p>
    <w:p w14:paraId="15345E64" w14:textId="2AC319F1" w:rsidR="00D47289" w:rsidRDefault="00707574" w:rsidP="00521CFA">
      <w:pPr>
        <w:pStyle w:val="CETBodytext"/>
      </w:pPr>
      <w:r>
        <w:t xml:space="preserve">The heterogeneous catalysts </w:t>
      </w:r>
      <w:r w:rsidR="00521CFA">
        <w:t>Zn zeolite-</w:t>
      </w:r>
      <w:r w:rsidR="00521CFA">
        <w:rPr>
          <w:rFonts w:ascii="Cambria Math" w:hAnsi="Cambria Math" w:cs="Cambria Math"/>
        </w:rPr>
        <w:t>𝛽</w:t>
      </w:r>
      <w:r w:rsidR="00521CFA">
        <w:t xml:space="preserve"> (10 wt%) and Pt zeolite-</w:t>
      </w:r>
      <w:r w:rsidR="00521CFA">
        <w:rPr>
          <w:rFonts w:ascii="Cambria Math" w:hAnsi="Cambria Math" w:cs="Cambria Math"/>
        </w:rPr>
        <w:t>𝛽</w:t>
      </w:r>
      <w:r w:rsidR="00521CFA">
        <w:t xml:space="preserve"> (1 wt%) were prepared by impregnation. Zeolite-</w:t>
      </w:r>
      <w:r w:rsidR="00521CFA">
        <w:rPr>
          <w:rFonts w:ascii="Cambria Math" w:hAnsi="Cambria Math" w:cs="Cambria Math"/>
        </w:rPr>
        <w:t>𝛽</w:t>
      </w:r>
      <w:r w:rsidR="00521CFA">
        <w:t xml:space="preserve"> was added to zinc nitrate and tetraamineplatinum (II) chloride solutions respectively</w:t>
      </w:r>
      <w:r w:rsidR="00490271">
        <w:t xml:space="preserve"> (10 g zeolite per 100 ml </w:t>
      </w:r>
      <w:r w:rsidR="005A333D">
        <w:t>of</w:t>
      </w:r>
      <w:r w:rsidR="00490271">
        <w:t xml:space="preserve"> solution). The mixtures were agitated for 24 h to ensure thorough mixing. Afterwards, the mixtures were centrifuged (20 min, 4000 rpm) to separate the solid phase, which was then dried in an oven at 80 °C for 24 h. The solids were deposited into an evacuable pellet die</w:t>
      </w:r>
      <w:r>
        <w:t xml:space="preserve"> and compressed into discs withstanding 5 tons. The discs were then milled and sieved to collect the desired size range of 212 to 500 µm powders. </w:t>
      </w:r>
      <w:r w:rsidR="00521CFA">
        <w:t>Catalyst activation was conducted in a split tube furnace using hydrogen gas</w:t>
      </w:r>
      <w:r>
        <w:t xml:space="preserve"> (5 ml min</w:t>
      </w:r>
      <w:r>
        <w:rPr>
          <w:vertAlign w:val="superscript"/>
        </w:rPr>
        <w:t>-1</w:t>
      </w:r>
      <w:r>
        <w:t>)</w:t>
      </w:r>
      <w:r w:rsidR="00521CFA">
        <w:t xml:space="preserve"> to a temperature of 500 °C</w:t>
      </w:r>
      <w:r>
        <w:t xml:space="preserve"> for 16 h</w:t>
      </w:r>
      <w:r w:rsidR="00521CFA">
        <w:t>. The ZnCl</w:t>
      </w:r>
      <w:r w:rsidR="006619C5">
        <w:rPr>
          <w:vertAlign w:val="subscript"/>
        </w:rPr>
        <w:t>2</w:t>
      </w:r>
      <w:r w:rsidR="006619C5">
        <w:t xml:space="preserve"> homogeneous</w:t>
      </w:r>
      <w:r w:rsidR="00521CFA">
        <w:t xml:space="preserve"> catalyst was prepared by dissolving ZnCl</w:t>
      </w:r>
      <w:r w:rsidR="00521CFA" w:rsidRPr="00344654">
        <w:rPr>
          <w:vertAlign w:val="subscript"/>
        </w:rPr>
        <w:t>2</w:t>
      </w:r>
      <w:r w:rsidR="00521CFA">
        <w:t xml:space="preserve"> (4 g) in deionized water (36 ml).</w:t>
      </w:r>
    </w:p>
    <w:p w14:paraId="3F5E26BC" w14:textId="4804BA85" w:rsidR="00FC749D" w:rsidRDefault="007B7ACC" w:rsidP="000C3B46">
      <w:pPr>
        <w:pStyle w:val="CETheadingx"/>
      </w:pPr>
      <w:r>
        <w:t>Recrystallisation</w:t>
      </w:r>
      <w:r w:rsidR="004A3C05">
        <w:t xml:space="preserve"> (purification of TPA)</w:t>
      </w:r>
    </w:p>
    <w:p w14:paraId="23390A34" w14:textId="53C9EA19" w:rsidR="007B7ACC" w:rsidRDefault="007B7ACC" w:rsidP="007B7ACC">
      <w:pPr>
        <w:pStyle w:val="CETBodytext"/>
      </w:pPr>
      <w:r>
        <w:t>Typically, a product mixture following depolymerisation will contain some or all of: PET, TPA, BHET, MHET, EG, water, insoluble contaminants. To determine the conversion of PET and yield to TPA, the unreacted PET and TPA produced need to be isolated</w:t>
      </w:r>
      <w:r w:rsidR="00DE7F38">
        <w:t xml:space="preserve"> through recrystallisation.</w:t>
      </w:r>
      <w:r>
        <w:t xml:space="preserve"> </w:t>
      </w:r>
    </w:p>
    <w:p w14:paraId="2D55DDDE" w14:textId="77777777" w:rsidR="007B7ACC" w:rsidRDefault="007B7ACC" w:rsidP="007B7ACC">
      <w:pPr>
        <w:pStyle w:val="CETBodytext"/>
      </w:pPr>
    </w:p>
    <w:p w14:paraId="43DFB88A" w14:textId="270658A1" w:rsidR="007B7ACC" w:rsidRDefault="007B7ACC" w:rsidP="00521CFA">
      <w:pPr>
        <w:pStyle w:val="CETBodytext"/>
      </w:pPr>
      <w:r>
        <w:t>Firstly, the mixture is washed with excess water to remove the moderately soluble BHET and MHET. Then, 1M NaOH solution is added to the product mixture to dissolve the TPA and filtered to remove the unreacted PET and any insoluble impurities or heterogeneous catalyst. The TPA was then precipitated by adding 2M HCl to the filtered solution, and the resulting wet solids (unreacted PET and impurities, TPA) dried separately. The conversion of PET and yield to TPA was determined using the following equations by mass.</w:t>
      </w:r>
    </w:p>
    <w:tbl>
      <w:tblPr>
        <w:tblW w:w="5000" w:type="pct"/>
        <w:tblLook w:val="04A0" w:firstRow="1" w:lastRow="0" w:firstColumn="1" w:lastColumn="0" w:noHBand="0" w:noVBand="1"/>
      </w:tblPr>
      <w:tblGrid>
        <w:gridCol w:w="7984"/>
        <w:gridCol w:w="803"/>
      </w:tblGrid>
      <w:tr w:rsidR="007B7ACC" w:rsidRPr="00B57B36" w14:paraId="7E8C9A74" w14:textId="77777777" w:rsidTr="00AF17E9">
        <w:tc>
          <w:tcPr>
            <w:tcW w:w="7984" w:type="dxa"/>
            <w:shd w:val="clear" w:color="auto" w:fill="auto"/>
            <w:vAlign w:val="center"/>
          </w:tcPr>
          <w:bookmarkStart w:id="0" w:name="_Hlk126147985"/>
          <w:p w14:paraId="2B97A61C" w14:textId="77777777" w:rsidR="007B7ACC" w:rsidRPr="00E03D69" w:rsidRDefault="00000000" w:rsidP="00AF17E9">
            <w:pPr>
              <w:pStyle w:val="CETEquation"/>
            </w:pPr>
            <m:oMathPara>
              <m:oMathParaPr>
                <m:jc m:val="left"/>
              </m:oMathParaPr>
              <m:oMath>
                <m:sSub>
                  <m:sSubPr>
                    <m:ctrlPr>
                      <w:rPr>
                        <w:rFonts w:ascii="Cambria Math" w:hAnsi="Cambria Math"/>
                        <w:i/>
                      </w:rPr>
                    </m:ctrlPr>
                  </m:sSubPr>
                  <m:e>
                    <m:r>
                      <w:rPr>
                        <w:rFonts w:ascii="Cambria Math" w:hAnsi="Cambria Math"/>
                      </w:rPr>
                      <m:t>Conversion</m:t>
                    </m:r>
                  </m:e>
                  <m:sub>
                    <m:r>
                      <w:rPr>
                        <w:rFonts w:ascii="Cambria Math" w:hAnsi="Cambria Math"/>
                      </w:rPr>
                      <m:t>PET</m:t>
                    </m:r>
                  </m:sub>
                </m:sSub>
                <m:d>
                  <m:dPr>
                    <m:ctrlPr>
                      <w:rPr>
                        <w:rFonts w:ascii="Cambria Math" w:hAnsi="Cambria Math"/>
                        <w:i/>
                      </w:rPr>
                    </m:ctrlPr>
                  </m:dPr>
                  <m:e>
                    <m:r>
                      <w:rPr>
                        <w:rFonts w:ascii="Cambria Math" w:hAnsi="Cambria Math"/>
                      </w:rPr>
                      <m: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PET</m:t>
                        </m:r>
                      </m:e>
                      <m:sub>
                        <m:r>
                          <w:rPr>
                            <w:rFonts w:ascii="Cambria Math" w:hAnsi="Cambria Math"/>
                          </w:rPr>
                          <m:t>in</m:t>
                        </m:r>
                      </m:sub>
                    </m:sSub>
                    <m:r>
                      <w:rPr>
                        <w:rFonts w:ascii="Cambria Math" w:hAnsi="Cambria Math"/>
                      </w:rPr>
                      <m:t>-</m:t>
                    </m:r>
                    <m:sSub>
                      <m:sSubPr>
                        <m:ctrlPr>
                          <w:rPr>
                            <w:rFonts w:ascii="Cambria Math" w:hAnsi="Cambria Math"/>
                            <w:i/>
                          </w:rPr>
                        </m:ctrlPr>
                      </m:sSubPr>
                      <m:e>
                        <m:r>
                          <w:rPr>
                            <w:rFonts w:ascii="Cambria Math" w:hAnsi="Cambria Math"/>
                          </w:rPr>
                          <m:t>PET</m:t>
                        </m:r>
                      </m:e>
                      <m:sub>
                        <m:r>
                          <w:rPr>
                            <w:rFonts w:ascii="Cambria Math" w:hAnsi="Cambria Math"/>
                          </w:rPr>
                          <m:t>out</m:t>
                        </m:r>
                      </m:sub>
                    </m:sSub>
                  </m:num>
                  <m:den>
                    <m:sSub>
                      <m:sSubPr>
                        <m:ctrlPr>
                          <w:rPr>
                            <w:rFonts w:ascii="Cambria Math" w:hAnsi="Cambria Math"/>
                            <w:i/>
                          </w:rPr>
                        </m:ctrlPr>
                      </m:sSubPr>
                      <m:e>
                        <m:r>
                          <w:rPr>
                            <w:rFonts w:ascii="Cambria Math" w:hAnsi="Cambria Math"/>
                          </w:rPr>
                          <m:t>PET</m:t>
                        </m:r>
                      </m:e>
                      <m:sub>
                        <m:r>
                          <w:rPr>
                            <w:rFonts w:ascii="Cambria Math" w:hAnsi="Cambria Math"/>
                          </w:rPr>
                          <m:t>in</m:t>
                        </m:r>
                      </m:sub>
                    </m:sSub>
                  </m:den>
                </m:f>
                <m:r>
                  <w:rPr>
                    <w:rFonts w:ascii="Cambria Math" w:hAnsi="Cambria Math"/>
                  </w:rPr>
                  <m:t>×100</m:t>
                </m:r>
              </m:oMath>
            </m:oMathPara>
          </w:p>
        </w:tc>
        <w:tc>
          <w:tcPr>
            <w:tcW w:w="803" w:type="dxa"/>
            <w:shd w:val="clear" w:color="auto" w:fill="auto"/>
            <w:vAlign w:val="center"/>
          </w:tcPr>
          <w:p w14:paraId="73CC4554" w14:textId="77777777" w:rsidR="007B7ACC" w:rsidRPr="00B57B36" w:rsidRDefault="007B7ACC" w:rsidP="00AF17E9">
            <w:pPr>
              <w:pStyle w:val="CETEquation"/>
              <w:jc w:val="right"/>
            </w:pPr>
            <w:r w:rsidRPr="00B57B36">
              <w:t>(1)</w:t>
            </w:r>
          </w:p>
        </w:tc>
      </w:tr>
      <w:bookmarkEnd w:id="0"/>
      <w:tr w:rsidR="007B7ACC" w:rsidRPr="00B57B36" w14:paraId="23688209" w14:textId="77777777" w:rsidTr="00AF17E9">
        <w:tc>
          <w:tcPr>
            <w:tcW w:w="7984" w:type="dxa"/>
            <w:shd w:val="clear" w:color="auto" w:fill="auto"/>
            <w:vAlign w:val="center"/>
          </w:tcPr>
          <w:p w14:paraId="730E468E" w14:textId="77777777" w:rsidR="007B7ACC" w:rsidRPr="00E03D69" w:rsidRDefault="00000000" w:rsidP="00AF17E9">
            <w:pPr>
              <w:pStyle w:val="CETEquation"/>
            </w:pPr>
            <m:oMathPara>
              <m:oMathParaPr>
                <m:jc m:val="left"/>
              </m:oMathParaPr>
              <m:oMath>
                <m:sSub>
                  <m:sSubPr>
                    <m:ctrlPr>
                      <w:rPr>
                        <w:rFonts w:ascii="Cambria Math" w:hAnsi="Cambria Math"/>
                        <w:i/>
                      </w:rPr>
                    </m:ctrlPr>
                  </m:sSubPr>
                  <m:e>
                    <m:r>
                      <w:rPr>
                        <w:rFonts w:ascii="Cambria Math" w:hAnsi="Cambria Math"/>
                      </w:rPr>
                      <m:t>Yield</m:t>
                    </m:r>
                  </m:e>
                  <m:sub>
                    <m:r>
                      <w:rPr>
                        <w:rFonts w:ascii="Cambria Math" w:hAnsi="Cambria Math"/>
                      </w:rPr>
                      <m:t>TPA</m:t>
                    </m:r>
                  </m:sub>
                </m:sSub>
                <m:d>
                  <m:dPr>
                    <m:ctrlPr>
                      <w:rPr>
                        <w:rFonts w:ascii="Cambria Math" w:hAnsi="Cambria Math"/>
                        <w:i/>
                      </w:rPr>
                    </m:ctrlPr>
                  </m:dPr>
                  <m:e>
                    <m:r>
                      <w:rPr>
                        <w:rFonts w:ascii="Cambria Math" w:hAnsi="Cambria Math"/>
                      </w:rPr>
                      <m: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TPA</m:t>
                        </m:r>
                      </m:e>
                      <m:sub>
                        <m:r>
                          <w:rPr>
                            <w:rFonts w:ascii="Cambria Math" w:hAnsi="Cambria Math"/>
                          </w:rPr>
                          <m:t>out</m:t>
                        </m:r>
                      </m:sub>
                    </m:sSub>
                  </m:num>
                  <m:den>
                    <m:sSub>
                      <m:sSubPr>
                        <m:ctrlPr>
                          <w:rPr>
                            <w:rFonts w:ascii="Cambria Math" w:hAnsi="Cambria Math"/>
                            <w:i/>
                          </w:rPr>
                        </m:ctrlPr>
                      </m:sSubPr>
                      <m:e>
                        <m:r>
                          <w:rPr>
                            <w:rFonts w:ascii="Cambria Math" w:hAnsi="Cambria Math"/>
                          </w:rPr>
                          <m:t>TPA</m:t>
                        </m:r>
                      </m:e>
                      <m:sub>
                        <m:r>
                          <w:rPr>
                            <w:rFonts w:ascii="Cambria Math" w:hAnsi="Cambria Math"/>
                          </w:rPr>
                          <m:t>t</m:t>
                        </m:r>
                        <m:r>
                          <w:rPr>
                            <w:rFonts w:ascii="Cambria Math" w:hAnsi="Cambria Math"/>
                          </w:rPr>
                          <m:t>h</m:t>
                        </m:r>
                        <m:r>
                          <w:rPr>
                            <w:rFonts w:ascii="Cambria Math" w:hAnsi="Cambria Math"/>
                          </w:rPr>
                          <m:t>eoretical</m:t>
                        </m:r>
                        <m:r>
                          <w:rPr>
                            <w:rFonts w:ascii="Cambria Math" w:hAnsi="Cambria Math"/>
                          </w:rPr>
                          <m:t xml:space="preserve"> </m:t>
                        </m:r>
                        <m:r>
                          <w:rPr>
                            <w:rFonts w:ascii="Cambria Math" w:hAnsi="Cambria Math"/>
                          </w:rPr>
                          <m:t>maximum</m:t>
                        </m:r>
                      </m:sub>
                    </m:sSub>
                  </m:den>
                </m:f>
                <m:r>
                  <w:rPr>
                    <w:rFonts w:ascii="Cambria Math" w:hAnsi="Cambria Math"/>
                  </w:rPr>
                  <m:t>×100</m:t>
                </m:r>
              </m:oMath>
            </m:oMathPara>
          </w:p>
        </w:tc>
        <w:tc>
          <w:tcPr>
            <w:tcW w:w="803" w:type="dxa"/>
            <w:shd w:val="clear" w:color="auto" w:fill="auto"/>
            <w:vAlign w:val="center"/>
          </w:tcPr>
          <w:p w14:paraId="05B59D84" w14:textId="77777777" w:rsidR="007B7ACC" w:rsidRPr="00B57B36" w:rsidRDefault="007B7ACC" w:rsidP="00AF17E9">
            <w:pPr>
              <w:pStyle w:val="CETEquation"/>
              <w:jc w:val="right"/>
            </w:pPr>
            <w:r w:rsidRPr="00B57B36">
              <w:t>(</w:t>
            </w:r>
            <w:r>
              <w:t>2</w:t>
            </w:r>
            <w:r w:rsidRPr="00B57B36">
              <w:t>)</w:t>
            </w:r>
          </w:p>
        </w:tc>
      </w:tr>
    </w:tbl>
    <w:p w14:paraId="72C9B9FD" w14:textId="77777777" w:rsidR="004A3C05" w:rsidRDefault="004A3C05" w:rsidP="004A3C05">
      <w:pPr>
        <w:pStyle w:val="CETheadingx"/>
      </w:pPr>
      <w:r>
        <w:t>Evaluation of commercial filter cleaning process</w:t>
      </w:r>
    </w:p>
    <w:p w14:paraId="3FF123C2" w14:textId="69680EF3" w:rsidR="004A3C05" w:rsidRDefault="004A3C05" w:rsidP="004A3C05">
      <w:pPr>
        <w:pStyle w:val="CETBodytext"/>
      </w:pPr>
      <w:r>
        <w:t>Four industrial polymer filters (F14, F15, F16, F19) were sent to B</w:t>
      </w:r>
      <w:r w:rsidR="00FA3EFE">
        <w:t>&amp;M Longworth</w:t>
      </w:r>
      <w:r>
        <w:t xml:space="preserve"> for cleaning. Each of them weighed around 380 kg and contained roughly 50 kg of PET and other</w:t>
      </w:r>
      <w:r w:rsidR="005A333D">
        <w:t xml:space="preserve"> inorganic</w:t>
      </w:r>
      <w:r>
        <w:t xml:space="preserve"> contaminants (varied from filter to filter). The filters were cleaned using superheated steam (300 °C, 3 barg) for 16 hours each. As the process </w:t>
      </w:r>
      <w:r>
        <w:lastRenderedPageBreak/>
        <w:t>operates above the boiling point of EG, it is not recovered and instead sent off as waste. This process removes over 95 % of the PET and contaminants from the filters and collects at the bottom of the vessel as a solid-liquid mixture. Solids were also collected from the cyclone bottoms. After each cleaning run, th</w:t>
      </w:r>
      <w:r w:rsidR="0088592A">
        <w:t>e</w:t>
      </w:r>
      <w:r w:rsidR="003E23F6">
        <w:t>se</w:t>
      </w:r>
      <w:r>
        <w:t xml:space="preserve"> mixtures were dried, weighed, and homogenised. Samples of the homogenised mixture were recrystallised to determine the conversion of PET and yield to TPA.</w:t>
      </w:r>
      <w:r w:rsidR="003E23F6">
        <w:t xml:space="preserve"> The filters were weighed before and after DEECOM® cleaning to </w:t>
      </w:r>
      <w:r w:rsidR="00BE5E8D">
        <w:t>calculate how much PET was initially present</w:t>
      </w:r>
      <w:r w:rsidR="00583CF2">
        <w:t>.</w:t>
      </w:r>
      <w:r w:rsidR="005A333D">
        <w:t xml:space="preserve"> </w:t>
      </w:r>
    </w:p>
    <w:p w14:paraId="235E7C05" w14:textId="77777777" w:rsidR="005A333D" w:rsidRDefault="005A333D" w:rsidP="004A3C05">
      <w:pPr>
        <w:pStyle w:val="CETBodytext"/>
      </w:pPr>
    </w:p>
    <w:p w14:paraId="50A4D817" w14:textId="77777777" w:rsidR="00A3664D" w:rsidRDefault="004A3C05" w:rsidP="00A3664D">
      <w:pPr>
        <w:pStyle w:val="CETBodytext"/>
        <w:keepNext/>
      </w:pPr>
      <w:r>
        <w:rPr>
          <w:noProof/>
        </w:rPr>
        <w:drawing>
          <wp:inline distT="0" distB="0" distL="0" distR="0" wp14:anchorId="66864F22" wp14:editId="4D88C232">
            <wp:extent cx="4484076" cy="24784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4190" cy="2484024"/>
                    </a:xfrm>
                    <a:prstGeom prst="rect">
                      <a:avLst/>
                    </a:prstGeom>
                    <a:noFill/>
                  </pic:spPr>
                </pic:pic>
              </a:graphicData>
            </a:graphic>
          </wp:inline>
        </w:drawing>
      </w:r>
    </w:p>
    <w:p w14:paraId="298F1FF5" w14:textId="6BE59B2F" w:rsidR="004A3C05" w:rsidRDefault="00A3664D" w:rsidP="00A3664D">
      <w:pPr>
        <w:pStyle w:val="CETCaption"/>
      </w:pPr>
      <w:r>
        <w:t xml:space="preserve">Figure </w:t>
      </w:r>
      <w:r>
        <w:fldChar w:fldCharType="begin"/>
      </w:r>
      <w:r>
        <w:instrText xml:space="preserve"> SEQ Figure \* ARABIC </w:instrText>
      </w:r>
      <w:r>
        <w:fldChar w:fldCharType="separate"/>
      </w:r>
      <w:r w:rsidR="003709E4">
        <w:rPr>
          <w:noProof/>
        </w:rPr>
        <w:t>2</w:t>
      </w:r>
      <w:r>
        <w:fldChar w:fldCharType="end"/>
      </w:r>
      <w:r>
        <w:t xml:space="preserve">: </w:t>
      </w:r>
      <w:r w:rsidR="0020488E">
        <w:t>F</w:t>
      </w:r>
      <w:r>
        <w:t>ilter</w:t>
      </w:r>
      <w:r w:rsidR="0020488E">
        <w:t>s</w:t>
      </w:r>
      <w:r>
        <w:t xml:space="preserve"> contaminated with PET and other materials</w:t>
      </w:r>
      <w:r w:rsidR="00444223">
        <w:t xml:space="preserve"> a) F14, b) F15, c) F16, d) F19, e) </w:t>
      </w:r>
      <w:r w:rsidR="0020488E">
        <w:t>F15 close-up</w:t>
      </w:r>
    </w:p>
    <w:p w14:paraId="29701B93" w14:textId="21889EA8" w:rsidR="00FC749D" w:rsidRDefault="00FC749D" w:rsidP="000C3B46">
      <w:pPr>
        <w:pStyle w:val="CETheadingx"/>
      </w:pPr>
      <w:r>
        <w:t xml:space="preserve">Depolymerisation </w:t>
      </w:r>
      <w:r w:rsidR="000B20E1">
        <w:t>e</w:t>
      </w:r>
      <w:r>
        <w:t>xperiments</w:t>
      </w:r>
    </w:p>
    <w:p w14:paraId="53AD1E45" w14:textId="05D5DA20" w:rsidR="00A87DF4" w:rsidRDefault="00521CFA" w:rsidP="00521CFA">
      <w:pPr>
        <w:pStyle w:val="CETBodytext"/>
      </w:pPr>
      <w:r>
        <w:t>PET fib</w:t>
      </w:r>
      <w:r w:rsidR="00891CBF">
        <w:t>re</w:t>
      </w:r>
      <w:r>
        <w:t xml:space="preserve">s and </w:t>
      </w:r>
      <w:r w:rsidR="006D6470">
        <w:t xml:space="preserve">deionized </w:t>
      </w:r>
      <w:r>
        <w:t>water (40 g) were loaded into a 600 ml</w:t>
      </w:r>
      <w:r w:rsidR="00A87DF4">
        <w:t xml:space="preserve"> hastelloy </w:t>
      </w:r>
      <w:r>
        <w:t>autoclave reactor</w:t>
      </w:r>
      <w:r w:rsidR="006D6470">
        <w:t xml:space="preserve"> (Parr Instruments)</w:t>
      </w:r>
      <w:r>
        <w:t xml:space="preserve"> along with the required catalyst (1 g</w:t>
      </w:r>
      <w:r w:rsidR="00A87DF4">
        <w:t xml:space="preserve"> for heterogeneous catalysts</w:t>
      </w:r>
      <w:r>
        <w:t>).</w:t>
      </w:r>
      <w:r w:rsidR="00A87DF4">
        <w:t xml:space="preserve"> For the homogeneous catalyst experiment the 40 g of water was replaced with 40 g of catalyst solution.</w:t>
      </w:r>
      <w:r>
        <w:t xml:space="preserve"> The reactor was then heated to 250 °C generating</w:t>
      </w:r>
      <w:r w:rsidR="00A87DF4">
        <w:t xml:space="preserve"> an</w:t>
      </w:r>
      <w:r>
        <w:t xml:space="preserve"> autogenous pressure </w:t>
      </w:r>
      <w:r w:rsidR="00A87DF4">
        <w:t xml:space="preserve">of </w:t>
      </w:r>
      <w:r>
        <w:t>41 bar</w:t>
      </w:r>
      <w:r w:rsidR="00A87DF4">
        <w:t>. Each</w:t>
      </w:r>
      <w:r>
        <w:t xml:space="preserve"> reaction </w:t>
      </w:r>
      <w:r w:rsidR="00A87DF4">
        <w:t xml:space="preserve">was </w:t>
      </w:r>
      <w:r>
        <w:t>carried out for 2 hours with agitation. Once cooled</w:t>
      </w:r>
      <w:r w:rsidR="00A87DF4">
        <w:t>,</w:t>
      </w:r>
      <w:r>
        <w:t xml:space="preserve"> the </w:t>
      </w:r>
      <w:r w:rsidR="00E426A8">
        <w:t>product mixture is recrystallised as above.</w:t>
      </w:r>
    </w:p>
    <w:p w14:paraId="614030DA" w14:textId="2E202BF4" w:rsidR="00521CFA" w:rsidRDefault="00FC749D" w:rsidP="000C3B46">
      <w:pPr>
        <w:pStyle w:val="CETheadingx"/>
      </w:pPr>
      <w:r>
        <w:t xml:space="preserve">Repolymerisation and </w:t>
      </w:r>
      <w:r w:rsidR="000B20E1">
        <w:t>c</w:t>
      </w:r>
      <w:r>
        <w:t>haracterisation</w:t>
      </w:r>
    </w:p>
    <w:p w14:paraId="191EAFF3" w14:textId="31A4ECA1" w:rsidR="00E03D69" w:rsidRDefault="00596390" w:rsidP="00521CFA">
      <w:pPr>
        <w:pStyle w:val="CETBodytext"/>
      </w:pPr>
      <w:r w:rsidRPr="00596390">
        <w:t xml:space="preserve">TPA (15.58 g) from DEECOM® was recrystallised as previously outlined. Then, the procedure to create PET by </w:t>
      </w:r>
      <w:proofErr w:type="spellStart"/>
      <w:r w:rsidRPr="00596390">
        <w:t>Cammidge</w:t>
      </w:r>
      <w:proofErr w:type="spellEnd"/>
      <w:r w:rsidRPr="00596390">
        <w:t xml:space="preserve"> (1999) was followed. </w:t>
      </w:r>
    </w:p>
    <w:p w14:paraId="11623478" w14:textId="77777777" w:rsidR="0020488E" w:rsidRDefault="00E03D69" w:rsidP="0020488E">
      <w:pPr>
        <w:pStyle w:val="CETBodytext"/>
        <w:keepNext/>
      </w:pPr>
      <w:r>
        <w:rPr>
          <w:noProof/>
        </w:rPr>
        <w:drawing>
          <wp:inline distT="0" distB="0" distL="0" distR="0" wp14:anchorId="77A23A18" wp14:editId="42994F22">
            <wp:extent cx="4360984" cy="190777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78903" cy="1915614"/>
                    </a:xfrm>
                    <a:prstGeom prst="rect">
                      <a:avLst/>
                    </a:prstGeom>
                  </pic:spPr>
                </pic:pic>
              </a:graphicData>
            </a:graphic>
          </wp:inline>
        </w:drawing>
      </w:r>
    </w:p>
    <w:p w14:paraId="4174E052" w14:textId="1A2943B8" w:rsidR="00C52D4D" w:rsidRDefault="0020488E" w:rsidP="0020488E">
      <w:pPr>
        <w:pStyle w:val="CETCaption"/>
      </w:pPr>
      <w:r>
        <w:t xml:space="preserve">Figure </w:t>
      </w:r>
      <w:r>
        <w:fldChar w:fldCharType="begin"/>
      </w:r>
      <w:r>
        <w:instrText xml:space="preserve"> SEQ Figure \* ARABIC </w:instrText>
      </w:r>
      <w:r>
        <w:fldChar w:fldCharType="separate"/>
      </w:r>
      <w:r w:rsidR="003709E4">
        <w:rPr>
          <w:noProof/>
        </w:rPr>
        <w:t>3</w:t>
      </w:r>
      <w:r>
        <w:fldChar w:fldCharType="end"/>
      </w:r>
      <w:r>
        <w:t>: PET repolymerisation via the DMT route</w:t>
      </w:r>
    </w:p>
    <w:p w14:paraId="22442510" w14:textId="77777777" w:rsidR="008410F0" w:rsidRDefault="008410F0" w:rsidP="008410F0">
      <w:pPr>
        <w:pStyle w:val="CETBodytext"/>
      </w:pPr>
      <w:r w:rsidRPr="00596390">
        <w:t xml:space="preserve">The TPA was refluxed with methanol (200 ml, 60 °C for 16 hours) in the presence of concentrated sulfuric acid (5 ml). The resulting solid was filtered and purified by dissolution in methanol, decanted to remove insoluble impurities and the DMT precipitated was then dried in a vacuum desiccator. DMT (5 g) and EG (80 ml) were reacted to form bis(2-hydroxyethyl) terephthalate (BHET) in the presence of a zinc acetate dihydrate catalyst </w:t>
      </w:r>
      <w:r w:rsidRPr="00596390">
        <w:lastRenderedPageBreak/>
        <w:t>(8.5 mg) at 210 °C for 45 min. The resulting mixture was chilled to ‒24 °C (below the freezing point of EG) overnight which allows BHET crystals to form. The mixture is then warmed to ambient temperature and filtered, producing 11.51 g of BHET crystals. The BHET crystals (6.15 g) were then heated at 320 °C for 2.5 h with zinc acetate dihydrate (2.1 mg) catalyst to form PET.</w:t>
      </w:r>
    </w:p>
    <w:p w14:paraId="44B9AD8F" w14:textId="77777777" w:rsidR="008410F0" w:rsidRDefault="008410F0" w:rsidP="00961DC3">
      <w:pPr>
        <w:pStyle w:val="CETBodytext"/>
      </w:pPr>
    </w:p>
    <w:p w14:paraId="24F297E3" w14:textId="1F16B20F" w:rsidR="00961DC3" w:rsidRPr="00EC42ED" w:rsidRDefault="00961DC3" w:rsidP="00961DC3">
      <w:pPr>
        <w:pStyle w:val="CETBodytext"/>
      </w:pPr>
      <w:r>
        <w:t>Thermogravimetric analysis</w:t>
      </w:r>
      <w:r w:rsidR="00B30556">
        <w:t xml:space="preserve"> </w:t>
      </w:r>
      <w:r w:rsidR="0005147D">
        <w:t xml:space="preserve">(TGA) </w:t>
      </w:r>
      <w:r w:rsidR="00416A4C">
        <w:t xml:space="preserve">and differential scanning calorimetry (DSC) </w:t>
      </w:r>
      <w:r w:rsidR="00B30556">
        <w:t>was done on the resultant PET</w:t>
      </w:r>
      <w:r>
        <w:t xml:space="preserve"> </w:t>
      </w:r>
      <w:r w:rsidR="00244296">
        <w:t>at 2</w:t>
      </w:r>
      <w:r w:rsidR="008620B1">
        <w:t>5</w:t>
      </w:r>
      <w:r w:rsidR="00244296">
        <w:t xml:space="preserve"> </w:t>
      </w:r>
      <w:r w:rsidR="00244296">
        <w:rPr>
          <w:rFonts w:cs="Arial"/>
        </w:rPr>
        <w:t>°</w:t>
      </w:r>
      <w:r w:rsidR="00244296">
        <w:t>C min</w:t>
      </w:r>
      <w:r w:rsidR="00244296">
        <w:rPr>
          <w:vertAlign w:val="superscript"/>
        </w:rPr>
        <w:t>-1</w:t>
      </w:r>
      <w:r w:rsidR="00BA30FB">
        <w:t xml:space="preserve"> </w:t>
      </w:r>
      <w:r w:rsidR="00AC3379">
        <w:t>under N</w:t>
      </w:r>
      <w:r w:rsidR="00AC3379">
        <w:rPr>
          <w:vertAlign w:val="subscript"/>
        </w:rPr>
        <w:t>2</w:t>
      </w:r>
      <w:r w:rsidR="00AC3379">
        <w:t xml:space="preserve"> (TA instruments SDT 650)</w:t>
      </w:r>
      <w:r w:rsidR="0005147D">
        <w:t>.</w:t>
      </w:r>
      <w:r w:rsidR="00AC3379">
        <w:t xml:space="preserve"> </w:t>
      </w:r>
      <w:r w:rsidR="0005147D">
        <w:t>G</w:t>
      </w:r>
      <w:r w:rsidR="00B30556">
        <w:t>el permeation chromatography (GPC</w:t>
      </w:r>
      <w:r w:rsidR="0005147D">
        <w:t>) measure</w:t>
      </w:r>
      <w:r w:rsidR="005010BC">
        <w:t>d</w:t>
      </w:r>
      <w:r w:rsidR="0005147D">
        <w:t xml:space="preserve"> the molecular weight of the PET sample</w:t>
      </w:r>
      <w:r w:rsidR="003A0834">
        <w:t xml:space="preserve"> </w:t>
      </w:r>
      <w:r w:rsidR="0005147D">
        <w:t xml:space="preserve">(Agilent </w:t>
      </w:r>
      <w:r w:rsidR="003A0834">
        <w:t xml:space="preserve">1260 Infinity Diode Array GPC, </w:t>
      </w:r>
      <w:r w:rsidR="00595FBD">
        <w:t>chloroform solvent</w:t>
      </w:r>
      <w:r w:rsidR="003A0834">
        <w:t>)</w:t>
      </w:r>
      <w:r w:rsidR="0005147D">
        <w:t>.</w:t>
      </w:r>
      <w:r w:rsidR="00595FBD">
        <w:t xml:space="preserve"> 13 mg of PET was dissolved in 120</w:t>
      </w:r>
      <w:r w:rsidR="00020D1E">
        <w:t xml:space="preserve"> </w:t>
      </w:r>
      <w:r w:rsidR="00020D1E">
        <w:rPr>
          <w:rFonts w:cs="Arial"/>
        </w:rPr>
        <w:t>µ</w:t>
      </w:r>
      <w:r w:rsidR="00020D1E">
        <w:t>l of 1,1,1,3,3,3-hexafluoroisopropanol (HFIP)</w:t>
      </w:r>
      <w:r w:rsidR="008620B1">
        <w:t xml:space="preserve">, and afterwards 1880 </w:t>
      </w:r>
      <w:r w:rsidR="008620B1">
        <w:rPr>
          <w:rFonts w:cs="Arial"/>
        </w:rPr>
        <w:t>µ</w:t>
      </w:r>
      <w:r w:rsidR="008620B1">
        <w:t xml:space="preserve">l of chloroform was added to give a concentration of </w:t>
      </w:r>
      <w:r w:rsidR="00EC42ED">
        <w:t>6.5 mg ml</w:t>
      </w:r>
      <w:r w:rsidR="00EC42ED">
        <w:rPr>
          <w:vertAlign w:val="superscript"/>
        </w:rPr>
        <w:t>-1</w:t>
      </w:r>
      <w:r w:rsidR="00EC42ED">
        <w:t xml:space="preserve">. </w:t>
      </w:r>
      <w:r w:rsidR="00EE1135">
        <w:t>(</w:t>
      </w:r>
      <w:proofErr w:type="spellStart"/>
      <w:r w:rsidR="00EE1135">
        <w:t>Moad</w:t>
      </w:r>
      <w:proofErr w:type="spellEnd"/>
      <w:r w:rsidR="00EE1135">
        <w:t xml:space="preserve"> et al., 199</w:t>
      </w:r>
      <w:r w:rsidR="00D6158D">
        <w:t>7</w:t>
      </w:r>
      <w:r w:rsidR="00EE1135">
        <w:t xml:space="preserve">) </w:t>
      </w:r>
    </w:p>
    <w:p w14:paraId="7E1DCED4" w14:textId="7D5C0DF4" w:rsidR="00C52D4D" w:rsidRDefault="00C52D4D" w:rsidP="00C52D4D">
      <w:pPr>
        <w:pStyle w:val="CETHeading1"/>
      </w:pPr>
      <w:r>
        <w:t>Results and discussion</w:t>
      </w:r>
    </w:p>
    <w:p w14:paraId="6A4E992A" w14:textId="728360B8" w:rsidR="00FB2674" w:rsidRDefault="005645ED" w:rsidP="00F942F4">
      <w:pPr>
        <w:pStyle w:val="CETheadingx"/>
      </w:pPr>
      <w:r>
        <w:t>Commercial</w:t>
      </w:r>
      <w:r w:rsidR="00F942F4">
        <w:t xml:space="preserve"> filter cleaning results</w:t>
      </w:r>
    </w:p>
    <w:p w14:paraId="3522590C" w14:textId="1BC5B8BF" w:rsidR="009E4167" w:rsidRDefault="009E4167" w:rsidP="00821A76">
      <w:pPr>
        <w:pStyle w:val="CETBodytext"/>
        <w:rPr>
          <w:lang w:val="en-GB"/>
        </w:rPr>
      </w:pPr>
      <w:r>
        <w:t xml:space="preserve">The analysis of the PET filters post cleaning (Figure 4) revealed </w:t>
      </w:r>
      <w:r w:rsidR="00821A76">
        <w:t xml:space="preserve">that </w:t>
      </w:r>
      <w:r>
        <w:rPr>
          <w:lang w:val="en-GB"/>
        </w:rPr>
        <w:t>d</w:t>
      </w:r>
      <w:r w:rsidRPr="005D5653">
        <w:rPr>
          <w:lang w:val="en-GB"/>
        </w:rPr>
        <w:t>espite inconsistent levels of contamination</w:t>
      </w:r>
      <w:r>
        <w:rPr>
          <w:lang w:val="en-GB"/>
        </w:rPr>
        <w:t>,</w:t>
      </w:r>
    </w:p>
    <w:p w14:paraId="2688B3FC" w14:textId="77777777" w:rsidR="009E4167" w:rsidRPr="009E4167" w:rsidRDefault="009E4167" w:rsidP="009E4167">
      <w:pPr>
        <w:pStyle w:val="CETBodytext"/>
        <w:jc w:val="left"/>
      </w:pPr>
    </w:p>
    <w:p w14:paraId="09FA3B6B" w14:textId="77777777" w:rsidR="0020488E" w:rsidRDefault="00100C64" w:rsidP="0020488E">
      <w:pPr>
        <w:pStyle w:val="CETBodytext"/>
        <w:keepNext/>
      </w:pPr>
      <w:r>
        <w:rPr>
          <w:noProof/>
        </w:rPr>
        <w:drawing>
          <wp:inline distT="0" distB="0" distL="0" distR="0" wp14:anchorId="300BAEA3" wp14:editId="699608DD">
            <wp:extent cx="3409950" cy="1822450"/>
            <wp:effectExtent l="0" t="0" r="0" b="6350"/>
            <wp:docPr id="3" name="Chart 3">
              <a:extLst xmlns:a="http://schemas.openxmlformats.org/drawingml/2006/main">
                <a:ext uri="{FF2B5EF4-FFF2-40B4-BE49-F238E27FC236}">
                  <a16:creationId xmlns:a16="http://schemas.microsoft.com/office/drawing/2014/main" id="{C038890F-9E48-ACBB-A373-808E3C85F0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B9DD652" w14:textId="56FB0396" w:rsidR="00F942F4" w:rsidRDefault="0020488E" w:rsidP="0020488E">
      <w:pPr>
        <w:pStyle w:val="CETCaption"/>
      </w:pPr>
      <w:r>
        <w:t xml:space="preserve">Figure </w:t>
      </w:r>
      <w:r>
        <w:fldChar w:fldCharType="begin"/>
      </w:r>
      <w:r>
        <w:instrText xml:space="preserve"> SEQ Figure \* ARABIC </w:instrText>
      </w:r>
      <w:r>
        <w:fldChar w:fldCharType="separate"/>
      </w:r>
      <w:r w:rsidR="003709E4">
        <w:rPr>
          <w:noProof/>
        </w:rPr>
        <w:t>4</w:t>
      </w:r>
      <w:r>
        <w:fldChar w:fldCharType="end"/>
      </w:r>
      <w:r>
        <w:t xml:space="preserve">: </w:t>
      </w:r>
      <w:r w:rsidRPr="00BF65B2">
        <w:t>PET conversion and yield to TPA through the DEECOM® process (300 °C, 3 barg steam)</w:t>
      </w:r>
    </w:p>
    <w:p w14:paraId="421FF2FB" w14:textId="0C341A52" w:rsidR="001E1B69" w:rsidRDefault="005D5653" w:rsidP="00C52D4D">
      <w:pPr>
        <w:pStyle w:val="CETBodytext"/>
        <w:rPr>
          <w:lang w:val="en-GB"/>
        </w:rPr>
      </w:pPr>
      <w:r w:rsidRPr="005D5653">
        <w:rPr>
          <w:lang w:val="en-GB"/>
        </w:rPr>
        <w:t xml:space="preserve">and significant impurities present on the filters, there was a consistent hydrothermal non-catalytic conversion of PET and yield ~80 %. </w:t>
      </w:r>
      <w:r w:rsidR="005504FB">
        <w:rPr>
          <w:lang w:val="en-GB"/>
        </w:rPr>
        <w:t>The moderately high conversion and yields plus t</w:t>
      </w:r>
      <w:r w:rsidRPr="005D5653">
        <w:rPr>
          <w:lang w:val="en-GB"/>
        </w:rPr>
        <w:t>olerance to contamination levels highlights the potential of this technology in waste processing</w:t>
      </w:r>
      <w:r w:rsidR="00411FE5">
        <w:rPr>
          <w:lang w:val="en-GB"/>
        </w:rPr>
        <w:t xml:space="preserve">, especially for carpets which often contain </w:t>
      </w:r>
      <w:r w:rsidR="00A3664D">
        <w:rPr>
          <w:lang w:val="en-GB"/>
        </w:rPr>
        <w:t>many other components in addition to PET</w:t>
      </w:r>
      <w:r w:rsidRPr="005D5653">
        <w:rPr>
          <w:lang w:val="en-GB"/>
        </w:rPr>
        <w:t>.</w:t>
      </w:r>
      <w:r w:rsidR="005504FB">
        <w:rPr>
          <w:lang w:val="en-GB"/>
        </w:rPr>
        <w:t xml:space="preserve"> However, </w:t>
      </w:r>
      <w:r w:rsidR="00E7431C">
        <w:rPr>
          <w:lang w:val="en-GB"/>
        </w:rPr>
        <w:t xml:space="preserve">the long process times negatively impact the </w:t>
      </w:r>
      <w:r w:rsidR="00646848">
        <w:rPr>
          <w:lang w:val="en-GB"/>
        </w:rPr>
        <w:t>energy efficiency of the system</w:t>
      </w:r>
      <w:r w:rsidR="00202F1E">
        <w:rPr>
          <w:lang w:val="en-GB"/>
        </w:rPr>
        <w:t xml:space="preserve"> and </w:t>
      </w:r>
      <w:r w:rsidR="001E1B69">
        <w:rPr>
          <w:lang w:val="en-GB"/>
        </w:rPr>
        <w:t>catalysts were assessed for this reaction.</w:t>
      </w:r>
    </w:p>
    <w:p w14:paraId="35B95800" w14:textId="506F91DD" w:rsidR="001E1B69" w:rsidRDefault="001E1B69" w:rsidP="00015DD7">
      <w:pPr>
        <w:pStyle w:val="CETheadingx"/>
      </w:pPr>
      <w:r>
        <w:t>Assessment of catalysts</w:t>
      </w:r>
    </w:p>
    <w:p w14:paraId="327DD836" w14:textId="468BB5D1" w:rsidR="008410F0" w:rsidRDefault="00B4520B" w:rsidP="008410F0">
      <w:pPr>
        <w:pStyle w:val="CETBodytext"/>
      </w:pPr>
      <w:r>
        <w:t>The laboratory</w:t>
      </w:r>
      <w:r w:rsidR="00BA18D2">
        <w:t xml:space="preserve"> experiments were </w:t>
      </w:r>
      <w:r w:rsidR="006A7BD4">
        <w:t xml:space="preserve">designed to </w:t>
      </w:r>
      <w:r w:rsidR="00C10835">
        <w:t xml:space="preserve">look at hydrolysis of </w:t>
      </w:r>
      <w:r w:rsidR="00BB2B93">
        <w:t>different PET forms (</w:t>
      </w:r>
      <w:r w:rsidR="00C524A9">
        <w:t xml:space="preserve">pellets mimicking the PET on filters and </w:t>
      </w:r>
      <w:r w:rsidR="00094A9B">
        <w:t xml:space="preserve">carpet fibres), </w:t>
      </w:r>
      <w:r w:rsidR="00202F1E">
        <w:t>comparing</w:t>
      </w:r>
      <w:r w:rsidR="00094A9B">
        <w:t xml:space="preserve"> a homogeneous </w:t>
      </w:r>
      <w:r w:rsidR="00202F1E">
        <w:t>versus</w:t>
      </w:r>
      <w:r w:rsidR="00094A9B">
        <w:t xml:space="preserve"> heterogenous catalyst (ZnCl</w:t>
      </w:r>
      <w:r w:rsidR="00094A9B">
        <w:rPr>
          <w:vertAlign w:val="subscript"/>
        </w:rPr>
        <w:t>2</w:t>
      </w:r>
      <w:r w:rsidR="00094A9B">
        <w:t xml:space="preserve"> </w:t>
      </w:r>
      <w:r w:rsidR="00A47DB4">
        <w:t>vs Zn-</w:t>
      </w:r>
      <w:r w:rsidR="00A47DB4">
        <w:rPr>
          <w:rFonts w:cs="Arial"/>
        </w:rPr>
        <w:t>β</w:t>
      </w:r>
      <w:r w:rsidR="00A47DB4">
        <w:t xml:space="preserve">), </w:t>
      </w:r>
      <w:r w:rsidR="007D0F4A">
        <w:t>and</w:t>
      </w:r>
      <w:r w:rsidR="00202F1E">
        <w:t xml:space="preserve"> also considering the active metal (</w:t>
      </w:r>
      <w:r w:rsidR="00A47DB4">
        <w:t>Zn vs Pt</w:t>
      </w:r>
      <w:r w:rsidR="00202F1E">
        <w:t>)</w:t>
      </w:r>
      <w:r w:rsidR="00246020">
        <w:t>.</w:t>
      </w:r>
      <w:r w:rsidR="00202F1E">
        <w:t xml:space="preserve"> </w:t>
      </w:r>
    </w:p>
    <w:p w14:paraId="6A2AC4F4" w14:textId="77777777" w:rsidR="00896FC4" w:rsidRDefault="00896FC4" w:rsidP="008410F0">
      <w:pPr>
        <w:pStyle w:val="CETBodytext"/>
      </w:pPr>
    </w:p>
    <w:p w14:paraId="0C7E1B76" w14:textId="49BCCE6C" w:rsidR="00677A44" w:rsidRDefault="00596390" w:rsidP="00677A44">
      <w:pPr>
        <w:pStyle w:val="CETBodytext"/>
        <w:keepNext/>
      </w:pPr>
      <w:r>
        <w:rPr>
          <w:noProof/>
        </w:rPr>
        <w:drawing>
          <wp:inline distT="0" distB="0" distL="0" distR="0" wp14:anchorId="6B47F2DA" wp14:editId="3FC3AFAB">
            <wp:extent cx="4254500" cy="1860225"/>
            <wp:effectExtent l="0" t="0" r="0" b="6985"/>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14"/>
                    <a:stretch>
                      <a:fillRect/>
                    </a:stretch>
                  </pic:blipFill>
                  <pic:spPr>
                    <a:xfrm>
                      <a:off x="0" y="0"/>
                      <a:ext cx="4459986" cy="1950071"/>
                    </a:xfrm>
                    <a:prstGeom prst="rect">
                      <a:avLst/>
                    </a:prstGeom>
                  </pic:spPr>
                </pic:pic>
              </a:graphicData>
            </a:graphic>
          </wp:inline>
        </w:drawing>
      </w:r>
    </w:p>
    <w:p w14:paraId="7653761F" w14:textId="56546439" w:rsidR="000551BB" w:rsidRPr="00094A9B" w:rsidRDefault="00677A44" w:rsidP="00677A44">
      <w:pPr>
        <w:pStyle w:val="CETCaption"/>
      </w:pPr>
      <w:r>
        <w:t xml:space="preserve">Figure </w:t>
      </w:r>
      <w:r>
        <w:fldChar w:fldCharType="begin"/>
      </w:r>
      <w:r>
        <w:instrText xml:space="preserve"> SEQ Figure \* ARABIC </w:instrText>
      </w:r>
      <w:r>
        <w:fldChar w:fldCharType="separate"/>
      </w:r>
      <w:r w:rsidR="003709E4">
        <w:rPr>
          <w:noProof/>
        </w:rPr>
        <w:t>5</w:t>
      </w:r>
      <w:r>
        <w:fldChar w:fldCharType="end"/>
      </w:r>
      <w:r>
        <w:t xml:space="preserve">: </w:t>
      </w:r>
      <w:r w:rsidRPr="00EB0DA1">
        <w:t xml:space="preserve">Conversion and yield to TPA of 10 g of PET, 40 g of water, for 2 h at 250 °C </w:t>
      </w:r>
      <w:r w:rsidR="005C03D8">
        <w:t xml:space="preserve">and 41 bar </w:t>
      </w:r>
      <w:r w:rsidRPr="00EB0DA1">
        <w:t>(except for the last experiment</w:t>
      </w:r>
      <w:r w:rsidR="005C03D8">
        <w:t xml:space="preserve"> </w:t>
      </w:r>
      <w:r w:rsidR="00960C05">
        <w:t xml:space="preserve">- </w:t>
      </w:r>
      <w:r w:rsidR="005C03D8">
        <w:t xml:space="preserve">220 </w:t>
      </w:r>
      <w:r w:rsidR="005C03D8">
        <w:rPr>
          <w:rFonts w:cs="Arial"/>
        </w:rPr>
        <w:t>°</w:t>
      </w:r>
      <w:r w:rsidR="005C03D8">
        <w:t xml:space="preserve">C and </w:t>
      </w:r>
      <w:r w:rsidR="00960C05">
        <w:t>23 bar)</w:t>
      </w:r>
    </w:p>
    <w:p w14:paraId="1A29810D" w14:textId="77777777" w:rsidR="008410F0" w:rsidRDefault="008410F0" w:rsidP="00C52D4D">
      <w:pPr>
        <w:pStyle w:val="CETBodytext"/>
      </w:pPr>
    </w:p>
    <w:p w14:paraId="3AEABCB3" w14:textId="77777777" w:rsidR="008410F0" w:rsidRDefault="008410F0" w:rsidP="008410F0">
      <w:pPr>
        <w:pStyle w:val="CETBodytext"/>
      </w:pPr>
      <w:r>
        <w:t>The non-</w:t>
      </w:r>
      <w:proofErr w:type="spellStart"/>
      <w:r>
        <w:t>catalysed</w:t>
      </w:r>
      <w:proofErr w:type="spellEnd"/>
      <w:r>
        <w:t xml:space="preserve"> control experiment with pellets (Figure 5), </w:t>
      </w:r>
      <w:r w:rsidRPr="00202F1E">
        <w:t xml:space="preserve">resulted in an 85 % PET </w:t>
      </w:r>
      <w:r>
        <w:t>conversion and 63 % yield to TPA. When switching to fibres, the conversion increased slightly to 93 %, while the yield significantly to 86 %, likely due to the higher surface area allowing for more hydrolysis to occur within the 2 h reaction time, a conclusion also reached elsewhere. (Mishra et al., 2003)</w:t>
      </w:r>
    </w:p>
    <w:p w14:paraId="5A55E113" w14:textId="77777777" w:rsidR="008410F0" w:rsidRDefault="008410F0" w:rsidP="008410F0">
      <w:pPr>
        <w:pStyle w:val="CETBodytext"/>
      </w:pPr>
    </w:p>
    <w:p w14:paraId="2BA88758" w14:textId="77777777" w:rsidR="008410F0" w:rsidRDefault="008410F0" w:rsidP="008410F0">
      <w:pPr>
        <w:pStyle w:val="CETBodytext"/>
      </w:pPr>
      <w:r>
        <w:t>Upon the addition of any catalyst, the conversion increased slightly but consistently to near 100 %. Zinc was chosen as it is commonly used in industry to catalyse the esterification reaction between TPA and EG to form BHET before the polymerisation step to form PET. As this reaction is reversible, zinc has been found to catalyse the reverse reaction as well in previous studies in the form of zinc acetate (homogeneous). (Kamal et al., 1994) When comparing the zinc catalysts, the homogenous catalyst performed better with a 10% higher yield than the heterogeneous Zn-</w:t>
      </w:r>
      <w:r>
        <w:rPr>
          <w:rFonts w:cs="Arial"/>
        </w:rPr>
        <w:t>β</w:t>
      </w:r>
      <w:r>
        <w:t>. This is likely because of the nature of homogeneous catalysts being far less hindered in providing access to its active sites allowing for a faster reaction. The near 100 % conversion suggests that most of the PET was broken down into chains shorter than oligomers, but that some ester bonds remained unbroken as the yield was lower.</w:t>
      </w:r>
    </w:p>
    <w:p w14:paraId="0E2DDB8B" w14:textId="77777777" w:rsidR="008410F0" w:rsidRDefault="008410F0" w:rsidP="00C52D4D">
      <w:pPr>
        <w:pStyle w:val="CETBodytext"/>
      </w:pPr>
    </w:p>
    <w:p w14:paraId="0B3AB699" w14:textId="45489FF9" w:rsidR="00877A92" w:rsidRDefault="005F047E" w:rsidP="00C52D4D">
      <w:pPr>
        <w:pStyle w:val="CETBodytext"/>
      </w:pPr>
      <w:r>
        <w:t>When comparing</w:t>
      </w:r>
      <w:r w:rsidR="00C01BC5">
        <w:t xml:space="preserve"> Zn vs Pt as the active metal, Pt </w:t>
      </w:r>
      <w:r w:rsidR="00E64771">
        <w:t>wa</w:t>
      </w:r>
      <w:r w:rsidR="00C01BC5">
        <w:t>s superior</w:t>
      </w:r>
      <w:r w:rsidR="00255ACA">
        <w:t>, having results closely matching the homogeneous ZnCl</w:t>
      </w:r>
      <w:r w:rsidR="00255ACA">
        <w:rPr>
          <w:vertAlign w:val="subscript"/>
        </w:rPr>
        <w:t>2</w:t>
      </w:r>
      <w:r w:rsidR="00255ACA">
        <w:t xml:space="preserve"> catalyst.</w:t>
      </w:r>
      <w:r w:rsidR="00FC3E90">
        <w:t xml:space="preserve"> Interestingly, </w:t>
      </w:r>
      <w:r w:rsidR="00D46F2C">
        <w:t xml:space="preserve">dropping the temperature to 220 </w:t>
      </w:r>
      <w:r w:rsidR="00D46F2C">
        <w:rPr>
          <w:rFonts w:cs="Arial"/>
        </w:rPr>
        <w:t>°</w:t>
      </w:r>
      <w:r w:rsidR="00D46F2C">
        <w:t>C for Pt-</w:t>
      </w:r>
      <w:r w:rsidR="00D46F2C">
        <w:rPr>
          <w:rFonts w:cs="Arial"/>
        </w:rPr>
        <w:t>β</w:t>
      </w:r>
      <w:r w:rsidR="00D46F2C">
        <w:t xml:space="preserve"> did not reduce the </w:t>
      </w:r>
      <w:r w:rsidR="001525C6">
        <w:t>conversion or yield. Overall, however, the non-catalytic or control experiments suggested</w:t>
      </w:r>
      <w:r w:rsidR="009F09BA">
        <w:t xml:space="preserve"> from an industrial view that the purchase </w:t>
      </w:r>
      <w:r w:rsidR="00CD1A4E">
        <w:t>of catalysts were at present not justified</w:t>
      </w:r>
      <w:r w:rsidR="00877A92">
        <w:t>.</w:t>
      </w:r>
    </w:p>
    <w:p w14:paraId="3731D388" w14:textId="3BDCC1D9" w:rsidR="00877A92" w:rsidRDefault="00DE7F38" w:rsidP="00DE7F38">
      <w:pPr>
        <w:pStyle w:val="CETheadingx"/>
      </w:pPr>
      <w:r>
        <w:t>Repolymerisation of crude TPA</w:t>
      </w:r>
    </w:p>
    <w:p w14:paraId="1F058736" w14:textId="3A7A45CA" w:rsidR="00E64771" w:rsidRDefault="00E64771" w:rsidP="00E64771">
      <w:pPr>
        <w:pStyle w:val="CETBodytext"/>
      </w:pPr>
      <w:r>
        <w:t>The repolymerisation using the TPA produced from DEECOM</w:t>
      </w:r>
      <w:r w:rsidR="00821A76">
        <w:t>®</w:t>
      </w:r>
      <w:r>
        <w:t xml:space="preserve"> filter cleaning showed that th</w:t>
      </w:r>
      <w:r w:rsidR="009A78E1">
        <w:t>e</w:t>
      </w:r>
      <w:r>
        <w:t xml:space="preserve"> PET produced has characteristics in good agreement with literature, having a main degradation</w:t>
      </w:r>
      <w:r w:rsidR="009A78E1">
        <w:t xml:space="preserve"> stage </w:t>
      </w:r>
      <w:r w:rsidR="00821A76">
        <w:t>within</w:t>
      </w:r>
      <w:r w:rsidR="009A78E1">
        <w:t xml:space="preserve"> 400 and 500 </w:t>
      </w:r>
      <w:r w:rsidR="009A78E1">
        <w:rPr>
          <w:rFonts w:cs="Arial"/>
        </w:rPr>
        <w:t>°</w:t>
      </w:r>
      <w:r w:rsidR="009A78E1">
        <w:t>C,</w:t>
      </w:r>
    </w:p>
    <w:p w14:paraId="2D15B391" w14:textId="77777777" w:rsidR="00821A76" w:rsidRPr="00E64771" w:rsidRDefault="00821A76" w:rsidP="00E64771">
      <w:pPr>
        <w:pStyle w:val="CETBodytext"/>
      </w:pPr>
    </w:p>
    <w:p w14:paraId="3669D031" w14:textId="77777777" w:rsidR="003709E4" w:rsidRDefault="006E2E59" w:rsidP="003709E4">
      <w:pPr>
        <w:pStyle w:val="CETBodytext"/>
        <w:keepNext/>
      </w:pPr>
      <w:r>
        <w:rPr>
          <w:noProof/>
        </w:rPr>
        <w:drawing>
          <wp:inline distT="0" distB="0" distL="0" distR="0" wp14:anchorId="2E3DBF66" wp14:editId="32F0AA55">
            <wp:extent cx="3454400" cy="1847850"/>
            <wp:effectExtent l="0" t="0" r="12700" b="0"/>
            <wp:docPr id="1" name="Chart 1">
              <a:extLst xmlns:a="http://schemas.openxmlformats.org/drawingml/2006/main">
                <a:ext uri="{FF2B5EF4-FFF2-40B4-BE49-F238E27FC236}">
                  <a16:creationId xmlns:a16="http://schemas.microsoft.com/office/drawing/2014/main" id="{00FBDEF3-4127-402C-8CD9-642579AF84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0F52D88" w14:textId="24C42149" w:rsidR="00DE7F38" w:rsidRPr="00255ACA" w:rsidRDefault="003709E4" w:rsidP="003709E4">
      <w:pPr>
        <w:pStyle w:val="CETCaption"/>
      </w:pPr>
      <w:r>
        <w:t xml:space="preserve">Figure </w:t>
      </w:r>
      <w:r>
        <w:fldChar w:fldCharType="begin"/>
      </w:r>
      <w:r>
        <w:instrText xml:space="preserve"> SEQ Figure \* ARABIC </w:instrText>
      </w:r>
      <w:r>
        <w:fldChar w:fldCharType="separate"/>
      </w:r>
      <w:r>
        <w:rPr>
          <w:noProof/>
        </w:rPr>
        <w:t>6</w:t>
      </w:r>
      <w:r>
        <w:fldChar w:fldCharType="end"/>
      </w:r>
      <w:r>
        <w:t>: TGA of repolymerised PET compared to literature data</w:t>
      </w:r>
    </w:p>
    <w:p w14:paraId="7BE6534A" w14:textId="68A993E7" w:rsidR="00E64771" w:rsidRPr="00C52D4D" w:rsidRDefault="00CC7DAD" w:rsidP="00C52D4D">
      <w:pPr>
        <w:pStyle w:val="CETBodytext"/>
      </w:pPr>
      <w:r>
        <w:t xml:space="preserve">followed by a very slow degradation </w:t>
      </w:r>
      <w:r w:rsidR="002C6389">
        <w:t xml:space="preserve">step </w:t>
      </w:r>
      <w:r w:rsidR="004326F7">
        <w:t>which begins at approximately 20 wt%</w:t>
      </w:r>
      <w:r w:rsidR="00E64771">
        <w:t xml:space="preserve"> (Figure 6)</w:t>
      </w:r>
      <w:r w:rsidR="004326F7">
        <w:t xml:space="preserve">. </w:t>
      </w:r>
      <w:r w:rsidR="004125DF">
        <w:t>This slow step is attributed to the formation of stabilized compounds from interlinking of PET decomposition products.</w:t>
      </w:r>
      <w:r w:rsidR="008750C0">
        <w:t xml:space="preserve"> (Adnan et al., 2015) An absence of any other degradation stages s</w:t>
      </w:r>
      <w:r w:rsidR="003305BD">
        <w:t xml:space="preserve">uggests the PET sample has </w:t>
      </w:r>
      <w:r w:rsidR="00ED0BD1">
        <w:t>no significant impurities.</w:t>
      </w:r>
      <w:r w:rsidR="007D0F4A">
        <w:t xml:space="preserve"> </w:t>
      </w:r>
      <w:r w:rsidR="00E64771">
        <w:t>The DSC and GPC results will have implications on not only the resulting PET’s quality, but also its processability (Table 1). The molecular weight distribution (MWD) affects the polymer’s flow viscosity. Having a similar melting</w:t>
      </w:r>
    </w:p>
    <w:p w14:paraId="6A5167CF" w14:textId="656FEA3C" w:rsidR="00600535" w:rsidRPr="00B57B36" w:rsidRDefault="00600535" w:rsidP="00600535">
      <w:pPr>
        <w:pStyle w:val="CETTabletitle"/>
      </w:pPr>
      <w:r w:rsidRPr="00B57B36">
        <w:t xml:space="preserve">Table 1: </w:t>
      </w:r>
      <w:r w:rsidR="006827C5">
        <w:t>DSC and GPC results comparing the repolymerised PET to literature data for fibre-grade PET</w:t>
      </w:r>
      <w:r w:rsidR="00DE7170">
        <w:t xml:space="preserve"> (DSC data from </w:t>
      </w:r>
      <w:r w:rsidR="002C7203">
        <w:t xml:space="preserve">Demirel et al., 2011, GPC data from </w:t>
      </w:r>
      <w:r w:rsidR="005E3B94">
        <w:t>Farah et al., 2015)</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43"/>
        <w:gridCol w:w="1027"/>
        <w:gridCol w:w="1028"/>
        <w:gridCol w:w="1028"/>
        <w:gridCol w:w="1028"/>
      </w:tblGrid>
      <w:tr w:rsidR="00600535" w:rsidRPr="00B57B36" w14:paraId="4B29AA51" w14:textId="77777777" w:rsidTr="00C25C30">
        <w:tc>
          <w:tcPr>
            <w:tcW w:w="1843" w:type="dxa"/>
            <w:tcBorders>
              <w:top w:val="single" w:sz="12" w:space="0" w:color="008000"/>
              <w:bottom w:val="single" w:sz="6" w:space="0" w:color="008000"/>
            </w:tcBorders>
            <w:shd w:val="clear" w:color="auto" w:fill="FFFFFF"/>
          </w:tcPr>
          <w:p w14:paraId="500859EC" w14:textId="391A118F" w:rsidR="00600535" w:rsidRPr="00B57B36" w:rsidRDefault="00FB1F2E" w:rsidP="00507B47">
            <w:pPr>
              <w:pStyle w:val="CETBodytext"/>
              <w:rPr>
                <w:lang w:val="en-GB"/>
              </w:rPr>
            </w:pPr>
            <w:r>
              <w:rPr>
                <w:lang w:val="en-GB"/>
              </w:rPr>
              <w:t>Sample</w:t>
            </w:r>
            <w:r w:rsidR="00600535" w:rsidRPr="00B57B36">
              <w:rPr>
                <w:lang w:val="en-GB"/>
              </w:rPr>
              <w:t xml:space="preserve"> </w:t>
            </w:r>
          </w:p>
        </w:tc>
        <w:tc>
          <w:tcPr>
            <w:tcW w:w="1027" w:type="dxa"/>
            <w:tcBorders>
              <w:top w:val="single" w:sz="12" w:space="0" w:color="008000"/>
              <w:bottom w:val="single" w:sz="6" w:space="0" w:color="008000"/>
            </w:tcBorders>
            <w:shd w:val="clear" w:color="auto" w:fill="FFFFFF"/>
          </w:tcPr>
          <w:p w14:paraId="6B6E97E3" w14:textId="7F18CFFA" w:rsidR="00600535" w:rsidRPr="00FB1F2E" w:rsidRDefault="00FB1F2E" w:rsidP="00507B47">
            <w:pPr>
              <w:pStyle w:val="CETBodytext"/>
              <w:rPr>
                <w:lang w:val="en-GB"/>
              </w:rPr>
            </w:pPr>
            <w:r>
              <w:rPr>
                <w:lang w:val="en-GB"/>
              </w:rPr>
              <w:t>T</w:t>
            </w:r>
            <w:r w:rsidR="00CE7DD7">
              <w:rPr>
                <w:vertAlign w:val="subscript"/>
                <w:lang w:val="en-GB"/>
              </w:rPr>
              <w:t>c</w:t>
            </w:r>
            <w:r>
              <w:rPr>
                <w:lang w:val="en-GB"/>
              </w:rPr>
              <w:t xml:space="preserve"> (</w:t>
            </w:r>
            <w:r>
              <w:rPr>
                <w:rFonts w:cs="Arial"/>
                <w:lang w:val="en-GB"/>
              </w:rPr>
              <w:t>°</w:t>
            </w:r>
            <w:r>
              <w:rPr>
                <w:lang w:val="en-GB"/>
              </w:rPr>
              <w:t>C)</w:t>
            </w:r>
          </w:p>
        </w:tc>
        <w:tc>
          <w:tcPr>
            <w:tcW w:w="1028" w:type="dxa"/>
            <w:tcBorders>
              <w:top w:val="single" w:sz="12" w:space="0" w:color="008000"/>
              <w:bottom w:val="single" w:sz="6" w:space="0" w:color="008000"/>
            </w:tcBorders>
            <w:shd w:val="clear" w:color="auto" w:fill="FFFFFF"/>
          </w:tcPr>
          <w:p w14:paraId="0CC5C18D" w14:textId="7E6D9C45" w:rsidR="00600535" w:rsidRPr="00B57B36" w:rsidRDefault="00FB1F2E" w:rsidP="00507B47">
            <w:pPr>
              <w:pStyle w:val="CETBodytext"/>
              <w:rPr>
                <w:lang w:val="en-GB"/>
              </w:rPr>
            </w:pPr>
            <w:r>
              <w:rPr>
                <w:lang w:val="en-GB"/>
              </w:rPr>
              <w:t>T</w:t>
            </w:r>
            <w:r w:rsidR="00CE7DD7">
              <w:rPr>
                <w:vertAlign w:val="subscript"/>
                <w:lang w:val="en-GB"/>
              </w:rPr>
              <w:t>m</w:t>
            </w:r>
            <w:r>
              <w:rPr>
                <w:lang w:val="en-GB"/>
              </w:rPr>
              <w:t xml:space="preserve"> (</w:t>
            </w:r>
            <w:r>
              <w:rPr>
                <w:rFonts w:cs="Arial"/>
                <w:lang w:val="en-GB"/>
              </w:rPr>
              <w:t>°</w:t>
            </w:r>
            <w:r>
              <w:rPr>
                <w:lang w:val="en-GB"/>
              </w:rPr>
              <w:t>C)</w:t>
            </w:r>
          </w:p>
        </w:tc>
        <w:tc>
          <w:tcPr>
            <w:tcW w:w="1028" w:type="dxa"/>
            <w:tcBorders>
              <w:top w:val="single" w:sz="12" w:space="0" w:color="008000"/>
              <w:bottom w:val="single" w:sz="6" w:space="0" w:color="008000"/>
            </w:tcBorders>
            <w:shd w:val="clear" w:color="auto" w:fill="FFFFFF"/>
          </w:tcPr>
          <w:p w14:paraId="199EE8DC" w14:textId="0647C5BE" w:rsidR="00600535" w:rsidRPr="00FB1F2E" w:rsidRDefault="00FB1F2E" w:rsidP="00507B47">
            <w:pPr>
              <w:pStyle w:val="CETBodytext"/>
              <w:ind w:right="-1"/>
              <w:rPr>
                <w:rFonts w:cs="Arial"/>
                <w:szCs w:val="18"/>
                <w:lang w:val="en-GB"/>
              </w:rPr>
            </w:pPr>
            <w:r>
              <w:rPr>
                <w:rFonts w:cs="Arial"/>
                <w:szCs w:val="18"/>
                <w:lang w:val="en-GB"/>
              </w:rPr>
              <w:t>M</w:t>
            </w:r>
            <w:r>
              <w:rPr>
                <w:rFonts w:cs="Arial"/>
                <w:szCs w:val="18"/>
                <w:vertAlign w:val="subscript"/>
                <w:lang w:val="en-GB"/>
              </w:rPr>
              <w:t>w</w:t>
            </w:r>
            <w:r>
              <w:rPr>
                <w:rFonts w:cs="Arial"/>
                <w:szCs w:val="18"/>
                <w:lang w:val="en-GB"/>
              </w:rPr>
              <w:t xml:space="preserve"> (g mol</w:t>
            </w:r>
            <w:r>
              <w:rPr>
                <w:rFonts w:cs="Arial"/>
                <w:szCs w:val="18"/>
                <w:vertAlign w:val="superscript"/>
                <w:lang w:val="en-GB"/>
              </w:rPr>
              <w:t>-1</w:t>
            </w:r>
            <w:r>
              <w:rPr>
                <w:rFonts w:cs="Arial"/>
                <w:szCs w:val="18"/>
                <w:lang w:val="en-GB"/>
              </w:rPr>
              <w:t>)</w:t>
            </w:r>
          </w:p>
        </w:tc>
        <w:tc>
          <w:tcPr>
            <w:tcW w:w="1028" w:type="dxa"/>
            <w:tcBorders>
              <w:top w:val="single" w:sz="12" w:space="0" w:color="008000"/>
              <w:bottom w:val="single" w:sz="6" w:space="0" w:color="008000"/>
            </w:tcBorders>
            <w:shd w:val="clear" w:color="auto" w:fill="FFFFFF"/>
          </w:tcPr>
          <w:p w14:paraId="005800F7" w14:textId="759B238E" w:rsidR="00600535" w:rsidRPr="00B57B36" w:rsidRDefault="00FB1F2E" w:rsidP="00507B47">
            <w:pPr>
              <w:pStyle w:val="CETBodytext"/>
              <w:ind w:right="-1"/>
              <w:rPr>
                <w:rFonts w:cs="Arial"/>
                <w:szCs w:val="18"/>
                <w:lang w:val="en-GB"/>
              </w:rPr>
            </w:pPr>
            <w:r>
              <w:rPr>
                <w:rFonts w:cs="Arial"/>
                <w:szCs w:val="18"/>
                <w:lang w:val="en-GB"/>
              </w:rPr>
              <w:t>M</w:t>
            </w:r>
            <w:r>
              <w:rPr>
                <w:rFonts w:cs="Arial"/>
                <w:szCs w:val="18"/>
                <w:vertAlign w:val="subscript"/>
                <w:lang w:val="en-GB"/>
              </w:rPr>
              <w:t>n</w:t>
            </w:r>
            <w:r>
              <w:rPr>
                <w:rFonts w:cs="Arial"/>
                <w:szCs w:val="18"/>
                <w:lang w:val="en-GB"/>
              </w:rPr>
              <w:t xml:space="preserve"> (g mol</w:t>
            </w:r>
            <w:r>
              <w:rPr>
                <w:rFonts w:cs="Arial"/>
                <w:szCs w:val="18"/>
                <w:vertAlign w:val="superscript"/>
                <w:lang w:val="en-GB"/>
              </w:rPr>
              <w:t>-1</w:t>
            </w:r>
            <w:r>
              <w:rPr>
                <w:rFonts w:cs="Arial"/>
                <w:szCs w:val="18"/>
                <w:lang w:val="en-GB"/>
              </w:rPr>
              <w:t>)</w:t>
            </w:r>
          </w:p>
        </w:tc>
      </w:tr>
      <w:tr w:rsidR="006827C5" w:rsidRPr="00B57B36" w14:paraId="6A17E816" w14:textId="77777777" w:rsidTr="00C25C30">
        <w:tc>
          <w:tcPr>
            <w:tcW w:w="1843" w:type="dxa"/>
            <w:tcBorders>
              <w:top w:val="single" w:sz="12" w:space="0" w:color="008000"/>
              <w:bottom w:val="single" w:sz="6" w:space="0" w:color="008000"/>
            </w:tcBorders>
            <w:shd w:val="clear" w:color="auto" w:fill="FFFFFF"/>
          </w:tcPr>
          <w:p w14:paraId="65F13D63" w14:textId="285ABFBA" w:rsidR="006827C5" w:rsidRDefault="006827C5" w:rsidP="00507B47">
            <w:pPr>
              <w:pStyle w:val="CETBodytext"/>
              <w:rPr>
                <w:lang w:val="en-GB"/>
              </w:rPr>
            </w:pPr>
            <w:r>
              <w:rPr>
                <w:lang w:val="en-GB"/>
              </w:rPr>
              <w:t>Repolymerised PET</w:t>
            </w:r>
          </w:p>
        </w:tc>
        <w:tc>
          <w:tcPr>
            <w:tcW w:w="1027" w:type="dxa"/>
            <w:tcBorders>
              <w:top w:val="single" w:sz="12" w:space="0" w:color="008000"/>
              <w:bottom w:val="single" w:sz="6" w:space="0" w:color="008000"/>
            </w:tcBorders>
            <w:shd w:val="clear" w:color="auto" w:fill="FFFFFF"/>
          </w:tcPr>
          <w:p w14:paraId="72CCDF8B" w14:textId="419BE1F4" w:rsidR="006827C5" w:rsidRDefault="006827C5" w:rsidP="00507B47">
            <w:pPr>
              <w:pStyle w:val="CETBodytext"/>
              <w:rPr>
                <w:lang w:val="en-GB"/>
              </w:rPr>
            </w:pPr>
            <w:r>
              <w:rPr>
                <w:lang w:val="en-GB"/>
              </w:rPr>
              <w:t>149</w:t>
            </w:r>
          </w:p>
        </w:tc>
        <w:tc>
          <w:tcPr>
            <w:tcW w:w="1028" w:type="dxa"/>
            <w:tcBorders>
              <w:top w:val="single" w:sz="12" w:space="0" w:color="008000"/>
              <w:bottom w:val="single" w:sz="6" w:space="0" w:color="008000"/>
            </w:tcBorders>
            <w:shd w:val="clear" w:color="auto" w:fill="FFFFFF"/>
          </w:tcPr>
          <w:p w14:paraId="38A8DCDF" w14:textId="364E7196" w:rsidR="006827C5" w:rsidRDefault="006827C5" w:rsidP="00507B47">
            <w:pPr>
              <w:pStyle w:val="CETBodytext"/>
              <w:rPr>
                <w:lang w:val="en-GB"/>
              </w:rPr>
            </w:pPr>
            <w:r>
              <w:rPr>
                <w:lang w:val="en-GB"/>
              </w:rPr>
              <w:t>247</w:t>
            </w:r>
          </w:p>
        </w:tc>
        <w:tc>
          <w:tcPr>
            <w:tcW w:w="1028" w:type="dxa"/>
            <w:tcBorders>
              <w:top w:val="single" w:sz="12" w:space="0" w:color="008000"/>
              <w:bottom w:val="single" w:sz="6" w:space="0" w:color="008000"/>
            </w:tcBorders>
            <w:shd w:val="clear" w:color="auto" w:fill="FFFFFF"/>
          </w:tcPr>
          <w:p w14:paraId="412E16C7" w14:textId="2027D1B4" w:rsidR="006827C5" w:rsidRDefault="006827C5" w:rsidP="00507B47">
            <w:pPr>
              <w:pStyle w:val="CETBodytext"/>
              <w:ind w:right="-1"/>
              <w:rPr>
                <w:rFonts w:cs="Arial"/>
                <w:szCs w:val="18"/>
                <w:lang w:val="en-GB"/>
              </w:rPr>
            </w:pPr>
            <w:r>
              <w:rPr>
                <w:rFonts w:cs="Arial"/>
                <w:szCs w:val="18"/>
                <w:lang w:val="en-GB"/>
              </w:rPr>
              <w:t>29900</w:t>
            </w:r>
          </w:p>
        </w:tc>
        <w:tc>
          <w:tcPr>
            <w:tcW w:w="1028" w:type="dxa"/>
            <w:tcBorders>
              <w:top w:val="single" w:sz="12" w:space="0" w:color="008000"/>
              <w:bottom w:val="single" w:sz="6" w:space="0" w:color="008000"/>
            </w:tcBorders>
            <w:shd w:val="clear" w:color="auto" w:fill="FFFFFF"/>
          </w:tcPr>
          <w:p w14:paraId="202C99E0" w14:textId="1357DF6F" w:rsidR="006827C5" w:rsidRDefault="006827C5" w:rsidP="00507B47">
            <w:pPr>
              <w:pStyle w:val="CETBodytext"/>
              <w:ind w:right="-1"/>
              <w:rPr>
                <w:rFonts w:cs="Arial"/>
                <w:szCs w:val="18"/>
                <w:lang w:val="en-GB"/>
              </w:rPr>
            </w:pPr>
            <w:r>
              <w:rPr>
                <w:rFonts w:cs="Arial"/>
                <w:szCs w:val="18"/>
                <w:lang w:val="en-GB"/>
              </w:rPr>
              <w:t>3000</w:t>
            </w:r>
          </w:p>
        </w:tc>
      </w:tr>
      <w:tr w:rsidR="00B513B6" w:rsidRPr="00B57B36" w14:paraId="1777C522" w14:textId="77777777" w:rsidTr="00C25C30">
        <w:tc>
          <w:tcPr>
            <w:tcW w:w="1843" w:type="dxa"/>
            <w:shd w:val="clear" w:color="auto" w:fill="FFFFFF"/>
          </w:tcPr>
          <w:p w14:paraId="59954EC2" w14:textId="73C75064" w:rsidR="00B513B6" w:rsidRPr="00B57B36" w:rsidRDefault="00B513B6" w:rsidP="00B513B6">
            <w:pPr>
              <w:pStyle w:val="CETBodytext"/>
              <w:ind w:right="-1"/>
              <w:rPr>
                <w:rFonts w:cs="Arial"/>
                <w:szCs w:val="18"/>
                <w:lang w:val="en-GB"/>
              </w:rPr>
            </w:pPr>
            <w:r>
              <w:rPr>
                <w:lang w:val="en-GB"/>
              </w:rPr>
              <w:t>Fibre-grade PET</w:t>
            </w:r>
          </w:p>
        </w:tc>
        <w:tc>
          <w:tcPr>
            <w:tcW w:w="1027" w:type="dxa"/>
            <w:shd w:val="clear" w:color="auto" w:fill="FFFFFF"/>
          </w:tcPr>
          <w:p w14:paraId="4FFB40F7" w14:textId="40640556" w:rsidR="00B513B6" w:rsidRPr="00B57B36" w:rsidRDefault="00B513B6" w:rsidP="00B513B6">
            <w:pPr>
              <w:pStyle w:val="CETBodytext"/>
              <w:ind w:right="-1"/>
              <w:rPr>
                <w:rFonts w:cs="Arial"/>
                <w:szCs w:val="18"/>
                <w:lang w:val="en-GB"/>
              </w:rPr>
            </w:pPr>
            <w:r>
              <w:rPr>
                <w:lang w:val="en-GB"/>
              </w:rPr>
              <w:t>150</w:t>
            </w:r>
          </w:p>
        </w:tc>
        <w:tc>
          <w:tcPr>
            <w:tcW w:w="1028" w:type="dxa"/>
            <w:shd w:val="clear" w:color="auto" w:fill="FFFFFF"/>
          </w:tcPr>
          <w:p w14:paraId="74F8316C" w14:textId="582D9B91" w:rsidR="00B513B6" w:rsidRPr="00B57B36" w:rsidRDefault="00B513B6" w:rsidP="00B513B6">
            <w:pPr>
              <w:pStyle w:val="CETBodytext"/>
              <w:ind w:right="-1"/>
              <w:rPr>
                <w:rFonts w:cs="Arial"/>
                <w:szCs w:val="18"/>
                <w:lang w:val="en-GB"/>
              </w:rPr>
            </w:pPr>
            <w:r>
              <w:rPr>
                <w:lang w:val="en-GB"/>
              </w:rPr>
              <w:t>248</w:t>
            </w:r>
          </w:p>
        </w:tc>
        <w:tc>
          <w:tcPr>
            <w:tcW w:w="1028" w:type="dxa"/>
            <w:shd w:val="clear" w:color="auto" w:fill="FFFFFF"/>
          </w:tcPr>
          <w:p w14:paraId="708CF970" w14:textId="68B5F605" w:rsidR="00B513B6" w:rsidRPr="00B57B36" w:rsidRDefault="00B513B6" w:rsidP="00B513B6">
            <w:pPr>
              <w:pStyle w:val="CETBodytext"/>
              <w:ind w:right="-1"/>
              <w:rPr>
                <w:rFonts w:cs="Arial"/>
                <w:szCs w:val="18"/>
                <w:lang w:val="en-GB"/>
              </w:rPr>
            </w:pPr>
            <w:r>
              <w:rPr>
                <w:rFonts w:cs="Arial"/>
                <w:szCs w:val="18"/>
                <w:lang w:val="en-GB"/>
              </w:rPr>
              <w:t>33700</w:t>
            </w:r>
          </w:p>
        </w:tc>
        <w:tc>
          <w:tcPr>
            <w:tcW w:w="1028" w:type="dxa"/>
            <w:shd w:val="clear" w:color="auto" w:fill="FFFFFF"/>
          </w:tcPr>
          <w:p w14:paraId="6B4A2B9B" w14:textId="27AC10AF" w:rsidR="00B513B6" w:rsidRPr="00B57B36" w:rsidRDefault="00B513B6" w:rsidP="00B513B6">
            <w:pPr>
              <w:pStyle w:val="CETBodytext"/>
              <w:ind w:right="-1"/>
              <w:rPr>
                <w:rFonts w:cs="Arial"/>
                <w:szCs w:val="18"/>
                <w:lang w:val="en-GB"/>
              </w:rPr>
            </w:pPr>
            <w:r>
              <w:rPr>
                <w:rFonts w:cs="Arial"/>
                <w:szCs w:val="18"/>
                <w:lang w:val="en-GB"/>
              </w:rPr>
              <w:t>20000</w:t>
            </w:r>
          </w:p>
        </w:tc>
      </w:tr>
    </w:tbl>
    <w:p w14:paraId="7F7AABE0" w14:textId="6C146CF3" w:rsidR="00635A91" w:rsidRDefault="00635A91" w:rsidP="00942EEF">
      <w:pPr>
        <w:pStyle w:val="CETBodytext"/>
      </w:pPr>
    </w:p>
    <w:p w14:paraId="5074C967" w14:textId="6A777A18" w:rsidR="00942EEF" w:rsidRPr="004215C3" w:rsidRDefault="00BB7BB6" w:rsidP="00942EEF">
      <w:pPr>
        <w:pStyle w:val="CETBodytext"/>
      </w:pPr>
      <w:r>
        <w:t xml:space="preserve">temperature and </w:t>
      </w:r>
      <w:r w:rsidR="00A77797">
        <w:t xml:space="preserve">MWD to commercial PET </w:t>
      </w:r>
      <w:r w:rsidR="00830BA2">
        <w:t>would mean</w:t>
      </w:r>
      <w:r w:rsidR="007D0F4A">
        <w:t xml:space="preserve"> that</w:t>
      </w:r>
      <w:r w:rsidR="00830BA2">
        <w:t xml:space="preserve"> the repolymerised PET can be a drop-in replacement</w:t>
      </w:r>
      <w:r w:rsidR="00AE4ECE">
        <w:t xml:space="preserve"> for virgin PET. </w:t>
      </w:r>
      <w:r w:rsidR="00277EF0">
        <w:t xml:space="preserve">The </w:t>
      </w:r>
      <w:r w:rsidR="00B5342E">
        <w:t>crystallinity and melting temperatures have</w:t>
      </w:r>
      <w:r w:rsidR="00277EF0">
        <w:t xml:space="preserve"> good agreement with literature</w:t>
      </w:r>
      <w:r w:rsidR="00915550">
        <w:t xml:space="preserve">. </w:t>
      </w:r>
      <w:r w:rsidR="009B3A1B">
        <w:t xml:space="preserve">While </w:t>
      </w:r>
      <w:r w:rsidR="004215C3">
        <w:t xml:space="preserve">the </w:t>
      </w:r>
      <w:r w:rsidR="00002C40">
        <w:t>weight average molecular weight (M</w:t>
      </w:r>
      <w:r w:rsidR="00002C40">
        <w:rPr>
          <w:vertAlign w:val="subscript"/>
        </w:rPr>
        <w:t>w</w:t>
      </w:r>
      <w:r w:rsidR="00002C40">
        <w:t>) approache</w:t>
      </w:r>
      <w:r w:rsidR="009B3A1B">
        <w:t>d</w:t>
      </w:r>
      <w:r w:rsidR="00002C40">
        <w:t xml:space="preserve"> that of commercial PET, </w:t>
      </w:r>
      <w:r w:rsidR="004215C3">
        <w:t>the polymerisation was not fully completed leading to a low number average molecular weight (M</w:t>
      </w:r>
      <w:r w:rsidR="004215C3">
        <w:rPr>
          <w:vertAlign w:val="subscript"/>
        </w:rPr>
        <w:t>n</w:t>
      </w:r>
      <w:r w:rsidR="004215C3">
        <w:t>).</w:t>
      </w:r>
      <w:r w:rsidR="009B3A1B" w:rsidRPr="009B3A1B">
        <w:t xml:space="preserve"> </w:t>
      </w:r>
      <w:r w:rsidR="009B3A1B">
        <w:t>This incomplete polymeri</w:t>
      </w:r>
      <w:r w:rsidR="007D0F4A">
        <w:t>s</w:t>
      </w:r>
      <w:r w:rsidR="009B3A1B">
        <w:t>ation was due to the necessity of</w:t>
      </w:r>
      <w:r w:rsidR="0059178A">
        <w:t xml:space="preserve"> low to atmospheric pressure in</w:t>
      </w:r>
      <w:r w:rsidR="009B3A1B">
        <w:t xml:space="preserve"> </w:t>
      </w:r>
      <w:r w:rsidR="0059178A">
        <w:t xml:space="preserve">the </w:t>
      </w:r>
      <w:r w:rsidR="009B3A1B">
        <w:t>laboratory synthesis</w:t>
      </w:r>
      <w:r w:rsidR="0059178A">
        <w:t xml:space="preserve"> (DMT)</w:t>
      </w:r>
      <w:r w:rsidR="009B3A1B">
        <w:t xml:space="preserve"> route chosen.</w:t>
      </w:r>
      <w:r w:rsidR="0059178A">
        <w:t xml:space="preserve"> Future </w:t>
      </w:r>
      <w:r w:rsidR="0059178A">
        <w:lastRenderedPageBreak/>
        <w:t xml:space="preserve">work will adapt the high pressure autoclave used </w:t>
      </w:r>
      <w:r w:rsidR="00DD0B91">
        <w:t>in</w:t>
      </w:r>
      <w:r w:rsidR="0059178A">
        <w:t xml:space="preserve"> depolymerisation for repolymerisation via the TPA synthesis route which would require pressures</w:t>
      </w:r>
      <w:r w:rsidR="00821A76">
        <w:t xml:space="preserve"> of</w:t>
      </w:r>
      <w:r w:rsidR="0059178A">
        <w:t xml:space="preserve"> around 3 bar.</w:t>
      </w:r>
    </w:p>
    <w:p w14:paraId="2D77375D" w14:textId="4562EF14" w:rsidR="00BA6477" w:rsidRPr="000B20E1" w:rsidRDefault="00600535" w:rsidP="00600535">
      <w:pPr>
        <w:pStyle w:val="CETHeading1"/>
        <w:rPr>
          <w:lang w:val="en-GB"/>
        </w:rPr>
      </w:pPr>
      <w:r w:rsidRPr="00B57B36">
        <w:rPr>
          <w:lang w:val="en-GB"/>
        </w:rPr>
        <w:t>Conclusions</w:t>
      </w:r>
    </w:p>
    <w:p w14:paraId="2D807913" w14:textId="3D1CD63A" w:rsidR="00BA6477" w:rsidRDefault="004840C0" w:rsidP="00600535">
      <w:pPr>
        <w:pStyle w:val="CETBodytext"/>
        <w:rPr>
          <w:lang w:val="en-GB"/>
        </w:rPr>
      </w:pPr>
      <w:r>
        <w:rPr>
          <w:lang w:val="en-GB"/>
        </w:rPr>
        <w:t>In summary, the present work has determined that the superheated steam industrial cleaning process (300</w:t>
      </w:r>
      <w:r>
        <w:rPr>
          <w:rFonts w:cs="Arial"/>
          <w:lang w:val="en-GB"/>
        </w:rPr>
        <w:t>°</w:t>
      </w:r>
      <w:r>
        <w:rPr>
          <w:lang w:val="en-GB"/>
        </w:rPr>
        <w:t xml:space="preserve">C, 3 barg, 16 hours) provides a consistent PET conversion and yield to TPA of approximately 80% across four filters with the presence of contaminants. </w:t>
      </w:r>
      <w:r w:rsidR="001805B8">
        <w:rPr>
          <w:lang w:val="en-GB"/>
        </w:rPr>
        <w:t xml:space="preserve">Heterogeneous </w:t>
      </w:r>
      <w:r w:rsidR="00E50672">
        <w:rPr>
          <w:lang w:val="en-GB"/>
        </w:rPr>
        <w:t>catalysts 10 wt% Zn-</w:t>
      </w:r>
      <w:r w:rsidR="00E50672">
        <w:rPr>
          <w:rFonts w:cs="Arial"/>
          <w:lang w:val="en-GB"/>
        </w:rPr>
        <w:t>β</w:t>
      </w:r>
      <w:r w:rsidR="00E50672">
        <w:rPr>
          <w:lang w:val="en-GB"/>
        </w:rPr>
        <w:t xml:space="preserve"> and 1 wt% Pt-</w:t>
      </w:r>
      <w:r w:rsidR="00E50672">
        <w:rPr>
          <w:rFonts w:cs="Arial"/>
          <w:lang w:val="en-GB"/>
        </w:rPr>
        <w:t>β</w:t>
      </w:r>
      <w:r w:rsidR="005932EA">
        <w:rPr>
          <w:lang w:val="en-GB"/>
        </w:rPr>
        <w:t xml:space="preserve"> and homogeneous catalyst ZnCl</w:t>
      </w:r>
      <w:r w:rsidR="005932EA">
        <w:rPr>
          <w:vertAlign w:val="subscript"/>
          <w:lang w:val="en-GB"/>
        </w:rPr>
        <w:t>2</w:t>
      </w:r>
      <w:r w:rsidR="005932EA">
        <w:rPr>
          <w:lang w:val="en-GB"/>
        </w:rPr>
        <w:t xml:space="preserve"> were assessed for the neutral hydrolysis of PET</w:t>
      </w:r>
      <w:r w:rsidR="000E6086">
        <w:rPr>
          <w:lang w:val="en-GB"/>
        </w:rPr>
        <w:t xml:space="preserve"> in a laboratory scale reactor. The catalysts showed </w:t>
      </w:r>
      <w:r w:rsidR="00404E97">
        <w:rPr>
          <w:lang w:val="en-GB"/>
        </w:rPr>
        <w:t xml:space="preserve">only a marginal improvement over the control experiment, </w:t>
      </w:r>
      <w:r w:rsidR="00EB34EE">
        <w:rPr>
          <w:lang w:val="en-GB"/>
        </w:rPr>
        <w:t xml:space="preserve">and thus determined to be not worth the </w:t>
      </w:r>
      <w:r w:rsidR="004722B6">
        <w:rPr>
          <w:lang w:val="en-GB"/>
        </w:rPr>
        <w:t>potential costs at present. Crude waste TPA from the industrial process</w:t>
      </w:r>
      <w:r w:rsidR="001678B8">
        <w:rPr>
          <w:lang w:val="en-GB"/>
        </w:rPr>
        <w:t xml:space="preserve"> was purified and repolymerised to PET via the DMT synthesis route. The TGA results showed the resulting PET was of a good purity, and </w:t>
      </w:r>
      <w:r w:rsidR="00721755">
        <w:rPr>
          <w:lang w:val="en-GB"/>
        </w:rPr>
        <w:t xml:space="preserve">through DSC the crystallisation and melting temperatures </w:t>
      </w:r>
      <w:r w:rsidR="0043226B">
        <w:rPr>
          <w:lang w:val="en-GB"/>
        </w:rPr>
        <w:t>were found. They also showed good agreement with literature</w:t>
      </w:r>
      <w:r w:rsidR="00C742C5">
        <w:rPr>
          <w:lang w:val="en-GB"/>
        </w:rPr>
        <w:t xml:space="preserve">. The number and weight average molecular weights of the repolymerised PET were </w:t>
      </w:r>
      <w:r w:rsidR="0081560A">
        <w:rPr>
          <w:lang w:val="en-GB"/>
        </w:rPr>
        <w:t>found through GPC. While the M</w:t>
      </w:r>
      <w:r w:rsidR="0081560A">
        <w:rPr>
          <w:vertAlign w:val="subscript"/>
          <w:lang w:val="en-GB"/>
        </w:rPr>
        <w:t>w</w:t>
      </w:r>
      <w:r w:rsidR="0081560A">
        <w:rPr>
          <w:lang w:val="en-GB"/>
        </w:rPr>
        <w:t xml:space="preserve"> </w:t>
      </w:r>
      <w:r w:rsidR="00E936C8">
        <w:rPr>
          <w:lang w:val="en-GB"/>
        </w:rPr>
        <w:t>neared that of commercial PET, there is room for improvement with the M</w:t>
      </w:r>
      <w:r w:rsidR="00E936C8">
        <w:rPr>
          <w:vertAlign w:val="subscript"/>
          <w:lang w:val="en-GB"/>
        </w:rPr>
        <w:t>n</w:t>
      </w:r>
      <w:r w:rsidR="00E936C8">
        <w:rPr>
          <w:lang w:val="en-GB"/>
        </w:rPr>
        <w:t>.</w:t>
      </w:r>
    </w:p>
    <w:p w14:paraId="420DA273" w14:textId="77777777" w:rsidR="007E10D9" w:rsidRDefault="007E10D9" w:rsidP="00600535">
      <w:pPr>
        <w:pStyle w:val="CETBodytext"/>
        <w:rPr>
          <w:lang w:val="en-GB"/>
        </w:rPr>
      </w:pPr>
    </w:p>
    <w:p w14:paraId="508D6DEF" w14:textId="2707B498" w:rsidR="007E10D9" w:rsidRPr="007E10D9" w:rsidRDefault="007E10D9" w:rsidP="00600535">
      <w:pPr>
        <w:pStyle w:val="CETBodytext"/>
      </w:pPr>
      <w:r>
        <w:t>Being an industrial pilot study, optimization of the process conditions to allow for kinetic data to be generated was difficult. This would form part of a further study looking at the hydrolysis reaction at lower conversions to more closely study the extent of the effects of feedstock surface area, compression and decompression pressures, temperature, and catalyst types.</w:t>
      </w:r>
      <w:r>
        <w:t xml:space="preserve"> </w:t>
      </w:r>
      <w:r w:rsidR="00322836">
        <w:rPr>
          <w:lang w:val="en-GB"/>
        </w:rPr>
        <w:t xml:space="preserve">This work involves taking what traditionally would be a waste stream and returning it back into a near-virgin quality product. The work carried out here demonstrates the feasibility in simultaneously diverting landfill waste and turning it into a valuable material once again, </w:t>
      </w:r>
      <w:r w:rsidR="00FA19CA">
        <w:rPr>
          <w:lang w:val="en-GB"/>
        </w:rPr>
        <w:t>exhi</w:t>
      </w:r>
      <w:r w:rsidR="00115679">
        <w:rPr>
          <w:lang w:val="en-GB"/>
        </w:rPr>
        <w:t>biting closed-loop circularity.</w:t>
      </w:r>
      <w:r w:rsidR="0059178A">
        <w:rPr>
          <w:lang w:val="en-GB"/>
        </w:rPr>
        <w:t xml:space="preserve"> </w:t>
      </w:r>
    </w:p>
    <w:p w14:paraId="07A6D20F" w14:textId="0ECF229E" w:rsidR="00280FAF" w:rsidRPr="00280FAF" w:rsidRDefault="00280FAF" w:rsidP="00280FAF">
      <w:pPr>
        <w:pStyle w:val="CETHeadingxx"/>
        <w:rPr>
          <w:lang w:val="en-GB"/>
        </w:rPr>
        <w:sectPr w:rsidR="00280FAF" w:rsidRPr="00280FAF" w:rsidSect="007D0951">
          <w:type w:val="continuous"/>
          <w:pgSz w:w="11906" w:h="16838" w:code="9"/>
          <w:pgMar w:top="1701" w:right="1418" w:bottom="1701" w:left="1701" w:header="1701" w:footer="0" w:gutter="0"/>
          <w:cols w:space="708"/>
          <w:formProt w:val="0"/>
          <w:titlePg/>
          <w:docGrid w:linePitch="360"/>
        </w:sectPr>
      </w:pPr>
      <w:r>
        <w:t>Nomenclature</w:t>
      </w:r>
    </w:p>
    <w:p w14:paraId="25D52BD8" w14:textId="6933942F" w:rsidR="00280FAF" w:rsidRPr="00FC498C" w:rsidRDefault="008712B6" w:rsidP="00280FAF">
      <w:pPr>
        <w:pStyle w:val="CETBodytext"/>
        <w:jc w:val="left"/>
        <w:rPr>
          <w:rFonts w:eastAsia="SimSun"/>
          <w:lang w:val="en-GB"/>
        </w:rPr>
      </w:pPr>
      <w:r w:rsidRPr="00FC498C">
        <w:rPr>
          <w:rFonts w:eastAsia="SimSun"/>
          <w:lang w:val="en-GB"/>
        </w:rPr>
        <w:t>T</w:t>
      </w:r>
      <w:r w:rsidRPr="00FC498C">
        <w:rPr>
          <w:rFonts w:eastAsia="SimSun"/>
          <w:vertAlign w:val="subscript"/>
          <w:lang w:val="en-GB"/>
        </w:rPr>
        <w:t>c</w:t>
      </w:r>
      <w:r w:rsidR="00280FAF" w:rsidRPr="00FC498C">
        <w:rPr>
          <w:rFonts w:eastAsia="SimSun"/>
          <w:lang w:val="en-GB"/>
        </w:rPr>
        <w:t xml:space="preserve"> – </w:t>
      </w:r>
      <w:r w:rsidRPr="00FC498C">
        <w:rPr>
          <w:rFonts w:eastAsia="SimSun"/>
          <w:lang w:val="en-GB"/>
        </w:rPr>
        <w:t xml:space="preserve">crystallisation temperature, </w:t>
      </w:r>
      <w:r w:rsidRPr="00FC498C">
        <w:rPr>
          <w:rFonts w:eastAsia="SimSun" w:cs="Arial"/>
          <w:lang w:val="en-GB"/>
        </w:rPr>
        <w:t>°</w:t>
      </w:r>
      <w:r w:rsidRPr="00FC498C">
        <w:rPr>
          <w:rFonts w:eastAsia="SimSun"/>
          <w:lang w:val="en-GB"/>
        </w:rPr>
        <w:t>C</w:t>
      </w:r>
    </w:p>
    <w:p w14:paraId="7DFFBF41" w14:textId="77777777" w:rsidR="00280FAF" w:rsidRPr="00FC498C" w:rsidRDefault="00280FAF" w:rsidP="00280FAF">
      <w:pPr>
        <w:pStyle w:val="CETBodytext"/>
        <w:jc w:val="left"/>
        <w:rPr>
          <w:rFonts w:eastAsia="SimSun"/>
          <w:lang w:val="en-GB"/>
        </w:rPr>
        <w:sectPr w:rsidR="00280FAF" w:rsidRPr="00FC498C" w:rsidSect="0077098D">
          <w:type w:val="continuous"/>
          <w:pgSz w:w="11906" w:h="16838" w:code="9"/>
          <w:pgMar w:top="1701" w:right="1418" w:bottom="1701" w:left="1701" w:header="1701" w:footer="0" w:gutter="0"/>
          <w:cols w:space="708"/>
          <w:formProt w:val="0"/>
          <w:titlePg/>
          <w:docGrid w:linePitch="360"/>
        </w:sectPr>
      </w:pPr>
    </w:p>
    <w:p w14:paraId="57590CE2" w14:textId="44D91BB4" w:rsidR="00280FAF" w:rsidRPr="007B5017" w:rsidRDefault="008712B6" w:rsidP="00280FAF">
      <w:pPr>
        <w:pStyle w:val="CETBodytext"/>
        <w:jc w:val="left"/>
        <w:rPr>
          <w:rFonts w:eastAsia="SimSun"/>
          <w:lang w:val="en-GB"/>
        </w:rPr>
      </w:pPr>
      <w:r w:rsidRPr="007B5017">
        <w:rPr>
          <w:rFonts w:eastAsia="SimSun"/>
          <w:lang w:val="en-GB"/>
        </w:rPr>
        <w:t>T</w:t>
      </w:r>
      <w:r w:rsidRPr="007B5017">
        <w:rPr>
          <w:rFonts w:eastAsia="SimSun"/>
          <w:vertAlign w:val="subscript"/>
          <w:lang w:val="en-GB"/>
        </w:rPr>
        <w:t>m</w:t>
      </w:r>
      <w:r w:rsidR="00280FAF" w:rsidRPr="007B5017">
        <w:rPr>
          <w:rFonts w:eastAsia="SimSun"/>
          <w:lang w:val="en-GB"/>
        </w:rPr>
        <w:t xml:space="preserve"> – </w:t>
      </w:r>
      <w:r w:rsidR="007B5017" w:rsidRPr="007B5017">
        <w:rPr>
          <w:rFonts w:eastAsia="SimSun"/>
          <w:lang w:val="en-GB"/>
        </w:rPr>
        <w:t>melting</w:t>
      </w:r>
      <w:r w:rsidRPr="007B5017">
        <w:rPr>
          <w:rFonts w:eastAsia="SimSun"/>
          <w:lang w:val="en-GB"/>
        </w:rPr>
        <w:t xml:space="preserve"> temperature, </w:t>
      </w:r>
      <w:r w:rsidRPr="007B5017">
        <w:rPr>
          <w:rFonts w:eastAsia="SimSun" w:cs="Arial"/>
          <w:lang w:val="en-GB"/>
        </w:rPr>
        <w:t>°</w:t>
      </w:r>
      <w:r w:rsidRPr="007B5017">
        <w:rPr>
          <w:rFonts w:eastAsia="SimSun"/>
          <w:lang w:val="en-GB"/>
        </w:rPr>
        <w:t>C</w:t>
      </w:r>
    </w:p>
    <w:p w14:paraId="0E502614" w14:textId="67FCF038" w:rsidR="00280FAF" w:rsidRPr="00280FAF" w:rsidRDefault="007B5017" w:rsidP="00280FAF">
      <w:pPr>
        <w:pStyle w:val="CETBodytext"/>
        <w:jc w:val="left"/>
        <w:rPr>
          <w:rFonts w:eastAsia="SimSun"/>
        </w:rPr>
      </w:pPr>
      <w:proofErr w:type="spellStart"/>
      <w:r>
        <w:rPr>
          <w:rFonts w:eastAsia="SimSun"/>
        </w:rPr>
        <w:t>PET</w:t>
      </w:r>
      <w:r>
        <w:rPr>
          <w:rFonts w:eastAsia="SimSun"/>
          <w:vertAlign w:val="subscript"/>
        </w:rPr>
        <w:t>in</w:t>
      </w:r>
      <w:proofErr w:type="spellEnd"/>
      <w:r w:rsidR="00280FAF" w:rsidRPr="00280FAF">
        <w:rPr>
          <w:rFonts w:eastAsia="SimSun"/>
        </w:rPr>
        <w:t xml:space="preserve"> – </w:t>
      </w:r>
      <w:r>
        <w:rPr>
          <w:rFonts w:eastAsia="SimSun"/>
        </w:rPr>
        <w:t xml:space="preserve">mass of PET </w:t>
      </w:r>
      <w:r w:rsidR="00507086">
        <w:rPr>
          <w:rFonts w:eastAsia="SimSun"/>
        </w:rPr>
        <w:t>before experiment, g</w:t>
      </w:r>
    </w:p>
    <w:p w14:paraId="600DECB0" w14:textId="66D1E187" w:rsidR="00507086" w:rsidRPr="00280FAF" w:rsidRDefault="00507086" w:rsidP="00507086">
      <w:pPr>
        <w:pStyle w:val="CETBodytext"/>
        <w:jc w:val="left"/>
        <w:rPr>
          <w:rFonts w:eastAsia="SimSun"/>
        </w:rPr>
      </w:pPr>
      <w:proofErr w:type="spellStart"/>
      <w:r>
        <w:rPr>
          <w:rFonts w:eastAsia="SimSun"/>
        </w:rPr>
        <w:t>PET</w:t>
      </w:r>
      <w:r>
        <w:rPr>
          <w:rFonts w:eastAsia="SimSun"/>
          <w:vertAlign w:val="subscript"/>
        </w:rPr>
        <w:t>out</w:t>
      </w:r>
      <w:proofErr w:type="spellEnd"/>
      <w:r w:rsidRPr="00280FAF">
        <w:rPr>
          <w:rFonts w:eastAsia="SimSun"/>
        </w:rPr>
        <w:t xml:space="preserve"> – </w:t>
      </w:r>
      <w:r>
        <w:rPr>
          <w:rFonts w:eastAsia="SimSun"/>
        </w:rPr>
        <w:t>mass of PET after experiment, g</w:t>
      </w:r>
    </w:p>
    <w:p w14:paraId="05CC3BA4" w14:textId="5B616A42" w:rsidR="00280FAF" w:rsidRPr="00280FAF" w:rsidRDefault="00507086" w:rsidP="00280FAF">
      <w:pPr>
        <w:pStyle w:val="CETBodytext"/>
        <w:jc w:val="left"/>
        <w:rPr>
          <w:rFonts w:eastAsia="SimSun"/>
        </w:rPr>
      </w:pPr>
      <w:proofErr w:type="spellStart"/>
      <w:r>
        <w:rPr>
          <w:rFonts w:eastAsia="SimSun"/>
        </w:rPr>
        <w:t>TPA</w:t>
      </w:r>
      <w:r>
        <w:rPr>
          <w:rFonts w:eastAsia="SimSun"/>
          <w:vertAlign w:val="subscript"/>
        </w:rPr>
        <w:t>out</w:t>
      </w:r>
      <w:proofErr w:type="spellEnd"/>
      <w:r w:rsidR="00280FAF" w:rsidRPr="00280FAF">
        <w:rPr>
          <w:rFonts w:eastAsia="SimSun"/>
        </w:rPr>
        <w:t xml:space="preserve"> – </w:t>
      </w:r>
      <w:r>
        <w:rPr>
          <w:rFonts w:eastAsia="SimSun"/>
        </w:rPr>
        <w:t xml:space="preserve">mass of TPA </w:t>
      </w:r>
      <w:r w:rsidR="00D2481B">
        <w:rPr>
          <w:rFonts w:eastAsia="SimSun"/>
        </w:rPr>
        <w:t>after experiment, g</w:t>
      </w:r>
    </w:p>
    <w:p w14:paraId="0718B861" w14:textId="02934045" w:rsidR="00280FAF" w:rsidRPr="00280FAF" w:rsidRDefault="00D2481B" w:rsidP="00280FAF">
      <w:pPr>
        <w:pStyle w:val="CETBodytext"/>
        <w:jc w:val="left"/>
        <w:rPr>
          <w:rFonts w:eastAsia="SimSun"/>
        </w:rPr>
      </w:pPr>
      <w:proofErr w:type="spellStart"/>
      <w:r>
        <w:rPr>
          <w:rFonts w:eastAsia="SimSun"/>
        </w:rPr>
        <w:t>TPA</w:t>
      </w:r>
      <w:r>
        <w:rPr>
          <w:rFonts w:eastAsia="SimSun"/>
          <w:vertAlign w:val="subscript"/>
        </w:rPr>
        <w:t>theoretical</w:t>
      </w:r>
      <w:proofErr w:type="spellEnd"/>
      <w:r>
        <w:rPr>
          <w:rFonts w:eastAsia="SimSun"/>
          <w:vertAlign w:val="subscript"/>
        </w:rPr>
        <w:t xml:space="preserve"> maximum</w:t>
      </w:r>
      <w:r w:rsidR="00280FAF" w:rsidRPr="00280FAF">
        <w:rPr>
          <w:rFonts w:eastAsia="SimSun"/>
        </w:rPr>
        <w:t xml:space="preserve"> – </w:t>
      </w:r>
      <w:r w:rsidR="00CD63F9">
        <w:rPr>
          <w:rFonts w:eastAsia="SimSun"/>
        </w:rPr>
        <w:t xml:space="preserve">Maximum amount of TPA </w:t>
      </w:r>
      <w:r w:rsidR="00095937">
        <w:rPr>
          <w:rFonts w:eastAsia="SimSun"/>
        </w:rPr>
        <w:t xml:space="preserve">assuming all </w:t>
      </w:r>
      <w:proofErr w:type="spellStart"/>
      <w:r w:rsidR="00095937">
        <w:rPr>
          <w:rFonts w:eastAsia="SimSun"/>
        </w:rPr>
        <w:t>PET</w:t>
      </w:r>
      <w:r w:rsidR="00095937">
        <w:rPr>
          <w:rFonts w:eastAsia="SimSun"/>
          <w:vertAlign w:val="subscript"/>
        </w:rPr>
        <w:t>in</w:t>
      </w:r>
      <w:proofErr w:type="spellEnd"/>
      <w:r w:rsidR="00095937">
        <w:rPr>
          <w:rFonts w:eastAsia="SimSun"/>
        </w:rPr>
        <w:t xml:space="preserve"> was converted to TPA</w:t>
      </w:r>
      <w:r w:rsidR="00280FAF" w:rsidRPr="00280FAF">
        <w:rPr>
          <w:rFonts w:eastAsia="SimSun"/>
        </w:rPr>
        <w:t xml:space="preserve">, </w:t>
      </w:r>
      <w:r w:rsidR="00095937">
        <w:rPr>
          <w:rFonts w:eastAsia="SimSun"/>
        </w:rPr>
        <w:t>g</w:t>
      </w:r>
    </w:p>
    <w:p w14:paraId="38BFE636" w14:textId="1E764262" w:rsidR="00280FAF" w:rsidRPr="00E377D0" w:rsidRDefault="00280FAF" w:rsidP="00280FAF">
      <w:pPr>
        <w:pStyle w:val="CETBodytext"/>
        <w:jc w:val="left"/>
        <w:rPr>
          <w:rFonts w:eastAsia="SimSun"/>
        </w:rPr>
        <w:sectPr w:rsidR="00280FAF" w:rsidRPr="00E377D0" w:rsidSect="00200ECB">
          <w:type w:val="continuous"/>
          <w:pgSz w:w="11906" w:h="16838" w:code="9"/>
          <w:pgMar w:top="1701" w:right="1418" w:bottom="1701" w:left="1701" w:header="1701" w:footer="0" w:gutter="0"/>
          <w:cols w:num="2" w:space="708"/>
          <w:formProt w:val="0"/>
          <w:titlePg/>
          <w:docGrid w:linePitch="360"/>
        </w:sectPr>
      </w:pPr>
    </w:p>
    <w:p w14:paraId="459D05E6" w14:textId="77777777" w:rsidR="00600535" w:rsidRPr="00B57B36" w:rsidRDefault="00600535" w:rsidP="00600535">
      <w:pPr>
        <w:pStyle w:val="CETAcknowledgementstitle"/>
      </w:pPr>
      <w:r w:rsidRPr="00B57B36">
        <w:t>Acknowledgments</w:t>
      </w:r>
    </w:p>
    <w:p w14:paraId="33F8138F" w14:textId="2D27541D" w:rsidR="00600535" w:rsidRPr="00B57B36" w:rsidRDefault="000B20E1" w:rsidP="00600535">
      <w:pPr>
        <w:pStyle w:val="CETBodytext"/>
        <w:rPr>
          <w:lang w:val="en-GB"/>
        </w:rPr>
      </w:pPr>
      <w:r>
        <w:rPr>
          <w:lang w:val="en-GB"/>
        </w:rPr>
        <w:t xml:space="preserve">The authors would like to express their gratitude to </w:t>
      </w:r>
      <w:r w:rsidR="00BB00AB">
        <w:rPr>
          <w:lang w:val="en-GB"/>
        </w:rPr>
        <w:t>Innovate UK for funding the project under the</w:t>
      </w:r>
      <w:r>
        <w:rPr>
          <w:lang w:val="en-GB"/>
        </w:rPr>
        <w:t xml:space="preserve"> Knowledge Transfer Partnership </w:t>
      </w:r>
      <w:r w:rsidR="00BB00AB">
        <w:rPr>
          <w:lang w:val="en-GB"/>
        </w:rPr>
        <w:t xml:space="preserve">Scheme (KTP </w:t>
      </w:r>
      <w:r>
        <w:rPr>
          <w:lang w:val="en-GB"/>
        </w:rPr>
        <w:t>no. 11708</w:t>
      </w:r>
      <w:r w:rsidR="00BB00AB">
        <w:rPr>
          <w:lang w:val="en-GB"/>
        </w:rPr>
        <w:t>)</w:t>
      </w:r>
      <w:r>
        <w:rPr>
          <w:lang w:val="en-GB"/>
        </w:rPr>
        <w:t xml:space="preserve"> and </w:t>
      </w:r>
      <w:r w:rsidR="001B6D4B">
        <w:rPr>
          <w:lang w:val="en-GB"/>
        </w:rPr>
        <w:t xml:space="preserve">to John Norris and the people at </w:t>
      </w:r>
      <w:r>
        <w:rPr>
          <w:lang w:val="en-GB"/>
        </w:rPr>
        <w:t xml:space="preserve">B&amp;M Longworth for their continued support. </w:t>
      </w:r>
    </w:p>
    <w:p w14:paraId="4F1327F8" w14:textId="77777777" w:rsidR="00600535" w:rsidRPr="00B57B36" w:rsidRDefault="00600535" w:rsidP="00600535">
      <w:pPr>
        <w:pStyle w:val="CETReference"/>
      </w:pPr>
      <w:r w:rsidRPr="00B57B36">
        <w:t>References</w:t>
      </w:r>
    </w:p>
    <w:p w14:paraId="0CC99A3A" w14:textId="77777777" w:rsidR="009A78E1" w:rsidRDefault="009A78E1" w:rsidP="009A78E1">
      <w:pPr>
        <w:pStyle w:val="CETReferencetext"/>
      </w:pPr>
      <w:r>
        <w:t xml:space="preserve">Adnan, Shah J., Jan M.R., 2015, </w:t>
      </w:r>
      <w:r w:rsidRPr="00745208">
        <w:t>Effect of polyethylene terephthalate on the catalytic pyrolysis</w:t>
      </w:r>
      <w:r>
        <w:t xml:space="preserve"> </w:t>
      </w:r>
      <w:r w:rsidRPr="00745208">
        <w:t>of polystyrene:</w:t>
      </w:r>
      <w:r>
        <w:t xml:space="preserve"> </w:t>
      </w:r>
      <w:r w:rsidRPr="00745208">
        <w:t>Investigation of the liquid products</w:t>
      </w:r>
      <w:r>
        <w:t xml:space="preserve">, </w:t>
      </w:r>
      <w:r w:rsidRPr="007C7919">
        <w:t>Journal of the Taiwan Institute of Chemical Engineers</w:t>
      </w:r>
      <w:r>
        <w:t>, 51, 96</w:t>
      </w:r>
      <w:r w:rsidRPr="006B4888">
        <w:t>–</w:t>
      </w:r>
      <w:r>
        <w:t>102.</w:t>
      </w:r>
    </w:p>
    <w:p w14:paraId="2D2E5EB7" w14:textId="668B3EF9" w:rsidR="009A78E1" w:rsidRDefault="009A78E1" w:rsidP="009A78E1">
      <w:pPr>
        <w:pStyle w:val="CETReferencetext"/>
      </w:pPr>
      <w:r w:rsidRPr="00BE244A">
        <w:t xml:space="preserve">Alabi O.A., </w:t>
      </w:r>
      <w:proofErr w:type="spellStart"/>
      <w:r w:rsidRPr="00BE244A">
        <w:t>Ologbonjaye</w:t>
      </w:r>
      <w:proofErr w:type="spellEnd"/>
      <w:r w:rsidRPr="00BE244A">
        <w:t xml:space="preserve"> K.I., </w:t>
      </w:r>
      <w:proofErr w:type="spellStart"/>
      <w:r w:rsidRPr="00BE244A">
        <w:t>Aw</w:t>
      </w:r>
      <w:r>
        <w:t>osolu</w:t>
      </w:r>
      <w:proofErr w:type="spellEnd"/>
      <w:r>
        <w:t xml:space="preserve"> O., </w:t>
      </w:r>
      <w:proofErr w:type="spellStart"/>
      <w:r>
        <w:t>Alalade</w:t>
      </w:r>
      <w:proofErr w:type="spellEnd"/>
      <w:r>
        <w:t xml:space="preserve"> O.E., 2019, Public and Environmental Health Effects of Plastic Wastes Disposal: A Review, Journal of Toxicology and Risk Assessment, 5(1).</w:t>
      </w:r>
    </w:p>
    <w:p w14:paraId="06FBB971" w14:textId="52E6F01B" w:rsidR="00596390" w:rsidRDefault="00596390" w:rsidP="009A78E1">
      <w:pPr>
        <w:pStyle w:val="CETReferencetext"/>
      </w:pPr>
      <w:proofErr w:type="spellStart"/>
      <w:r>
        <w:t>Cammidge</w:t>
      </w:r>
      <w:proofErr w:type="spellEnd"/>
      <w:r>
        <w:t xml:space="preserve"> A.N., 1999, </w:t>
      </w:r>
      <w:r w:rsidRPr="00596390">
        <w:t>An Undergraduate Experiment in Polyester (PET) Synthesis</w:t>
      </w:r>
      <w:r>
        <w:t>, Journal of Chemical Education, 76(2), 236-237.</w:t>
      </w:r>
    </w:p>
    <w:p w14:paraId="66F45C6F" w14:textId="77777777" w:rsidR="009A78E1" w:rsidRDefault="009A78E1" w:rsidP="009A78E1">
      <w:pPr>
        <w:pStyle w:val="CETReferencetext"/>
      </w:pPr>
      <w:proofErr w:type="spellStart"/>
      <w:r w:rsidRPr="00D84280">
        <w:t>Campanelli</w:t>
      </w:r>
      <w:proofErr w:type="spellEnd"/>
      <w:r w:rsidRPr="00D84280">
        <w:t xml:space="preserve"> J.R., Cooper D.G.</w:t>
      </w:r>
      <w:r>
        <w:t xml:space="preserve">, </w:t>
      </w:r>
      <w:r w:rsidRPr="00D84280">
        <w:t>Kamal M.R.</w:t>
      </w:r>
      <w:r>
        <w:t xml:space="preserve">, </w:t>
      </w:r>
      <w:r w:rsidRPr="00D84280">
        <w:t>1994</w:t>
      </w:r>
      <w:r>
        <w:t>,</w:t>
      </w:r>
      <w:r w:rsidRPr="00D84280">
        <w:t xml:space="preserve"> </w:t>
      </w:r>
      <w:proofErr w:type="spellStart"/>
      <w:r w:rsidRPr="00D84280">
        <w:t>Catalyzed</w:t>
      </w:r>
      <w:proofErr w:type="spellEnd"/>
      <w:r w:rsidRPr="00D84280">
        <w:t xml:space="preserve"> hydrolysis of polyethylene terephthalate melts</w:t>
      </w:r>
      <w:r>
        <w:t>,</w:t>
      </w:r>
      <w:r w:rsidRPr="00D84280">
        <w:t xml:space="preserve"> Journal of Applied Polymer Science, 53(8), 985–991.</w:t>
      </w:r>
    </w:p>
    <w:p w14:paraId="478AF2E1" w14:textId="77777777" w:rsidR="009A78E1" w:rsidRDefault="009A78E1" w:rsidP="009A78E1">
      <w:pPr>
        <w:pStyle w:val="CETReferencetext"/>
      </w:pPr>
      <w:r w:rsidRPr="006546AA">
        <w:t xml:space="preserve">Fox B., </w:t>
      </w:r>
      <w:proofErr w:type="spellStart"/>
      <w:r w:rsidRPr="006546AA">
        <w:t>Moad</w:t>
      </w:r>
      <w:proofErr w:type="spellEnd"/>
      <w:r w:rsidRPr="006546AA">
        <w:t xml:space="preserve"> G., van Diepen G. Willing, I., Cook, W.D., 1997</w:t>
      </w:r>
      <w:r>
        <w:t>,</w:t>
      </w:r>
      <w:r w:rsidRPr="006546AA">
        <w:t xml:space="preserve"> </w:t>
      </w:r>
      <w:r w:rsidRPr="009169EC">
        <w:t>Characterization of poly(ethylene terephthalate) and poly(ethylene terephthalate) blends</w:t>
      </w:r>
      <w:r>
        <w:t>,</w:t>
      </w:r>
      <w:r w:rsidRPr="009169EC">
        <w:t xml:space="preserve"> Polymer, 38(12), 3035–3043.</w:t>
      </w:r>
    </w:p>
    <w:p w14:paraId="38947270" w14:textId="77777777" w:rsidR="009A78E1" w:rsidRDefault="009A78E1" w:rsidP="009A78E1">
      <w:pPr>
        <w:pStyle w:val="CETReferencetext"/>
      </w:pPr>
      <w:r w:rsidRPr="005F514C">
        <w:t xml:space="preserve">López M. del M.C., Ares </w:t>
      </w:r>
      <w:proofErr w:type="spellStart"/>
      <w:r w:rsidRPr="005F514C">
        <w:t>Pernas</w:t>
      </w:r>
      <w:proofErr w:type="spellEnd"/>
      <w:r w:rsidRPr="005F514C">
        <w:t xml:space="preserve"> A.I., Abad López M.J., </w:t>
      </w:r>
      <w:proofErr w:type="spellStart"/>
      <w:r w:rsidRPr="005F514C">
        <w:t>Latorre</w:t>
      </w:r>
      <w:proofErr w:type="spellEnd"/>
      <w:r w:rsidRPr="005F514C">
        <w:t xml:space="preserve"> A.L., López </w:t>
      </w:r>
      <w:proofErr w:type="spellStart"/>
      <w:r w:rsidRPr="005F514C">
        <w:t>Vilariño</w:t>
      </w:r>
      <w:proofErr w:type="spellEnd"/>
      <w:r w:rsidRPr="005F514C">
        <w:t xml:space="preserve"> J.M.</w:t>
      </w:r>
      <w:r>
        <w:t>,</w:t>
      </w:r>
      <w:r w:rsidRPr="005F514C">
        <w:t xml:space="preserve"> González Rodríguez M.V.</w:t>
      </w:r>
      <w:r>
        <w:t xml:space="preserve">, </w:t>
      </w:r>
      <w:r w:rsidRPr="005F514C">
        <w:t>201</w:t>
      </w:r>
      <w:r>
        <w:t xml:space="preserve">4, </w:t>
      </w:r>
      <w:r w:rsidRPr="005F514C">
        <w:t>Assessing changes on poly(ethylene terephthalate) properties after recycling: Mechanical recycling in laboratory versus postconsumer recycled material</w:t>
      </w:r>
      <w:r>
        <w:t>,</w:t>
      </w:r>
      <w:r w:rsidRPr="005F514C">
        <w:t xml:space="preserve"> Materials Chemistry and Physics, 147(3), 884–894.</w:t>
      </w:r>
    </w:p>
    <w:p w14:paraId="31F6FE37" w14:textId="77777777" w:rsidR="009A78E1" w:rsidRDefault="009A78E1" w:rsidP="009A78E1">
      <w:pPr>
        <w:pStyle w:val="CETReferencetext"/>
      </w:pPr>
      <w:r w:rsidRPr="00B73B76">
        <w:t xml:space="preserve">Mishra S., </w:t>
      </w:r>
      <w:proofErr w:type="spellStart"/>
      <w:r w:rsidRPr="00B73B76">
        <w:t>Zope</w:t>
      </w:r>
      <w:proofErr w:type="spellEnd"/>
      <w:r w:rsidRPr="00B73B76">
        <w:t xml:space="preserve"> V.S.</w:t>
      </w:r>
      <w:r>
        <w:t>,</w:t>
      </w:r>
      <w:r w:rsidRPr="00B73B76">
        <w:t xml:space="preserve"> </w:t>
      </w:r>
      <w:proofErr w:type="spellStart"/>
      <w:r w:rsidRPr="00B73B76">
        <w:t>Goje</w:t>
      </w:r>
      <w:proofErr w:type="spellEnd"/>
      <w:r w:rsidRPr="00B73B76">
        <w:t xml:space="preserve"> A.S.</w:t>
      </w:r>
      <w:r>
        <w:t>,</w:t>
      </w:r>
      <w:r w:rsidRPr="00B73B76">
        <w:t xml:space="preserve"> 2003</w:t>
      </w:r>
      <w:r>
        <w:t>,</w:t>
      </w:r>
      <w:r w:rsidRPr="00B73B76">
        <w:t xml:space="preserve"> Kinetics and thermodynamics of hydrolytic depolymerization of poly(ethylene terephthalate) at high pressure and temperature</w:t>
      </w:r>
      <w:r>
        <w:t>,</w:t>
      </w:r>
      <w:r w:rsidRPr="00B73B76">
        <w:t xml:space="preserve"> Journal of Applied Polymer Science, 90(12), 3305–3309.</w:t>
      </w:r>
    </w:p>
    <w:p w14:paraId="48AC911A" w14:textId="5E5FF6AA" w:rsidR="00E4180E" w:rsidRPr="00E4180E" w:rsidRDefault="00E4180E" w:rsidP="009A78E1">
      <w:pPr>
        <w:pStyle w:val="CETReferencetext"/>
      </w:pPr>
      <w:proofErr w:type="spellStart"/>
      <w:r w:rsidRPr="00E4180E">
        <w:t>Tochácek</w:t>
      </w:r>
      <w:proofErr w:type="spellEnd"/>
      <w:r w:rsidRPr="00E4180E">
        <w:t xml:space="preserve">, J., Gregor, J., </w:t>
      </w:r>
      <w:proofErr w:type="spellStart"/>
      <w:r w:rsidRPr="00E4180E">
        <w:t>Kropác</w:t>
      </w:r>
      <w:proofErr w:type="spellEnd"/>
      <w:r w:rsidRPr="00E4180E">
        <w:t xml:space="preserve">, J., </w:t>
      </w:r>
      <w:proofErr w:type="spellStart"/>
      <w:r w:rsidRPr="00E4180E">
        <w:t>Pavlas</w:t>
      </w:r>
      <w:proofErr w:type="spellEnd"/>
      <w:r w:rsidRPr="00E4180E">
        <w:t xml:space="preserve">, M., </w:t>
      </w:r>
      <w:proofErr w:type="spellStart"/>
      <w:r w:rsidRPr="00E4180E">
        <w:t>Poul</w:t>
      </w:r>
      <w:proofErr w:type="spellEnd"/>
      <w:r w:rsidRPr="00E4180E">
        <w:t xml:space="preserve">, D. and </w:t>
      </w:r>
      <w:proofErr w:type="spellStart"/>
      <w:r w:rsidRPr="00E4180E">
        <w:t>Ucekaj</w:t>
      </w:r>
      <w:proofErr w:type="spellEnd"/>
      <w:r w:rsidRPr="00E4180E">
        <w:t>, V., 2021, Plastics Recycling as a Part of Circular Economy</w:t>
      </w:r>
      <w:r>
        <w:t>,</w:t>
      </w:r>
      <w:r w:rsidRPr="00E4180E">
        <w:t xml:space="preserve"> Chemical Engineering Transactions, 88, pp.1303–1308. </w:t>
      </w:r>
    </w:p>
    <w:p w14:paraId="19C4FC68" w14:textId="38B2DD56" w:rsidR="004628D2" w:rsidRDefault="009A78E1" w:rsidP="009A78E1">
      <w:pPr>
        <w:pStyle w:val="CETReferencetext"/>
      </w:pPr>
      <w:r w:rsidRPr="006A4592">
        <w:t>Yang R., Xu G., Dong B., Hou H., Wang Q., 2022</w:t>
      </w:r>
      <w:r>
        <w:t>,</w:t>
      </w:r>
      <w:r w:rsidRPr="006A4592">
        <w:t xml:space="preserve"> A ‘Polymer to Polymer’ Chemical Recycling of PLA Plastics by the ‘DE–RE Polymerization’ Strategy</w:t>
      </w:r>
      <w:r>
        <w:t>,</w:t>
      </w:r>
      <w:r w:rsidRPr="006A4592">
        <w:t xml:space="preserve"> Macromolecules, 55(5),</w:t>
      </w:r>
      <w:r>
        <w:t xml:space="preserve"> </w:t>
      </w:r>
      <w:r w:rsidRPr="006A4592">
        <w:t>1726–1735.</w:t>
      </w: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C1642" w14:textId="77777777" w:rsidR="009F1343" w:rsidRDefault="009F1343" w:rsidP="004F5E36">
      <w:r>
        <w:separator/>
      </w:r>
    </w:p>
  </w:endnote>
  <w:endnote w:type="continuationSeparator" w:id="0">
    <w:p w14:paraId="6FF36251" w14:textId="77777777" w:rsidR="009F1343" w:rsidRDefault="009F1343"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F7977" w14:textId="77777777" w:rsidR="009F1343" w:rsidRDefault="009F1343" w:rsidP="004F5E36">
      <w:r>
        <w:separator/>
      </w:r>
    </w:p>
  </w:footnote>
  <w:footnote w:type="continuationSeparator" w:id="0">
    <w:p w14:paraId="6182067B" w14:textId="77777777" w:rsidR="009F1343" w:rsidRDefault="009F1343"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2D4C94"/>
    <w:multiLevelType w:val="hybridMultilevel"/>
    <w:tmpl w:val="20408E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2"/>
  </w:num>
  <w:num w:numId="14" w16cid:durableId="145903400">
    <w:abstractNumId w:val="19"/>
  </w:num>
  <w:num w:numId="15" w16cid:durableId="19162326">
    <w:abstractNumId w:val="21"/>
  </w:num>
  <w:num w:numId="16" w16cid:durableId="1977102699">
    <w:abstractNumId w:val="20"/>
  </w:num>
  <w:num w:numId="17" w16cid:durableId="860774865">
    <w:abstractNumId w:val="11"/>
  </w:num>
  <w:num w:numId="18" w16cid:durableId="313221457">
    <w:abstractNumId w:val="12"/>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3"/>
  </w:num>
  <w:num w:numId="23" w16cid:durableId="166724090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576"/>
    <w:rsid w:val="000027C0"/>
    <w:rsid w:val="00002C40"/>
    <w:rsid w:val="00004154"/>
    <w:rsid w:val="000052FB"/>
    <w:rsid w:val="000117CB"/>
    <w:rsid w:val="00015DD7"/>
    <w:rsid w:val="00020D1E"/>
    <w:rsid w:val="0003148D"/>
    <w:rsid w:val="00031EEC"/>
    <w:rsid w:val="000332BD"/>
    <w:rsid w:val="00033D63"/>
    <w:rsid w:val="00034635"/>
    <w:rsid w:val="0005128F"/>
    <w:rsid w:val="0005147D"/>
    <w:rsid w:val="00051566"/>
    <w:rsid w:val="000551BB"/>
    <w:rsid w:val="000562A9"/>
    <w:rsid w:val="00062A9A"/>
    <w:rsid w:val="00065058"/>
    <w:rsid w:val="00073317"/>
    <w:rsid w:val="000734DB"/>
    <w:rsid w:val="00086C39"/>
    <w:rsid w:val="00094A9B"/>
    <w:rsid w:val="00095937"/>
    <w:rsid w:val="000A03B2"/>
    <w:rsid w:val="000B20E1"/>
    <w:rsid w:val="000C1E90"/>
    <w:rsid w:val="000C375F"/>
    <w:rsid w:val="000C3B46"/>
    <w:rsid w:val="000D0268"/>
    <w:rsid w:val="000D34BE"/>
    <w:rsid w:val="000E102F"/>
    <w:rsid w:val="000E1725"/>
    <w:rsid w:val="000E36F1"/>
    <w:rsid w:val="000E3A73"/>
    <w:rsid w:val="000E414A"/>
    <w:rsid w:val="000E4598"/>
    <w:rsid w:val="000E6086"/>
    <w:rsid w:val="000F093C"/>
    <w:rsid w:val="000F17D6"/>
    <w:rsid w:val="000F19B0"/>
    <w:rsid w:val="000F787B"/>
    <w:rsid w:val="0010069A"/>
    <w:rsid w:val="00100C64"/>
    <w:rsid w:val="00104B76"/>
    <w:rsid w:val="001100BD"/>
    <w:rsid w:val="00110ED7"/>
    <w:rsid w:val="00115679"/>
    <w:rsid w:val="001208AF"/>
    <w:rsid w:val="0012091F"/>
    <w:rsid w:val="0012454C"/>
    <w:rsid w:val="001255E7"/>
    <w:rsid w:val="00126BC2"/>
    <w:rsid w:val="001308B6"/>
    <w:rsid w:val="00130F8E"/>
    <w:rsid w:val="0013121F"/>
    <w:rsid w:val="00131FE6"/>
    <w:rsid w:val="0013263F"/>
    <w:rsid w:val="001331DF"/>
    <w:rsid w:val="00134DE4"/>
    <w:rsid w:val="0014034D"/>
    <w:rsid w:val="00144D16"/>
    <w:rsid w:val="00150E59"/>
    <w:rsid w:val="001518B5"/>
    <w:rsid w:val="001525C6"/>
    <w:rsid w:val="00152DE3"/>
    <w:rsid w:val="00157148"/>
    <w:rsid w:val="00160FDB"/>
    <w:rsid w:val="00162967"/>
    <w:rsid w:val="00164CF9"/>
    <w:rsid w:val="001667A6"/>
    <w:rsid w:val="001678B8"/>
    <w:rsid w:val="001735F4"/>
    <w:rsid w:val="001770E1"/>
    <w:rsid w:val="001805B8"/>
    <w:rsid w:val="00183A3B"/>
    <w:rsid w:val="00184AD6"/>
    <w:rsid w:val="001A1804"/>
    <w:rsid w:val="001A4AF7"/>
    <w:rsid w:val="001B0349"/>
    <w:rsid w:val="001B1E93"/>
    <w:rsid w:val="001B3742"/>
    <w:rsid w:val="001B4C05"/>
    <w:rsid w:val="001B65C1"/>
    <w:rsid w:val="001B696F"/>
    <w:rsid w:val="001B6D4B"/>
    <w:rsid w:val="001C579E"/>
    <w:rsid w:val="001C684B"/>
    <w:rsid w:val="001D0CFB"/>
    <w:rsid w:val="001D21AF"/>
    <w:rsid w:val="001D53FC"/>
    <w:rsid w:val="001D75C7"/>
    <w:rsid w:val="001E1B69"/>
    <w:rsid w:val="001F42A5"/>
    <w:rsid w:val="001F7B9D"/>
    <w:rsid w:val="00201C93"/>
    <w:rsid w:val="00202F1E"/>
    <w:rsid w:val="0020488E"/>
    <w:rsid w:val="002068AC"/>
    <w:rsid w:val="00213C9E"/>
    <w:rsid w:val="00216F74"/>
    <w:rsid w:val="002224B4"/>
    <w:rsid w:val="002235E8"/>
    <w:rsid w:val="002312AC"/>
    <w:rsid w:val="00244296"/>
    <w:rsid w:val="002447EF"/>
    <w:rsid w:val="00246020"/>
    <w:rsid w:val="00247D4C"/>
    <w:rsid w:val="00251550"/>
    <w:rsid w:val="00253417"/>
    <w:rsid w:val="00254058"/>
    <w:rsid w:val="00255ACA"/>
    <w:rsid w:val="00255C1B"/>
    <w:rsid w:val="00263B05"/>
    <w:rsid w:val="002650CE"/>
    <w:rsid w:val="0027221A"/>
    <w:rsid w:val="00275B61"/>
    <w:rsid w:val="00277EF0"/>
    <w:rsid w:val="00280FAF"/>
    <w:rsid w:val="00282656"/>
    <w:rsid w:val="0029263A"/>
    <w:rsid w:val="00296B83"/>
    <w:rsid w:val="002B4015"/>
    <w:rsid w:val="002B6AAF"/>
    <w:rsid w:val="002B78CE"/>
    <w:rsid w:val="002C055C"/>
    <w:rsid w:val="002C2FB6"/>
    <w:rsid w:val="002C3142"/>
    <w:rsid w:val="002C6389"/>
    <w:rsid w:val="002C7203"/>
    <w:rsid w:val="002D2031"/>
    <w:rsid w:val="002E3512"/>
    <w:rsid w:val="002E5FA7"/>
    <w:rsid w:val="002F199C"/>
    <w:rsid w:val="002F3309"/>
    <w:rsid w:val="002F652F"/>
    <w:rsid w:val="003008CE"/>
    <w:rsid w:val="003009B7"/>
    <w:rsid w:val="00300E56"/>
    <w:rsid w:val="0030469C"/>
    <w:rsid w:val="00321CA6"/>
    <w:rsid w:val="00322836"/>
    <w:rsid w:val="00323763"/>
    <w:rsid w:val="00323C5F"/>
    <w:rsid w:val="00325052"/>
    <w:rsid w:val="003305BD"/>
    <w:rsid w:val="00334C09"/>
    <w:rsid w:val="003376F4"/>
    <w:rsid w:val="00341172"/>
    <w:rsid w:val="00344654"/>
    <w:rsid w:val="00350D09"/>
    <w:rsid w:val="00354822"/>
    <w:rsid w:val="0036255E"/>
    <w:rsid w:val="003708DC"/>
    <w:rsid w:val="003709E4"/>
    <w:rsid w:val="003723D4"/>
    <w:rsid w:val="00380C89"/>
    <w:rsid w:val="00381905"/>
    <w:rsid w:val="00382F0E"/>
    <w:rsid w:val="00384AE3"/>
    <w:rsid w:val="00384CC8"/>
    <w:rsid w:val="003871FD"/>
    <w:rsid w:val="00396DD0"/>
    <w:rsid w:val="003A0834"/>
    <w:rsid w:val="003A1E30"/>
    <w:rsid w:val="003A2829"/>
    <w:rsid w:val="003A7D1C"/>
    <w:rsid w:val="003B304B"/>
    <w:rsid w:val="003B3146"/>
    <w:rsid w:val="003B51C3"/>
    <w:rsid w:val="003C7745"/>
    <w:rsid w:val="003E23F6"/>
    <w:rsid w:val="003E5732"/>
    <w:rsid w:val="003F015E"/>
    <w:rsid w:val="003F7CE0"/>
    <w:rsid w:val="00400414"/>
    <w:rsid w:val="00402933"/>
    <w:rsid w:val="00404E97"/>
    <w:rsid w:val="00411FE5"/>
    <w:rsid w:val="004125DF"/>
    <w:rsid w:val="0041446B"/>
    <w:rsid w:val="00415334"/>
    <w:rsid w:val="00416A4C"/>
    <w:rsid w:val="004215C3"/>
    <w:rsid w:val="00423361"/>
    <w:rsid w:val="0043226B"/>
    <w:rsid w:val="004326F7"/>
    <w:rsid w:val="00432E1A"/>
    <w:rsid w:val="0044071E"/>
    <w:rsid w:val="0044329C"/>
    <w:rsid w:val="00444223"/>
    <w:rsid w:val="00453E24"/>
    <w:rsid w:val="00457456"/>
    <w:rsid w:val="004577FE"/>
    <w:rsid w:val="00457B9C"/>
    <w:rsid w:val="0046164A"/>
    <w:rsid w:val="004628D2"/>
    <w:rsid w:val="00462DCD"/>
    <w:rsid w:val="004648AD"/>
    <w:rsid w:val="004703A9"/>
    <w:rsid w:val="00470EEE"/>
    <w:rsid w:val="004722B6"/>
    <w:rsid w:val="004760DE"/>
    <w:rsid w:val="004763D7"/>
    <w:rsid w:val="004764C5"/>
    <w:rsid w:val="00477399"/>
    <w:rsid w:val="00483D20"/>
    <w:rsid w:val="004840C0"/>
    <w:rsid w:val="004846D6"/>
    <w:rsid w:val="00490271"/>
    <w:rsid w:val="004923A7"/>
    <w:rsid w:val="0049248E"/>
    <w:rsid w:val="004A004E"/>
    <w:rsid w:val="004A06FA"/>
    <w:rsid w:val="004A24CF"/>
    <w:rsid w:val="004A3C05"/>
    <w:rsid w:val="004B3EEF"/>
    <w:rsid w:val="004C1E8D"/>
    <w:rsid w:val="004C3D1D"/>
    <w:rsid w:val="004C3D84"/>
    <w:rsid w:val="004C3F3D"/>
    <w:rsid w:val="004C7913"/>
    <w:rsid w:val="004D2D8A"/>
    <w:rsid w:val="004E2F23"/>
    <w:rsid w:val="004E3659"/>
    <w:rsid w:val="004E4DD6"/>
    <w:rsid w:val="004F5E36"/>
    <w:rsid w:val="005010BC"/>
    <w:rsid w:val="005040F4"/>
    <w:rsid w:val="00507086"/>
    <w:rsid w:val="00507B47"/>
    <w:rsid w:val="00507BEF"/>
    <w:rsid w:val="00507CC9"/>
    <w:rsid w:val="00511012"/>
    <w:rsid w:val="005119A5"/>
    <w:rsid w:val="00512F94"/>
    <w:rsid w:val="00517064"/>
    <w:rsid w:val="00521CFA"/>
    <w:rsid w:val="00525736"/>
    <w:rsid w:val="005278B7"/>
    <w:rsid w:val="00532016"/>
    <w:rsid w:val="00532ABB"/>
    <w:rsid w:val="005346C8"/>
    <w:rsid w:val="00543E7D"/>
    <w:rsid w:val="0054429C"/>
    <w:rsid w:val="00545357"/>
    <w:rsid w:val="00547A68"/>
    <w:rsid w:val="005504FB"/>
    <w:rsid w:val="005531C9"/>
    <w:rsid w:val="005624D7"/>
    <w:rsid w:val="005645ED"/>
    <w:rsid w:val="00565362"/>
    <w:rsid w:val="00570C43"/>
    <w:rsid w:val="00583CF2"/>
    <w:rsid w:val="00590734"/>
    <w:rsid w:val="0059178A"/>
    <w:rsid w:val="005932EA"/>
    <w:rsid w:val="00595FBD"/>
    <w:rsid w:val="005962AD"/>
    <w:rsid w:val="00596390"/>
    <w:rsid w:val="005A333D"/>
    <w:rsid w:val="005A6D42"/>
    <w:rsid w:val="005B0BEA"/>
    <w:rsid w:val="005B2110"/>
    <w:rsid w:val="005B61E6"/>
    <w:rsid w:val="005C03D8"/>
    <w:rsid w:val="005C77E1"/>
    <w:rsid w:val="005D2153"/>
    <w:rsid w:val="005D37D4"/>
    <w:rsid w:val="005D5653"/>
    <w:rsid w:val="005D6234"/>
    <w:rsid w:val="005D668A"/>
    <w:rsid w:val="005D6A2F"/>
    <w:rsid w:val="005D7364"/>
    <w:rsid w:val="005E1A82"/>
    <w:rsid w:val="005E3B94"/>
    <w:rsid w:val="005E7187"/>
    <w:rsid w:val="005E794C"/>
    <w:rsid w:val="005F047E"/>
    <w:rsid w:val="005F0A28"/>
    <w:rsid w:val="005F0E5E"/>
    <w:rsid w:val="005F2DA8"/>
    <w:rsid w:val="005F3060"/>
    <w:rsid w:val="00600535"/>
    <w:rsid w:val="00610CD6"/>
    <w:rsid w:val="0061220F"/>
    <w:rsid w:val="00620DEE"/>
    <w:rsid w:val="00621F92"/>
    <w:rsid w:val="0062280A"/>
    <w:rsid w:val="00625639"/>
    <w:rsid w:val="00626BC5"/>
    <w:rsid w:val="00631B33"/>
    <w:rsid w:val="00635A91"/>
    <w:rsid w:val="0064184D"/>
    <w:rsid w:val="006422CC"/>
    <w:rsid w:val="00646848"/>
    <w:rsid w:val="00647F2D"/>
    <w:rsid w:val="0065063F"/>
    <w:rsid w:val="00651EA9"/>
    <w:rsid w:val="00656DCE"/>
    <w:rsid w:val="00657EC6"/>
    <w:rsid w:val="00660E3E"/>
    <w:rsid w:val="006619C5"/>
    <w:rsid w:val="00662E74"/>
    <w:rsid w:val="00670F3E"/>
    <w:rsid w:val="006742C8"/>
    <w:rsid w:val="00676A7A"/>
    <w:rsid w:val="00677A44"/>
    <w:rsid w:val="00680C23"/>
    <w:rsid w:val="006827C5"/>
    <w:rsid w:val="00685F96"/>
    <w:rsid w:val="00693766"/>
    <w:rsid w:val="0069466A"/>
    <w:rsid w:val="006954C2"/>
    <w:rsid w:val="006A3281"/>
    <w:rsid w:val="006A7BD4"/>
    <w:rsid w:val="006A7F08"/>
    <w:rsid w:val="006B4888"/>
    <w:rsid w:val="006C2581"/>
    <w:rsid w:val="006C2E45"/>
    <w:rsid w:val="006C359C"/>
    <w:rsid w:val="006C5579"/>
    <w:rsid w:val="006C66E1"/>
    <w:rsid w:val="006D6470"/>
    <w:rsid w:val="006D6962"/>
    <w:rsid w:val="006D6E8B"/>
    <w:rsid w:val="006E1B18"/>
    <w:rsid w:val="006E2E59"/>
    <w:rsid w:val="006E737D"/>
    <w:rsid w:val="006F2063"/>
    <w:rsid w:val="00707574"/>
    <w:rsid w:val="00713973"/>
    <w:rsid w:val="00720A24"/>
    <w:rsid w:val="00721755"/>
    <w:rsid w:val="00724A0F"/>
    <w:rsid w:val="00732386"/>
    <w:rsid w:val="0073458C"/>
    <w:rsid w:val="0073514D"/>
    <w:rsid w:val="00735DB5"/>
    <w:rsid w:val="00736A5E"/>
    <w:rsid w:val="007447F3"/>
    <w:rsid w:val="007478EE"/>
    <w:rsid w:val="0075499F"/>
    <w:rsid w:val="007661C8"/>
    <w:rsid w:val="0077098D"/>
    <w:rsid w:val="007714F9"/>
    <w:rsid w:val="007931FA"/>
    <w:rsid w:val="00797DE4"/>
    <w:rsid w:val="007A4861"/>
    <w:rsid w:val="007A7BBA"/>
    <w:rsid w:val="007B0C50"/>
    <w:rsid w:val="007B48F9"/>
    <w:rsid w:val="007B5017"/>
    <w:rsid w:val="007B7ACC"/>
    <w:rsid w:val="007C04CD"/>
    <w:rsid w:val="007C0C16"/>
    <w:rsid w:val="007C1A43"/>
    <w:rsid w:val="007D0951"/>
    <w:rsid w:val="007D0F4A"/>
    <w:rsid w:val="007E10D9"/>
    <w:rsid w:val="007F1F57"/>
    <w:rsid w:val="007F21D2"/>
    <w:rsid w:val="007F3876"/>
    <w:rsid w:val="007F5DBC"/>
    <w:rsid w:val="0080013E"/>
    <w:rsid w:val="00813288"/>
    <w:rsid w:val="0081560A"/>
    <w:rsid w:val="0081648B"/>
    <w:rsid w:val="008168FC"/>
    <w:rsid w:val="00816FC2"/>
    <w:rsid w:val="00821A76"/>
    <w:rsid w:val="00830996"/>
    <w:rsid w:val="00830BA2"/>
    <w:rsid w:val="00833ECC"/>
    <w:rsid w:val="008345F1"/>
    <w:rsid w:val="008410F0"/>
    <w:rsid w:val="008620B1"/>
    <w:rsid w:val="00863A62"/>
    <w:rsid w:val="00865B07"/>
    <w:rsid w:val="008667EA"/>
    <w:rsid w:val="008678FE"/>
    <w:rsid w:val="008712B6"/>
    <w:rsid w:val="008750C0"/>
    <w:rsid w:val="0087637F"/>
    <w:rsid w:val="00877A92"/>
    <w:rsid w:val="008808F2"/>
    <w:rsid w:val="0088592A"/>
    <w:rsid w:val="00891CBF"/>
    <w:rsid w:val="00892AD5"/>
    <w:rsid w:val="00896FC4"/>
    <w:rsid w:val="008A1512"/>
    <w:rsid w:val="008B0552"/>
    <w:rsid w:val="008B2C8E"/>
    <w:rsid w:val="008C0CA7"/>
    <w:rsid w:val="008C22A8"/>
    <w:rsid w:val="008C2C8A"/>
    <w:rsid w:val="008C3B68"/>
    <w:rsid w:val="008D32B9"/>
    <w:rsid w:val="008D433B"/>
    <w:rsid w:val="008D4A16"/>
    <w:rsid w:val="008E566E"/>
    <w:rsid w:val="0090161A"/>
    <w:rsid w:val="00901EB6"/>
    <w:rsid w:val="00904C62"/>
    <w:rsid w:val="00913D90"/>
    <w:rsid w:val="00915550"/>
    <w:rsid w:val="00922BA8"/>
    <w:rsid w:val="00924DAC"/>
    <w:rsid w:val="00927058"/>
    <w:rsid w:val="00930F75"/>
    <w:rsid w:val="00933671"/>
    <w:rsid w:val="009348E9"/>
    <w:rsid w:val="00942750"/>
    <w:rsid w:val="00942EEF"/>
    <w:rsid w:val="009450CE"/>
    <w:rsid w:val="0094696C"/>
    <w:rsid w:val="00947179"/>
    <w:rsid w:val="0095164B"/>
    <w:rsid w:val="00951781"/>
    <w:rsid w:val="00952E34"/>
    <w:rsid w:val="00954090"/>
    <w:rsid w:val="00955E38"/>
    <w:rsid w:val="009573E7"/>
    <w:rsid w:val="00960C05"/>
    <w:rsid w:val="00961DC3"/>
    <w:rsid w:val="00963E05"/>
    <w:rsid w:val="00964A45"/>
    <w:rsid w:val="00967843"/>
    <w:rsid w:val="00967D54"/>
    <w:rsid w:val="00971028"/>
    <w:rsid w:val="00987E8C"/>
    <w:rsid w:val="00993B84"/>
    <w:rsid w:val="00996483"/>
    <w:rsid w:val="00996F5A"/>
    <w:rsid w:val="009A421D"/>
    <w:rsid w:val="009A49ED"/>
    <w:rsid w:val="009A78E1"/>
    <w:rsid w:val="009B041A"/>
    <w:rsid w:val="009B3A1B"/>
    <w:rsid w:val="009B5437"/>
    <w:rsid w:val="009B5CE8"/>
    <w:rsid w:val="009C37C3"/>
    <w:rsid w:val="009C7C86"/>
    <w:rsid w:val="009D2FF7"/>
    <w:rsid w:val="009E4167"/>
    <w:rsid w:val="009E7884"/>
    <w:rsid w:val="009E788A"/>
    <w:rsid w:val="009F09BA"/>
    <w:rsid w:val="009F0E08"/>
    <w:rsid w:val="009F1343"/>
    <w:rsid w:val="009F3DB5"/>
    <w:rsid w:val="009F7CC7"/>
    <w:rsid w:val="00A1200D"/>
    <w:rsid w:val="00A1763D"/>
    <w:rsid w:val="00A17CEC"/>
    <w:rsid w:val="00A17DA1"/>
    <w:rsid w:val="00A2007B"/>
    <w:rsid w:val="00A25B86"/>
    <w:rsid w:val="00A27EF0"/>
    <w:rsid w:val="00A359E0"/>
    <w:rsid w:val="00A3664D"/>
    <w:rsid w:val="00A42361"/>
    <w:rsid w:val="00A47DB4"/>
    <w:rsid w:val="00A50B20"/>
    <w:rsid w:val="00A51390"/>
    <w:rsid w:val="00A60D13"/>
    <w:rsid w:val="00A71426"/>
    <w:rsid w:val="00A71782"/>
    <w:rsid w:val="00A7223D"/>
    <w:rsid w:val="00A72745"/>
    <w:rsid w:val="00A75DDD"/>
    <w:rsid w:val="00A76EFC"/>
    <w:rsid w:val="00A77797"/>
    <w:rsid w:val="00A83720"/>
    <w:rsid w:val="00A83F2F"/>
    <w:rsid w:val="00A8406D"/>
    <w:rsid w:val="00A87D50"/>
    <w:rsid w:val="00A87DF4"/>
    <w:rsid w:val="00A91010"/>
    <w:rsid w:val="00A97F29"/>
    <w:rsid w:val="00AA3DB4"/>
    <w:rsid w:val="00AA702E"/>
    <w:rsid w:val="00AB0964"/>
    <w:rsid w:val="00AB1707"/>
    <w:rsid w:val="00AB2D40"/>
    <w:rsid w:val="00AB5011"/>
    <w:rsid w:val="00AC06F1"/>
    <w:rsid w:val="00AC3379"/>
    <w:rsid w:val="00AC7368"/>
    <w:rsid w:val="00AD16B9"/>
    <w:rsid w:val="00AE377D"/>
    <w:rsid w:val="00AE48E6"/>
    <w:rsid w:val="00AE4ECE"/>
    <w:rsid w:val="00AF0EA5"/>
    <w:rsid w:val="00AF0EBA"/>
    <w:rsid w:val="00AF3673"/>
    <w:rsid w:val="00AF6BBF"/>
    <w:rsid w:val="00B02C8A"/>
    <w:rsid w:val="00B12DE1"/>
    <w:rsid w:val="00B14B58"/>
    <w:rsid w:val="00B14F15"/>
    <w:rsid w:val="00B172A6"/>
    <w:rsid w:val="00B17FBD"/>
    <w:rsid w:val="00B254FF"/>
    <w:rsid w:val="00B30556"/>
    <w:rsid w:val="00B315A6"/>
    <w:rsid w:val="00B31813"/>
    <w:rsid w:val="00B33365"/>
    <w:rsid w:val="00B44C49"/>
    <w:rsid w:val="00B4520B"/>
    <w:rsid w:val="00B513B6"/>
    <w:rsid w:val="00B5342E"/>
    <w:rsid w:val="00B57709"/>
    <w:rsid w:val="00B57B36"/>
    <w:rsid w:val="00B57E6F"/>
    <w:rsid w:val="00B60CFB"/>
    <w:rsid w:val="00B66A2B"/>
    <w:rsid w:val="00B8686D"/>
    <w:rsid w:val="00B93F69"/>
    <w:rsid w:val="00BA18D2"/>
    <w:rsid w:val="00BA30FB"/>
    <w:rsid w:val="00BA3BA0"/>
    <w:rsid w:val="00BA5E83"/>
    <w:rsid w:val="00BA6477"/>
    <w:rsid w:val="00BB00AB"/>
    <w:rsid w:val="00BB0BC3"/>
    <w:rsid w:val="00BB1DDC"/>
    <w:rsid w:val="00BB2B93"/>
    <w:rsid w:val="00BB7BB6"/>
    <w:rsid w:val="00BC30C9"/>
    <w:rsid w:val="00BD039F"/>
    <w:rsid w:val="00BD077D"/>
    <w:rsid w:val="00BD2F5D"/>
    <w:rsid w:val="00BE3E58"/>
    <w:rsid w:val="00BE5E8D"/>
    <w:rsid w:val="00BF0A02"/>
    <w:rsid w:val="00C01616"/>
    <w:rsid w:val="00C0162B"/>
    <w:rsid w:val="00C01BC5"/>
    <w:rsid w:val="00C068ED"/>
    <w:rsid w:val="00C107A5"/>
    <w:rsid w:val="00C10835"/>
    <w:rsid w:val="00C22E0C"/>
    <w:rsid w:val="00C25C30"/>
    <w:rsid w:val="00C345B1"/>
    <w:rsid w:val="00C40142"/>
    <w:rsid w:val="00C4221F"/>
    <w:rsid w:val="00C468F6"/>
    <w:rsid w:val="00C51DF6"/>
    <w:rsid w:val="00C524A9"/>
    <w:rsid w:val="00C52C3C"/>
    <w:rsid w:val="00C52D4D"/>
    <w:rsid w:val="00C53A1D"/>
    <w:rsid w:val="00C57182"/>
    <w:rsid w:val="00C57863"/>
    <w:rsid w:val="00C613A3"/>
    <w:rsid w:val="00C6335F"/>
    <w:rsid w:val="00C640AF"/>
    <w:rsid w:val="00C655FD"/>
    <w:rsid w:val="00C66039"/>
    <w:rsid w:val="00C678C1"/>
    <w:rsid w:val="00C742C5"/>
    <w:rsid w:val="00C75407"/>
    <w:rsid w:val="00C870A8"/>
    <w:rsid w:val="00C90723"/>
    <w:rsid w:val="00C94434"/>
    <w:rsid w:val="00CA0D75"/>
    <w:rsid w:val="00CA1C95"/>
    <w:rsid w:val="00CA25E7"/>
    <w:rsid w:val="00CA5A9C"/>
    <w:rsid w:val="00CA6132"/>
    <w:rsid w:val="00CA6227"/>
    <w:rsid w:val="00CC32D3"/>
    <w:rsid w:val="00CC4C20"/>
    <w:rsid w:val="00CC7DAD"/>
    <w:rsid w:val="00CD1A4E"/>
    <w:rsid w:val="00CD2D98"/>
    <w:rsid w:val="00CD3517"/>
    <w:rsid w:val="00CD5FE2"/>
    <w:rsid w:val="00CD63F9"/>
    <w:rsid w:val="00CE7C68"/>
    <w:rsid w:val="00CE7DD7"/>
    <w:rsid w:val="00D001FA"/>
    <w:rsid w:val="00D02B4C"/>
    <w:rsid w:val="00D040C4"/>
    <w:rsid w:val="00D20AD1"/>
    <w:rsid w:val="00D2481B"/>
    <w:rsid w:val="00D44AC4"/>
    <w:rsid w:val="00D46B7E"/>
    <w:rsid w:val="00D46F2C"/>
    <w:rsid w:val="00D47289"/>
    <w:rsid w:val="00D57C84"/>
    <w:rsid w:val="00D6057D"/>
    <w:rsid w:val="00D6158D"/>
    <w:rsid w:val="00D61754"/>
    <w:rsid w:val="00D71640"/>
    <w:rsid w:val="00D7430D"/>
    <w:rsid w:val="00D836C5"/>
    <w:rsid w:val="00D84576"/>
    <w:rsid w:val="00D86EFE"/>
    <w:rsid w:val="00D9252D"/>
    <w:rsid w:val="00DA1399"/>
    <w:rsid w:val="00DA24C6"/>
    <w:rsid w:val="00DA4D7B"/>
    <w:rsid w:val="00DB6EE9"/>
    <w:rsid w:val="00DD0B91"/>
    <w:rsid w:val="00DD271C"/>
    <w:rsid w:val="00DD3BE7"/>
    <w:rsid w:val="00DD6A37"/>
    <w:rsid w:val="00DE264A"/>
    <w:rsid w:val="00DE7170"/>
    <w:rsid w:val="00DE7F38"/>
    <w:rsid w:val="00DF3076"/>
    <w:rsid w:val="00DF5072"/>
    <w:rsid w:val="00E02D18"/>
    <w:rsid w:val="00E03D69"/>
    <w:rsid w:val="00E041E7"/>
    <w:rsid w:val="00E22A17"/>
    <w:rsid w:val="00E23CA1"/>
    <w:rsid w:val="00E255BA"/>
    <w:rsid w:val="00E30A66"/>
    <w:rsid w:val="00E409A8"/>
    <w:rsid w:val="00E4180E"/>
    <w:rsid w:val="00E426A8"/>
    <w:rsid w:val="00E50672"/>
    <w:rsid w:val="00E50C12"/>
    <w:rsid w:val="00E63D60"/>
    <w:rsid w:val="00E64771"/>
    <w:rsid w:val="00E65B91"/>
    <w:rsid w:val="00E7209D"/>
    <w:rsid w:val="00E72EAD"/>
    <w:rsid w:val="00E7431C"/>
    <w:rsid w:val="00E74F37"/>
    <w:rsid w:val="00E758AB"/>
    <w:rsid w:val="00E77223"/>
    <w:rsid w:val="00E82C60"/>
    <w:rsid w:val="00E8528B"/>
    <w:rsid w:val="00E85B94"/>
    <w:rsid w:val="00E87FA1"/>
    <w:rsid w:val="00E92F04"/>
    <w:rsid w:val="00E936C8"/>
    <w:rsid w:val="00E978D0"/>
    <w:rsid w:val="00EA3E34"/>
    <w:rsid w:val="00EA4613"/>
    <w:rsid w:val="00EA7F91"/>
    <w:rsid w:val="00EB1523"/>
    <w:rsid w:val="00EB1DCB"/>
    <w:rsid w:val="00EB31DE"/>
    <w:rsid w:val="00EB34EE"/>
    <w:rsid w:val="00EC0E49"/>
    <w:rsid w:val="00EC101F"/>
    <w:rsid w:val="00EC1D9F"/>
    <w:rsid w:val="00EC42ED"/>
    <w:rsid w:val="00ED0BD1"/>
    <w:rsid w:val="00EE0131"/>
    <w:rsid w:val="00EE1135"/>
    <w:rsid w:val="00EE17B0"/>
    <w:rsid w:val="00EF06D9"/>
    <w:rsid w:val="00F006CD"/>
    <w:rsid w:val="00F00D86"/>
    <w:rsid w:val="00F1657A"/>
    <w:rsid w:val="00F25ACA"/>
    <w:rsid w:val="00F30512"/>
    <w:rsid w:val="00F30C64"/>
    <w:rsid w:val="00F32BA2"/>
    <w:rsid w:val="00F32CDB"/>
    <w:rsid w:val="00F41C02"/>
    <w:rsid w:val="00F433CF"/>
    <w:rsid w:val="00F55760"/>
    <w:rsid w:val="00F565FE"/>
    <w:rsid w:val="00F56E88"/>
    <w:rsid w:val="00F63A70"/>
    <w:rsid w:val="00F63D8C"/>
    <w:rsid w:val="00F735A6"/>
    <w:rsid w:val="00F7534E"/>
    <w:rsid w:val="00F80473"/>
    <w:rsid w:val="00F92B3C"/>
    <w:rsid w:val="00F942F4"/>
    <w:rsid w:val="00FA1802"/>
    <w:rsid w:val="00FA19CA"/>
    <w:rsid w:val="00FA21D0"/>
    <w:rsid w:val="00FA3EFE"/>
    <w:rsid w:val="00FA5F5F"/>
    <w:rsid w:val="00FB1ADC"/>
    <w:rsid w:val="00FB1F2E"/>
    <w:rsid w:val="00FB214D"/>
    <w:rsid w:val="00FB2674"/>
    <w:rsid w:val="00FB3EB8"/>
    <w:rsid w:val="00FB730C"/>
    <w:rsid w:val="00FC2695"/>
    <w:rsid w:val="00FC3E03"/>
    <w:rsid w:val="00FC3E90"/>
    <w:rsid w:val="00FC3FC1"/>
    <w:rsid w:val="00FC498C"/>
    <w:rsid w:val="00FC6C2D"/>
    <w:rsid w:val="00FC6E62"/>
    <w:rsid w:val="00FC749D"/>
    <w:rsid w:val="00FD2BB2"/>
    <w:rsid w:val="00FE527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styleId="PlaceholderText">
    <w:name w:val="Placeholder Text"/>
    <w:basedOn w:val="DefaultParagraphFont"/>
    <w:uiPriority w:val="99"/>
    <w:semiHidden/>
    <w:rsid w:val="00A87D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07093917862687"/>
          <c:y val="6.0550813970993947E-2"/>
          <c:w val="0.82815454136707856"/>
          <c:h val="0.77312409119591763"/>
        </c:manualLayout>
      </c:layout>
      <c:barChart>
        <c:barDir val="col"/>
        <c:grouping val="clustered"/>
        <c:varyColors val="0"/>
        <c:ser>
          <c:idx val="0"/>
          <c:order val="0"/>
          <c:tx>
            <c:strRef>
              <c:f>'[Custom Graphs.xlsx]Adam'!$D$2</c:f>
              <c:strCache>
                <c:ptCount val="1"/>
                <c:pt idx="0">
                  <c:v>TPA Yield</c:v>
                </c:pt>
              </c:strCache>
            </c:strRef>
          </c:tx>
          <c:spPr>
            <a:solidFill>
              <a:srgbClr val="FFFF00"/>
            </a:solidFill>
            <a:ln w="6350">
              <a:solidFill>
                <a:srgbClr val="002060"/>
              </a:solidFill>
            </a:ln>
            <a:effectLst/>
          </c:spPr>
          <c:invertIfNegative val="0"/>
          <c:cat>
            <c:strRef>
              <c:f>'[Custom Graphs.xlsx]Adam'!$C$3:$C$6</c:f>
              <c:strCache>
                <c:ptCount val="4"/>
                <c:pt idx="0">
                  <c:v>Filter 14</c:v>
                </c:pt>
                <c:pt idx="1">
                  <c:v>Filter 15</c:v>
                </c:pt>
                <c:pt idx="2">
                  <c:v>Filter 16</c:v>
                </c:pt>
                <c:pt idx="3">
                  <c:v>Filter 19</c:v>
                </c:pt>
              </c:strCache>
            </c:strRef>
          </c:cat>
          <c:val>
            <c:numRef>
              <c:f>'[Custom Graphs.xlsx]Adam'!$D$3:$D$6</c:f>
              <c:numCache>
                <c:formatCode>General</c:formatCode>
                <c:ptCount val="4"/>
                <c:pt idx="0">
                  <c:v>76.3</c:v>
                </c:pt>
                <c:pt idx="1">
                  <c:v>75</c:v>
                </c:pt>
                <c:pt idx="2">
                  <c:v>82.6</c:v>
                </c:pt>
                <c:pt idx="3">
                  <c:v>85.1</c:v>
                </c:pt>
              </c:numCache>
            </c:numRef>
          </c:val>
          <c:extLst>
            <c:ext xmlns:c16="http://schemas.microsoft.com/office/drawing/2014/chart" uri="{C3380CC4-5D6E-409C-BE32-E72D297353CC}">
              <c16:uniqueId val="{00000000-CF27-4A58-A6BD-12E5CDF0D32B}"/>
            </c:ext>
          </c:extLst>
        </c:ser>
        <c:ser>
          <c:idx val="1"/>
          <c:order val="1"/>
          <c:tx>
            <c:strRef>
              <c:f>'[Custom Graphs.xlsx]Adam'!$E$2</c:f>
              <c:strCache>
                <c:ptCount val="1"/>
                <c:pt idx="0">
                  <c:v>PET Conversion</c:v>
                </c:pt>
              </c:strCache>
            </c:strRef>
          </c:tx>
          <c:spPr>
            <a:solidFill>
              <a:srgbClr val="7030A0"/>
            </a:solidFill>
            <a:ln>
              <a:solidFill>
                <a:srgbClr val="002060"/>
              </a:solidFill>
            </a:ln>
            <a:effectLst/>
          </c:spPr>
          <c:invertIfNegative val="0"/>
          <c:cat>
            <c:strRef>
              <c:f>'[Custom Graphs.xlsx]Adam'!$C$3:$C$6</c:f>
              <c:strCache>
                <c:ptCount val="4"/>
                <c:pt idx="0">
                  <c:v>Filter 14</c:v>
                </c:pt>
                <c:pt idx="1">
                  <c:v>Filter 15</c:v>
                </c:pt>
                <c:pt idx="2">
                  <c:v>Filter 16</c:v>
                </c:pt>
                <c:pt idx="3">
                  <c:v>Filter 19</c:v>
                </c:pt>
              </c:strCache>
            </c:strRef>
          </c:cat>
          <c:val>
            <c:numRef>
              <c:f>'[Custom Graphs.xlsx]Adam'!$E$3:$E$6</c:f>
              <c:numCache>
                <c:formatCode>General</c:formatCode>
                <c:ptCount val="4"/>
                <c:pt idx="0">
                  <c:v>78.599999999999994</c:v>
                </c:pt>
                <c:pt idx="1">
                  <c:v>77.099999999999994</c:v>
                </c:pt>
                <c:pt idx="2">
                  <c:v>85.3</c:v>
                </c:pt>
                <c:pt idx="3">
                  <c:v>87.5</c:v>
                </c:pt>
              </c:numCache>
            </c:numRef>
          </c:val>
          <c:extLst>
            <c:ext xmlns:c16="http://schemas.microsoft.com/office/drawing/2014/chart" uri="{C3380CC4-5D6E-409C-BE32-E72D297353CC}">
              <c16:uniqueId val="{00000001-CF27-4A58-A6BD-12E5CDF0D32B}"/>
            </c:ext>
          </c:extLst>
        </c:ser>
        <c:dLbls>
          <c:showLegendKey val="0"/>
          <c:showVal val="0"/>
          <c:showCatName val="0"/>
          <c:showSerName val="0"/>
          <c:showPercent val="0"/>
          <c:showBubbleSize val="0"/>
        </c:dLbls>
        <c:gapWidth val="309"/>
        <c:overlap val="-27"/>
        <c:axId val="1946244831"/>
        <c:axId val="1946245247"/>
      </c:barChart>
      <c:catAx>
        <c:axId val="1946244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1946245247"/>
        <c:crosses val="autoZero"/>
        <c:auto val="1"/>
        <c:lblAlgn val="ctr"/>
        <c:lblOffset val="100"/>
        <c:noMultiLvlLbl val="0"/>
      </c:catAx>
      <c:valAx>
        <c:axId val="1946245247"/>
        <c:scaling>
          <c:orientation val="minMax"/>
          <c:max val="100"/>
          <c:min val="50"/>
        </c:scaling>
        <c:delete val="0"/>
        <c:axPos val="l"/>
        <c:majorGridlines>
          <c:spPr>
            <a:ln w="9525" cap="flat" cmpd="sng" algn="ctr">
              <a:solidFill>
                <a:schemeClr val="bg1">
                  <a:lumMod val="85000"/>
                  <a:alpha val="90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r>
                  <a:rPr lang="en-ID"/>
                  <a:t>Percentage by mass</a:t>
                </a:r>
              </a:p>
            </c:rich>
          </c:tx>
          <c:layout>
            <c:manualLayout>
              <c:xMode val="edge"/>
              <c:yMode val="edge"/>
              <c:x val="1.5703456062405606E-2"/>
              <c:y val="0.136674805893165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1946244831"/>
        <c:crosses val="autoZero"/>
        <c:crossBetween val="between"/>
        <c:majorUnit val="10"/>
      </c:valAx>
      <c:spPr>
        <a:noFill/>
        <a:ln>
          <a:noFill/>
        </a:ln>
        <a:effectLst/>
      </c:spPr>
    </c:plotArea>
    <c:legend>
      <c:legendPos val="b"/>
      <c:layout>
        <c:manualLayout>
          <c:xMode val="edge"/>
          <c:yMode val="edge"/>
          <c:x val="0.11432834924986007"/>
          <c:y val="6.7559568936376796E-2"/>
          <c:w val="0.55793924637961978"/>
          <c:h val="0.100937161362299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sz="900" baseline="0">
          <a:latin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46343490269078"/>
          <c:y val="8.5555253869128434E-2"/>
          <c:w val="0.8272697451782749"/>
          <c:h val="0.72276628137000121"/>
        </c:manualLayout>
      </c:layout>
      <c:scatterChart>
        <c:scatterStyle val="lineMarker"/>
        <c:varyColors val="0"/>
        <c:ser>
          <c:idx val="0"/>
          <c:order val="0"/>
          <c:tx>
            <c:v>Repolymerised PET</c:v>
          </c:tx>
          <c:spPr>
            <a:ln w="25400" cap="rnd">
              <a:solidFill>
                <a:schemeClr val="accent6">
                  <a:lumMod val="75000"/>
                </a:schemeClr>
              </a:solidFill>
              <a:round/>
            </a:ln>
            <a:effectLst/>
          </c:spPr>
          <c:marker>
            <c:symbol val="none"/>
          </c:marker>
          <c:xVal>
            <c:numRef>
              <c:f>'[Custom Graphs.xlsx]A'!$A$1:$A$119</c:f>
              <c:numCache>
                <c:formatCode>General</c:formatCode>
                <c:ptCount val="119"/>
                <c:pt idx="0">
                  <c:v>40.748444329608297</c:v>
                </c:pt>
                <c:pt idx="1">
                  <c:v>48.4171995779773</c:v>
                </c:pt>
                <c:pt idx="2">
                  <c:v>56.085954826346203</c:v>
                </c:pt>
                <c:pt idx="3">
                  <c:v>63.754710074715199</c:v>
                </c:pt>
                <c:pt idx="4">
                  <c:v>71.423465323084201</c:v>
                </c:pt>
                <c:pt idx="5">
                  <c:v>79.092220571453197</c:v>
                </c:pt>
                <c:pt idx="6">
                  <c:v>86.760975819822093</c:v>
                </c:pt>
                <c:pt idx="7">
                  <c:v>94.429731068191103</c:v>
                </c:pt>
                <c:pt idx="8">
                  <c:v>102.09848631656</c:v>
                </c:pt>
                <c:pt idx="9">
                  <c:v>109.76724156492899</c:v>
                </c:pt>
                <c:pt idx="10">
                  <c:v>117.435996813298</c:v>
                </c:pt>
                <c:pt idx="11">
                  <c:v>125.104752061667</c:v>
                </c:pt>
                <c:pt idx="12">
                  <c:v>132.773507310035</c:v>
                </c:pt>
                <c:pt idx="13">
                  <c:v>140.442262558404</c:v>
                </c:pt>
                <c:pt idx="14">
                  <c:v>148.11101780677299</c:v>
                </c:pt>
                <c:pt idx="15">
                  <c:v>155.77977305514199</c:v>
                </c:pt>
                <c:pt idx="16">
                  <c:v>163.44852830351101</c:v>
                </c:pt>
                <c:pt idx="17">
                  <c:v>171.11728355188001</c:v>
                </c:pt>
                <c:pt idx="18">
                  <c:v>178.786038800249</c:v>
                </c:pt>
                <c:pt idx="19">
                  <c:v>186.454794048618</c:v>
                </c:pt>
                <c:pt idx="20">
                  <c:v>194.12354929698699</c:v>
                </c:pt>
                <c:pt idx="21">
                  <c:v>201.79230454535599</c:v>
                </c:pt>
                <c:pt idx="22">
                  <c:v>209.46105979372501</c:v>
                </c:pt>
                <c:pt idx="23">
                  <c:v>217.12981504209401</c:v>
                </c:pt>
                <c:pt idx="24">
                  <c:v>224.798570290463</c:v>
                </c:pt>
                <c:pt idx="25">
                  <c:v>232.467325538832</c:v>
                </c:pt>
                <c:pt idx="26">
                  <c:v>240.136080787201</c:v>
                </c:pt>
                <c:pt idx="27">
                  <c:v>247.80483603556999</c:v>
                </c:pt>
                <c:pt idx="28">
                  <c:v>255.47359128393899</c:v>
                </c:pt>
                <c:pt idx="29">
                  <c:v>263.14234653230801</c:v>
                </c:pt>
                <c:pt idx="30">
                  <c:v>270.81110178067701</c:v>
                </c:pt>
                <c:pt idx="31">
                  <c:v>278.479857029046</c:v>
                </c:pt>
                <c:pt idx="32">
                  <c:v>286.148612277415</c:v>
                </c:pt>
                <c:pt idx="33">
                  <c:v>293.81736752578399</c:v>
                </c:pt>
                <c:pt idx="34">
                  <c:v>301.48612277415299</c:v>
                </c:pt>
                <c:pt idx="35">
                  <c:v>309.15487802252198</c:v>
                </c:pt>
                <c:pt idx="36">
                  <c:v>316.82363327089098</c:v>
                </c:pt>
                <c:pt idx="37">
                  <c:v>324.49238851925998</c:v>
                </c:pt>
                <c:pt idx="38">
                  <c:v>332.16114376762903</c:v>
                </c:pt>
                <c:pt idx="39">
                  <c:v>339.82989901599802</c:v>
                </c:pt>
                <c:pt idx="40">
                  <c:v>347.49865426436702</c:v>
                </c:pt>
                <c:pt idx="41">
                  <c:v>355.16740951273601</c:v>
                </c:pt>
                <c:pt idx="42">
                  <c:v>362.83616476110501</c:v>
                </c:pt>
                <c:pt idx="43">
                  <c:v>370.50492000947401</c:v>
                </c:pt>
                <c:pt idx="44">
                  <c:v>378.173675257843</c:v>
                </c:pt>
                <c:pt idx="45">
                  <c:v>387.54659833918203</c:v>
                </c:pt>
                <c:pt idx="46">
                  <c:v>395.21535358755102</c:v>
                </c:pt>
                <c:pt idx="47">
                  <c:v>402.88410883592002</c:v>
                </c:pt>
                <c:pt idx="48">
                  <c:v>409.27473820956101</c:v>
                </c:pt>
                <c:pt idx="49">
                  <c:v>413.961199750231</c:v>
                </c:pt>
                <c:pt idx="50">
                  <c:v>417.79557737441598</c:v>
                </c:pt>
                <c:pt idx="51">
                  <c:v>421.20391304035701</c:v>
                </c:pt>
                <c:pt idx="52">
                  <c:v>424.18620674805601</c:v>
                </c:pt>
                <c:pt idx="53">
                  <c:v>426.74245849751298</c:v>
                </c:pt>
                <c:pt idx="54">
                  <c:v>429.29871024696899</c:v>
                </c:pt>
                <c:pt idx="55">
                  <c:v>431.42892003818298</c:v>
                </c:pt>
                <c:pt idx="56">
                  <c:v>433.13308787115301</c:v>
                </c:pt>
                <c:pt idx="57">
                  <c:v>434.837255704124</c:v>
                </c:pt>
                <c:pt idx="58">
                  <c:v>436.399409551014</c:v>
                </c:pt>
                <c:pt idx="59">
                  <c:v>438.24559137006599</c:v>
                </c:pt>
                <c:pt idx="60">
                  <c:v>439.94975920303699</c:v>
                </c:pt>
                <c:pt idx="61">
                  <c:v>441.227885077765</c:v>
                </c:pt>
                <c:pt idx="62">
                  <c:v>442.506010952493</c:v>
                </c:pt>
                <c:pt idx="63">
                  <c:v>444.210178785464</c:v>
                </c:pt>
                <c:pt idx="64">
                  <c:v>445.488304660192</c:v>
                </c:pt>
                <c:pt idx="65">
                  <c:v>447.47650046532499</c:v>
                </c:pt>
                <c:pt idx="66">
                  <c:v>448.89664032613399</c:v>
                </c:pt>
                <c:pt idx="67">
                  <c:v>450.174766200862</c:v>
                </c:pt>
                <c:pt idx="68">
                  <c:v>451.87893403383299</c:v>
                </c:pt>
                <c:pt idx="69">
                  <c:v>453.44108788072299</c:v>
                </c:pt>
                <c:pt idx="70">
                  <c:v>454.86122774153199</c:v>
                </c:pt>
                <c:pt idx="71">
                  <c:v>456.13935361626</c:v>
                </c:pt>
                <c:pt idx="72">
                  <c:v>457.70150746314999</c:v>
                </c:pt>
                <c:pt idx="73">
                  <c:v>459.54768928220199</c:v>
                </c:pt>
                <c:pt idx="74">
                  <c:v>461.67789907341597</c:v>
                </c:pt>
                <c:pt idx="75">
                  <c:v>464.23415082287198</c:v>
                </c:pt>
                <c:pt idx="76">
                  <c:v>467.21644453057098</c:v>
                </c:pt>
                <c:pt idx="77">
                  <c:v>471.47686411299799</c:v>
                </c:pt>
                <c:pt idx="78">
                  <c:v>478.71957740312502</c:v>
                </c:pt>
                <c:pt idx="79">
                  <c:v>486.38833265149401</c:v>
                </c:pt>
                <c:pt idx="80">
                  <c:v>494.05708789986198</c:v>
                </c:pt>
                <c:pt idx="81">
                  <c:v>501.72584314823098</c:v>
                </c:pt>
                <c:pt idx="82">
                  <c:v>509.39459839659997</c:v>
                </c:pt>
                <c:pt idx="83">
                  <c:v>517.06335364496897</c:v>
                </c:pt>
                <c:pt idx="84">
                  <c:v>524.73210889333802</c:v>
                </c:pt>
                <c:pt idx="85">
                  <c:v>532.40086414170696</c:v>
                </c:pt>
                <c:pt idx="86">
                  <c:v>540.06961939007601</c:v>
                </c:pt>
                <c:pt idx="87">
                  <c:v>547.73837463844495</c:v>
                </c:pt>
                <c:pt idx="88">
                  <c:v>555.407129886814</c:v>
                </c:pt>
                <c:pt idx="89">
                  <c:v>563.07588513518294</c:v>
                </c:pt>
                <c:pt idx="90">
                  <c:v>570.744640383552</c:v>
                </c:pt>
                <c:pt idx="91">
                  <c:v>578.41339563192105</c:v>
                </c:pt>
                <c:pt idx="92">
                  <c:v>586.08215088028999</c:v>
                </c:pt>
                <c:pt idx="93">
                  <c:v>593.75090612865904</c:v>
                </c:pt>
                <c:pt idx="94">
                  <c:v>601.41966137702798</c:v>
                </c:pt>
                <c:pt idx="95">
                  <c:v>609.08841662539703</c:v>
                </c:pt>
                <c:pt idx="96">
                  <c:v>616.75717187376597</c:v>
                </c:pt>
                <c:pt idx="97">
                  <c:v>624.42592712213502</c:v>
                </c:pt>
                <c:pt idx="98">
                  <c:v>632.09468237050396</c:v>
                </c:pt>
                <c:pt idx="99">
                  <c:v>639.76343761887301</c:v>
                </c:pt>
                <c:pt idx="100">
                  <c:v>647.43219286724195</c:v>
                </c:pt>
                <c:pt idx="101">
                  <c:v>655.100948115611</c:v>
                </c:pt>
                <c:pt idx="102">
                  <c:v>662.76970336398006</c:v>
                </c:pt>
                <c:pt idx="103">
                  <c:v>670.438458612349</c:v>
                </c:pt>
                <c:pt idx="104">
                  <c:v>678.10721386071805</c:v>
                </c:pt>
                <c:pt idx="105">
                  <c:v>685.77596910908699</c:v>
                </c:pt>
                <c:pt idx="106">
                  <c:v>693.44472435745604</c:v>
                </c:pt>
                <c:pt idx="107">
                  <c:v>701.11347960582498</c:v>
                </c:pt>
                <c:pt idx="108">
                  <c:v>708.78223485419403</c:v>
                </c:pt>
                <c:pt idx="109">
                  <c:v>716.45099010256297</c:v>
                </c:pt>
                <c:pt idx="110">
                  <c:v>724.11974535093202</c:v>
                </c:pt>
                <c:pt idx="111">
                  <c:v>731.78850059930096</c:v>
                </c:pt>
                <c:pt idx="112">
                  <c:v>739.45725584767001</c:v>
                </c:pt>
                <c:pt idx="113">
                  <c:v>747.12601109603895</c:v>
                </c:pt>
                <c:pt idx="114">
                  <c:v>754.79476634440698</c:v>
                </c:pt>
                <c:pt idx="115">
                  <c:v>762.46352159277603</c:v>
                </c:pt>
                <c:pt idx="116">
                  <c:v>770.13227684114497</c:v>
                </c:pt>
                <c:pt idx="117">
                  <c:v>777.80103208951402</c:v>
                </c:pt>
                <c:pt idx="118">
                  <c:v>784.61770342139801</c:v>
                </c:pt>
              </c:numCache>
            </c:numRef>
          </c:xVal>
          <c:yVal>
            <c:numRef>
              <c:f>'[Custom Graphs.xlsx]A'!$B$1:$B$119</c:f>
              <c:numCache>
                <c:formatCode>General</c:formatCode>
                <c:ptCount val="119"/>
                <c:pt idx="0">
                  <c:v>99.352369687275598</c:v>
                </c:pt>
                <c:pt idx="1">
                  <c:v>99.288437260576501</c:v>
                </c:pt>
                <c:pt idx="2">
                  <c:v>99.288437260576501</c:v>
                </c:pt>
                <c:pt idx="3">
                  <c:v>99.288437260576501</c:v>
                </c:pt>
                <c:pt idx="4">
                  <c:v>99.288437260576501</c:v>
                </c:pt>
                <c:pt idx="5">
                  <c:v>99.288437260576501</c:v>
                </c:pt>
                <c:pt idx="6">
                  <c:v>99.288437260576501</c:v>
                </c:pt>
                <c:pt idx="7">
                  <c:v>99.288437260576501</c:v>
                </c:pt>
                <c:pt idx="8">
                  <c:v>99.288437260576501</c:v>
                </c:pt>
                <c:pt idx="9">
                  <c:v>99.288437260576501</c:v>
                </c:pt>
                <c:pt idx="10">
                  <c:v>99.288437260576501</c:v>
                </c:pt>
                <c:pt idx="11">
                  <c:v>99.288437260576501</c:v>
                </c:pt>
                <c:pt idx="12">
                  <c:v>99.288437260576501</c:v>
                </c:pt>
                <c:pt idx="13">
                  <c:v>99.288437260576501</c:v>
                </c:pt>
                <c:pt idx="14">
                  <c:v>99.288437260576501</c:v>
                </c:pt>
                <c:pt idx="15">
                  <c:v>99.288437260576501</c:v>
                </c:pt>
                <c:pt idx="16">
                  <c:v>99.288437260576501</c:v>
                </c:pt>
                <c:pt idx="17">
                  <c:v>99.288437260576501</c:v>
                </c:pt>
                <c:pt idx="18">
                  <c:v>99.288437260576501</c:v>
                </c:pt>
                <c:pt idx="19">
                  <c:v>99.288437260576501</c:v>
                </c:pt>
                <c:pt idx="20">
                  <c:v>99.288437260576501</c:v>
                </c:pt>
                <c:pt idx="21">
                  <c:v>99.288437260576501</c:v>
                </c:pt>
                <c:pt idx="22">
                  <c:v>99.288437260576501</c:v>
                </c:pt>
                <c:pt idx="23">
                  <c:v>99.288437260576501</c:v>
                </c:pt>
                <c:pt idx="24">
                  <c:v>99.288437260576501</c:v>
                </c:pt>
                <c:pt idx="25">
                  <c:v>99.288437260576501</c:v>
                </c:pt>
                <c:pt idx="26">
                  <c:v>99.326796716595993</c:v>
                </c:pt>
                <c:pt idx="27">
                  <c:v>99.454661569994201</c:v>
                </c:pt>
                <c:pt idx="28">
                  <c:v>99.620885879412</c:v>
                </c:pt>
                <c:pt idx="29">
                  <c:v>99.748750732810294</c:v>
                </c:pt>
                <c:pt idx="30">
                  <c:v>99.748750732810294</c:v>
                </c:pt>
                <c:pt idx="31">
                  <c:v>99.659245335431507</c:v>
                </c:pt>
                <c:pt idx="32">
                  <c:v>99.633672364751902</c:v>
                </c:pt>
                <c:pt idx="33">
                  <c:v>99.633672364751902</c:v>
                </c:pt>
                <c:pt idx="34">
                  <c:v>99.518593996693397</c:v>
                </c:pt>
                <c:pt idx="35">
                  <c:v>99.480234540673905</c:v>
                </c:pt>
                <c:pt idx="36">
                  <c:v>99.314010231256105</c:v>
                </c:pt>
                <c:pt idx="37">
                  <c:v>99.186145377857798</c:v>
                </c:pt>
                <c:pt idx="38">
                  <c:v>99.109426465818899</c:v>
                </c:pt>
                <c:pt idx="39">
                  <c:v>98.968775127080704</c:v>
                </c:pt>
                <c:pt idx="40">
                  <c:v>98.802550817662905</c:v>
                </c:pt>
                <c:pt idx="41">
                  <c:v>98.546821110866404</c:v>
                </c:pt>
                <c:pt idx="42">
                  <c:v>98.303877889409605</c:v>
                </c:pt>
                <c:pt idx="43">
                  <c:v>98.112080609312201</c:v>
                </c:pt>
                <c:pt idx="44">
                  <c:v>97.677340107757999</c:v>
                </c:pt>
                <c:pt idx="45">
                  <c:v>96.961296928727506</c:v>
                </c:pt>
                <c:pt idx="46">
                  <c:v>96.117388896298806</c:v>
                </c:pt>
                <c:pt idx="47">
                  <c:v>94.672516052898104</c:v>
                </c:pt>
                <c:pt idx="48">
                  <c:v>92.748150009253806</c:v>
                </c:pt>
                <c:pt idx="49">
                  <c:v>90.680575329803403</c:v>
                </c:pt>
                <c:pt idx="50">
                  <c:v>88.614918623153997</c:v>
                </c:pt>
                <c:pt idx="51">
                  <c:v>86.370890446013902</c:v>
                </c:pt>
                <c:pt idx="52">
                  <c:v>83.983014308800804</c:v>
                </c:pt>
                <c:pt idx="53">
                  <c:v>81.873244227729003</c:v>
                </c:pt>
                <c:pt idx="54">
                  <c:v>79.264801218403804</c:v>
                </c:pt>
                <c:pt idx="55">
                  <c:v>77.078312225293004</c:v>
                </c:pt>
                <c:pt idx="56">
                  <c:v>74.834284048152995</c:v>
                </c:pt>
                <c:pt idx="57">
                  <c:v>72.762873423100601</c:v>
                </c:pt>
                <c:pt idx="58">
                  <c:v>70.442126333921607</c:v>
                </c:pt>
                <c:pt idx="59">
                  <c:v>67.987121148674404</c:v>
                </c:pt>
                <c:pt idx="60">
                  <c:v>65.512936235417399</c:v>
                </c:pt>
                <c:pt idx="61">
                  <c:v>63.0771107781799</c:v>
                </c:pt>
                <c:pt idx="62">
                  <c:v>60.852262329049601</c:v>
                </c:pt>
                <c:pt idx="63">
                  <c:v>58.493155783851101</c:v>
                </c:pt>
                <c:pt idx="64">
                  <c:v>56.057330326613702</c:v>
                </c:pt>
                <c:pt idx="65">
                  <c:v>52.643338740879202</c:v>
                </c:pt>
                <c:pt idx="66">
                  <c:v>50.1499740996125</c:v>
                </c:pt>
                <c:pt idx="67">
                  <c:v>48.136102658589401</c:v>
                </c:pt>
                <c:pt idx="68">
                  <c:v>45.1440650890694</c:v>
                </c:pt>
                <c:pt idx="69">
                  <c:v>41.979409967461599</c:v>
                </c:pt>
                <c:pt idx="70">
                  <c:v>40.253234446584699</c:v>
                </c:pt>
                <c:pt idx="71">
                  <c:v>37.721510349298498</c:v>
                </c:pt>
                <c:pt idx="72">
                  <c:v>35.189786252012297</c:v>
                </c:pt>
                <c:pt idx="73">
                  <c:v>32.830679706813797</c:v>
                </c:pt>
                <c:pt idx="74">
                  <c:v>30.241416425498301</c:v>
                </c:pt>
                <c:pt idx="75">
                  <c:v>27.786411240251098</c:v>
                </c:pt>
                <c:pt idx="76">
                  <c:v>25.5232033351013</c:v>
                </c:pt>
                <c:pt idx="77">
                  <c:v>23.528511622088001</c:v>
                </c:pt>
                <c:pt idx="78">
                  <c:v>21.495460453055099</c:v>
                </c:pt>
                <c:pt idx="79">
                  <c:v>20.255171375091699</c:v>
                </c:pt>
                <c:pt idx="80">
                  <c:v>19.411263342662899</c:v>
                </c:pt>
                <c:pt idx="81">
                  <c:v>18.887017443729899</c:v>
                </c:pt>
                <c:pt idx="82">
                  <c:v>18.605714766253701</c:v>
                </c:pt>
                <c:pt idx="83">
                  <c:v>18.337198574117298</c:v>
                </c:pt>
                <c:pt idx="84">
                  <c:v>18.1581877793597</c:v>
                </c:pt>
                <c:pt idx="85">
                  <c:v>17.991963469941901</c:v>
                </c:pt>
                <c:pt idx="86">
                  <c:v>17.915244557902898</c:v>
                </c:pt>
                <c:pt idx="87">
                  <c:v>17.749020248485099</c:v>
                </c:pt>
                <c:pt idx="88">
                  <c:v>17.646728365766499</c:v>
                </c:pt>
                <c:pt idx="89">
                  <c:v>17.557222968387698</c:v>
                </c:pt>
                <c:pt idx="90">
                  <c:v>17.365425688290198</c:v>
                </c:pt>
                <c:pt idx="91">
                  <c:v>17.263133805571599</c:v>
                </c:pt>
                <c:pt idx="92">
                  <c:v>17.1224824668335</c:v>
                </c:pt>
                <c:pt idx="93">
                  <c:v>16.9562581574157</c:v>
                </c:pt>
                <c:pt idx="94">
                  <c:v>16.8923257307166</c:v>
                </c:pt>
                <c:pt idx="95">
                  <c:v>16.7005284506191</c:v>
                </c:pt>
                <c:pt idx="96">
                  <c:v>16.572663597220799</c:v>
                </c:pt>
                <c:pt idx="97">
                  <c:v>16.547090626541198</c:v>
                </c:pt>
                <c:pt idx="98">
                  <c:v>16.355293346443698</c:v>
                </c:pt>
                <c:pt idx="99">
                  <c:v>16.253001463725099</c:v>
                </c:pt>
                <c:pt idx="100">
                  <c:v>16.150709581006499</c:v>
                </c:pt>
                <c:pt idx="101">
                  <c:v>16.086777154307299</c:v>
                </c:pt>
                <c:pt idx="102">
                  <c:v>16.0484176982878</c:v>
                </c:pt>
                <c:pt idx="103">
                  <c:v>15.8949798742099</c:v>
                </c:pt>
                <c:pt idx="104">
                  <c:v>15.856620418190399</c:v>
                </c:pt>
                <c:pt idx="105">
                  <c:v>15.856620418190399</c:v>
                </c:pt>
                <c:pt idx="106">
                  <c:v>15.779901506151401</c:v>
                </c:pt>
                <c:pt idx="107">
                  <c:v>15.741542050131899</c:v>
                </c:pt>
                <c:pt idx="108">
                  <c:v>15.664823138092901</c:v>
                </c:pt>
                <c:pt idx="109">
                  <c:v>15.562531255374299</c:v>
                </c:pt>
                <c:pt idx="110">
                  <c:v>15.511385314015</c:v>
                </c:pt>
                <c:pt idx="111">
                  <c:v>15.511385314015</c:v>
                </c:pt>
                <c:pt idx="112">
                  <c:v>15.511385314015</c:v>
                </c:pt>
                <c:pt idx="113">
                  <c:v>15.306801548577701</c:v>
                </c:pt>
                <c:pt idx="114">
                  <c:v>15.2812285778981</c:v>
                </c:pt>
                <c:pt idx="115">
                  <c:v>15.2812285778981</c:v>
                </c:pt>
                <c:pt idx="116">
                  <c:v>15.204509665859099</c:v>
                </c:pt>
                <c:pt idx="117">
                  <c:v>15.1661502098396</c:v>
                </c:pt>
                <c:pt idx="118">
                  <c:v>15.149710442974101</c:v>
                </c:pt>
              </c:numCache>
            </c:numRef>
          </c:yVal>
          <c:smooth val="0"/>
          <c:extLst>
            <c:ext xmlns:c16="http://schemas.microsoft.com/office/drawing/2014/chart" uri="{C3380CC4-5D6E-409C-BE32-E72D297353CC}">
              <c16:uniqueId val="{00000000-AA2B-404F-8319-FAC300EC3754}"/>
            </c:ext>
          </c:extLst>
        </c:ser>
        <c:ser>
          <c:idx val="1"/>
          <c:order val="1"/>
          <c:tx>
            <c:v>Adnan et al., 2015</c:v>
          </c:tx>
          <c:spPr>
            <a:ln w="19050" cap="rnd">
              <a:solidFill>
                <a:schemeClr val="accent2"/>
              </a:solidFill>
              <a:round/>
            </a:ln>
            <a:effectLst/>
          </c:spPr>
          <c:marker>
            <c:symbol val="none"/>
          </c:marker>
          <c:xVal>
            <c:numRef>
              <c:f>'[Custom Graphs.xlsx]R'!$D$1:$D$88</c:f>
              <c:numCache>
                <c:formatCode>General</c:formatCode>
                <c:ptCount val="88"/>
                <c:pt idx="0">
                  <c:v>114.67575056562499</c:v>
                </c:pt>
                <c:pt idx="1">
                  <c:v>125.83615086729201</c:v>
                </c:pt>
                <c:pt idx="2">
                  <c:v>137.31092864224499</c:v>
                </c:pt>
                <c:pt idx="3">
                  <c:v>148.62851768055501</c:v>
                </c:pt>
                <c:pt idx="4">
                  <c:v>158.688596825719</c:v>
                </c:pt>
                <c:pt idx="5">
                  <c:v>171.26369575717499</c:v>
                </c:pt>
                <c:pt idx="6">
                  <c:v>182.581284795485</c:v>
                </c:pt>
                <c:pt idx="7">
                  <c:v>193.89887383379499</c:v>
                </c:pt>
                <c:pt idx="8">
                  <c:v>204.58770792553199</c:v>
                </c:pt>
                <c:pt idx="9">
                  <c:v>217.79156180356</c:v>
                </c:pt>
                <c:pt idx="10">
                  <c:v>229.10915084186999</c:v>
                </c:pt>
                <c:pt idx="11">
                  <c:v>241.684249773326</c:v>
                </c:pt>
                <c:pt idx="12">
                  <c:v>253.00183881163599</c:v>
                </c:pt>
                <c:pt idx="13">
                  <c:v>261.17565311708199</c:v>
                </c:pt>
                <c:pt idx="14">
                  <c:v>279.40954656769202</c:v>
                </c:pt>
                <c:pt idx="15">
                  <c:v>290.72713560600198</c:v>
                </c:pt>
                <c:pt idx="16">
                  <c:v>302.044724644312</c:v>
                </c:pt>
                <c:pt idx="17">
                  <c:v>313.36231368262202</c:v>
                </c:pt>
                <c:pt idx="18">
                  <c:v>324.67990272093198</c:v>
                </c:pt>
                <c:pt idx="19">
                  <c:v>335.997491759242</c:v>
                </c:pt>
                <c:pt idx="20">
                  <c:v>347.31508079755201</c:v>
                </c:pt>
                <c:pt idx="21">
                  <c:v>358.63266983586198</c:v>
                </c:pt>
                <c:pt idx="22">
                  <c:v>369.95025887417199</c:v>
                </c:pt>
                <c:pt idx="23">
                  <c:v>381.26784791248201</c:v>
                </c:pt>
                <c:pt idx="24">
                  <c:v>392.58543695079197</c:v>
                </c:pt>
                <c:pt idx="25">
                  <c:v>403.90302598910199</c:v>
                </c:pt>
                <c:pt idx="26">
                  <c:v>414.59186008083901</c:v>
                </c:pt>
                <c:pt idx="27">
                  <c:v>422.76567438628598</c:v>
                </c:pt>
                <c:pt idx="28">
                  <c:v>427.79571395886802</c:v>
                </c:pt>
                <c:pt idx="29">
                  <c:v>430.93948869173198</c:v>
                </c:pt>
                <c:pt idx="30">
                  <c:v>434.083263424596</c:v>
                </c:pt>
                <c:pt idx="31">
                  <c:v>437.22703815745899</c:v>
                </c:pt>
                <c:pt idx="32">
                  <c:v>439.74205794375098</c:v>
                </c:pt>
                <c:pt idx="33">
                  <c:v>442.257077730042</c:v>
                </c:pt>
                <c:pt idx="34">
                  <c:v>444.14334256976002</c:v>
                </c:pt>
                <c:pt idx="35">
                  <c:v>446.02960740947799</c:v>
                </c:pt>
                <c:pt idx="36">
                  <c:v>447.91587224919698</c:v>
                </c:pt>
                <c:pt idx="37">
                  <c:v>449.802137088915</c:v>
                </c:pt>
                <c:pt idx="38">
                  <c:v>451.68840192863303</c:v>
                </c:pt>
                <c:pt idx="39">
                  <c:v>452.94591182177902</c:v>
                </c:pt>
                <c:pt idx="40">
                  <c:v>453.78425175054298</c:v>
                </c:pt>
                <c:pt idx="41">
                  <c:v>455.46093160806998</c:v>
                </c:pt>
                <c:pt idx="42">
                  <c:v>456.71844150121501</c:v>
                </c:pt>
                <c:pt idx="43">
                  <c:v>457.975951394361</c:v>
                </c:pt>
                <c:pt idx="44">
                  <c:v>459.86221623407903</c:v>
                </c:pt>
                <c:pt idx="45">
                  <c:v>461.74848107379802</c:v>
                </c:pt>
                <c:pt idx="46">
                  <c:v>463.00599096694299</c:v>
                </c:pt>
                <c:pt idx="47">
                  <c:v>464.26350086008898</c:v>
                </c:pt>
                <c:pt idx="48">
                  <c:v>465.52101075323401</c:v>
                </c:pt>
                <c:pt idx="49">
                  <c:v>467.407275592953</c:v>
                </c:pt>
                <c:pt idx="50">
                  <c:v>469.92229537924402</c:v>
                </c:pt>
                <c:pt idx="51">
                  <c:v>472.43731516553498</c:v>
                </c:pt>
                <c:pt idx="52">
                  <c:v>474.952334951826</c:v>
                </c:pt>
                <c:pt idx="53">
                  <c:v>478.09610968469002</c:v>
                </c:pt>
                <c:pt idx="54">
                  <c:v>482.49739431069901</c:v>
                </c:pt>
                <c:pt idx="55">
                  <c:v>488.15618882985399</c:v>
                </c:pt>
                <c:pt idx="56">
                  <c:v>496.95875808187299</c:v>
                </c:pt>
                <c:pt idx="57">
                  <c:v>508.276347120183</c:v>
                </c:pt>
                <c:pt idx="58">
                  <c:v>519.59393615849297</c:v>
                </c:pt>
                <c:pt idx="59">
                  <c:v>530.91152519680304</c:v>
                </c:pt>
                <c:pt idx="60">
                  <c:v>542.229114235113</c:v>
                </c:pt>
                <c:pt idx="61">
                  <c:v>553.54670327342296</c:v>
                </c:pt>
                <c:pt idx="62">
                  <c:v>564.86429231173304</c:v>
                </c:pt>
                <c:pt idx="63">
                  <c:v>576.181881350043</c:v>
                </c:pt>
                <c:pt idx="64">
                  <c:v>587.49947038835296</c:v>
                </c:pt>
                <c:pt idx="65">
                  <c:v>598.81705942666304</c:v>
                </c:pt>
                <c:pt idx="66">
                  <c:v>610.134648464973</c:v>
                </c:pt>
                <c:pt idx="67">
                  <c:v>621.45223750328296</c:v>
                </c:pt>
                <c:pt idx="68">
                  <c:v>632.76982654159303</c:v>
                </c:pt>
                <c:pt idx="69">
                  <c:v>644.08741557990299</c:v>
                </c:pt>
                <c:pt idx="70">
                  <c:v>655.40500461821296</c:v>
                </c:pt>
                <c:pt idx="71">
                  <c:v>666.72259365652303</c:v>
                </c:pt>
                <c:pt idx="72">
                  <c:v>678.04018269483299</c:v>
                </c:pt>
                <c:pt idx="73">
                  <c:v>689.35777173314295</c:v>
                </c:pt>
                <c:pt idx="74">
                  <c:v>700.67536077145303</c:v>
                </c:pt>
                <c:pt idx="75">
                  <c:v>711.99294980976299</c:v>
                </c:pt>
                <c:pt idx="76">
                  <c:v>723.31053884807295</c:v>
                </c:pt>
                <c:pt idx="77">
                  <c:v>734.62812788638303</c:v>
                </c:pt>
                <c:pt idx="78">
                  <c:v>745.94571692469299</c:v>
                </c:pt>
                <c:pt idx="79">
                  <c:v>757.26330596300295</c:v>
                </c:pt>
                <c:pt idx="80">
                  <c:v>768.58089500131302</c:v>
                </c:pt>
                <c:pt idx="81">
                  <c:v>779.89848403962299</c:v>
                </c:pt>
                <c:pt idx="82">
                  <c:v>791.21607307793295</c:v>
                </c:pt>
                <c:pt idx="83">
                  <c:v>802.53366211624302</c:v>
                </c:pt>
                <c:pt idx="84">
                  <c:v>813.85125115455298</c:v>
                </c:pt>
                <c:pt idx="85">
                  <c:v>825.16884019286294</c:v>
                </c:pt>
                <c:pt idx="86">
                  <c:v>836.48642923117302</c:v>
                </c:pt>
                <c:pt idx="87">
                  <c:v>846.54650837633699</c:v>
                </c:pt>
              </c:numCache>
            </c:numRef>
          </c:xVal>
          <c:yVal>
            <c:numRef>
              <c:f>'[Custom Graphs.xlsx]R'!$E$1:$E$88</c:f>
              <c:numCache>
                <c:formatCode>General</c:formatCode>
                <c:ptCount val="88"/>
                <c:pt idx="0">
                  <c:v>100.078659373044</c:v>
                </c:pt>
                <c:pt idx="1">
                  <c:v>100.03463385757</c:v>
                </c:pt>
                <c:pt idx="2">
                  <c:v>100.015765779511</c:v>
                </c:pt>
                <c:pt idx="3">
                  <c:v>100.048784916115</c:v>
                </c:pt>
                <c:pt idx="4">
                  <c:v>99.994202261728205</c:v>
                </c:pt>
                <c:pt idx="5">
                  <c:v>100.028344498217</c:v>
                </c:pt>
                <c:pt idx="6">
                  <c:v>100.05350193563</c:v>
                </c:pt>
                <c:pt idx="7">
                  <c:v>100.003187060804</c:v>
                </c:pt>
                <c:pt idx="8">
                  <c:v>100.09123809175</c:v>
                </c:pt>
                <c:pt idx="9">
                  <c:v>100.078659373044</c:v>
                </c:pt>
                <c:pt idx="10">
                  <c:v>100.003187060804</c:v>
                </c:pt>
                <c:pt idx="11">
                  <c:v>100.09123809175</c:v>
                </c:pt>
                <c:pt idx="12">
                  <c:v>100.09123809175</c:v>
                </c:pt>
                <c:pt idx="13">
                  <c:v>100.09123809175</c:v>
                </c:pt>
                <c:pt idx="14">
                  <c:v>99.877399873738099</c:v>
                </c:pt>
                <c:pt idx="15">
                  <c:v>99.902557311151398</c:v>
                </c:pt>
                <c:pt idx="16">
                  <c:v>99.889978592444706</c:v>
                </c:pt>
                <c:pt idx="17">
                  <c:v>99.927714748564597</c:v>
                </c:pt>
                <c:pt idx="18">
                  <c:v>99.902557311151398</c:v>
                </c:pt>
                <c:pt idx="19">
                  <c:v>99.902557311151398</c:v>
                </c:pt>
                <c:pt idx="20">
                  <c:v>99.940293467271204</c:v>
                </c:pt>
                <c:pt idx="21">
                  <c:v>99.877399873738099</c:v>
                </c:pt>
                <c:pt idx="22">
                  <c:v>99.889978592444706</c:v>
                </c:pt>
                <c:pt idx="23">
                  <c:v>99.927714748564597</c:v>
                </c:pt>
                <c:pt idx="24">
                  <c:v>99.638404218312303</c:v>
                </c:pt>
                <c:pt idx="25">
                  <c:v>98.959153408154606</c:v>
                </c:pt>
                <c:pt idx="26">
                  <c:v>97.402536968210001</c:v>
                </c:pt>
                <c:pt idx="27">
                  <c:v>95.177990564943798</c:v>
                </c:pt>
                <c:pt idx="28">
                  <c:v>93.298729990174294</c:v>
                </c:pt>
                <c:pt idx="29">
                  <c:v>91.374186028061004</c:v>
                </c:pt>
                <c:pt idx="30">
                  <c:v>89.034544348629197</c:v>
                </c:pt>
                <c:pt idx="31">
                  <c:v>86.1099922493393</c:v>
                </c:pt>
                <c:pt idx="32">
                  <c:v>82.8269466669107</c:v>
                </c:pt>
                <c:pt idx="33">
                  <c:v>79.543901084482201</c:v>
                </c:pt>
                <c:pt idx="34">
                  <c:v>77.392940185649607</c:v>
                </c:pt>
                <c:pt idx="35">
                  <c:v>74.732541179198904</c:v>
                </c:pt>
                <c:pt idx="36">
                  <c:v>71.9589337043885</c:v>
                </c:pt>
                <c:pt idx="37">
                  <c:v>69.694764337196403</c:v>
                </c:pt>
                <c:pt idx="38">
                  <c:v>66.355114520588003</c:v>
                </c:pt>
                <c:pt idx="39">
                  <c:v>63.751319748317101</c:v>
                </c:pt>
                <c:pt idx="40">
                  <c:v>60.543746478128199</c:v>
                </c:pt>
                <c:pt idx="41">
                  <c:v>57.694666691078197</c:v>
                </c:pt>
                <c:pt idx="42">
                  <c:v>54.694642279548603</c:v>
                </c:pt>
                <c:pt idx="43">
                  <c:v>51.5814093996594</c:v>
                </c:pt>
                <c:pt idx="44">
                  <c:v>48.977614627388498</c:v>
                </c:pt>
                <c:pt idx="45">
                  <c:v>45.977590215858903</c:v>
                </c:pt>
                <c:pt idx="46">
                  <c:v>43.260586975228399</c:v>
                </c:pt>
                <c:pt idx="47">
                  <c:v>40.486979500418002</c:v>
                </c:pt>
                <c:pt idx="48">
                  <c:v>38.052997430686503</c:v>
                </c:pt>
                <c:pt idx="49">
                  <c:v>35.109577253336703</c:v>
                </c:pt>
                <c:pt idx="50">
                  <c:v>31.907394862593598</c:v>
                </c:pt>
                <c:pt idx="51">
                  <c:v>28.9397157277382</c:v>
                </c:pt>
                <c:pt idx="52">
                  <c:v>25.883087082028801</c:v>
                </c:pt>
                <c:pt idx="53">
                  <c:v>23.222688075578102</c:v>
                </c:pt>
                <c:pt idx="54">
                  <c:v>20.5905911862172</c:v>
                </c:pt>
                <c:pt idx="55">
                  <c:v>18.377365629786901</c:v>
                </c:pt>
                <c:pt idx="56">
                  <c:v>17.008801034506298</c:v>
                </c:pt>
                <c:pt idx="57">
                  <c:v>16.706911785547401</c:v>
                </c:pt>
                <c:pt idx="58">
                  <c:v>16.367286380468599</c:v>
                </c:pt>
                <c:pt idx="59">
                  <c:v>16.140869443749299</c:v>
                </c:pt>
                <c:pt idx="60">
                  <c:v>15.939609944443401</c:v>
                </c:pt>
                <c:pt idx="61">
                  <c:v>15.7635078825507</c:v>
                </c:pt>
                <c:pt idx="62">
                  <c:v>15.5622483832447</c:v>
                </c:pt>
                <c:pt idx="63">
                  <c:v>15.360988883938701</c:v>
                </c:pt>
                <c:pt idx="64">
                  <c:v>15.210044259459201</c:v>
                </c:pt>
                <c:pt idx="65">
                  <c:v>14.9081550105003</c:v>
                </c:pt>
                <c:pt idx="66">
                  <c:v>14.656580636367799</c:v>
                </c:pt>
                <c:pt idx="67">
                  <c:v>14.4050062622354</c:v>
                </c:pt>
                <c:pt idx="68">
                  <c:v>14.153431888102901</c:v>
                </c:pt>
                <c:pt idx="69">
                  <c:v>13.9018575139705</c:v>
                </c:pt>
                <c:pt idx="70">
                  <c:v>13.7005980146645</c:v>
                </c:pt>
                <c:pt idx="71">
                  <c:v>13.411287484412201</c:v>
                </c:pt>
                <c:pt idx="72">
                  <c:v>13.260342859932701</c:v>
                </c:pt>
                <c:pt idx="73">
                  <c:v>13.1219769541599</c:v>
                </c:pt>
                <c:pt idx="74">
                  <c:v>12.870402580027401</c:v>
                </c:pt>
                <c:pt idx="75">
                  <c:v>12.6439856433082</c:v>
                </c:pt>
                <c:pt idx="76">
                  <c:v>12.417568706589</c:v>
                </c:pt>
                <c:pt idx="77">
                  <c:v>12.165994332456499</c:v>
                </c:pt>
                <c:pt idx="78">
                  <c:v>11.939577395737301</c:v>
                </c:pt>
                <c:pt idx="79">
                  <c:v>11.700581740311501</c:v>
                </c:pt>
                <c:pt idx="80">
                  <c:v>11.461586084885599</c:v>
                </c:pt>
                <c:pt idx="81">
                  <c:v>11.235169148166401</c:v>
                </c:pt>
                <c:pt idx="82">
                  <c:v>11.008752211447201</c:v>
                </c:pt>
                <c:pt idx="83">
                  <c:v>10.757177837314799</c:v>
                </c:pt>
                <c:pt idx="84">
                  <c:v>10.5056034631823</c:v>
                </c:pt>
                <c:pt idx="85">
                  <c:v>10.304343963876301</c:v>
                </c:pt>
                <c:pt idx="86">
                  <c:v>10.0527695897439</c:v>
                </c:pt>
                <c:pt idx="87">
                  <c:v>9.8479161708074798</c:v>
                </c:pt>
              </c:numCache>
            </c:numRef>
          </c:yVal>
          <c:smooth val="0"/>
          <c:extLst>
            <c:ext xmlns:c16="http://schemas.microsoft.com/office/drawing/2014/chart" uri="{C3380CC4-5D6E-409C-BE32-E72D297353CC}">
              <c16:uniqueId val="{00000001-AA2B-404F-8319-FAC300EC3754}"/>
            </c:ext>
          </c:extLst>
        </c:ser>
        <c:dLbls>
          <c:showLegendKey val="0"/>
          <c:showVal val="0"/>
          <c:showCatName val="0"/>
          <c:showSerName val="0"/>
          <c:showPercent val="0"/>
          <c:showBubbleSize val="0"/>
        </c:dLbls>
        <c:axId val="772342543"/>
        <c:axId val="955199"/>
      </c:scatterChart>
      <c:valAx>
        <c:axId val="772342543"/>
        <c:scaling>
          <c:orientation val="minMax"/>
          <c:max val="800"/>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r>
                  <a:rPr lang="en-ID"/>
                  <a:t>Temperature (°C)</a:t>
                </a:r>
              </a:p>
            </c:rich>
          </c:tx>
          <c:layout>
            <c:manualLayout>
              <c:xMode val="edge"/>
              <c:yMode val="edge"/>
              <c:x val="0.4209327126055003"/>
              <c:y val="0.894405279081494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955199"/>
        <c:crosses val="autoZero"/>
        <c:crossBetween val="midCat"/>
      </c:valAx>
      <c:valAx>
        <c:axId val="955199"/>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r>
                  <a:rPr lang="en-ID"/>
                  <a:t>Mass percentage</a:t>
                </a:r>
              </a:p>
            </c:rich>
          </c:tx>
          <c:layout>
            <c:manualLayout>
              <c:xMode val="edge"/>
              <c:yMode val="edge"/>
              <c:x val="1.3302082542737216E-2"/>
              <c:y val="0.2415344633644931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772342543"/>
        <c:crosses val="autoZero"/>
        <c:crossBetween val="midCat"/>
        <c:majorUnit val="20"/>
      </c:valAx>
      <c:spPr>
        <a:noFill/>
        <a:ln>
          <a:noFill/>
        </a:ln>
        <a:effectLst/>
      </c:spPr>
    </c:plotArea>
    <c:legend>
      <c:legendPos val="r"/>
      <c:layout>
        <c:manualLayout>
          <c:xMode val="edge"/>
          <c:yMode val="edge"/>
          <c:x val="0.13672388837424734"/>
          <c:y val="0.26954190004599943"/>
          <c:w val="0.41187400465005297"/>
          <c:h val="0.222208088474921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ysClr val="windowText" lastClr="000000"/>
      </a:solidFill>
      <a:round/>
    </a:ln>
    <a:effectLst/>
  </c:spPr>
  <c:txPr>
    <a:bodyPr/>
    <a:lstStyle/>
    <a:p>
      <a:pPr>
        <a:defRPr sz="900" baseline="0">
          <a:latin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2835</Words>
  <Characters>16165</Characters>
  <Application>Microsoft Office Word</Application>
  <DocSecurity>0</DocSecurity>
  <Lines>134</Lines>
  <Paragraphs>37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18963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Hubertus Warsahartana</dc:creator>
  <cp:lastModifiedBy>Hubertus Warsahartana</cp:lastModifiedBy>
  <cp:revision>4</cp:revision>
  <cp:lastPrinted>2015-05-12T18:31:00Z</cp:lastPrinted>
  <dcterms:created xsi:type="dcterms:W3CDTF">2023-04-17T13:38:00Z</dcterms:created>
  <dcterms:modified xsi:type="dcterms:W3CDTF">2023-04-17T14:00:00Z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