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7B6C6C" w:rsidRPr="00B57B36" w14:paraId="070FCFE5" w14:textId="77777777" w:rsidTr="003E4411">
        <w:trPr>
          <w:trHeight w:val="852"/>
          <w:jc w:val="center"/>
        </w:trPr>
        <w:tc>
          <w:tcPr>
            <w:tcW w:w="6946" w:type="dxa"/>
            <w:vMerge w:val="restart"/>
            <w:tcBorders>
              <w:right w:val="single" w:sz="4" w:space="0" w:color="auto"/>
            </w:tcBorders>
          </w:tcPr>
          <w:p w14:paraId="772F7F76" w14:textId="77777777" w:rsidR="007B6C6C" w:rsidRPr="00B57B36" w:rsidRDefault="007B6C6C" w:rsidP="003E4411">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6A4BD11D" wp14:editId="79A2470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439D464" w14:textId="77777777" w:rsidR="007B6C6C" w:rsidRPr="00B57B36" w:rsidRDefault="007B6C6C" w:rsidP="003E44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 xml:space="preserve"> </w:t>
            </w:r>
            <w:proofErr w:type="gramStart"/>
            <w:r>
              <w:rPr>
                <w:rFonts w:cs="Arial"/>
                <w:b/>
                <w:bCs/>
                <w:i/>
                <w:iCs/>
                <w:color w:val="000066"/>
                <w:sz w:val="22"/>
                <w:szCs w:val="22"/>
                <w:lang w:eastAsia="it-IT"/>
              </w:rPr>
              <w:t xml:space="preserve">  ,</w:t>
            </w:r>
            <w:proofErr w:type="gramEnd"/>
            <w:r>
              <w:rPr>
                <w:rFonts w:cs="Arial"/>
                <w:b/>
                <w:bCs/>
                <w:i/>
                <w:iCs/>
                <w:color w:val="000066"/>
                <w:sz w:val="22"/>
                <w:szCs w:val="22"/>
                <w:lang w:eastAsia="it-IT"/>
              </w:rPr>
              <w:t xml:space="preserve"> 2023</w:t>
            </w:r>
          </w:p>
        </w:tc>
        <w:tc>
          <w:tcPr>
            <w:tcW w:w="1843" w:type="dxa"/>
            <w:tcBorders>
              <w:left w:val="single" w:sz="4" w:space="0" w:color="auto"/>
              <w:bottom w:val="nil"/>
              <w:right w:val="single" w:sz="4" w:space="0" w:color="auto"/>
            </w:tcBorders>
          </w:tcPr>
          <w:p w14:paraId="6995EA59" w14:textId="77777777" w:rsidR="007B6C6C" w:rsidRPr="00B57B36" w:rsidRDefault="007B6C6C" w:rsidP="003E4411">
            <w:pPr>
              <w:spacing w:line="140" w:lineRule="atLeast"/>
              <w:jc w:val="right"/>
              <w:rPr>
                <w:rFonts w:cs="Arial"/>
                <w:sz w:val="14"/>
                <w:szCs w:val="14"/>
              </w:rPr>
            </w:pPr>
            <w:r w:rsidRPr="00B57B36">
              <w:rPr>
                <w:rFonts w:cs="Arial"/>
                <w:sz w:val="14"/>
                <w:szCs w:val="14"/>
              </w:rPr>
              <w:t>A publication of</w:t>
            </w:r>
          </w:p>
          <w:p w14:paraId="374C596F" w14:textId="77777777" w:rsidR="007B6C6C" w:rsidRPr="00B57B36" w:rsidRDefault="007B6C6C" w:rsidP="003E4411">
            <w:pPr>
              <w:jc w:val="right"/>
            </w:pPr>
            <w:r w:rsidRPr="00B57B36">
              <w:rPr>
                <w:noProof/>
                <w:lang w:val="it-IT" w:eastAsia="it-IT"/>
              </w:rPr>
              <w:drawing>
                <wp:inline distT="0" distB="0" distL="0" distR="0" wp14:anchorId="618B1322" wp14:editId="2F69DF7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7B6C6C" w:rsidRPr="00B57B36" w14:paraId="0A5CFFA2" w14:textId="77777777" w:rsidTr="003E4411">
        <w:trPr>
          <w:trHeight w:val="567"/>
          <w:jc w:val="center"/>
        </w:trPr>
        <w:tc>
          <w:tcPr>
            <w:tcW w:w="6946" w:type="dxa"/>
            <w:vMerge/>
            <w:tcBorders>
              <w:right w:val="single" w:sz="4" w:space="0" w:color="auto"/>
            </w:tcBorders>
          </w:tcPr>
          <w:p w14:paraId="04A72C22" w14:textId="77777777" w:rsidR="007B6C6C" w:rsidRPr="00B57B36" w:rsidRDefault="007B6C6C" w:rsidP="003E4411">
            <w:pPr>
              <w:tabs>
                <w:tab w:val="left" w:pos="-108"/>
              </w:tabs>
            </w:pPr>
          </w:p>
        </w:tc>
        <w:tc>
          <w:tcPr>
            <w:tcW w:w="1843" w:type="dxa"/>
            <w:tcBorders>
              <w:left w:val="single" w:sz="4" w:space="0" w:color="auto"/>
              <w:bottom w:val="nil"/>
              <w:right w:val="single" w:sz="4" w:space="0" w:color="auto"/>
            </w:tcBorders>
          </w:tcPr>
          <w:p w14:paraId="1C54C0B6" w14:textId="77777777" w:rsidR="007B6C6C" w:rsidRPr="00B57B36" w:rsidRDefault="007B6C6C" w:rsidP="003E4411">
            <w:pPr>
              <w:spacing w:line="140" w:lineRule="atLeast"/>
              <w:jc w:val="right"/>
              <w:rPr>
                <w:rFonts w:cs="Arial"/>
                <w:sz w:val="14"/>
                <w:szCs w:val="14"/>
              </w:rPr>
            </w:pPr>
            <w:r w:rsidRPr="00B57B36">
              <w:rPr>
                <w:rFonts w:cs="Arial"/>
                <w:sz w:val="14"/>
                <w:szCs w:val="14"/>
              </w:rPr>
              <w:t>The Italian Association</w:t>
            </w:r>
          </w:p>
          <w:p w14:paraId="7A71CDF8" w14:textId="77777777" w:rsidR="007B6C6C" w:rsidRPr="00B57B36" w:rsidRDefault="007B6C6C" w:rsidP="003E4411">
            <w:pPr>
              <w:spacing w:line="140" w:lineRule="atLeast"/>
              <w:jc w:val="right"/>
              <w:rPr>
                <w:rFonts w:cs="Arial"/>
                <w:sz w:val="14"/>
                <w:szCs w:val="14"/>
              </w:rPr>
            </w:pPr>
            <w:r w:rsidRPr="00B57B36">
              <w:rPr>
                <w:rFonts w:cs="Arial"/>
                <w:sz w:val="14"/>
                <w:szCs w:val="14"/>
              </w:rPr>
              <w:t>of Chemical Engineering</w:t>
            </w:r>
          </w:p>
          <w:p w14:paraId="7AF7AAB6" w14:textId="77777777" w:rsidR="007B6C6C" w:rsidRPr="000D0268" w:rsidRDefault="007B6C6C" w:rsidP="003E4411">
            <w:pPr>
              <w:spacing w:line="140" w:lineRule="atLeast"/>
              <w:jc w:val="right"/>
              <w:rPr>
                <w:rFonts w:cs="Arial"/>
                <w:sz w:val="13"/>
                <w:szCs w:val="13"/>
              </w:rPr>
            </w:pPr>
            <w:r w:rsidRPr="000D0268">
              <w:rPr>
                <w:rFonts w:cs="Arial"/>
                <w:sz w:val="13"/>
                <w:szCs w:val="13"/>
              </w:rPr>
              <w:t>Online at www.cetjournal.it</w:t>
            </w:r>
          </w:p>
        </w:tc>
      </w:tr>
      <w:tr w:rsidR="007B6C6C" w:rsidRPr="00B57B36" w14:paraId="5BC68792" w14:textId="77777777" w:rsidTr="003E4411">
        <w:trPr>
          <w:trHeight w:val="68"/>
          <w:jc w:val="center"/>
        </w:trPr>
        <w:tc>
          <w:tcPr>
            <w:tcW w:w="8789" w:type="dxa"/>
            <w:gridSpan w:val="2"/>
          </w:tcPr>
          <w:p w14:paraId="2CC7928A" w14:textId="77777777" w:rsidR="007B6C6C" w:rsidRPr="00F93EDF" w:rsidRDefault="007B6C6C" w:rsidP="003E4411">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 xml:space="preserve">Jiří Jaromír </w:t>
            </w:r>
            <w:proofErr w:type="spellStart"/>
            <w:r w:rsidRPr="00293D18">
              <w:rPr>
                <w:rFonts w:ascii="Tahoma" w:hAnsi="Tahoma" w:cs="Tahoma"/>
                <w:sz w:val="14"/>
                <w:szCs w:val="14"/>
                <w:shd w:val="clear" w:color="auto" w:fill="FFFFFF"/>
              </w:rPr>
              <w:t>Klemeš</w:t>
            </w:r>
            <w:proofErr w:type="spellEnd"/>
          </w:p>
          <w:p w14:paraId="7F4D83CF" w14:textId="77777777" w:rsidR="007B6C6C" w:rsidRPr="00B57B36" w:rsidRDefault="007B6C6C" w:rsidP="003E4411">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439EDC30" w14:textId="77777777" w:rsidR="00F822C9" w:rsidRPr="0068647A" w:rsidRDefault="00F822C9" w:rsidP="000A03B2">
      <w:pPr>
        <w:pStyle w:val="CETAuthors"/>
        <w:sectPr w:rsidR="00F822C9" w:rsidRPr="0068647A" w:rsidSect="00DD272B">
          <w:pgSz w:w="11906" w:h="16838"/>
          <w:pgMar w:top="1417" w:right="1134" w:bottom="1134" w:left="1134" w:header="708" w:footer="708" w:gutter="0"/>
          <w:cols w:space="708"/>
          <w:docGrid w:linePitch="360"/>
        </w:sectPr>
      </w:pPr>
    </w:p>
    <w:p w14:paraId="160F4161" w14:textId="77777777" w:rsidR="00162C44" w:rsidRDefault="00162C44" w:rsidP="00162C44">
      <w:pPr>
        <w:pStyle w:val="CETAuthors"/>
        <w:jc w:val="center"/>
        <w:rPr>
          <w:noProof w:val="0"/>
          <w:sz w:val="32"/>
        </w:rPr>
      </w:pPr>
      <w:r w:rsidRPr="00162C44">
        <w:rPr>
          <w:noProof w:val="0"/>
          <w:sz w:val="32"/>
        </w:rPr>
        <w:t>Role of the electroactive and non-electroactive surface area (EASA and nEASA) for electroactive biofilms in bioelectrochemical systems</w:t>
      </w:r>
    </w:p>
    <w:p w14:paraId="708120F1" w14:textId="6ACE1752" w:rsidR="00F822C9" w:rsidRPr="00162C44" w:rsidRDefault="00F822C9" w:rsidP="00162C44">
      <w:pPr>
        <w:pStyle w:val="CETAuthors"/>
        <w:jc w:val="center"/>
        <w:rPr>
          <w:lang w:val="it-IT"/>
        </w:rPr>
      </w:pPr>
      <w:r w:rsidRPr="00162C44">
        <w:rPr>
          <w:lang w:val="it-IT"/>
        </w:rPr>
        <w:t>Lorenzo Cristiani*</w:t>
      </w:r>
      <w:r w:rsidRPr="00162C44">
        <w:rPr>
          <w:rFonts w:ascii="MS Gothic" w:eastAsia="MS Gothic" w:hAnsi="MS Gothic" w:cs="MS Gothic"/>
          <w:lang w:val="it-IT"/>
        </w:rPr>
        <w:t>,</w:t>
      </w:r>
      <w:r w:rsidR="00162C44" w:rsidRPr="00162C44">
        <w:rPr>
          <w:lang w:val="it-IT"/>
        </w:rPr>
        <w:t xml:space="preserve"> </w:t>
      </w:r>
      <w:r w:rsidR="00162C44">
        <w:rPr>
          <w:lang w:val="it-IT"/>
        </w:rPr>
        <w:t xml:space="preserve">Laura Lorini, </w:t>
      </w:r>
      <w:r w:rsidR="00162C44" w:rsidRPr="00162C44">
        <w:rPr>
          <w:lang w:val="it-IT"/>
        </w:rPr>
        <w:t>Marco Zeppilli</w:t>
      </w:r>
      <w:r w:rsidR="00162C44">
        <w:rPr>
          <w:lang w:val="it-IT"/>
        </w:rPr>
        <w:t>,</w:t>
      </w:r>
      <w:r w:rsidR="00162C44" w:rsidRPr="00162C44">
        <w:rPr>
          <w:lang w:val="it-IT"/>
        </w:rPr>
        <w:t xml:space="preserve"> </w:t>
      </w:r>
      <w:r w:rsidRPr="00162C44">
        <w:rPr>
          <w:lang w:val="it-IT"/>
        </w:rPr>
        <w:t>Marianna Villano</w:t>
      </w:r>
    </w:p>
    <w:p w14:paraId="24D9C180" w14:textId="19679DC9" w:rsidR="00F822C9" w:rsidRPr="0068647A" w:rsidRDefault="00F822C9" w:rsidP="00466F71">
      <w:pPr>
        <w:pStyle w:val="CETAddress"/>
        <w:ind w:left="142"/>
      </w:pPr>
      <w:r w:rsidRPr="0068647A">
        <w:t>Department of Chemistry, University of Rome Sapienza, Piazzale Aldo Moro 5, Rome, 00185, Italy</w:t>
      </w:r>
    </w:p>
    <w:p w14:paraId="50E12065" w14:textId="117514CA" w:rsidR="00F822C9" w:rsidRPr="0068647A" w:rsidRDefault="00F822C9" w:rsidP="00466F71">
      <w:pPr>
        <w:pStyle w:val="CETemail"/>
        <w:ind w:left="142"/>
      </w:pPr>
      <w:r w:rsidRPr="0068647A">
        <w:t>lorenzo.cristiani@uniroma1.it</w:t>
      </w:r>
    </w:p>
    <w:p w14:paraId="78A140BD" w14:textId="59A034E9" w:rsidR="00071585" w:rsidRPr="0068647A" w:rsidRDefault="00603040" w:rsidP="00D35084">
      <w:pPr>
        <w:pStyle w:val="CETListbullets"/>
        <w:ind w:left="142" w:firstLine="0"/>
      </w:pPr>
      <w:r>
        <w:t>T</w:t>
      </w:r>
      <w:r w:rsidR="00071585" w:rsidRPr="00071585">
        <w:t xml:space="preserve">he role of the electroactive surface area (EASA) and of the non-electroactive surface area (nEASA) was studied to better understand electroactive biofilm’s (EAB) growth and performance in four different systems. Those systems consisted in </w:t>
      </w:r>
      <w:r w:rsidR="001B229B">
        <w:t>four</w:t>
      </w:r>
      <w:r w:rsidR="00071585" w:rsidRPr="00071585">
        <w:t xml:space="preserve"> 1L glass bottle</w:t>
      </w:r>
      <w:r w:rsidR="001D21B8">
        <w:t>s</w:t>
      </w:r>
      <w:r w:rsidR="00071585" w:rsidRPr="00071585">
        <w:t xml:space="preserve"> filled with mineral medium and substrates, a stainless-steel cathode and a bioanode. </w:t>
      </w:r>
      <w:r w:rsidR="001B229B">
        <w:t>Four</w:t>
      </w:r>
      <w:r w:rsidR="00071585" w:rsidRPr="00071585">
        <w:t xml:space="preserve"> different types of bioanode were assembled </w:t>
      </w:r>
      <w:proofErr w:type="gramStart"/>
      <w:r w:rsidR="00071585" w:rsidRPr="00071585">
        <w:t>in order to</w:t>
      </w:r>
      <w:proofErr w:type="gramEnd"/>
      <w:r w:rsidR="00071585" w:rsidRPr="00071585">
        <w:t xml:space="preserve"> study the EASA and nEASA role. A potentiostat controlled the anodic potential, which was fixed in every system at + 0.2 V vs SHE (standard hydrogen electrode). To measure the EASA of every system, cyclic voltammetries (CVs) were carried out at different scan rates. Comparing them with the one obtained with a reference system, each EASA is easily calculated. The nEASA, instead, was measured calculating the geometric volume. The obtained results demonstrate the fundamental role of the EASA and, moreover, the necessity to reduce as much as possible the nEASA in order to enhance the performance.</w:t>
      </w:r>
    </w:p>
    <w:p w14:paraId="2FEDCC66" w14:textId="77777777" w:rsidR="00F822C9" w:rsidRPr="0068647A" w:rsidRDefault="00F822C9" w:rsidP="00600535">
      <w:pPr>
        <w:pStyle w:val="CETHeading1"/>
        <w:rPr>
          <w:lang w:val="en-GB"/>
        </w:rPr>
      </w:pPr>
      <w:r w:rsidRPr="0068647A">
        <w:rPr>
          <w:lang w:val="en-GB"/>
        </w:rPr>
        <w:t>Introduction</w:t>
      </w:r>
    </w:p>
    <w:p w14:paraId="6AA59C5B" w14:textId="110EE987" w:rsidR="008414BE" w:rsidRDefault="00603040" w:rsidP="000A77EA">
      <w:pPr>
        <w:ind w:left="142"/>
      </w:pPr>
      <w:r w:rsidRPr="00071585">
        <w:t xml:space="preserve">In literature, bioelectrochemical systems are utilized for many and different aims like wastewater treatment, biogas upgrading, pollution remediation and bioelectrosynthesis of </w:t>
      </w:r>
      <w:r w:rsidR="008031FB" w:rsidRPr="00071585">
        <w:t>compounds (</w:t>
      </w:r>
      <w:r w:rsidRPr="00071585">
        <w:t>C</w:t>
      </w:r>
      <w:r w:rsidR="00FD792F">
        <w:t>ristiani</w:t>
      </w:r>
      <w:r w:rsidRPr="00071585">
        <w:t xml:space="preserve"> et al., 20</w:t>
      </w:r>
      <w:r w:rsidR="00FD792F">
        <w:t>21</w:t>
      </w:r>
      <w:r w:rsidR="007C76C1">
        <w:t>a</w:t>
      </w:r>
      <w:r w:rsidRPr="00071585">
        <w:t>; Zeppilli et al., 2021</w:t>
      </w:r>
      <w:r w:rsidR="00F570D6">
        <w:t>a</w:t>
      </w:r>
      <w:r w:rsidRPr="00071585">
        <w:t>; Zeppilli et al., 202</w:t>
      </w:r>
      <w:r w:rsidR="00E751A3">
        <w:t>2</w:t>
      </w:r>
      <w:r w:rsidRPr="00071585">
        <w:t>). Those systems are based on the interactions between electrodes and microorganisms, consisting in an exchange of electrons</w:t>
      </w:r>
      <w:r w:rsidR="006E4881">
        <w:t xml:space="preserve"> </w:t>
      </w:r>
      <w:r w:rsidR="007C76C1">
        <w:t>(Cristiani et al., 2021b)</w:t>
      </w:r>
      <w:r w:rsidRPr="00071585">
        <w:t>. The electrons transfer can be performed through special membrane proteins and conductive pilii (Direct Electron Transfer, DET) or through redox mediator (Indirect Electron Transfer, IET)</w:t>
      </w:r>
      <w:r w:rsidR="00E66920">
        <w:t>(</w:t>
      </w:r>
      <w:r w:rsidR="00675477">
        <w:t>Angelidaki et al., 2018)</w:t>
      </w:r>
      <w:r w:rsidR="002A5ABA">
        <w:rPr>
          <w:rStyle w:val="Rimandonotaapidipagina"/>
        </w:rPr>
        <w:fldChar w:fldCharType="begin" w:fldLock="1"/>
      </w:r>
      <w:r w:rsidR="00166835">
        <w:instrText>ADDIN CSL_CITATION {"citationItems":[{"id":"ITEM-1","itemData":{"DOI":"10.2166/9781780401621","ISBN":"9781843392330","ISSN":"1476-1777","abstract":"In the context of wastewater treatment, Bioelectrochemical Systems (BESs) have gained considerable interest in the past few years, and several BES processes are on the brink of application to this area. This book, written by a large number of world experts in the different sub-topics, describes the different aspects and processes relevant to their development. Bioelectrochemical Systems (BESs) use micro-organisms to catalyze an oxidation and/or reduction reaction at an anodic and cathodic electrode respectively. Briefly, at an anode oxidation of organic and inorganic electron donors can occur. Prime examples of such electron donors are waste organics and sulfides. At the cathode, an electron acceptor such as oxygen or nitrate can be reduced. The anode and the cathode are connected through an electrical circuit. If electrical power is harvested from this circuit, the system is called a Microbial Fuel Cell; if electrical power is invested, the system is called a Microbial Electrolysis Cell. The overall framework of bio-energy and bio-fuels is discussed. A number of chapters discuss the basics microbiology, microbial ecology, electrochemistry, technology and materials development. The book continues by highlighting the plurality of processes based on BES technology already in existence, going from wastewater based reactors to sediment based bio-batteries. The integration of BESs into existing water or process lines is discussed. Finally, an outlook is provided of how BES will fit within the emerging biorefinery area. Contents Bioelectrochemical Systems: A New Approach Towards Environmental and Industrial Biotechnology;Microbial Energy Production from Biomass; Enzymatic Fuel Cells and their Complementarities Relative to Bes; Shuttling Via Soluble Compounds; A Survey Of Direct Electron Transfer from Microbes to Electronically Active Surfaces; Genetically Modified Microorganisms for Bioelectrochemical Systems; Electrochemical Losses; Electrochemical Techniques for The Analysis of Bioelectrochemical Systems; Materials For Bes; Technological Factors Affecting Bes Performance And Bottlenecks Towards Scale Up; Organics Oxidation; Conversion of Sulfur Species In Bioelectrochemical Systems; Chemically Catalyzed Cathodes In Bioelectrochemical Systems; Bioelectrochemical Reductions in Reactor Systems; Bioelectrochemical Systems (Bes) for Subsurface Remediation; Fundamentals Of Benthic Microbial Fuel Cells: Theory, Development And Application; Microbial Fuel Cells as …","author":[{"dropping-particle":"","family":"Rabaey","given":"Korneel","non-dropping-particle":"","parse-names":false,"suffix":""}],"container-title":"Water Intelligence Online","id":"ITEM-1","issued":{"date-parts":[["2009"]]},"title":"Bioelectrochemical Systems: From Extracellular Electron Transfer to Biotechnological Application","type":"book","volume":"8"},"uris":["http://www.mendeley.com/documents/?uuid=5b2a511f-fb1c-44a6-90aa-40e23a309a0e"]}],"mendeley":{"formattedCitation":"(Rabaey 2009)","manualFormatting":"(Rabaey et al., 2009)","plainTextFormattedCitation":"(Rabaey 2009)","previouslyFormattedCitation":"(Rabaey 2009)"},"properties":{"noteIndex":0},"schema":"https://github.com/citation-style-language/schema/raw/master/csl-citation.json"}</w:instrText>
      </w:r>
      <w:r w:rsidR="00000000">
        <w:rPr>
          <w:rStyle w:val="Rimandonotaapidipagina"/>
        </w:rPr>
        <w:fldChar w:fldCharType="separate"/>
      </w:r>
      <w:r w:rsidR="002A5ABA">
        <w:rPr>
          <w:rStyle w:val="Rimandonotaapidipagina"/>
        </w:rPr>
        <w:fldChar w:fldCharType="end"/>
      </w:r>
      <w:r w:rsidRPr="00071585">
        <w:t>. Moreover, some microorganisms are capable of communicating electrically (Direct Interspecies Electron Transfer, DIET) exchanging electrons between themselves</w:t>
      </w:r>
      <w:r w:rsidR="00AC311C">
        <w:t xml:space="preserve"> </w:t>
      </w:r>
      <w:r w:rsidR="00166835">
        <w:fldChar w:fldCharType="begin" w:fldLock="1"/>
      </w:r>
      <w:r w:rsidR="00166835">
        <w:instrText>ADDIN CSL_CITATION {"citationItems":[{"id":"ITEM-1","itemData":{"DOI":"10.1016/j.ijhydene.2018.09.075","ISSN":"03603199","abstract":"Microbial anodes were formed under constant polarization either free in solution or inside channels of 1 mm or 5 mm height. Both the 5 mm and 1 mm high channels allowed the colonization of electrodes over several centimetres of penetration depth. The channel impacted the evolution of the biofilm along the electrode and limited the maximum current density to 5.4 A.m −2 , whatever the height, while 13.1 A.m −2 was achieved with the free bioanodes. Several effects related to the channel configuration can be explained by a theoretical analysis of mass transfers. Nevertheless, other observations, such as the stabilizing effect of the channels on the long-term current, the time of 2 days that was always sufficient for the electrodes reach the maximum current, and the decoupling between current production and biofilm development, remain difficult to explain and open up exciting questions for future research on the mechanisms of electroactive biofilm formation.","author":[{"dropping-particle":"","family":"Chong","given":"Poehere","non-dropping-particle":"","parse-names":false,"suffix":""},{"dropping-particle":"","family":"Erable","given":"Benjamin","non-dropping-particle":"","parse-names":false,"suffix":""},{"dropping-particle":"","family":"Bergel","given":"Alain","non-dropping-particle":"","parse-names":false,"suffix":""}],"container-title":"International Journal of Hydrogen Energy","id":"ITEM-1","issue":"9","issued":{"date-parts":[["2019"]]},"page":"4484-4495","publisher":"Elsevier Ltd","title":"Microbial anodes: What actually occurs inside pores?","type":"article-journal","volume":"44"},"uris":["http://www.mendeley.com/documents/?uuid=15394a80-3172-4dd0-b16a-c62585b79536"]}],"mendeley":{"formattedCitation":"(Chong, Erable, and Bergel 2019)","manualFormatting":"(Chong et al., 2019)","plainTextFormattedCitation":"(Chong, Erable, and Bergel 2019)"},"properties":{"noteIndex":0},"schema":"https://github.com/citation-style-language/schema/raw/master/csl-citation.json"}</w:instrText>
      </w:r>
      <w:r w:rsidR="00166835">
        <w:fldChar w:fldCharType="separate"/>
      </w:r>
      <w:r w:rsidR="00166835" w:rsidRPr="00166835">
        <w:rPr>
          <w:noProof/>
        </w:rPr>
        <w:t>(Ch</w:t>
      </w:r>
      <w:r w:rsidR="007C76C1">
        <w:rPr>
          <w:noProof/>
        </w:rPr>
        <w:t>e</w:t>
      </w:r>
      <w:r w:rsidR="00166835" w:rsidRPr="00166835">
        <w:rPr>
          <w:noProof/>
        </w:rPr>
        <w:t>ng</w:t>
      </w:r>
      <w:r w:rsidR="00166835">
        <w:rPr>
          <w:noProof/>
        </w:rPr>
        <w:t xml:space="preserve"> et al.,</w:t>
      </w:r>
      <w:r w:rsidR="00166835" w:rsidRPr="00166835">
        <w:rPr>
          <w:noProof/>
        </w:rPr>
        <w:t xml:space="preserve"> 201</w:t>
      </w:r>
      <w:r w:rsidR="007C76C1">
        <w:rPr>
          <w:noProof/>
        </w:rPr>
        <w:t>3</w:t>
      </w:r>
      <w:r w:rsidR="00166835" w:rsidRPr="00166835">
        <w:rPr>
          <w:noProof/>
        </w:rPr>
        <w:t>)</w:t>
      </w:r>
      <w:r w:rsidR="00166835">
        <w:fldChar w:fldCharType="end"/>
      </w:r>
      <w:r w:rsidRPr="00071585">
        <w:t xml:space="preserve">. Usually, in bioelectrochemical systems, biocompatible and conductive material are used for the electrodes </w:t>
      </w:r>
      <w:proofErr w:type="gramStart"/>
      <w:r w:rsidRPr="00071585">
        <w:t>in order to</w:t>
      </w:r>
      <w:proofErr w:type="gramEnd"/>
      <w:r w:rsidRPr="00071585">
        <w:t xml:space="preserve"> permit biofilm growth and electron transfer</w:t>
      </w:r>
      <w:r w:rsidR="006E4881">
        <w:t xml:space="preserve"> </w:t>
      </w:r>
      <w:r w:rsidR="00B85B78">
        <w:t>(Cristiani et al., 2020)</w:t>
      </w:r>
      <w:r w:rsidRPr="00071585">
        <w:t>. Those materials can be expensive and reducing the necessary amount could mean a reduction of the initial investment</w:t>
      </w:r>
      <w:r w:rsidR="006E4881">
        <w:t xml:space="preserve"> (Zeppilli et al., 2020)</w:t>
      </w:r>
      <w:r w:rsidRPr="00071585">
        <w:t>.</w:t>
      </w:r>
      <w:r w:rsidR="00D712A3">
        <w:t xml:space="preserve"> For those reasons, the electroactive surface area plays a fundamental role inside the </w:t>
      </w:r>
      <w:r w:rsidR="00AB4FA8">
        <w:t>cost evaluation and the mat</w:t>
      </w:r>
      <w:r w:rsidR="004402BE">
        <w:t xml:space="preserve">erial choice. </w:t>
      </w:r>
      <w:r w:rsidR="00654671">
        <w:t xml:space="preserve">A material with a high surface area </w:t>
      </w:r>
      <w:r w:rsidR="007A41DB">
        <w:t>which</w:t>
      </w:r>
      <w:r w:rsidR="00654671">
        <w:t xml:space="preserve"> is also </w:t>
      </w:r>
      <w:r w:rsidR="00317840">
        <w:t xml:space="preserve">100 % </w:t>
      </w:r>
      <w:r w:rsidR="00654671">
        <w:t>electroa</w:t>
      </w:r>
      <w:r w:rsidR="007A41DB">
        <w:t>ctive</w:t>
      </w:r>
      <w:r w:rsidR="00317840">
        <w:t xml:space="preserve"> with low internal resistance should be desirable</w:t>
      </w:r>
      <w:r w:rsidR="00AB4C0A">
        <w:t>; in this study, graphite granules were chosen as electrodic material</w:t>
      </w:r>
      <w:r w:rsidR="0073607F">
        <w:t xml:space="preserve"> for their high biocompatibility and conductivity. It’s a </w:t>
      </w:r>
      <w:proofErr w:type="spellStart"/>
      <w:r w:rsidR="0073607F">
        <w:t>m</w:t>
      </w:r>
      <w:r w:rsidR="00D03949">
        <w:t>a</w:t>
      </w:r>
      <w:r w:rsidR="0073607F">
        <w:t>croporous</w:t>
      </w:r>
      <w:proofErr w:type="spellEnd"/>
      <w:r w:rsidR="0073607F">
        <w:t xml:space="preserve"> </w:t>
      </w:r>
      <w:r w:rsidR="00D03949">
        <w:t>material compatible with the electroactive biofilm growth</w:t>
      </w:r>
      <w:r w:rsidR="006A657A">
        <w:t xml:space="preserve">. </w:t>
      </w:r>
      <w:r w:rsidR="00661588">
        <w:t xml:space="preserve">To determine the </w:t>
      </w:r>
      <w:r w:rsidR="009A3C96">
        <w:t xml:space="preserve">electroactive surface area cyclic analysis were carried out at many different scan </w:t>
      </w:r>
      <w:r w:rsidR="006F6B3B">
        <w:t>rates.</w:t>
      </w:r>
    </w:p>
    <w:p w14:paraId="47A32321" w14:textId="77777777" w:rsidR="008414BE" w:rsidRDefault="008414BE" w:rsidP="000A77EA">
      <w:pPr>
        <w:ind w:left="142"/>
      </w:pPr>
    </w:p>
    <w:p w14:paraId="07124560" w14:textId="77777777" w:rsidR="00F822C9" w:rsidRPr="0068647A" w:rsidRDefault="00F822C9" w:rsidP="00600535">
      <w:pPr>
        <w:pStyle w:val="CETHeading1"/>
        <w:tabs>
          <w:tab w:val="right" w:pos="7100"/>
        </w:tabs>
        <w:jc w:val="both"/>
        <w:rPr>
          <w:lang w:val="en-GB"/>
        </w:rPr>
      </w:pPr>
      <w:r w:rsidRPr="0068647A">
        <w:rPr>
          <w:lang w:val="en-GB"/>
        </w:rPr>
        <w:t xml:space="preserve">Material and methods </w:t>
      </w:r>
    </w:p>
    <w:p w14:paraId="62FC2AB9" w14:textId="77777777" w:rsidR="00F822C9" w:rsidRPr="0068647A" w:rsidRDefault="00F822C9" w:rsidP="00FA5F5F">
      <w:pPr>
        <w:pStyle w:val="CETheadingx"/>
        <w:rPr>
          <w:lang w:val="en-GB"/>
        </w:rPr>
      </w:pPr>
      <w:r w:rsidRPr="0068647A">
        <w:rPr>
          <w:lang w:val="en-GB"/>
        </w:rPr>
        <w:t>Microbial Electrolysis Cell operation</w:t>
      </w:r>
    </w:p>
    <w:p w14:paraId="7EFFD38B" w14:textId="736A754B" w:rsidR="00F822C9" w:rsidRPr="0068647A" w:rsidRDefault="00F822C9" w:rsidP="00D35084">
      <w:pPr>
        <w:pStyle w:val="CETBodytext"/>
        <w:ind w:left="142"/>
        <w:rPr>
          <w:lang w:val="en-GB"/>
        </w:rPr>
      </w:pPr>
      <w:r w:rsidRPr="0068647A">
        <w:rPr>
          <w:lang w:val="en-GB"/>
        </w:rPr>
        <w:t xml:space="preserve">The </w:t>
      </w:r>
      <w:r w:rsidR="00981EA2">
        <w:rPr>
          <w:lang w:val="en-GB"/>
        </w:rPr>
        <w:t>bioelectrochemical systems</w:t>
      </w:r>
      <w:r w:rsidRPr="0068647A">
        <w:rPr>
          <w:lang w:val="en-GB"/>
        </w:rPr>
        <w:t xml:space="preserve"> (</w:t>
      </w:r>
      <w:r w:rsidR="00981EA2">
        <w:rPr>
          <w:lang w:val="en-GB"/>
        </w:rPr>
        <w:t>B</w:t>
      </w:r>
      <w:r w:rsidRPr="0068647A">
        <w:rPr>
          <w:lang w:val="en-GB"/>
        </w:rPr>
        <w:t>E</w:t>
      </w:r>
      <w:r w:rsidR="00981EA2">
        <w:rPr>
          <w:lang w:val="en-GB"/>
        </w:rPr>
        <w:t>S</w:t>
      </w:r>
      <w:r w:rsidR="00863111">
        <w:rPr>
          <w:lang w:val="en-GB"/>
        </w:rPr>
        <w:t>s</w:t>
      </w:r>
      <w:r w:rsidRPr="0068647A">
        <w:rPr>
          <w:lang w:val="en-GB"/>
        </w:rPr>
        <w:t xml:space="preserve">) consist in </w:t>
      </w:r>
      <w:r w:rsidR="00863111">
        <w:rPr>
          <w:lang w:val="en-GB"/>
        </w:rPr>
        <w:t>four</w:t>
      </w:r>
      <w:r w:rsidRPr="0068647A">
        <w:rPr>
          <w:lang w:val="en-GB"/>
        </w:rPr>
        <w:t xml:space="preserve"> </w:t>
      </w:r>
      <w:r w:rsidR="00981EA2">
        <w:rPr>
          <w:lang w:val="en-GB"/>
        </w:rPr>
        <w:t>single</w:t>
      </w:r>
      <w:r w:rsidRPr="0068647A">
        <w:rPr>
          <w:lang w:val="en-GB"/>
        </w:rPr>
        <w:t xml:space="preserve"> chamber </w:t>
      </w:r>
      <w:r w:rsidR="00981EA2">
        <w:rPr>
          <w:lang w:val="en-GB"/>
        </w:rPr>
        <w:t>glass bottle</w:t>
      </w:r>
      <w:r w:rsidR="00863111">
        <w:rPr>
          <w:lang w:val="en-GB"/>
        </w:rPr>
        <w:t>s</w:t>
      </w:r>
      <w:r w:rsidR="009C1869">
        <w:rPr>
          <w:lang w:val="en-GB"/>
        </w:rPr>
        <w:t xml:space="preserve"> with a</w:t>
      </w:r>
      <w:r w:rsidR="009D70B7">
        <w:rPr>
          <w:lang w:val="en-GB"/>
        </w:rPr>
        <w:t xml:space="preserve"> </w:t>
      </w:r>
      <w:r w:rsidR="00863111">
        <w:rPr>
          <w:lang w:val="en-GB"/>
        </w:rPr>
        <w:t xml:space="preserve">three holes </w:t>
      </w:r>
      <w:r w:rsidR="00AD1927">
        <w:rPr>
          <w:lang w:val="en-GB"/>
        </w:rPr>
        <w:t>cap</w:t>
      </w:r>
      <w:r w:rsidRPr="0068647A">
        <w:rPr>
          <w:lang w:val="en-GB"/>
        </w:rPr>
        <w:t xml:space="preserve">. </w:t>
      </w:r>
      <w:r w:rsidR="009C4D67">
        <w:rPr>
          <w:lang w:val="en-GB"/>
        </w:rPr>
        <w:t xml:space="preserve">The holes </w:t>
      </w:r>
      <w:r w:rsidR="00F7004B">
        <w:rPr>
          <w:lang w:val="en-GB"/>
        </w:rPr>
        <w:t xml:space="preserve">permitted to </w:t>
      </w:r>
      <w:r w:rsidR="00AC311C">
        <w:rPr>
          <w:lang w:val="en-GB"/>
        </w:rPr>
        <w:t>place</w:t>
      </w:r>
      <w:r w:rsidR="00F7004B">
        <w:rPr>
          <w:lang w:val="en-GB"/>
        </w:rPr>
        <w:t xml:space="preserve"> three electrodes inside the bottle </w:t>
      </w:r>
      <w:r w:rsidR="00AC311C">
        <w:rPr>
          <w:lang w:val="en-GB"/>
        </w:rPr>
        <w:t>avoiding</w:t>
      </w:r>
      <w:r w:rsidR="0058735F">
        <w:rPr>
          <w:lang w:val="en-GB"/>
        </w:rPr>
        <w:t xml:space="preserve"> the </w:t>
      </w:r>
      <w:r w:rsidR="00FB6614">
        <w:rPr>
          <w:lang w:val="en-GB"/>
        </w:rPr>
        <w:t xml:space="preserve">exchange of </w:t>
      </w:r>
      <w:r w:rsidR="0058735F">
        <w:rPr>
          <w:lang w:val="en-GB"/>
        </w:rPr>
        <w:t>air.</w:t>
      </w:r>
      <w:r w:rsidR="002F148F">
        <w:rPr>
          <w:lang w:val="en-GB"/>
        </w:rPr>
        <w:t xml:space="preserve"> </w:t>
      </w:r>
      <w:r w:rsidRPr="0068647A">
        <w:rPr>
          <w:lang w:val="en-GB"/>
        </w:rPr>
        <w:t xml:space="preserve">During the entire study, the </w:t>
      </w:r>
      <w:r w:rsidR="00FB6614">
        <w:rPr>
          <w:lang w:val="en-GB"/>
        </w:rPr>
        <w:t>BES</w:t>
      </w:r>
      <w:r w:rsidRPr="0068647A">
        <w:rPr>
          <w:lang w:val="en-GB"/>
        </w:rPr>
        <w:t xml:space="preserve"> w</w:t>
      </w:r>
      <w:r w:rsidR="00FB6614">
        <w:rPr>
          <w:lang w:val="en-GB"/>
        </w:rPr>
        <w:t>ere</w:t>
      </w:r>
      <w:r w:rsidRPr="0068647A">
        <w:rPr>
          <w:lang w:val="en-GB"/>
        </w:rPr>
        <w:t xml:space="preserve"> operated by a three-electrode configuration by using an anodic potential of +0.200 V vs SHE</w:t>
      </w:r>
      <w:r w:rsidR="00FD5D12" w:rsidRPr="0068647A">
        <w:rPr>
          <w:lang w:val="en-GB"/>
        </w:rPr>
        <w:t xml:space="preserve"> (Standard Hydrogen Electrode)</w:t>
      </w:r>
      <w:r w:rsidRPr="0068647A">
        <w:rPr>
          <w:lang w:val="en-GB"/>
        </w:rPr>
        <w:t xml:space="preserve">. The </w:t>
      </w:r>
      <w:r w:rsidR="001D79E1">
        <w:rPr>
          <w:lang w:val="en-GB"/>
        </w:rPr>
        <w:t>organic matter present in the synthetic wastewater</w:t>
      </w:r>
      <w:r w:rsidRPr="0068647A">
        <w:rPr>
          <w:lang w:val="en-GB"/>
        </w:rPr>
        <w:t xml:space="preserve"> was oxidized by electroactive microorganisms</w:t>
      </w:r>
      <w:r w:rsidR="001D79E1">
        <w:rPr>
          <w:lang w:val="en-GB"/>
        </w:rPr>
        <w:t xml:space="preserve">. </w:t>
      </w:r>
      <w:r w:rsidR="007F3E8F">
        <w:rPr>
          <w:lang w:val="en-GB"/>
        </w:rPr>
        <w:t>Fresh</w:t>
      </w:r>
      <w:r w:rsidR="001D79E1">
        <w:rPr>
          <w:lang w:val="en-GB"/>
        </w:rPr>
        <w:t xml:space="preserve"> </w:t>
      </w:r>
      <w:r w:rsidRPr="0068647A">
        <w:rPr>
          <w:lang w:val="en-GB"/>
        </w:rPr>
        <w:t xml:space="preserve">synthetic feeding solution </w:t>
      </w:r>
      <w:r w:rsidRPr="0068647A">
        <w:rPr>
          <w:noProof/>
          <w:lang w:val="en-GB"/>
        </w:rPr>
        <w:t>(Zeppilli et al., 20</w:t>
      </w:r>
      <w:r w:rsidR="007C76C1">
        <w:rPr>
          <w:noProof/>
          <w:lang w:val="en-GB"/>
        </w:rPr>
        <w:t>21</w:t>
      </w:r>
      <w:r w:rsidR="00F570D6">
        <w:rPr>
          <w:noProof/>
          <w:lang w:val="en-GB"/>
        </w:rPr>
        <w:t>b</w:t>
      </w:r>
      <w:r w:rsidRPr="0068647A">
        <w:rPr>
          <w:noProof/>
          <w:lang w:val="en-GB"/>
        </w:rPr>
        <w:t>)</w:t>
      </w:r>
      <w:r w:rsidRPr="0068647A">
        <w:rPr>
          <w:lang w:val="en-GB"/>
        </w:rPr>
        <w:t xml:space="preserve"> </w:t>
      </w:r>
      <w:r w:rsidR="001D79E1">
        <w:rPr>
          <w:lang w:val="en-GB"/>
        </w:rPr>
        <w:t xml:space="preserve">was </w:t>
      </w:r>
      <w:r w:rsidR="00057981">
        <w:rPr>
          <w:lang w:val="en-GB"/>
        </w:rPr>
        <w:t>changed every week</w:t>
      </w:r>
      <w:r w:rsidR="000A5F89">
        <w:rPr>
          <w:lang w:val="en-GB"/>
        </w:rPr>
        <w:t xml:space="preserve"> </w:t>
      </w:r>
      <w:proofErr w:type="gramStart"/>
      <w:r w:rsidR="000A5F89">
        <w:rPr>
          <w:lang w:val="en-GB"/>
        </w:rPr>
        <w:t>in order to</w:t>
      </w:r>
      <w:proofErr w:type="gramEnd"/>
      <w:r w:rsidR="000A5F89">
        <w:rPr>
          <w:lang w:val="en-GB"/>
        </w:rPr>
        <w:t xml:space="preserve"> maintain a relative high COD </w:t>
      </w:r>
      <w:r w:rsidR="00225694">
        <w:rPr>
          <w:lang w:val="en-GB"/>
        </w:rPr>
        <w:t xml:space="preserve">(Chemical Oxygen Demand) </w:t>
      </w:r>
      <w:r w:rsidR="000A5F89">
        <w:rPr>
          <w:lang w:val="en-GB"/>
        </w:rPr>
        <w:t>concentration (</w:t>
      </w:r>
      <w:r w:rsidR="00863111">
        <w:rPr>
          <w:lang w:val="en-GB"/>
        </w:rPr>
        <w:t>625</w:t>
      </w:r>
      <w:r w:rsidR="00AC311C">
        <w:rPr>
          <w:lang w:val="en-GB"/>
        </w:rPr>
        <w:t xml:space="preserve"> </w:t>
      </w:r>
      <w:r w:rsidR="00863111">
        <w:rPr>
          <w:lang w:val="en-GB"/>
        </w:rPr>
        <w:t>mgCOD/L)</w:t>
      </w:r>
      <w:r w:rsidRPr="0068647A">
        <w:rPr>
          <w:lang w:val="en-GB"/>
        </w:rPr>
        <w:t xml:space="preserve">. </w:t>
      </w:r>
      <w:r w:rsidR="002A5FDC">
        <w:rPr>
          <w:lang w:val="en-GB"/>
        </w:rPr>
        <w:t xml:space="preserve">After every </w:t>
      </w:r>
      <w:r w:rsidR="00AE1F9E">
        <w:rPr>
          <w:lang w:val="en-GB"/>
        </w:rPr>
        <w:t>solution substitution,</w:t>
      </w:r>
      <w:r w:rsidR="007358C9">
        <w:rPr>
          <w:lang w:val="en-GB"/>
        </w:rPr>
        <w:t xml:space="preserve"> the systems were </w:t>
      </w:r>
      <w:r w:rsidR="00AE1F9E">
        <w:rPr>
          <w:lang w:val="en-GB"/>
        </w:rPr>
        <w:t xml:space="preserve">flushed with a </w:t>
      </w:r>
      <w:r w:rsidR="00AC74A5">
        <w:rPr>
          <w:lang w:val="en-GB"/>
        </w:rPr>
        <w:t>gaseous mixture containing CO</w:t>
      </w:r>
      <w:r w:rsidR="00AC74A5" w:rsidRPr="004E0583">
        <w:rPr>
          <w:vertAlign w:val="subscript"/>
          <w:lang w:val="en-GB"/>
        </w:rPr>
        <w:t>2</w:t>
      </w:r>
      <w:r w:rsidR="00AC74A5">
        <w:rPr>
          <w:lang w:val="en-GB"/>
        </w:rPr>
        <w:t xml:space="preserve"> and N</w:t>
      </w:r>
      <w:r w:rsidR="00AC74A5" w:rsidRPr="004E0583">
        <w:rPr>
          <w:vertAlign w:val="subscript"/>
          <w:lang w:val="en-GB"/>
        </w:rPr>
        <w:t>2</w:t>
      </w:r>
      <w:r w:rsidR="00AC74A5">
        <w:rPr>
          <w:lang w:val="en-GB"/>
        </w:rPr>
        <w:t xml:space="preserve"> </w:t>
      </w:r>
      <w:r w:rsidR="00AC74A5">
        <w:rPr>
          <w:lang w:val="en-GB"/>
        </w:rPr>
        <w:lastRenderedPageBreak/>
        <w:t>(30:70 v/v)</w:t>
      </w:r>
      <w:r w:rsidR="004E0583">
        <w:rPr>
          <w:lang w:val="en-GB"/>
        </w:rPr>
        <w:t xml:space="preserve"> </w:t>
      </w:r>
      <w:proofErr w:type="gramStart"/>
      <w:r w:rsidR="004E0583">
        <w:rPr>
          <w:lang w:val="en-GB"/>
        </w:rPr>
        <w:t>in order to</w:t>
      </w:r>
      <w:proofErr w:type="gramEnd"/>
      <w:r w:rsidR="004E0583">
        <w:rPr>
          <w:lang w:val="en-GB"/>
        </w:rPr>
        <w:t xml:space="preserve"> ensure the anaerobic conditions.</w:t>
      </w:r>
      <w:r w:rsidR="00291AA0">
        <w:rPr>
          <w:lang w:val="en-GB"/>
        </w:rPr>
        <w:t xml:space="preserve"> The </w:t>
      </w:r>
      <w:r w:rsidR="00AD5D3C">
        <w:rPr>
          <w:lang w:val="en-GB"/>
        </w:rPr>
        <w:t xml:space="preserve">four </w:t>
      </w:r>
      <w:r w:rsidR="00291AA0">
        <w:rPr>
          <w:lang w:val="en-GB"/>
        </w:rPr>
        <w:t>anode</w:t>
      </w:r>
      <w:r w:rsidR="00AD5D3C">
        <w:rPr>
          <w:lang w:val="en-GB"/>
        </w:rPr>
        <w:t>s</w:t>
      </w:r>
      <w:r w:rsidR="00B6634D">
        <w:rPr>
          <w:lang w:val="en-GB"/>
        </w:rPr>
        <w:t xml:space="preserve"> consisted in a single graphite granule connected with a titanium wire to the system</w:t>
      </w:r>
      <w:r w:rsidR="00AD5D3C">
        <w:rPr>
          <w:lang w:val="en-GB"/>
        </w:rPr>
        <w:t>. The main different between those electrode</w:t>
      </w:r>
      <w:r w:rsidR="00AC311C">
        <w:rPr>
          <w:lang w:val="en-GB"/>
        </w:rPr>
        <w:t>s</w:t>
      </w:r>
      <w:r w:rsidR="00AD5D3C">
        <w:rPr>
          <w:lang w:val="en-GB"/>
        </w:rPr>
        <w:t xml:space="preserve"> was </w:t>
      </w:r>
      <w:r w:rsidR="00F51B58">
        <w:rPr>
          <w:lang w:val="en-GB"/>
        </w:rPr>
        <w:t xml:space="preserve">the amount of silica granules packed around the granule. </w:t>
      </w:r>
      <w:r w:rsidR="0079643F">
        <w:rPr>
          <w:lang w:val="en-GB"/>
        </w:rPr>
        <w:t xml:space="preserve">Three different packed bed were assembled </w:t>
      </w:r>
      <w:proofErr w:type="gramStart"/>
      <w:r w:rsidR="0079643F">
        <w:rPr>
          <w:lang w:val="en-GB"/>
        </w:rPr>
        <w:t>in order to</w:t>
      </w:r>
      <w:proofErr w:type="gramEnd"/>
      <w:r w:rsidR="0079643F">
        <w:rPr>
          <w:lang w:val="en-GB"/>
        </w:rPr>
        <w:t xml:space="preserve"> </w:t>
      </w:r>
      <w:r w:rsidR="00102AD1">
        <w:rPr>
          <w:lang w:val="en-GB"/>
        </w:rPr>
        <w:t xml:space="preserve">change the amount of </w:t>
      </w:r>
      <w:r w:rsidR="00AC311C">
        <w:rPr>
          <w:lang w:val="en-GB"/>
        </w:rPr>
        <w:t>non-conductive</w:t>
      </w:r>
      <w:r w:rsidR="00102AD1">
        <w:rPr>
          <w:lang w:val="en-GB"/>
        </w:rPr>
        <w:t xml:space="preserve"> material on which the biofilm could</w:t>
      </w:r>
      <w:r w:rsidR="00AC311C">
        <w:rPr>
          <w:lang w:val="en-GB"/>
        </w:rPr>
        <w:t xml:space="preserve"> have</w:t>
      </w:r>
      <w:r w:rsidR="00102AD1">
        <w:rPr>
          <w:lang w:val="en-GB"/>
        </w:rPr>
        <w:t xml:space="preserve"> grow</w:t>
      </w:r>
      <w:r w:rsidR="00AC311C">
        <w:rPr>
          <w:lang w:val="en-GB"/>
        </w:rPr>
        <w:t>n</w:t>
      </w:r>
      <w:r w:rsidR="00042E4D">
        <w:rPr>
          <w:lang w:val="en-GB"/>
        </w:rPr>
        <w:t>. The</w:t>
      </w:r>
      <w:r w:rsidR="00E33C11">
        <w:rPr>
          <w:lang w:val="en-GB"/>
        </w:rPr>
        <w:t xml:space="preserve"> small</w:t>
      </w:r>
      <w:r w:rsidR="00BF68D6">
        <w:rPr>
          <w:lang w:val="en-GB"/>
        </w:rPr>
        <w:t xml:space="preserve"> (B)</w:t>
      </w:r>
      <w:r w:rsidR="00BD7C6F">
        <w:rPr>
          <w:lang w:val="en-GB"/>
        </w:rPr>
        <w:t>, medium</w:t>
      </w:r>
      <w:r w:rsidR="00BF68D6">
        <w:rPr>
          <w:lang w:val="en-GB"/>
        </w:rPr>
        <w:t xml:space="preserve"> (C)</w:t>
      </w:r>
      <w:r w:rsidR="00BD7C6F">
        <w:rPr>
          <w:lang w:val="en-GB"/>
        </w:rPr>
        <w:t xml:space="preserve"> and </w:t>
      </w:r>
      <w:r w:rsidR="00BF68D6">
        <w:rPr>
          <w:lang w:val="en-GB"/>
        </w:rPr>
        <w:t>big (D)</w:t>
      </w:r>
      <w:r w:rsidR="00E33C11">
        <w:rPr>
          <w:lang w:val="en-GB"/>
        </w:rPr>
        <w:t xml:space="preserve"> packed bed </w:t>
      </w:r>
      <w:r w:rsidR="00BF68D6">
        <w:rPr>
          <w:lang w:val="en-GB"/>
        </w:rPr>
        <w:t xml:space="preserve">were </w:t>
      </w:r>
      <w:r w:rsidR="00403C02">
        <w:rPr>
          <w:lang w:val="en-GB"/>
        </w:rPr>
        <w:t>3.5</w:t>
      </w:r>
      <w:r w:rsidR="002A243B">
        <w:rPr>
          <w:lang w:val="en-GB"/>
        </w:rPr>
        <w:t>X1X</w:t>
      </w:r>
      <w:r w:rsidR="00BD7C6F">
        <w:rPr>
          <w:lang w:val="en-GB"/>
        </w:rPr>
        <w:t>2 cm</w:t>
      </w:r>
      <w:r w:rsidR="00BF68D6">
        <w:rPr>
          <w:lang w:val="en-GB"/>
        </w:rPr>
        <w:t>, 5X1.5X2 cm</w:t>
      </w:r>
      <w:r w:rsidR="00CF395A">
        <w:rPr>
          <w:lang w:val="en-GB"/>
        </w:rPr>
        <w:t>, 7X2X2 cm</w:t>
      </w:r>
      <w:r w:rsidR="00BD7C6F">
        <w:rPr>
          <w:lang w:val="en-GB"/>
        </w:rPr>
        <w:t xml:space="preserve"> big,</w:t>
      </w:r>
      <w:r w:rsidR="00CF395A">
        <w:rPr>
          <w:lang w:val="en-GB"/>
        </w:rPr>
        <w:t xml:space="preserve"> respectively.</w:t>
      </w:r>
      <w:r w:rsidR="00F04FEB">
        <w:rPr>
          <w:lang w:val="en-GB"/>
        </w:rPr>
        <w:t xml:space="preserve"> The counter electrode</w:t>
      </w:r>
      <w:r w:rsidR="00FA59D0">
        <w:rPr>
          <w:lang w:val="en-GB"/>
        </w:rPr>
        <w:t xml:space="preserve"> (cathode)</w:t>
      </w:r>
      <w:r w:rsidR="00F04FEB">
        <w:rPr>
          <w:lang w:val="en-GB"/>
        </w:rPr>
        <w:t xml:space="preserve"> consisted in a 2X5 </w:t>
      </w:r>
      <w:r w:rsidR="00FA59D0">
        <w:rPr>
          <w:lang w:val="en-GB"/>
        </w:rPr>
        <w:t xml:space="preserve">cm stainless steel plate and the reference electrode was an Ag/AgCl </w:t>
      </w:r>
      <w:r w:rsidR="008A2DFF">
        <w:rPr>
          <w:lang w:val="en-GB"/>
        </w:rPr>
        <w:t>electrode (+0.198 vs SHE)</w:t>
      </w:r>
      <w:r w:rsidR="00D456DE">
        <w:rPr>
          <w:lang w:val="en-GB"/>
        </w:rPr>
        <w:t xml:space="preserve">. The </w:t>
      </w:r>
      <w:r w:rsidR="00C2275B">
        <w:rPr>
          <w:lang w:val="en-GB"/>
        </w:rPr>
        <w:t>potentiostatic</w:t>
      </w:r>
      <w:r w:rsidR="00942740">
        <w:rPr>
          <w:lang w:val="en-GB"/>
        </w:rPr>
        <w:t xml:space="preserve"> condition</w:t>
      </w:r>
      <w:r w:rsidR="00C2275B">
        <w:rPr>
          <w:lang w:val="en-GB"/>
        </w:rPr>
        <w:t xml:space="preserve"> was ensure</w:t>
      </w:r>
      <w:r w:rsidR="00B87009">
        <w:rPr>
          <w:lang w:val="en-GB"/>
        </w:rPr>
        <w:t>d</w:t>
      </w:r>
      <w:r w:rsidR="00C2275B">
        <w:rPr>
          <w:lang w:val="en-GB"/>
        </w:rPr>
        <w:t xml:space="preserve"> by a </w:t>
      </w:r>
      <w:r w:rsidR="00C3778E">
        <w:rPr>
          <w:lang w:val="en-GB"/>
        </w:rPr>
        <w:t>Nev 3.2</w:t>
      </w:r>
      <w:r w:rsidR="00C2275B">
        <w:rPr>
          <w:lang w:val="en-GB"/>
        </w:rPr>
        <w:t xml:space="preserve"> potentiostat controlled with </w:t>
      </w:r>
      <w:proofErr w:type="spellStart"/>
      <w:r w:rsidR="00C3778E">
        <w:rPr>
          <w:lang w:val="en-GB"/>
        </w:rPr>
        <w:t>NanoElectra</w:t>
      </w:r>
      <w:proofErr w:type="spellEnd"/>
      <w:r w:rsidR="00C2275B">
        <w:rPr>
          <w:lang w:val="en-GB"/>
        </w:rPr>
        <w:t xml:space="preserve"> software</w:t>
      </w:r>
      <w:r w:rsidR="00C3778E">
        <w:rPr>
          <w:lang w:val="en-GB"/>
        </w:rPr>
        <w:t>.</w:t>
      </w:r>
      <w:r w:rsidR="00C2275B">
        <w:rPr>
          <w:lang w:val="en-GB"/>
        </w:rPr>
        <w:t xml:space="preserve"> </w:t>
      </w:r>
    </w:p>
    <w:p w14:paraId="3763819E" w14:textId="77777777" w:rsidR="00F822C9" w:rsidRPr="0068647A" w:rsidRDefault="00F822C9" w:rsidP="00DB2011">
      <w:pPr>
        <w:pStyle w:val="CETListbullets"/>
        <w:ind w:left="0" w:firstLine="0"/>
      </w:pPr>
    </w:p>
    <w:p w14:paraId="7F7069A1" w14:textId="208CEA35" w:rsidR="00F822C9" w:rsidRPr="0068647A" w:rsidRDefault="00AB31E7" w:rsidP="00353EFE">
      <w:pPr>
        <w:pStyle w:val="CETListbullets"/>
        <w:ind w:left="113" w:firstLine="0"/>
        <w:jc w:val="left"/>
      </w:pPr>
      <w:r>
        <w:rPr>
          <w:noProof/>
        </w:rPr>
        <w:drawing>
          <wp:inline distT="0" distB="0" distL="0" distR="0" wp14:anchorId="5901C992" wp14:editId="5AF519D9">
            <wp:extent cx="5439529" cy="2143125"/>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0">
                      <a:extLst>
                        <a:ext uri="{28A0092B-C50C-407E-A947-70E740481C1C}">
                          <a14:useLocalDpi xmlns:a14="http://schemas.microsoft.com/office/drawing/2010/main" val="0"/>
                        </a:ext>
                      </a:extLst>
                    </a:blip>
                    <a:stretch>
                      <a:fillRect/>
                    </a:stretch>
                  </pic:blipFill>
                  <pic:spPr>
                    <a:xfrm>
                      <a:off x="0" y="0"/>
                      <a:ext cx="5461259" cy="2151687"/>
                    </a:xfrm>
                    <a:prstGeom prst="rect">
                      <a:avLst/>
                    </a:prstGeom>
                  </pic:spPr>
                </pic:pic>
              </a:graphicData>
            </a:graphic>
          </wp:inline>
        </w:drawing>
      </w:r>
    </w:p>
    <w:p w14:paraId="16914086" w14:textId="19424D3A" w:rsidR="00F822C9" w:rsidRDefault="00F822C9" w:rsidP="00353EFE">
      <w:pPr>
        <w:pStyle w:val="CETCaption"/>
        <w:jc w:val="left"/>
      </w:pPr>
      <w:r w:rsidRPr="0068647A">
        <w:t xml:space="preserve">Figure 1: Schematic representation of the </w:t>
      </w:r>
      <w:r w:rsidR="008D1B09">
        <w:t>bioelectrochemical systems</w:t>
      </w:r>
      <w:r w:rsidRPr="0068647A">
        <w:t xml:space="preserve"> </w:t>
      </w:r>
      <w:r w:rsidR="00B14565">
        <w:t xml:space="preserve">with four different anodes: </w:t>
      </w:r>
      <w:r w:rsidRPr="0068647A">
        <w:t xml:space="preserve">(A) </w:t>
      </w:r>
      <w:r w:rsidR="008D1B09">
        <w:t xml:space="preserve">single granule, (B) small packed bed, (C) medium packed bed </w:t>
      </w:r>
      <w:r w:rsidRPr="0068647A">
        <w:t xml:space="preserve">and </w:t>
      </w:r>
      <w:r w:rsidR="008D1B09">
        <w:t>(D) big packed bed.</w:t>
      </w:r>
      <w:r w:rsidR="00225694">
        <w:t xml:space="preserve"> CE: Counter Electrode; REF: Reference electrode; WE: Working Electrode.</w:t>
      </w:r>
    </w:p>
    <w:p w14:paraId="1F9971C6" w14:textId="77777777" w:rsidR="00CE41DB" w:rsidRPr="0068647A" w:rsidRDefault="00CE41DB" w:rsidP="000367BA">
      <w:pPr>
        <w:pStyle w:val="CETCaption"/>
        <w:jc w:val="center"/>
      </w:pPr>
    </w:p>
    <w:p w14:paraId="5D65120B" w14:textId="6F7ED0E5" w:rsidR="00F822C9" w:rsidRPr="0068647A" w:rsidRDefault="00F822C9" w:rsidP="00FA5F5F">
      <w:pPr>
        <w:pStyle w:val="CETheadingx"/>
        <w:rPr>
          <w:lang w:val="en-GB"/>
        </w:rPr>
      </w:pPr>
      <w:r w:rsidRPr="0068647A">
        <w:rPr>
          <w:lang w:val="en-GB"/>
        </w:rPr>
        <w:t xml:space="preserve">Cyclic Voltammetry </w:t>
      </w:r>
      <w:r w:rsidR="004056CC">
        <w:rPr>
          <w:lang w:val="en-GB"/>
        </w:rPr>
        <w:t>and EASA ca</w:t>
      </w:r>
      <w:r w:rsidR="00F85204">
        <w:rPr>
          <w:lang w:val="en-GB"/>
        </w:rPr>
        <w:t>lculation</w:t>
      </w:r>
    </w:p>
    <w:p w14:paraId="15D48202" w14:textId="328B6D34" w:rsidR="00F822C9" w:rsidRDefault="00F822C9" w:rsidP="00F61DAC">
      <w:pPr>
        <w:pStyle w:val="CETBodytext"/>
        <w:ind w:left="142"/>
        <w:rPr>
          <w:lang w:val="en-GB"/>
        </w:rPr>
      </w:pPr>
      <w:r w:rsidRPr="0068647A">
        <w:rPr>
          <w:lang w:val="en-GB"/>
        </w:rPr>
        <w:t>Cyclic voltammetr</w:t>
      </w:r>
      <w:r w:rsidR="009559B4">
        <w:rPr>
          <w:lang w:val="en-GB"/>
        </w:rPr>
        <w:t>ies</w:t>
      </w:r>
      <w:r w:rsidRPr="0068647A">
        <w:rPr>
          <w:lang w:val="en-GB"/>
        </w:rPr>
        <w:t xml:space="preserve"> (CV) w</w:t>
      </w:r>
      <w:r w:rsidR="00B14565">
        <w:rPr>
          <w:lang w:val="en-GB"/>
        </w:rPr>
        <w:t>ere</w:t>
      </w:r>
      <w:r w:rsidRPr="0068647A">
        <w:rPr>
          <w:lang w:val="en-GB"/>
        </w:rPr>
        <w:t xml:space="preserve"> </w:t>
      </w:r>
      <w:r w:rsidR="00B14565">
        <w:rPr>
          <w:lang w:val="en-GB"/>
        </w:rPr>
        <w:t>performed</w:t>
      </w:r>
      <w:r w:rsidRPr="0068647A">
        <w:rPr>
          <w:lang w:val="en-GB"/>
        </w:rPr>
        <w:t xml:space="preserve"> at the anode</w:t>
      </w:r>
      <w:r w:rsidR="00B14565">
        <w:rPr>
          <w:lang w:val="en-GB"/>
        </w:rPr>
        <w:t xml:space="preserve"> </w:t>
      </w:r>
      <w:r w:rsidRPr="0068647A">
        <w:rPr>
          <w:lang w:val="en-GB"/>
        </w:rPr>
        <w:t>between +0.</w:t>
      </w:r>
      <w:r w:rsidR="00940A66">
        <w:rPr>
          <w:lang w:val="en-GB"/>
        </w:rPr>
        <w:t>4</w:t>
      </w:r>
      <w:r w:rsidRPr="0068647A">
        <w:rPr>
          <w:lang w:val="en-GB"/>
        </w:rPr>
        <w:t xml:space="preserve"> to -0.</w:t>
      </w:r>
      <w:r w:rsidR="00940A66">
        <w:rPr>
          <w:lang w:val="en-GB"/>
        </w:rPr>
        <w:t>3</w:t>
      </w:r>
      <w:r w:rsidRPr="0068647A">
        <w:rPr>
          <w:lang w:val="en-GB"/>
        </w:rPr>
        <w:t xml:space="preserve"> V vs SHE</w:t>
      </w:r>
      <w:r w:rsidR="00B2590F">
        <w:rPr>
          <w:lang w:val="en-GB"/>
        </w:rPr>
        <w:t xml:space="preserve"> </w:t>
      </w:r>
      <w:r w:rsidRPr="0068647A">
        <w:rPr>
          <w:lang w:val="en-GB"/>
        </w:rPr>
        <w:t>at</w:t>
      </w:r>
      <w:r w:rsidR="00B2590F">
        <w:rPr>
          <w:lang w:val="en-GB"/>
        </w:rPr>
        <w:t xml:space="preserve"> 9 different scan rates</w:t>
      </w:r>
      <w:r w:rsidRPr="0068647A">
        <w:rPr>
          <w:lang w:val="en-GB"/>
        </w:rPr>
        <w:t xml:space="preserve"> </w:t>
      </w:r>
      <w:r w:rsidR="006B660C">
        <w:rPr>
          <w:lang w:val="en-GB"/>
        </w:rPr>
        <w:t xml:space="preserve">200 </w:t>
      </w:r>
      <w:r w:rsidR="00DC0AE6">
        <w:rPr>
          <w:lang w:val="en-GB"/>
        </w:rPr>
        <w:t>–</w:t>
      </w:r>
      <w:r w:rsidR="006B660C">
        <w:rPr>
          <w:lang w:val="en-GB"/>
        </w:rPr>
        <w:t xml:space="preserve"> 100 </w:t>
      </w:r>
      <w:r w:rsidR="006B2384">
        <w:rPr>
          <w:lang w:val="en-GB"/>
        </w:rPr>
        <w:t>–</w:t>
      </w:r>
      <w:r w:rsidR="006B660C">
        <w:rPr>
          <w:lang w:val="en-GB"/>
        </w:rPr>
        <w:t xml:space="preserve"> </w:t>
      </w:r>
      <w:r w:rsidR="006B2384">
        <w:rPr>
          <w:lang w:val="en-GB"/>
        </w:rPr>
        <w:t xml:space="preserve">60 </w:t>
      </w:r>
      <w:r w:rsidR="00DC0AE6">
        <w:rPr>
          <w:lang w:val="en-GB"/>
        </w:rPr>
        <w:t>–</w:t>
      </w:r>
      <w:r w:rsidR="006B2384">
        <w:rPr>
          <w:lang w:val="en-GB"/>
        </w:rPr>
        <w:t xml:space="preserve"> 50 – 40 </w:t>
      </w:r>
      <w:r w:rsidR="00DC0AE6">
        <w:rPr>
          <w:lang w:val="en-GB"/>
        </w:rPr>
        <w:t>–</w:t>
      </w:r>
      <w:r w:rsidR="006B2384">
        <w:rPr>
          <w:lang w:val="en-GB"/>
        </w:rPr>
        <w:t xml:space="preserve"> 30 – 20 </w:t>
      </w:r>
      <w:r w:rsidR="00DC0AE6">
        <w:rPr>
          <w:lang w:val="en-GB"/>
        </w:rPr>
        <w:t>–</w:t>
      </w:r>
      <w:r w:rsidR="006B2384">
        <w:rPr>
          <w:lang w:val="en-GB"/>
        </w:rPr>
        <w:t xml:space="preserve"> </w:t>
      </w:r>
      <w:r w:rsidR="007D7C35">
        <w:rPr>
          <w:lang w:val="en-GB"/>
        </w:rPr>
        <w:t xml:space="preserve">10 </w:t>
      </w:r>
      <w:r w:rsidR="00116C3F">
        <w:rPr>
          <w:lang w:val="en-GB"/>
        </w:rPr>
        <w:t>–</w:t>
      </w:r>
      <w:r w:rsidR="006B2384">
        <w:rPr>
          <w:lang w:val="en-GB"/>
        </w:rPr>
        <w:t xml:space="preserve"> 1 </w:t>
      </w:r>
      <w:r w:rsidRPr="0068647A">
        <w:rPr>
          <w:lang w:val="en-GB"/>
        </w:rPr>
        <w:t>mV/</w:t>
      </w:r>
      <w:r w:rsidR="006B660C">
        <w:rPr>
          <w:lang w:val="en-GB"/>
        </w:rPr>
        <w:t>s</w:t>
      </w:r>
      <w:r w:rsidRPr="0068647A">
        <w:rPr>
          <w:lang w:val="en-GB"/>
        </w:rPr>
        <w:t xml:space="preserve">. The CVs were conducted </w:t>
      </w:r>
      <w:r w:rsidR="00FE080A">
        <w:rPr>
          <w:lang w:val="en-GB"/>
        </w:rPr>
        <w:t>before the inoculation, using the same medium</w:t>
      </w:r>
      <w:r w:rsidR="006936ED">
        <w:rPr>
          <w:lang w:val="en-GB"/>
        </w:rPr>
        <w:t>, setting the same distance between the electrodes</w:t>
      </w:r>
      <w:r w:rsidR="00225694">
        <w:rPr>
          <w:lang w:val="en-GB"/>
        </w:rPr>
        <w:t>, using identical counter electrodes whereas different granules</w:t>
      </w:r>
      <w:r w:rsidRPr="0068647A">
        <w:rPr>
          <w:lang w:val="en-GB"/>
        </w:rPr>
        <w:t xml:space="preserve"> </w:t>
      </w:r>
      <w:r w:rsidR="002F682F">
        <w:rPr>
          <w:lang w:val="en-GB"/>
        </w:rPr>
        <w:t>in order to calculate the</w:t>
      </w:r>
      <w:r w:rsidR="00225694">
        <w:rPr>
          <w:lang w:val="en-GB"/>
        </w:rPr>
        <w:t>ir</w:t>
      </w:r>
      <w:r w:rsidR="002F682F">
        <w:rPr>
          <w:lang w:val="en-GB"/>
        </w:rPr>
        <w:t xml:space="preserve"> electroactive surface area</w:t>
      </w:r>
      <w:r w:rsidR="00F61DAC">
        <w:rPr>
          <w:lang w:val="en-GB"/>
        </w:rPr>
        <w:t xml:space="preserve"> (EASA)</w:t>
      </w:r>
      <w:r w:rsidR="002F682F">
        <w:rPr>
          <w:lang w:val="en-GB"/>
        </w:rPr>
        <w:t xml:space="preserve">. </w:t>
      </w:r>
      <w:r w:rsidR="00057C52">
        <w:rPr>
          <w:lang w:val="en-GB"/>
        </w:rPr>
        <w:t xml:space="preserve">To calculate the specific </w:t>
      </w:r>
      <w:r w:rsidR="006D5E89">
        <w:rPr>
          <w:lang w:val="en-GB"/>
        </w:rPr>
        <w:t>capacitance</w:t>
      </w:r>
      <w:r w:rsidR="00DD1EE3">
        <w:rPr>
          <w:lang w:val="en-GB"/>
        </w:rPr>
        <w:t xml:space="preserve"> </w:t>
      </w:r>
      <w:r w:rsidR="00053BEE">
        <w:rPr>
          <w:lang w:val="en-GB"/>
        </w:rPr>
        <w:t xml:space="preserve">(necessary to calculate the </w:t>
      </w:r>
      <w:r w:rsidR="00F61DAC">
        <w:rPr>
          <w:lang w:val="en-GB"/>
        </w:rPr>
        <w:t xml:space="preserve">EASA) </w:t>
      </w:r>
      <w:r w:rsidR="00DD1EE3">
        <w:rPr>
          <w:lang w:val="en-GB"/>
        </w:rPr>
        <w:t xml:space="preserve">a preliminary test </w:t>
      </w:r>
      <w:r w:rsidR="00A51422">
        <w:rPr>
          <w:lang w:val="en-GB"/>
        </w:rPr>
        <w:t xml:space="preserve">was made using </w:t>
      </w:r>
      <w:r w:rsidR="00225694">
        <w:rPr>
          <w:lang w:val="en-GB"/>
        </w:rPr>
        <w:t>two</w:t>
      </w:r>
      <w:r w:rsidR="00A51422">
        <w:rPr>
          <w:lang w:val="en-GB"/>
        </w:rPr>
        <w:t xml:space="preserve"> anode</w:t>
      </w:r>
      <w:r w:rsidR="00225694">
        <w:rPr>
          <w:lang w:val="en-GB"/>
        </w:rPr>
        <w:t>s</w:t>
      </w:r>
      <w:r w:rsidR="00A51422">
        <w:rPr>
          <w:lang w:val="en-GB"/>
        </w:rPr>
        <w:t xml:space="preserve"> with a known electroactive surface area</w:t>
      </w:r>
      <w:r w:rsidR="00200302">
        <w:rPr>
          <w:lang w:val="en-GB"/>
        </w:rPr>
        <w:t xml:space="preserve">, with the same settings as the one used for the four </w:t>
      </w:r>
      <w:r w:rsidR="00B93174">
        <w:rPr>
          <w:lang w:val="en-GB"/>
        </w:rPr>
        <w:t>BESs (same distance between the electrodes, same scan rates, same medium, same vertex</w:t>
      </w:r>
      <w:r w:rsidR="000D6162">
        <w:rPr>
          <w:lang w:val="en-GB"/>
        </w:rPr>
        <w:t>es</w:t>
      </w:r>
      <w:r w:rsidR="00225694">
        <w:rPr>
          <w:lang w:val="en-GB"/>
        </w:rPr>
        <w:t>, identical counter electrodes</w:t>
      </w:r>
      <w:r w:rsidR="00B93174">
        <w:rPr>
          <w:lang w:val="en-GB"/>
        </w:rPr>
        <w:t>)</w:t>
      </w:r>
      <w:r w:rsidR="00AC6A85">
        <w:rPr>
          <w:lang w:val="en-GB"/>
        </w:rPr>
        <w:t>.</w:t>
      </w:r>
    </w:p>
    <w:p w14:paraId="400DB559" w14:textId="77777777" w:rsidR="001009DE" w:rsidRDefault="001009DE" w:rsidP="00F61DAC">
      <w:pPr>
        <w:pStyle w:val="CETBodytext"/>
        <w:ind w:left="142"/>
        <w:rPr>
          <w:lang w:val="en-GB"/>
        </w:rPr>
      </w:pPr>
    </w:p>
    <w:p w14:paraId="03B98233" w14:textId="13DDD8E5" w:rsidR="001009DE" w:rsidRDefault="001009DE" w:rsidP="00CD725C">
      <w:pPr>
        <w:pStyle w:val="Didascalia"/>
        <w:keepNext/>
        <w:jc w:val="left"/>
        <w:rPr>
          <w:b w:val="0"/>
          <w:bCs w:val="0"/>
          <w:i/>
          <w:color w:val="auto"/>
          <w:szCs w:val="20"/>
        </w:rPr>
      </w:pPr>
      <w:r w:rsidRPr="0068647A">
        <w:rPr>
          <w:b w:val="0"/>
          <w:bCs w:val="0"/>
          <w:i/>
          <w:color w:val="auto"/>
          <w:szCs w:val="20"/>
        </w:rPr>
        <w:t xml:space="preserve">Table </w:t>
      </w:r>
      <w:r>
        <w:rPr>
          <w:b w:val="0"/>
          <w:bCs w:val="0"/>
          <w:i/>
          <w:color w:val="auto"/>
          <w:szCs w:val="20"/>
        </w:rPr>
        <w:t>1</w:t>
      </w:r>
      <w:r w:rsidRPr="0068647A">
        <w:rPr>
          <w:b w:val="0"/>
          <w:bCs w:val="0"/>
          <w:i/>
          <w:color w:val="auto"/>
          <w:szCs w:val="20"/>
        </w:rPr>
        <w:t xml:space="preserve">: </w:t>
      </w:r>
      <w:r w:rsidR="00885A31">
        <w:rPr>
          <w:b w:val="0"/>
          <w:bCs w:val="0"/>
          <w:i/>
          <w:color w:val="auto"/>
          <w:szCs w:val="20"/>
        </w:rPr>
        <w:t>Main parameters calculations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529"/>
        <w:gridCol w:w="3244"/>
      </w:tblGrid>
      <w:tr w:rsidR="00A22680" w:rsidRPr="0068647A" w14:paraId="4DE9DA7D" w14:textId="77777777" w:rsidTr="002823B1">
        <w:trPr>
          <w:trHeight w:val="264"/>
        </w:trPr>
        <w:tc>
          <w:tcPr>
            <w:tcW w:w="5529" w:type="dxa"/>
            <w:tcBorders>
              <w:top w:val="single" w:sz="12" w:space="0" w:color="008000"/>
              <w:bottom w:val="single" w:sz="6" w:space="0" w:color="008000"/>
            </w:tcBorders>
            <w:shd w:val="clear" w:color="auto" w:fill="FFFFFF"/>
            <w:vAlign w:val="center"/>
          </w:tcPr>
          <w:p w14:paraId="0320991F" w14:textId="77777777" w:rsidR="00A22680" w:rsidRDefault="00A22680" w:rsidP="00A22680">
            <w:pPr>
              <w:rPr>
                <w:b/>
                <w:bCs/>
              </w:rPr>
            </w:pPr>
            <w:r>
              <w:rPr>
                <w:b/>
                <w:bCs/>
              </w:rPr>
              <w:t>Specific capacitance (F/cm</w:t>
            </w:r>
            <w:r w:rsidRPr="00D14610">
              <w:rPr>
                <w:b/>
                <w:bCs/>
                <w:vertAlign w:val="superscript"/>
              </w:rPr>
              <w:t>2</w:t>
            </w:r>
            <w:r>
              <w:rPr>
                <w:b/>
                <w:bCs/>
              </w:rPr>
              <w:t>)</w:t>
            </w:r>
          </w:p>
          <w:p w14:paraId="149EEF50" w14:textId="77777777" w:rsidR="00A22680" w:rsidRPr="00795365" w:rsidRDefault="00A22680" w:rsidP="00A22680">
            <w:pPr>
              <w:pStyle w:val="Paragrafoelenco"/>
              <w:numPr>
                <w:ilvl w:val="0"/>
                <w:numId w:val="25"/>
              </w:numPr>
              <w:rPr>
                <w:b/>
                <w:bCs/>
                <w:lang w:val="en-GB"/>
              </w:rPr>
            </w:pPr>
            <w:proofErr w:type="spellStart"/>
            <w:r w:rsidRPr="005E03E0">
              <w:rPr>
                <w:b/>
                <w:bCs/>
                <w:lang w:val="en-GB"/>
              </w:rPr>
              <w:t>Area</w:t>
            </w:r>
            <w:r w:rsidRPr="005E03E0">
              <w:rPr>
                <w:b/>
                <w:bCs/>
                <w:vertAlign w:val="subscript"/>
                <w:lang w:val="en-GB"/>
              </w:rPr>
              <w:t>CV</w:t>
            </w:r>
            <w:proofErr w:type="spellEnd"/>
            <w:r w:rsidRPr="005E03E0">
              <w:rPr>
                <w:b/>
                <w:bCs/>
                <w:lang w:val="en-GB"/>
              </w:rPr>
              <w:t xml:space="preserve"> (A*V): </w:t>
            </w:r>
            <w:r w:rsidRPr="005E03E0">
              <w:rPr>
                <w:lang w:val="en-GB"/>
              </w:rPr>
              <w:t>Area of</w:t>
            </w:r>
            <w:r>
              <w:rPr>
                <w:lang w:val="en-GB"/>
              </w:rPr>
              <w:t xml:space="preserve"> the cyclic voltammetry</w:t>
            </w:r>
          </w:p>
          <w:p w14:paraId="304F9A9F" w14:textId="77777777" w:rsidR="00A22680" w:rsidRPr="003F7093" w:rsidRDefault="00A22680" w:rsidP="00A22680">
            <w:pPr>
              <w:pStyle w:val="Paragrafoelenco"/>
              <w:numPr>
                <w:ilvl w:val="0"/>
                <w:numId w:val="25"/>
              </w:numPr>
              <w:rPr>
                <w:b/>
                <w:bCs/>
                <w:lang w:val="en-GB"/>
              </w:rPr>
            </w:pPr>
            <w:r>
              <w:rPr>
                <w:rFonts w:cstheme="minorHAnsi"/>
                <w:b/>
                <w:bCs/>
                <w:lang w:val="en-GB"/>
              </w:rPr>
              <w:t>Δ</w:t>
            </w:r>
            <w:r>
              <w:rPr>
                <w:b/>
                <w:bCs/>
                <w:lang w:val="en-GB"/>
              </w:rPr>
              <w:t xml:space="preserve">V (V): </w:t>
            </w:r>
            <w:r>
              <w:rPr>
                <w:lang w:val="en-GB"/>
              </w:rPr>
              <w:t>Difference between the CV’s vertexes</w:t>
            </w:r>
          </w:p>
          <w:p w14:paraId="2A1B54DC" w14:textId="77777777" w:rsidR="00A22680" w:rsidRPr="00A22680" w:rsidRDefault="00A22680" w:rsidP="00A22680">
            <w:pPr>
              <w:pStyle w:val="Paragrafoelenco"/>
              <w:numPr>
                <w:ilvl w:val="0"/>
                <w:numId w:val="25"/>
              </w:numPr>
              <w:rPr>
                <w:b/>
                <w:bCs/>
                <w:lang w:val="en-GB"/>
              </w:rPr>
            </w:pPr>
            <w:r>
              <w:rPr>
                <w:rFonts w:cstheme="minorHAnsi"/>
                <w:b/>
                <w:bCs/>
                <w:lang w:val="en-GB"/>
              </w:rPr>
              <w:t>EASA (cm</w:t>
            </w:r>
            <w:r w:rsidRPr="00EB4007">
              <w:rPr>
                <w:rFonts w:cstheme="minorHAnsi"/>
                <w:b/>
                <w:bCs/>
                <w:vertAlign w:val="superscript"/>
                <w:lang w:val="en-GB"/>
              </w:rPr>
              <w:t>2</w:t>
            </w:r>
            <w:r>
              <w:rPr>
                <w:rFonts w:cstheme="minorHAnsi"/>
                <w:b/>
                <w:bCs/>
                <w:lang w:val="en-GB"/>
              </w:rPr>
              <w:t xml:space="preserve">): </w:t>
            </w:r>
            <w:r w:rsidRPr="00E4369E">
              <w:rPr>
                <w:rFonts w:cstheme="minorHAnsi"/>
                <w:lang w:val="en-GB"/>
              </w:rPr>
              <w:t>Anodic k</w:t>
            </w:r>
            <w:r>
              <w:rPr>
                <w:rFonts w:cstheme="minorHAnsi"/>
                <w:lang w:val="en-GB"/>
              </w:rPr>
              <w:t>nown surface area</w:t>
            </w:r>
          </w:p>
          <w:p w14:paraId="54D1BA90" w14:textId="6F68FF69" w:rsidR="00A22680" w:rsidRPr="00A22680" w:rsidRDefault="00A22680" w:rsidP="00A22680">
            <w:pPr>
              <w:pStyle w:val="Paragrafoelenco"/>
              <w:numPr>
                <w:ilvl w:val="0"/>
                <w:numId w:val="25"/>
              </w:numPr>
              <w:rPr>
                <w:b/>
                <w:bCs/>
                <w:lang w:val="en-GB"/>
              </w:rPr>
            </w:pPr>
            <w:proofErr w:type="spellStart"/>
            <w:r w:rsidRPr="00A22680">
              <w:rPr>
                <w:rFonts w:cstheme="minorHAnsi"/>
                <w:b/>
                <w:bCs/>
                <w:lang w:val="en-GB"/>
              </w:rPr>
              <w:t>r</w:t>
            </w:r>
            <w:r w:rsidRPr="00A22680">
              <w:rPr>
                <w:rFonts w:cstheme="minorHAnsi"/>
                <w:b/>
                <w:bCs/>
                <w:vertAlign w:val="subscript"/>
                <w:lang w:val="en-GB"/>
              </w:rPr>
              <w:t>scan</w:t>
            </w:r>
            <w:proofErr w:type="spellEnd"/>
            <w:r w:rsidRPr="00A22680">
              <w:rPr>
                <w:rFonts w:cstheme="minorHAnsi"/>
                <w:b/>
                <w:bCs/>
                <w:lang w:val="en-GB"/>
              </w:rPr>
              <w:t xml:space="preserve"> (V/s): </w:t>
            </w:r>
            <w:r w:rsidRPr="00A22680">
              <w:rPr>
                <w:rFonts w:cstheme="minorHAnsi"/>
                <w:lang w:val="en-GB"/>
              </w:rPr>
              <w:t>CV’s scan rate</w:t>
            </w:r>
          </w:p>
        </w:tc>
        <w:tc>
          <w:tcPr>
            <w:tcW w:w="3244" w:type="dxa"/>
            <w:tcBorders>
              <w:top w:val="single" w:sz="12" w:space="0" w:color="008000"/>
              <w:bottom w:val="single" w:sz="6" w:space="0" w:color="008000"/>
            </w:tcBorders>
            <w:shd w:val="clear" w:color="auto" w:fill="FFFFFF"/>
            <w:vAlign w:val="center"/>
          </w:tcPr>
          <w:p w14:paraId="0CEF00C1" w14:textId="22BEA0F0" w:rsidR="00A22680" w:rsidRPr="00062D8C" w:rsidRDefault="00A22680" w:rsidP="006B61EE">
            <w:pPr>
              <w:pStyle w:val="CETBodytext"/>
              <w:jc w:val="center"/>
              <w:rPr>
                <w:b/>
                <w:bCs/>
                <w:lang w:val="en-GB"/>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sp</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Area</m:t>
                        </m:r>
                      </m:e>
                      <m:sub>
                        <m:r>
                          <w:rPr>
                            <w:rFonts w:ascii="Cambria Math" w:hAnsi="Cambria Math" w:cs="Arial"/>
                          </w:rPr>
                          <m:t>CV</m:t>
                        </m:r>
                      </m:sub>
                    </m:sSub>
                  </m:num>
                  <m:den>
                    <m:f>
                      <m:fPr>
                        <m:ctrlPr>
                          <w:rPr>
                            <w:rFonts w:ascii="Cambria Math" w:hAnsi="Cambria Math" w:cs="Arial"/>
                            <w:i/>
                          </w:rPr>
                        </m:ctrlPr>
                      </m:fPr>
                      <m:num>
                        <m:r>
                          <w:rPr>
                            <w:rFonts w:ascii="Cambria Math" w:hAnsi="Cambria Math" w:cs="Arial"/>
                          </w:rPr>
                          <m:t>2ΔV*EASA</m:t>
                        </m:r>
                      </m:num>
                      <m:den>
                        <m:sSub>
                          <m:sSubPr>
                            <m:ctrlPr>
                              <w:rPr>
                                <w:rFonts w:ascii="Cambria Math" w:hAnsi="Cambria Math" w:cs="Arial"/>
                                <w:i/>
                              </w:rPr>
                            </m:ctrlPr>
                          </m:sSubPr>
                          <m:e>
                            <m:r>
                              <w:rPr>
                                <w:rFonts w:ascii="Cambria Math" w:hAnsi="Cambria Math" w:cs="Arial"/>
                              </w:rPr>
                              <m:t>r</m:t>
                            </m:r>
                          </m:e>
                          <m:sub>
                            <m:r>
                              <w:rPr>
                                <w:rFonts w:ascii="Cambria Math" w:hAnsi="Cambria Math" w:cs="Arial"/>
                              </w:rPr>
                              <m:t>scan</m:t>
                            </m:r>
                          </m:sub>
                        </m:sSub>
                      </m:den>
                    </m:f>
                  </m:den>
                </m:f>
              </m:oMath>
            </m:oMathPara>
          </w:p>
        </w:tc>
      </w:tr>
      <w:tr w:rsidR="00A22680" w:rsidRPr="0068647A" w14:paraId="399227E2" w14:textId="77777777" w:rsidTr="002823B1">
        <w:trPr>
          <w:trHeight w:val="264"/>
        </w:trPr>
        <w:tc>
          <w:tcPr>
            <w:tcW w:w="5529" w:type="dxa"/>
            <w:shd w:val="clear" w:color="auto" w:fill="FFFFFF"/>
            <w:vAlign w:val="center"/>
          </w:tcPr>
          <w:p w14:paraId="54965FD0" w14:textId="77777777" w:rsidR="00A22680" w:rsidRDefault="00A22680" w:rsidP="00A22680">
            <w:pPr>
              <w:rPr>
                <w:b/>
                <w:bCs/>
              </w:rPr>
            </w:pPr>
            <w:r>
              <w:rPr>
                <w:b/>
                <w:bCs/>
              </w:rPr>
              <w:t>EASA (cm</w:t>
            </w:r>
            <w:r w:rsidRPr="00D14610">
              <w:rPr>
                <w:b/>
                <w:bCs/>
                <w:vertAlign w:val="superscript"/>
              </w:rPr>
              <w:t>2</w:t>
            </w:r>
            <w:r>
              <w:rPr>
                <w:b/>
                <w:bCs/>
              </w:rPr>
              <w:t>)</w:t>
            </w:r>
          </w:p>
          <w:p w14:paraId="27E6858E" w14:textId="77777777" w:rsidR="00A22680" w:rsidRDefault="00A22680" w:rsidP="00A22680">
            <w:pPr>
              <w:rPr>
                <w:b/>
                <w:bCs/>
              </w:rPr>
            </w:pPr>
          </w:p>
          <w:p w14:paraId="1F6FD45D" w14:textId="04BFFE95" w:rsidR="00A22680" w:rsidRPr="00062D8C" w:rsidRDefault="00A22680" w:rsidP="006B61EE">
            <w:pPr>
              <w:pStyle w:val="CETBodytext"/>
              <w:rPr>
                <w:b/>
                <w:bCs/>
                <w:lang w:val="en-GB"/>
              </w:rPr>
            </w:pPr>
          </w:p>
        </w:tc>
        <w:tc>
          <w:tcPr>
            <w:tcW w:w="3244" w:type="dxa"/>
            <w:shd w:val="clear" w:color="auto" w:fill="FFFFFF"/>
            <w:vAlign w:val="center"/>
          </w:tcPr>
          <w:p w14:paraId="2032BD4B" w14:textId="60EB23C4" w:rsidR="00A22680" w:rsidRPr="0068647A" w:rsidRDefault="00A22680" w:rsidP="006B61EE">
            <w:pPr>
              <w:pStyle w:val="CETBodytext"/>
              <w:jc w:val="center"/>
              <w:rPr>
                <w:lang w:val="en-GB"/>
              </w:rPr>
            </w:pPr>
            <m:oMathPara>
              <m:oMath>
                <m:r>
                  <w:rPr>
                    <w:rFonts w:ascii="Cambria Math" w:hAnsi="Cambria Math"/>
                  </w:rPr>
                  <m:t>EASA=</m:t>
                </m:r>
                <m:f>
                  <m:fPr>
                    <m:ctrlPr>
                      <w:rPr>
                        <w:rFonts w:ascii="Cambria Math" w:hAnsi="Cambria Math"/>
                        <w:i/>
                      </w:rPr>
                    </m:ctrlPr>
                  </m:fPr>
                  <m:num>
                    <m:sSub>
                      <m:sSubPr>
                        <m:ctrlPr>
                          <w:rPr>
                            <w:rFonts w:ascii="Cambria Math" w:hAnsi="Cambria Math"/>
                            <w:i/>
                          </w:rPr>
                        </m:ctrlPr>
                      </m:sSubPr>
                      <m:e>
                        <m:r>
                          <w:rPr>
                            <w:rFonts w:ascii="Cambria Math" w:hAnsi="Cambria Math"/>
                          </w:rPr>
                          <m:t>Area</m:t>
                        </m:r>
                      </m:e>
                      <m:sub>
                        <m:r>
                          <w:rPr>
                            <w:rFonts w:ascii="Cambria Math" w:hAnsi="Cambria Math"/>
                          </w:rPr>
                          <m:t>CV</m:t>
                        </m:r>
                      </m:sub>
                    </m:sSub>
                  </m:num>
                  <m:den>
                    <m:f>
                      <m:fPr>
                        <m:ctrlPr>
                          <w:rPr>
                            <w:rFonts w:ascii="Cambria Math" w:hAnsi="Cambria Math"/>
                            <w:i/>
                          </w:rPr>
                        </m:ctrlPr>
                      </m:fPr>
                      <m:num>
                        <m:r>
                          <w:rPr>
                            <w:rFonts w:ascii="Cambria Math" w:hAnsi="Cambria Math"/>
                          </w:rPr>
                          <m:t>2ΔV*</m:t>
                        </m:r>
                        <m:sSub>
                          <m:sSubPr>
                            <m:ctrlPr>
                              <w:rPr>
                                <w:rFonts w:ascii="Cambria Math" w:hAnsi="Cambria Math"/>
                                <w:i/>
                              </w:rPr>
                            </m:ctrlPr>
                          </m:sSubPr>
                          <m:e>
                            <m:r>
                              <w:rPr>
                                <w:rFonts w:ascii="Cambria Math" w:hAnsi="Cambria Math"/>
                              </w:rPr>
                              <m:t>C</m:t>
                            </m:r>
                          </m:e>
                          <m:sub>
                            <m:r>
                              <w:rPr>
                                <w:rFonts w:ascii="Cambria Math" w:hAnsi="Cambria Math"/>
                              </w:rPr>
                              <m:t>sp</m:t>
                            </m:r>
                          </m:sub>
                        </m:sSub>
                      </m:num>
                      <m:den>
                        <m:sSub>
                          <m:sSubPr>
                            <m:ctrlPr>
                              <w:rPr>
                                <w:rFonts w:ascii="Cambria Math" w:hAnsi="Cambria Math"/>
                                <w:i/>
                              </w:rPr>
                            </m:ctrlPr>
                          </m:sSubPr>
                          <m:e>
                            <m:r>
                              <w:rPr>
                                <w:rFonts w:ascii="Cambria Math" w:hAnsi="Cambria Math"/>
                              </w:rPr>
                              <m:t>r</m:t>
                            </m:r>
                          </m:e>
                          <m:sub>
                            <m:r>
                              <w:rPr>
                                <w:rFonts w:ascii="Cambria Math" w:hAnsi="Cambria Math"/>
                              </w:rPr>
                              <m:t>scan</m:t>
                            </m:r>
                          </m:sub>
                        </m:sSub>
                      </m:den>
                    </m:f>
                  </m:den>
                </m:f>
              </m:oMath>
            </m:oMathPara>
          </w:p>
        </w:tc>
      </w:tr>
      <w:tr w:rsidR="00A22680" w:rsidRPr="0068647A" w14:paraId="5FEEB61F" w14:textId="77777777" w:rsidTr="002823B1">
        <w:trPr>
          <w:trHeight w:val="281"/>
        </w:trPr>
        <w:tc>
          <w:tcPr>
            <w:tcW w:w="5529" w:type="dxa"/>
            <w:shd w:val="clear" w:color="auto" w:fill="FFFFFF"/>
            <w:vAlign w:val="center"/>
          </w:tcPr>
          <w:p w14:paraId="653E3A82" w14:textId="77777777" w:rsidR="00A22680" w:rsidRDefault="00A22680" w:rsidP="00A22680">
            <w:pPr>
              <w:rPr>
                <w:b/>
                <w:bCs/>
              </w:rPr>
            </w:pPr>
            <w:r>
              <w:rPr>
                <w:b/>
                <w:bCs/>
              </w:rPr>
              <w:t>Current density (A/m</w:t>
            </w:r>
            <w:r w:rsidRPr="006463F4">
              <w:rPr>
                <w:b/>
                <w:bCs/>
                <w:vertAlign w:val="superscript"/>
              </w:rPr>
              <w:t>2</w:t>
            </w:r>
            <w:r>
              <w:rPr>
                <w:b/>
                <w:bCs/>
              </w:rPr>
              <w:t>)</w:t>
            </w:r>
          </w:p>
          <w:p w14:paraId="1F576831" w14:textId="77777777" w:rsidR="00A22680" w:rsidRPr="00DC317A" w:rsidRDefault="00A22680" w:rsidP="00A22680">
            <w:pPr>
              <w:pStyle w:val="Paragrafoelenco"/>
              <w:numPr>
                <w:ilvl w:val="0"/>
                <w:numId w:val="26"/>
              </w:numPr>
              <w:rPr>
                <w:b/>
                <w:bCs/>
                <w:lang w:val="en-GB"/>
              </w:rPr>
            </w:pPr>
            <w:proofErr w:type="spellStart"/>
            <w:r w:rsidRPr="00232D1B">
              <w:rPr>
                <w:b/>
                <w:bCs/>
                <w:lang w:val="en-GB"/>
              </w:rPr>
              <w:t>i</w:t>
            </w:r>
            <w:r w:rsidRPr="00232D1B">
              <w:rPr>
                <w:b/>
                <w:bCs/>
                <w:vertAlign w:val="subscript"/>
                <w:lang w:val="en-GB"/>
              </w:rPr>
              <w:t>peak</w:t>
            </w:r>
            <w:proofErr w:type="spellEnd"/>
            <w:r>
              <w:rPr>
                <w:b/>
                <w:bCs/>
                <w:lang w:val="en-GB"/>
              </w:rPr>
              <w:t>(</w:t>
            </w:r>
            <w:r>
              <w:rPr>
                <w:rFonts w:cstheme="minorHAnsi"/>
                <w:b/>
                <w:bCs/>
                <w:lang w:val="en-GB"/>
              </w:rPr>
              <w:t>µ</w:t>
            </w:r>
            <w:r>
              <w:rPr>
                <w:b/>
                <w:bCs/>
                <w:lang w:val="en-GB"/>
              </w:rPr>
              <w:t>A)</w:t>
            </w:r>
            <w:r w:rsidRPr="00232D1B">
              <w:rPr>
                <w:b/>
                <w:bCs/>
                <w:lang w:val="en-GB"/>
              </w:rPr>
              <w:t xml:space="preserve">: </w:t>
            </w:r>
            <w:r w:rsidRPr="00232D1B">
              <w:rPr>
                <w:lang w:val="en-GB"/>
              </w:rPr>
              <w:t>Maximum of electric c</w:t>
            </w:r>
            <w:r>
              <w:rPr>
                <w:lang w:val="en-GB"/>
              </w:rPr>
              <w:t>urrent generated by the anode.</w:t>
            </w:r>
          </w:p>
          <w:p w14:paraId="0AF3D9CA" w14:textId="77777777" w:rsidR="00B419AE" w:rsidRPr="00B419AE" w:rsidRDefault="00A22680" w:rsidP="00B419AE">
            <w:pPr>
              <w:pStyle w:val="Paragrafoelenco"/>
              <w:numPr>
                <w:ilvl w:val="0"/>
                <w:numId w:val="26"/>
              </w:numPr>
              <w:rPr>
                <w:b/>
                <w:bCs/>
                <w:lang w:val="en-GB"/>
              </w:rPr>
            </w:pPr>
            <w:r>
              <w:rPr>
                <w:b/>
                <w:bCs/>
                <w:lang w:val="en-GB"/>
              </w:rPr>
              <w:t>10000 (cm</w:t>
            </w:r>
            <w:r w:rsidRPr="000334D2">
              <w:rPr>
                <w:b/>
                <w:bCs/>
                <w:vertAlign w:val="superscript"/>
                <w:lang w:val="en-GB"/>
              </w:rPr>
              <w:t>2</w:t>
            </w:r>
            <w:r>
              <w:rPr>
                <w:b/>
                <w:bCs/>
                <w:lang w:val="en-GB"/>
              </w:rPr>
              <w:t>/m</w:t>
            </w:r>
            <w:r w:rsidRPr="000334D2">
              <w:rPr>
                <w:b/>
                <w:bCs/>
                <w:vertAlign w:val="superscript"/>
                <w:lang w:val="en-GB"/>
              </w:rPr>
              <w:t>2</w:t>
            </w:r>
            <w:r>
              <w:rPr>
                <w:b/>
                <w:bCs/>
                <w:lang w:val="en-GB"/>
              </w:rPr>
              <w:t xml:space="preserve">): </w:t>
            </w:r>
            <w:r>
              <w:rPr>
                <w:lang w:val="en-GB"/>
              </w:rPr>
              <w:t>Conversion factor cm</w:t>
            </w:r>
            <w:r w:rsidRPr="004A584E">
              <w:rPr>
                <w:vertAlign w:val="superscript"/>
                <w:lang w:val="en-GB"/>
              </w:rPr>
              <w:t>2</w:t>
            </w:r>
            <w:r>
              <w:rPr>
                <w:lang w:val="en-GB"/>
              </w:rPr>
              <w:t xml:space="preserve"> </w:t>
            </w:r>
            <w:r w:rsidRPr="004A584E">
              <w:rPr>
                <w:lang w:val="en-GB"/>
              </w:rPr>
              <w:sym w:font="Wingdings" w:char="F0E0"/>
            </w:r>
            <w:r>
              <w:rPr>
                <w:lang w:val="en-GB"/>
              </w:rPr>
              <w:t xml:space="preserve"> m</w:t>
            </w:r>
            <w:r w:rsidRPr="004A584E">
              <w:rPr>
                <w:vertAlign w:val="superscript"/>
                <w:lang w:val="en-GB"/>
              </w:rPr>
              <w:t>2</w:t>
            </w:r>
          </w:p>
          <w:p w14:paraId="3710D887" w14:textId="4281DC79" w:rsidR="00A22680" w:rsidRPr="00B419AE" w:rsidRDefault="00A22680" w:rsidP="00B419AE">
            <w:pPr>
              <w:pStyle w:val="Paragrafoelenco"/>
              <w:numPr>
                <w:ilvl w:val="0"/>
                <w:numId w:val="26"/>
              </w:numPr>
              <w:rPr>
                <w:b/>
                <w:bCs/>
                <w:lang w:val="en-GB"/>
              </w:rPr>
            </w:pPr>
            <w:r w:rsidRPr="00B419AE">
              <w:rPr>
                <w:b/>
                <w:bCs/>
                <w:lang w:val="en-GB"/>
              </w:rPr>
              <w:t>1000000 (</w:t>
            </w:r>
            <w:r w:rsidRPr="00B419AE">
              <w:rPr>
                <w:rFonts w:cstheme="minorHAnsi"/>
                <w:b/>
                <w:bCs/>
                <w:lang w:val="en-GB"/>
              </w:rPr>
              <w:t>µ</w:t>
            </w:r>
            <w:r w:rsidRPr="00B419AE">
              <w:rPr>
                <w:b/>
                <w:bCs/>
                <w:lang w:val="en-GB"/>
              </w:rPr>
              <w:t>A/A):</w:t>
            </w:r>
            <w:r w:rsidRPr="00B419AE">
              <w:rPr>
                <w:lang w:val="en-GB"/>
              </w:rPr>
              <w:t xml:space="preserve"> Conversion factor </w:t>
            </w:r>
            <w:r w:rsidRPr="00B419AE">
              <w:rPr>
                <w:rFonts w:cstheme="minorHAnsi"/>
                <w:lang w:val="en-GB"/>
              </w:rPr>
              <w:t>µ</w:t>
            </w:r>
            <w:r w:rsidRPr="00B419AE">
              <w:rPr>
                <w:lang w:val="en-GB"/>
              </w:rPr>
              <w:t xml:space="preserve">A </w:t>
            </w:r>
            <w:r w:rsidRPr="004A584E">
              <w:sym w:font="Wingdings" w:char="F0E0"/>
            </w:r>
            <w:r w:rsidRPr="00B419AE">
              <w:rPr>
                <w:lang w:val="en-GB"/>
              </w:rPr>
              <w:t xml:space="preserve"> A</w:t>
            </w:r>
          </w:p>
        </w:tc>
        <w:tc>
          <w:tcPr>
            <w:tcW w:w="3244" w:type="dxa"/>
            <w:shd w:val="clear" w:color="auto" w:fill="FFFFFF"/>
            <w:vAlign w:val="center"/>
          </w:tcPr>
          <w:p w14:paraId="1C4F7B34" w14:textId="536EA916" w:rsidR="00A22680" w:rsidRPr="0068647A" w:rsidRDefault="00A22680" w:rsidP="006B61EE">
            <w:pPr>
              <w:pStyle w:val="CETBodytext"/>
              <w:ind w:right="-1"/>
              <w:jc w:val="center"/>
              <w:rPr>
                <w:rFonts w:cs="Arial"/>
                <w:szCs w:val="18"/>
                <w:lang w:val="en-GB"/>
              </w:rPr>
            </w:pPr>
            <m:oMathPara>
              <m:oMath>
                <m:r>
                  <w:rPr>
                    <w:rFonts w:ascii="Cambria Math" w:hAnsi="Cambria Math"/>
                  </w:rPr>
                  <m:t>i=</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peak</m:t>
                        </m:r>
                      </m:sub>
                    </m:sSub>
                    <m:r>
                      <w:rPr>
                        <w:rFonts w:ascii="Cambria Math" w:hAnsi="Cambria Math"/>
                      </w:rPr>
                      <m:t>*10000</m:t>
                    </m:r>
                  </m:num>
                  <m:den>
                    <m:r>
                      <w:rPr>
                        <w:rFonts w:ascii="Cambria Math" w:hAnsi="Cambria Math"/>
                      </w:rPr>
                      <m:t>EASA*1000000</m:t>
                    </m:r>
                  </m:den>
                </m:f>
              </m:oMath>
            </m:oMathPara>
          </w:p>
        </w:tc>
      </w:tr>
    </w:tbl>
    <w:p w14:paraId="148C3A48" w14:textId="77777777" w:rsidR="00F822C9" w:rsidRPr="0068647A" w:rsidRDefault="00F822C9" w:rsidP="00600535">
      <w:pPr>
        <w:pStyle w:val="CETHeading1"/>
        <w:rPr>
          <w:lang w:val="en-GB"/>
        </w:rPr>
      </w:pPr>
      <w:r w:rsidRPr="0068647A">
        <w:rPr>
          <w:lang w:val="en-GB"/>
        </w:rPr>
        <w:lastRenderedPageBreak/>
        <w:t xml:space="preserve">Results and discussion </w:t>
      </w:r>
    </w:p>
    <w:p w14:paraId="62A48E6E" w14:textId="074659F7" w:rsidR="00F822C9" w:rsidRPr="0068647A" w:rsidRDefault="005F74F5" w:rsidP="008E72F6">
      <w:pPr>
        <w:pStyle w:val="CETheadingx"/>
        <w:rPr>
          <w:lang w:val="en-GB"/>
        </w:rPr>
      </w:pPr>
      <w:r>
        <w:rPr>
          <w:lang w:val="en-GB"/>
        </w:rPr>
        <w:t>C</w:t>
      </w:r>
      <w:r w:rsidR="00C97FBA">
        <w:rPr>
          <w:lang w:val="en-GB"/>
        </w:rPr>
        <w:t xml:space="preserve">alculation of the EASAs </w:t>
      </w:r>
      <w:r w:rsidR="00F822C9" w:rsidRPr="0068647A">
        <w:rPr>
          <w:lang w:val="en-GB"/>
        </w:rPr>
        <w:t>through Cyclic Voltammetry technique</w:t>
      </w:r>
    </w:p>
    <w:p w14:paraId="5DF90D97" w14:textId="6731E1B7" w:rsidR="00F822C9" w:rsidRDefault="00D1563A" w:rsidP="00D35084">
      <w:pPr>
        <w:pStyle w:val="CETBodytext"/>
        <w:ind w:left="142"/>
        <w:rPr>
          <w:rFonts w:cs="Arial"/>
          <w:lang w:val="en-GB"/>
        </w:rPr>
      </w:pPr>
      <w:r>
        <w:rPr>
          <w:lang w:val="en-GB"/>
        </w:rPr>
        <w:t>T</w:t>
      </w:r>
      <w:r w:rsidRPr="0068647A">
        <w:rPr>
          <w:lang w:val="en-GB"/>
        </w:rPr>
        <w:t>he CV technique</w:t>
      </w:r>
      <w:r>
        <w:rPr>
          <w:lang w:val="en-GB"/>
        </w:rPr>
        <w:t xml:space="preserve"> allows</w:t>
      </w:r>
      <w:r w:rsidR="002D5F13">
        <w:rPr>
          <w:lang w:val="en-GB"/>
        </w:rPr>
        <w:t xml:space="preserve"> to</w:t>
      </w:r>
      <w:r w:rsidR="00F822C9" w:rsidRPr="0068647A">
        <w:rPr>
          <w:lang w:val="en-GB"/>
        </w:rPr>
        <w:t xml:space="preserve"> c</w:t>
      </w:r>
      <w:r w:rsidR="000025E3">
        <w:rPr>
          <w:lang w:val="en-GB"/>
        </w:rPr>
        <w:t>alculat</w:t>
      </w:r>
      <w:r w:rsidR="002D5F13">
        <w:rPr>
          <w:lang w:val="en-GB"/>
        </w:rPr>
        <w:t>e</w:t>
      </w:r>
      <w:r w:rsidR="00F822C9" w:rsidRPr="0068647A">
        <w:rPr>
          <w:lang w:val="en-GB"/>
        </w:rPr>
        <w:t xml:space="preserve"> the </w:t>
      </w:r>
      <w:r w:rsidR="002D5F13">
        <w:rPr>
          <w:lang w:val="en-GB"/>
        </w:rPr>
        <w:t>electroactive surface area</w:t>
      </w:r>
      <w:r w:rsidR="00F822C9" w:rsidRPr="0068647A">
        <w:rPr>
          <w:lang w:val="en-GB"/>
        </w:rPr>
        <w:t xml:space="preserve"> </w:t>
      </w:r>
      <w:r>
        <w:rPr>
          <w:lang w:val="en-GB"/>
        </w:rPr>
        <w:t>of the electrodes</w:t>
      </w:r>
      <w:r w:rsidR="00460A99">
        <w:rPr>
          <w:lang w:val="en-GB"/>
        </w:rPr>
        <w:t>.</w:t>
      </w:r>
      <w:r>
        <w:rPr>
          <w:lang w:val="en-GB"/>
        </w:rPr>
        <w:t xml:space="preserve"> Hence,</w:t>
      </w:r>
      <w:r w:rsidR="00460A99">
        <w:rPr>
          <w:lang w:val="en-GB"/>
        </w:rPr>
        <w:t xml:space="preserve"> </w:t>
      </w:r>
      <w:r>
        <w:rPr>
          <w:lang w:val="en-GB"/>
        </w:rPr>
        <w:t>t</w:t>
      </w:r>
      <w:r w:rsidR="00460A99">
        <w:rPr>
          <w:lang w:val="en-GB"/>
        </w:rPr>
        <w:t>he first</w:t>
      </w:r>
      <w:r w:rsidR="00E1579F">
        <w:rPr>
          <w:lang w:val="en-GB"/>
        </w:rPr>
        <w:t xml:space="preserve"> set of CVs</w:t>
      </w:r>
      <w:r w:rsidR="00F822C9" w:rsidRPr="0068647A">
        <w:rPr>
          <w:lang w:val="en-GB"/>
        </w:rPr>
        <w:t xml:space="preserve"> has been performed </w:t>
      </w:r>
      <w:r w:rsidR="003F1D01">
        <w:rPr>
          <w:lang w:val="en-GB"/>
        </w:rPr>
        <w:t xml:space="preserve">using </w:t>
      </w:r>
      <w:r w:rsidR="00ED465D">
        <w:rPr>
          <w:lang w:val="en-GB"/>
        </w:rPr>
        <w:t>two</w:t>
      </w:r>
      <w:r w:rsidR="0069006D">
        <w:rPr>
          <w:lang w:val="en-GB"/>
        </w:rPr>
        <w:t xml:space="preserve"> </w:t>
      </w:r>
      <w:r w:rsidR="00ED465D">
        <w:rPr>
          <w:lang w:val="en-GB"/>
        </w:rPr>
        <w:t xml:space="preserve">systems </w:t>
      </w:r>
      <w:r w:rsidR="0017681E">
        <w:rPr>
          <w:lang w:val="en-GB"/>
        </w:rPr>
        <w:t>assembled with</w:t>
      </w:r>
      <w:r w:rsidR="00ED465D">
        <w:rPr>
          <w:lang w:val="en-GB"/>
        </w:rPr>
        <w:t xml:space="preserve"> </w:t>
      </w:r>
      <w:r w:rsidR="0069006D">
        <w:rPr>
          <w:lang w:val="en-GB"/>
        </w:rPr>
        <w:t>anode</w:t>
      </w:r>
      <w:r w:rsidR="00ED465D">
        <w:rPr>
          <w:lang w:val="en-GB"/>
        </w:rPr>
        <w:t>s</w:t>
      </w:r>
      <w:r w:rsidR="0069006D">
        <w:rPr>
          <w:lang w:val="en-GB"/>
        </w:rPr>
        <w:t xml:space="preserve"> with a known surface area</w:t>
      </w:r>
      <w:r w:rsidR="002E293A">
        <w:rPr>
          <w:lang w:val="en-GB"/>
        </w:rPr>
        <w:t xml:space="preserve"> (3 and 9.5 cm</w:t>
      </w:r>
      <w:r w:rsidR="002E293A">
        <w:rPr>
          <w:vertAlign w:val="superscript"/>
          <w:lang w:val="en-GB"/>
        </w:rPr>
        <w:t>2</w:t>
      </w:r>
      <w:r w:rsidR="002E293A">
        <w:rPr>
          <w:lang w:val="en-GB"/>
        </w:rPr>
        <w:t>)</w:t>
      </w:r>
      <w:r w:rsidR="000836C5">
        <w:rPr>
          <w:lang w:val="en-GB"/>
        </w:rPr>
        <w:t xml:space="preserve">. </w:t>
      </w:r>
      <w:r w:rsidR="00934CDB">
        <w:rPr>
          <w:lang w:val="en-GB"/>
        </w:rPr>
        <w:t xml:space="preserve">The linearisation of the </w:t>
      </w:r>
      <w:r w:rsidR="005B07B9">
        <w:rPr>
          <w:lang w:val="en-GB"/>
        </w:rPr>
        <w:t xml:space="preserve">CVs’ area </w:t>
      </w:r>
      <w:r w:rsidR="005B07B9" w:rsidRPr="00225694">
        <w:rPr>
          <w:i/>
          <w:iCs/>
          <w:lang w:val="en-GB"/>
        </w:rPr>
        <w:t>vs</w:t>
      </w:r>
      <w:r w:rsidR="005B07B9">
        <w:rPr>
          <w:lang w:val="en-GB"/>
        </w:rPr>
        <w:t xml:space="preserve"> the scan rate gave as </w:t>
      </w:r>
      <w:r>
        <w:rPr>
          <w:lang w:val="en-GB"/>
        </w:rPr>
        <w:t xml:space="preserve">a </w:t>
      </w:r>
      <w:r w:rsidR="005B07B9">
        <w:rPr>
          <w:lang w:val="en-GB"/>
        </w:rPr>
        <w:t>result</w:t>
      </w:r>
      <w:r w:rsidR="0078747C">
        <w:rPr>
          <w:lang w:val="en-GB"/>
        </w:rPr>
        <w:t xml:space="preserve"> </w:t>
      </w:r>
      <w:r>
        <w:rPr>
          <w:lang w:val="en-GB"/>
        </w:rPr>
        <w:t xml:space="preserve">a </w:t>
      </w:r>
      <w:r w:rsidR="0078747C">
        <w:rPr>
          <w:lang w:val="en-GB"/>
        </w:rPr>
        <w:t>specific capacitance of</w:t>
      </w:r>
      <w:r w:rsidR="005B07B9">
        <w:rPr>
          <w:lang w:val="en-GB"/>
        </w:rPr>
        <w:t xml:space="preserve"> </w:t>
      </w:r>
      <w:r w:rsidR="00352DCA">
        <w:rPr>
          <w:lang w:val="en-GB"/>
        </w:rPr>
        <w:t>20</w:t>
      </w:r>
      <w:r w:rsidR="00941D6B">
        <w:rPr>
          <w:lang w:val="en-GB"/>
        </w:rPr>
        <w:t xml:space="preserve">2 </w:t>
      </w:r>
      <w:r w:rsidR="006B3935">
        <w:rPr>
          <w:rFonts w:cs="Arial"/>
          <w:lang w:val="en-GB"/>
        </w:rPr>
        <w:t>±</w:t>
      </w:r>
      <w:r w:rsidR="0078747C">
        <w:rPr>
          <w:lang w:val="en-GB"/>
        </w:rPr>
        <w:t xml:space="preserve"> 12 </w:t>
      </w:r>
      <w:r w:rsidR="00941D6B">
        <w:rPr>
          <w:rFonts w:cs="Arial"/>
          <w:lang w:val="en-GB"/>
        </w:rPr>
        <w:t>µF</w:t>
      </w:r>
      <w:r w:rsidR="006B3935">
        <w:rPr>
          <w:rFonts w:cs="Arial"/>
          <w:lang w:val="en-GB"/>
        </w:rPr>
        <w:t>/cm</w:t>
      </w:r>
      <w:r w:rsidR="006B3935">
        <w:rPr>
          <w:rFonts w:cs="Arial"/>
          <w:vertAlign w:val="superscript"/>
          <w:lang w:val="en-GB"/>
        </w:rPr>
        <w:t>2</w:t>
      </w:r>
      <w:r w:rsidR="00941D6B">
        <w:rPr>
          <w:rFonts w:cs="Arial"/>
          <w:lang w:val="en-GB"/>
        </w:rPr>
        <w:t xml:space="preserve"> (or µC/V</w:t>
      </w:r>
      <w:r w:rsidR="006B3935">
        <w:rPr>
          <w:rFonts w:cs="Arial"/>
          <w:lang w:val="en-GB"/>
        </w:rPr>
        <w:t>cm</w:t>
      </w:r>
      <w:r w:rsidR="006B3935">
        <w:rPr>
          <w:rFonts w:cs="Arial"/>
          <w:vertAlign w:val="superscript"/>
          <w:lang w:val="en-GB"/>
        </w:rPr>
        <w:t>2</w:t>
      </w:r>
      <w:r w:rsidR="00941D6B">
        <w:rPr>
          <w:rFonts w:cs="Arial"/>
          <w:lang w:val="en-GB"/>
        </w:rPr>
        <w:t>)</w:t>
      </w:r>
      <w:r w:rsidR="004712F3">
        <w:rPr>
          <w:rFonts w:cs="Arial"/>
          <w:lang w:val="en-GB"/>
        </w:rPr>
        <w:t xml:space="preserve">. </w:t>
      </w:r>
      <w:r w:rsidR="00224BDC">
        <w:rPr>
          <w:rFonts w:cs="Arial"/>
          <w:lang w:val="en-GB"/>
        </w:rPr>
        <w:t xml:space="preserve">Subsequently, </w:t>
      </w:r>
      <w:r w:rsidR="00772433">
        <w:rPr>
          <w:rFonts w:cs="Arial"/>
          <w:lang w:val="en-GB"/>
        </w:rPr>
        <w:t>CVs were performed with granules with an unknown surface</w:t>
      </w:r>
      <w:r>
        <w:rPr>
          <w:rFonts w:cs="Arial"/>
          <w:lang w:val="en-GB"/>
        </w:rPr>
        <w:t>, applying t</w:t>
      </w:r>
      <w:r w:rsidR="007C5FB4">
        <w:rPr>
          <w:rFonts w:cs="Arial"/>
          <w:lang w:val="en-GB"/>
        </w:rPr>
        <w:t>he</w:t>
      </w:r>
      <w:r>
        <w:rPr>
          <w:rFonts w:cs="Arial"/>
          <w:lang w:val="en-GB"/>
        </w:rPr>
        <w:t xml:space="preserve"> same experimental</w:t>
      </w:r>
      <w:r w:rsidR="007C5FB4">
        <w:rPr>
          <w:rFonts w:cs="Arial"/>
          <w:lang w:val="en-GB"/>
        </w:rPr>
        <w:t xml:space="preserve"> settings (i.e., scan rates, </w:t>
      </w:r>
      <w:r w:rsidR="00E53E86">
        <w:rPr>
          <w:rFonts w:cs="Arial"/>
          <w:lang w:val="en-GB"/>
        </w:rPr>
        <w:t>mineral medium, distance between electrodes, counter electrode, reference electrode)</w:t>
      </w:r>
      <w:r w:rsidR="008300BD">
        <w:rPr>
          <w:rFonts w:cs="Arial"/>
          <w:lang w:val="en-GB"/>
        </w:rPr>
        <w:t>.</w:t>
      </w:r>
      <w:r w:rsidR="00357726">
        <w:rPr>
          <w:rFonts w:cs="Arial"/>
          <w:lang w:val="en-GB"/>
        </w:rPr>
        <w:t xml:space="preserve"> </w:t>
      </w:r>
      <w:r w:rsidR="00C86801">
        <w:rPr>
          <w:lang w:val="en-GB"/>
        </w:rPr>
        <w:t>The</w:t>
      </w:r>
      <w:r w:rsidR="00435576">
        <w:rPr>
          <w:lang w:val="en-GB"/>
        </w:rPr>
        <w:t xml:space="preserve"> four systems capacitances</w:t>
      </w:r>
      <w:r w:rsidR="00D87D9E">
        <w:rPr>
          <w:lang w:val="en-GB"/>
        </w:rPr>
        <w:t xml:space="preserve"> calculated after measuring the CVs’ areas</w:t>
      </w:r>
      <w:r w:rsidR="00E8620E">
        <w:rPr>
          <w:lang w:val="en-GB"/>
        </w:rPr>
        <w:t>,</w:t>
      </w:r>
      <w:r w:rsidR="00D87D9E">
        <w:rPr>
          <w:lang w:val="en-GB"/>
        </w:rPr>
        <w:t xml:space="preserve"> </w:t>
      </w:r>
      <w:r w:rsidR="00ED151B">
        <w:rPr>
          <w:lang w:val="en-GB"/>
        </w:rPr>
        <w:t xml:space="preserve">carried out at the 9 scan rates, </w:t>
      </w:r>
      <w:r w:rsidR="00E8620E">
        <w:rPr>
          <w:lang w:val="en-GB"/>
        </w:rPr>
        <w:t xml:space="preserve">resulted </w:t>
      </w:r>
      <w:r w:rsidR="00315D72">
        <w:rPr>
          <w:lang w:val="en-GB"/>
        </w:rPr>
        <w:t xml:space="preserve">13.5, </w:t>
      </w:r>
      <w:r w:rsidR="009973BB">
        <w:rPr>
          <w:lang w:val="en-GB"/>
        </w:rPr>
        <w:t xml:space="preserve">10.5, 10.1 and </w:t>
      </w:r>
      <w:r w:rsidR="00315D72">
        <w:rPr>
          <w:lang w:val="en-GB"/>
        </w:rPr>
        <w:t>9.8</w:t>
      </w:r>
      <w:r w:rsidR="00471A03">
        <w:rPr>
          <w:lang w:val="en-GB"/>
        </w:rPr>
        <w:t xml:space="preserve"> mF</w:t>
      </w:r>
      <w:r w:rsidR="009973BB">
        <w:rPr>
          <w:lang w:val="en-GB"/>
        </w:rPr>
        <w:t xml:space="preserve"> for the </w:t>
      </w:r>
      <w:r w:rsidR="00180E0F">
        <w:rPr>
          <w:lang w:val="en-GB"/>
        </w:rPr>
        <w:t xml:space="preserve">granules </w:t>
      </w:r>
      <w:r w:rsidR="00E8620E">
        <w:rPr>
          <w:lang w:val="en-GB"/>
        </w:rPr>
        <w:t>to</w:t>
      </w:r>
      <w:r w:rsidR="000617B1">
        <w:rPr>
          <w:lang w:val="en-GB"/>
        </w:rPr>
        <w:t xml:space="preserve"> be </w:t>
      </w:r>
      <w:r w:rsidR="00180E0F">
        <w:rPr>
          <w:lang w:val="en-GB"/>
        </w:rPr>
        <w:t xml:space="preserve">used as single granule, inside the small, medium and big packed bed, respectively. </w:t>
      </w:r>
      <w:r w:rsidR="000617B1">
        <w:rPr>
          <w:lang w:val="en-GB"/>
        </w:rPr>
        <w:t xml:space="preserve">Therefore, the EASAs resulted </w:t>
      </w:r>
      <w:r w:rsidR="000162D1">
        <w:rPr>
          <w:lang w:val="en-GB"/>
        </w:rPr>
        <w:t>67, 52, 50, 49 cm</w:t>
      </w:r>
      <w:r w:rsidR="000162D1">
        <w:rPr>
          <w:vertAlign w:val="superscript"/>
          <w:lang w:val="en-GB"/>
        </w:rPr>
        <w:t>2</w:t>
      </w:r>
      <w:r w:rsidR="009346D9">
        <w:rPr>
          <w:lang w:val="en-GB"/>
        </w:rPr>
        <w:t xml:space="preserve">, respectively. </w:t>
      </w:r>
      <w:r w:rsidR="00FB7107">
        <w:rPr>
          <w:rFonts w:cs="Arial"/>
          <w:lang w:val="en-GB"/>
        </w:rPr>
        <w:t>As shown in figure</w:t>
      </w:r>
      <w:r w:rsidR="00914BAE">
        <w:rPr>
          <w:rFonts w:cs="Arial"/>
          <w:lang w:val="en-GB"/>
        </w:rPr>
        <w:t>s</w:t>
      </w:r>
      <w:r w:rsidR="00FB7107">
        <w:rPr>
          <w:rFonts w:cs="Arial"/>
          <w:lang w:val="en-GB"/>
        </w:rPr>
        <w:t xml:space="preserve"> 2</w:t>
      </w:r>
      <w:r w:rsidR="00914BAE">
        <w:rPr>
          <w:rFonts w:cs="Arial"/>
          <w:lang w:val="en-GB"/>
        </w:rPr>
        <w:t xml:space="preserve"> and 3</w:t>
      </w:r>
      <w:r w:rsidR="00FB7107">
        <w:rPr>
          <w:rFonts w:cs="Arial"/>
          <w:lang w:val="en-GB"/>
        </w:rPr>
        <w:t>, the bigger the C</w:t>
      </w:r>
      <w:r w:rsidR="00E8620E">
        <w:rPr>
          <w:rFonts w:cs="Arial"/>
          <w:lang w:val="en-GB"/>
        </w:rPr>
        <w:t>V’s</w:t>
      </w:r>
      <w:r w:rsidR="00FB7107">
        <w:rPr>
          <w:rFonts w:cs="Arial"/>
          <w:lang w:val="en-GB"/>
        </w:rPr>
        <w:t xml:space="preserve"> area, </w:t>
      </w:r>
      <w:r w:rsidR="00E8620E">
        <w:rPr>
          <w:rFonts w:cs="Arial"/>
          <w:lang w:val="en-GB"/>
        </w:rPr>
        <w:t xml:space="preserve">the </w:t>
      </w:r>
      <w:r w:rsidR="00FB7107">
        <w:rPr>
          <w:rFonts w:cs="Arial"/>
          <w:lang w:val="en-GB"/>
        </w:rPr>
        <w:t xml:space="preserve">higher the capacitance of the system will </w:t>
      </w:r>
      <w:r w:rsidR="00700426">
        <w:rPr>
          <w:rFonts w:cs="Arial"/>
          <w:lang w:val="en-GB"/>
        </w:rPr>
        <w:t>result</w:t>
      </w:r>
      <w:r w:rsidR="00FB7107">
        <w:rPr>
          <w:rFonts w:cs="Arial"/>
          <w:lang w:val="en-GB"/>
        </w:rPr>
        <w:t>.</w:t>
      </w:r>
    </w:p>
    <w:p w14:paraId="3B252309" w14:textId="77777777" w:rsidR="007A0D29" w:rsidRDefault="007A0D29" w:rsidP="00D35084">
      <w:pPr>
        <w:pStyle w:val="CETBodytext"/>
        <w:ind w:left="142"/>
        <w:rPr>
          <w:lang w:val="en-GB"/>
        </w:rPr>
      </w:pPr>
    </w:p>
    <w:p w14:paraId="257C18B1" w14:textId="77777777" w:rsidR="00B17D54" w:rsidRDefault="00B17D54" w:rsidP="00D35084">
      <w:pPr>
        <w:pStyle w:val="CETBodytext"/>
        <w:ind w:left="142"/>
        <w:rPr>
          <w:lang w:val="en-GB"/>
        </w:rPr>
      </w:pPr>
    </w:p>
    <w:p w14:paraId="0E55DA80" w14:textId="4AFCE589" w:rsidR="00B17D54" w:rsidRPr="0068647A" w:rsidRDefault="00B17D54" w:rsidP="00353EFE">
      <w:pPr>
        <w:pStyle w:val="Didascalia"/>
        <w:keepNext/>
        <w:jc w:val="left"/>
        <w:rPr>
          <w:b w:val="0"/>
          <w:bCs w:val="0"/>
          <w:i/>
          <w:color w:val="auto"/>
          <w:szCs w:val="20"/>
        </w:rPr>
      </w:pPr>
      <w:r w:rsidRPr="0068647A">
        <w:rPr>
          <w:b w:val="0"/>
          <w:bCs w:val="0"/>
          <w:i/>
          <w:color w:val="auto"/>
          <w:szCs w:val="20"/>
        </w:rPr>
        <w:t xml:space="preserve">Table </w:t>
      </w:r>
      <w:r w:rsidRPr="0068647A">
        <w:rPr>
          <w:b w:val="0"/>
          <w:bCs w:val="0"/>
          <w:i/>
          <w:color w:val="auto"/>
          <w:szCs w:val="20"/>
        </w:rPr>
        <w:fldChar w:fldCharType="begin"/>
      </w:r>
      <w:r w:rsidRPr="0068647A">
        <w:rPr>
          <w:b w:val="0"/>
          <w:bCs w:val="0"/>
          <w:i/>
          <w:color w:val="auto"/>
          <w:szCs w:val="20"/>
        </w:rPr>
        <w:instrText xml:space="preserve"> SEQ Table \* ARABIC </w:instrText>
      </w:r>
      <w:r w:rsidRPr="0068647A">
        <w:rPr>
          <w:b w:val="0"/>
          <w:bCs w:val="0"/>
          <w:i/>
          <w:color w:val="auto"/>
          <w:szCs w:val="20"/>
        </w:rPr>
        <w:fldChar w:fldCharType="separate"/>
      </w:r>
      <w:r w:rsidRPr="0068647A">
        <w:rPr>
          <w:b w:val="0"/>
          <w:bCs w:val="0"/>
          <w:i/>
          <w:color w:val="auto"/>
          <w:szCs w:val="20"/>
        </w:rPr>
        <w:t>2</w:t>
      </w:r>
      <w:r w:rsidRPr="0068647A">
        <w:rPr>
          <w:b w:val="0"/>
          <w:bCs w:val="0"/>
          <w:i/>
          <w:color w:val="auto"/>
          <w:szCs w:val="20"/>
        </w:rPr>
        <w:fldChar w:fldCharType="end"/>
      </w:r>
      <w:r w:rsidRPr="0068647A">
        <w:rPr>
          <w:b w:val="0"/>
          <w:bCs w:val="0"/>
          <w:i/>
          <w:color w:val="auto"/>
          <w:szCs w:val="20"/>
        </w:rPr>
        <w:t xml:space="preserve">: </w:t>
      </w:r>
      <w:r w:rsidR="007367CF">
        <w:rPr>
          <w:b w:val="0"/>
          <w:bCs w:val="0"/>
          <w:i/>
          <w:color w:val="auto"/>
          <w:szCs w:val="20"/>
        </w:rPr>
        <w:t>Result</w:t>
      </w:r>
      <w:r w:rsidR="003E5D87">
        <w:rPr>
          <w:b w:val="0"/>
          <w:bCs w:val="0"/>
          <w:i/>
          <w:color w:val="auto"/>
          <w:szCs w:val="20"/>
        </w:rPr>
        <w:t>ing Capacitances of the four granules and their calculated EASA</w:t>
      </w:r>
      <w:r w:rsidR="00CB7A86">
        <w:rPr>
          <w:b w:val="0"/>
          <w:bCs w:val="0"/>
          <w:i/>
          <w:color w:val="auto"/>
          <w:szCs w:val="20"/>
        </w:rPr>
        <w: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4"/>
        <w:gridCol w:w="1698"/>
        <w:gridCol w:w="1701"/>
        <w:gridCol w:w="1985"/>
        <w:gridCol w:w="1699"/>
      </w:tblGrid>
      <w:tr w:rsidR="00790A7E" w:rsidRPr="0068647A" w14:paraId="0C0374F0" w14:textId="77777777" w:rsidTr="00353EFE">
        <w:tc>
          <w:tcPr>
            <w:tcW w:w="1704" w:type="dxa"/>
            <w:tcBorders>
              <w:top w:val="single" w:sz="12" w:space="0" w:color="008000"/>
              <w:bottom w:val="single" w:sz="6" w:space="0" w:color="008000"/>
            </w:tcBorders>
            <w:shd w:val="clear" w:color="auto" w:fill="FFFFFF"/>
          </w:tcPr>
          <w:p w14:paraId="0EAC14CE" w14:textId="3CFF6CF6" w:rsidR="00790A7E" w:rsidRPr="0068647A" w:rsidRDefault="00790A7E" w:rsidP="00790A7E">
            <w:pPr>
              <w:pStyle w:val="CETBodytext"/>
              <w:rPr>
                <w:lang w:val="en-GB"/>
              </w:rPr>
            </w:pPr>
          </w:p>
        </w:tc>
        <w:tc>
          <w:tcPr>
            <w:tcW w:w="1698" w:type="dxa"/>
            <w:tcBorders>
              <w:top w:val="single" w:sz="12" w:space="0" w:color="008000"/>
              <w:bottom w:val="single" w:sz="6" w:space="0" w:color="008000"/>
            </w:tcBorders>
            <w:shd w:val="clear" w:color="auto" w:fill="FFFFFF"/>
          </w:tcPr>
          <w:p w14:paraId="7AA6CE11" w14:textId="44A22048" w:rsidR="00790A7E" w:rsidRPr="00062D8C" w:rsidRDefault="00790A7E" w:rsidP="00062D8C">
            <w:pPr>
              <w:pStyle w:val="CETBodytext"/>
              <w:jc w:val="center"/>
              <w:rPr>
                <w:b/>
                <w:bCs/>
                <w:lang w:val="en-GB"/>
              </w:rPr>
            </w:pPr>
            <w:r w:rsidRPr="00062D8C">
              <w:rPr>
                <w:b/>
                <w:bCs/>
                <w:lang w:val="en-GB"/>
              </w:rPr>
              <w:t>Single granule</w:t>
            </w:r>
          </w:p>
        </w:tc>
        <w:tc>
          <w:tcPr>
            <w:tcW w:w="1701" w:type="dxa"/>
            <w:tcBorders>
              <w:top w:val="single" w:sz="12" w:space="0" w:color="008000"/>
              <w:bottom w:val="single" w:sz="6" w:space="0" w:color="008000"/>
            </w:tcBorders>
            <w:shd w:val="clear" w:color="auto" w:fill="FFFFFF"/>
          </w:tcPr>
          <w:p w14:paraId="6C3C5AF5" w14:textId="67C437E1" w:rsidR="00790A7E" w:rsidRPr="00062D8C" w:rsidRDefault="00790A7E" w:rsidP="00062D8C">
            <w:pPr>
              <w:pStyle w:val="CETBodytext"/>
              <w:jc w:val="center"/>
              <w:rPr>
                <w:b/>
                <w:bCs/>
                <w:lang w:val="en-GB"/>
              </w:rPr>
            </w:pPr>
            <w:proofErr w:type="gramStart"/>
            <w:r w:rsidRPr="00062D8C">
              <w:rPr>
                <w:b/>
                <w:bCs/>
                <w:lang w:val="en-GB"/>
              </w:rPr>
              <w:t>Small packed</w:t>
            </w:r>
            <w:proofErr w:type="gramEnd"/>
            <w:r w:rsidRPr="00062D8C">
              <w:rPr>
                <w:b/>
                <w:bCs/>
                <w:lang w:val="en-GB"/>
              </w:rPr>
              <w:t xml:space="preserve"> bed</w:t>
            </w:r>
          </w:p>
        </w:tc>
        <w:tc>
          <w:tcPr>
            <w:tcW w:w="1985" w:type="dxa"/>
            <w:tcBorders>
              <w:top w:val="single" w:sz="12" w:space="0" w:color="008000"/>
              <w:bottom w:val="single" w:sz="6" w:space="0" w:color="008000"/>
            </w:tcBorders>
            <w:shd w:val="clear" w:color="auto" w:fill="FFFFFF"/>
          </w:tcPr>
          <w:p w14:paraId="39F54126" w14:textId="6DA09BDC" w:rsidR="00790A7E" w:rsidRPr="00062D8C" w:rsidRDefault="00790A7E" w:rsidP="00062D8C">
            <w:pPr>
              <w:pStyle w:val="CETBodytext"/>
              <w:ind w:right="-1"/>
              <w:jc w:val="center"/>
              <w:rPr>
                <w:b/>
                <w:bCs/>
                <w:lang w:val="en-GB"/>
              </w:rPr>
            </w:pPr>
            <w:r w:rsidRPr="00062D8C">
              <w:rPr>
                <w:b/>
                <w:bCs/>
                <w:lang w:val="en-GB"/>
              </w:rPr>
              <w:t>Medium packed bed</w:t>
            </w:r>
          </w:p>
        </w:tc>
        <w:tc>
          <w:tcPr>
            <w:tcW w:w="1699" w:type="dxa"/>
            <w:tcBorders>
              <w:top w:val="single" w:sz="12" w:space="0" w:color="008000"/>
              <w:bottom w:val="single" w:sz="6" w:space="0" w:color="008000"/>
            </w:tcBorders>
            <w:shd w:val="clear" w:color="auto" w:fill="FFFFFF"/>
          </w:tcPr>
          <w:p w14:paraId="627A61B6" w14:textId="173492ED" w:rsidR="00790A7E" w:rsidRPr="00062D8C" w:rsidRDefault="00790A7E" w:rsidP="00062D8C">
            <w:pPr>
              <w:pStyle w:val="CETBodytext"/>
              <w:ind w:right="-1"/>
              <w:jc w:val="center"/>
              <w:rPr>
                <w:rFonts w:cs="Arial"/>
                <w:b/>
                <w:bCs/>
                <w:szCs w:val="18"/>
                <w:lang w:val="en-GB"/>
              </w:rPr>
            </w:pPr>
            <w:proofErr w:type="gramStart"/>
            <w:r w:rsidRPr="00062D8C">
              <w:rPr>
                <w:b/>
                <w:bCs/>
                <w:lang w:val="en-GB"/>
              </w:rPr>
              <w:t>Big packed</w:t>
            </w:r>
            <w:proofErr w:type="gramEnd"/>
            <w:r w:rsidRPr="00062D8C">
              <w:rPr>
                <w:b/>
                <w:bCs/>
                <w:lang w:val="en-GB"/>
              </w:rPr>
              <w:t xml:space="preserve"> bed</w:t>
            </w:r>
          </w:p>
        </w:tc>
      </w:tr>
      <w:tr w:rsidR="004937EB" w:rsidRPr="0068647A" w14:paraId="465CFBC6" w14:textId="77777777" w:rsidTr="00353EFE">
        <w:tc>
          <w:tcPr>
            <w:tcW w:w="1704" w:type="dxa"/>
            <w:shd w:val="clear" w:color="auto" w:fill="FFFFFF"/>
          </w:tcPr>
          <w:p w14:paraId="7BA9CB4A" w14:textId="696373F4" w:rsidR="004937EB" w:rsidRPr="00062D8C" w:rsidRDefault="00790A7E" w:rsidP="00FE3A0C">
            <w:pPr>
              <w:pStyle w:val="CETBodytext"/>
              <w:rPr>
                <w:b/>
                <w:bCs/>
                <w:lang w:val="en-GB"/>
              </w:rPr>
            </w:pPr>
            <w:r w:rsidRPr="00062D8C">
              <w:rPr>
                <w:b/>
                <w:bCs/>
                <w:lang w:val="en-GB"/>
              </w:rPr>
              <w:t xml:space="preserve">Capacitance </w:t>
            </w:r>
            <w:r w:rsidR="003A6B51" w:rsidRPr="00062D8C">
              <w:rPr>
                <w:b/>
                <w:bCs/>
                <w:lang w:val="en-GB"/>
              </w:rPr>
              <w:t>(mF)</w:t>
            </w:r>
          </w:p>
        </w:tc>
        <w:tc>
          <w:tcPr>
            <w:tcW w:w="1698" w:type="dxa"/>
            <w:shd w:val="clear" w:color="auto" w:fill="FFFFFF"/>
          </w:tcPr>
          <w:p w14:paraId="3BE8C740" w14:textId="51DDA8AB" w:rsidR="004937EB" w:rsidRPr="0068647A" w:rsidRDefault="007367CF" w:rsidP="007367CF">
            <w:pPr>
              <w:pStyle w:val="CETBodytext"/>
              <w:jc w:val="center"/>
              <w:rPr>
                <w:lang w:val="en-GB"/>
              </w:rPr>
            </w:pPr>
            <w:r>
              <w:rPr>
                <w:lang w:val="en-GB"/>
              </w:rPr>
              <w:t>13.5</w:t>
            </w:r>
          </w:p>
        </w:tc>
        <w:tc>
          <w:tcPr>
            <w:tcW w:w="1701" w:type="dxa"/>
            <w:shd w:val="clear" w:color="auto" w:fill="FFFFFF"/>
          </w:tcPr>
          <w:p w14:paraId="6C30B558" w14:textId="5A7312AD" w:rsidR="004937EB" w:rsidRPr="0068647A" w:rsidRDefault="007367CF" w:rsidP="007367CF">
            <w:pPr>
              <w:pStyle w:val="CETBodytext"/>
              <w:jc w:val="center"/>
              <w:rPr>
                <w:lang w:val="en-GB"/>
              </w:rPr>
            </w:pPr>
            <w:r>
              <w:rPr>
                <w:lang w:val="en-GB"/>
              </w:rPr>
              <w:t>10.5</w:t>
            </w:r>
          </w:p>
        </w:tc>
        <w:tc>
          <w:tcPr>
            <w:tcW w:w="1985" w:type="dxa"/>
            <w:shd w:val="clear" w:color="auto" w:fill="FFFFFF"/>
          </w:tcPr>
          <w:p w14:paraId="50DA3FC8" w14:textId="7E53DCE1" w:rsidR="004937EB" w:rsidRPr="0068647A" w:rsidRDefault="007367CF" w:rsidP="007367CF">
            <w:pPr>
              <w:pStyle w:val="CETBodytext"/>
              <w:ind w:right="-1"/>
              <w:jc w:val="center"/>
              <w:rPr>
                <w:rFonts w:cs="Arial"/>
                <w:szCs w:val="18"/>
                <w:lang w:val="en-GB"/>
              </w:rPr>
            </w:pPr>
            <w:r>
              <w:rPr>
                <w:rFonts w:cs="Arial"/>
                <w:szCs w:val="18"/>
                <w:lang w:val="en-GB"/>
              </w:rPr>
              <w:t>10.1</w:t>
            </w:r>
          </w:p>
        </w:tc>
        <w:tc>
          <w:tcPr>
            <w:tcW w:w="1699" w:type="dxa"/>
            <w:shd w:val="clear" w:color="auto" w:fill="FFFFFF"/>
          </w:tcPr>
          <w:p w14:paraId="23A9DBAB" w14:textId="5F32D89E" w:rsidR="004937EB" w:rsidRPr="0068647A" w:rsidRDefault="007367CF" w:rsidP="007367CF">
            <w:pPr>
              <w:pStyle w:val="CETBodytext"/>
              <w:ind w:right="-1"/>
              <w:jc w:val="center"/>
              <w:rPr>
                <w:rFonts w:cs="Arial"/>
                <w:szCs w:val="18"/>
                <w:lang w:val="en-GB"/>
              </w:rPr>
            </w:pPr>
            <w:r>
              <w:rPr>
                <w:rFonts w:cs="Arial"/>
                <w:szCs w:val="18"/>
                <w:lang w:val="en-GB"/>
              </w:rPr>
              <w:t>9.8</w:t>
            </w:r>
          </w:p>
        </w:tc>
      </w:tr>
      <w:tr w:rsidR="004937EB" w:rsidRPr="0068647A" w14:paraId="094132FA" w14:textId="77777777" w:rsidTr="00353EFE">
        <w:tc>
          <w:tcPr>
            <w:tcW w:w="1704" w:type="dxa"/>
            <w:shd w:val="clear" w:color="auto" w:fill="FFFFFF"/>
          </w:tcPr>
          <w:p w14:paraId="7833ADCC" w14:textId="50E6EFC1" w:rsidR="004937EB" w:rsidRPr="00062D8C" w:rsidRDefault="003A6B51" w:rsidP="00FE3A0C">
            <w:pPr>
              <w:pStyle w:val="CETBodytext"/>
              <w:ind w:right="-1"/>
              <w:rPr>
                <w:rFonts w:cs="Arial"/>
                <w:b/>
                <w:bCs/>
                <w:szCs w:val="18"/>
                <w:lang w:val="en-GB"/>
              </w:rPr>
            </w:pPr>
            <w:r w:rsidRPr="00062D8C">
              <w:rPr>
                <w:rFonts w:cs="Arial"/>
                <w:b/>
                <w:bCs/>
                <w:szCs w:val="18"/>
                <w:lang w:val="en-GB"/>
              </w:rPr>
              <w:t>EASA (cm</w:t>
            </w:r>
            <w:r w:rsidRPr="00062D8C">
              <w:rPr>
                <w:rFonts w:cs="Arial"/>
                <w:b/>
                <w:bCs/>
                <w:szCs w:val="18"/>
                <w:vertAlign w:val="superscript"/>
                <w:lang w:val="en-GB"/>
              </w:rPr>
              <w:t>2</w:t>
            </w:r>
            <w:r w:rsidRPr="00062D8C">
              <w:rPr>
                <w:rFonts w:cs="Arial"/>
                <w:b/>
                <w:bCs/>
                <w:szCs w:val="18"/>
                <w:lang w:val="en-GB"/>
              </w:rPr>
              <w:t>)</w:t>
            </w:r>
          </w:p>
        </w:tc>
        <w:tc>
          <w:tcPr>
            <w:tcW w:w="1698" w:type="dxa"/>
            <w:shd w:val="clear" w:color="auto" w:fill="FFFFFF"/>
          </w:tcPr>
          <w:p w14:paraId="719F6743" w14:textId="54163557" w:rsidR="004937EB" w:rsidRPr="0068647A" w:rsidRDefault="007367CF" w:rsidP="007367CF">
            <w:pPr>
              <w:pStyle w:val="CETBodytext"/>
              <w:ind w:right="-1"/>
              <w:jc w:val="center"/>
              <w:rPr>
                <w:rFonts w:cs="Arial"/>
                <w:szCs w:val="18"/>
                <w:lang w:val="en-GB"/>
              </w:rPr>
            </w:pPr>
            <w:r>
              <w:rPr>
                <w:rFonts w:cs="Arial"/>
                <w:szCs w:val="18"/>
                <w:lang w:val="en-GB"/>
              </w:rPr>
              <w:t>67</w:t>
            </w:r>
          </w:p>
        </w:tc>
        <w:tc>
          <w:tcPr>
            <w:tcW w:w="1701" w:type="dxa"/>
            <w:shd w:val="clear" w:color="auto" w:fill="FFFFFF"/>
          </w:tcPr>
          <w:p w14:paraId="0B4974CC" w14:textId="41495544" w:rsidR="004937EB" w:rsidRPr="0068647A" w:rsidRDefault="007367CF" w:rsidP="007367CF">
            <w:pPr>
              <w:pStyle w:val="CETBodytext"/>
              <w:ind w:right="-1"/>
              <w:jc w:val="center"/>
              <w:rPr>
                <w:rFonts w:cs="Arial"/>
                <w:szCs w:val="18"/>
                <w:lang w:val="en-GB"/>
              </w:rPr>
            </w:pPr>
            <w:r>
              <w:rPr>
                <w:rFonts w:cs="Arial"/>
                <w:szCs w:val="18"/>
                <w:lang w:val="en-GB"/>
              </w:rPr>
              <w:t>52</w:t>
            </w:r>
          </w:p>
        </w:tc>
        <w:tc>
          <w:tcPr>
            <w:tcW w:w="1985" w:type="dxa"/>
            <w:shd w:val="clear" w:color="auto" w:fill="FFFFFF"/>
          </w:tcPr>
          <w:p w14:paraId="7FEEB7DA" w14:textId="3036FAD3" w:rsidR="004937EB" w:rsidRPr="0068647A" w:rsidRDefault="007367CF" w:rsidP="007367CF">
            <w:pPr>
              <w:pStyle w:val="CETBodytext"/>
              <w:ind w:right="-1"/>
              <w:jc w:val="center"/>
              <w:rPr>
                <w:rFonts w:cs="Arial"/>
                <w:szCs w:val="18"/>
                <w:lang w:val="en-GB"/>
              </w:rPr>
            </w:pPr>
            <w:r>
              <w:rPr>
                <w:rFonts w:cs="Arial"/>
                <w:szCs w:val="18"/>
                <w:lang w:val="en-GB"/>
              </w:rPr>
              <w:t>50</w:t>
            </w:r>
          </w:p>
        </w:tc>
        <w:tc>
          <w:tcPr>
            <w:tcW w:w="1699" w:type="dxa"/>
            <w:shd w:val="clear" w:color="auto" w:fill="FFFFFF"/>
          </w:tcPr>
          <w:p w14:paraId="1C12688A" w14:textId="08587D8A" w:rsidR="004937EB" w:rsidRPr="0068647A" w:rsidRDefault="007367CF" w:rsidP="007367CF">
            <w:pPr>
              <w:pStyle w:val="CETBodytext"/>
              <w:ind w:right="-1"/>
              <w:jc w:val="center"/>
              <w:rPr>
                <w:rFonts w:cs="Arial"/>
                <w:szCs w:val="18"/>
                <w:lang w:val="en-GB"/>
              </w:rPr>
            </w:pPr>
            <w:r>
              <w:rPr>
                <w:rFonts w:cs="Arial"/>
                <w:szCs w:val="18"/>
                <w:lang w:val="en-GB"/>
              </w:rPr>
              <w:t>49</w:t>
            </w:r>
          </w:p>
        </w:tc>
      </w:tr>
    </w:tbl>
    <w:p w14:paraId="61BF98CD" w14:textId="77777777" w:rsidR="00B17D54" w:rsidRDefault="00B17D54" w:rsidP="00D35084">
      <w:pPr>
        <w:pStyle w:val="CETBodytext"/>
        <w:ind w:left="142"/>
        <w:rPr>
          <w:rStyle w:val="jlqj4b"/>
          <w:lang w:val="en-GB"/>
        </w:rPr>
      </w:pPr>
    </w:p>
    <w:p w14:paraId="040177E1" w14:textId="77777777" w:rsidR="007A0D29" w:rsidRPr="0068647A" w:rsidRDefault="007A0D29" w:rsidP="00D35084">
      <w:pPr>
        <w:pStyle w:val="CETBodytext"/>
        <w:ind w:left="142"/>
        <w:rPr>
          <w:rStyle w:val="jlqj4b"/>
          <w:lang w:val="en-GB"/>
        </w:rPr>
      </w:pPr>
    </w:p>
    <w:p w14:paraId="195B9686" w14:textId="07CD6FBD" w:rsidR="00F822C9" w:rsidRPr="0068647A" w:rsidRDefault="002B7234" w:rsidP="00353EFE">
      <w:pPr>
        <w:pStyle w:val="CETBodytext"/>
        <w:jc w:val="left"/>
        <w:rPr>
          <w:lang w:val="en-GB"/>
        </w:rPr>
      </w:pPr>
      <w:r w:rsidRPr="002B7234">
        <w:rPr>
          <w:noProof/>
        </w:rPr>
        <w:drawing>
          <wp:inline distT="0" distB="0" distL="0" distR="0" wp14:anchorId="159D7E41" wp14:editId="0DF47A02">
            <wp:extent cx="5579745" cy="364744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3647440"/>
                    </a:xfrm>
                    <a:prstGeom prst="rect">
                      <a:avLst/>
                    </a:prstGeom>
                    <a:noFill/>
                    <a:ln>
                      <a:noFill/>
                    </a:ln>
                  </pic:spPr>
                </pic:pic>
              </a:graphicData>
            </a:graphic>
          </wp:inline>
        </w:drawing>
      </w:r>
    </w:p>
    <w:p w14:paraId="69AA4A0D" w14:textId="1F62BCEB" w:rsidR="00F822C9" w:rsidRPr="0068647A" w:rsidRDefault="00F822C9" w:rsidP="00353EFE">
      <w:pPr>
        <w:pStyle w:val="CETCaption"/>
        <w:jc w:val="left"/>
      </w:pPr>
      <w:r w:rsidRPr="0068647A">
        <w:t>Figure 2: Cyclic Voltammetr</w:t>
      </w:r>
      <w:r w:rsidR="007E79E3">
        <w:t>ies</w:t>
      </w:r>
      <w:r w:rsidRPr="0068647A">
        <w:t xml:space="preserve"> of the</w:t>
      </w:r>
      <w:r w:rsidR="00F61DAC">
        <w:t xml:space="preserve"> four</w:t>
      </w:r>
      <w:r w:rsidRPr="0068647A">
        <w:t xml:space="preserve"> anod</w:t>
      </w:r>
      <w:r w:rsidR="00F61DAC">
        <w:t>es</w:t>
      </w:r>
      <w:r w:rsidRPr="0068647A">
        <w:t xml:space="preserve"> conducted at </w:t>
      </w:r>
      <w:r w:rsidR="007E79E3">
        <w:t>10</w:t>
      </w:r>
      <w:r w:rsidRPr="0068647A">
        <w:t>0 mV/</w:t>
      </w:r>
      <w:r w:rsidR="007E79E3">
        <w:t>s</w:t>
      </w:r>
      <w:r w:rsidR="00AD55FC">
        <w:t>.</w:t>
      </w:r>
    </w:p>
    <w:p w14:paraId="0876AC99" w14:textId="1C245E1E" w:rsidR="00F822C9" w:rsidRPr="0068647A" w:rsidRDefault="00B466B5" w:rsidP="00353EFE">
      <w:pPr>
        <w:pStyle w:val="CETCaption"/>
        <w:jc w:val="left"/>
      </w:pPr>
      <w:r w:rsidRPr="00B466B5">
        <w:rPr>
          <w:noProof/>
        </w:rPr>
        <w:lastRenderedPageBreak/>
        <w:drawing>
          <wp:inline distT="0" distB="0" distL="0" distR="0" wp14:anchorId="07C31065" wp14:editId="708601D4">
            <wp:extent cx="5656525" cy="3695700"/>
            <wp:effectExtent l="0" t="0" r="190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3415" cy="3732869"/>
                    </a:xfrm>
                    <a:prstGeom prst="rect">
                      <a:avLst/>
                    </a:prstGeom>
                    <a:noFill/>
                    <a:ln>
                      <a:noFill/>
                    </a:ln>
                  </pic:spPr>
                </pic:pic>
              </a:graphicData>
            </a:graphic>
          </wp:inline>
        </w:drawing>
      </w:r>
    </w:p>
    <w:p w14:paraId="4BC824ED" w14:textId="5CAE7920" w:rsidR="00F822C9" w:rsidRDefault="00F822C9" w:rsidP="00353EFE">
      <w:pPr>
        <w:pStyle w:val="CETCaption"/>
        <w:jc w:val="left"/>
      </w:pPr>
      <w:r w:rsidRPr="0068647A">
        <w:t>Figure 3: Cyclic Voltamm</w:t>
      </w:r>
      <w:r w:rsidR="0062268A">
        <w:t>ogram</w:t>
      </w:r>
      <w:r w:rsidR="003F06FA">
        <w:t>s</w:t>
      </w:r>
      <w:r w:rsidR="0062268A">
        <w:t>’ area</w:t>
      </w:r>
      <w:r w:rsidR="00EA1E8E">
        <w:t xml:space="preserve"> </w:t>
      </w:r>
      <w:r w:rsidR="00B357C3">
        <w:t>of the granules obtain</w:t>
      </w:r>
      <w:r w:rsidRPr="0068647A">
        <w:t>ed at different scan rates</w:t>
      </w:r>
      <w:r w:rsidR="00B357C3">
        <w:t>.</w:t>
      </w:r>
    </w:p>
    <w:p w14:paraId="2C699585" w14:textId="77777777" w:rsidR="00CE41DB" w:rsidRPr="0068647A" w:rsidRDefault="00CE41DB" w:rsidP="000367BA">
      <w:pPr>
        <w:pStyle w:val="CETCaption"/>
        <w:jc w:val="center"/>
      </w:pPr>
    </w:p>
    <w:p w14:paraId="583D6C8A" w14:textId="35770D2B" w:rsidR="00F822C9" w:rsidRPr="0068647A" w:rsidRDefault="00F822C9" w:rsidP="002F28A1">
      <w:pPr>
        <w:pStyle w:val="CETheadingx"/>
        <w:rPr>
          <w:lang w:val="en-GB"/>
        </w:rPr>
      </w:pPr>
      <w:r w:rsidRPr="0068647A">
        <w:rPr>
          <w:lang w:val="en-GB"/>
        </w:rPr>
        <w:t>Potentiostatic run at +0.2</w:t>
      </w:r>
      <w:r w:rsidR="00B34B90" w:rsidRPr="0068647A">
        <w:rPr>
          <w:lang w:val="en-GB"/>
        </w:rPr>
        <w:t>0</w:t>
      </w:r>
      <w:r w:rsidRPr="0068647A">
        <w:rPr>
          <w:lang w:val="en-GB"/>
        </w:rPr>
        <w:t xml:space="preserve"> V vs SHE</w:t>
      </w:r>
    </w:p>
    <w:p w14:paraId="1C0031A9" w14:textId="7DE65726" w:rsidR="00F822C9" w:rsidRDefault="00E43336" w:rsidP="006D46AE">
      <w:pPr>
        <w:pStyle w:val="CETBodytext"/>
        <w:rPr>
          <w:lang w:val="en-GB"/>
        </w:rPr>
      </w:pPr>
      <w:r>
        <w:rPr>
          <w:lang w:val="en-GB"/>
        </w:rPr>
        <w:t>A</w:t>
      </w:r>
      <w:r w:rsidR="00B87462" w:rsidRPr="0068647A">
        <w:rPr>
          <w:lang w:val="en-GB"/>
        </w:rPr>
        <w:t xml:space="preserve">fter a startup of the </w:t>
      </w:r>
      <w:r>
        <w:rPr>
          <w:lang w:val="en-GB"/>
        </w:rPr>
        <w:t>BESs</w:t>
      </w:r>
      <w:r w:rsidR="00B87462" w:rsidRPr="0068647A">
        <w:rPr>
          <w:lang w:val="en-GB"/>
        </w:rPr>
        <w:t xml:space="preserve"> which has been already described in the literature </w:t>
      </w:r>
      <w:r w:rsidR="00B87462" w:rsidRPr="0068647A">
        <w:rPr>
          <w:noProof/>
          <w:lang w:val="en-GB"/>
        </w:rPr>
        <w:t>(Zeppilli et al., 2019a)</w:t>
      </w:r>
      <w:r w:rsidR="00225694">
        <w:rPr>
          <w:noProof/>
          <w:lang w:val="en-GB"/>
        </w:rPr>
        <w:t xml:space="preserve"> </w:t>
      </w:r>
      <w:r w:rsidR="00225694">
        <w:rPr>
          <w:lang w:val="en-GB"/>
        </w:rPr>
        <w:t>the electroactive biofilms were fully formed and capable of producing a significant electric current</w:t>
      </w:r>
      <w:r w:rsidR="00B87462" w:rsidRPr="0068647A">
        <w:rPr>
          <w:lang w:val="en-GB"/>
        </w:rPr>
        <w:t>.</w:t>
      </w:r>
      <w:r w:rsidR="005E3CFA">
        <w:rPr>
          <w:lang w:val="en-GB"/>
        </w:rPr>
        <w:t xml:space="preserve"> </w:t>
      </w:r>
      <w:r w:rsidR="00F822C9" w:rsidRPr="0068647A">
        <w:rPr>
          <w:lang w:val="en-GB"/>
        </w:rPr>
        <w:t xml:space="preserve">During the </w:t>
      </w:r>
      <w:r w:rsidR="00C5197D">
        <w:rPr>
          <w:lang w:val="en-GB"/>
        </w:rPr>
        <w:t>potentiostatic runs</w:t>
      </w:r>
      <w:r w:rsidR="00F822C9" w:rsidRPr="0068647A">
        <w:rPr>
          <w:lang w:val="en-GB"/>
        </w:rPr>
        <w:t>,</w:t>
      </w:r>
      <w:r w:rsidR="00C15A58">
        <w:rPr>
          <w:lang w:val="en-GB"/>
        </w:rPr>
        <w:t xml:space="preserve"> the anodic potential was controlled with a three</w:t>
      </w:r>
      <w:r w:rsidR="00732F60">
        <w:rPr>
          <w:lang w:val="en-GB"/>
        </w:rPr>
        <w:t>-</w:t>
      </w:r>
      <w:r w:rsidR="00C15A58">
        <w:rPr>
          <w:lang w:val="en-GB"/>
        </w:rPr>
        <w:t>electrode configuration at + 0.2 V vs SHE</w:t>
      </w:r>
      <w:r w:rsidR="00311212">
        <w:rPr>
          <w:lang w:val="en-GB"/>
        </w:rPr>
        <w:t>.</w:t>
      </w:r>
      <w:r w:rsidR="00F822C9" w:rsidRPr="0068647A">
        <w:rPr>
          <w:lang w:val="en-GB"/>
        </w:rPr>
        <w:t xml:space="preserve"> </w:t>
      </w:r>
      <w:r w:rsidR="00311212">
        <w:rPr>
          <w:lang w:val="en-GB"/>
        </w:rPr>
        <w:t>T</w:t>
      </w:r>
      <w:r w:rsidR="00F822C9" w:rsidRPr="0068647A">
        <w:rPr>
          <w:lang w:val="en-GB"/>
        </w:rPr>
        <w:t xml:space="preserve">he </w:t>
      </w:r>
      <w:r w:rsidR="005E3CFA">
        <w:rPr>
          <w:lang w:val="en-GB"/>
        </w:rPr>
        <w:t>BESs</w:t>
      </w:r>
      <w:r w:rsidR="00F822C9" w:rsidRPr="0068647A">
        <w:rPr>
          <w:lang w:val="en-GB"/>
        </w:rPr>
        <w:t xml:space="preserve"> received </w:t>
      </w:r>
      <w:r w:rsidR="005E3CFA">
        <w:rPr>
          <w:lang w:val="en-GB"/>
        </w:rPr>
        <w:t>a fresh</w:t>
      </w:r>
      <w:r w:rsidR="00F822C9" w:rsidRPr="0068647A">
        <w:rPr>
          <w:lang w:val="en-GB"/>
        </w:rPr>
        <w:t xml:space="preserve"> feeding solution </w:t>
      </w:r>
      <w:r w:rsidR="005E3CFA">
        <w:rPr>
          <w:lang w:val="en-GB"/>
        </w:rPr>
        <w:t>every 5-7 days</w:t>
      </w:r>
      <w:r w:rsidR="00173792">
        <w:rPr>
          <w:lang w:val="en-GB"/>
        </w:rPr>
        <w:t xml:space="preserve">; </w:t>
      </w:r>
      <w:r w:rsidR="00732F60">
        <w:rPr>
          <w:lang w:val="en-GB"/>
        </w:rPr>
        <w:t>therefore</w:t>
      </w:r>
      <w:r w:rsidR="003B64CF">
        <w:rPr>
          <w:lang w:val="en-GB"/>
        </w:rPr>
        <w:t>,</w:t>
      </w:r>
      <w:r w:rsidR="00173792">
        <w:rPr>
          <w:lang w:val="en-GB"/>
        </w:rPr>
        <w:t xml:space="preserve"> </w:t>
      </w:r>
      <w:r w:rsidR="00DF735E">
        <w:rPr>
          <w:lang w:val="en-GB"/>
        </w:rPr>
        <w:t>fresh COD for the electroactive biofilm</w:t>
      </w:r>
      <w:r w:rsidR="00732F60">
        <w:rPr>
          <w:lang w:val="en-GB"/>
        </w:rPr>
        <w:t xml:space="preserve"> was</w:t>
      </w:r>
      <w:r w:rsidR="003B64CF">
        <w:rPr>
          <w:lang w:val="en-GB"/>
        </w:rPr>
        <w:t xml:space="preserve"> periodically</w:t>
      </w:r>
      <w:r w:rsidR="00732F60">
        <w:rPr>
          <w:lang w:val="en-GB"/>
        </w:rPr>
        <w:t xml:space="preserve"> supplied</w:t>
      </w:r>
      <w:r w:rsidR="00DF735E">
        <w:rPr>
          <w:lang w:val="en-GB"/>
        </w:rPr>
        <w:t xml:space="preserve">, </w:t>
      </w:r>
      <w:r w:rsidR="00732F60">
        <w:rPr>
          <w:lang w:val="en-GB"/>
        </w:rPr>
        <w:t>leading to</w:t>
      </w:r>
      <w:r w:rsidR="00DF735E">
        <w:rPr>
          <w:lang w:val="en-GB"/>
        </w:rPr>
        <w:t xml:space="preserve"> higher </w:t>
      </w:r>
      <w:r w:rsidR="00745E21">
        <w:rPr>
          <w:lang w:val="en-GB"/>
        </w:rPr>
        <w:t>oxidation rates and subsequently higher electric currents.</w:t>
      </w:r>
      <w:r w:rsidR="003F0762">
        <w:rPr>
          <w:lang w:val="en-GB"/>
        </w:rPr>
        <w:t xml:space="preserve"> </w:t>
      </w:r>
      <w:r w:rsidR="00745E21">
        <w:rPr>
          <w:lang w:val="en-GB"/>
        </w:rPr>
        <w:t>T</w:t>
      </w:r>
      <w:r w:rsidR="003F0762">
        <w:rPr>
          <w:lang w:val="en-GB"/>
        </w:rPr>
        <w:t>hus</w:t>
      </w:r>
      <w:r w:rsidR="00C416EB">
        <w:rPr>
          <w:lang w:val="en-GB"/>
        </w:rPr>
        <w:t xml:space="preserve">, </w:t>
      </w:r>
      <w:r w:rsidR="003B64CF">
        <w:rPr>
          <w:lang w:val="en-GB"/>
        </w:rPr>
        <w:t>these effects are</w:t>
      </w:r>
      <w:r w:rsidR="00C416EB">
        <w:rPr>
          <w:lang w:val="en-GB"/>
        </w:rPr>
        <w:t xml:space="preserve"> clearly visible in figures 4A-B-C-D</w:t>
      </w:r>
      <w:r w:rsidR="00EE0273">
        <w:rPr>
          <w:lang w:val="en-GB"/>
        </w:rPr>
        <w:t xml:space="preserve"> </w:t>
      </w:r>
      <w:r w:rsidR="00442794">
        <w:rPr>
          <w:lang w:val="en-GB"/>
        </w:rPr>
        <w:t>in which more than one</w:t>
      </w:r>
      <w:r w:rsidR="00EE0273">
        <w:rPr>
          <w:lang w:val="en-GB"/>
        </w:rPr>
        <w:t xml:space="preserve"> current peak</w:t>
      </w:r>
      <w:r w:rsidR="003B64CF">
        <w:rPr>
          <w:lang w:val="en-GB"/>
        </w:rPr>
        <w:t xml:space="preserve"> can be observed,</w:t>
      </w:r>
      <w:r w:rsidR="00442794">
        <w:rPr>
          <w:lang w:val="en-GB"/>
        </w:rPr>
        <w:t xml:space="preserve"> due </w:t>
      </w:r>
      <w:r w:rsidR="006B218F">
        <w:rPr>
          <w:lang w:val="en-GB"/>
        </w:rPr>
        <w:t xml:space="preserve">to many </w:t>
      </w:r>
      <w:r w:rsidR="004C205F">
        <w:rPr>
          <w:lang w:val="en-GB"/>
        </w:rPr>
        <w:t>substitutions</w:t>
      </w:r>
      <w:r w:rsidR="006B218F">
        <w:rPr>
          <w:lang w:val="en-GB"/>
        </w:rPr>
        <w:t xml:space="preserve"> of the solution inside the glass bottles.</w:t>
      </w:r>
      <w:r w:rsidR="00F822C9" w:rsidRPr="0068647A">
        <w:rPr>
          <w:lang w:val="en-GB"/>
        </w:rPr>
        <w:t xml:space="preserve"> </w:t>
      </w:r>
      <w:r w:rsidR="004C205F">
        <w:rPr>
          <w:lang w:val="en-GB"/>
        </w:rPr>
        <w:t>The</w:t>
      </w:r>
      <w:r w:rsidR="00F822C9" w:rsidRPr="0068647A">
        <w:rPr>
          <w:lang w:val="en-GB"/>
        </w:rPr>
        <w:t xml:space="preserve"> operating condition has been maintained for approximately 30 days which corresponded to</w:t>
      </w:r>
      <w:r w:rsidR="004C205F">
        <w:rPr>
          <w:lang w:val="en-GB"/>
        </w:rPr>
        <w:t xml:space="preserve"> </w:t>
      </w:r>
      <w:r w:rsidR="003B64CF">
        <w:rPr>
          <w:lang w:val="en-GB"/>
        </w:rPr>
        <w:t>about</w:t>
      </w:r>
      <w:r w:rsidR="00F822C9" w:rsidRPr="0068647A">
        <w:rPr>
          <w:lang w:val="en-GB"/>
        </w:rPr>
        <w:t xml:space="preserve"> </w:t>
      </w:r>
      <w:r w:rsidR="00DA766D" w:rsidRPr="0068647A">
        <w:rPr>
          <w:lang w:val="en-GB"/>
        </w:rPr>
        <w:t>4</w:t>
      </w:r>
      <w:r w:rsidR="00F822C9" w:rsidRPr="0068647A">
        <w:rPr>
          <w:lang w:val="en-GB"/>
        </w:rPr>
        <w:t xml:space="preserve"> </w:t>
      </w:r>
      <w:r w:rsidR="00D57FB3">
        <w:rPr>
          <w:lang w:val="en-GB"/>
        </w:rPr>
        <w:t>replacements of the solution</w:t>
      </w:r>
      <w:r w:rsidR="00F822C9" w:rsidRPr="0068647A">
        <w:rPr>
          <w:lang w:val="en-GB"/>
        </w:rPr>
        <w:t xml:space="preserve">. The COD removal and </w:t>
      </w:r>
      <w:r w:rsidR="00F006B5">
        <w:rPr>
          <w:lang w:val="en-GB"/>
        </w:rPr>
        <w:t>its</w:t>
      </w:r>
      <w:r w:rsidR="00F822C9" w:rsidRPr="0068647A">
        <w:rPr>
          <w:lang w:val="en-GB"/>
        </w:rPr>
        <w:t xml:space="preserve"> consequent </w:t>
      </w:r>
      <w:r w:rsidR="00F006B5">
        <w:rPr>
          <w:lang w:val="en-GB"/>
        </w:rPr>
        <w:t xml:space="preserve">decrease </w:t>
      </w:r>
      <w:r w:rsidR="006D46AE">
        <w:rPr>
          <w:lang w:val="en-GB"/>
        </w:rPr>
        <w:t>led to a lower</w:t>
      </w:r>
      <w:r w:rsidR="00F006B5">
        <w:rPr>
          <w:lang w:val="en-GB"/>
        </w:rPr>
        <w:t xml:space="preserve"> </w:t>
      </w:r>
      <w:r w:rsidR="00F822C9" w:rsidRPr="0068647A">
        <w:rPr>
          <w:lang w:val="en-GB"/>
        </w:rPr>
        <w:t>current generation</w:t>
      </w:r>
      <w:r w:rsidR="006D46AE">
        <w:rPr>
          <w:lang w:val="en-GB"/>
        </w:rPr>
        <w:t>.</w:t>
      </w:r>
    </w:p>
    <w:p w14:paraId="69F8AABD" w14:textId="77777777" w:rsidR="00B464AF" w:rsidRDefault="00B464AF" w:rsidP="006D46AE">
      <w:pPr>
        <w:pStyle w:val="CETBodytext"/>
        <w:rPr>
          <w:lang w:val="en-GB"/>
        </w:rPr>
      </w:pPr>
    </w:p>
    <w:p w14:paraId="08AA49DD" w14:textId="77777777" w:rsidR="00094609" w:rsidRDefault="00094609" w:rsidP="006D46AE">
      <w:pPr>
        <w:pStyle w:val="CETBodytext"/>
        <w:rPr>
          <w:lang w:val="en-GB"/>
        </w:rPr>
      </w:pPr>
    </w:p>
    <w:p w14:paraId="55AE025F" w14:textId="2BA5BE91" w:rsidR="00094609" w:rsidRPr="0068647A" w:rsidRDefault="00094609" w:rsidP="00353EFE">
      <w:pPr>
        <w:pStyle w:val="Didascalia"/>
        <w:keepNext/>
        <w:jc w:val="left"/>
      </w:pPr>
      <w:r w:rsidRPr="0068647A">
        <w:rPr>
          <w:b w:val="0"/>
          <w:bCs w:val="0"/>
          <w:i/>
          <w:color w:val="auto"/>
          <w:szCs w:val="20"/>
        </w:rPr>
        <w:t xml:space="preserve">Table </w:t>
      </w:r>
      <w:r w:rsidRPr="0068647A">
        <w:rPr>
          <w:b w:val="0"/>
          <w:bCs w:val="0"/>
          <w:i/>
          <w:color w:val="auto"/>
          <w:szCs w:val="20"/>
        </w:rPr>
        <w:fldChar w:fldCharType="begin"/>
      </w:r>
      <w:r w:rsidRPr="0068647A">
        <w:rPr>
          <w:b w:val="0"/>
          <w:bCs w:val="0"/>
          <w:i/>
          <w:color w:val="auto"/>
          <w:szCs w:val="20"/>
        </w:rPr>
        <w:instrText xml:space="preserve"> SEQ Table \* ARABIC </w:instrText>
      </w:r>
      <w:r w:rsidRPr="0068647A">
        <w:rPr>
          <w:b w:val="0"/>
          <w:bCs w:val="0"/>
          <w:i/>
          <w:color w:val="auto"/>
          <w:szCs w:val="20"/>
        </w:rPr>
        <w:fldChar w:fldCharType="separate"/>
      </w:r>
      <w:r w:rsidRPr="0068647A">
        <w:rPr>
          <w:b w:val="0"/>
          <w:bCs w:val="0"/>
          <w:i/>
          <w:color w:val="auto"/>
          <w:szCs w:val="20"/>
        </w:rPr>
        <w:t>3</w:t>
      </w:r>
      <w:r w:rsidRPr="0068647A">
        <w:rPr>
          <w:b w:val="0"/>
          <w:bCs w:val="0"/>
          <w:i/>
          <w:color w:val="auto"/>
          <w:szCs w:val="20"/>
        </w:rPr>
        <w:fldChar w:fldCharType="end"/>
      </w:r>
      <w:r w:rsidR="009A1A96">
        <w:rPr>
          <w:b w:val="0"/>
          <w:bCs w:val="0"/>
          <w:i/>
          <w:color w:val="auto"/>
          <w:szCs w:val="20"/>
        </w:rPr>
        <w:t>:</w:t>
      </w:r>
      <w:r w:rsidRPr="0068647A">
        <w:rPr>
          <w:b w:val="0"/>
          <w:bCs w:val="0"/>
          <w:i/>
          <w:color w:val="auto"/>
          <w:szCs w:val="20"/>
        </w:rPr>
        <w:t xml:space="preserve"> Bioelectrochemical performance of the cathodic biofilm during the two operating periods</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1276"/>
        <w:gridCol w:w="1559"/>
        <w:gridCol w:w="1843"/>
        <w:gridCol w:w="1418"/>
      </w:tblGrid>
      <w:tr w:rsidR="00094609" w:rsidRPr="0068647A" w14:paraId="74F1EFDB" w14:textId="77777777" w:rsidTr="00353EFE">
        <w:tc>
          <w:tcPr>
            <w:tcW w:w="2835" w:type="dxa"/>
            <w:tcBorders>
              <w:top w:val="single" w:sz="12" w:space="0" w:color="008000"/>
              <w:bottom w:val="single" w:sz="6" w:space="0" w:color="008000"/>
            </w:tcBorders>
            <w:shd w:val="clear" w:color="auto" w:fill="FFFFFF"/>
          </w:tcPr>
          <w:p w14:paraId="0F9DDD8B" w14:textId="77777777" w:rsidR="00094609" w:rsidRPr="00062D8C" w:rsidRDefault="00094609" w:rsidP="00D76FCC">
            <w:pPr>
              <w:pStyle w:val="CETBodytext"/>
              <w:jc w:val="center"/>
              <w:rPr>
                <w:b/>
                <w:bCs/>
                <w:lang w:val="en-GB"/>
              </w:rPr>
            </w:pPr>
          </w:p>
        </w:tc>
        <w:tc>
          <w:tcPr>
            <w:tcW w:w="1276" w:type="dxa"/>
            <w:tcBorders>
              <w:top w:val="single" w:sz="12" w:space="0" w:color="008000"/>
              <w:bottom w:val="single" w:sz="6" w:space="0" w:color="008000"/>
            </w:tcBorders>
            <w:shd w:val="clear" w:color="auto" w:fill="FFFFFF"/>
          </w:tcPr>
          <w:p w14:paraId="3648C79B" w14:textId="77777777" w:rsidR="00094609" w:rsidRPr="00062D8C" w:rsidRDefault="00094609" w:rsidP="00D76FCC">
            <w:pPr>
              <w:pStyle w:val="CETBodytext"/>
              <w:jc w:val="center"/>
              <w:rPr>
                <w:b/>
                <w:bCs/>
                <w:lang w:val="en-GB"/>
              </w:rPr>
            </w:pPr>
            <w:r w:rsidRPr="00062D8C">
              <w:rPr>
                <w:b/>
                <w:bCs/>
                <w:lang w:val="en-GB"/>
              </w:rPr>
              <w:t>Single granule</w:t>
            </w:r>
          </w:p>
        </w:tc>
        <w:tc>
          <w:tcPr>
            <w:tcW w:w="1559" w:type="dxa"/>
            <w:tcBorders>
              <w:top w:val="single" w:sz="12" w:space="0" w:color="008000"/>
              <w:bottom w:val="single" w:sz="6" w:space="0" w:color="008000"/>
            </w:tcBorders>
            <w:shd w:val="clear" w:color="auto" w:fill="FFFFFF"/>
          </w:tcPr>
          <w:p w14:paraId="211E624C" w14:textId="77777777" w:rsidR="00094609" w:rsidRPr="00062D8C" w:rsidRDefault="00094609" w:rsidP="00D76FCC">
            <w:pPr>
              <w:pStyle w:val="CETBodytext"/>
              <w:jc w:val="center"/>
              <w:rPr>
                <w:b/>
                <w:bCs/>
                <w:lang w:val="en-GB"/>
              </w:rPr>
            </w:pPr>
            <w:proofErr w:type="gramStart"/>
            <w:r w:rsidRPr="00062D8C">
              <w:rPr>
                <w:b/>
                <w:bCs/>
                <w:lang w:val="en-GB"/>
              </w:rPr>
              <w:t>Small packed</w:t>
            </w:r>
            <w:proofErr w:type="gramEnd"/>
            <w:r w:rsidRPr="00062D8C">
              <w:rPr>
                <w:b/>
                <w:bCs/>
                <w:lang w:val="en-GB"/>
              </w:rPr>
              <w:t xml:space="preserve"> bed</w:t>
            </w:r>
          </w:p>
        </w:tc>
        <w:tc>
          <w:tcPr>
            <w:tcW w:w="1843" w:type="dxa"/>
            <w:tcBorders>
              <w:top w:val="single" w:sz="12" w:space="0" w:color="008000"/>
              <w:bottom w:val="single" w:sz="6" w:space="0" w:color="008000"/>
            </w:tcBorders>
            <w:shd w:val="clear" w:color="auto" w:fill="FFFFFF"/>
          </w:tcPr>
          <w:p w14:paraId="25ADC10C" w14:textId="77777777" w:rsidR="00094609" w:rsidRPr="00062D8C" w:rsidRDefault="00094609" w:rsidP="00D76FCC">
            <w:pPr>
              <w:pStyle w:val="CETBodytext"/>
              <w:ind w:right="-1"/>
              <w:jc w:val="center"/>
              <w:rPr>
                <w:b/>
                <w:bCs/>
                <w:lang w:val="en-GB"/>
              </w:rPr>
            </w:pPr>
            <w:r w:rsidRPr="00062D8C">
              <w:rPr>
                <w:b/>
                <w:bCs/>
                <w:lang w:val="en-GB"/>
              </w:rPr>
              <w:t>Medium packed bed</w:t>
            </w:r>
          </w:p>
        </w:tc>
        <w:tc>
          <w:tcPr>
            <w:tcW w:w="1418" w:type="dxa"/>
            <w:tcBorders>
              <w:top w:val="single" w:sz="12" w:space="0" w:color="008000"/>
              <w:bottom w:val="single" w:sz="6" w:space="0" w:color="008000"/>
            </w:tcBorders>
            <w:shd w:val="clear" w:color="auto" w:fill="FFFFFF"/>
          </w:tcPr>
          <w:p w14:paraId="15D3AF1F" w14:textId="77777777" w:rsidR="00094609" w:rsidRPr="00062D8C" w:rsidRDefault="00094609" w:rsidP="00D76FCC">
            <w:pPr>
              <w:pStyle w:val="CETBodytext"/>
              <w:ind w:right="-1"/>
              <w:jc w:val="center"/>
              <w:rPr>
                <w:rFonts w:cs="Arial"/>
                <w:b/>
                <w:bCs/>
                <w:szCs w:val="18"/>
                <w:lang w:val="en-GB"/>
              </w:rPr>
            </w:pPr>
            <w:proofErr w:type="gramStart"/>
            <w:r w:rsidRPr="00062D8C">
              <w:rPr>
                <w:b/>
                <w:bCs/>
                <w:lang w:val="en-GB"/>
              </w:rPr>
              <w:t>Big packed</w:t>
            </w:r>
            <w:proofErr w:type="gramEnd"/>
            <w:r w:rsidRPr="00062D8C">
              <w:rPr>
                <w:b/>
                <w:bCs/>
                <w:lang w:val="en-GB"/>
              </w:rPr>
              <w:t xml:space="preserve"> bed</w:t>
            </w:r>
          </w:p>
        </w:tc>
      </w:tr>
      <w:tr w:rsidR="00094609" w:rsidRPr="0068647A" w14:paraId="53808B97" w14:textId="77777777" w:rsidTr="00353EFE">
        <w:tc>
          <w:tcPr>
            <w:tcW w:w="2835" w:type="dxa"/>
            <w:shd w:val="clear" w:color="auto" w:fill="FFFFFF"/>
          </w:tcPr>
          <w:p w14:paraId="008B9C39" w14:textId="77777777" w:rsidR="00094609" w:rsidRPr="00062D8C" w:rsidRDefault="00094609" w:rsidP="00D76FCC">
            <w:pPr>
              <w:pStyle w:val="CETBodytext"/>
              <w:rPr>
                <w:b/>
                <w:bCs/>
                <w:lang w:val="en-GB"/>
              </w:rPr>
            </w:pPr>
            <w:r w:rsidRPr="00062D8C">
              <w:rPr>
                <w:b/>
                <w:bCs/>
                <w:lang w:val="en-GB"/>
              </w:rPr>
              <w:t>Average current (</w:t>
            </w:r>
            <w:r w:rsidRPr="00062D8C">
              <w:rPr>
                <w:rFonts w:cs="Arial"/>
                <w:b/>
                <w:bCs/>
                <w:lang w:val="en-GB"/>
              </w:rPr>
              <w:t>µ</w:t>
            </w:r>
            <w:r w:rsidRPr="00062D8C">
              <w:rPr>
                <w:b/>
                <w:bCs/>
                <w:lang w:val="en-GB"/>
              </w:rPr>
              <w:t>A)</w:t>
            </w:r>
          </w:p>
        </w:tc>
        <w:tc>
          <w:tcPr>
            <w:tcW w:w="1276" w:type="dxa"/>
            <w:shd w:val="clear" w:color="auto" w:fill="FFFFFF"/>
          </w:tcPr>
          <w:p w14:paraId="06F4ED55" w14:textId="77777777" w:rsidR="00094609" w:rsidRPr="0068647A" w:rsidRDefault="00094609" w:rsidP="00D76FCC">
            <w:pPr>
              <w:pStyle w:val="CETBodytext"/>
              <w:jc w:val="center"/>
              <w:rPr>
                <w:lang w:val="en-GB"/>
              </w:rPr>
            </w:pPr>
            <w:r>
              <w:rPr>
                <w:lang w:val="en-GB"/>
              </w:rPr>
              <w:t xml:space="preserve">1152 </w:t>
            </w:r>
            <w:r>
              <w:rPr>
                <w:rFonts w:cs="Arial"/>
                <w:lang w:val="en-GB"/>
              </w:rPr>
              <w:t>± 88</w:t>
            </w:r>
          </w:p>
        </w:tc>
        <w:tc>
          <w:tcPr>
            <w:tcW w:w="1559" w:type="dxa"/>
            <w:shd w:val="clear" w:color="auto" w:fill="FFFFFF"/>
          </w:tcPr>
          <w:p w14:paraId="7D419950" w14:textId="77777777" w:rsidR="00094609" w:rsidRPr="0068647A" w:rsidRDefault="00094609" w:rsidP="00D76FCC">
            <w:pPr>
              <w:pStyle w:val="CETBodytext"/>
              <w:jc w:val="center"/>
              <w:rPr>
                <w:lang w:val="en-GB"/>
              </w:rPr>
            </w:pPr>
            <w:r>
              <w:rPr>
                <w:lang w:val="en-GB"/>
              </w:rPr>
              <w:t xml:space="preserve">752 </w:t>
            </w:r>
            <w:r>
              <w:rPr>
                <w:rFonts w:cs="Arial"/>
                <w:lang w:val="en-GB"/>
              </w:rPr>
              <w:t>± 66</w:t>
            </w:r>
          </w:p>
        </w:tc>
        <w:tc>
          <w:tcPr>
            <w:tcW w:w="1843" w:type="dxa"/>
            <w:shd w:val="clear" w:color="auto" w:fill="FFFFFF"/>
          </w:tcPr>
          <w:p w14:paraId="58A389AF" w14:textId="77777777" w:rsidR="00094609" w:rsidRPr="0068647A" w:rsidRDefault="00094609" w:rsidP="00D76FCC">
            <w:pPr>
              <w:pStyle w:val="CETBodytext"/>
              <w:ind w:right="-1"/>
              <w:jc w:val="center"/>
              <w:rPr>
                <w:rFonts w:cs="Arial"/>
                <w:szCs w:val="18"/>
                <w:lang w:val="en-GB"/>
              </w:rPr>
            </w:pPr>
            <w:r>
              <w:rPr>
                <w:lang w:val="en-GB"/>
              </w:rPr>
              <w:t xml:space="preserve">698 </w:t>
            </w:r>
            <w:r>
              <w:rPr>
                <w:rFonts w:cs="Arial"/>
                <w:lang w:val="en-GB"/>
              </w:rPr>
              <w:t>± 54</w:t>
            </w:r>
          </w:p>
        </w:tc>
        <w:tc>
          <w:tcPr>
            <w:tcW w:w="1418" w:type="dxa"/>
            <w:shd w:val="clear" w:color="auto" w:fill="FFFFFF"/>
          </w:tcPr>
          <w:p w14:paraId="14E5EB4C" w14:textId="77777777" w:rsidR="00094609" w:rsidRPr="0068647A" w:rsidRDefault="00094609" w:rsidP="00D76FCC">
            <w:pPr>
              <w:pStyle w:val="CETBodytext"/>
              <w:ind w:right="-1"/>
              <w:jc w:val="center"/>
              <w:rPr>
                <w:rFonts w:cs="Arial"/>
                <w:szCs w:val="18"/>
                <w:lang w:val="en-GB"/>
              </w:rPr>
            </w:pPr>
            <w:r>
              <w:rPr>
                <w:lang w:val="en-GB"/>
              </w:rPr>
              <w:t xml:space="preserve">427 </w:t>
            </w:r>
            <w:r>
              <w:rPr>
                <w:rFonts w:cs="Arial"/>
                <w:lang w:val="en-GB"/>
              </w:rPr>
              <w:t>± 47</w:t>
            </w:r>
          </w:p>
        </w:tc>
      </w:tr>
      <w:tr w:rsidR="00094609" w:rsidRPr="0068647A" w14:paraId="1101DCBA" w14:textId="77777777" w:rsidTr="00353EFE">
        <w:tc>
          <w:tcPr>
            <w:tcW w:w="2835" w:type="dxa"/>
            <w:shd w:val="clear" w:color="auto" w:fill="FFFFFF"/>
          </w:tcPr>
          <w:p w14:paraId="0577F68D" w14:textId="77777777" w:rsidR="00094609" w:rsidRPr="00062D8C" w:rsidRDefault="00094609" w:rsidP="00D76FCC">
            <w:pPr>
              <w:pStyle w:val="CETBodytext"/>
              <w:rPr>
                <w:b/>
                <w:bCs/>
                <w:lang w:val="en-GB"/>
              </w:rPr>
            </w:pPr>
            <w:r w:rsidRPr="00062D8C">
              <w:rPr>
                <w:b/>
                <w:bCs/>
                <w:lang w:val="en-GB"/>
              </w:rPr>
              <w:t>Current peak (</w:t>
            </w:r>
            <w:r w:rsidRPr="00062D8C">
              <w:rPr>
                <w:rFonts w:cs="Arial"/>
                <w:b/>
                <w:bCs/>
                <w:lang w:val="en-GB"/>
              </w:rPr>
              <w:t>µ</w:t>
            </w:r>
            <w:r w:rsidRPr="00062D8C">
              <w:rPr>
                <w:b/>
                <w:bCs/>
                <w:lang w:val="en-GB"/>
              </w:rPr>
              <w:t>A)</w:t>
            </w:r>
          </w:p>
        </w:tc>
        <w:tc>
          <w:tcPr>
            <w:tcW w:w="1276" w:type="dxa"/>
            <w:shd w:val="clear" w:color="auto" w:fill="FFFFFF"/>
          </w:tcPr>
          <w:p w14:paraId="663A38C4" w14:textId="77777777" w:rsidR="00094609" w:rsidRPr="0068647A" w:rsidRDefault="00094609" w:rsidP="00D76FCC">
            <w:pPr>
              <w:pStyle w:val="CETBodytext"/>
              <w:jc w:val="center"/>
              <w:rPr>
                <w:lang w:val="en-GB"/>
              </w:rPr>
            </w:pPr>
            <w:r>
              <w:rPr>
                <w:lang w:val="en-GB"/>
              </w:rPr>
              <w:t>1824</w:t>
            </w:r>
          </w:p>
        </w:tc>
        <w:tc>
          <w:tcPr>
            <w:tcW w:w="1559" w:type="dxa"/>
            <w:shd w:val="clear" w:color="auto" w:fill="FFFFFF"/>
          </w:tcPr>
          <w:p w14:paraId="62A0A439" w14:textId="77777777" w:rsidR="00094609" w:rsidRPr="0068647A" w:rsidRDefault="00094609" w:rsidP="00D76FCC">
            <w:pPr>
              <w:pStyle w:val="CETBodytext"/>
              <w:jc w:val="center"/>
              <w:rPr>
                <w:lang w:val="en-GB"/>
              </w:rPr>
            </w:pPr>
            <w:r>
              <w:rPr>
                <w:lang w:val="en-GB"/>
              </w:rPr>
              <w:t>1195</w:t>
            </w:r>
          </w:p>
        </w:tc>
        <w:tc>
          <w:tcPr>
            <w:tcW w:w="1843" w:type="dxa"/>
            <w:shd w:val="clear" w:color="auto" w:fill="FFFFFF"/>
          </w:tcPr>
          <w:p w14:paraId="47C9038F" w14:textId="77777777" w:rsidR="00094609" w:rsidRPr="0068647A" w:rsidRDefault="00094609" w:rsidP="00D76FCC">
            <w:pPr>
              <w:pStyle w:val="CETBodytext"/>
              <w:ind w:right="-1"/>
              <w:jc w:val="center"/>
              <w:rPr>
                <w:rFonts w:cs="Arial"/>
                <w:szCs w:val="18"/>
                <w:lang w:val="en-GB"/>
              </w:rPr>
            </w:pPr>
            <w:r>
              <w:rPr>
                <w:rFonts w:cs="Arial"/>
                <w:szCs w:val="18"/>
                <w:lang w:val="en-GB"/>
              </w:rPr>
              <w:t>1129</w:t>
            </w:r>
          </w:p>
        </w:tc>
        <w:tc>
          <w:tcPr>
            <w:tcW w:w="1418" w:type="dxa"/>
            <w:shd w:val="clear" w:color="auto" w:fill="FFFFFF"/>
          </w:tcPr>
          <w:p w14:paraId="059A7186" w14:textId="77777777" w:rsidR="00094609" w:rsidRPr="0068647A" w:rsidRDefault="00094609" w:rsidP="00D76FCC">
            <w:pPr>
              <w:pStyle w:val="CETBodytext"/>
              <w:ind w:right="-1"/>
              <w:jc w:val="center"/>
              <w:rPr>
                <w:rFonts w:cs="Arial"/>
                <w:szCs w:val="18"/>
                <w:lang w:val="en-GB"/>
              </w:rPr>
            </w:pPr>
            <w:r>
              <w:rPr>
                <w:rFonts w:cs="Arial"/>
                <w:szCs w:val="18"/>
                <w:lang w:val="en-GB"/>
              </w:rPr>
              <w:t>756</w:t>
            </w:r>
          </w:p>
        </w:tc>
      </w:tr>
      <w:tr w:rsidR="00094609" w:rsidRPr="0068647A" w14:paraId="7F2928C0" w14:textId="77777777" w:rsidTr="00353EFE">
        <w:tc>
          <w:tcPr>
            <w:tcW w:w="2835" w:type="dxa"/>
            <w:shd w:val="clear" w:color="auto" w:fill="FFFFFF"/>
          </w:tcPr>
          <w:p w14:paraId="0F7D8425" w14:textId="77777777" w:rsidR="00094609" w:rsidRPr="00062D8C" w:rsidRDefault="00094609" w:rsidP="00D76FCC">
            <w:pPr>
              <w:pStyle w:val="CETBodytext"/>
              <w:rPr>
                <w:b/>
                <w:bCs/>
                <w:lang w:val="en-GB"/>
              </w:rPr>
            </w:pPr>
            <w:r w:rsidRPr="00062D8C">
              <w:rPr>
                <w:b/>
                <w:bCs/>
                <w:lang w:val="en-GB"/>
              </w:rPr>
              <w:t>Average current density (</w:t>
            </w:r>
            <w:r w:rsidRPr="00062D8C">
              <w:rPr>
                <w:rFonts w:cs="Arial"/>
                <w:b/>
                <w:bCs/>
                <w:lang w:val="en-GB"/>
              </w:rPr>
              <w:t>µ</w:t>
            </w:r>
            <w:r w:rsidRPr="00062D8C">
              <w:rPr>
                <w:b/>
                <w:bCs/>
                <w:lang w:val="en-GB"/>
              </w:rPr>
              <w:t>A/cm</w:t>
            </w:r>
            <w:r w:rsidRPr="00062D8C">
              <w:rPr>
                <w:b/>
                <w:bCs/>
                <w:vertAlign w:val="superscript"/>
                <w:lang w:val="en-GB"/>
              </w:rPr>
              <w:t>2</w:t>
            </w:r>
            <w:r w:rsidRPr="00062D8C">
              <w:rPr>
                <w:b/>
                <w:bCs/>
                <w:lang w:val="en-GB"/>
              </w:rPr>
              <w:t>)</w:t>
            </w:r>
          </w:p>
        </w:tc>
        <w:tc>
          <w:tcPr>
            <w:tcW w:w="1276" w:type="dxa"/>
            <w:shd w:val="clear" w:color="auto" w:fill="FFFFFF"/>
          </w:tcPr>
          <w:p w14:paraId="5D43383C" w14:textId="77777777" w:rsidR="00094609" w:rsidRPr="0068647A" w:rsidRDefault="00094609" w:rsidP="00D76FCC">
            <w:pPr>
              <w:pStyle w:val="CETBodytext"/>
              <w:jc w:val="center"/>
              <w:rPr>
                <w:lang w:val="en-GB"/>
              </w:rPr>
            </w:pPr>
            <w:r>
              <w:rPr>
                <w:lang w:val="en-GB"/>
              </w:rPr>
              <w:t xml:space="preserve">17.2 </w:t>
            </w:r>
            <w:r>
              <w:rPr>
                <w:rFonts w:cs="Arial"/>
                <w:lang w:val="en-GB"/>
              </w:rPr>
              <w:t>± 1.3</w:t>
            </w:r>
          </w:p>
        </w:tc>
        <w:tc>
          <w:tcPr>
            <w:tcW w:w="1559" w:type="dxa"/>
            <w:shd w:val="clear" w:color="auto" w:fill="FFFFFF"/>
          </w:tcPr>
          <w:p w14:paraId="76D149DC" w14:textId="77777777" w:rsidR="00094609" w:rsidRPr="0068647A" w:rsidRDefault="00094609" w:rsidP="00D76FCC">
            <w:pPr>
              <w:pStyle w:val="CETBodytext"/>
              <w:jc w:val="center"/>
              <w:rPr>
                <w:lang w:val="en-GB"/>
              </w:rPr>
            </w:pPr>
            <w:r>
              <w:rPr>
                <w:lang w:val="en-GB"/>
              </w:rPr>
              <w:t xml:space="preserve">14.5 </w:t>
            </w:r>
            <w:r>
              <w:rPr>
                <w:rFonts w:cs="Arial"/>
                <w:lang w:val="en-GB"/>
              </w:rPr>
              <w:t>± 1.1</w:t>
            </w:r>
          </w:p>
        </w:tc>
        <w:tc>
          <w:tcPr>
            <w:tcW w:w="1843" w:type="dxa"/>
            <w:shd w:val="clear" w:color="auto" w:fill="FFFFFF"/>
          </w:tcPr>
          <w:p w14:paraId="560B649F" w14:textId="77777777" w:rsidR="00094609" w:rsidRPr="0068647A" w:rsidRDefault="00094609" w:rsidP="00D76FCC">
            <w:pPr>
              <w:pStyle w:val="CETBodytext"/>
              <w:ind w:right="-1"/>
              <w:jc w:val="center"/>
              <w:rPr>
                <w:rFonts w:cs="Arial"/>
                <w:szCs w:val="18"/>
                <w:lang w:val="en-GB"/>
              </w:rPr>
            </w:pPr>
            <w:r>
              <w:rPr>
                <w:rFonts w:cs="Arial"/>
                <w:szCs w:val="18"/>
                <w:lang w:val="en-GB"/>
              </w:rPr>
              <w:t xml:space="preserve">14 </w:t>
            </w:r>
            <w:r>
              <w:rPr>
                <w:rFonts w:cs="Arial"/>
                <w:lang w:val="en-GB"/>
              </w:rPr>
              <w:t>± 1</w:t>
            </w:r>
          </w:p>
        </w:tc>
        <w:tc>
          <w:tcPr>
            <w:tcW w:w="1418" w:type="dxa"/>
            <w:shd w:val="clear" w:color="auto" w:fill="FFFFFF"/>
          </w:tcPr>
          <w:p w14:paraId="0E201097" w14:textId="77777777" w:rsidR="00094609" w:rsidRPr="0068647A" w:rsidRDefault="00094609" w:rsidP="00D76FCC">
            <w:pPr>
              <w:pStyle w:val="CETBodytext"/>
              <w:ind w:right="-1"/>
              <w:jc w:val="center"/>
              <w:rPr>
                <w:rFonts w:cs="Arial"/>
                <w:szCs w:val="18"/>
                <w:lang w:val="en-GB"/>
              </w:rPr>
            </w:pPr>
            <w:r>
              <w:rPr>
                <w:rFonts w:cs="Arial"/>
                <w:szCs w:val="18"/>
                <w:lang w:val="en-GB"/>
              </w:rPr>
              <w:t xml:space="preserve">8.7 </w:t>
            </w:r>
            <w:r>
              <w:rPr>
                <w:rFonts w:cs="Arial"/>
                <w:lang w:val="en-GB"/>
              </w:rPr>
              <w:t>± 0.9</w:t>
            </w:r>
          </w:p>
        </w:tc>
      </w:tr>
      <w:tr w:rsidR="00094609" w:rsidRPr="0068647A" w14:paraId="04EEC508" w14:textId="77777777" w:rsidTr="00353EFE">
        <w:tc>
          <w:tcPr>
            <w:tcW w:w="2835" w:type="dxa"/>
            <w:shd w:val="clear" w:color="auto" w:fill="FFFFFF"/>
          </w:tcPr>
          <w:p w14:paraId="690D3AEB" w14:textId="77777777" w:rsidR="00094609" w:rsidRPr="00062D8C" w:rsidRDefault="00094609" w:rsidP="00D76FCC">
            <w:pPr>
              <w:pStyle w:val="CETBodytext"/>
              <w:ind w:right="-1"/>
              <w:rPr>
                <w:rFonts w:cs="Arial"/>
                <w:b/>
                <w:bCs/>
                <w:szCs w:val="18"/>
                <w:lang w:val="en-GB"/>
              </w:rPr>
            </w:pPr>
            <w:r w:rsidRPr="00062D8C">
              <w:rPr>
                <w:b/>
                <w:bCs/>
                <w:lang w:val="en-GB"/>
              </w:rPr>
              <w:t>Current Peak density (</w:t>
            </w:r>
            <w:r w:rsidRPr="00062D8C">
              <w:rPr>
                <w:rFonts w:cs="Arial"/>
                <w:b/>
                <w:bCs/>
                <w:lang w:val="en-GB"/>
              </w:rPr>
              <w:t>µ</w:t>
            </w:r>
            <w:r w:rsidRPr="00062D8C">
              <w:rPr>
                <w:b/>
                <w:bCs/>
                <w:lang w:val="en-GB"/>
              </w:rPr>
              <w:t>A/cm</w:t>
            </w:r>
            <w:r w:rsidRPr="00062D8C">
              <w:rPr>
                <w:b/>
                <w:bCs/>
                <w:vertAlign w:val="superscript"/>
                <w:lang w:val="en-GB"/>
              </w:rPr>
              <w:t>2</w:t>
            </w:r>
            <w:r w:rsidRPr="00062D8C">
              <w:rPr>
                <w:b/>
                <w:bCs/>
                <w:lang w:val="en-GB"/>
              </w:rPr>
              <w:t>)</w:t>
            </w:r>
          </w:p>
        </w:tc>
        <w:tc>
          <w:tcPr>
            <w:tcW w:w="1276" w:type="dxa"/>
            <w:shd w:val="clear" w:color="auto" w:fill="FFFFFF"/>
          </w:tcPr>
          <w:p w14:paraId="3B9A3C3D" w14:textId="77777777" w:rsidR="00094609" w:rsidRPr="0068647A" w:rsidRDefault="00094609" w:rsidP="00D76FCC">
            <w:pPr>
              <w:pStyle w:val="CETBodytext"/>
              <w:ind w:right="-1"/>
              <w:jc w:val="center"/>
              <w:rPr>
                <w:rFonts w:cs="Arial"/>
                <w:szCs w:val="18"/>
                <w:lang w:val="en-GB"/>
              </w:rPr>
            </w:pPr>
            <w:r>
              <w:rPr>
                <w:rFonts w:cs="Arial"/>
                <w:szCs w:val="18"/>
                <w:lang w:val="en-GB"/>
              </w:rPr>
              <w:t>27.2</w:t>
            </w:r>
          </w:p>
        </w:tc>
        <w:tc>
          <w:tcPr>
            <w:tcW w:w="1559" w:type="dxa"/>
            <w:shd w:val="clear" w:color="auto" w:fill="FFFFFF"/>
          </w:tcPr>
          <w:p w14:paraId="2705B519" w14:textId="77777777" w:rsidR="00094609" w:rsidRPr="0068647A" w:rsidRDefault="00094609" w:rsidP="00D76FCC">
            <w:pPr>
              <w:pStyle w:val="CETBodytext"/>
              <w:ind w:right="-1"/>
              <w:jc w:val="center"/>
              <w:rPr>
                <w:rFonts w:cs="Arial"/>
                <w:szCs w:val="18"/>
                <w:lang w:val="en-GB"/>
              </w:rPr>
            </w:pPr>
            <w:r>
              <w:rPr>
                <w:rFonts w:cs="Arial"/>
                <w:szCs w:val="18"/>
                <w:lang w:val="en-GB"/>
              </w:rPr>
              <w:t>23</w:t>
            </w:r>
          </w:p>
        </w:tc>
        <w:tc>
          <w:tcPr>
            <w:tcW w:w="1843" w:type="dxa"/>
            <w:shd w:val="clear" w:color="auto" w:fill="FFFFFF"/>
          </w:tcPr>
          <w:p w14:paraId="210137C2" w14:textId="77777777" w:rsidR="00094609" w:rsidRPr="0068647A" w:rsidRDefault="00094609" w:rsidP="00D76FCC">
            <w:pPr>
              <w:pStyle w:val="CETBodytext"/>
              <w:ind w:right="-1"/>
              <w:jc w:val="center"/>
              <w:rPr>
                <w:rFonts w:cs="Arial"/>
                <w:szCs w:val="18"/>
                <w:lang w:val="en-GB"/>
              </w:rPr>
            </w:pPr>
            <w:r>
              <w:rPr>
                <w:rFonts w:cs="Arial"/>
                <w:szCs w:val="18"/>
                <w:lang w:val="en-GB"/>
              </w:rPr>
              <w:t>22.6</w:t>
            </w:r>
          </w:p>
        </w:tc>
        <w:tc>
          <w:tcPr>
            <w:tcW w:w="1418" w:type="dxa"/>
            <w:shd w:val="clear" w:color="auto" w:fill="FFFFFF"/>
          </w:tcPr>
          <w:p w14:paraId="46C4BF61" w14:textId="77777777" w:rsidR="00094609" w:rsidRPr="0068647A" w:rsidRDefault="00094609" w:rsidP="00D76FCC">
            <w:pPr>
              <w:pStyle w:val="CETBodytext"/>
              <w:ind w:right="-1"/>
              <w:jc w:val="center"/>
              <w:rPr>
                <w:rFonts w:cs="Arial"/>
                <w:szCs w:val="18"/>
                <w:lang w:val="en-GB"/>
              </w:rPr>
            </w:pPr>
            <w:r>
              <w:rPr>
                <w:rFonts w:cs="Arial"/>
                <w:szCs w:val="18"/>
                <w:lang w:val="en-GB"/>
              </w:rPr>
              <w:t>15.4</w:t>
            </w:r>
          </w:p>
        </w:tc>
      </w:tr>
    </w:tbl>
    <w:p w14:paraId="570980BF" w14:textId="77777777" w:rsidR="00094609" w:rsidRDefault="00094609" w:rsidP="00094609">
      <w:pPr>
        <w:pStyle w:val="CETBodytext"/>
        <w:rPr>
          <w:lang w:val="en-GB"/>
        </w:rPr>
      </w:pPr>
    </w:p>
    <w:p w14:paraId="2740059E" w14:textId="77777777" w:rsidR="00B464AF" w:rsidRDefault="00B464AF" w:rsidP="00094609">
      <w:pPr>
        <w:pStyle w:val="CETBodytext"/>
        <w:rPr>
          <w:lang w:val="en-GB"/>
        </w:rPr>
      </w:pPr>
    </w:p>
    <w:p w14:paraId="229D0C1C" w14:textId="77777777" w:rsidR="00094609" w:rsidRPr="0068647A" w:rsidRDefault="00094609" w:rsidP="00094609">
      <w:pPr>
        <w:pStyle w:val="CETBodytext"/>
        <w:rPr>
          <w:lang w:val="en-GB"/>
        </w:rPr>
      </w:pPr>
      <w:r w:rsidRPr="0068647A">
        <w:rPr>
          <w:lang w:val="en-GB"/>
        </w:rPr>
        <w:t>Figure</w:t>
      </w:r>
      <w:r>
        <w:rPr>
          <w:lang w:val="en-GB"/>
        </w:rPr>
        <w:t>s</w:t>
      </w:r>
      <w:r w:rsidRPr="0068647A">
        <w:rPr>
          <w:lang w:val="en-GB"/>
        </w:rPr>
        <w:t xml:space="preserve"> 4-</w:t>
      </w:r>
      <w:r>
        <w:rPr>
          <w:lang w:val="en-GB"/>
        </w:rPr>
        <w:t>A-</w:t>
      </w:r>
      <w:r w:rsidRPr="0068647A">
        <w:rPr>
          <w:lang w:val="en-GB"/>
        </w:rPr>
        <w:t>B</w:t>
      </w:r>
      <w:r>
        <w:rPr>
          <w:lang w:val="en-GB"/>
        </w:rPr>
        <w:t>-C-D show how the packed bed</w:t>
      </w:r>
      <w:r w:rsidRPr="00815630">
        <w:rPr>
          <w:lang w:val="en-GB"/>
        </w:rPr>
        <w:t xml:space="preserve"> </w:t>
      </w:r>
      <w:r>
        <w:rPr>
          <w:lang w:val="en-GB"/>
        </w:rPr>
        <w:t>negatively influenced the current generation. Increasing the volume of the non-conductive packed bed around the graphite granules, the electric current</w:t>
      </w:r>
      <w:r w:rsidRPr="00815630">
        <w:rPr>
          <w:lang w:val="en-GB"/>
        </w:rPr>
        <w:t xml:space="preserve"> </w:t>
      </w:r>
      <w:r>
        <w:rPr>
          <w:lang w:val="en-GB"/>
        </w:rPr>
        <w:t xml:space="preserve">decreases. Table 3 shows how the graphite granules surfaces did not significantly modify the current generation, therefore, even if the currents are expressed in current densities the trend does not change significantly. Probably, the explanation of those results is a non-electroactive biofilm formation on the silica bed which consumes the COD present in the solution. A second reason why the packed bed affects the current generation could be the lower mass transport through the bed to the graphite granule’s surface. The decrease of the COD concentration inside </w:t>
      </w:r>
      <w:r>
        <w:rPr>
          <w:lang w:val="en-GB"/>
        </w:rPr>
        <w:lastRenderedPageBreak/>
        <w:t>the solution and on the graphite granule’s surface lowers the metabolic reactions of the electroactive biofilm and subsequently the current. It’s important to underline that the electric current is expressed as a velocity (A = C/s), therefore a lower electric current indicates a slower metabolic bioreaction.</w:t>
      </w:r>
    </w:p>
    <w:p w14:paraId="19726C36" w14:textId="77777777" w:rsidR="00094609" w:rsidRDefault="00094609" w:rsidP="006D46AE">
      <w:pPr>
        <w:pStyle w:val="CETBodytext"/>
        <w:rPr>
          <w:lang w:val="en-GB"/>
        </w:rPr>
      </w:pPr>
    </w:p>
    <w:p w14:paraId="640E840B" w14:textId="77777777" w:rsidR="007A0D29" w:rsidRDefault="007A0D29" w:rsidP="006D46AE">
      <w:pPr>
        <w:pStyle w:val="CETBodytext"/>
        <w:rPr>
          <w:lang w:val="en-GB"/>
        </w:rPr>
      </w:pPr>
    </w:p>
    <w:p w14:paraId="2CCAF9A7" w14:textId="77777777" w:rsidR="00B464AF" w:rsidRDefault="00B464AF" w:rsidP="006D46AE">
      <w:pPr>
        <w:pStyle w:val="CETBodytext"/>
        <w:rPr>
          <w:lang w:val="en-GB"/>
        </w:rPr>
      </w:pPr>
    </w:p>
    <w:p w14:paraId="69B29310" w14:textId="77777777" w:rsidR="00E4782D" w:rsidRPr="0068647A" w:rsidRDefault="00E4782D" w:rsidP="00353EFE">
      <w:pPr>
        <w:pStyle w:val="CETBodytext"/>
        <w:jc w:val="left"/>
        <w:rPr>
          <w:lang w:val="en-GB"/>
        </w:rPr>
      </w:pPr>
      <w:r>
        <w:rPr>
          <w:noProof/>
          <w:lang w:val="en-GB"/>
        </w:rPr>
        <w:drawing>
          <wp:inline distT="0" distB="0" distL="0" distR="0" wp14:anchorId="37949A80" wp14:editId="00B0CA02">
            <wp:extent cx="5579745" cy="3635375"/>
            <wp:effectExtent l="0" t="0" r="1905"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3">
                      <a:extLst>
                        <a:ext uri="{28A0092B-C50C-407E-A947-70E740481C1C}">
                          <a14:useLocalDpi xmlns:a14="http://schemas.microsoft.com/office/drawing/2010/main" val="0"/>
                        </a:ext>
                      </a:extLst>
                    </a:blip>
                    <a:stretch>
                      <a:fillRect/>
                    </a:stretch>
                  </pic:blipFill>
                  <pic:spPr>
                    <a:xfrm>
                      <a:off x="0" y="0"/>
                      <a:ext cx="5599123" cy="3648000"/>
                    </a:xfrm>
                    <a:prstGeom prst="rect">
                      <a:avLst/>
                    </a:prstGeom>
                  </pic:spPr>
                </pic:pic>
              </a:graphicData>
            </a:graphic>
          </wp:inline>
        </w:drawing>
      </w:r>
    </w:p>
    <w:p w14:paraId="02C0C00E" w14:textId="6999E170" w:rsidR="00E4782D" w:rsidRDefault="00E4782D" w:rsidP="00353EFE">
      <w:pPr>
        <w:pStyle w:val="CETCaption"/>
        <w:jc w:val="left"/>
      </w:pPr>
      <w:r w:rsidRPr="0068647A">
        <w:t xml:space="preserve">Figure 4: </w:t>
      </w:r>
      <w:r>
        <w:t xml:space="preserve">Electric current profile of (A) the single granule bioanode; (B) </w:t>
      </w:r>
      <w:proofErr w:type="gramStart"/>
      <w:r>
        <w:t>small packed</w:t>
      </w:r>
      <w:proofErr w:type="gramEnd"/>
      <w:r>
        <w:t xml:space="preserve"> bed anode; (C) medium packed bed; (D) big packed bed </w:t>
      </w:r>
    </w:p>
    <w:p w14:paraId="4F6A6286" w14:textId="77777777" w:rsidR="00CE41DB" w:rsidRPr="0068647A" w:rsidRDefault="00CE41DB" w:rsidP="00E4782D">
      <w:pPr>
        <w:pStyle w:val="CETCaption"/>
        <w:jc w:val="center"/>
      </w:pPr>
    </w:p>
    <w:p w14:paraId="0981EE41" w14:textId="28055D41" w:rsidR="00F822C9" w:rsidRPr="0068647A" w:rsidRDefault="00F822C9" w:rsidP="00F822C9">
      <w:pPr>
        <w:pStyle w:val="CETHeading1"/>
        <w:rPr>
          <w:lang w:val="en-GB"/>
        </w:rPr>
      </w:pPr>
      <w:r w:rsidRPr="0068647A">
        <w:rPr>
          <w:lang w:val="en-GB"/>
        </w:rPr>
        <w:t>Conclusions</w:t>
      </w:r>
    </w:p>
    <w:p w14:paraId="3569DB1C" w14:textId="72BC2326" w:rsidR="00363969" w:rsidRDefault="00EB18D7" w:rsidP="00D35084">
      <w:pPr>
        <w:pStyle w:val="CETBodytext"/>
        <w:ind w:left="142"/>
        <w:rPr>
          <w:lang w:val="en-GB"/>
        </w:rPr>
      </w:pPr>
      <w:r>
        <w:rPr>
          <w:lang w:val="en-GB"/>
        </w:rPr>
        <w:t>The measurement of the EASA</w:t>
      </w:r>
      <w:r w:rsidR="00AB6A66">
        <w:rPr>
          <w:lang w:val="en-GB"/>
        </w:rPr>
        <w:t xml:space="preserve"> was successfully carried out measuring the CVs</w:t>
      </w:r>
      <w:r w:rsidR="008A2C28">
        <w:rPr>
          <w:lang w:val="en-GB"/>
        </w:rPr>
        <w:t xml:space="preserve">’ areas conducted at different scan rates. </w:t>
      </w:r>
      <w:r w:rsidR="00850E3D">
        <w:rPr>
          <w:lang w:val="en-GB"/>
        </w:rPr>
        <w:t>After the start up period</w:t>
      </w:r>
      <w:r w:rsidR="00815630">
        <w:rPr>
          <w:lang w:val="en-GB"/>
        </w:rPr>
        <w:t>,</w:t>
      </w:r>
      <w:r w:rsidR="00850E3D">
        <w:rPr>
          <w:lang w:val="en-GB"/>
        </w:rPr>
        <w:t xml:space="preserve"> the </w:t>
      </w:r>
      <w:r w:rsidR="00AE7BA1">
        <w:rPr>
          <w:lang w:val="en-GB"/>
        </w:rPr>
        <w:t xml:space="preserve">electroactive biofilms on the </w:t>
      </w:r>
      <w:r w:rsidR="00850E3D">
        <w:rPr>
          <w:lang w:val="en-GB"/>
        </w:rPr>
        <w:t xml:space="preserve">granules </w:t>
      </w:r>
      <w:r w:rsidR="00AE7BA1">
        <w:rPr>
          <w:lang w:val="en-GB"/>
        </w:rPr>
        <w:t xml:space="preserve">produced </w:t>
      </w:r>
      <w:r w:rsidR="00C53C99">
        <w:rPr>
          <w:lang w:val="en-GB"/>
        </w:rPr>
        <w:t xml:space="preserve">electric current but with different intensities. The </w:t>
      </w:r>
      <w:r w:rsidR="00812673">
        <w:rPr>
          <w:lang w:val="en-GB"/>
        </w:rPr>
        <w:t>significant difference</w:t>
      </w:r>
      <w:r w:rsidR="006B16EA">
        <w:rPr>
          <w:lang w:val="en-GB"/>
        </w:rPr>
        <w:t>s</w:t>
      </w:r>
      <w:r w:rsidR="00812673">
        <w:rPr>
          <w:lang w:val="en-GB"/>
        </w:rPr>
        <w:t xml:space="preserve"> between the </w:t>
      </w:r>
      <w:r w:rsidR="001F74BA">
        <w:rPr>
          <w:lang w:val="en-GB"/>
        </w:rPr>
        <w:t>electric current generat</w:t>
      </w:r>
      <w:r w:rsidR="006B16EA">
        <w:rPr>
          <w:lang w:val="en-GB"/>
        </w:rPr>
        <w:t>ed by the electroactive biofilm were due to</w:t>
      </w:r>
      <w:r w:rsidR="001D749E">
        <w:rPr>
          <w:lang w:val="en-GB"/>
        </w:rPr>
        <w:t xml:space="preserve"> the mass transport limitation</w:t>
      </w:r>
      <w:r w:rsidR="00BB56D1">
        <w:rPr>
          <w:lang w:val="en-GB"/>
        </w:rPr>
        <w:t xml:space="preserve"> </w:t>
      </w:r>
      <w:r w:rsidR="00815630">
        <w:rPr>
          <w:lang w:val="en-GB"/>
        </w:rPr>
        <w:t xml:space="preserve">generated </w:t>
      </w:r>
      <w:r w:rsidR="00BB56D1">
        <w:rPr>
          <w:lang w:val="en-GB"/>
        </w:rPr>
        <w:t xml:space="preserve">by the packed bed and by the non-electroactive biofilm grown on the </w:t>
      </w:r>
      <w:r w:rsidR="0026597C">
        <w:rPr>
          <w:lang w:val="en-GB"/>
        </w:rPr>
        <w:t xml:space="preserve">bed. Moreover, this non-electroactive biofilm reduced the COD concentration also in the </w:t>
      </w:r>
      <w:r w:rsidR="008378D8">
        <w:rPr>
          <w:lang w:val="en-GB"/>
        </w:rPr>
        <w:t>solution inside the reactor</w:t>
      </w:r>
      <w:r w:rsidR="00815630">
        <w:rPr>
          <w:lang w:val="en-GB"/>
        </w:rPr>
        <w:t>,</w:t>
      </w:r>
      <w:r w:rsidR="008378D8">
        <w:rPr>
          <w:lang w:val="en-GB"/>
        </w:rPr>
        <w:t xml:space="preserve"> lowering in two manners the COD availability </w:t>
      </w:r>
      <w:r w:rsidR="00454E4C">
        <w:rPr>
          <w:lang w:val="en-GB"/>
        </w:rPr>
        <w:t xml:space="preserve">for the electroactive biofilm. </w:t>
      </w:r>
      <w:r w:rsidR="00E4241D">
        <w:rPr>
          <w:lang w:val="en-GB"/>
        </w:rPr>
        <w:t>To conclude,</w:t>
      </w:r>
      <w:r w:rsidR="00454E4C">
        <w:rPr>
          <w:lang w:val="en-GB"/>
        </w:rPr>
        <w:t xml:space="preserve"> this experiment</w:t>
      </w:r>
      <w:r w:rsidR="001F74BA">
        <w:rPr>
          <w:lang w:val="en-GB"/>
        </w:rPr>
        <w:t xml:space="preserve"> </w:t>
      </w:r>
      <w:r w:rsidR="00E4241D">
        <w:rPr>
          <w:lang w:val="en-GB"/>
        </w:rPr>
        <w:t>demonstrates</w:t>
      </w:r>
      <w:r w:rsidR="00815630">
        <w:rPr>
          <w:lang w:val="en-GB"/>
        </w:rPr>
        <w:t xml:space="preserve"> the need of using conductive materials inside BESs, not only as electrodes but also as fixed bed for supporting the biofilm formation.</w:t>
      </w:r>
      <w:r w:rsidR="001C0863">
        <w:rPr>
          <w:lang w:val="en-GB"/>
        </w:rPr>
        <w:t xml:space="preserve"> Th</w:t>
      </w:r>
      <w:r w:rsidR="004E23C7">
        <w:rPr>
          <w:lang w:val="en-GB"/>
        </w:rPr>
        <w:t>ose</w:t>
      </w:r>
      <w:r w:rsidR="001C0863">
        <w:rPr>
          <w:lang w:val="en-GB"/>
        </w:rPr>
        <w:t xml:space="preserve"> result</w:t>
      </w:r>
      <w:r w:rsidR="004E23C7">
        <w:rPr>
          <w:lang w:val="en-GB"/>
        </w:rPr>
        <w:t>s imply that</w:t>
      </w:r>
      <w:r w:rsidR="00733169">
        <w:rPr>
          <w:lang w:val="en-GB"/>
        </w:rPr>
        <w:t xml:space="preserve"> for a scaled up BES</w:t>
      </w:r>
      <w:r w:rsidR="00A8321B">
        <w:rPr>
          <w:lang w:val="en-GB"/>
        </w:rPr>
        <w:t>,</w:t>
      </w:r>
      <w:r w:rsidR="00733169">
        <w:rPr>
          <w:lang w:val="en-GB"/>
        </w:rPr>
        <w:t xml:space="preserve"> </w:t>
      </w:r>
      <w:r w:rsidR="00F87DBD">
        <w:rPr>
          <w:lang w:val="en-GB"/>
        </w:rPr>
        <w:t xml:space="preserve">big electrodes with </w:t>
      </w:r>
      <w:r w:rsidR="0067315E">
        <w:rPr>
          <w:lang w:val="en-GB"/>
        </w:rPr>
        <w:t>the highest</w:t>
      </w:r>
      <w:r w:rsidR="00F87DBD">
        <w:rPr>
          <w:lang w:val="en-GB"/>
        </w:rPr>
        <w:t xml:space="preserve"> electroactive surface</w:t>
      </w:r>
      <w:r w:rsidR="00A8321B">
        <w:rPr>
          <w:lang w:val="en-GB"/>
        </w:rPr>
        <w:t xml:space="preserve"> are necessary. Therefore, relative high investment</w:t>
      </w:r>
      <w:r w:rsidR="00EE6997">
        <w:rPr>
          <w:lang w:val="en-GB"/>
        </w:rPr>
        <w:t>s are needed to build big</w:t>
      </w:r>
      <w:r w:rsidR="000B12F0">
        <w:rPr>
          <w:lang w:val="en-GB"/>
        </w:rPr>
        <w:t xml:space="preserve"> systems.</w:t>
      </w:r>
    </w:p>
    <w:p w14:paraId="7F48FF9D" w14:textId="77777777" w:rsidR="00E4782D" w:rsidRDefault="00E4782D" w:rsidP="00D35084">
      <w:pPr>
        <w:pStyle w:val="CETBodytext"/>
        <w:ind w:left="142"/>
        <w:rPr>
          <w:lang w:val="en-GB"/>
        </w:rPr>
      </w:pPr>
    </w:p>
    <w:p w14:paraId="60754F01" w14:textId="77777777" w:rsidR="00B464AF" w:rsidRDefault="00B464AF" w:rsidP="00D35084">
      <w:pPr>
        <w:pStyle w:val="CETBodytext"/>
        <w:ind w:left="142"/>
        <w:rPr>
          <w:lang w:val="en-GB"/>
        </w:rPr>
      </w:pPr>
    </w:p>
    <w:p w14:paraId="4EAD10AA" w14:textId="77777777" w:rsidR="000B12F0" w:rsidRDefault="000B12F0" w:rsidP="00D35084">
      <w:pPr>
        <w:pStyle w:val="CETBodytext"/>
        <w:ind w:left="142"/>
        <w:rPr>
          <w:lang w:val="en-GB"/>
        </w:rPr>
      </w:pPr>
    </w:p>
    <w:p w14:paraId="23CE4DDA" w14:textId="77777777" w:rsidR="000B12F0" w:rsidRDefault="000B12F0" w:rsidP="00D35084">
      <w:pPr>
        <w:pStyle w:val="CETBodytext"/>
        <w:ind w:left="142"/>
        <w:rPr>
          <w:lang w:val="en-GB"/>
        </w:rPr>
      </w:pPr>
    </w:p>
    <w:p w14:paraId="1571D2C5" w14:textId="77777777" w:rsidR="000B12F0" w:rsidRDefault="000B12F0" w:rsidP="00D35084">
      <w:pPr>
        <w:pStyle w:val="CETBodytext"/>
        <w:ind w:left="142"/>
        <w:rPr>
          <w:lang w:val="en-GB"/>
        </w:rPr>
      </w:pPr>
    </w:p>
    <w:p w14:paraId="4E174291" w14:textId="77777777" w:rsidR="000B12F0" w:rsidRDefault="000B12F0" w:rsidP="00D35084">
      <w:pPr>
        <w:pStyle w:val="CETBodytext"/>
        <w:ind w:left="142"/>
        <w:rPr>
          <w:lang w:val="en-GB"/>
        </w:rPr>
      </w:pPr>
    </w:p>
    <w:p w14:paraId="54B337F5" w14:textId="77777777" w:rsidR="000B12F0" w:rsidRDefault="000B12F0" w:rsidP="00D35084">
      <w:pPr>
        <w:pStyle w:val="CETBodytext"/>
        <w:ind w:left="142"/>
        <w:rPr>
          <w:lang w:val="en-GB"/>
        </w:rPr>
      </w:pPr>
    </w:p>
    <w:p w14:paraId="32C85928" w14:textId="77777777" w:rsidR="000B12F0" w:rsidRDefault="000B12F0" w:rsidP="00D35084">
      <w:pPr>
        <w:pStyle w:val="CETBodytext"/>
        <w:ind w:left="142"/>
        <w:rPr>
          <w:lang w:val="en-GB"/>
        </w:rPr>
      </w:pPr>
    </w:p>
    <w:p w14:paraId="6B73F949" w14:textId="77777777" w:rsidR="000B12F0" w:rsidRDefault="000B12F0" w:rsidP="00D35084">
      <w:pPr>
        <w:pStyle w:val="CETBodytext"/>
        <w:ind w:left="142"/>
        <w:rPr>
          <w:lang w:val="en-GB"/>
        </w:rPr>
      </w:pPr>
    </w:p>
    <w:p w14:paraId="280A5A3C" w14:textId="77777777" w:rsidR="00B464AF" w:rsidRPr="00BB167D" w:rsidRDefault="00B464AF" w:rsidP="00D35084">
      <w:pPr>
        <w:pStyle w:val="CETBodytext"/>
        <w:ind w:left="142"/>
        <w:rPr>
          <w:lang w:val="en-GB"/>
        </w:rPr>
      </w:pPr>
    </w:p>
    <w:p w14:paraId="3E658F72" w14:textId="77777777" w:rsidR="00F822C9" w:rsidRDefault="00F822C9" w:rsidP="00A62CAC">
      <w:pPr>
        <w:pStyle w:val="CETReference"/>
      </w:pPr>
      <w:r w:rsidRPr="00A54B83">
        <w:lastRenderedPageBreak/>
        <w:t>References</w:t>
      </w:r>
    </w:p>
    <w:p w14:paraId="6DB3F5C7" w14:textId="77777777" w:rsidR="00F0497A" w:rsidRPr="00A54B83" w:rsidRDefault="00F0497A" w:rsidP="00A62CAC">
      <w:pPr>
        <w:pStyle w:val="CETReference"/>
      </w:pPr>
    </w:p>
    <w:p w14:paraId="0D2D7C4F" w14:textId="77777777" w:rsidR="00CE2310" w:rsidRPr="0068647A" w:rsidRDefault="00CE2310" w:rsidP="00CE2310">
      <w:pPr>
        <w:pStyle w:val="EndNoteBibliography"/>
        <w:ind w:left="284" w:hanging="284"/>
        <w:rPr>
          <w:sz w:val="18"/>
          <w:szCs w:val="18"/>
          <w:lang w:val="en-GB"/>
        </w:rPr>
      </w:pPr>
      <w:r w:rsidRPr="0068647A">
        <w:rPr>
          <w:sz w:val="18"/>
          <w:szCs w:val="18"/>
          <w:lang w:val="en-GB"/>
        </w:rPr>
        <w:t>Angelidaki, I., Treu, L., Tsapekos, P., Luo, G., Campanaro, S., Wenzel, H., Kougias, P.G. 2018. Biogas upgrading and utilization: Current status and perspectives. Biotechnology Advances, 36(2), 452-466.</w:t>
      </w:r>
    </w:p>
    <w:p w14:paraId="07A25AB2" w14:textId="77777777" w:rsidR="00CE2310" w:rsidRPr="0068647A" w:rsidRDefault="00CE2310" w:rsidP="00CE2310">
      <w:pPr>
        <w:pStyle w:val="EndNoteBibliography"/>
        <w:ind w:left="284" w:hanging="284"/>
        <w:rPr>
          <w:sz w:val="18"/>
          <w:szCs w:val="18"/>
          <w:lang w:val="en-GB"/>
        </w:rPr>
      </w:pPr>
      <w:r w:rsidRPr="0068647A">
        <w:rPr>
          <w:sz w:val="18"/>
          <w:szCs w:val="18"/>
          <w:lang w:val="en-GB"/>
        </w:rPr>
        <w:t>Cheng, S., Logan, B. 2013. Electromethanogenic reactor and processes for methane production, Google Patents.</w:t>
      </w:r>
    </w:p>
    <w:p w14:paraId="7A7E25EB" w14:textId="77777777" w:rsidR="00CE2310" w:rsidRDefault="00CE2310" w:rsidP="00CE2310">
      <w:pPr>
        <w:pStyle w:val="EndNoteBibliography"/>
        <w:ind w:left="284" w:hanging="284"/>
        <w:rPr>
          <w:sz w:val="18"/>
          <w:szCs w:val="18"/>
          <w:lang w:val="en-GB"/>
        </w:rPr>
      </w:pPr>
      <w:r w:rsidRPr="003E7A72">
        <w:rPr>
          <w:sz w:val="18"/>
          <w:szCs w:val="18"/>
          <w:lang w:val="it-IT"/>
        </w:rPr>
        <w:t xml:space="preserve">Cristiani, L., Zeppilli, M., Porcu, C., Majone, M. 2020. </w:t>
      </w:r>
      <w:r w:rsidRPr="0068647A">
        <w:rPr>
          <w:sz w:val="18"/>
          <w:szCs w:val="18"/>
          <w:lang w:val="en-GB"/>
        </w:rPr>
        <w:t>Ammonium Recovery and Biogas Upgrading in a Tubular Micro-Pilot Microbial Electrolysis Cell (MEC). Molecules, 25, 2723.</w:t>
      </w:r>
    </w:p>
    <w:p w14:paraId="3382EECD" w14:textId="24D3C7EC" w:rsidR="007F010D" w:rsidRPr="00AC311C" w:rsidRDefault="007F010D" w:rsidP="00CE2310">
      <w:pPr>
        <w:pStyle w:val="EndNoteBibliography"/>
        <w:ind w:left="284" w:hanging="284"/>
        <w:rPr>
          <w:sz w:val="18"/>
          <w:szCs w:val="18"/>
        </w:rPr>
      </w:pPr>
      <w:r w:rsidRPr="00F30FFD">
        <w:rPr>
          <w:sz w:val="18"/>
          <w:szCs w:val="18"/>
          <w:lang w:val="it-IT"/>
        </w:rPr>
        <w:t>Cristiani, L.</w:t>
      </w:r>
      <w:r w:rsidR="00901237" w:rsidRPr="00F30FFD">
        <w:rPr>
          <w:sz w:val="18"/>
          <w:szCs w:val="18"/>
          <w:lang w:val="it-IT"/>
        </w:rPr>
        <w:t>,</w:t>
      </w:r>
      <w:r w:rsidR="00753A4E" w:rsidRPr="00F30FFD">
        <w:rPr>
          <w:sz w:val="18"/>
          <w:szCs w:val="18"/>
          <w:lang w:val="it-IT"/>
        </w:rPr>
        <w:t xml:space="preserve"> Zeppilli, M., Villano, M., Majone, M. </w:t>
      </w:r>
      <w:r w:rsidR="00AB1C36" w:rsidRPr="00F30FFD">
        <w:rPr>
          <w:sz w:val="18"/>
          <w:szCs w:val="18"/>
          <w:lang w:val="it-IT"/>
        </w:rPr>
        <w:t>2021</w:t>
      </w:r>
      <w:r w:rsidR="00F30FFD" w:rsidRPr="00F30FFD">
        <w:rPr>
          <w:sz w:val="18"/>
          <w:szCs w:val="18"/>
          <w:lang w:val="it-IT"/>
        </w:rPr>
        <w:t>a</w:t>
      </w:r>
      <w:r w:rsidR="00AB1C36" w:rsidRPr="00F30FFD">
        <w:rPr>
          <w:sz w:val="18"/>
          <w:szCs w:val="18"/>
          <w:lang w:val="it-IT"/>
        </w:rPr>
        <w:t xml:space="preserve">. </w:t>
      </w:r>
      <w:r w:rsidR="00AB1C36" w:rsidRPr="00AB1C36">
        <w:rPr>
          <w:sz w:val="18"/>
          <w:szCs w:val="18"/>
          <w:lang w:val="en-GB"/>
        </w:rPr>
        <w:t>Role of the organic l</w:t>
      </w:r>
      <w:r w:rsidR="00AB1C36">
        <w:rPr>
          <w:sz w:val="18"/>
          <w:szCs w:val="18"/>
          <w:lang w:val="en-GB"/>
        </w:rPr>
        <w:t>oading rate and the electrodes’ potential control strategy on the performance of a micro pilot tubular microbial electrolysis</w:t>
      </w:r>
      <w:r w:rsidR="0087339C">
        <w:rPr>
          <w:sz w:val="18"/>
          <w:szCs w:val="18"/>
          <w:lang w:val="en-GB"/>
        </w:rPr>
        <w:t xml:space="preserve">. </w:t>
      </w:r>
      <w:r w:rsidR="0087339C" w:rsidRPr="00AC311C">
        <w:rPr>
          <w:sz w:val="18"/>
          <w:szCs w:val="18"/>
        </w:rPr>
        <w:t xml:space="preserve">Chemical Engineering Journal, </w:t>
      </w:r>
      <w:r w:rsidR="00297589" w:rsidRPr="00AC311C">
        <w:rPr>
          <w:sz w:val="18"/>
          <w:szCs w:val="18"/>
        </w:rPr>
        <w:t>426</w:t>
      </w:r>
    </w:p>
    <w:p w14:paraId="71643141" w14:textId="1617CBFF" w:rsidR="00D807B8" w:rsidRPr="006E4881" w:rsidRDefault="00D807B8" w:rsidP="00CE2310">
      <w:pPr>
        <w:pStyle w:val="EndNoteBibliography"/>
        <w:ind w:left="284" w:hanging="284"/>
        <w:rPr>
          <w:sz w:val="18"/>
          <w:szCs w:val="18"/>
          <w:lang w:val="en-GB"/>
        </w:rPr>
      </w:pPr>
      <w:r w:rsidRPr="00F30FFD">
        <w:rPr>
          <w:sz w:val="18"/>
          <w:szCs w:val="18"/>
          <w:lang w:val="it-IT"/>
        </w:rPr>
        <w:t xml:space="preserve">Cristiani, L., Ferretti, J., Zeppilli, M. </w:t>
      </w:r>
      <w:r w:rsidR="00F30FFD" w:rsidRPr="00F30FFD">
        <w:rPr>
          <w:sz w:val="18"/>
          <w:szCs w:val="18"/>
          <w:lang w:val="it-IT"/>
        </w:rPr>
        <w:t>2021b</w:t>
      </w:r>
      <w:r w:rsidR="00F30FFD" w:rsidRPr="00F30FFD">
        <w:rPr>
          <w:sz w:val="18"/>
          <w:szCs w:val="18"/>
          <w:lang w:val="it-IT"/>
        </w:rPr>
        <w:t xml:space="preserve">. </w:t>
      </w:r>
      <w:r w:rsidRPr="00D807B8">
        <w:rPr>
          <w:sz w:val="18"/>
          <w:szCs w:val="18"/>
          <w:lang w:val="en-GB"/>
        </w:rPr>
        <w:t>Electrons recycle concept in a microbial electrolysis cell for</w:t>
      </w:r>
      <w:r>
        <w:rPr>
          <w:sz w:val="18"/>
          <w:szCs w:val="18"/>
          <w:lang w:val="en-GB"/>
        </w:rPr>
        <w:t xml:space="preserve"> biogas upgrading</w:t>
      </w:r>
      <w:r w:rsidR="00DE4512">
        <w:rPr>
          <w:sz w:val="18"/>
          <w:szCs w:val="18"/>
          <w:lang w:val="en-GB"/>
        </w:rPr>
        <w:t xml:space="preserve">. </w:t>
      </w:r>
      <w:r w:rsidR="00DE4512" w:rsidRPr="006E4881">
        <w:rPr>
          <w:sz w:val="18"/>
          <w:szCs w:val="18"/>
          <w:lang w:val="en-GB"/>
        </w:rPr>
        <w:t xml:space="preserve">Chemical Engineering &amp; Technology, </w:t>
      </w:r>
    </w:p>
    <w:p w14:paraId="283BE547" w14:textId="4C169FB4" w:rsidR="00CE2310" w:rsidRDefault="00CE2310" w:rsidP="00CE2310">
      <w:pPr>
        <w:pStyle w:val="EndNoteBibliography"/>
        <w:ind w:left="284" w:hanging="284"/>
        <w:rPr>
          <w:sz w:val="18"/>
          <w:szCs w:val="18"/>
          <w:lang w:val="en-GB"/>
        </w:rPr>
      </w:pPr>
      <w:r w:rsidRPr="00F30FFD">
        <w:rPr>
          <w:sz w:val="18"/>
          <w:szCs w:val="18"/>
          <w:lang w:val="it-IT"/>
        </w:rPr>
        <w:t xml:space="preserve">Zeppilli, M., Cristiani, L., Dell’Armi, E., Majone, M. 2020. </w:t>
      </w:r>
      <w:r w:rsidRPr="0068647A">
        <w:rPr>
          <w:sz w:val="18"/>
          <w:szCs w:val="18"/>
          <w:lang w:val="en-GB"/>
        </w:rPr>
        <w:t>Bioelectromethanogenesis reaction in a tubular Microbial Electrolysis Cell (MEC) for biogas upgrading. Renewable Energy, 158, 23-31.</w:t>
      </w:r>
    </w:p>
    <w:p w14:paraId="4F0CF347" w14:textId="0C0FDD9C" w:rsidR="00C43303" w:rsidRPr="004A0000" w:rsidRDefault="00C43303" w:rsidP="00CE2310">
      <w:pPr>
        <w:pStyle w:val="EndNoteBibliography"/>
        <w:ind w:left="284" w:hanging="284"/>
        <w:rPr>
          <w:sz w:val="18"/>
          <w:szCs w:val="18"/>
          <w:lang w:val="en-GB"/>
        </w:rPr>
      </w:pPr>
      <w:r w:rsidRPr="007C7F34">
        <w:rPr>
          <w:sz w:val="18"/>
          <w:szCs w:val="18"/>
          <w:lang w:val="it-IT"/>
        </w:rPr>
        <w:t>Zeppilli, M., Matturro, B., Dell’Armi, E.,</w:t>
      </w:r>
      <w:r w:rsidR="003D49C4" w:rsidRPr="007C7F34">
        <w:rPr>
          <w:sz w:val="18"/>
          <w:szCs w:val="18"/>
          <w:lang w:val="it-IT"/>
        </w:rPr>
        <w:t xml:space="preserve"> Cristiani, L., Petrangeli Papini, M., Rossetti, S., Majone, M.</w:t>
      </w:r>
      <w:r w:rsidR="005D77B7" w:rsidRPr="007C7F34">
        <w:rPr>
          <w:sz w:val="18"/>
          <w:szCs w:val="18"/>
          <w:lang w:val="it-IT"/>
        </w:rPr>
        <w:t xml:space="preserve"> </w:t>
      </w:r>
      <w:r w:rsidR="007C7F34" w:rsidRPr="007C7F34">
        <w:rPr>
          <w:sz w:val="18"/>
          <w:szCs w:val="18"/>
          <w:lang w:val="it-IT"/>
        </w:rPr>
        <w:t>2021a</w:t>
      </w:r>
      <w:r w:rsidR="007C7F34" w:rsidRPr="007C7F34">
        <w:rPr>
          <w:sz w:val="18"/>
          <w:szCs w:val="18"/>
          <w:lang w:val="it-IT"/>
        </w:rPr>
        <w:t xml:space="preserve">. </w:t>
      </w:r>
      <w:r w:rsidR="004A0000" w:rsidRPr="004A0000">
        <w:rPr>
          <w:sz w:val="18"/>
          <w:szCs w:val="18"/>
          <w:lang w:val="en-GB"/>
        </w:rPr>
        <w:t>Redictive/oxidative sequential</w:t>
      </w:r>
      <w:r w:rsidR="004A0000">
        <w:rPr>
          <w:sz w:val="18"/>
          <w:szCs w:val="18"/>
          <w:lang w:val="en-GB"/>
        </w:rPr>
        <w:t xml:space="preserve"> bioelectrochemical process for Perchloroethylene (PCE) removal: effect of the applied reductive potential and microbial community character</w:t>
      </w:r>
      <w:r w:rsidR="00A15D7F">
        <w:rPr>
          <w:sz w:val="18"/>
          <w:szCs w:val="18"/>
          <w:lang w:val="en-GB"/>
        </w:rPr>
        <w:t xml:space="preserve">ization. </w:t>
      </w:r>
      <w:r w:rsidR="005D77B7" w:rsidRPr="004A0000">
        <w:rPr>
          <w:sz w:val="18"/>
          <w:szCs w:val="18"/>
          <w:lang w:val="en-GB"/>
        </w:rPr>
        <w:t xml:space="preserve">Journal of Enviromental Chemical Engineering, </w:t>
      </w:r>
    </w:p>
    <w:p w14:paraId="74138675" w14:textId="0E68CEE0" w:rsidR="006E4881" w:rsidRDefault="006E4881" w:rsidP="00CE2310">
      <w:pPr>
        <w:pStyle w:val="EndNoteBibliography"/>
        <w:ind w:left="284" w:hanging="284"/>
        <w:rPr>
          <w:sz w:val="18"/>
          <w:szCs w:val="18"/>
          <w:lang w:val="en-GB"/>
        </w:rPr>
      </w:pPr>
      <w:r w:rsidRPr="007C7F34">
        <w:rPr>
          <w:sz w:val="18"/>
          <w:szCs w:val="18"/>
          <w:lang w:val="it-IT"/>
        </w:rPr>
        <w:t xml:space="preserve">Zeppilli, M., </w:t>
      </w:r>
      <w:r w:rsidR="00BC5CA5" w:rsidRPr="007C7F34">
        <w:rPr>
          <w:sz w:val="18"/>
          <w:szCs w:val="18"/>
          <w:lang w:val="it-IT"/>
        </w:rPr>
        <w:t xml:space="preserve">Cristiani, L., Villano, M., Majone, M. </w:t>
      </w:r>
      <w:r w:rsidR="007C7F34" w:rsidRPr="007C7F34">
        <w:rPr>
          <w:sz w:val="18"/>
          <w:szCs w:val="18"/>
          <w:lang w:val="it-IT"/>
        </w:rPr>
        <w:t>2021b</w:t>
      </w:r>
      <w:r w:rsidR="007C7F34" w:rsidRPr="007C7F34">
        <w:rPr>
          <w:sz w:val="18"/>
          <w:szCs w:val="18"/>
          <w:lang w:val="it-IT"/>
        </w:rPr>
        <w:t xml:space="preserve"> . </w:t>
      </w:r>
      <w:r w:rsidR="00980144" w:rsidRPr="00980144">
        <w:rPr>
          <w:sz w:val="18"/>
          <w:szCs w:val="18"/>
          <w:lang w:val="en-GB"/>
        </w:rPr>
        <w:t>Carbon Dioxide Abatement and Biofilm Growth in</w:t>
      </w:r>
      <w:r w:rsidR="00980144">
        <w:rPr>
          <w:sz w:val="18"/>
          <w:szCs w:val="18"/>
          <w:lang w:val="en-GB"/>
        </w:rPr>
        <w:t xml:space="preserve"> MEC equipped with a packed bed adsorption column.</w:t>
      </w:r>
      <w:r w:rsidR="00292574">
        <w:rPr>
          <w:sz w:val="18"/>
          <w:szCs w:val="18"/>
          <w:lang w:val="en-GB"/>
        </w:rPr>
        <w:t xml:space="preserve"> Chemical Engineering Transaction </w:t>
      </w:r>
    </w:p>
    <w:p w14:paraId="14745075" w14:textId="3F94AE66" w:rsidR="005D77B7" w:rsidRPr="00FF5C6E" w:rsidRDefault="005D77B7" w:rsidP="00CE2310">
      <w:pPr>
        <w:pStyle w:val="EndNoteBibliography"/>
        <w:ind w:left="284" w:hanging="284"/>
        <w:rPr>
          <w:sz w:val="18"/>
          <w:szCs w:val="18"/>
          <w:lang w:val="en-GB"/>
        </w:rPr>
      </w:pPr>
      <w:r w:rsidRPr="007C7F34">
        <w:rPr>
          <w:sz w:val="18"/>
          <w:szCs w:val="18"/>
          <w:lang w:val="it-IT"/>
        </w:rPr>
        <w:t xml:space="preserve">Zeppilli, M., </w:t>
      </w:r>
      <w:r w:rsidR="00B46EFB" w:rsidRPr="007C7F34">
        <w:rPr>
          <w:sz w:val="18"/>
          <w:szCs w:val="18"/>
          <w:lang w:val="it-IT"/>
        </w:rPr>
        <w:t>Cristiani, L., Ferretti, J., Majone, M., Villano, M.</w:t>
      </w:r>
      <w:r w:rsidR="00FF5C6E" w:rsidRPr="007C7F34">
        <w:rPr>
          <w:sz w:val="18"/>
          <w:szCs w:val="18"/>
          <w:lang w:val="it-IT"/>
        </w:rPr>
        <w:t xml:space="preserve"> </w:t>
      </w:r>
      <w:r w:rsidR="007C7F34" w:rsidRPr="007C7F34">
        <w:rPr>
          <w:sz w:val="18"/>
          <w:szCs w:val="18"/>
          <w:lang w:val="it-IT"/>
        </w:rPr>
        <w:t>2022</w:t>
      </w:r>
      <w:r w:rsidR="007C7F34" w:rsidRPr="007C7F34">
        <w:rPr>
          <w:sz w:val="18"/>
          <w:szCs w:val="18"/>
          <w:lang w:val="it-IT"/>
        </w:rPr>
        <w:t xml:space="preserve">. </w:t>
      </w:r>
      <w:r w:rsidR="00FF5C6E" w:rsidRPr="00FF5C6E">
        <w:rPr>
          <w:sz w:val="18"/>
          <w:szCs w:val="18"/>
          <w:lang w:val="en-GB"/>
        </w:rPr>
        <w:t>Acetogenic Inoculum Selection for Acetate Production from Waste Biomasses v</w:t>
      </w:r>
      <w:r w:rsidR="00FF5C6E">
        <w:rPr>
          <w:sz w:val="18"/>
          <w:szCs w:val="18"/>
          <w:lang w:val="en-GB"/>
        </w:rPr>
        <w:t>ia Thermal Shock Treatment. Chemical Engineering Transaction</w:t>
      </w:r>
    </w:p>
    <w:p w14:paraId="2EC75F63" w14:textId="1529B9AE" w:rsidR="007F753B" w:rsidRPr="00FF5C6E" w:rsidRDefault="007F753B" w:rsidP="00F822C9">
      <w:pPr>
        <w:pStyle w:val="EndNoteBibliography"/>
        <w:ind w:left="284" w:hanging="284"/>
        <w:rPr>
          <w:sz w:val="18"/>
          <w:szCs w:val="18"/>
          <w:lang w:val="en-GB"/>
        </w:rPr>
      </w:pPr>
    </w:p>
    <w:sectPr w:rsidR="007F753B" w:rsidRPr="00FF5C6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CD20" w14:textId="77777777" w:rsidR="007A3753" w:rsidRDefault="007A3753" w:rsidP="002A5ABA">
      <w:pPr>
        <w:spacing w:line="240" w:lineRule="auto"/>
      </w:pPr>
      <w:r>
        <w:separator/>
      </w:r>
    </w:p>
  </w:endnote>
  <w:endnote w:type="continuationSeparator" w:id="0">
    <w:p w14:paraId="2412062E" w14:textId="77777777" w:rsidR="007A3753" w:rsidRDefault="007A3753" w:rsidP="002A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dvP6960">
    <w:altName w:val="Cambri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374A" w14:textId="77777777" w:rsidR="007A3753" w:rsidRDefault="007A3753" w:rsidP="002A5ABA">
      <w:pPr>
        <w:spacing w:line="240" w:lineRule="auto"/>
      </w:pPr>
      <w:r>
        <w:separator/>
      </w:r>
    </w:p>
  </w:footnote>
  <w:footnote w:type="continuationSeparator" w:id="0">
    <w:p w14:paraId="7EAE3364" w14:textId="77777777" w:rsidR="007A3753" w:rsidRDefault="007A3753" w:rsidP="002A5A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0703F22"/>
    <w:multiLevelType w:val="hybridMultilevel"/>
    <w:tmpl w:val="92D458B0"/>
    <w:lvl w:ilvl="0" w:tplc="D7349E6E">
      <w:start w:val="2"/>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6F65E80"/>
    <w:multiLevelType w:val="hybridMultilevel"/>
    <w:tmpl w:val="230AABE6"/>
    <w:lvl w:ilvl="0" w:tplc="D7349E6E">
      <w:start w:val="2"/>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300D92"/>
    <w:multiLevelType w:val="hybridMultilevel"/>
    <w:tmpl w:val="2B140864"/>
    <w:lvl w:ilvl="0" w:tplc="D7349E6E">
      <w:start w:val="2"/>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232277"/>
    <w:multiLevelType w:val="hybridMultilevel"/>
    <w:tmpl w:val="214A7332"/>
    <w:lvl w:ilvl="0" w:tplc="325C82F2">
      <w:start w:val="20"/>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F446A7"/>
    <w:multiLevelType w:val="hybridMultilevel"/>
    <w:tmpl w:val="7B64376C"/>
    <w:lvl w:ilvl="0" w:tplc="D7349E6E">
      <w:start w:val="2"/>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2277802">
    <w:abstractNumId w:val="11"/>
  </w:num>
  <w:num w:numId="2" w16cid:durableId="351535393">
    <w:abstractNumId w:val="8"/>
  </w:num>
  <w:num w:numId="3" w16cid:durableId="1107575527">
    <w:abstractNumId w:val="3"/>
  </w:num>
  <w:num w:numId="4" w16cid:durableId="283343645">
    <w:abstractNumId w:val="2"/>
  </w:num>
  <w:num w:numId="5" w16cid:durableId="918442010">
    <w:abstractNumId w:val="1"/>
  </w:num>
  <w:num w:numId="6" w16cid:durableId="285163544">
    <w:abstractNumId w:val="0"/>
  </w:num>
  <w:num w:numId="7" w16cid:durableId="1364210806">
    <w:abstractNumId w:val="9"/>
  </w:num>
  <w:num w:numId="8" w16cid:durableId="1483353967">
    <w:abstractNumId w:val="7"/>
  </w:num>
  <w:num w:numId="9" w16cid:durableId="593824568">
    <w:abstractNumId w:val="6"/>
  </w:num>
  <w:num w:numId="10" w16cid:durableId="1875000221">
    <w:abstractNumId w:val="5"/>
  </w:num>
  <w:num w:numId="11" w16cid:durableId="225336114">
    <w:abstractNumId w:val="4"/>
  </w:num>
  <w:num w:numId="12" w16cid:durableId="1202594790">
    <w:abstractNumId w:val="20"/>
  </w:num>
  <w:num w:numId="13" w16cid:durableId="172112445">
    <w:abstractNumId w:val="14"/>
  </w:num>
  <w:num w:numId="14" w16cid:durableId="506093760">
    <w:abstractNumId w:val="21"/>
  </w:num>
  <w:num w:numId="15" w16cid:durableId="878931519">
    <w:abstractNumId w:val="24"/>
  </w:num>
  <w:num w:numId="16" w16cid:durableId="923878027">
    <w:abstractNumId w:val="23"/>
  </w:num>
  <w:num w:numId="17" w16cid:durableId="237178352">
    <w:abstractNumId w:val="13"/>
  </w:num>
  <w:num w:numId="18" w16cid:durableId="1968314213">
    <w:abstractNumId w:val="14"/>
    <w:lvlOverride w:ilvl="0">
      <w:startOverride w:val="1"/>
    </w:lvlOverride>
  </w:num>
  <w:num w:numId="19" w16cid:durableId="2067604138">
    <w:abstractNumId w:val="19"/>
  </w:num>
  <w:num w:numId="20" w16cid:durableId="1590775648">
    <w:abstractNumId w:val="18"/>
  </w:num>
  <w:num w:numId="21" w16cid:durableId="530414190">
    <w:abstractNumId w:val="17"/>
  </w:num>
  <w:num w:numId="22" w16cid:durableId="877936501">
    <w:abstractNumId w:val="15"/>
  </w:num>
  <w:num w:numId="23" w16cid:durableId="966350171">
    <w:abstractNumId w:val="12"/>
  </w:num>
  <w:num w:numId="24" w16cid:durableId="2134708890">
    <w:abstractNumId w:val="16"/>
  </w:num>
  <w:num w:numId="25" w16cid:durableId="103035622">
    <w:abstractNumId w:val="22"/>
  </w:num>
  <w:num w:numId="26" w16cid:durableId="1508013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822C9"/>
    <w:rsid w:val="000025E3"/>
    <w:rsid w:val="000153D9"/>
    <w:rsid w:val="000162D1"/>
    <w:rsid w:val="00032D16"/>
    <w:rsid w:val="00032F88"/>
    <w:rsid w:val="000334D2"/>
    <w:rsid w:val="00033DA8"/>
    <w:rsid w:val="000367BA"/>
    <w:rsid w:val="00042E4D"/>
    <w:rsid w:val="00053BEE"/>
    <w:rsid w:val="00057981"/>
    <w:rsid w:val="00057C52"/>
    <w:rsid w:val="000617B1"/>
    <w:rsid w:val="00062D8C"/>
    <w:rsid w:val="00071585"/>
    <w:rsid w:val="000836C5"/>
    <w:rsid w:val="00094609"/>
    <w:rsid w:val="000A5F89"/>
    <w:rsid w:val="000B12F0"/>
    <w:rsid w:val="000C22F7"/>
    <w:rsid w:val="000D6162"/>
    <w:rsid w:val="000D7327"/>
    <w:rsid w:val="000F0555"/>
    <w:rsid w:val="000F1EE3"/>
    <w:rsid w:val="001009DE"/>
    <w:rsid w:val="00102AD1"/>
    <w:rsid w:val="001040D6"/>
    <w:rsid w:val="00116C3F"/>
    <w:rsid w:val="00120479"/>
    <w:rsid w:val="0014072C"/>
    <w:rsid w:val="001438F9"/>
    <w:rsid w:val="0016273B"/>
    <w:rsid w:val="00162C44"/>
    <w:rsid w:val="00166835"/>
    <w:rsid w:val="00167E4E"/>
    <w:rsid w:val="00172C3E"/>
    <w:rsid w:val="00173792"/>
    <w:rsid w:val="00176113"/>
    <w:rsid w:val="001761C1"/>
    <w:rsid w:val="0017681E"/>
    <w:rsid w:val="00180E0F"/>
    <w:rsid w:val="001A20D6"/>
    <w:rsid w:val="001B229B"/>
    <w:rsid w:val="001C0863"/>
    <w:rsid w:val="001D21B8"/>
    <w:rsid w:val="001D749E"/>
    <w:rsid w:val="001D79E1"/>
    <w:rsid w:val="001E79ED"/>
    <w:rsid w:val="001F74BA"/>
    <w:rsid w:val="00200302"/>
    <w:rsid w:val="0020098C"/>
    <w:rsid w:val="00202620"/>
    <w:rsid w:val="002040FD"/>
    <w:rsid w:val="00223014"/>
    <w:rsid w:val="00224BDC"/>
    <w:rsid w:val="00225694"/>
    <w:rsid w:val="00232D1B"/>
    <w:rsid w:val="00233442"/>
    <w:rsid w:val="00246C15"/>
    <w:rsid w:val="00255F79"/>
    <w:rsid w:val="0026597C"/>
    <w:rsid w:val="002823B1"/>
    <w:rsid w:val="002872D3"/>
    <w:rsid w:val="00287E42"/>
    <w:rsid w:val="00291AA0"/>
    <w:rsid w:val="00292574"/>
    <w:rsid w:val="00294E1D"/>
    <w:rsid w:val="00297589"/>
    <w:rsid w:val="002A0EBD"/>
    <w:rsid w:val="002A243B"/>
    <w:rsid w:val="002A5ABA"/>
    <w:rsid w:val="002A5FDC"/>
    <w:rsid w:val="002B7234"/>
    <w:rsid w:val="002C1FFC"/>
    <w:rsid w:val="002D5F13"/>
    <w:rsid w:val="002E293A"/>
    <w:rsid w:val="002F148F"/>
    <w:rsid w:val="002F682F"/>
    <w:rsid w:val="00311212"/>
    <w:rsid w:val="00315D72"/>
    <w:rsid w:val="00317840"/>
    <w:rsid w:val="00340665"/>
    <w:rsid w:val="003421C5"/>
    <w:rsid w:val="00352DCA"/>
    <w:rsid w:val="00353EFE"/>
    <w:rsid w:val="00357726"/>
    <w:rsid w:val="003616D1"/>
    <w:rsid w:val="00363969"/>
    <w:rsid w:val="00365546"/>
    <w:rsid w:val="003779FC"/>
    <w:rsid w:val="00383911"/>
    <w:rsid w:val="003A10A6"/>
    <w:rsid w:val="003A6B51"/>
    <w:rsid w:val="003B64CF"/>
    <w:rsid w:val="003C5CE7"/>
    <w:rsid w:val="003D49C4"/>
    <w:rsid w:val="003E4C70"/>
    <w:rsid w:val="003E5D87"/>
    <w:rsid w:val="003F06FA"/>
    <w:rsid w:val="003F0762"/>
    <w:rsid w:val="003F1D01"/>
    <w:rsid w:val="003F7093"/>
    <w:rsid w:val="00403C02"/>
    <w:rsid w:val="004056CC"/>
    <w:rsid w:val="00415923"/>
    <w:rsid w:val="00424800"/>
    <w:rsid w:val="00435576"/>
    <w:rsid w:val="004402BE"/>
    <w:rsid w:val="00442794"/>
    <w:rsid w:val="00445D82"/>
    <w:rsid w:val="00454E4C"/>
    <w:rsid w:val="00460A99"/>
    <w:rsid w:val="00466F71"/>
    <w:rsid w:val="004712F3"/>
    <w:rsid w:val="00471A03"/>
    <w:rsid w:val="004937EB"/>
    <w:rsid w:val="004A0000"/>
    <w:rsid w:val="004A584E"/>
    <w:rsid w:val="004B10C7"/>
    <w:rsid w:val="004B142E"/>
    <w:rsid w:val="004B2075"/>
    <w:rsid w:val="004C205F"/>
    <w:rsid w:val="004E0583"/>
    <w:rsid w:val="004E23C7"/>
    <w:rsid w:val="004E43E6"/>
    <w:rsid w:val="004E57A5"/>
    <w:rsid w:val="004E6A20"/>
    <w:rsid w:val="005631D3"/>
    <w:rsid w:val="00576986"/>
    <w:rsid w:val="00576E50"/>
    <w:rsid w:val="00580165"/>
    <w:rsid w:val="0058735F"/>
    <w:rsid w:val="005A3570"/>
    <w:rsid w:val="005B0283"/>
    <w:rsid w:val="005B07B9"/>
    <w:rsid w:val="005B7E2C"/>
    <w:rsid w:val="005D77B7"/>
    <w:rsid w:val="005E03E0"/>
    <w:rsid w:val="005E3CFA"/>
    <w:rsid w:val="005F74F5"/>
    <w:rsid w:val="00603040"/>
    <w:rsid w:val="00607752"/>
    <w:rsid w:val="00612AC8"/>
    <w:rsid w:val="0062268A"/>
    <w:rsid w:val="00623B6C"/>
    <w:rsid w:val="00626A86"/>
    <w:rsid w:val="006463F4"/>
    <w:rsid w:val="00654671"/>
    <w:rsid w:val="00661588"/>
    <w:rsid w:val="00667897"/>
    <w:rsid w:val="0067315E"/>
    <w:rsid w:val="00675477"/>
    <w:rsid w:val="0068647A"/>
    <w:rsid w:val="0069006D"/>
    <w:rsid w:val="006936ED"/>
    <w:rsid w:val="006A657A"/>
    <w:rsid w:val="006B16EA"/>
    <w:rsid w:val="006B218F"/>
    <w:rsid w:val="006B2384"/>
    <w:rsid w:val="006B3935"/>
    <w:rsid w:val="006B660C"/>
    <w:rsid w:val="006C035D"/>
    <w:rsid w:val="006D46AE"/>
    <w:rsid w:val="006D5E89"/>
    <w:rsid w:val="006E4881"/>
    <w:rsid w:val="006F6B3B"/>
    <w:rsid w:val="00700426"/>
    <w:rsid w:val="00704CCC"/>
    <w:rsid w:val="00711AB9"/>
    <w:rsid w:val="00716D97"/>
    <w:rsid w:val="00732F60"/>
    <w:rsid w:val="00733169"/>
    <w:rsid w:val="007358C9"/>
    <w:rsid w:val="0073607F"/>
    <w:rsid w:val="007367CF"/>
    <w:rsid w:val="00745E21"/>
    <w:rsid w:val="00753A4E"/>
    <w:rsid w:val="007605A0"/>
    <w:rsid w:val="00772433"/>
    <w:rsid w:val="0078747C"/>
    <w:rsid w:val="00790A7E"/>
    <w:rsid w:val="00791AFB"/>
    <w:rsid w:val="00795365"/>
    <w:rsid w:val="0079643F"/>
    <w:rsid w:val="007A0D29"/>
    <w:rsid w:val="007A3753"/>
    <w:rsid w:val="007A41DB"/>
    <w:rsid w:val="007B1827"/>
    <w:rsid w:val="007B6C6C"/>
    <w:rsid w:val="007C5FB4"/>
    <w:rsid w:val="007C76C1"/>
    <w:rsid w:val="007C7F34"/>
    <w:rsid w:val="007D7C35"/>
    <w:rsid w:val="007E5F07"/>
    <w:rsid w:val="007E60B9"/>
    <w:rsid w:val="007E79E3"/>
    <w:rsid w:val="007F010D"/>
    <w:rsid w:val="007F3E8F"/>
    <w:rsid w:val="007F753B"/>
    <w:rsid w:val="008031FB"/>
    <w:rsid w:val="00812673"/>
    <w:rsid w:val="00815630"/>
    <w:rsid w:val="008300BD"/>
    <w:rsid w:val="008378D8"/>
    <w:rsid w:val="008414BE"/>
    <w:rsid w:val="00850E3D"/>
    <w:rsid w:val="0086283E"/>
    <w:rsid w:val="00863111"/>
    <w:rsid w:val="0087339C"/>
    <w:rsid w:val="00884439"/>
    <w:rsid w:val="00885A31"/>
    <w:rsid w:val="008A2C28"/>
    <w:rsid w:val="008A2DFF"/>
    <w:rsid w:val="008B61EF"/>
    <w:rsid w:val="008D1B09"/>
    <w:rsid w:val="008D7548"/>
    <w:rsid w:val="008E584B"/>
    <w:rsid w:val="008E7997"/>
    <w:rsid w:val="008F06EB"/>
    <w:rsid w:val="008F75A1"/>
    <w:rsid w:val="00901237"/>
    <w:rsid w:val="00906233"/>
    <w:rsid w:val="00914BAE"/>
    <w:rsid w:val="009346D9"/>
    <w:rsid w:val="00934CDB"/>
    <w:rsid w:val="009407E7"/>
    <w:rsid w:val="00940A66"/>
    <w:rsid w:val="00941D6B"/>
    <w:rsid w:val="00942740"/>
    <w:rsid w:val="009559B4"/>
    <w:rsid w:val="00973505"/>
    <w:rsid w:val="00980144"/>
    <w:rsid w:val="00981EA2"/>
    <w:rsid w:val="00991F8A"/>
    <w:rsid w:val="00992B5B"/>
    <w:rsid w:val="009973BB"/>
    <w:rsid w:val="009A1A96"/>
    <w:rsid w:val="009A3C96"/>
    <w:rsid w:val="009A6D83"/>
    <w:rsid w:val="009B41BC"/>
    <w:rsid w:val="009C1869"/>
    <w:rsid w:val="009C4D67"/>
    <w:rsid w:val="009D3B16"/>
    <w:rsid w:val="009D70B7"/>
    <w:rsid w:val="009F07AA"/>
    <w:rsid w:val="00A12276"/>
    <w:rsid w:val="00A15D7F"/>
    <w:rsid w:val="00A22680"/>
    <w:rsid w:val="00A3712A"/>
    <w:rsid w:val="00A51422"/>
    <w:rsid w:val="00A54B83"/>
    <w:rsid w:val="00A70BFA"/>
    <w:rsid w:val="00A82FC1"/>
    <w:rsid w:val="00A8321B"/>
    <w:rsid w:val="00A92F98"/>
    <w:rsid w:val="00AA5D0A"/>
    <w:rsid w:val="00AA60E2"/>
    <w:rsid w:val="00AB1C36"/>
    <w:rsid w:val="00AB31E7"/>
    <w:rsid w:val="00AB4C0A"/>
    <w:rsid w:val="00AB4FA8"/>
    <w:rsid w:val="00AB6A66"/>
    <w:rsid w:val="00AC311C"/>
    <w:rsid w:val="00AC6A85"/>
    <w:rsid w:val="00AC74A5"/>
    <w:rsid w:val="00AD1927"/>
    <w:rsid w:val="00AD4510"/>
    <w:rsid w:val="00AD55FC"/>
    <w:rsid w:val="00AD5D3C"/>
    <w:rsid w:val="00AE1F9E"/>
    <w:rsid w:val="00AE7BA1"/>
    <w:rsid w:val="00AF05F0"/>
    <w:rsid w:val="00AF32DA"/>
    <w:rsid w:val="00B14565"/>
    <w:rsid w:val="00B17D54"/>
    <w:rsid w:val="00B23B27"/>
    <w:rsid w:val="00B2590F"/>
    <w:rsid w:val="00B34B90"/>
    <w:rsid w:val="00B357C3"/>
    <w:rsid w:val="00B419AE"/>
    <w:rsid w:val="00B464AF"/>
    <w:rsid w:val="00B466B5"/>
    <w:rsid w:val="00B46EFB"/>
    <w:rsid w:val="00B51C98"/>
    <w:rsid w:val="00B55D52"/>
    <w:rsid w:val="00B61415"/>
    <w:rsid w:val="00B6634D"/>
    <w:rsid w:val="00B708E1"/>
    <w:rsid w:val="00B85B78"/>
    <w:rsid w:val="00B87009"/>
    <w:rsid w:val="00B87462"/>
    <w:rsid w:val="00B904EC"/>
    <w:rsid w:val="00B93174"/>
    <w:rsid w:val="00BA7DA7"/>
    <w:rsid w:val="00BB167D"/>
    <w:rsid w:val="00BB56D1"/>
    <w:rsid w:val="00BC5CA5"/>
    <w:rsid w:val="00BD7C6F"/>
    <w:rsid w:val="00BE6F4F"/>
    <w:rsid w:val="00BF68D6"/>
    <w:rsid w:val="00C02952"/>
    <w:rsid w:val="00C101EA"/>
    <w:rsid w:val="00C15A58"/>
    <w:rsid w:val="00C21B5C"/>
    <w:rsid w:val="00C2275B"/>
    <w:rsid w:val="00C25F78"/>
    <w:rsid w:val="00C3515D"/>
    <w:rsid w:val="00C3778E"/>
    <w:rsid w:val="00C416EB"/>
    <w:rsid w:val="00C43303"/>
    <w:rsid w:val="00C4738F"/>
    <w:rsid w:val="00C5197D"/>
    <w:rsid w:val="00C53047"/>
    <w:rsid w:val="00C53C99"/>
    <w:rsid w:val="00C778B2"/>
    <w:rsid w:val="00C86801"/>
    <w:rsid w:val="00C913AB"/>
    <w:rsid w:val="00C930F5"/>
    <w:rsid w:val="00C96E62"/>
    <w:rsid w:val="00C97FBA"/>
    <w:rsid w:val="00CB6709"/>
    <w:rsid w:val="00CB7A86"/>
    <w:rsid w:val="00CC1659"/>
    <w:rsid w:val="00CD35D2"/>
    <w:rsid w:val="00CD725C"/>
    <w:rsid w:val="00CE2310"/>
    <w:rsid w:val="00CE41DB"/>
    <w:rsid w:val="00CF395A"/>
    <w:rsid w:val="00D03949"/>
    <w:rsid w:val="00D14610"/>
    <w:rsid w:val="00D1563A"/>
    <w:rsid w:val="00D3490A"/>
    <w:rsid w:val="00D456DE"/>
    <w:rsid w:val="00D57FB3"/>
    <w:rsid w:val="00D66B39"/>
    <w:rsid w:val="00D712A3"/>
    <w:rsid w:val="00D807B8"/>
    <w:rsid w:val="00D87D9E"/>
    <w:rsid w:val="00DA3462"/>
    <w:rsid w:val="00DA766D"/>
    <w:rsid w:val="00DA7B7E"/>
    <w:rsid w:val="00DB0281"/>
    <w:rsid w:val="00DB0355"/>
    <w:rsid w:val="00DB50D9"/>
    <w:rsid w:val="00DC0AE6"/>
    <w:rsid w:val="00DC250A"/>
    <w:rsid w:val="00DC317A"/>
    <w:rsid w:val="00DD1EE3"/>
    <w:rsid w:val="00DD7EF5"/>
    <w:rsid w:val="00DE4512"/>
    <w:rsid w:val="00DF28B6"/>
    <w:rsid w:val="00DF735E"/>
    <w:rsid w:val="00DF7843"/>
    <w:rsid w:val="00E06E71"/>
    <w:rsid w:val="00E1579F"/>
    <w:rsid w:val="00E172B4"/>
    <w:rsid w:val="00E33C11"/>
    <w:rsid w:val="00E34E9C"/>
    <w:rsid w:val="00E36844"/>
    <w:rsid w:val="00E4241D"/>
    <w:rsid w:val="00E425B8"/>
    <w:rsid w:val="00E43336"/>
    <w:rsid w:val="00E4369E"/>
    <w:rsid w:val="00E45B17"/>
    <w:rsid w:val="00E4782D"/>
    <w:rsid w:val="00E53BE2"/>
    <w:rsid w:val="00E53E86"/>
    <w:rsid w:val="00E54278"/>
    <w:rsid w:val="00E66920"/>
    <w:rsid w:val="00E751A3"/>
    <w:rsid w:val="00E8620E"/>
    <w:rsid w:val="00E8798C"/>
    <w:rsid w:val="00EA1342"/>
    <w:rsid w:val="00EA1E8E"/>
    <w:rsid w:val="00EB18D7"/>
    <w:rsid w:val="00EB4007"/>
    <w:rsid w:val="00EB5BF2"/>
    <w:rsid w:val="00ED1103"/>
    <w:rsid w:val="00ED151B"/>
    <w:rsid w:val="00ED465D"/>
    <w:rsid w:val="00EE0273"/>
    <w:rsid w:val="00EE6997"/>
    <w:rsid w:val="00EF71A1"/>
    <w:rsid w:val="00F006B5"/>
    <w:rsid w:val="00F0497A"/>
    <w:rsid w:val="00F04FEB"/>
    <w:rsid w:val="00F30FFD"/>
    <w:rsid w:val="00F51B58"/>
    <w:rsid w:val="00F530E2"/>
    <w:rsid w:val="00F54770"/>
    <w:rsid w:val="00F570D6"/>
    <w:rsid w:val="00F61DAC"/>
    <w:rsid w:val="00F7004B"/>
    <w:rsid w:val="00F822C9"/>
    <w:rsid w:val="00F84B3F"/>
    <w:rsid w:val="00F85204"/>
    <w:rsid w:val="00F86392"/>
    <w:rsid w:val="00F87B05"/>
    <w:rsid w:val="00F87DBD"/>
    <w:rsid w:val="00F9768A"/>
    <w:rsid w:val="00FA0AD4"/>
    <w:rsid w:val="00FA16B6"/>
    <w:rsid w:val="00FA26FF"/>
    <w:rsid w:val="00FA2E5C"/>
    <w:rsid w:val="00FA59D0"/>
    <w:rsid w:val="00FA63D0"/>
    <w:rsid w:val="00FB280D"/>
    <w:rsid w:val="00FB6614"/>
    <w:rsid w:val="00FB7107"/>
    <w:rsid w:val="00FD5D12"/>
    <w:rsid w:val="00FD792F"/>
    <w:rsid w:val="00FE080A"/>
    <w:rsid w:val="00FF5C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DCDC"/>
  <w15:chartTrackingRefBased/>
  <w15:docId w15:val="{0113598B-2F6A-479E-A4BA-6CEF13EC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F822C9"/>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F822C9"/>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F822C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F822C9"/>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F822C9"/>
    <w:pPr>
      <w:keepNext/>
      <w:keepLines/>
      <w:spacing w:before="20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semiHidden/>
    <w:unhideWhenUsed/>
    <w:qFormat/>
    <w:rsid w:val="00F822C9"/>
    <w:pPr>
      <w:keepNext/>
      <w:keepLines/>
      <w:spacing w:before="20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rsid w:val="00F822C9"/>
    <w:pPr>
      <w:keepNext/>
      <w:keepLines/>
      <w:spacing w:before="20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semiHidden/>
    <w:unhideWhenUsed/>
    <w:qFormat/>
    <w:rsid w:val="00F822C9"/>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822C9"/>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F822C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22C9"/>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F822C9"/>
    <w:rPr>
      <w:rFonts w:asciiTheme="majorHAnsi" w:eastAsiaTheme="majorEastAsia" w:hAnsiTheme="majorHAnsi" w:cstheme="majorBidi"/>
      <w:b/>
      <w:bCs/>
      <w:color w:val="4472C4" w:themeColor="accent1"/>
      <w:sz w:val="26"/>
      <w:szCs w:val="26"/>
      <w:lang w:val="en-GB"/>
    </w:rPr>
  </w:style>
  <w:style w:type="character" w:customStyle="1" w:styleId="Titolo3Carattere">
    <w:name w:val="Titolo 3 Carattere"/>
    <w:basedOn w:val="Carpredefinitoparagrafo"/>
    <w:link w:val="Titolo3"/>
    <w:uiPriority w:val="9"/>
    <w:semiHidden/>
    <w:rsid w:val="00F822C9"/>
    <w:rPr>
      <w:rFonts w:asciiTheme="majorHAnsi" w:eastAsiaTheme="majorEastAsia" w:hAnsiTheme="majorHAnsi" w:cstheme="majorBidi"/>
      <w:b/>
      <w:bCs/>
      <w:color w:val="4472C4" w:themeColor="accent1"/>
      <w:sz w:val="18"/>
      <w:szCs w:val="20"/>
      <w:lang w:val="en-GB"/>
    </w:rPr>
  </w:style>
  <w:style w:type="character" w:customStyle="1" w:styleId="Titolo4Carattere">
    <w:name w:val="Titolo 4 Carattere"/>
    <w:basedOn w:val="Carpredefinitoparagrafo"/>
    <w:link w:val="Titolo4"/>
    <w:uiPriority w:val="9"/>
    <w:semiHidden/>
    <w:rsid w:val="00F822C9"/>
    <w:rPr>
      <w:rFonts w:asciiTheme="majorHAnsi" w:eastAsiaTheme="majorEastAsia" w:hAnsiTheme="majorHAnsi" w:cstheme="majorBidi"/>
      <w:b/>
      <w:bCs/>
      <w:i/>
      <w:iCs/>
      <w:color w:val="4472C4" w:themeColor="accent1"/>
      <w:sz w:val="18"/>
      <w:szCs w:val="20"/>
      <w:lang w:val="en-GB"/>
    </w:rPr>
  </w:style>
  <w:style w:type="character" w:customStyle="1" w:styleId="Titolo5Carattere">
    <w:name w:val="Titolo 5 Carattere"/>
    <w:basedOn w:val="Carpredefinitoparagrafo"/>
    <w:link w:val="Titolo5"/>
    <w:uiPriority w:val="9"/>
    <w:semiHidden/>
    <w:rsid w:val="00F822C9"/>
    <w:rPr>
      <w:rFonts w:asciiTheme="majorHAnsi" w:eastAsiaTheme="majorEastAsia" w:hAnsiTheme="majorHAnsi" w:cstheme="majorBidi"/>
      <w:color w:val="1F3763" w:themeColor="accent1" w:themeShade="7F"/>
      <w:sz w:val="18"/>
      <w:szCs w:val="20"/>
      <w:lang w:val="en-GB"/>
    </w:rPr>
  </w:style>
  <w:style w:type="character" w:customStyle="1" w:styleId="Titolo6Carattere">
    <w:name w:val="Titolo 6 Carattere"/>
    <w:basedOn w:val="Carpredefinitoparagrafo"/>
    <w:link w:val="Titolo6"/>
    <w:uiPriority w:val="9"/>
    <w:semiHidden/>
    <w:rsid w:val="00F822C9"/>
    <w:rPr>
      <w:rFonts w:asciiTheme="majorHAnsi" w:eastAsiaTheme="majorEastAsia" w:hAnsiTheme="majorHAnsi" w:cstheme="majorBidi"/>
      <w:i/>
      <w:iCs/>
      <w:color w:val="1F3763" w:themeColor="accent1" w:themeShade="7F"/>
      <w:sz w:val="18"/>
      <w:szCs w:val="20"/>
      <w:lang w:val="en-GB"/>
    </w:rPr>
  </w:style>
  <w:style w:type="character" w:customStyle="1" w:styleId="Titolo7Carattere">
    <w:name w:val="Titolo 7 Carattere"/>
    <w:basedOn w:val="Carpredefinitoparagrafo"/>
    <w:link w:val="Titolo7"/>
    <w:uiPriority w:val="9"/>
    <w:semiHidden/>
    <w:rsid w:val="00F822C9"/>
    <w:rPr>
      <w:rFonts w:asciiTheme="majorHAnsi" w:eastAsiaTheme="majorEastAsia" w:hAnsiTheme="majorHAnsi" w:cstheme="majorBidi"/>
      <w:i/>
      <w:iCs/>
      <w:color w:val="404040" w:themeColor="text1" w:themeTint="BF"/>
      <w:sz w:val="18"/>
      <w:szCs w:val="20"/>
      <w:lang w:val="en-GB"/>
    </w:rPr>
  </w:style>
  <w:style w:type="character" w:customStyle="1" w:styleId="Titolo8Carattere">
    <w:name w:val="Titolo 8 Carattere"/>
    <w:basedOn w:val="Carpredefinitoparagrafo"/>
    <w:link w:val="Titolo8"/>
    <w:uiPriority w:val="9"/>
    <w:semiHidden/>
    <w:rsid w:val="00F822C9"/>
    <w:rPr>
      <w:rFonts w:asciiTheme="majorHAnsi" w:eastAsiaTheme="majorEastAsia" w:hAnsiTheme="majorHAnsi" w:cstheme="majorBidi"/>
      <w:color w:val="404040" w:themeColor="text1" w:themeTint="BF"/>
      <w:sz w:val="18"/>
      <w:szCs w:val="20"/>
      <w:lang w:val="en-GB"/>
    </w:rPr>
  </w:style>
  <w:style w:type="character" w:customStyle="1" w:styleId="Titolo9Carattere">
    <w:name w:val="Titolo 9 Carattere"/>
    <w:basedOn w:val="Carpredefinitoparagrafo"/>
    <w:link w:val="Titolo9"/>
    <w:uiPriority w:val="9"/>
    <w:semiHidden/>
    <w:rsid w:val="00F822C9"/>
    <w:rPr>
      <w:rFonts w:asciiTheme="majorHAnsi" w:eastAsiaTheme="majorEastAsia" w:hAnsiTheme="majorHAnsi" w:cstheme="majorBidi"/>
      <w:i/>
      <w:iCs/>
      <w:color w:val="404040" w:themeColor="text1" w:themeTint="BF"/>
      <w:sz w:val="18"/>
      <w:szCs w:val="20"/>
      <w:lang w:val="en-GB"/>
    </w:rPr>
  </w:style>
  <w:style w:type="paragraph" w:customStyle="1" w:styleId="CETAuthors">
    <w:name w:val="CET Authors"/>
    <w:basedOn w:val="CETBodytext"/>
    <w:link w:val="CETAuthorsCarattere"/>
    <w:qFormat/>
    <w:rsid w:val="00F822C9"/>
    <w:pPr>
      <w:keepNext/>
      <w:suppressAutoHyphens/>
      <w:spacing w:after="120"/>
    </w:pPr>
    <w:rPr>
      <w:noProof/>
      <w:sz w:val="24"/>
      <w:lang w:val="en-GB"/>
    </w:rPr>
  </w:style>
  <w:style w:type="paragraph" w:customStyle="1" w:styleId="CETTitle">
    <w:name w:val="CET Title"/>
    <w:next w:val="CETAuthors"/>
    <w:link w:val="CETTitleCarattere"/>
    <w:rsid w:val="00F822C9"/>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F822C9"/>
    <w:rPr>
      <w:rFonts w:ascii="Arial" w:eastAsia="Times New Roman" w:hAnsi="Arial" w:cs="Times New Roman"/>
      <w:noProof/>
      <w:sz w:val="24"/>
      <w:szCs w:val="20"/>
      <w:lang w:val="en-GB"/>
    </w:rPr>
  </w:style>
  <w:style w:type="character" w:customStyle="1" w:styleId="CETTitleCarattere">
    <w:name w:val="CET Title Carattere"/>
    <w:link w:val="CETTitle"/>
    <w:rsid w:val="00F822C9"/>
    <w:rPr>
      <w:rFonts w:ascii="Arial" w:eastAsia="Times New Roman" w:hAnsi="Arial" w:cs="Times New Roman"/>
      <w:sz w:val="32"/>
      <w:szCs w:val="20"/>
      <w:lang w:val="en-GB"/>
    </w:rPr>
  </w:style>
  <w:style w:type="paragraph" w:customStyle="1" w:styleId="CETHeading1">
    <w:name w:val="CET Heading1"/>
    <w:next w:val="CETBodytext"/>
    <w:qFormat/>
    <w:rsid w:val="00F822C9"/>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F822C9"/>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822C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F822C9"/>
    <w:pPr>
      <w:keepNext/>
      <w:suppressAutoHyphens/>
      <w:spacing w:after="0" w:line="276" w:lineRule="auto"/>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F822C9"/>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F822C9"/>
    <w:rPr>
      <w:rFonts w:ascii="Arial" w:eastAsia="Times New Roman" w:hAnsi="Arial" w:cs="Times New Roman"/>
      <w:sz w:val="18"/>
      <w:szCs w:val="20"/>
      <w:lang w:val="en-US"/>
    </w:rPr>
  </w:style>
  <w:style w:type="paragraph" w:customStyle="1" w:styleId="CETReference">
    <w:name w:val="CET Reference"/>
    <w:qFormat/>
    <w:rsid w:val="00F822C9"/>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822C9"/>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822C9"/>
    <w:rPr>
      <w:rFonts w:ascii="Arial" w:eastAsia="Times New Roman" w:hAnsi="Arial" w:cs="Times New Roman"/>
      <w:b/>
      <w:sz w:val="18"/>
      <w:szCs w:val="20"/>
      <w:lang w:val="en-US"/>
    </w:rPr>
  </w:style>
  <w:style w:type="character" w:customStyle="1" w:styleId="CETCaptionCarattere">
    <w:name w:val="CET Caption Carattere"/>
    <w:link w:val="CETCaption"/>
    <w:rsid w:val="00F822C9"/>
    <w:rPr>
      <w:rFonts w:ascii="Arial" w:eastAsia="Times New Roman" w:hAnsi="Arial" w:cs="Times New Roman"/>
      <w:i/>
      <w:sz w:val="18"/>
      <w:szCs w:val="20"/>
      <w:lang w:val="en-GB"/>
    </w:rPr>
  </w:style>
  <w:style w:type="paragraph" w:customStyle="1" w:styleId="CETBodytextItalic">
    <w:name w:val="CET Body text (Italic)"/>
    <w:basedOn w:val="CETBodytext"/>
    <w:qFormat/>
    <w:rsid w:val="00F822C9"/>
    <w:rPr>
      <w:i/>
      <w:lang w:val="en-GB"/>
    </w:rPr>
  </w:style>
  <w:style w:type="character" w:styleId="Rimandocommento">
    <w:name w:val="annotation reference"/>
    <w:basedOn w:val="Carpredefinitoparagrafo"/>
    <w:uiPriority w:val="99"/>
    <w:semiHidden/>
    <w:unhideWhenUsed/>
    <w:rsid w:val="00F822C9"/>
    <w:rPr>
      <w:sz w:val="16"/>
      <w:szCs w:val="16"/>
    </w:rPr>
  </w:style>
  <w:style w:type="paragraph" w:styleId="Testofumetto">
    <w:name w:val="Balloon Text"/>
    <w:basedOn w:val="Normale"/>
    <w:link w:val="TestofumettoCarattere"/>
    <w:uiPriority w:val="99"/>
    <w:semiHidden/>
    <w:unhideWhenUsed/>
    <w:rsid w:val="00F822C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2C9"/>
    <w:rPr>
      <w:rFonts w:ascii="Tahoma" w:eastAsia="Times New Roman" w:hAnsi="Tahoma" w:cs="Tahoma"/>
      <w:sz w:val="16"/>
      <w:szCs w:val="16"/>
      <w:lang w:val="en-GB"/>
    </w:rPr>
  </w:style>
  <w:style w:type="paragraph" w:styleId="Bibliografia">
    <w:name w:val="Bibliography"/>
    <w:basedOn w:val="CETReferencetext"/>
    <w:uiPriority w:val="37"/>
    <w:unhideWhenUsed/>
    <w:rsid w:val="00F822C9"/>
    <w:pPr>
      <w:spacing w:line="240" w:lineRule="auto"/>
      <w:ind w:left="720" w:hanging="720"/>
    </w:pPr>
  </w:style>
  <w:style w:type="paragraph" w:styleId="Corpodeltesto2">
    <w:name w:val="Body Text 2"/>
    <w:basedOn w:val="Normale"/>
    <w:link w:val="Corpodeltesto2Carattere"/>
    <w:uiPriority w:val="99"/>
    <w:semiHidden/>
    <w:unhideWhenUsed/>
    <w:rsid w:val="00F822C9"/>
    <w:pPr>
      <w:spacing w:after="120" w:line="480" w:lineRule="auto"/>
    </w:pPr>
  </w:style>
  <w:style w:type="character" w:customStyle="1" w:styleId="Corpodeltesto2Carattere">
    <w:name w:val="Corpo del testo 2 Carattere"/>
    <w:basedOn w:val="Carpredefinitoparagrafo"/>
    <w:link w:val="Corpodeltesto2"/>
    <w:uiPriority w:val="99"/>
    <w:semiHidden/>
    <w:rsid w:val="00F822C9"/>
    <w:rPr>
      <w:rFonts w:ascii="Arial" w:eastAsia="Times New Roman" w:hAnsi="Arial" w:cs="Times New Roman"/>
      <w:sz w:val="18"/>
      <w:szCs w:val="20"/>
      <w:lang w:val="en-GB"/>
    </w:rPr>
  </w:style>
  <w:style w:type="paragraph" w:styleId="Corpodeltesto3">
    <w:name w:val="Body Text 3"/>
    <w:basedOn w:val="Normale"/>
    <w:link w:val="Corpodeltesto3Carattere"/>
    <w:uiPriority w:val="99"/>
    <w:semiHidden/>
    <w:unhideWhenUsed/>
    <w:rsid w:val="00F822C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822C9"/>
    <w:rPr>
      <w:rFonts w:ascii="Arial" w:eastAsia="Times New Roman" w:hAnsi="Arial" w:cs="Times New Roman"/>
      <w:sz w:val="16"/>
      <w:szCs w:val="16"/>
      <w:lang w:val="en-GB"/>
    </w:rPr>
  </w:style>
  <w:style w:type="paragraph" w:styleId="Corpotesto">
    <w:name w:val="Body Text"/>
    <w:basedOn w:val="Normale"/>
    <w:link w:val="CorpotestoCarattere"/>
    <w:uiPriority w:val="99"/>
    <w:semiHidden/>
    <w:unhideWhenUsed/>
    <w:rsid w:val="00F822C9"/>
    <w:pPr>
      <w:spacing w:after="120"/>
    </w:pPr>
  </w:style>
  <w:style w:type="character" w:customStyle="1" w:styleId="CorpotestoCarattere">
    <w:name w:val="Corpo testo Carattere"/>
    <w:basedOn w:val="Carpredefinitoparagrafo"/>
    <w:link w:val="Corpotesto"/>
    <w:uiPriority w:val="99"/>
    <w:semiHidden/>
    <w:rsid w:val="00F822C9"/>
    <w:rPr>
      <w:rFonts w:ascii="Arial" w:eastAsia="Times New Roman" w:hAnsi="Arial" w:cs="Times New Roman"/>
      <w:sz w:val="18"/>
      <w:szCs w:val="20"/>
      <w:lang w:val="en-GB"/>
    </w:rPr>
  </w:style>
  <w:style w:type="paragraph" w:styleId="Data">
    <w:name w:val="Date"/>
    <w:basedOn w:val="Normale"/>
    <w:next w:val="Normale"/>
    <w:link w:val="DataCarattere"/>
    <w:uiPriority w:val="99"/>
    <w:semiHidden/>
    <w:unhideWhenUsed/>
    <w:rsid w:val="00F822C9"/>
  </w:style>
  <w:style w:type="character" w:customStyle="1" w:styleId="DataCarattere">
    <w:name w:val="Data Carattere"/>
    <w:basedOn w:val="Carpredefinitoparagrafo"/>
    <w:link w:val="Data"/>
    <w:uiPriority w:val="99"/>
    <w:semiHidden/>
    <w:rsid w:val="00F822C9"/>
    <w:rPr>
      <w:rFonts w:ascii="Arial" w:eastAsia="Times New Roman" w:hAnsi="Arial" w:cs="Times New Roman"/>
      <w:sz w:val="18"/>
      <w:szCs w:val="20"/>
      <w:lang w:val="en-GB"/>
    </w:rPr>
  </w:style>
  <w:style w:type="paragraph" w:styleId="Didascalia">
    <w:name w:val="caption"/>
    <w:basedOn w:val="Normale"/>
    <w:next w:val="Normale"/>
    <w:uiPriority w:val="35"/>
    <w:unhideWhenUsed/>
    <w:qFormat/>
    <w:rsid w:val="00F822C9"/>
    <w:pPr>
      <w:spacing w:line="240" w:lineRule="auto"/>
    </w:pPr>
    <w:rPr>
      <w:b/>
      <w:bCs/>
      <w:color w:val="4472C4" w:themeColor="accent1"/>
      <w:szCs w:val="18"/>
    </w:rPr>
  </w:style>
  <w:style w:type="paragraph" w:styleId="Elenco">
    <w:name w:val="List"/>
    <w:basedOn w:val="Normale"/>
    <w:uiPriority w:val="99"/>
    <w:semiHidden/>
    <w:unhideWhenUsed/>
    <w:rsid w:val="00F822C9"/>
    <w:pPr>
      <w:ind w:left="283" w:hanging="283"/>
      <w:contextualSpacing/>
    </w:pPr>
  </w:style>
  <w:style w:type="paragraph" w:styleId="Elenco2">
    <w:name w:val="List 2"/>
    <w:basedOn w:val="Normale"/>
    <w:uiPriority w:val="99"/>
    <w:semiHidden/>
    <w:unhideWhenUsed/>
    <w:rsid w:val="00F822C9"/>
    <w:pPr>
      <w:ind w:left="566" w:hanging="283"/>
      <w:contextualSpacing/>
    </w:pPr>
  </w:style>
  <w:style w:type="paragraph" w:styleId="Elenco3">
    <w:name w:val="List 3"/>
    <w:basedOn w:val="Normale"/>
    <w:uiPriority w:val="99"/>
    <w:semiHidden/>
    <w:unhideWhenUsed/>
    <w:rsid w:val="00F822C9"/>
    <w:pPr>
      <w:ind w:left="849" w:hanging="283"/>
      <w:contextualSpacing/>
    </w:pPr>
  </w:style>
  <w:style w:type="paragraph" w:styleId="Elenco4">
    <w:name w:val="List 4"/>
    <w:basedOn w:val="Normale"/>
    <w:uiPriority w:val="99"/>
    <w:semiHidden/>
    <w:unhideWhenUsed/>
    <w:rsid w:val="00F822C9"/>
    <w:pPr>
      <w:ind w:left="1132" w:hanging="283"/>
      <w:contextualSpacing/>
    </w:pPr>
  </w:style>
  <w:style w:type="paragraph" w:styleId="Elenco5">
    <w:name w:val="List 5"/>
    <w:basedOn w:val="Normale"/>
    <w:uiPriority w:val="99"/>
    <w:semiHidden/>
    <w:unhideWhenUsed/>
    <w:rsid w:val="00F822C9"/>
    <w:pPr>
      <w:ind w:left="1415" w:hanging="283"/>
      <w:contextualSpacing/>
    </w:pPr>
  </w:style>
  <w:style w:type="paragraph" w:styleId="Elencocontinua">
    <w:name w:val="List Continue"/>
    <w:basedOn w:val="Normale"/>
    <w:uiPriority w:val="99"/>
    <w:semiHidden/>
    <w:unhideWhenUsed/>
    <w:rsid w:val="00F822C9"/>
    <w:pPr>
      <w:spacing w:after="120"/>
      <w:ind w:left="283"/>
      <w:contextualSpacing/>
    </w:pPr>
  </w:style>
  <w:style w:type="paragraph" w:styleId="Elencocontinua2">
    <w:name w:val="List Continue 2"/>
    <w:basedOn w:val="Normale"/>
    <w:uiPriority w:val="99"/>
    <w:semiHidden/>
    <w:unhideWhenUsed/>
    <w:rsid w:val="00F822C9"/>
    <w:pPr>
      <w:spacing w:after="120"/>
      <w:ind w:left="566"/>
      <w:contextualSpacing/>
    </w:pPr>
  </w:style>
  <w:style w:type="paragraph" w:styleId="Elencocontinua3">
    <w:name w:val="List Continue 3"/>
    <w:basedOn w:val="Normale"/>
    <w:uiPriority w:val="99"/>
    <w:semiHidden/>
    <w:unhideWhenUsed/>
    <w:rsid w:val="00F822C9"/>
    <w:pPr>
      <w:spacing w:after="120"/>
      <w:ind w:left="849"/>
      <w:contextualSpacing/>
    </w:pPr>
  </w:style>
  <w:style w:type="paragraph" w:styleId="Elencocontinua4">
    <w:name w:val="List Continue 4"/>
    <w:basedOn w:val="Normale"/>
    <w:uiPriority w:val="99"/>
    <w:semiHidden/>
    <w:unhideWhenUsed/>
    <w:rsid w:val="00F822C9"/>
    <w:pPr>
      <w:spacing w:after="120"/>
      <w:ind w:left="1132"/>
      <w:contextualSpacing/>
    </w:pPr>
  </w:style>
  <w:style w:type="paragraph" w:styleId="Elencocontinua5">
    <w:name w:val="List Continue 5"/>
    <w:basedOn w:val="Normale"/>
    <w:uiPriority w:val="99"/>
    <w:semiHidden/>
    <w:unhideWhenUsed/>
    <w:rsid w:val="00F822C9"/>
    <w:pPr>
      <w:spacing w:after="120"/>
      <w:ind w:left="1415"/>
      <w:contextualSpacing/>
    </w:pPr>
  </w:style>
  <w:style w:type="paragraph" w:styleId="Firma">
    <w:name w:val="Signature"/>
    <w:basedOn w:val="Normale"/>
    <w:link w:val="FirmaCarattere"/>
    <w:uiPriority w:val="99"/>
    <w:semiHidden/>
    <w:unhideWhenUsed/>
    <w:rsid w:val="00F822C9"/>
    <w:pPr>
      <w:spacing w:line="240" w:lineRule="auto"/>
      <w:ind w:left="4252"/>
    </w:pPr>
  </w:style>
  <w:style w:type="character" w:customStyle="1" w:styleId="FirmaCarattere">
    <w:name w:val="Firma Carattere"/>
    <w:basedOn w:val="Carpredefinitoparagrafo"/>
    <w:link w:val="Firma"/>
    <w:uiPriority w:val="99"/>
    <w:semiHidden/>
    <w:rsid w:val="00F822C9"/>
    <w:rPr>
      <w:rFonts w:ascii="Arial" w:eastAsia="Times New Roman" w:hAnsi="Arial" w:cs="Times New Roman"/>
      <w:sz w:val="18"/>
      <w:szCs w:val="20"/>
      <w:lang w:val="en-GB"/>
    </w:rPr>
  </w:style>
  <w:style w:type="paragraph" w:styleId="Firmadipostaelettronica">
    <w:name w:val="E-mail Signature"/>
    <w:basedOn w:val="Normale"/>
    <w:link w:val="FirmadipostaelettronicaCarattere"/>
    <w:uiPriority w:val="99"/>
    <w:semiHidden/>
    <w:unhideWhenUsed/>
    <w:rsid w:val="00F822C9"/>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F822C9"/>
    <w:rPr>
      <w:rFonts w:ascii="Arial" w:eastAsia="Times New Roman" w:hAnsi="Arial" w:cs="Times New Roman"/>
      <w:sz w:val="18"/>
      <w:szCs w:val="20"/>
      <w:lang w:val="en-GB"/>
    </w:rPr>
  </w:style>
  <w:style w:type="paragraph" w:styleId="Formuladiapertura">
    <w:name w:val="Salutation"/>
    <w:basedOn w:val="Normale"/>
    <w:next w:val="Normale"/>
    <w:link w:val="FormuladiaperturaCarattere"/>
    <w:uiPriority w:val="99"/>
    <w:semiHidden/>
    <w:unhideWhenUsed/>
    <w:rsid w:val="00F822C9"/>
  </w:style>
  <w:style w:type="character" w:customStyle="1" w:styleId="FormuladiaperturaCarattere">
    <w:name w:val="Formula di apertura Carattere"/>
    <w:basedOn w:val="Carpredefinitoparagrafo"/>
    <w:link w:val="Formuladiapertura"/>
    <w:uiPriority w:val="99"/>
    <w:semiHidden/>
    <w:rsid w:val="00F822C9"/>
    <w:rPr>
      <w:rFonts w:ascii="Arial" w:eastAsia="Times New Roman" w:hAnsi="Arial" w:cs="Times New Roman"/>
      <w:sz w:val="18"/>
      <w:szCs w:val="20"/>
      <w:lang w:val="en-GB"/>
    </w:rPr>
  </w:style>
  <w:style w:type="paragraph" w:styleId="Formuladichiusura">
    <w:name w:val="Closing"/>
    <w:basedOn w:val="Normale"/>
    <w:link w:val="FormuladichiusuraCarattere"/>
    <w:uiPriority w:val="99"/>
    <w:semiHidden/>
    <w:unhideWhenUsed/>
    <w:rsid w:val="00F822C9"/>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F822C9"/>
    <w:rPr>
      <w:rFonts w:ascii="Arial" w:eastAsia="Times New Roman" w:hAnsi="Arial" w:cs="Times New Roman"/>
      <w:sz w:val="18"/>
      <w:szCs w:val="20"/>
      <w:lang w:val="en-GB"/>
    </w:rPr>
  </w:style>
  <w:style w:type="paragraph" w:styleId="Indice1">
    <w:name w:val="index 1"/>
    <w:basedOn w:val="Normale"/>
    <w:next w:val="Normale"/>
    <w:autoRedefine/>
    <w:uiPriority w:val="99"/>
    <w:semiHidden/>
    <w:unhideWhenUsed/>
    <w:rsid w:val="00F822C9"/>
    <w:pPr>
      <w:spacing w:line="240" w:lineRule="auto"/>
      <w:ind w:left="220" w:hanging="220"/>
    </w:pPr>
  </w:style>
  <w:style w:type="paragraph" w:styleId="Indice2">
    <w:name w:val="index 2"/>
    <w:basedOn w:val="Normale"/>
    <w:next w:val="Normale"/>
    <w:autoRedefine/>
    <w:uiPriority w:val="99"/>
    <w:semiHidden/>
    <w:unhideWhenUsed/>
    <w:rsid w:val="00F822C9"/>
    <w:pPr>
      <w:spacing w:line="240" w:lineRule="auto"/>
      <w:ind w:left="440" w:hanging="220"/>
    </w:pPr>
  </w:style>
  <w:style w:type="paragraph" w:styleId="Indice3">
    <w:name w:val="index 3"/>
    <w:basedOn w:val="Normale"/>
    <w:next w:val="Normale"/>
    <w:autoRedefine/>
    <w:uiPriority w:val="99"/>
    <w:semiHidden/>
    <w:unhideWhenUsed/>
    <w:rsid w:val="00F822C9"/>
    <w:pPr>
      <w:spacing w:line="240" w:lineRule="auto"/>
      <w:ind w:left="660" w:hanging="220"/>
    </w:pPr>
  </w:style>
  <w:style w:type="paragraph" w:styleId="Indice4">
    <w:name w:val="index 4"/>
    <w:basedOn w:val="Normale"/>
    <w:next w:val="Normale"/>
    <w:autoRedefine/>
    <w:uiPriority w:val="99"/>
    <w:semiHidden/>
    <w:unhideWhenUsed/>
    <w:rsid w:val="00F822C9"/>
    <w:pPr>
      <w:spacing w:line="240" w:lineRule="auto"/>
      <w:ind w:left="880" w:hanging="220"/>
    </w:pPr>
  </w:style>
  <w:style w:type="paragraph" w:styleId="Indice5">
    <w:name w:val="index 5"/>
    <w:basedOn w:val="Normale"/>
    <w:next w:val="Normale"/>
    <w:autoRedefine/>
    <w:uiPriority w:val="99"/>
    <w:semiHidden/>
    <w:unhideWhenUsed/>
    <w:rsid w:val="00F822C9"/>
    <w:pPr>
      <w:spacing w:line="240" w:lineRule="auto"/>
      <w:ind w:left="1100" w:hanging="220"/>
    </w:pPr>
  </w:style>
  <w:style w:type="paragraph" w:styleId="Indice6">
    <w:name w:val="index 6"/>
    <w:basedOn w:val="Normale"/>
    <w:next w:val="Normale"/>
    <w:autoRedefine/>
    <w:uiPriority w:val="99"/>
    <w:semiHidden/>
    <w:unhideWhenUsed/>
    <w:rsid w:val="00F822C9"/>
    <w:pPr>
      <w:spacing w:line="240" w:lineRule="auto"/>
      <w:ind w:left="1320" w:hanging="220"/>
    </w:pPr>
  </w:style>
  <w:style w:type="paragraph" w:styleId="Indice7">
    <w:name w:val="index 7"/>
    <w:basedOn w:val="Normale"/>
    <w:next w:val="Normale"/>
    <w:autoRedefine/>
    <w:uiPriority w:val="99"/>
    <w:semiHidden/>
    <w:unhideWhenUsed/>
    <w:rsid w:val="00F822C9"/>
    <w:pPr>
      <w:spacing w:line="240" w:lineRule="auto"/>
      <w:ind w:left="1540" w:hanging="220"/>
    </w:pPr>
  </w:style>
  <w:style w:type="paragraph" w:styleId="Indice8">
    <w:name w:val="index 8"/>
    <w:basedOn w:val="Normale"/>
    <w:next w:val="Normale"/>
    <w:autoRedefine/>
    <w:uiPriority w:val="99"/>
    <w:semiHidden/>
    <w:unhideWhenUsed/>
    <w:rsid w:val="00F822C9"/>
    <w:pPr>
      <w:spacing w:line="240" w:lineRule="auto"/>
      <w:ind w:left="1760" w:hanging="220"/>
    </w:pPr>
  </w:style>
  <w:style w:type="paragraph" w:styleId="Indice9">
    <w:name w:val="index 9"/>
    <w:basedOn w:val="Normale"/>
    <w:next w:val="Normale"/>
    <w:autoRedefine/>
    <w:uiPriority w:val="99"/>
    <w:semiHidden/>
    <w:unhideWhenUsed/>
    <w:rsid w:val="00F822C9"/>
    <w:pPr>
      <w:spacing w:line="240" w:lineRule="auto"/>
      <w:ind w:left="1980" w:hanging="220"/>
    </w:pPr>
  </w:style>
  <w:style w:type="paragraph" w:styleId="Indicedellefigure">
    <w:name w:val="table of figures"/>
    <w:basedOn w:val="Normale"/>
    <w:next w:val="Normale"/>
    <w:uiPriority w:val="99"/>
    <w:semiHidden/>
    <w:unhideWhenUsed/>
    <w:rsid w:val="00F822C9"/>
  </w:style>
  <w:style w:type="paragraph" w:styleId="Indicefonti">
    <w:name w:val="table of authorities"/>
    <w:basedOn w:val="Normale"/>
    <w:next w:val="Normale"/>
    <w:uiPriority w:val="99"/>
    <w:semiHidden/>
    <w:unhideWhenUsed/>
    <w:rsid w:val="00F822C9"/>
    <w:pPr>
      <w:ind w:left="220" w:hanging="220"/>
    </w:pPr>
  </w:style>
  <w:style w:type="paragraph" w:styleId="Indirizzodestinatario">
    <w:name w:val="envelope address"/>
    <w:basedOn w:val="Normale"/>
    <w:uiPriority w:val="99"/>
    <w:semiHidden/>
    <w:unhideWhenUsed/>
    <w:rsid w:val="00F822C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F822C9"/>
    <w:pPr>
      <w:spacing w:line="240" w:lineRule="auto"/>
    </w:pPr>
    <w:rPr>
      <w:i/>
      <w:iCs/>
    </w:rPr>
  </w:style>
  <w:style w:type="character" w:customStyle="1" w:styleId="IndirizzoHTMLCarattere">
    <w:name w:val="Indirizzo HTML Carattere"/>
    <w:basedOn w:val="Carpredefinitoparagrafo"/>
    <w:link w:val="IndirizzoHTML"/>
    <w:uiPriority w:val="99"/>
    <w:semiHidden/>
    <w:rsid w:val="00F822C9"/>
    <w:rPr>
      <w:rFonts w:ascii="Arial" w:eastAsia="Times New Roman" w:hAnsi="Arial" w:cs="Times New Roman"/>
      <w:i/>
      <w:iCs/>
      <w:sz w:val="18"/>
      <w:szCs w:val="20"/>
      <w:lang w:val="en-GB"/>
    </w:rPr>
  </w:style>
  <w:style w:type="paragraph" w:styleId="Indirizzomittente">
    <w:name w:val="envelope return"/>
    <w:basedOn w:val="Normale"/>
    <w:uiPriority w:val="99"/>
    <w:semiHidden/>
    <w:unhideWhenUsed/>
    <w:rsid w:val="00F822C9"/>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F822C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F822C9"/>
    <w:rPr>
      <w:rFonts w:asciiTheme="majorHAnsi" w:eastAsiaTheme="majorEastAsia" w:hAnsiTheme="majorHAnsi" w:cstheme="majorBidi"/>
      <w:sz w:val="24"/>
      <w:szCs w:val="24"/>
      <w:shd w:val="pct20" w:color="auto" w:fill="auto"/>
      <w:lang w:val="en-GB"/>
    </w:rPr>
  </w:style>
  <w:style w:type="paragraph" w:styleId="Intestazionenota">
    <w:name w:val="Note Heading"/>
    <w:basedOn w:val="Normale"/>
    <w:next w:val="Normale"/>
    <w:link w:val="IntestazionenotaCarattere"/>
    <w:uiPriority w:val="99"/>
    <w:semiHidden/>
    <w:unhideWhenUsed/>
    <w:rsid w:val="00F822C9"/>
    <w:pPr>
      <w:spacing w:line="240" w:lineRule="auto"/>
    </w:pPr>
  </w:style>
  <w:style w:type="character" w:customStyle="1" w:styleId="IntestazionenotaCarattere">
    <w:name w:val="Intestazione nota Carattere"/>
    <w:basedOn w:val="Carpredefinitoparagrafo"/>
    <w:link w:val="Intestazionenota"/>
    <w:uiPriority w:val="99"/>
    <w:semiHidden/>
    <w:rsid w:val="00F822C9"/>
    <w:rPr>
      <w:rFonts w:ascii="Arial" w:eastAsia="Times New Roman" w:hAnsi="Arial" w:cs="Times New Roman"/>
      <w:sz w:val="18"/>
      <w:szCs w:val="20"/>
      <w:lang w:val="en-GB"/>
    </w:rPr>
  </w:style>
  <w:style w:type="paragraph" w:styleId="Mappadocumento">
    <w:name w:val="Document Map"/>
    <w:basedOn w:val="Normale"/>
    <w:link w:val="MappadocumentoCarattere"/>
    <w:uiPriority w:val="99"/>
    <w:semiHidden/>
    <w:unhideWhenUsed/>
    <w:rsid w:val="00F822C9"/>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822C9"/>
    <w:rPr>
      <w:rFonts w:ascii="Tahoma" w:eastAsia="Times New Roman" w:hAnsi="Tahoma" w:cs="Tahoma"/>
      <w:sz w:val="16"/>
      <w:szCs w:val="16"/>
      <w:lang w:val="en-GB"/>
    </w:rPr>
  </w:style>
  <w:style w:type="paragraph" w:styleId="NormaleWeb">
    <w:name w:val="Normal (Web)"/>
    <w:basedOn w:val="Normale"/>
    <w:uiPriority w:val="99"/>
    <w:semiHidden/>
    <w:unhideWhenUsed/>
    <w:rsid w:val="00F822C9"/>
    <w:rPr>
      <w:sz w:val="24"/>
      <w:szCs w:val="24"/>
    </w:rPr>
  </w:style>
  <w:style w:type="paragraph" w:styleId="Numeroelenco">
    <w:name w:val="List Number"/>
    <w:basedOn w:val="Normale"/>
    <w:uiPriority w:val="99"/>
    <w:semiHidden/>
    <w:unhideWhenUsed/>
    <w:rsid w:val="00F822C9"/>
    <w:pPr>
      <w:numPr>
        <w:numId w:val="2"/>
      </w:numPr>
      <w:contextualSpacing/>
    </w:pPr>
  </w:style>
  <w:style w:type="paragraph" w:styleId="Numeroelenco2">
    <w:name w:val="List Number 2"/>
    <w:basedOn w:val="Normale"/>
    <w:uiPriority w:val="99"/>
    <w:semiHidden/>
    <w:unhideWhenUsed/>
    <w:rsid w:val="00F822C9"/>
    <w:pPr>
      <w:numPr>
        <w:numId w:val="3"/>
      </w:numPr>
      <w:contextualSpacing/>
    </w:pPr>
  </w:style>
  <w:style w:type="paragraph" w:styleId="Numeroelenco3">
    <w:name w:val="List Number 3"/>
    <w:basedOn w:val="Normale"/>
    <w:uiPriority w:val="99"/>
    <w:semiHidden/>
    <w:unhideWhenUsed/>
    <w:rsid w:val="00F822C9"/>
    <w:pPr>
      <w:numPr>
        <w:numId w:val="4"/>
      </w:numPr>
      <w:contextualSpacing/>
    </w:pPr>
  </w:style>
  <w:style w:type="paragraph" w:styleId="Numeroelenco4">
    <w:name w:val="List Number 4"/>
    <w:basedOn w:val="Normale"/>
    <w:uiPriority w:val="99"/>
    <w:semiHidden/>
    <w:unhideWhenUsed/>
    <w:rsid w:val="00F822C9"/>
    <w:pPr>
      <w:numPr>
        <w:numId w:val="5"/>
      </w:numPr>
      <w:contextualSpacing/>
    </w:pPr>
  </w:style>
  <w:style w:type="paragraph" w:styleId="Numeroelenco5">
    <w:name w:val="List Number 5"/>
    <w:basedOn w:val="Normale"/>
    <w:uiPriority w:val="99"/>
    <w:semiHidden/>
    <w:unhideWhenUsed/>
    <w:rsid w:val="00F822C9"/>
    <w:pPr>
      <w:numPr>
        <w:numId w:val="6"/>
      </w:numPr>
      <w:contextualSpacing/>
    </w:pPr>
  </w:style>
  <w:style w:type="paragraph" w:styleId="PreformattatoHTML">
    <w:name w:val="HTML Preformatted"/>
    <w:basedOn w:val="Normale"/>
    <w:link w:val="PreformattatoHTMLCarattere"/>
    <w:uiPriority w:val="99"/>
    <w:semiHidden/>
    <w:unhideWhenUsed/>
    <w:rsid w:val="00F822C9"/>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F822C9"/>
    <w:rPr>
      <w:rFonts w:ascii="Consolas" w:eastAsia="Times New Roman" w:hAnsi="Consolas" w:cs="Consolas"/>
      <w:sz w:val="18"/>
      <w:szCs w:val="20"/>
      <w:lang w:val="en-GB"/>
    </w:rPr>
  </w:style>
  <w:style w:type="paragraph" w:styleId="Primorientrocorpodeltesto">
    <w:name w:val="Body Text First Indent"/>
    <w:basedOn w:val="Corpotesto"/>
    <w:link w:val="PrimorientrocorpodeltestoCarattere"/>
    <w:uiPriority w:val="99"/>
    <w:semiHidden/>
    <w:unhideWhenUsed/>
    <w:rsid w:val="00F822C9"/>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F822C9"/>
    <w:rPr>
      <w:rFonts w:ascii="Arial" w:eastAsia="Times New Roman" w:hAnsi="Arial" w:cs="Times New Roman"/>
      <w:sz w:val="18"/>
      <w:szCs w:val="20"/>
      <w:lang w:val="en-GB"/>
    </w:rPr>
  </w:style>
  <w:style w:type="paragraph" w:styleId="Rientrocorpodeltesto">
    <w:name w:val="Body Text Indent"/>
    <w:basedOn w:val="Normale"/>
    <w:link w:val="RientrocorpodeltestoCarattere"/>
    <w:uiPriority w:val="99"/>
    <w:semiHidden/>
    <w:unhideWhenUsed/>
    <w:rsid w:val="00F822C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822C9"/>
    <w:rPr>
      <w:rFonts w:ascii="Arial" w:eastAsia="Times New Roman" w:hAnsi="Arial" w:cs="Times New Roman"/>
      <w:sz w:val="18"/>
      <w:szCs w:val="20"/>
      <w:lang w:val="en-GB"/>
    </w:rPr>
  </w:style>
  <w:style w:type="paragraph" w:styleId="Primorientrocorpodeltesto2">
    <w:name w:val="Body Text First Indent 2"/>
    <w:basedOn w:val="Rientrocorpodeltesto"/>
    <w:link w:val="Primorientrocorpodeltesto2Carattere"/>
    <w:uiPriority w:val="99"/>
    <w:semiHidden/>
    <w:unhideWhenUsed/>
    <w:rsid w:val="00F822C9"/>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F822C9"/>
    <w:rPr>
      <w:rFonts w:ascii="Arial" w:eastAsia="Times New Roman" w:hAnsi="Arial" w:cs="Times New Roman"/>
      <w:sz w:val="18"/>
      <w:szCs w:val="20"/>
      <w:lang w:val="en-GB"/>
    </w:rPr>
  </w:style>
  <w:style w:type="paragraph" w:styleId="Puntoelenco">
    <w:name w:val="List Bullet"/>
    <w:basedOn w:val="Normale"/>
    <w:uiPriority w:val="99"/>
    <w:semiHidden/>
    <w:unhideWhenUsed/>
    <w:rsid w:val="00F822C9"/>
    <w:pPr>
      <w:numPr>
        <w:numId w:val="7"/>
      </w:numPr>
      <w:contextualSpacing/>
    </w:pPr>
  </w:style>
  <w:style w:type="paragraph" w:styleId="Puntoelenco2">
    <w:name w:val="List Bullet 2"/>
    <w:basedOn w:val="Normale"/>
    <w:uiPriority w:val="99"/>
    <w:semiHidden/>
    <w:unhideWhenUsed/>
    <w:rsid w:val="00F822C9"/>
    <w:pPr>
      <w:numPr>
        <w:numId w:val="8"/>
      </w:numPr>
      <w:contextualSpacing/>
    </w:pPr>
  </w:style>
  <w:style w:type="paragraph" w:styleId="Puntoelenco3">
    <w:name w:val="List Bullet 3"/>
    <w:basedOn w:val="Normale"/>
    <w:uiPriority w:val="99"/>
    <w:semiHidden/>
    <w:unhideWhenUsed/>
    <w:rsid w:val="00F822C9"/>
    <w:pPr>
      <w:numPr>
        <w:numId w:val="9"/>
      </w:numPr>
      <w:contextualSpacing/>
    </w:pPr>
  </w:style>
  <w:style w:type="paragraph" w:styleId="Puntoelenco4">
    <w:name w:val="List Bullet 4"/>
    <w:basedOn w:val="Normale"/>
    <w:uiPriority w:val="99"/>
    <w:semiHidden/>
    <w:unhideWhenUsed/>
    <w:rsid w:val="00F822C9"/>
    <w:pPr>
      <w:numPr>
        <w:numId w:val="10"/>
      </w:numPr>
      <w:contextualSpacing/>
    </w:pPr>
  </w:style>
  <w:style w:type="paragraph" w:styleId="Puntoelenco5">
    <w:name w:val="List Bullet 5"/>
    <w:basedOn w:val="Normale"/>
    <w:uiPriority w:val="99"/>
    <w:semiHidden/>
    <w:unhideWhenUsed/>
    <w:rsid w:val="00F822C9"/>
    <w:pPr>
      <w:numPr>
        <w:numId w:val="11"/>
      </w:numPr>
      <w:contextualSpacing/>
    </w:pPr>
  </w:style>
  <w:style w:type="paragraph" w:styleId="Rientrocorpodeltesto2">
    <w:name w:val="Body Text Indent 2"/>
    <w:basedOn w:val="Normale"/>
    <w:link w:val="Rientrocorpodeltesto2Carattere"/>
    <w:uiPriority w:val="99"/>
    <w:semiHidden/>
    <w:unhideWhenUsed/>
    <w:rsid w:val="00F822C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822C9"/>
    <w:rPr>
      <w:rFonts w:ascii="Arial" w:eastAsia="Times New Roman" w:hAnsi="Arial" w:cs="Times New Roman"/>
      <w:sz w:val="18"/>
      <w:szCs w:val="20"/>
      <w:lang w:val="en-GB"/>
    </w:rPr>
  </w:style>
  <w:style w:type="paragraph" w:styleId="Rientrocorpodeltesto3">
    <w:name w:val="Body Text Indent 3"/>
    <w:basedOn w:val="Normale"/>
    <w:link w:val="Rientrocorpodeltesto3Carattere"/>
    <w:uiPriority w:val="99"/>
    <w:semiHidden/>
    <w:unhideWhenUsed/>
    <w:rsid w:val="00F822C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822C9"/>
    <w:rPr>
      <w:rFonts w:ascii="Arial" w:eastAsia="Times New Roman" w:hAnsi="Arial" w:cs="Times New Roman"/>
      <w:sz w:val="16"/>
      <w:szCs w:val="16"/>
      <w:lang w:val="en-GB"/>
    </w:rPr>
  </w:style>
  <w:style w:type="paragraph" w:styleId="Rientronormale">
    <w:name w:val="Normal Indent"/>
    <w:basedOn w:val="Normale"/>
    <w:uiPriority w:val="99"/>
    <w:semiHidden/>
    <w:unhideWhenUsed/>
    <w:rsid w:val="00F822C9"/>
    <w:pPr>
      <w:ind w:left="720"/>
    </w:pPr>
  </w:style>
  <w:style w:type="paragraph" w:styleId="Testocommento">
    <w:name w:val="annotation text"/>
    <w:basedOn w:val="Normale"/>
    <w:link w:val="TestocommentoCarattere"/>
    <w:uiPriority w:val="99"/>
    <w:unhideWhenUsed/>
    <w:rsid w:val="00F822C9"/>
    <w:pPr>
      <w:spacing w:line="240" w:lineRule="auto"/>
    </w:pPr>
  </w:style>
  <w:style w:type="character" w:customStyle="1" w:styleId="TestocommentoCarattere">
    <w:name w:val="Testo commento Carattere"/>
    <w:basedOn w:val="Carpredefinitoparagrafo"/>
    <w:link w:val="Testocommento"/>
    <w:uiPriority w:val="99"/>
    <w:rsid w:val="00F822C9"/>
    <w:rPr>
      <w:rFonts w:ascii="Arial" w:eastAsia="Times New Roman" w:hAnsi="Arial" w:cs="Times New Roman"/>
      <w:sz w:val="18"/>
      <w:szCs w:val="20"/>
      <w:lang w:val="en-GB"/>
    </w:rPr>
  </w:style>
  <w:style w:type="paragraph" w:styleId="Soggettocommento">
    <w:name w:val="annotation subject"/>
    <w:basedOn w:val="Testocommento"/>
    <w:next w:val="Testocommento"/>
    <w:link w:val="SoggettocommentoCarattere"/>
    <w:uiPriority w:val="99"/>
    <w:semiHidden/>
    <w:unhideWhenUsed/>
    <w:rsid w:val="00F822C9"/>
    <w:rPr>
      <w:b/>
      <w:bCs/>
    </w:rPr>
  </w:style>
  <w:style w:type="character" w:customStyle="1" w:styleId="SoggettocommentoCarattere">
    <w:name w:val="Soggetto commento Carattere"/>
    <w:basedOn w:val="TestocommentoCarattere"/>
    <w:link w:val="Soggettocommento"/>
    <w:uiPriority w:val="99"/>
    <w:semiHidden/>
    <w:rsid w:val="00F822C9"/>
    <w:rPr>
      <w:rFonts w:ascii="Arial" w:eastAsia="Times New Roman" w:hAnsi="Arial" w:cs="Times New Roman"/>
      <w:b/>
      <w:bCs/>
      <w:sz w:val="18"/>
      <w:szCs w:val="20"/>
      <w:lang w:val="en-GB"/>
    </w:rPr>
  </w:style>
  <w:style w:type="paragraph" w:styleId="Sommario1">
    <w:name w:val="toc 1"/>
    <w:basedOn w:val="Normale"/>
    <w:next w:val="Normale"/>
    <w:autoRedefine/>
    <w:uiPriority w:val="39"/>
    <w:semiHidden/>
    <w:unhideWhenUsed/>
    <w:rsid w:val="00F822C9"/>
    <w:pPr>
      <w:spacing w:after="100"/>
    </w:pPr>
  </w:style>
  <w:style w:type="paragraph" w:styleId="Sommario2">
    <w:name w:val="toc 2"/>
    <w:basedOn w:val="Normale"/>
    <w:next w:val="Normale"/>
    <w:autoRedefine/>
    <w:uiPriority w:val="39"/>
    <w:semiHidden/>
    <w:unhideWhenUsed/>
    <w:rsid w:val="00F822C9"/>
    <w:pPr>
      <w:spacing w:after="100"/>
      <w:ind w:left="220"/>
    </w:pPr>
  </w:style>
  <w:style w:type="paragraph" w:styleId="Sommario3">
    <w:name w:val="toc 3"/>
    <w:basedOn w:val="Normale"/>
    <w:next w:val="Normale"/>
    <w:autoRedefine/>
    <w:uiPriority w:val="39"/>
    <w:semiHidden/>
    <w:unhideWhenUsed/>
    <w:rsid w:val="00F822C9"/>
    <w:pPr>
      <w:spacing w:after="100"/>
      <w:ind w:left="440"/>
    </w:pPr>
  </w:style>
  <w:style w:type="paragraph" w:styleId="Sommario4">
    <w:name w:val="toc 4"/>
    <w:basedOn w:val="Normale"/>
    <w:next w:val="Normale"/>
    <w:autoRedefine/>
    <w:uiPriority w:val="39"/>
    <w:semiHidden/>
    <w:unhideWhenUsed/>
    <w:rsid w:val="00F822C9"/>
    <w:pPr>
      <w:spacing w:after="100"/>
      <w:ind w:left="660"/>
    </w:pPr>
  </w:style>
  <w:style w:type="paragraph" w:styleId="Sommario5">
    <w:name w:val="toc 5"/>
    <w:basedOn w:val="Normale"/>
    <w:next w:val="Normale"/>
    <w:autoRedefine/>
    <w:uiPriority w:val="39"/>
    <w:semiHidden/>
    <w:unhideWhenUsed/>
    <w:rsid w:val="00F822C9"/>
    <w:pPr>
      <w:spacing w:after="100"/>
      <w:ind w:left="880"/>
    </w:pPr>
  </w:style>
  <w:style w:type="paragraph" w:styleId="Sommario6">
    <w:name w:val="toc 6"/>
    <w:basedOn w:val="Normale"/>
    <w:next w:val="Normale"/>
    <w:autoRedefine/>
    <w:uiPriority w:val="39"/>
    <w:semiHidden/>
    <w:unhideWhenUsed/>
    <w:rsid w:val="00F822C9"/>
    <w:pPr>
      <w:spacing w:after="100"/>
      <w:ind w:left="1100"/>
    </w:pPr>
  </w:style>
  <w:style w:type="paragraph" w:styleId="Sommario7">
    <w:name w:val="toc 7"/>
    <w:basedOn w:val="Normale"/>
    <w:next w:val="Normale"/>
    <w:autoRedefine/>
    <w:uiPriority w:val="39"/>
    <w:semiHidden/>
    <w:unhideWhenUsed/>
    <w:rsid w:val="00F822C9"/>
    <w:pPr>
      <w:spacing w:after="100"/>
      <w:ind w:left="1320"/>
    </w:pPr>
  </w:style>
  <w:style w:type="paragraph" w:styleId="Sommario8">
    <w:name w:val="toc 8"/>
    <w:basedOn w:val="Normale"/>
    <w:next w:val="Normale"/>
    <w:autoRedefine/>
    <w:uiPriority w:val="39"/>
    <w:semiHidden/>
    <w:unhideWhenUsed/>
    <w:rsid w:val="00F822C9"/>
    <w:pPr>
      <w:spacing w:after="100"/>
      <w:ind w:left="1540"/>
    </w:pPr>
  </w:style>
  <w:style w:type="paragraph" w:styleId="Sommario9">
    <w:name w:val="toc 9"/>
    <w:basedOn w:val="Normale"/>
    <w:next w:val="Normale"/>
    <w:autoRedefine/>
    <w:uiPriority w:val="39"/>
    <w:semiHidden/>
    <w:unhideWhenUsed/>
    <w:rsid w:val="00F822C9"/>
    <w:pPr>
      <w:spacing w:after="100"/>
      <w:ind w:left="1760"/>
    </w:pPr>
  </w:style>
  <w:style w:type="paragraph" w:styleId="Testodelblocco">
    <w:name w:val="Block Text"/>
    <w:basedOn w:val="Normale"/>
    <w:uiPriority w:val="99"/>
    <w:semiHidden/>
    <w:unhideWhenUsed/>
    <w:rsid w:val="00F822C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stomacro">
    <w:name w:val="macro"/>
    <w:link w:val="TestomacroCarattere"/>
    <w:uiPriority w:val="99"/>
    <w:semiHidden/>
    <w:unhideWhenUsed/>
    <w:rsid w:val="00F822C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F822C9"/>
    <w:rPr>
      <w:rFonts w:ascii="Consolas" w:hAnsi="Consolas" w:cs="Consolas"/>
      <w:sz w:val="20"/>
      <w:szCs w:val="20"/>
    </w:rPr>
  </w:style>
  <w:style w:type="paragraph" w:styleId="Testonormale">
    <w:name w:val="Plain Text"/>
    <w:basedOn w:val="Normale"/>
    <w:link w:val="TestonormaleCarattere"/>
    <w:uiPriority w:val="99"/>
    <w:semiHidden/>
    <w:unhideWhenUsed/>
    <w:rsid w:val="00F822C9"/>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F822C9"/>
    <w:rPr>
      <w:rFonts w:ascii="Consolas" w:eastAsia="Times New Roman" w:hAnsi="Consolas" w:cs="Consolas"/>
      <w:sz w:val="21"/>
      <w:szCs w:val="21"/>
      <w:lang w:val="en-GB"/>
    </w:rPr>
  </w:style>
  <w:style w:type="paragraph" w:styleId="Testonotaapidipagina">
    <w:name w:val="footnote text"/>
    <w:basedOn w:val="Normale"/>
    <w:link w:val="TestonotaapidipaginaCarattere"/>
    <w:uiPriority w:val="99"/>
    <w:semiHidden/>
    <w:unhideWhenUsed/>
    <w:rsid w:val="00F822C9"/>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F822C9"/>
    <w:rPr>
      <w:rFonts w:ascii="Arial" w:eastAsia="Times New Roman" w:hAnsi="Arial" w:cs="Times New Roman"/>
      <w:sz w:val="18"/>
      <w:szCs w:val="20"/>
      <w:lang w:val="en-GB"/>
    </w:rPr>
  </w:style>
  <w:style w:type="paragraph" w:styleId="Testonotadichiusura">
    <w:name w:val="endnote text"/>
    <w:basedOn w:val="Normale"/>
    <w:link w:val="TestonotadichiusuraCarattere"/>
    <w:uiPriority w:val="99"/>
    <w:semiHidden/>
    <w:unhideWhenUsed/>
    <w:rsid w:val="00F822C9"/>
    <w:pPr>
      <w:spacing w:line="240" w:lineRule="auto"/>
    </w:pPr>
  </w:style>
  <w:style w:type="character" w:customStyle="1" w:styleId="TestonotadichiusuraCarattere">
    <w:name w:val="Testo nota di chiusura Carattere"/>
    <w:basedOn w:val="Carpredefinitoparagrafo"/>
    <w:link w:val="Testonotadichiusura"/>
    <w:uiPriority w:val="99"/>
    <w:semiHidden/>
    <w:rsid w:val="00F822C9"/>
    <w:rPr>
      <w:rFonts w:ascii="Arial" w:eastAsia="Times New Roman" w:hAnsi="Arial" w:cs="Times New Roman"/>
      <w:sz w:val="18"/>
      <w:szCs w:val="20"/>
      <w:lang w:val="en-GB"/>
    </w:rPr>
  </w:style>
  <w:style w:type="paragraph" w:styleId="Titoloindice">
    <w:name w:val="index heading"/>
    <w:basedOn w:val="Normale"/>
    <w:next w:val="Indice1"/>
    <w:uiPriority w:val="99"/>
    <w:semiHidden/>
    <w:unhideWhenUsed/>
    <w:rsid w:val="00F822C9"/>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F822C9"/>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F822C9"/>
    <w:pPr>
      <w:outlineLvl w:val="9"/>
    </w:pPr>
  </w:style>
  <w:style w:type="paragraph" w:customStyle="1" w:styleId="CETemail">
    <w:name w:val="CET email"/>
    <w:next w:val="CETBodytext"/>
    <w:rsid w:val="00F822C9"/>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F822C9"/>
    <w:rPr>
      <w:rFonts w:ascii="Arial" w:eastAsia="Times New Roman" w:hAnsi="Arial" w:cs="Times New Roman"/>
      <w:noProof/>
      <w:sz w:val="16"/>
      <w:szCs w:val="20"/>
      <w:lang w:val="en-GB"/>
    </w:rPr>
  </w:style>
  <w:style w:type="paragraph" w:customStyle="1" w:styleId="CETBodytextBold">
    <w:name w:val="CET Body text (Bold)"/>
    <w:basedOn w:val="CETBodytext"/>
    <w:rsid w:val="00F822C9"/>
    <w:rPr>
      <w:b/>
    </w:rPr>
  </w:style>
  <w:style w:type="paragraph" w:customStyle="1" w:styleId="CETnumberingbullets">
    <w:name w:val="CET numbering (bullets)"/>
    <w:rsid w:val="00F822C9"/>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F822C9"/>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F822C9"/>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F822C9"/>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822C9"/>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F822C9"/>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822C9"/>
    <w:rPr>
      <w:rFonts w:ascii="Arial" w:eastAsia="Times New Roman" w:hAnsi="Arial" w:cs="Times New Roman"/>
      <w:sz w:val="18"/>
      <w:szCs w:val="20"/>
      <w:lang w:val="en-GB"/>
    </w:rPr>
  </w:style>
  <w:style w:type="table" w:styleId="Grigliatabella">
    <w:name w:val="Table Grid"/>
    <w:basedOn w:val="Tabellanormale"/>
    <w:uiPriority w:val="59"/>
    <w:rsid w:val="00F82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822C9"/>
    <w:rPr>
      <w:color w:val="0563C1" w:themeColor="hyperlink"/>
      <w:u w:val="single"/>
    </w:rPr>
  </w:style>
  <w:style w:type="character" w:customStyle="1" w:styleId="eudoraheader">
    <w:name w:val="eudoraheader"/>
    <w:basedOn w:val="Carpredefinitoparagrafo"/>
    <w:rsid w:val="00F822C9"/>
  </w:style>
  <w:style w:type="paragraph" w:customStyle="1" w:styleId="CETListbullets">
    <w:name w:val="CET List bullets"/>
    <w:qFormat/>
    <w:rsid w:val="00F822C9"/>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F822C9"/>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F822C9"/>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F822C9"/>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F822C9"/>
    <w:pPr>
      <w:spacing w:before="120" w:after="120"/>
      <w:jc w:val="left"/>
    </w:pPr>
    <w:rPr>
      <w:lang w:val="en-GB"/>
    </w:rPr>
  </w:style>
  <w:style w:type="paragraph" w:customStyle="1" w:styleId="CETHeadingxx">
    <w:name w:val="CET Headingxx"/>
    <w:basedOn w:val="CETheadingx"/>
    <w:link w:val="CETHeadingxxChar"/>
    <w:qFormat/>
    <w:rsid w:val="00F822C9"/>
    <w:pPr>
      <w:numPr>
        <w:ilvl w:val="0"/>
        <w:numId w:val="0"/>
      </w:numPr>
    </w:pPr>
  </w:style>
  <w:style w:type="character" w:customStyle="1" w:styleId="CETHeadingxxChar">
    <w:name w:val="CET Headingxx Char"/>
    <w:basedOn w:val="CETheadingxCarattere"/>
    <w:link w:val="CETHeadingxx"/>
    <w:rsid w:val="00F822C9"/>
    <w:rPr>
      <w:rFonts w:ascii="Arial" w:eastAsia="Times New Roman" w:hAnsi="Arial" w:cs="Times New Roman"/>
      <w:b/>
      <w:sz w:val="18"/>
      <w:szCs w:val="20"/>
      <w:lang w:val="en-US"/>
    </w:rPr>
  </w:style>
  <w:style w:type="character" w:customStyle="1" w:styleId="jlqj4b">
    <w:name w:val="jlqj4b"/>
    <w:basedOn w:val="Carpredefinitoparagrafo"/>
    <w:rsid w:val="00F822C9"/>
  </w:style>
  <w:style w:type="paragraph" w:styleId="Paragrafoelenco">
    <w:name w:val="List Paragraph"/>
    <w:basedOn w:val="Normale"/>
    <w:uiPriority w:val="34"/>
    <w:qFormat/>
    <w:rsid w:val="00F822C9"/>
    <w:pPr>
      <w:tabs>
        <w:tab w:val="clear" w:pos="7100"/>
      </w:tabs>
      <w:spacing w:after="160" w:line="259" w:lineRule="auto"/>
      <w:ind w:left="720"/>
      <w:contextualSpacing/>
      <w:jc w:val="left"/>
    </w:pPr>
    <w:rPr>
      <w:rFonts w:asciiTheme="minorHAnsi" w:eastAsiaTheme="minorHAnsi" w:hAnsiTheme="minorHAnsi" w:cstheme="minorBidi"/>
      <w:sz w:val="22"/>
      <w:szCs w:val="22"/>
      <w:lang w:val="it-IT"/>
    </w:rPr>
  </w:style>
  <w:style w:type="paragraph" w:customStyle="1" w:styleId="EndNoteBibliographyTitle">
    <w:name w:val="EndNote Bibliography Title"/>
    <w:basedOn w:val="Normale"/>
    <w:link w:val="EndNoteBibliographyTitleCarattere"/>
    <w:rsid w:val="00F822C9"/>
    <w:pPr>
      <w:jc w:val="center"/>
    </w:pPr>
    <w:rPr>
      <w:rFonts w:cs="Arial"/>
      <w:noProof/>
      <w:sz w:val="20"/>
      <w:lang w:val="en-US"/>
    </w:rPr>
  </w:style>
  <w:style w:type="character" w:customStyle="1" w:styleId="EndNoteBibliographyTitleCarattere">
    <w:name w:val="EndNote Bibliography Title Carattere"/>
    <w:basedOn w:val="CETBodytextCarattere"/>
    <w:link w:val="EndNoteBibliographyTitle"/>
    <w:rsid w:val="00F822C9"/>
    <w:rPr>
      <w:rFonts w:ascii="Arial" w:eastAsia="Times New Roman" w:hAnsi="Arial" w:cs="Arial"/>
      <w:noProof/>
      <w:sz w:val="20"/>
      <w:szCs w:val="20"/>
      <w:lang w:val="en-US"/>
    </w:rPr>
  </w:style>
  <w:style w:type="paragraph" w:customStyle="1" w:styleId="EndNoteBibliography">
    <w:name w:val="EndNote Bibliography"/>
    <w:basedOn w:val="Normale"/>
    <w:link w:val="EndNoteBibliographyCarattere"/>
    <w:rsid w:val="00F822C9"/>
    <w:pPr>
      <w:spacing w:line="240" w:lineRule="auto"/>
      <w:jc w:val="left"/>
    </w:pPr>
    <w:rPr>
      <w:rFonts w:cs="Arial"/>
      <w:noProof/>
      <w:sz w:val="20"/>
      <w:lang w:val="en-US"/>
    </w:rPr>
  </w:style>
  <w:style w:type="character" w:customStyle="1" w:styleId="EndNoteBibliographyCarattere">
    <w:name w:val="EndNote Bibliography Carattere"/>
    <w:basedOn w:val="CETBodytextCarattere"/>
    <w:link w:val="EndNoteBibliography"/>
    <w:rsid w:val="00F822C9"/>
    <w:rPr>
      <w:rFonts w:ascii="Arial" w:eastAsia="Times New Roman" w:hAnsi="Arial" w:cs="Arial"/>
      <w:noProof/>
      <w:sz w:val="20"/>
      <w:szCs w:val="20"/>
      <w:lang w:val="en-US"/>
    </w:rPr>
  </w:style>
  <w:style w:type="character" w:styleId="Menzionenonrisolta">
    <w:name w:val="Unresolved Mention"/>
    <w:basedOn w:val="Carpredefinitoparagrafo"/>
    <w:uiPriority w:val="99"/>
    <w:semiHidden/>
    <w:unhideWhenUsed/>
    <w:rsid w:val="00F822C9"/>
    <w:rPr>
      <w:color w:val="605E5C"/>
      <w:shd w:val="clear" w:color="auto" w:fill="E1DFDD"/>
    </w:rPr>
  </w:style>
  <w:style w:type="character" w:styleId="Testosegnaposto">
    <w:name w:val="Placeholder Text"/>
    <w:basedOn w:val="Carpredefinitoparagrafo"/>
    <w:uiPriority w:val="99"/>
    <w:semiHidden/>
    <w:rsid w:val="00B34B90"/>
    <w:rPr>
      <w:color w:val="808080"/>
    </w:rPr>
  </w:style>
  <w:style w:type="character" w:styleId="Rimandonotaapidipagina">
    <w:name w:val="footnote reference"/>
    <w:basedOn w:val="Carpredefinitoparagrafo"/>
    <w:uiPriority w:val="99"/>
    <w:semiHidden/>
    <w:unhideWhenUsed/>
    <w:rsid w:val="002A5ABA"/>
    <w:rPr>
      <w:vertAlign w:val="superscript"/>
    </w:rPr>
  </w:style>
  <w:style w:type="paragraph" w:styleId="Revisione">
    <w:name w:val="Revision"/>
    <w:hidden/>
    <w:uiPriority w:val="99"/>
    <w:semiHidden/>
    <w:rsid w:val="00AC311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4295-8EC1-49EA-867F-DA3ADD81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2830</Words>
  <Characters>16133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marco.zeppilli marco.zeppilli</dc:creator>
  <cp:keywords/>
  <dc:description/>
  <cp:lastModifiedBy>Lorenzo Cristiani</cp:lastModifiedBy>
  <cp:revision>31</cp:revision>
  <dcterms:created xsi:type="dcterms:W3CDTF">2023-02-15T13:39:00Z</dcterms:created>
  <dcterms:modified xsi:type="dcterms:W3CDTF">2023-03-14T08:31:00Z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5ecad23c-df36-3f59-b7b5-d867c74b4e0b</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http://www.zotero.org/styles/chemical-engineering-journal</vt:lpwstr>
  </property>
  <property fmtid="{D5CDD505-2E9C-101B-9397-08002B2CF9AE}" pid="12" name="Mendeley Recent Style Name 3_1">
    <vt:lpwstr>Chemical Engineering Journal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http://www.zotero.org/styles/renewable-energy</vt:lpwstr>
  </property>
  <property fmtid="{D5CDD505-2E9C-101B-9397-08002B2CF9AE}" pid="24" name="Mendeley Recent Style Name 9_1">
    <vt:lpwstr>Renewable Energy</vt:lpwstr>
  </property>
</Properties>
</file>