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B101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B101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2B101E">
        <w:trPr>
          <w:trHeight w:val="68"/>
          <w:jc w:val="center"/>
        </w:trPr>
        <w:tc>
          <w:tcPr>
            <w:tcW w:w="8782"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Jiří Jaromír Klemeš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A6B3F79" w:rsidR="00E978D0" w:rsidRPr="00B57B36" w:rsidRDefault="002B101E" w:rsidP="00E978D0">
      <w:pPr>
        <w:pStyle w:val="CETTitle"/>
      </w:pPr>
      <w:r w:rsidRPr="002B101E">
        <w:t>Valorization of Biomass from Dairy Wastes: Integrated Resources and Energy Recovery</w:t>
      </w:r>
    </w:p>
    <w:p w14:paraId="7800AD77" w14:textId="7B5F00C5" w:rsidR="009B4419" w:rsidRPr="008A1E95" w:rsidRDefault="009B4419" w:rsidP="009B4419">
      <w:pPr>
        <w:spacing w:after="160" w:line="259" w:lineRule="auto"/>
        <w:jc w:val="center"/>
        <w:rPr>
          <w:sz w:val="24"/>
          <w:szCs w:val="24"/>
          <w:lang w:val="it-IT"/>
        </w:rPr>
      </w:pPr>
      <w:r w:rsidRPr="008A1E95">
        <w:rPr>
          <w:sz w:val="24"/>
          <w:szCs w:val="24"/>
          <w:lang w:val="it-IT"/>
        </w:rPr>
        <w:t>Andrea Maffini</w:t>
      </w:r>
      <w:r w:rsidRPr="008A1E95">
        <w:rPr>
          <w:sz w:val="24"/>
          <w:szCs w:val="24"/>
          <w:vertAlign w:val="superscript"/>
          <w:lang w:val="it-IT"/>
        </w:rPr>
        <w:t>a</w:t>
      </w:r>
      <w:r w:rsidRPr="008A1E95">
        <w:rPr>
          <w:sz w:val="24"/>
          <w:szCs w:val="24"/>
          <w:lang w:val="it-IT"/>
        </w:rPr>
        <w:t>, Marco Morando</w:t>
      </w:r>
      <w:r w:rsidRPr="008A1E95">
        <w:rPr>
          <w:sz w:val="24"/>
          <w:szCs w:val="24"/>
          <w:vertAlign w:val="superscript"/>
          <w:lang w:val="it-IT"/>
        </w:rPr>
        <w:t>b</w:t>
      </w:r>
      <w:r w:rsidRPr="008A1E95">
        <w:rPr>
          <w:sz w:val="24"/>
          <w:szCs w:val="24"/>
          <w:lang w:val="it-IT"/>
        </w:rPr>
        <w:t>, Antonio G. Saba</w:t>
      </w:r>
      <w:r w:rsidRPr="008A1E95">
        <w:rPr>
          <w:sz w:val="24"/>
          <w:szCs w:val="24"/>
          <w:vertAlign w:val="superscript"/>
          <w:lang w:val="it-IT"/>
        </w:rPr>
        <w:t>b</w:t>
      </w:r>
      <w:r w:rsidRPr="008A1E95">
        <w:rPr>
          <w:sz w:val="24"/>
          <w:szCs w:val="24"/>
          <w:lang w:val="it-IT"/>
        </w:rPr>
        <w:t>, Giorgio Bonvicini</w:t>
      </w:r>
      <w:r w:rsidRPr="008A1E95">
        <w:rPr>
          <w:sz w:val="24"/>
          <w:szCs w:val="24"/>
          <w:vertAlign w:val="superscript"/>
          <w:lang w:val="it-IT"/>
        </w:rPr>
        <w:t>b</w:t>
      </w:r>
      <w:r w:rsidR="0004286E">
        <w:rPr>
          <w:sz w:val="24"/>
          <w:szCs w:val="24"/>
          <w:lang w:val="it-IT"/>
        </w:rPr>
        <w:t xml:space="preserve">, </w:t>
      </w:r>
      <w:r w:rsidRPr="008A1E95">
        <w:rPr>
          <w:sz w:val="24"/>
          <w:szCs w:val="24"/>
          <w:lang w:val="it-IT"/>
        </w:rPr>
        <w:t>Bruno Fabiano</w:t>
      </w:r>
      <w:r w:rsidRPr="008A1E95">
        <w:rPr>
          <w:sz w:val="24"/>
          <w:szCs w:val="24"/>
          <w:vertAlign w:val="superscript"/>
          <w:lang w:val="it-IT"/>
        </w:rPr>
        <w:t>c</w:t>
      </w:r>
    </w:p>
    <w:p w14:paraId="4D0B9E53" w14:textId="77777777" w:rsidR="009B4419" w:rsidRPr="008A1E95" w:rsidRDefault="009B4419" w:rsidP="009B4419">
      <w:pPr>
        <w:spacing w:line="240" w:lineRule="auto"/>
        <w:rPr>
          <w:rFonts w:cs="Arial"/>
          <w:sz w:val="16"/>
          <w:szCs w:val="16"/>
          <w:lang w:val="it-IT"/>
        </w:rPr>
      </w:pPr>
      <w:r w:rsidRPr="008A1E95">
        <w:rPr>
          <w:rFonts w:cs="Arial"/>
          <w:sz w:val="16"/>
          <w:szCs w:val="16"/>
          <w:vertAlign w:val="superscript"/>
          <w:lang w:val="it-IT"/>
        </w:rPr>
        <w:t>a</w:t>
      </w:r>
      <w:r w:rsidRPr="008A1E95">
        <w:rPr>
          <w:rFonts w:cs="Arial"/>
          <w:sz w:val="16"/>
          <w:szCs w:val="16"/>
          <w:lang w:val="it-IT"/>
        </w:rPr>
        <w:t xml:space="preserve"> Maffini Engineering &amp; Consulting, via D. Somma 80 – 16167 Genova, Italy </w:t>
      </w:r>
    </w:p>
    <w:p w14:paraId="51C5A5CD" w14:textId="77777777" w:rsidR="009B4419" w:rsidRPr="008A1E95" w:rsidRDefault="009B4419" w:rsidP="009B4419">
      <w:pPr>
        <w:spacing w:line="240" w:lineRule="auto"/>
        <w:rPr>
          <w:rFonts w:cs="Arial"/>
          <w:sz w:val="16"/>
          <w:szCs w:val="16"/>
          <w:lang w:val="it-IT"/>
        </w:rPr>
      </w:pPr>
      <w:r w:rsidRPr="008A1E95">
        <w:rPr>
          <w:rFonts w:cs="Arial"/>
          <w:sz w:val="16"/>
          <w:szCs w:val="16"/>
          <w:vertAlign w:val="superscript"/>
          <w:lang w:val="it-IT"/>
        </w:rPr>
        <w:t>b</w:t>
      </w:r>
      <w:r w:rsidRPr="008A1E95">
        <w:rPr>
          <w:rFonts w:cs="Arial"/>
          <w:sz w:val="16"/>
          <w:szCs w:val="16"/>
          <w:lang w:val="it-IT"/>
        </w:rPr>
        <w:t xml:space="preserve"> RINA Consulting S.p.A., via A. Cecchi 6 - 16129 Genova, Italy </w:t>
      </w:r>
    </w:p>
    <w:p w14:paraId="26768689" w14:textId="77777777" w:rsidR="009B4419" w:rsidRPr="008A1E95" w:rsidRDefault="009B4419" w:rsidP="009B4419">
      <w:pPr>
        <w:spacing w:line="240" w:lineRule="auto"/>
        <w:rPr>
          <w:rFonts w:cs="Arial"/>
          <w:sz w:val="16"/>
          <w:szCs w:val="16"/>
          <w:lang w:val="en-US"/>
        </w:rPr>
      </w:pPr>
      <w:r w:rsidRPr="008A1E95">
        <w:rPr>
          <w:rFonts w:cs="Arial"/>
          <w:sz w:val="16"/>
          <w:szCs w:val="16"/>
          <w:vertAlign w:val="superscript"/>
          <w:lang w:val="en-US"/>
        </w:rPr>
        <w:t>c</w:t>
      </w:r>
      <w:r w:rsidRPr="008A1E95">
        <w:rPr>
          <w:rFonts w:cs="Arial"/>
          <w:sz w:val="16"/>
          <w:szCs w:val="16"/>
          <w:lang w:val="en-US"/>
        </w:rPr>
        <w:t xml:space="preserve"> DICCA - Civil, Chemical and Environmental Engineering Department, Polytechnic School - Genova University, via Opera Pia 15 - 16145 Genova, Italy</w:t>
      </w:r>
    </w:p>
    <w:p w14:paraId="060BBCDE" w14:textId="0B594C25" w:rsidR="004D3908" w:rsidRDefault="00000000" w:rsidP="004D3908">
      <w:pPr>
        <w:pStyle w:val="CETAddress"/>
        <w:spacing w:after="240"/>
        <w:rPr>
          <w:rStyle w:val="Hyperlink"/>
        </w:rPr>
      </w:pPr>
      <w:hyperlink r:id="rId10" w:history="1">
        <w:r w:rsidR="008A1E95" w:rsidRPr="00D1330F">
          <w:rPr>
            <w:rStyle w:val="Hyperlink"/>
          </w:rPr>
          <w:t>andrea@maffiniconsulting.it</w:t>
        </w:r>
      </w:hyperlink>
    </w:p>
    <w:p w14:paraId="1FDCAD76" w14:textId="59BBEC08" w:rsidR="004D3908" w:rsidRDefault="004D3908" w:rsidP="004D3908">
      <w:pPr>
        <w:pStyle w:val="CETBodytext"/>
        <w:rPr>
          <w:lang w:val="en-GB"/>
        </w:rPr>
      </w:pPr>
      <w:r w:rsidRPr="004D3908">
        <w:rPr>
          <w:lang w:val="en-GB"/>
        </w:rPr>
        <w:t xml:space="preserve">The focus of this paper is to critically </w:t>
      </w:r>
      <w:r w:rsidR="00CB4BB4" w:rsidRPr="004D3908">
        <w:rPr>
          <w:lang w:val="en-GB"/>
        </w:rPr>
        <w:t>analyse</w:t>
      </w:r>
      <w:r w:rsidRPr="004D3908">
        <w:rPr>
          <w:lang w:val="en-GB"/>
        </w:rPr>
        <w:t xml:space="preserve"> and draw quantitative balance indicators of several projects concerning </w:t>
      </w:r>
      <w:r w:rsidR="00003D2A">
        <w:rPr>
          <w:lang w:val="en-GB"/>
        </w:rPr>
        <w:t xml:space="preserve">process optimization, </w:t>
      </w:r>
      <w:r w:rsidR="001664EF">
        <w:rPr>
          <w:lang w:val="en-GB"/>
        </w:rPr>
        <w:t>r</w:t>
      </w:r>
      <w:r w:rsidR="001664EF" w:rsidRPr="004D3908">
        <w:rPr>
          <w:lang w:val="en-GB"/>
        </w:rPr>
        <w:t>esources,</w:t>
      </w:r>
      <w:r w:rsidRPr="004D3908">
        <w:rPr>
          <w:lang w:val="en-GB"/>
        </w:rPr>
        <w:t xml:space="preserve"> and energy recovery from dairies wastes. </w:t>
      </w:r>
      <w:r w:rsidR="00CB4BB4" w:rsidRPr="004D3908">
        <w:rPr>
          <w:lang w:val="en-GB"/>
        </w:rPr>
        <w:t>Analysed</w:t>
      </w:r>
      <w:r w:rsidRPr="004D3908">
        <w:rPr>
          <w:lang w:val="en-GB"/>
        </w:rPr>
        <w:t xml:space="preserve"> quantitative data were collected </w:t>
      </w:r>
      <w:r w:rsidR="00AE5064">
        <w:rPr>
          <w:lang w:val="en-GB"/>
        </w:rPr>
        <w:t>by</w:t>
      </w:r>
      <w:r w:rsidRPr="004D3908">
        <w:rPr>
          <w:lang w:val="en-GB"/>
        </w:rPr>
        <w:t xml:space="preserve"> auditing activities and design studies in Eastern Europe and Asia, aimed at supporting the International Financial Institutions (IFIs) for better performances and reduction of global environmental impact of their customer Companies. </w:t>
      </w:r>
      <w:r w:rsidR="00AE5064">
        <w:rPr>
          <w:lang w:val="en-GB"/>
        </w:rPr>
        <w:t>S</w:t>
      </w:r>
      <w:r w:rsidRPr="004D3908">
        <w:rPr>
          <w:lang w:val="en-GB"/>
        </w:rPr>
        <w:t>uggestions for the recovery of waste in the given sector</w:t>
      </w:r>
      <w:r w:rsidR="00AE5064">
        <w:rPr>
          <w:lang w:val="en-GB"/>
        </w:rPr>
        <w:t xml:space="preserve"> are outlined</w:t>
      </w:r>
      <w:r w:rsidRPr="004D3908">
        <w:rPr>
          <w:lang w:val="en-GB"/>
        </w:rPr>
        <w:t xml:space="preserve"> discussing results from actual case-studies for recycling dairy waste and obtaining valuable products, seeking to contribute to increase income, as well as to minimize waste generation</w:t>
      </w:r>
      <w:r w:rsidR="00CB4BB4">
        <w:rPr>
          <w:lang w:val="en-GB"/>
        </w:rPr>
        <w:t xml:space="preserve"> and GHGs emissions</w:t>
      </w:r>
      <w:r w:rsidRPr="004D3908">
        <w:rPr>
          <w:lang w:val="en-GB"/>
        </w:rPr>
        <w:t>. Results evidencing</w:t>
      </w:r>
      <w:r>
        <w:rPr>
          <w:lang w:val="en-GB"/>
        </w:rPr>
        <w:t xml:space="preserve"> the benefits of biomass valoris</w:t>
      </w:r>
      <w:r w:rsidRPr="004D3908">
        <w:rPr>
          <w:lang w:val="en-GB"/>
        </w:rPr>
        <w:t>ation to produce energy by-products can provide practical indications for dairy plant companies that are considering the issues of economic and environmental sustainability.</w:t>
      </w:r>
    </w:p>
    <w:p w14:paraId="63D5EACD" w14:textId="77777777" w:rsidR="004D3908" w:rsidRDefault="004D3908" w:rsidP="004D3908">
      <w:pPr>
        <w:pStyle w:val="CETBodytext"/>
        <w:rPr>
          <w:lang w:val="en-GB"/>
        </w:rPr>
      </w:pPr>
    </w:p>
    <w:p w14:paraId="476B2F2E" w14:textId="3F5C68CD" w:rsidR="00600535" w:rsidRDefault="00600535" w:rsidP="002333B1">
      <w:pPr>
        <w:pStyle w:val="CETHeading1"/>
        <w:spacing w:before="0" w:after="0" w:line="264" w:lineRule="auto"/>
        <w:ind w:left="0"/>
        <w:rPr>
          <w:lang w:val="en-GB"/>
        </w:rPr>
      </w:pPr>
      <w:r w:rsidRPr="00B57B36">
        <w:rPr>
          <w:lang w:val="en-GB"/>
        </w:rPr>
        <w:t>Introduction</w:t>
      </w:r>
    </w:p>
    <w:p w14:paraId="572D4B40" w14:textId="77777777" w:rsidR="002333B1" w:rsidRPr="002333B1" w:rsidRDefault="002333B1" w:rsidP="002333B1">
      <w:pPr>
        <w:pStyle w:val="CETBodytext"/>
        <w:rPr>
          <w:lang w:val="en-GB"/>
        </w:rPr>
      </w:pPr>
    </w:p>
    <w:p w14:paraId="2AE6D0DE" w14:textId="39B3D1DB" w:rsidR="00924AAC" w:rsidRDefault="002B101E" w:rsidP="00D72353">
      <w:pPr>
        <w:pStyle w:val="ListParagraph"/>
        <w:ind w:left="0"/>
      </w:pPr>
      <w:r w:rsidRPr="00A207D1">
        <w:rPr>
          <w:lang w:val="en-US"/>
        </w:rPr>
        <w:t xml:space="preserve">As amply known, the dairy industries provide a large range of products, obtained from raw milk through a process including </w:t>
      </w:r>
      <w:r w:rsidR="00E00E9F">
        <w:rPr>
          <w:lang w:val="en-US"/>
        </w:rPr>
        <w:t>a series of unit</w:t>
      </w:r>
      <w:r w:rsidR="0081601F">
        <w:rPr>
          <w:lang w:val="en-US"/>
        </w:rPr>
        <w:t xml:space="preserve"> operations</w:t>
      </w:r>
      <w:r w:rsidR="00B015E1">
        <w:rPr>
          <w:lang w:val="en-US"/>
        </w:rPr>
        <w:t>.</w:t>
      </w:r>
      <w:r w:rsidRPr="00A207D1">
        <w:rPr>
          <w:lang w:val="en-US"/>
        </w:rPr>
        <w:t xml:space="preserve"> Final products include fresh </w:t>
      </w:r>
      <w:r w:rsidR="0081601F">
        <w:rPr>
          <w:lang w:val="en-US"/>
        </w:rPr>
        <w:t>and</w:t>
      </w:r>
      <w:r w:rsidRPr="00A207D1">
        <w:rPr>
          <w:lang w:val="en-US"/>
        </w:rPr>
        <w:t xml:space="preserve"> UHT milk, spread</w:t>
      </w:r>
      <w:r w:rsidR="0081601F">
        <w:rPr>
          <w:lang w:val="en-US"/>
        </w:rPr>
        <w:t>,</w:t>
      </w:r>
      <w:r w:rsidRPr="00A207D1">
        <w:rPr>
          <w:lang w:val="en-US"/>
        </w:rPr>
        <w:t xml:space="preserve"> crust </w:t>
      </w:r>
      <w:r w:rsidR="0081601F">
        <w:rPr>
          <w:lang w:val="en-US"/>
        </w:rPr>
        <w:t>and</w:t>
      </w:r>
      <w:r w:rsidRPr="00A207D1">
        <w:rPr>
          <w:lang w:val="en-US"/>
        </w:rPr>
        <w:t xml:space="preserve"> aged cheese, yoghurt, etc. The main final by-product </w:t>
      </w:r>
      <w:r w:rsidR="00BC77D8">
        <w:rPr>
          <w:lang w:val="en-US"/>
        </w:rPr>
        <w:t xml:space="preserve">in dairies </w:t>
      </w:r>
      <w:r w:rsidRPr="00A207D1">
        <w:rPr>
          <w:lang w:val="en-US"/>
        </w:rPr>
        <w:t xml:space="preserve">is whey, </w:t>
      </w:r>
      <w:r w:rsidR="00B015E1">
        <w:rPr>
          <w:lang w:val="en-US"/>
        </w:rPr>
        <w:t xml:space="preserve">separated from </w:t>
      </w:r>
      <w:r w:rsidR="005C045C">
        <w:rPr>
          <w:lang w:val="en-US"/>
        </w:rPr>
        <w:t xml:space="preserve">the </w:t>
      </w:r>
      <w:r w:rsidR="00B015E1">
        <w:rPr>
          <w:lang w:val="en-US"/>
        </w:rPr>
        <w:t>cheese</w:t>
      </w:r>
      <w:r w:rsidR="00EE294D">
        <w:rPr>
          <w:lang w:val="en-US"/>
        </w:rPr>
        <w:t xml:space="preserve"> in large quantity,</w:t>
      </w:r>
      <w:r w:rsidR="005C045C">
        <w:rPr>
          <w:lang w:val="en-US"/>
        </w:rPr>
        <w:t xml:space="preserve"> roughly </w:t>
      </w:r>
      <w:r w:rsidR="00D76812">
        <w:rPr>
          <w:lang w:val="en-US"/>
        </w:rPr>
        <w:t>85-</w:t>
      </w:r>
      <w:r w:rsidR="005C045C">
        <w:rPr>
          <w:lang w:val="en-US"/>
        </w:rPr>
        <w:t>90% of raw milk</w:t>
      </w:r>
      <w:r w:rsidR="00E76747">
        <w:rPr>
          <w:lang w:val="en-US"/>
        </w:rPr>
        <w:t xml:space="preserve"> and </w:t>
      </w:r>
      <w:r w:rsidR="00EE294D">
        <w:rPr>
          <w:lang w:val="en-US"/>
        </w:rPr>
        <w:t>represent</w:t>
      </w:r>
      <w:r w:rsidR="00E76747">
        <w:rPr>
          <w:lang w:val="en-US"/>
        </w:rPr>
        <w:t>ing</w:t>
      </w:r>
      <w:r w:rsidR="0081601F">
        <w:rPr>
          <w:lang w:val="en-US"/>
        </w:rPr>
        <w:t xml:space="preserve"> </w:t>
      </w:r>
      <w:r w:rsidRPr="00A207D1">
        <w:rPr>
          <w:lang w:val="en-US"/>
        </w:rPr>
        <w:t>a valuable source to extract whey proteins</w:t>
      </w:r>
      <w:r w:rsidR="00E76747">
        <w:rPr>
          <w:lang w:val="en-US"/>
        </w:rPr>
        <w:t xml:space="preserve"> and</w:t>
      </w:r>
      <w:r w:rsidRPr="00A207D1">
        <w:rPr>
          <w:lang w:val="en-US"/>
        </w:rPr>
        <w:t xml:space="preserve"> lactose</w:t>
      </w:r>
      <w:r w:rsidR="008530E8">
        <w:rPr>
          <w:lang w:val="en-US"/>
        </w:rPr>
        <w:t xml:space="preserve"> (Pizzichini et al., 2001)</w:t>
      </w:r>
      <w:r w:rsidR="00EE294D">
        <w:rPr>
          <w:lang w:val="en-US"/>
        </w:rPr>
        <w:t xml:space="preserve">. </w:t>
      </w:r>
      <w:r w:rsidR="00976EFF">
        <w:rPr>
          <w:lang w:val="en-US"/>
        </w:rPr>
        <w:t>D</w:t>
      </w:r>
      <w:r w:rsidRPr="00A207D1">
        <w:rPr>
          <w:lang w:val="en-US"/>
        </w:rPr>
        <w:t>airy industries demand significant energy resources along the production stages and supply chain and can suffer from energetic crises and climate change implications.</w:t>
      </w:r>
      <w:r w:rsidR="00D72353">
        <w:rPr>
          <w:lang w:val="en-US"/>
        </w:rPr>
        <w:t xml:space="preserve"> </w:t>
      </w:r>
      <w:r w:rsidR="00E76747">
        <w:rPr>
          <w:lang w:val="en-US"/>
        </w:rPr>
        <w:t>Even though the occupational risk level</w:t>
      </w:r>
      <w:r w:rsidR="0035095E">
        <w:rPr>
          <w:lang w:val="en-US"/>
        </w:rPr>
        <w:t xml:space="preserve"> and production downtime</w:t>
      </w:r>
      <w:r w:rsidR="00E76747">
        <w:rPr>
          <w:lang w:val="en-US"/>
        </w:rPr>
        <w:t xml:space="preserve"> is low compared to other sectors </w:t>
      </w:r>
      <w:r w:rsidR="008D7371">
        <w:t>(</w:t>
      </w:r>
      <w:r w:rsidR="008D7371" w:rsidRPr="0035095E">
        <w:rPr>
          <w:lang w:val="en-US"/>
        </w:rPr>
        <w:t>Fabiano</w:t>
      </w:r>
      <w:r w:rsidR="008D7371">
        <w:rPr>
          <w:lang w:val="en-US"/>
        </w:rPr>
        <w:t xml:space="preserve"> et al., 2022), </w:t>
      </w:r>
      <w:r w:rsidR="00E76747">
        <w:rPr>
          <w:lang w:val="en-US"/>
        </w:rPr>
        <w:t>there are opportunities for process and management improvements</w:t>
      </w:r>
      <w:r w:rsidR="0035095E">
        <w:rPr>
          <w:lang w:val="en-US"/>
        </w:rPr>
        <w:t>.</w:t>
      </w:r>
      <w:r w:rsidR="00E76747">
        <w:rPr>
          <w:lang w:val="en-US"/>
        </w:rPr>
        <w:t xml:space="preserve"> </w:t>
      </w:r>
      <w:r w:rsidR="00A13E21" w:rsidRPr="00F14D91">
        <w:t xml:space="preserve">This paper </w:t>
      </w:r>
      <w:r w:rsidR="00124666" w:rsidRPr="00F14D91">
        <w:t>is based on the</w:t>
      </w:r>
      <w:r w:rsidR="00A13E21" w:rsidRPr="00F14D91">
        <w:t xml:space="preserve"> experience of a team supporting </w:t>
      </w:r>
      <w:r w:rsidR="00124666" w:rsidRPr="00F14D91">
        <w:t xml:space="preserve">dairy enterprises </w:t>
      </w:r>
      <w:r w:rsidR="00A13E21" w:rsidRPr="00F14D91">
        <w:t>in Eastern Europe</w:t>
      </w:r>
      <w:r w:rsidR="00124666" w:rsidRPr="00F14D91">
        <w:t xml:space="preserve"> and </w:t>
      </w:r>
      <w:r w:rsidR="00A13E21" w:rsidRPr="00F14D91">
        <w:t>Asia t</w:t>
      </w:r>
      <w:r w:rsidR="002018C2" w:rsidRPr="00F14D91">
        <w:t>hrough</w:t>
      </w:r>
      <w:r w:rsidR="00A13E21" w:rsidRPr="00F14D91">
        <w:t xml:space="preserve"> implement</w:t>
      </w:r>
      <w:r w:rsidR="002018C2" w:rsidRPr="00F14D91">
        <w:t>ation of</w:t>
      </w:r>
      <w:r w:rsidR="00A13E21" w:rsidRPr="00F14D91">
        <w:t xml:space="preserve"> new projects, with the aim of</w:t>
      </w:r>
      <w:r w:rsidR="00003D2A">
        <w:t xml:space="preserve"> process optimization,</w:t>
      </w:r>
      <w:r w:rsidR="00A13E21" w:rsidRPr="00F14D91">
        <w:t xml:space="preserve"> </w:t>
      </w:r>
      <w:r w:rsidR="00124666" w:rsidRPr="00F14D91">
        <w:t xml:space="preserve">minimizing waste and increase </w:t>
      </w:r>
      <w:r w:rsidR="00A13E21" w:rsidRPr="00F14D91">
        <w:t>efficiency in use of resources and energy</w:t>
      </w:r>
      <w:r w:rsidR="00EE1497">
        <w:t xml:space="preserve"> (</w:t>
      </w:r>
      <w:r w:rsidR="00EE1497" w:rsidRPr="00EE1497">
        <w:t>European Commission, 20</w:t>
      </w:r>
      <w:r w:rsidR="00EE1497">
        <w:t>08)</w:t>
      </w:r>
      <w:r w:rsidR="0081601F">
        <w:t xml:space="preserve">, thus </w:t>
      </w:r>
      <w:r w:rsidR="00003D2A">
        <w:t xml:space="preserve">attaining production efficiency combined with </w:t>
      </w:r>
      <w:r w:rsidR="0081601F">
        <w:t>GHGs emission</w:t>
      </w:r>
      <w:r w:rsidR="00003D2A">
        <w:t xml:space="preserve"> cutting</w:t>
      </w:r>
      <w:r w:rsidR="00A13E21" w:rsidRPr="00F14D91">
        <w:t>.</w:t>
      </w:r>
      <w:r w:rsidR="00003D2A">
        <w:t xml:space="preserve"> </w:t>
      </w:r>
      <w:r w:rsidR="0050098E">
        <w:t>I</w:t>
      </w:r>
      <w:r w:rsidR="0050098E" w:rsidRPr="0050098E">
        <w:t xml:space="preserve">n order to make further progress with a full integration the overall relevant issues of circular economy, sustainability and resource conservation </w:t>
      </w:r>
      <w:r w:rsidR="0050098E">
        <w:t xml:space="preserve">need to be fully integrated also with the process safety paradigm moving towards industry 4.0 (Pasman et al., 2021). </w:t>
      </w:r>
      <w:r w:rsidR="00124666" w:rsidRPr="00F14D91">
        <w:t>As illustrated in a previous paper (Maffini et al., 2021), t</w:t>
      </w:r>
      <w:r w:rsidR="00A13E21" w:rsidRPr="00F14D91">
        <w:t xml:space="preserve">he Resources and Energy Efficiency Audits (REEA) are </w:t>
      </w:r>
      <w:r w:rsidR="00124666" w:rsidRPr="00F14D91">
        <w:t xml:space="preserve">in general </w:t>
      </w:r>
      <w:r w:rsidR="00A13E21" w:rsidRPr="00F14D91">
        <w:t xml:space="preserve">focused on helping the industrial customers of the International Financing Institutes to identify the opportunities </w:t>
      </w:r>
      <w:r w:rsidR="00124666" w:rsidRPr="00F14D91">
        <w:t xml:space="preserve">for </w:t>
      </w:r>
      <w:r w:rsidR="00A13E21" w:rsidRPr="00F14D91">
        <w:t>efficiency investments.</w:t>
      </w:r>
      <w:r w:rsidR="00124666" w:rsidRPr="00F14D91">
        <w:t xml:space="preserve"> </w:t>
      </w:r>
      <w:r w:rsidR="0011254B" w:rsidRPr="00F14D91">
        <w:t>Additionally, it aims at covering any gap in fulfilling the environmental and safety laws and regulations.</w:t>
      </w:r>
      <w:r w:rsidR="00BE3F78">
        <w:t xml:space="preserve">  </w:t>
      </w:r>
      <w:r w:rsidR="00124666" w:rsidRPr="00F14D91">
        <w:t>But, in the case of d</w:t>
      </w:r>
      <w:r w:rsidR="002018C2" w:rsidRPr="00F14D91">
        <w:t>ai</w:t>
      </w:r>
      <w:r w:rsidR="00124666" w:rsidRPr="00F14D91">
        <w:t xml:space="preserve">ries, this brought also to a reconsideration of the “waste” definition that was penalizing valuable resources. </w:t>
      </w:r>
      <w:r w:rsidR="002018C2" w:rsidRPr="00F14D91">
        <w:t>For instance, i</w:t>
      </w:r>
      <w:r w:rsidR="00124666" w:rsidRPr="00F14D91">
        <w:t xml:space="preserve">n the dairy industry all over Europe, Asia and America there was historically some delay in recognizing the value of whey as a source of clean water, proteins, </w:t>
      </w:r>
      <w:r w:rsidR="007012A2" w:rsidRPr="00F14D91">
        <w:t>lact</w:t>
      </w:r>
      <w:r w:rsidR="00124666" w:rsidRPr="00F14D91">
        <w:t xml:space="preserve">ose and other products, </w:t>
      </w:r>
      <w:r w:rsidR="002018C2" w:rsidRPr="00F14D91">
        <w:t xml:space="preserve">sometimes even </w:t>
      </w:r>
      <w:r w:rsidR="00124666" w:rsidRPr="00F14D91">
        <w:t>discharging it straight into the wastewater stream</w:t>
      </w:r>
      <w:r w:rsidR="002018C2" w:rsidRPr="00F14D91">
        <w:t xml:space="preserve">, </w:t>
      </w:r>
      <w:r w:rsidR="00356E87">
        <w:t>implying the need of proper</w:t>
      </w:r>
      <w:r w:rsidR="00124666" w:rsidRPr="00F14D91">
        <w:t xml:space="preserve"> </w:t>
      </w:r>
      <w:r w:rsidR="00356E87">
        <w:t>treating</w:t>
      </w:r>
      <w:r w:rsidR="00124666" w:rsidRPr="00F14D91">
        <w:t xml:space="preserve"> </w:t>
      </w:r>
      <w:r w:rsidR="00722D86" w:rsidRPr="00F14D91">
        <w:t>a large quantity of high COD liquid</w:t>
      </w:r>
      <w:r w:rsidR="00BC77D8">
        <w:t>.</w:t>
      </w:r>
      <w:r w:rsidR="00866489">
        <w:t xml:space="preserve"> </w:t>
      </w:r>
      <w:r w:rsidR="00B15649" w:rsidRPr="00E72A29">
        <w:t xml:space="preserve">The auditing activities </w:t>
      </w:r>
      <w:r w:rsidR="00E72A29">
        <w:t xml:space="preserve">on dairies </w:t>
      </w:r>
      <w:r w:rsidR="00B15649" w:rsidRPr="00E72A29">
        <w:t xml:space="preserve">were carried out </w:t>
      </w:r>
      <w:r w:rsidR="00003D2A">
        <w:t>over the time span ranging from</w:t>
      </w:r>
      <w:r w:rsidR="00B15649" w:rsidRPr="00E72A29">
        <w:t xml:space="preserve"> 2013</w:t>
      </w:r>
      <w:r w:rsidR="00003D2A">
        <w:t xml:space="preserve"> to</w:t>
      </w:r>
      <w:r w:rsidR="00B15649" w:rsidRPr="00E72A29">
        <w:t xml:space="preserve"> 2019. </w:t>
      </w:r>
      <w:r w:rsidR="00EE1497">
        <w:t>In addition to IPPC Directive (</w:t>
      </w:r>
      <w:r w:rsidR="00EE1497" w:rsidRPr="00EE1497">
        <w:t>European Commission, 2010</w:t>
      </w:r>
      <w:r w:rsidR="00EE1497">
        <w:t>), t</w:t>
      </w:r>
      <w:r w:rsidR="00B15649" w:rsidRPr="00E72A29">
        <w:t xml:space="preserve">he reference document </w:t>
      </w:r>
      <w:r w:rsidR="00EE1497">
        <w:t>during</w:t>
      </w:r>
      <w:r w:rsidR="00B15649" w:rsidRPr="00E72A29">
        <w:t xml:space="preserve"> the audits, both for BAT application and for </w:t>
      </w:r>
      <w:r w:rsidR="00B15649" w:rsidRPr="00E72A29">
        <w:lastRenderedPageBreak/>
        <w:t xml:space="preserve">benchmarking, was the Integrated Pollution Prevention and Control Reference Document on </w:t>
      </w:r>
      <w:r w:rsidR="00EA775E">
        <w:t>BAT</w:t>
      </w:r>
      <w:r w:rsidR="00B15649" w:rsidRPr="00E72A29">
        <w:t xml:space="preserve"> in the Food, Drink and Milk Industries </w:t>
      </w:r>
      <w:r w:rsidR="00EA775E">
        <w:t>(</w:t>
      </w:r>
      <w:r w:rsidR="003649FA">
        <w:t>Santonja et al.</w:t>
      </w:r>
      <w:r w:rsidR="00EA775E" w:rsidRPr="00EA775E">
        <w:t>, 2019</w:t>
      </w:r>
      <w:r w:rsidR="00EA775E">
        <w:t xml:space="preserve">). </w:t>
      </w:r>
      <w:r w:rsidR="008D7371">
        <w:t>Even though optimal results are attained by</w:t>
      </w:r>
      <w:r w:rsidR="008D7371" w:rsidRPr="008D7371">
        <w:t xml:space="preserve"> integrated approach</w:t>
      </w:r>
      <w:r w:rsidR="008D7371">
        <w:t>es</w:t>
      </w:r>
      <w:r w:rsidR="008D7371" w:rsidRPr="008D7371">
        <w:t xml:space="preserve"> to implement process and </w:t>
      </w:r>
      <w:r w:rsidR="008D7371">
        <w:t xml:space="preserve">environmental impact/risk analysis </w:t>
      </w:r>
      <w:r w:rsidR="008D7371" w:rsidRPr="008D7371">
        <w:t>aprioristically at the conceptualization stage of a process</w:t>
      </w:r>
      <w:r w:rsidR="008D7371">
        <w:t>/plant (Bassani et al., 2022), here</w:t>
      </w:r>
      <w:r w:rsidR="008D7371" w:rsidRPr="008D7371">
        <w:t xml:space="preserve"> </w:t>
      </w:r>
      <w:r w:rsidR="00D15300">
        <w:t xml:space="preserve">the </w:t>
      </w:r>
      <w:r w:rsidR="000302CE">
        <w:t xml:space="preserve">practical </w:t>
      </w:r>
      <w:r w:rsidR="00D15300">
        <w:t xml:space="preserve">capability of the </w:t>
      </w:r>
      <w:r w:rsidR="008D7371">
        <w:t xml:space="preserve">method based on </w:t>
      </w:r>
      <w:r w:rsidR="00D15300">
        <w:t>REEA results</w:t>
      </w:r>
      <w:r w:rsidR="000302CE">
        <w:t xml:space="preserve"> to optimize existing processes is</w:t>
      </w:r>
      <w:r w:rsidR="00D15300">
        <w:t xml:space="preserve"> </w:t>
      </w:r>
      <w:r w:rsidR="000302CE">
        <w:t>shown</w:t>
      </w:r>
      <w:r w:rsidR="008D7371">
        <w:t xml:space="preserve"> by the analysis of </w:t>
      </w:r>
      <w:r w:rsidR="00F34A2F">
        <w:t>three</w:t>
      </w:r>
      <w:r w:rsidR="00716F66" w:rsidRPr="00F14D91">
        <w:t xml:space="preserve"> </w:t>
      </w:r>
      <w:r w:rsidR="00997D4E">
        <w:t>relevant case-studies</w:t>
      </w:r>
      <w:r w:rsidR="008D7371">
        <w:t>,</w:t>
      </w:r>
      <w:r w:rsidR="00997D4E">
        <w:t xml:space="preserve"> </w:t>
      </w:r>
      <w:r w:rsidR="000302CE">
        <w:t xml:space="preserve">thus </w:t>
      </w:r>
      <w:r w:rsidR="00A13E21" w:rsidRPr="00F14D91">
        <w:t>identify</w:t>
      </w:r>
      <w:r w:rsidR="003B2153">
        <w:t>ing</w:t>
      </w:r>
      <w:r w:rsidR="00A13E21" w:rsidRPr="00F14D91">
        <w:t xml:space="preserve"> </w:t>
      </w:r>
      <w:r w:rsidR="003B2153">
        <w:t>on field</w:t>
      </w:r>
      <w:r w:rsidR="00A13E21" w:rsidRPr="00F14D91">
        <w:t xml:space="preserve"> </w:t>
      </w:r>
      <w:r w:rsidR="008D7371">
        <w:t xml:space="preserve">relevant </w:t>
      </w:r>
      <w:r w:rsidR="00A13E21" w:rsidRPr="00F14D91">
        <w:t>key parameters</w:t>
      </w:r>
      <w:r w:rsidR="00924AAC" w:rsidRPr="00F14D91">
        <w:t>.</w:t>
      </w:r>
    </w:p>
    <w:p w14:paraId="32460076" w14:textId="77777777" w:rsidR="00997D4E" w:rsidRPr="00D72353" w:rsidRDefault="00997D4E" w:rsidP="00D72353">
      <w:pPr>
        <w:pStyle w:val="ListParagraph"/>
        <w:ind w:left="0"/>
        <w:rPr>
          <w:lang w:val="en-US"/>
        </w:rPr>
      </w:pPr>
    </w:p>
    <w:p w14:paraId="0E0EA180" w14:textId="22F52F5D" w:rsidR="00847568" w:rsidRDefault="00847568" w:rsidP="002333B1">
      <w:pPr>
        <w:pStyle w:val="CETHeading1"/>
        <w:spacing w:before="0" w:after="0" w:line="264" w:lineRule="auto"/>
        <w:ind w:left="0"/>
        <w:rPr>
          <w:lang w:val="en-GB"/>
        </w:rPr>
      </w:pPr>
      <w:r w:rsidRPr="00847568">
        <w:rPr>
          <w:lang w:val="en-GB"/>
        </w:rPr>
        <w:t>Methodology</w:t>
      </w:r>
    </w:p>
    <w:p w14:paraId="3326C3F9" w14:textId="77777777" w:rsidR="00424D77" w:rsidRPr="00424D77" w:rsidRDefault="00424D77" w:rsidP="00424D77">
      <w:pPr>
        <w:pStyle w:val="CETBodytext"/>
        <w:rPr>
          <w:lang w:val="en-GB"/>
        </w:rPr>
      </w:pPr>
    </w:p>
    <w:p w14:paraId="625663BB" w14:textId="2FDD2B71" w:rsidR="00847568" w:rsidRDefault="00847568" w:rsidP="00847568">
      <w:pPr>
        <w:pStyle w:val="CETBodytext"/>
      </w:pPr>
      <w:r w:rsidRPr="00F14D91">
        <w:t xml:space="preserve">The purpose of the REEA is the investigation of investment opportunities with the objective of increasing the Resource Efficiency levels of industrial Companies, </w:t>
      </w:r>
      <w:r w:rsidR="00BC77D8" w:rsidRPr="00F14D91">
        <w:t>considering</w:t>
      </w:r>
      <w:r w:rsidRPr="00F14D91">
        <w:t xml:space="preserve"> raw materials, water, by-products, </w:t>
      </w:r>
      <w:r w:rsidR="00BE3F78">
        <w:t xml:space="preserve">solid </w:t>
      </w:r>
      <w:r w:rsidRPr="00F14D91">
        <w:t>waste, wastewater, recyclables, etc.</w:t>
      </w:r>
      <w:r w:rsidR="003F69BB">
        <w:t xml:space="preserve"> </w:t>
      </w:r>
      <w:r w:rsidR="003F69BB" w:rsidRPr="00EF1081">
        <w:t>A consequence of this improvement in resources use is the decarbonization of the process, assessed through an estimate of the GHGs savings achieved by each efficiency measure.</w:t>
      </w:r>
      <w:r w:rsidRPr="00EF1081">
        <w:t xml:space="preserve"> The REEA analysis relies on the conceptual</w:t>
      </w:r>
      <w:r w:rsidRPr="00F14D91">
        <w:t xml:space="preserve"> methodology previously developed for energy audits by Hasanbeigi and Price (2010). </w:t>
      </w:r>
      <w:r w:rsidR="00CD6330" w:rsidRPr="00F14D91">
        <w:t xml:space="preserve">But, </w:t>
      </w:r>
      <w:r w:rsidR="00056093">
        <w:t xml:space="preserve">if there is an opportunity to </w:t>
      </w:r>
      <w:r w:rsidR="00F14D91">
        <w:t>consider</w:t>
      </w:r>
      <w:r w:rsidR="00056093">
        <w:t xml:space="preserve"> more</w:t>
      </w:r>
      <w:r w:rsidR="00CD6330" w:rsidRPr="00F14D91">
        <w:t xml:space="preserve"> cases for the same industr</w:t>
      </w:r>
      <w:r w:rsidR="00056093">
        <w:t>y</w:t>
      </w:r>
      <w:r w:rsidR="00CD6330" w:rsidRPr="00F14D91">
        <w:t xml:space="preserve">, </w:t>
      </w:r>
      <w:r w:rsidR="00056093">
        <w:t>as it happened with</w:t>
      </w:r>
      <w:r w:rsidR="00D32ED6" w:rsidRPr="00F14D91">
        <w:t xml:space="preserve"> dairies, </w:t>
      </w:r>
      <w:r w:rsidR="00CD6330" w:rsidRPr="00F14D91">
        <w:t>some conclusions can be drawn that more specifically highlight the main problems vs. the relevant solution</w:t>
      </w:r>
      <w:r w:rsidR="00F14D91">
        <w:t>s</w:t>
      </w:r>
      <w:r w:rsidR="00CD6330" w:rsidRPr="00F14D91">
        <w:t xml:space="preserve"> of the resources and energy management</w:t>
      </w:r>
      <w:r w:rsidR="00056093">
        <w:t xml:space="preserve"> of the specific sector</w:t>
      </w:r>
      <w:r w:rsidR="00CD6330" w:rsidRPr="00F14D91">
        <w:t>.</w:t>
      </w:r>
      <w:r w:rsidR="00746E02">
        <w:t xml:space="preserve"> </w:t>
      </w:r>
      <w:r>
        <w:t xml:space="preserve">The developed framework was </w:t>
      </w:r>
      <w:r w:rsidRPr="00F76BE9">
        <w:t xml:space="preserve">tailored to encompass all actors along the </w:t>
      </w:r>
      <w:r>
        <w:t xml:space="preserve">whole </w:t>
      </w:r>
      <w:r w:rsidRPr="00F76BE9">
        <w:t>value chain</w:t>
      </w:r>
      <w:r w:rsidRPr="001F554D">
        <w:t xml:space="preserve"> </w:t>
      </w:r>
      <w:r w:rsidR="005767FC">
        <w:t>of the milk transformation industry, including</w:t>
      </w:r>
      <w:r w:rsidRPr="001F554D">
        <w:t xml:space="preserve"> intermediate and end-products/services. </w:t>
      </w:r>
      <w:r w:rsidR="00997D4E">
        <w:t xml:space="preserve">It stands to reason the method may be refined </w:t>
      </w:r>
      <w:r w:rsidR="00F01FBB">
        <w:t xml:space="preserve">in case of competing investment opportunities, </w:t>
      </w:r>
      <w:r w:rsidR="00EB19FB">
        <w:t>e.g.,</w:t>
      </w:r>
      <w:r w:rsidR="00997D4E">
        <w:t xml:space="preserve"> by techniques implying AHP</w:t>
      </w:r>
      <w:r w:rsidRPr="001F554D">
        <w:t xml:space="preserve"> </w:t>
      </w:r>
      <w:r w:rsidR="00F01FBB">
        <w:t>(Abrahamsen et al., 2019). Even though the REEA is s</w:t>
      </w:r>
      <w:r w:rsidRPr="001F554D">
        <w:t xml:space="preserve">pecifically developed for and tested on the Chemicals and Agribusiness sectors, </w:t>
      </w:r>
      <w:r w:rsidR="00F01FBB">
        <w:t>the method</w:t>
      </w:r>
      <w:r w:rsidRPr="001F554D">
        <w:t xml:space="preserve"> can be applied </w:t>
      </w:r>
      <w:r w:rsidR="005767FC">
        <w:t xml:space="preserve">with success on the dairies </w:t>
      </w:r>
      <w:r w:rsidRPr="001F554D">
        <w:t>within the</w:t>
      </w:r>
      <w:r w:rsidR="005767FC">
        <w:t xml:space="preserve">ir </w:t>
      </w:r>
      <w:r w:rsidRPr="001F554D">
        <w:t>system boundaries (ISO</w:t>
      </w:r>
      <w:r>
        <w:t>, 2006)</w:t>
      </w:r>
      <w:r w:rsidR="001B24EB">
        <w:t xml:space="preserve">, following a logic diagram as </w:t>
      </w:r>
      <w:r w:rsidR="00F01FBB">
        <w:t>schematized</w:t>
      </w:r>
      <w:r w:rsidR="001B24EB">
        <w:t xml:space="preserve"> </w:t>
      </w:r>
      <w:r w:rsidR="00B55BC0">
        <w:t>in</w:t>
      </w:r>
      <w:r w:rsidR="001B24EB">
        <w:t xml:space="preserve"> </w:t>
      </w:r>
      <w:r w:rsidR="00746E02">
        <w:t>Fi</w:t>
      </w:r>
      <w:r w:rsidR="001B24EB">
        <w:t>g</w:t>
      </w:r>
      <w:r w:rsidR="005A3AE6">
        <w:t>ure</w:t>
      </w:r>
      <w:r w:rsidR="001B24EB">
        <w:t xml:space="preserve"> 1.</w:t>
      </w:r>
    </w:p>
    <w:p w14:paraId="5C14A799" w14:textId="7E828ACA" w:rsidR="008C2E1A" w:rsidRDefault="008C2E1A" w:rsidP="00B577D8">
      <w:pPr>
        <w:pStyle w:val="CETCaption"/>
        <w:rPr>
          <w:bCs/>
        </w:rPr>
      </w:pPr>
      <w:r>
        <w:rPr>
          <w:bCs/>
          <w:noProof/>
        </w:rPr>
        <w:drawing>
          <wp:inline distT="0" distB="0" distL="0" distR="0" wp14:anchorId="5F9F555B" wp14:editId="1ECE3C48">
            <wp:extent cx="4820716" cy="2790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4532" cy="2798940"/>
                    </a:xfrm>
                    <a:prstGeom prst="rect">
                      <a:avLst/>
                    </a:prstGeom>
                    <a:noFill/>
                  </pic:spPr>
                </pic:pic>
              </a:graphicData>
            </a:graphic>
          </wp:inline>
        </w:drawing>
      </w:r>
    </w:p>
    <w:p w14:paraId="711375BE" w14:textId="24AE82CD" w:rsidR="00105CF5" w:rsidRDefault="00105CF5" w:rsidP="00B577D8">
      <w:pPr>
        <w:pStyle w:val="CETCaption"/>
        <w:rPr>
          <w:bCs/>
        </w:rPr>
      </w:pPr>
      <w:r w:rsidRPr="003E6923">
        <w:t>Figure</w:t>
      </w:r>
      <w:r>
        <w:t xml:space="preserve"> 1</w:t>
      </w:r>
      <w:r w:rsidRPr="003E6923">
        <w:t>:</w:t>
      </w:r>
      <w:r>
        <w:t xml:space="preserve"> Logic diagram for the REEA analysis and benchmarking</w:t>
      </w:r>
      <w:r w:rsidRPr="002D0901">
        <w:rPr>
          <w:bCs/>
        </w:rPr>
        <w:t xml:space="preserve"> in </w:t>
      </w:r>
      <w:r w:rsidR="00AF1F90">
        <w:rPr>
          <w:bCs/>
        </w:rPr>
        <w:t xml:space="preserve">the </w:t>
      </w:r>
      <w:r w:rsidRPr="002D0901">
        <w:rPr>
          <w:bCs/>
        </w:rPr>
        <w:t>dair</w:t>
      </w:r>
      <w:r w:rsidR="00AF1F90">
        <w:rPr>
          <w:bCs/>
        </w:rPr>
        <w:t>y industry</w:t>
      </w:r>
      <w:r>
        <w:rPr>
          <w:bCs/>
        </w:rPr>
        <w:t>.</w:t>
      </w:r>
    </w:p>
    <w:p w14:paraId="0E9CE2B5" w14:textId="0E8D8CC7" w:rsidR="00A05ECE" w:rsidRPr="00A05ECE" w:rsidRDefault="005767FC" w:rsidP="00955DEA">
      <w:pPr>
        <w:pStyle w:val="CETHeading1"/>
        <w:spacing w:before="0" w:after="0" w:line="264" w:lineRule="auto"/>
        <w:ind w:left="0"/>
        <w:rPr>
          <w:lang w:val="en-GB"/>
        </w:rPr>
      </w:pPr>
      <w:r>
        <w:rPr>
          <w:lang w:val="en-GB"/>
        </w:rPr>
        <w:t>E</w:t>
      </w:r>
      <w:r w:rsidR="00105CF5">
        <w:rPr>
          <w:lang w:val="en-GB"/>
        </w:rPr>
        <w:t>merging e</w:t>
      </w:r>
      <w:r>
        <w:rPr>
          <w:lang w:val="en-GB"/>
        </w:rPr>
        <w:t xml:space="preserve">nvironmental </w:t>
      </w:r>
      <w:r w:rsidR="00D32ED6">
        <w:rPr>
          <w:lang w:val="en-GB"/>
        </w:rPr>
        <w:t>issues</w:t>
      </w:r>
      <w:r w:rsidR="00105CF5">
        <w:rPr>
          <w:lang w:val="en-GB"/>
        </w:rPr>
        <w:t xml:space="preserve"> in the sector</w:t>
      </w:r>
    </w:p>
    <w:p w14:paraId="448FDD26" w14:textId="77777777" w:rsidR="00746E02" w:rsidRDefault="00746E02" w:rsidP="00CB6B6E"/>
    <w:p w14:paraId="46F2218B" w14:textId="608AB6B3" w:rsidR="002D0901" w:rsidRPr="00F14D91" w:rsidRDefault="00787E53" w:rsidP="00CB6B6E">
      <w:r w:rsidRPr="00F14D91">
        <w:t xml:space="preserve">It </w:t>
      </w:r>
      <w:r w:rsidR="00F14D91">
        <w:t>is a general result</w:t>
      </w:r>
      <w:r w:rsidRPr="00F14D91">
        <w:t xml:space="preserve"> </w:t>
      </w:r>
      <w:r w:rsidR="005767FC" w:rsidRPr="00F14D91">
        <w:t xml:space="preserve">from the audits </w:t>
      </w:r>
      <w:r w:rsidRPr="00F14D91">
        <w:t>that the m</w:t>
      </w:r>
      <w:r w:rsidR="002D0901" w:rsidRPr="00F14D91">
        <w:t xml:space="preserve">ain </w:t>
      </w:r>
      <w:r w:rsidR="009E3FCB">
        <w:t xml:space="preserve">resources and </w:t>
      </w:r>
      <w:r w:rsidR="002D0901" w:rsidRPr="00F14D91">
        <w:t xml:space="preserve">environmental issues for the dairy industry </w:t>
      </w:r>
      <w:r w:rsidR="00F14D91">
        <w:t>are</w:t>
      </w:r>
      <w:r w:rsidR="002D0901" w:rsidRPr="00F14D91">
        <w:t xml:space="preserve">:  </w:t>
      </w:r>
    </w:p>
    <w:p w14:paraId="0969AD86" w14:textId="7E8EC600" w:rsidR="002D0901" w:rsidRPr="00F14D91" w:rsidRDefault="005767FC">
      <w:pPr>
        <w:pStyle w:val="ListParagraph"/>
        <w:numPr>
          <w:ilvl w:val="0"/>
          <w:numId w:val="20"/>
        </w:numPr>
        <w:tabs>
          <w:tab w:val="clear" w:pos="7100"/>
        </w:tabs>
        <w:rPr>
          <w:lang w:eastAsia="it-IT"/>
        </w:rPr>
      </w:pPr>
      <w:r w:rsidRPr="00F14D91">
        <w:rPr>
          <w:lang w:eastAsia="it-IT"/>
        </w:rPr>
        <w:t>High fresh</w:t>
      </w:r>
      <w:r w:rsidR="00AE5064">
        <w:rPr>
          <w:lang w:eastAsia="it-IT"/>
        </w:rPr>
        <w:t>-</w:t>
      </w:r>
      <w:r w:rsidRPr="00F14D91">
        <w:rPr>
          <w:lang w:eastAsia="it-IT"/>
        </w:rPr>
        <w:t>w</w:t>
      </w:r>
      <w:r w:rsidR="002D0901" w:rsidRPr="00F14D91">
        <w:rPr>
          <w:lang w:eastAsia="it-IT"/>
        </w:rPr>
        <w:t>ater consumption</w:t>
      </w:r>
      <w:r w:rsidR="009E3FCB">
        <w:rPr>
          <w:lang w:eastAsia="it-IT"/>
        </w:rPr>
        <w:t xml:space="preserve"> </w:t>
      </w:r>
      <w:r w:rsidR="00402B72">
        <w:rPr>
          <w:lang w:eastAsia="it-IT"/>
        </w:rPr>
        <w:t>due to</w:t>
      </w:r>
      <w:r w:rsidR="009E3FCB">
        <w:rPr>
          <w:lang w:eastAsia="it-IT"/>
        </w:rPr>
        <w:t xml:space="preserve"> low recycle, thus, giving h</w:t>
      </w:r>
      <w:r w:rsidR="002D0901" w:rsidRPr="00F14D91">
        <w:rPr>
          <w:lang w:eastAsia="it-IT"/>
        </w:rPr>
        <w:t>igh volume</w:t>
      </w:r>
      <w:r w:rsidR="009E3FCB">
        <w:rPr>
          <w:lang w:eastAsia="it-IT"/>
        </w:rPr>
        <w:t>s</w:t>
      </w:r>
      <w:r w:rsidR="002D0901" w:rsidRPr="00F14D91">
        <w:rPr>
          <w:lang w:eastAsia="it-IT"/>
        </w:rPr>
        <w:t xml:space="preserve"> of wastewater produced</w:t>
      </w:r>
      <w:r w:rsidR="0035095E">
        <w:rPr>
          <w:lang w:eastAsia="it-IT"/>
        </w:rPr>
        <w:t>.</w:t>
      </w:r>
      <w:r w:rsidR="002D0901" w:rsidRPr="00F14D91">
        <w:rPr>
          <w:lang w:eastAsia="it-IT"/>
        </w:rPr>
        <w:t xml:space="preserve">  </w:t>
      </w:r>
    </w:p>
    <w:p w14:paraId="50D8BC22" w14:textId="5BDBC0CF" w:rsidR="002D0901" w:rsidRPr="00F14D91" w:rsidRDefault="005767FC">
      <w:pPr>
        <w:pStyle w:val="ListParagraph"/>
        <w:numPr>
          <w:ilvl w:val="0"/>
          <w:numId w:val="20"/>
        </w:numPr>
        <w:tabs>
          <w:tab w:val="clear" w:pos="7100"/>
        </w:tabs>
        <w:rPr>
          <w:lang w:eastAsia="it-IT"/>
        </w:rPr>
      </w:pPr>
      <w:r w:rsidRPr="00F14D91">
        <w:rPr>
          <w:lang w:eastAsia="it-IT"/>
        </w:rPr>
        <w:t>A remarkable and diversified s</w:t>
      </w:r>
      <w:r w:rsidR="002D0901" w:rsidRPr="00F14D91">
        <w:rPr>
          <w:lang w:eastAsia="it-IT"/>
        </w:rPr>
        <w:t>olid waste production</w:t>
      </w:r>
      <w:r w:rsidR="0035095E">
        <w:rPr>
          <w:lang w:eastAsia="it-IT"/>
        </w:rPr>
        <w:t>.</w:t>
      </w:r>
    </w:p>
    <w:p w14:paraId="4B5D4AE9" w14:textId="19BB304C" w:rsidR="003F69BB" w:rsidRDefault="00402B72">
      <w:pPr>
        <w:pStyle w:val="ListParagraph"/>
        <w:numPr>
          <w:ilvl w:val="0"/>
          <w:numId w:val="20"/>
        </w:numPr>
        <w:tabs>
          <w:tab w:val="clear" w:pos="7100"/>
        </w:tabs>
        <w:rPr>
          <w:lang w:eastAsia="it-IT"/>
        </w:rPr>
      </w:pPr>
      <w:r>
        <w:rPr>
          <w:lang w:eastAsia="it-IT"/>
        </w:rPr>
        <w:t>High e</w:t>
      </w:r>
      <w:r w:rsidR="00137C01" w:rsidRPr="00F14D91">
        <w:rPr>
          <w:lang w:eastAsia="it-IT"/>
        </w:rPr>
        <w:t>nergy consumptio</w:t>
      </w:r>
      <w:r w:rsidR="009E3FCB">
        <w:rPr>
          <w:lang w:eastAsia="it-IT"/>
        </w:rPr>
        <w:t>n, especially as steam for heating and cleaning</w:t>
      </w:r>
      <w:r w:rsidR="0035095E">
        <w:rPr>
          <w:lang w:eastAsia="it-IT"/>
        </w:rPr>
        <w:t>.</w:t>
      </w:r>
    </w:p>
    <w:p w14:paraId="20D5954F" w14:textId="0431E510" w:rsidR="00137C01" w:rsidRPr="00F14D91" w:rsidRDefault="0035095E" w:rsidP="003F69BB">
      <w:pPr>
        <w:tabs>
          <w:tab w:val="clear" w:pos="7100"/>
        </w:tabs>
        <w:rPr>
          <w:lang w:eastAsia="it-IT"/>
        </w:rPr>
      </w:pPr>
      <w:r>
        <w:rPr>
          <w:lang w:eastAsia="it-IT"/>
        </w:rPr>
        <w:t xml:space="preserve">Globally, all </w:t>
      </w:r>
      <w:r w:rsidR="003F69BB" w:rsidRPr="00EF1081">
        <w:rPr>
          <w:lang w:eastAsia="it-IT"/>
        </w:rPr>
        <w:t>these issues bring a</w:t>
      </w:r>
      <w:r>
        <w:rPr>
          <w:lang w:eastAsia="it-IT"/>
        </w:rPr>
        <w:t xml:space="preserve"> relevant</w:t>
      </w:r>
      <w:r w:rsidR="003F69BB" w:rsidRPr="00EF1081">
        <w:rPr>
          <w:lang w:eastAsia="it-IT"/>
        </w:rPr>
        <w:t xml:space="preserve"> increase in GHGs emissions, mainly </w:t>
      </w:r>
      <w:r>
        <w:rPr>
          <w:lang w:eastAsia="it-IT"/>
        </w:rPr>
        <w:t>under</w:t>
      </w:r>
      <w:r w:rsidR="003F69BB" w:rsidRPr="00EF1081">
        <w:rPr>
          <w:lang w:eastAsia="it-IT"/>
        </w:rPr>
        <w:t xml:space="preserve"> scope 2, </w:t>
      </w:r>
      <w:r>
        <w:rPr>
          <w:lang w:eastAsia="it-IT"/>
        </w:rPr>
        <w:t>so that</w:t>
      </w:r>
      <w:r w:rsidR="003F69BB" w:rsidRPr="00EF1081">
        <w:rPr>
          <w:lang w:eastAsia="it-IT"/>
        </w:rPr>
        <w:t xml:space="preserve"> the audits </w:t>
      </w:r>
      <w:r w:rsidR="009213F4" w:rsidRPr="00EF1081">
        <w:rPr>
          <w:lang w:eastAsia="it-IT"/>
        </w:rPr>
        <w:t xml:space="preserve">will be finalized also to reduce the </w:t>
      </w:r>
      <w:r w:rsidR="00A16E01" w:rsidRPr="00EF1081">
        <w:rPr>
          <w:lang w:eastAsia="it-IT"/>
        </w:rPr>
        <w:t xml:space="preserve">released </w:t>
      </w:r>
      <w:r w:rsidR="009213F4" w:rsidRPr="00EF1081">
        <w:rPr>
          <w:lang w:eastAsia="it-IT"/>
        </w:rPr>
        <w:t>CO</w:t>
      </w:r>
      <w:r w:rsidR="009213F4" w:rsidRPr="00EF1081">
        <w:rPr>
          <w:vertAlign w:val="subscript"/>
          <w:lang w:eastAsia="it-IT"/>
        </w:rPr>
        <w:t>2</w:t>
      </w:r>
      <w:r w:rsidR="009213F4" w:rsidRPr="00EF1081">
        <w:rPr>
          <w:lang w:eastAsia="it-IT"/>
        </w:rPr>
        <w:t xml:space="preserve"> equivalent amount</w:t>
      </w:r>
      <w:r w:rsidR="00A16E01" w:rsidRPr="00EF1081">
        <w:rPr>
          <w:lang w:eastAsia="it-IT"/>
        </w:rPr>
        <w:t>s</w:t>
      </w:r>
      <w:r w:rsidR="009213F4" w:rsidRPr="00EF1081">
        <w:rPr>
          <w:lang w:eastAsia="it-IT"/>
        </w:rPr>
        <w:t>.</w:t>
      </w:r>
      <w:r w:rsidR="009213F4">
        <w:rPr>
          <w:lang w:eastAsia="it-IT"/>
        </w:rPr>
        <w:t xml:space="preserve"> </w:t>
      </w:r>
    </w:p>
    <w:p w14:paraId="52C8DEC8" w14:textId="38903DC8" w:rsidR="00EB3254" w:rsidRPr="00EB3254" w:rsidRDefault="00EB3254" w:rsidP="00CB6B6E">
      <w:pPr>
        <w:tabs>
          <w:tab w:val="clear" w:pos="7100"/>
        </w:tabs>
        <w:rPr>
          <w:b/>
          <w:bCs/>
        </w:rPr>
      </w:pPr>
      <w:r w:rsidRPr="00EB3254">
        <w:rPr>
          <w:b/>
          <w:bCs/>
        </w:rPr>
        <w:t>Water</w:t>
      </w:r>
    </w:p>
    <w:p w14:paraId="76FEA204" w14:textId="50716869" w:rsidR="00137C01" w:rsidRDefault="009E3FCB" w:rsidP="00CB6B6E">
      <w:pPr>
        <w:tabs>
          <w:tab w:val="clear" w:pos="7100"/>
        </w:tabs>
      </w:pPr>
      <w:r>
        <w:t>T</w:t>
      </w:r>
      <w:r w:rsidR="00137C01">
        <w:t>he large consumption of clean water with g</w:t>
      </w:r>
      <w:r w:rsidR="00137C01" w:rsidRPr="003E6923">
        <w:t xml:space="preserve">eneration of wastewater is the main environmental issue in the dairy sector.  The largest </w:t>
      </w:r>
      <w:r w:rsidR="00137C01">
        <w:t>user</w:t>
      </w:r>
      <w:r w:rsidR="00137C01" w:rsidRPr="003E6923">
        <w:t xml:space="preserve"> is wash-water used in operations such as equipment washing; </w:t>
      </w:r>
      <w:r w:rsidR="00137C01">
        <w:t xml:space="preserve">then, also </w:t>
      </w:r>
      <w:r w:rsidR="00137C01" w:rsidRPr="003E6923">
        <w:t>line purging at product changeover;</w:t>
      </w:r>
      <w:r w:rsidR="00402B72">
        <w:t xml:space="preserve"> </w:t>
      </w:r>
      <w:r w:rsidR="00137C01" w:rsidRPr="003E6923">
        <w:t xml:space="preserve">start-up, shutdown </w:t>
      </w:r>
      <w:r w:rsidR="00402B72">
        <w:t>as well as</w:t>
      </w:r>
      <w:r w:rsidR="00137C01" w:rsidRPr="003E6923">
        <w:t xml:space="preserve"> changeover of high temperature short time (HTST) pasteurisation units</w:t>
      </w:r>
      <w:r w:rsidR="00402B72">
        <w:t>,</w:t>
      </w:r>
      <w:r w:rsidR="00137C01" w:rsidRPr="003E6923">
        <w:t xml:space="preserve"> and product washing.  T</w:t>
      </w:r>
      <w:r w:rsidR="00137C01">
        <w:t>o comply with</w:t>
      </w:r>
      <w:r w:rsidR="00137C01" w:rsidRPr="003E6923">
        <w:t xml:space="preserve"> limit concentrations </w:t>
      </w:r>
      <w:r w:rsidR="00137C01">
        <w:t xml:space="preserve">according to </w:t>
      </w:r>
      <w:r w:rsidR="00137C01" w:rsidRPr="003E6923">
        <w:t xml:space="preserve">Water Pollution </w:t>
      </w:r>
      <w:r w:rsidR="00137C01" w:rsidRPr="003E6923">
        <w:lastRenderedPageBreak/>
        <w:t>Control regulation</w:t>
      </w:r>
      <w:r w:rsidR="00137C01">
        <w:t>s, t</w:t>
      </w:r>
      <w:r w:rsidR="00137C01" w:rsidRPr="003E6923">
        <w:t>he wastewater originated in dairy industry is generally treated with an advanced wastewater treatment plant d</w:t>
      </w:r>
      <w:r w:rsidR="00137C01">
        <w:t xml:space="preserve">ischarged </w:t>
      </w:r>
      <w:r w:rsidR="00137C01" w:rsidRPr="003E6923">
        <w:t xml:space="preserve">to surface water </w:t>
      </w:r>
      <w:r w:rsidR="00137C01">
        <w:t>or</w:t>
      </w:r>
      <w:r w:rsidR="00137C01" w:rsidRPr="003E6923">
        <w:t xml:space="preserve"> a </w:t>
      </w:r>
      <w:r w:rsidR="00137C01">
        <w:t>pre-</w:t>
      </w:r>
      <w:r w:rsidR="00137C01" w:rsidRPr="003E6923">
        <w:t xml:space="preserve">treatment plant </w:t>
      </w:r>
      <w:r w:rsidR="00137C01">
        <w:t>if</w:t>
      </w:r>
      <w:r w:rsidR="00137C01" w:rsidRPr="003E6923">
        <w:t xml:space="preserve"> wastewater </w:t>
      </w:r>
      <w:r w:rsidR="00137C01">
        <w:t>can be discharged</w:t>
      </w:r>
      <w:r w:rsidR="00137C01" w:rsidRPr="003E6923">
        <w:t xml:space="preserve"> to </w:t>
      </w:r>
      <w:r w:rsidR="00137C01">
        <w:t xml:space="preserve">a close </w:t>
      </w:r>
      <w:r w:rsidR="00137C01" w:rsidRPr="003E6923">
        <w:t>municipality sewage system</w:t>
      </w:r>
      <w:r w:rsidR="00137C01">
        <w:t>.</w:t>
      </w:r>
      <w:r w:rsidR="00862DAD">
        <w:t xml:space="preserve"> As required by FAO standards for the s</w:t>
      </w:r>
      <w:r w:rsidR="00862DAD" w:rsidRPr="00862DAD">
        <w:t>afety and quality of water use and reuse in the production and processing of dairy products</w:t>
      </w:r>
      <w:r w:rsidR="00862DAD">
        <w:t>, i</w:t>
      </w:r>
      <w:r w:rsidR="00EB3254">
        <w:t xml:space="preserve">nternal reuse and recycle of water should respect quality prescriptions to avoid contamination or </w:t>
      </w:r>
      <w:r w:rsidR="00EF1081">
        <w:t>build-up</w:t>
      </w:r>
      <w:r w:rsidR="00EB3254">
        <w:t xml:space="preserve"> of pollutants in the process</w:t>
      </w:r>
      <w:r w:rsidR="00862DAD">
        <w:t>.</w:t>
      </w:r>
    </w:p>
    <w:p w14:paraId="3C8DBB0B" w14:textId="08C849EE" w:rsidR="00EB3254" w:rsidRPr="00EB3254" w:rsidRDefault="00EB3254" w:rsidP="00F14D91">
      <w:pPr>
        <w:rPr>
          <w:b/>
          <w:bCs/>
        </w:rPr>
      </w:pPr>
      <w:r w:rsidRPr="00EB3254">
        <w:rPr>
          <w:b/>
          <w:bCs/>
        </w:rPr>
        <w:t>Solid waste</w:t>
      </w:r>
    </w:p>
    <w:p w14:paraId="04356922" w14:textId="0D97FAAC" w:rsidR="00F14D91" w:rsidRDefault="00F14D91" w:rsidP="00F14D91">
      <w:pPr>
        <w:rPr>
          <w:rFonts w:cstheme="minorHAnsi"/>
        </w:rPr>
      </w:pPr>
      <w:r>
        <w:t>S</w:t>
      </w:r>
      <w:r w:rsidR="00137C01">
        <w:t xml:space="preserve">olid waste </w:t>
      </w:r>
      <w:r>
        <w:t xml:space="preserve">in the process units </w:t>
      </w:r>
      <w:r w:rsidR="00137C01">
        <w:t xml:space="preserve">comes from off-spec products, damaged products, expired duration products, but in general they give limited amounts, whereas the sludge separated in the wastewater treatment plant is normally the highest quantity. </w:t>
      </w:r>
      <w:r w:rsidRPr="003E6923">
        <w:t>Packaging waste, sludge from separation</w:t>
      </w:r>
      <w:r w:rsidR="00402B72">
        <w:t>s</w:t>
      </w:r>
      <w:r w:rsidRPr="003E6923">
        <w:t xml:space="preserve"> (milk clarification, filtration), solid wastes from fat traps, and other wastes attributable to general industrial operations (e.g. lubricants, batteries, paint, laboratory chemicals, etc.) are the most likely wastes generated from dairy processing.</w:t>
      </w:r>
      <w:r w:rsidR="00C71673">
        <w:t xml:space="preserve">   </w:t>
      </w:r>
      <w:r w:rsidR="00C71673" w:rsidRPr="003E6923">
        <w:rPr>
          <w:rFonts w:cstheme="minorHAnsi"/>
        </w:rPr>
        <w:t xml:space="preserve">Packaging waste </w:t>
      </w:r>
      <w:r w:rsidR="00C71673">
        <w:rPr>
          <w:rFonts w:cstheme="minorHAnsi"/>
        </w:rPr>
        <w:t>in general</w:t>
      </w:r>
      <w:r w:rsidR="00C71673" w:rsidRPr="003E6923">
        <w:rPr>
          <w:rFonts w:cstheme="minorHAnsi"/>
        </w:rPr>
        <w:t xml:space="preserve"> </w:t>
      </w:r>
      <w:r w:rsidR="00A02EA9">
        <w:rPr>
          <w:rFonts w:cstheme="minorHAnsi"/>
        </w:rPr>
        <w:t>is</w:t>
      </w:r>
      <w:r w:rsidR="00C71673" w:rsidRPr="003E6923">
        <w:rPr>
          <w:rFonts w:cstheme="minorHAnsi"/>
        </w:rPr>
        <w:t xml:space="preserve"> required to be </w:t>
      </w:r>
      <w:r w:rsidR="00A02EA9">
        <w:rPr>
          <w:rFonts w:cstheme="minorHAnsi"/>
        </w:rPr>
        <w:t xml:space="preserve">sorted and </w:t>
      </w:r>
      <w:r w:rsidR="00C71673" w:rsidRPr="003E6923">
        <w:rPr>
          <w:rFonts w:cstheme="minorHAnsi"/>
        </w:rPr>
        <w:t>recycled</w:t>
      </w:r>
      <w:r w:rsidR="00C71673">
        <w:rPr>
          <w:rFonts w:cstheme="minorHAnsi"/>
        </w:rPr>
        <w:t xml:space="preserve"> according to local legislations.</w:t>
      </w:r>
    </w:p>
    <w:p w14:paraId="1FEAB386" w14:textId="5CE82D50" w:rsidR="007A4902" w:rsidRPr="00EB3254" w:rsidRDefault="00B15649" w:rsidP="00EB3254">
      <w:pPr>
        <w:rPr>
          <w:b/>
          <w:bCs/>
        </w:rPr>
      </w:pPr>
      <w:r w:rsidRPr="00EB3254">
        <w:rPr>
          <w:b/>
          <w:bCs/>
        </w:rPr>
        <w:t>E</w:t>
      </w:r>
      <w:r w:rsidR="007A4902" w:rsidRPr="00EB3254">
        <w:rPr>
          <w:b/>
          <w:bCs/>
        </w:rPr>
        <w:t>nergy</w:t>
      </w:r>
    </w:p>
    <w:p w14:paraId="1BE7E78A" w14:textId="48F161F4" w:rsidR="002D0901" w:rsidRDefault="00D93CC4" w:rsidP="00D93CC4">
      <w:r w:rsidRPr="003E6923">
        <w:rPr>
          <w:rFonts w:cs="Calibri"/>
          <w:color w:val="000000" w:themeColor="text1"/>
          <w:shd w:val="clear" w:color="auto" w:fill="FFFFFF"/>
        </w:rPr>
        <w:t xml:space="preserve">Main conclusion on BAT technologies for the </w:t>
      </w:r>
      <w:r>
        <w:rPr>
          <w:rFonts w:cs="Calibri"/>
          <w:color w:val="000000" w:themeColor="text1"/>
          <w:shd w:val="clear" w:color="auto" w:fill="FFFFFF"/>
        </w:rPr>
        <w:t>dairies</w:t>
      </w:r>
      <w:r w:rsidRPr="003E6923">
        <w:rPr>
          <w:rFonts w:cs="Calibri"/>
          <w:color w:val="000000" w:themeColor="text1"/>
          <w:shd w:val="clear" w:color="auto" w:fill="FFFFFF"/>
        </w:rPr>
        <w:t xml:space="preserve"> sector</w:t>
      </w:r>
      <w:r>
        <w:rPr>
          <w:rFonts w:cs="Calibri"/>
          <w:color w:val="000000" w:themeColor="text1"/>
          <w:shd w:val="clear" w:color="auto" w:fill="FFFFFF"/>
        </w:rPr>
        <w:t xml:space="preserve"> are that the process</w:t>
      </w:r>
      <w:r w:rsidRPr="003E6923">
        <w:rPr>
          <w:lang w:eastAsia="it-IT"/>
        </w:rPr>
        <w:t xml:space="preserve"> applied in the manufacturing of cheese requires lot of energy</w:t>
      </w:r>
      <w:r>
        <w:rPr>
          <w:lang w:eastAsia="it-IT"/>
        </w:rPr>
        <w:t xml:space="preserve">, but also that </w:t>
      </w:r>
      <w:r w:rsidR="00F14D91">
        <w:rPr>
          <w:lang w:eastAsia="it-IT"/>
        </w:rPr>
        <w:t xml:space="preserve">valid </w:t>
      </w:r>
      <w:r>
        <w:rPr>
          <w:lang w:eastAsia="it-IT"/>
        </w:rPr>
        <w:t>a</w:t>
      </w:r>
      <w:r w:rsidRPr="003E6923">
        <w:rPr>
          <w:lang w:eastAsia="it-IT"/>
        </w:rPr>
        <w:t xml:space="preserve">lternatives through BAT </w:t>
      </w:r>
      <w:r w:rsidR="00137C01">
        <w:rPr>
          <w:lang w:eastAsia="it-IT"/>
        </w:rPr>
        <w:t>recommendations</w:t>
      </w:r>
      <w:r w:rsidRPr="003E6923">
        <w:rPr>
          <w:lang w:eastAsia="it-IT"/>
        </w:rPr>
        <w:t xml:space="preserve"> are available to reduce energy consumption</w:t>
      </w:r>
      <w:r w:rsidR="000F3556">
        <w:rPr>
          <w:lang w:eastAsia="it-IT"/>
        </w:rPr>
        <w:t xml:space="preserve">: for instance, through continuous pasteurisation instead of batch, or by improving homogenisation.  </w:t>
      </w:r>
      <w:r w:rsidR="008A4CEE">
        <w:t>Large part o</w:t>
      </w:r>
      <w:r w:rsidR="002D0901" w:rsidRPr="003E6923">
        <w:t>f the energy consumed is used to generate steam and hot water for heating operations and cleaning, while a lesser amount is used to drive power machinery, refrigeration, ventilation, and lighting. The most energy consuming operations are the evaporation and drying of milk</w:t>
      </w:r>
      <w:r w:rsidR="000F3556">
        <w:t xml:space="preserve">.  </w:t>
      </w:r>
    </w:p>
    <w:p w14:paraId="6F47B8DC" w14:textId="2D8BCD5A" w:rsidR="00951492" w:rsidRDefault="00951492" w:rsidP="00D93CC4"/>
    <w:p w14:paraId="2DDEDF48" w14:textId="77777777" w:rsidR="00B55BC0" w:rsidRPr="00B55BC0" w:rsidRDefault="00B55BC0" w:rsidP="00B55BC0">
      <w:pPr>
        <w:pStyle w:val="CETHeading1"/>
        <w:spacing w:before="0" w:after="0" w:line="264" w:lineRule="auto"/>
        <w:ind w:left="0"/>
        <w:rPr>
          <w:lang w:val="en-GB"/>
        </w:rPr>
      </w:pPr>
      <w:r w:rsidRPr="00B55BC0">
        <w:rPr>
          <w:lang w:val="en-GB"/>
        </w:rPr>
        <w:t>Results and discussions</w:t>
      </w:r>
    </w:p>
    <w:p w14:paraId="67F528A8" w14:textId="77777777" w:rsidR="002333B1" w:rsidRDefault="002333B1" w:rsidP="00D93CC4"/>
    <w:p w14:paraId="31C49354" w14:textId="6B5183E6" w:rsidR="004E72D3" w:rsidRPr="004E72D3" w:rsidRDefault="00544D0C" w:rsidP="00D93CC4">
      <w:pPr>
        <w:rPr>
          <w:lang w:val="en-US"/>
        </w:rPr>
      </w:pPr>
      <w:r>
        <w:t>Based on</w:t>
      </w:r>
      <w:r w:rsidR="009E1D07">
        <w:t xml:space="preserve"> the above main</w:t>
      </w:r>
      <w:r w:rsidR="00784899">
        <w:t xml:space="preserve"> environmental</w:t>
      </w:r>
      <w:r w:rsidR="009E1D07">
        <w:t xml:space="preserve"> issues in the dairy sector, to </w:t>
      </w:r>
      <w:r w:rsidR="00951492">
        <w:t xml:space="preserve">determine the performance of the dairy sector </w:t>
      </w:r>
      <w:r w:rsidR="009E1D07">
        <w:t>were</w:t>
      </w:r>
      <w:r w:rsidR="00951492">
        <w:t xml:space="preserve"> selected </w:t>
      </w:r>
      <w:r w:rsidR="009E1D07">
        <w:t>6 main Key performance indicators, on 5 leading factories, to crosscheck their position</w:t>
      </w:r>
      <w:r w:rsidR="00A133F5">
        <w:t xml:space="preserve">. </w:t>
      </w:r>
      <w:r w:rsidR="004E72D3" w:rsidRPr="004E72D3">
        <w:rPr>
          <w:lang w:val="en-US"/>
        </w:rPr>
        <w:t xml:space="preserve">The </w:t>
      </w:r>
      <w:r w:rsidR="00A133F5">
        <w:rPr>
          <w:lang w:val="en-US"/>
        </w:rPr>
        <w:t>d</w:t>
      </w:r>
      <w:r w:rsidR="004E72D3" w:rsidRPr="004E72D3">
        <w:rPr>
          <w:lang w:val="en-US"/>
        </w:rPr>
        <w:t xml:space="preserve">airy sector technical performances define the </w:t>
      </w:r>
      <w:r w:rsidR="00A133F5">
        <w:rPr>
          <w:lang w:val="en-US"/>
        </w:rPr>
        <w:t xml:space="preserve">actual values of the </w:t>
      </w:r>
      <w:r w:rsidR="004E72D3" w:rsidRPr="004E72D3">
        <w:rPr>
          <w:lang w:val="en-US"/>
        </w:rPr>
        <w:t xml:space="preserve">Key Performance Indicators (KPIs) which are compared with the benchmarks </w:t>
      </w:r>
      <w:r w:rsidR="00A133F5">
        <w:rPr>
          <w:lang w:val="en-US"/>
        </w:rPr>
        <w:t xml:space="preserve">according to the </w:t>
      </w:r>
      <w:r w:rsidR="004E72D3" w:rsidRPr="004E72D3">
        <w:rPr>
          <w:lang w:val="en-US"/>
        </w:rPr>
        <w:t>IPPC, Reference Document on B</w:t>
      </w:r>
      <w:r w:rsidR="00B55BC0">
        <w:rPr>
          <w:lang w:val="en-US"/>
        </w:rPr>
        <w:t>AT</w:t>
      </w:r>
      <w:r w:rsidR="004E72D3" w:rsidRPr="004E72D3">
        <w:rPr>
          <w:lang w:val="en-US"/>
        </w:rPr>
        <w:t xml:space="preserve"> in the Food, Drink and Milk Industries, EU 2006</w:t>
      </w:r>
      <w:r w:rsidR="00A133F5">
        <w:rPr>
          <w:lang w:val="en-US"/>
        </w:rPr>
        <w:t xml:space="preserve"> (the most updated edition at the time).  The 6 KPIs are shown in </w:t>
      </w:r>
      <w:r w:rsidR="00AE5064">
        <w:rPr>
          <w:lang w:val="en-US"/>
        </w:rPr>
        <w:t>T</w:t>
      </w:r>
      <w:r w:rsidR="00A133F5">
        <w:rPr>
          <w:lang w:val="en-US"/>
        </w:rPr>
        <w:t>able 1.</w:t>
      </w:r>
    </w:p>
    <w:p w14:paraId="01649FF5" w14:textId="77777777" w:rsidR="009E1D07" w:rsidRDefault="009E1D07" w:rsidP="00A133F5">
      <w:pPr>
        <w:pStyle w:val="CETCaption"/>
      </w:pPr>
      <w:r>
        <w:t>Table 1: Definition of Key Performance Indicators covering the milk and cheese sector.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51"/>
        <w:gridCol w:w="2929"/>
        <w:gridCol w:w="3907"/>
      </w:tblGrid>
      <w:tr w:rsidR="009E1D07" w:rsidRPr="0032755F" w14:paraId="3792E640" w14:textId="77777777" w:rsidTr="00DA5E43">
        <w:tc>
          <w:tcPr>
            <w:tcW w:w="1951" w:type="dxa"/>
            <w:tcBorders>
              <w:top w:val="single" w:sz="12" w:space="0" w:color="008000"/>
              <w:left w:val="nil"/>
              <w:bottom w:val="single" w:sz="6" w:space="0" w:color="008000"/>
              <w:right w:val="nil"/>
            </w:tcBorders>
            <w:shd w:val="clear" w:color="auto" w:fill="FFFFFF"/>
            <w:hideMark/>
          </w:tcPr>
          <w:p w14:paraId="0C593487" w14:textId="77777777" w:rsidR="009E1D07" w:rsidRDefault="009E1D07" w:rsidP="00DA5E43">
            <w:pPr>
              <w:pStyle w:val="CETBodytext"/>
              <w:rPr>
                <w:lang w:val="en-GB"/>
              </w:rPr>
            </w:pPr>
            <w:r>
              <w:t>Technical KPI</w:t>
            </w:r>
          </w:p>
        </w:tc>
        <w:tc>
          <w:tcPr>
            <w:tcW w:w="2929" w:type="dxa"/>
            <w:tcBorders>
              <w:top w:val="single" w:sz="12" w:space="0" w:color="008000"/>
              <w:left w:val="nil"/>
              <w:bottom w:val="single" w:sz="6" w:space="0" w:color="008000"/>
              <w:right w:val="nil"/>
            </w:tcBorders>
            <w:shd w:val="clear" w:color="auto" w:fill="FFFFFF"/>
            <w:hideMark/>
          </w:tcPr>
          <w:p w14:paraId="5540CD33" w14:textId="77777777" w:rsidR="009E1D07" w:rsidRDefault="009E1D07" w:rsidP="00DA5E43">
            <w:pPr>
              <w:pStyle w:val="CETBodytext"/>
              <w:rPr>
                <w:lang w:val="en-GB"/>
              </w:rPr>
            </w:pPr>
            <w:r>
              <w:t xml:space="preserve">Definition </w:t>
            </w:r>
          </w:p>
        </w:tc>
        <w:tc>
          <w:tcPr>
            <w:tcW w:w="3907" w:type="dxa"/>
            <w:tcBorders>
              <w:top w:val="single" w:sz="12" w:space="0" w:color="008000"/>
              <w:left w:val="nil"/>
              <w:bottom w:val="single" w:sz="6" w:space="0" w:color="008000"/>
              <w:right w:val="nil"/>
            </w:tcBorders>
            <w:shd w:val="clear" w:color="auto" w:fill="FFFFFF"/>
            <w:hideMark/>
          </w:tcPr>
          <w:p w14:paraId="320CFEAC" w14:textId="17B3DB13" w:rsidR="009E1D07" w:rsidRDefault="009E1D07" w:rsidP="00DA5E43">
            <w:pPr>
              <w:pStyle w:val="CETBodytext"/>
              <w:rPr>
                <w:lang w:val="en-GB"/>
              </w:rPr>
            </w:pPr>
            <w:r>
              <w:t>Rationale for KPI definition</w:t>
            </w:r>
          </w:p>
        </w:tc>
      </w:tr>
      <w:tr w:rsidR="009E1D07" w:rsidRPr="0032755F" w14:paraId="0886C0D0" w14:textId="77777777" w:rsidTr="00DA5E43">
        <w:tc>
          <w:tcPr>
            <w:tcW w:w="1951" w:type="dxa"/>
            <w:tcBorders>
              <w:top w:val="nil"/>
              <w:left w:val="nil"/>
              <w:bottom w:val="nil"/>
              <w:right w:val="nil"/>
            </w:tcBorders>
            <w:shd w:val="clear" w:color="auto" w:fill="FFFFFF"/>
            <w:hideMark/>
          </w:tcPr>
          <w:p w14:paraId="1997EFF5" w14:textId="77777777" w:rsidR="009E1D07" w:rsidRPr="00746E02" w:rsidRDefault="009E1D07" w:rsidP="00955DEA">
            <w:pPr>
              <w:pStyle w:val="CETBodytext"/>
              <w:rPr>
                <w:sz w:val="16"/>
                <w:szCs w:val="16"/>
                <w:lang w:val="en-GB"/>
              </w:rPr>
            </w:pPr>
            <w:r w:rsidRPr="00746E02">
              <w:rPr>
                <w:sz w:val="16"/>
                <w:szCs w:val="16"/>
              </w:rPr>
              <w:t>Product yield</w:t>
            </w:r>
          </w:p>
        </w:tc>
        <w:tc>
          <w:tcPr>
            <w:tcW w:w="2929" w:type="dxa"/>
            <w:tcBorders>
              <w:top w:val="nil"/>
              <w:left w:val="nil"/>
              <w:bottom w:val="nil"/>
              <w:right w:val="nil"/>
            </w:tcBorders>
            <w:shd w:val="clear" w:color="auto" w:fill="FFFFFF"/>
            <w:hideMark/>
          </w:tcPr>
          <w:p w14:paraId="74DD4126" w14:textId="031B893D" w:rsidR="009E1D07" w:rsidRPr="00746E02" w:rsidRDefault="009E1D07" w:rsidP="00955DEA">
            <w:pPr>
              <w:contextualSpacing/>
              <w:jc w:val="left"/>
              <w:rPr>
                <w:sz w:val="16"/>
                <w:szCs w:val="16"/>
                <w:lang w:eastAsia="it-IT"/>
              </w:rPr>
            </w:pPr>
            <w:r w:rsidRPr="00746E02">
              <w:rPr>
                <w:sz w:val="16"/>
                <w:szCs w:val="16"/>
                <w:lang w:eastAsia="it-IT"/>
              </w:rPr>
              <w:t>tons of product / ton of raw milk</w:t>
            </w:r>
          </w:p>
          <w:p w14:paraId="67194304" w14:textId="77777777" w:rsidR="009E1D07" w:rsidRPr="00746E02" w:rsidRDefault="009E1D07" w:rsidP="00955DEA">
            <w:pPr>
              <w:pStyle w:val="CETBodytext"/>
              <w:rPr>
                <w:sz w:val="16"/>
                <w:szCs w:val="16"/>
                <w:lang w:val="en-GB"/>
              </w:rPr>
            </w:pPr>
            <w:r w:rsidRPr="00746E02">
              <w:rPr>
                <w:sz w:val="16"/>
                <w:szCs w:val="16"/>
              </w:rPr>
              <w:t xml:space="preserve">. </w:t>
            </w:r>
          </w:p>
        </w:tc>
        <w:tc>
          <w:tcPr>
            <w:tcW w:w="3907" w:type="dxa"/>
            <w:tcBorders>
              <w:top w:val="nil"/>
              <w:left w:val="nil"/>
              <w:bottom w:val="nil"/>
              <w:right w:val="nil"/>
            </w:tcBorders>
            <w:shd w:val="clear" w:color="auto" w:fill="auto"/>
            <w:vAlign w:val="center"/>
            <w:hideMark/>
          </w:tcPr>
          <w:p w14:paraId="4F2CE62A" w14:textId="69431D09" w:rsidR="009E1D07" w:rsidRPr="00746E02" w:rsidRDefault="009E1D07" w:rsidP="00955DEA">
            <w:pPr>
              <w:pStyle w:val="CETBodytext"/>
              <w:rPr>
                <w:sz w:val="16"/>
                <w:szCs w:val="16"/>
                <w:lang w:val="en-GB"/>
              </w:rPr>
            </w:pPr>
            <w:r w:rsidRPr="00746E02">
              <w:rPr>
                <w:sz w:val="16"/>
                <w:szCs w:val="16"/>
                <w:lang w:val="en-GB"/>
              </w:rPr>
              <w:t>This indicator is used to estimate the efficiency of the dairy process in terms of product vs. raw m</w:t>
            </w:r>
            <w:r w:rsidR="00EF1081" w:rsidRPr="00746E02">
              <w:rPr>
                <w:sz w:val="16"/>
                <w:szCs w:val="16"/>
                <w:lang w:val="en-GB"/>
              </w:rPr>
              <w:t>ilk</w:t>
            </w:r>
          </w:p>
        </w:tc>
      </w:tr>
      <w:tr w:rsidR="009E1D07" w:rsidRPr="0032755F" w14:paraId="4CF589B5" w14:textId="77777777" w:rsidTr="00DA5E43">
        <w:tc>
          <w:tcPr>
            <w:tcW w:w="1951" w:type="dxa"/>
            <w:tcBorders>
              <w:top w:val="nil"/>
              <w:left w:val="nil"/>
              <w:bottom w:val="nil"/>
              <w:right w:val="nil"/>
            </w:tcBorders>
            <w:shd w:val="clear" w:color="auto" w:fill="FFFFFF"/>
            <w:hideMark/>
          </w:tcPr>
          <w:p w14:paraId="349FA017" w14:textId="77777777" w:rsidR="009E1D07" w:rsidRPr="00746E02" w:rsidRDefault="009E1D07" w:rsidP="00955DEA">
            <w:pPr>
              <w:pStyle w:val="CETBodytext"/>
              <w:rPr>
                <w:sz w:val="16"/>
                <w:szCs w:val="16"/>
                <w:lang w:val="en-GB"/>
              </w:rPr>
            </w:pPr>
            <w:r w:rsidRPr="00746E02">
              <w:rPr>
                <w:sz w:val="16"/>
                <w:szCs w:val="16"/>
              </w:rPr>
              <w:t>Primary Energy Use</w:t>
            </w:r>
          </w:p>
        </w:tc>
        <w:tc>
          <w:tcPr>
            <w:tcW w:w="2929" w:type="dxa"/>
            <w:tcBorders>
              <w:top w:val="nil"/>
              <w:left w:val="nil"/>
              <w:bottom w:val="nil"/>
              <w:right w:val="nil"/>
            </w:tcBorders>
            <w:shd w:val="clear" w:color="auto" w:fill="FFFFFF"/>
            <w:hideMark/>
          </w:tcPr>
          <w:p w14:paraId="6ACD527E" w14:textId="77777777" w:rsidR="009E1D07" w:rsidRPr="00746E02" w:rsidRDefault="009E1D07" w:rsidP="00955DEA">
            <w:pPr>
              <w:pStyle w:val="CETBodytext"/>
              <w:rPr>
                <w:sz w:val="16"/>
                <w:szCs w:val="16"/>
                <w:lang w:val="en-GB"/>
              </w:rPr>
            </w:pPr>
            <w:r w:rsidRPr="00746E02">
              <w:rPr>
                <w:sz w:val="16"/>
                <w:szCs w:val="16"/>
              </w:rPr>
              <w:t>kWh of total energy consumed / ton of raw milk</w:t>
            </w:r>
          </w:p>
        </w:tc>
        <w:tc>
          <w:tcPr>
            <w:tcW w:w="3907" w:type="dxa"/>
            <w:tcBorders>
              <w:top w:val="nil"/>
              <w:left w:val="nil"/>
              <w:bottom w:val="nil"/>
              <w:right w:val="nil"/>
            </w:tcBorders>
            <w:shd w:val="clear" w:color="auto" w:fill="auto"/>
            <w:vAlign w:val="center"/>
            <w:hideMark/>
          </w:tcPr>
          <w:p w14:paraId="61E29831" w14:textId="4EBDD2A9" w:rsidR="009E1D07" w:rsidRPr="00746E02" w:rsidRDefault="009E1D07" w:rsidP="00955DEA">
            <w:pPr>
              <w:pStyle w:val="CETBodytext"/>
              <w:rPr>
                <w:sz w:val="16"/>
                <w:szCs w:val="16"/>
                <w:lang w:val="en-GB"/>
              </w:rPr>
            </w:pPr>
            <w:r w:rsidRPr="00746E02">
              <w:rPr>
                <w:sz w:val="16"/>
                <w:szCs w:val="16"/>
                <w:lang w:val="en-GB"/>
              </w:rPr>
              <w:t>It is the specific energy consumption</w:t>
            </w:r>
          </w:p>
        </w:tc>
      </w:tr>
      <w:tr w:rsidR="009E1D07" w14:paraId="56058616" w14:textId="77777777" w:rsidTr="00DA5E43">
        <w:tc>
          <w:tcPr>
            <w:tcW w:w="1951" w:type="dxa"/>
            <w:tcBorders>
              <w:top w:val="nil"/>
              <w:left w:val="nil"/>
              <w:bottom w:val="nil"/>
              <w:right w:val="nil"/>
            </w:tcBorders>
            <w:shd w:val="clear" w:color="auto" w:fill="FFFFFF"/>
            <w:hideMark/>
          </w:tcPr>
          <w:p w14:paraId="02B0D2E7" w14:textId="77777777" w:rsidR="009E1D07" w:rsidRPr="00746E02" w:rsidRDefault="009E1D07" w:rsidP="00955DEA">
            <w:pPr>
              <w:pStyle w:val="CETBodytext"/>
              <w:ind w:right="-1"/>
              <w:rPr>
                <w:rFonts w:cs="Arial"/>
                <w:sz w:val="16"/>
                <w:szCs w:val="16"/>
                <w:lang w:val="en-GB"/>
              </w:rPr>
            </w:pPr>
            <w:r w:rsidRPr="00746E02">
              <w:rPr>
                <w:sz w:val="16"/>
                <w:szCs w:val="16"/>
              </w:rPr>
              <w:t>Purchased Energy Use</w:t>
            </w:r>
          </w:p>
        </w:tc>
        <w:tc>
          <w:tcPr>
            <w:tcW w:w="2929" w:type="dxa"/>
            <w:tcBorders>
              <w:top w:val="nil"/>
              <w:left w:val="nil"/>
              <w:bottom w:val="nil"/>
              <w:right w:val="nil"/>
            </w:tcBorders>
            <w:shd w:val="clear" w:color="auto" w:fill="FFFFFF"/>
            <w:hideMark/>
          </w:tcPr>
          <w:p w14:paraId="54979BD8" w14:textId="526C9BE3" w:rsidR="009E1D07" w:rsidRPr="00746E02" w:rsidRDefault="009E1D07" w:rsidP="00955DEA">
            <w:pPr>
              <w:contextualSpacing/>
              <w:jc w:val="left"/>
              <w:rPr>
                <w:sz w:val="16"/>
                <w:szCs w:val="16"/>
                <w:lang w:eastAsia="it-IT"/>
              </w:rPr>
            </w:pPr>
            <w:r w:rsidRPr="00746E02">
              <w:rPr>
                <w:sz w:val="16"/>
                <w:szCs w:val="16"/>
              </w:rPr>
              <w:t xml:space="preserve">kWh of purchased energy </w:t>
            </w:r>
            <w:r w:rsidRPr="00746E02">
              <w:rPr>
                <w:sz w:val="16"/>
                <w:szCs w:val="16"/>
                <w:lang w:eastAsia="it-IT"/>
              </w:rPr>
              <w:t>from external suppliers / ton of raw milk</w:t>
            </w:r>
          </w:p>
          <w:p w14:paraId="57428297" w14:textId="77777777" w:rsidR="009E1D07" w:rsidRPr="00746E02" w:rsidRDefault="009E1D07" w:rsidP="00955DEA">
            <w:pPr>
              <w:pStyle w:val="CETBodytext"/>
              <w:ind w:right="-1"/>
              <w:rPr>
                <w:rFonts w:cs="Arial"/>
                <w:sz w:val="16"/>
                <w:szCs w:val="16"/>
              </w:rPr>
            </w:pPr>
          </w:p>
        </w:tc>
        <w:tc>
          <w:tcPr>
            <w:tcW w:w="3907" w:type="dxa"/>
            <w:tcBorders>
              <w:top w:val="nil"/>
              <w:left w:val="nil"/>
              <w:bottom w:val="nil"/>
              <w:right w:val="nil"/>
            </w:tcBorders>
            <w:shd w:val="clear" w:color="auto" w:fill="auto"/>
            <w:vAlign w:val="center"/>
            <w:hideMark/>
          </w:tcPr>
          <w:p w14:paraId="2D98B286" w14:textId="480E5797" w:rsidR="009E1D07" w:rsidRPr="00746E02" w:rsidRDefault="009E1D07" w:rsidP="00955DEA">
            <w:pPr>
              <w:pStyle w:val="CETBodytext"/>
              <w:ind w:right="-1"/>
              <w:rPr>
                <w:rFonts w:cs="Arial"/>
                <w:sz w:val="16"/>
                <w:szCs w:val="16"/>
                <w:lang w:val="en-GB"/>
              </w:rPr>
            </w:pPr>
            <w:r w:rsidRPr="00746E02">
              <w:rPr>
                <w:sz w:val="16"/>
                <w:szCs w:val="16"/>
                <w:lang w:val="en-GB"/>
              </w:rPr>
              <w:t>It is the energy purchased outside of the factory boundaries, referred to inlet raw milk</w:t>
            </w:r>
          </w:p>
        </w:tc>
      </w:tr>
      <w:tr w:rsidR="009E1D07" w:rsidRPr="0032755F" w14:paraId="07D461A9" w14:textId="77777777" w:rsidTr="00DA5E43">
        <w:tc>
          <w:tcPr>
            <w:tcW w:w="1951" w:type="dxa"/>
            <w:tcBorders>
              <w:top w:val="nil"/>
              <w:left w:val="nil"/>
              <w:bottom w:val="nil"/>
              <w:right w:val="nil"/>
            </w:tcBorders>
            <w:shd w:val="clear" w:color="auto" w:fill="FFFFFF"/>
            <w:hideMark/>
          </w:tcPr>
          <w:p w14:paraId="2CF5D7CE" w14:textId="6AA939EC" w:rsidR="009E1D07" w:rsidRPr="00746E02" w:rsidRDefault="009E1D07" w:rsidP="00955DEA">
            <w:pPr>
              <w:pStyle w:val="CETBodytext"/>
              <w:ind w:right="-1"/>
              <w:rPr>
                <w:rFonts w:cs="Arial"/>
                <w:sz w:val="16"/>
                <w:szCs w:val="16"/>
                <w:lang w:val="en-GB"/>
              </w:rPr>
            </w:pPr>
            <w:r w:rsidRPr="00746E02">
              <w:rPr>
                <w:sz w:val="16"/>
                <w:szCs w:val="16"/>
              </w:rPr>
              <w:t>GHGs Emission</w:t>
            </w:r>
          </w:p>
        </w:tc>
        <w:tc>
          <w:tcPr>
            <w:tcW w:w="2929" w:type="dxa"/>
            <w:tcBorders>
              <w:top w:val="nil"/>
              <w:left w:val="nil"/>
              <w:bottom w:val="nil"/>
              <w:right w:val="nil"/>
            </w:tcBorders>
            <w:shd w:val="clear" w:color="auto" w:fill="FFFFFF"/>
            <w:hideMark/>
          </w:tcPr>
          <w:p w14:paraId="6E64BD32" w14:textId="77777777" w:rsidR="009E1D07" w:rsidRPr="00746E02" w:rsidRDefault="009E1D07" w:rsidP="00955DEA">
            <w:pPr>
              <w:pStyle w:val="CETBodytext"/>
              <w:ind w:right="-1"/>
              <w:rPr>
                <w:rFonts w:cs="Arial"/>
                <w:sz w:val="16"/>
                <w:szCs w:val="16"/>
                <w:lang w:val="en-GB"/>
              </w:rPr>
            </w:pPr>
            <w:r w:rsidRPr="00746E02">
              <w:rPr>
                <w:sz w:val="16"/>
                <w:szCs w:val="16"/>
              </w:rPr>
              <w:t>kg of GHGs emission / ton of raw milk</w:t>
            </w:r>
          </w:p>
        </w:tc>
        <w:tc>
          <w:tcPr>
            <w:tcW w:w="3907" w:type="dxa"/>
            <w:tcBorders>
              <w:top w:val="nil"/>
              <w:left w:val="nil"/>
              <w:bottom w:val="nil"/>
              <w:right w:val="nil"/>
            </w:tcBorders>
            <w:shd w:val="clear" w:color="auto" w:fill="auto"/>
            <w:vAlign w:val="center"/>
            <w:hideMark/>
          </w:tcPr>
          <w:p w14:paraId="29BB0C52" w14:textId="6D7BF90D" w:rsidR="009E1D07" w:rsidRPr="00746E02" w:rsidRDefault="009E1D07" w:rsidP="00955DEA">
            <w:pPr>
              <w:pStyle w:val="CETBodytext"/>
              <w:ind w:right="-1"/>
              <w:rPr>
                <w:rFonts w:cs="Arial"/>
                <w:sz w:val="16"/>
                <w:szCs w:val="16"/>
                <w:lang w:val="en-GB"/>
              </w:rPr>
            </w:pPr>
            <w:r w:rsidRPr="00746E02">
              <w:rPr>
                <w:sz w:val="16"/>
                <w:szCs w:val="16"/>
                <w:lang w:val="en-GB"/>
              </w:rPr>
              <w:t>It is used to indicate the total GHGs emission per unit of raw milk</w:t>
            </w:r>
          </w:p>
        </w:tc>
      </w:tr>
      <w:tr w:rsidR="009E1D07" w:rsidRPr="0032755F" w14:paraId="057CA47E" w14:textId="77777777" w:rsidTr="00AE5064">
        <w:tc>
          <w:tcPr>
            <w:tcW w:w="1951" w:type="dxa"/>
            <w:tcBorders>
              <w:top w:val="nil"/>
              <w:left w:val="nil"/>
              <w:bottom w:val="nil"/>
              <w:right w:val="nil"/>
            </w:tcBorders>
            <w:shd w:val="clear" w:color="auto" w:fill="FFFFFF"/>
          </w:tcPr>
          <w:p w14:paraId="79B348E3" w14:textId="77777777" w:rsidR="009E1D07" w:rsidRPr="00746E02" w:rsidRDefault="009E1D07" w:rsidP="00955DEA">
            <w:pPr>
              <w:pStyle w:val="CETBodytext"/>
              <w:ind w:right="-1"/>
              <w:rPr>
                <w:sz w:val="16"/>
                <w:szCs w:val="16"/>
              </w:rPr>
            </w:pPr>
            <w:r w:rsidRPr="00746E02">
              <w:rPr>
                <w:sz w:val="16"/>
                <w:szCs w:val="16"/>
                <w:lang w:eastAsia="it-IT"/>
              </w:rPr>
              <w:t>Fresh water use</w:t>
            </w:r>
          </w:p>
        </w:tc>
        <w:tc>
          <w:tcPr>
            <w:tcW w:w="2929" w:type="dxa"/>
            <w:tcBorders>
              <w:top w:val="nil"/>
              <w:left w:val="nil"/>
              <w:bottom w:val="nil"/>
              <w:right w:val="nil"/>
            </w:tcBorders>
            <w:shd w:val="clear" w:color="auto" w:fill="auto"/>
          </w:tcPr>
          <w:p w14:paraId="6E002B04" w14:textId="2BA52C2F" w:rsidR="009E1D07" w:rsidRPr="00746E02" w:rsidRDefault="009E1D07" w:rsidP="00955DEA">
            <w:pPr>
              <w:pStyle w:val="CETBodytext"/>
              <w:ind w:right="-1"/>
              <w:rPr>
                <w:sz w:val="16"/>
                <w:szCs w:val="16"/>
              </w:rPr>
            </w:pPr>
            <w:r w:rsidRPr="00746E02">
              <w:rPr>
                <w:sz w:val="16"/>
                <w:szCs w:val="16"/>
                <w:lang w:eastAsia="it-IT"/>
              </w:rPr>
              <w:t>m3 of fresh water input / ton of raw milk</w:t>
            </w:r>
          </w:p>
        </w:tc>
        <w:tc>
          <w:tcPr>
            <w:tcW w:w="3907" w:type="dxa"/>
            <w:tcBorders>
              <w:top w:val="nil"/>
              <w:left w:val="nil"/>
              <w:bottom w:val="nil"/>
              <w:right w:val="nil"/>
            </w:tcBorders>
            <w:shd w:val="clear" w:color="auto" w:fill="auto"/>
            <w:vAlign w:val="center"/>
          </w:tcPr>
          <w:p w14:paraId="177F30B7" w14:textId="370FECC4" w:rsidR="009E1D07" w:rsidRPr="00746E02" w:rsidRDefault="009E1D07" w:rsidP="00955DEA">
            <w:pPr>
              <w:pStyle w:val="CETBodytext"/>
              <w:ind w:right="-1"/>
              <w:rPr>
                <w:sz w:val="16"/>
                <w:szCs w:val="16"/>
                <w:lang w:val="en-GB"/>
              </w:rPr>
            </w:pPr>
            <w:r w:rsidRPr="00746E02">
              <w:rPr>
                <w:sz w:val="16"/>
                <w:szCs w:val="16"/>
                <w:lang w:val="en-GB"/>
              </w:rPr>
              <w:t xml:space="preserve">Fresh water is used as </w:t>
            </w:r>
            <w:r w:rsidR="00AE5064">
              <w:rPr>
                <w:sz w:val="16"/>
                <w:szCs w:val="16"/>
                <w:lang w:val="en-GB"/>
              </w:rPr>
              <w:t>single</w:t>
            </w:r>
            <w:r w:rsidRPr="00746E02">
              <w:rPr>
                <w:sz w:val="16"/>
                <w:szCs w:val="16"/>
                <w:lang w:val="en-GB"/>
              </w:rPr>
              <w:t xml:space="preserve"> indicator account</w:t>
            </w:r>
            <w:r w:rsidR="00AE5064">
              <w:rPr>
                <w:sz w:val="16"/>
                <w:szCs w:val="16"/>
                <w:lang w:val="en-GB"/>
              </w:rPr>
              <w:t>ing</w:t>
            </w:r>
            <w:r w:rsidRPr="00746E02">
              <w:rPr>
                <w:sz w:val="16"/>
                <w:szCs w:val="16"/>
                <w:lang w:val="en-GB"/>
              </w:rPr>
              <w:t xml:space="preserve"> both </w:t>
            </w:r>
            <w:r w:rsidR="00AE5064">
              <w:rPr>
                <w:sz w:val="16"/>
                <w:szCs w:val="16"/>
                <w:lang w:val="en-GB"/>
              </w:rPr>
              <w:t xml:space="preserve">for </w:t>
            </w:r>
            <w:r w:rsidRPr="00746E02">
              <w:rPr>
                <w:sz w:val="16"/>
                <w:szCs w:val="16"/>
                <w:lang w:val="en-GB"/>
              </w:rPr>
              <w:t xml:space="preserve">process use of water and </w:t>
            </w:r>
            <w:r w:rsidR="00195604">
              <w:rPr>
                <w:sz w:val="16"/>
                <w:szCs w:val="16"/>
                <w:lang w:val="en-GB"/>
              </w:rPr>
              <w:t xml:space="preserve">water </w:t>
            </w:r>
            <w:r w:rsidRPr="00746E02">
              <w:rPr>
                <w:sz w:val="16"/>
                <w:szCs w:val="16"/>
                <w:lang w:val="en-GB"/>
              </w:rPr>
              <w:t xml:space="preserve">recycling </w:t>
            </w:r>
          </w:p>
        </w:tc>
      </w:tr>
      <w:tr w:rsidR="009E1D07" w:rsidRPr="0032755F" w14:paraId="4237EBD3" w14:textId="77777777" w:rsidTr="00AE5064">
        <w:tc>
          <w:tcPr>
            <w:tcW w:w="1951" w:type="dxa"/>
            <w:tcBorders>
              <w:top w:val="nil"/>
              <w:left w:val="nil"/>
              <w:bottom w:val="single" w:sz="4" w:space="0" w:color="auto"/>
              <w:right w:val="nil"/>
            </w:tcBorders>
            <w:shd w:val="clear" w:color="auto" w:fill="FFFFFF"/>
            <w:hideMark/>
          </w:tcPr>
          <w:p w14:paraId="19BF183E" w14:textId="570A35DD" w:rsidR="009E1D07" w:rsidRPr="00746E02" w:rsidRDefault="009E1D07" w:rsidP="00955DEA">
            <w:pPr>
              <w:pStyle w:val="CETBodytext"/>
              <w:ind w:right="-1"/>
              <w:rPr>
                <w:rFonts w:cs="Arial"/>
                <w:sz w:val="16"/>
                <w:szCs w:val="16"/>
                <w:lang w:val="en-GB"/>
              </w:rPr>
            </w:pPr>
            <w:r w:rsidRPr="00746E02">
              <w:rPr>
                <w:sz w:val="16"/>
                <w:szCs w:val="16"/>
              </w:rPr>
              <w:t>Wastewater Discharge</w:t>
            </w:r>
          </w:p>
        </w:tc>
        <w:tc>
          <w:tcPr>
            <w:tcW w:w="2929" w:type="dxa"/>
            <w:tcBorders>
              <w:top w:val="nil"/>
              <w:left w:val="nil"/>
              <w:bottom w:val="single" w:sz="4" w:space="0" w:color="auto"/>
              <w:right w:val="nil"/>
            </w:tcBorders>
            <w:shd w:val="clear" w:color="auto" w:fill="FFFFFF"/>
            <w:hideMark/>
          </w:tcPr>
          <w:p w14:paraId="5311CB47" w14:textId="77777777" w:rsidR="009E1D07" w:rsidRPr="00746E02" w:rsidRDefault="009E1D07" w:rsidP="00955DEA">
            <w:pPr>
              <w:pStyle w:val="CETBodytext"/>
              <w:ind w:right="-1"/>
              <w:rPr>
                <w:rFonts w:cs="Arial"/>
                <w:sz w:val="16"/>
                <w:szCs w:val="16"/>
                <w:lang w:val="en-GB"/>
              </w:rPr>
            </w:pPr>
            <w:r w:rsidRPr="00746E02">
              <w:rPr>
                <w:sz w:val="16"/>
                <w:szCs w:val="16"/>
              </w:rPr>
              <w:t>m</w:t>
            </w:r>
            <w:r w:rsidRPr="00746E02">
              <w:rPr>
                <w:sz w:val="16"/>
                <w:szCs w:val="16"/>
                <w:vertAlign w:val="superscript"/>
              </w:rPr>
              <w:t>3</w:t>
            </w:r>
            <w:r w:rsidRPr="00746E02">
              <w:rPr>
                <w:sz w:val="16"/>
                <w:szCs w:val="16"/>
              </w:rPr>
              <w:t xml:space="preserve"> of wastewater output / ton of raw milk</w:t>
            </w:r>
          </w:p>
        </w:tc>
        <w:tc>
          <w:tcPr>
            <w:tcW w:w="3907" w:type="dxa"/>
            <w:tcBorders>
              <w:top w:val="nil"/>
              <w:left w:val="nil"/>
              <w:bottom w:val="single" w:sz="4" w:space="0" w:color="auto"/>
              <w:right w:val="nil"/>
            </w:tcBorders>
            <w:shd w:val="clear" w:color="auto" w:fill="auto"/>
            <w:vAlign w:val="center"/>
            <w:hideMark/>
          </w:tcPr>
          <w:p w14:paraId="6CB04AF1" w14:textId="7A9CD3F3" w:rsidR="009E1D07" w:rsidRPr="00746E02" w:rsidRDefault="009E1D07" w:rsidP="00955DEA">
            <w:pPr>
              <w:pStyle w:val="CETBodytext"/>
              <w:ind w:right="-1"/>
              <w:rPr>
                <w:rFonts w:cs="Arial"/>
                <w:sz w:val="16"/>
                <w:szCs w:val="16"/>
                <w:lang w:val="en-GB"/>
              </w:rPr>
            </w:pPr>
            <w:r w:rsidRPr="00746E02">
              <w:rPr>
                <w:sz w:val="16"/>
                <w:szCs w:val="16"/>
                <w:lang w:val="en-GB"/>
              </w:rPr>
              <w:t>Used to indicate the total wastewater residual output</w:t>
            </w:r>
          </w:p>
        </w:tc>
      </w:tr>
    </w:tbl>
    <w:p w14:paraId="04348856" w14:textId="77777777" w:rsidR="00A133F5" w:rsidRPr="00A133F5" w:rsidRDefault="00A133F5" w:rsidP="00A133F5">
      <w:pPr>
        <w:ind w:left="720"/>
        <w:rPr>
          <w:lang w:val="en-US"/>
        </w:rPr>
      </w:pPr>
    </w:p>
    <w:p w14:paraId="566D63E7" w14:textId="5B80F7BC" w:rsidR="00A824D1" w:rsidRDefault="003B2153" w:rsidP="004E72D3">
      <w:r>
        <w:rPr>
          <w:lang w:val="en-US"/>
        </w:rPr>
        <w:t>Starting from the definition of</w:t>
      </w:r>
      <w:r w:rsidR="00A133F5">
        <w:rPr>
          <w:lang w:val="en-US"/>
        </w:rPr>
        <w:t xml:space="preserve"> </w:t>
      </w:r>
      <w:r w:rsidR="00955DEA">
        <w:rPr>
          <w:lang w:val="en-US"/>
        </w:rPr>
        <w:t>h</w:t>
      </w:r>
      <w:r w:rsidR="00955DEA" w:rsidRPr="004E72D3">
        <w:rPr>
          <w:lang w:val="en-US"/>
        </w:rPr>
        <w:t>igh-performance</w:t>
      </w:r>
      <w:r w:rsidR="004E72D3" w:rsidRPr="004E72D3">
        <w:rPr>
          <w:lang w:val="en-US"/>
        </w:rPr>
        <w:t xml:space="preserve"> </w:t>
      </w:r>
      <w:r>
        <w:rPr>
          <w:lang w:val="en-US"/>
        </w:rPr>
        <w:t>(HP</w:t>
      </w:r>
      <w:r w:rsidR="00594133">
        <w:rPr>
          <w:lang w:val="en-US"/>
        </w:rPr>
        <w:t>B</w:t>
      </w:r>
      <w:r>
        <w:rPr>
          <w:lang w:val="en-US"/>
        </w:rPr>
        <w:t>) and low-performance (LP</w:t>
      </w:r>
      <w:r w:rsidR="00594133">
        <w:rPr>
          <w:lang w:val="en-US"/>
        </w:rPr>
        <w:t>B</w:t>
      </w:r>
      <w:r>
        <w:rPr>
          <w:lang w:val="en-US"/>
        </w:rPr>
        <w:t xml:space="preserve">) </w:t>
      </w:r>
      <w:r w:rsidR="004E72D3" w:rsidRPr="004E72D3">
        <w:rPr>
          <w:lang w:val="en-US"/>
        </w:rPr>
        <w:t>benchmark score</w:t>
      </w:r>
      <w:r>
        <w:rPr>
          <w:lang w:val="en-US"/>
        </w:rPr>
        <w:t xml:space="preserve">s respectively set </w:t>
      </w:r>
      <w:r w:rsidR="004E72D3" w:rsidRPr="004E72D3">
        <w:rPr>
          <w:lang w:val="en-US"/>
        </w:rPr>
        <w:t xml:space="preserve">equal to 100 </w:t>
      </w:r>
      <w:r w:rsidR="00A133F5">
        <w:rPr>
          <w:lang w:val="en-US"/>
        </w:rPr>
        <w:t xml:space="preserve">and </w:t>
      </w:r>
      <w:r w:rsidR="004E72D3" w:rsidRPr="004E72D3">
        <w:rPr>
          <w:lang w:val="en-US"/>
        </w:rPr>
        <w:t xml:space="preserve">40 </w:t>
      </w:r>
      <w:r w:rsidR="004E72D3" w:rsidRPr="004E72D3">
        <w:t>to calculate KPIs score</w:t>
      </w:r>
      <w:r>
        <w:t xml:space="preserve"> according to Eq. 1</w:t>
      </w:r>
      <w:r w:rsidR="004E72D3" w:rsidRPr="004E72D3">
        <w:t>:</w:t>
      </w:r>
    </w:p>
    <w:p w14:paraId="460923DB" w14:textId="75791617" w:rsidR="00A824D1" w:rsidRPr="00A133F5" w:rsidRDefault="000C1A1C" w:rsidP="000C1A1C">
      <w:pPr>
        <w:pStyle w:val="CETEquation"/>
        <w:rPr>
          <w:noProof/>
          <w:lang w:eastAsia="it-IT"/>
        </w:rPr>
      </w:pPr>
      <m:oMath>
        <m:r>
          <w:rPr>
            <w:rFonts w:ascii="Cambria Math" w:hAnsi="Cambria Math"/>
            <w:noProof/>
            <w:lang w:val="it-IT" w:eastAsia="it-IT"/>
          </w:rPr>
          <m:t>KPIscore</m:t>
        </m:r>
        <m:r>
          <m:rPr>
            <m:sty m:val="p"/>
          </m:rPr>
          <w:rPr>
            <w:rFonts w:ascii="Cambria Math" w:hAnsi="Cambria Math"/>
            <w:noProof/>
            <w:lang w:eastAsia="it-IT"/>
          </w:rPr>
          <m:t>=</m:t>
        </m:r>
        <m:f>
          <m:fPr>
            <m:ctrlPr>
              <w:rPr>
                <w:rFonts w:ascii="Cambria Math" w:hAnsi="Cambria Math"/>
                <w:noProof/>
                <w:lang w:val="it-IT" w:eastAsia="it-IT"/>
              </w:rPr>
            </m:ctrlPr>
          </m:fPr>
          <m:num>
            <m:r>
              <w:rPr>
                <w:rFonts w:ascii="Cambria Math" w:hAnsi="Cambria Math"/>
                <w:noProof/>
                <w:lang w:val="it-IT" w:eastAsia="it-IT"/>
              </w:rPr>
              <m:t>HPB</m:t>
            </m:r>
          </m:num>
          <m:den>
            <m:r>
              <w:rPr>
                <w:rFonts w:ascii="Cambria Math" w:hAnsi="Cambria Math"/>
                <w:noProof/>
                <w:lang w:val="it-IT" w:eastAsia="it-IT"/>
              </w:rPr>
              <m:t>LPB</m:t>
            </m:r>
            <m:r>
              <m:rPr>
                <m:sty m:val="p"/>
              </m:rPr>
              <w:rPr>
                <w:rFonts w:ascii="Cambria Math" w:hAnsi="Cambria Math"/>
                <w:noProof/>
                <w:lang w:eastAsia="it-IT"/>
              </w:rPr>
              <m:t>-</m:t>
            </m:r>
            <m:r>
              <w:rPr>
                <w:rFonts w:ascii="Cambria Math" w:hAnsi="Cambria Math"/>
                <w:noProof/>
                <w:lang w:eastAsia="it-IT"/>
              </w:rPr>
              <m:t>HPB</m:t>
            </m:r>
          </m:den>
        </m:f>
        <m:r>
          <m:rPr>
            <m:sty m:val="p"/>
          </m:rPr>
          <w:rPr>
            <w:rFonts w:ascii="Cambria Math" w:hAnsi="Cambria Math"/>
            <w:noProof/>
            <w:lang w:eastAsia="it-IT"/>
          </w:rPr>
          <m:t>∙</m:t>
        </m:r>
        <m:d>
          <m:dPr>
            <m:ctrlPr>
              <w:rPr>
                <w:rFonts w:ascii="Cambria Math" w:hAnsi="Cambria Math"/>
                <w:noProof/>
                <w:lang w:val="it-IT" w:eastAsia="it-IT"/>
              </w:rPr>
            </m:ctrlPr>
          </m:dPr>
          <m:e>
            <m:r>
              <m:rPr>
                <m:sty m:val="p"/>
              </m:rPr>
              <w:rPr>
                <w:rFonts w:ascii="Cambria Math" w:hAnsi="Cambria Math"/>
                <w:noProof/>
                <w:lang w:eastAsia="it-IT"/>
              </w:rPr>
              <m:t>40-100</m:t>
            </m:r>
          </m:e>
        </m:d>
        <m:r>
          <m:rPr>
            <m:sty m:val="p"/>
          </m:rPr>
          <w:rPr>
            <w:rFonts w:ascii="Cambria Math" w:hAnsi="Cambria Math"/>
            <w:noProof/>
            <w:lang w:eastAsia="it-IT"/>
          </w:rPr>
          <m:t>+100</m:t>
        </m:r>
      </m:oMath>
      <w:r w:rsidR="00A133F5" w:rsidRPr="00A133F5">
        <w:rPr>
          <w:noProof/>
          <w:lang w:eastAsia="it-IT"/>
        </w:rPr>
        <w:tab/>
      </w:r>
      <w:r w:rsidR="00A133F5" w:rsidRPr="00A133F5">
        <w:rPr>
          <w:noProof/>
          <w:lang w:eastAsia="it-IT"/>
        </w:rPr>
        <w:tab/>
      </w:r>
      <w:r w:rsidR="00A133F5" w:rsidRPr="00A133F5">
        <w:rPr>
          <w:noProof/>
          <w:lang w:eastAsia="it-IT"/>
        </w:rPr>
        <w:tab/>
        <w:t>(</w:t>
      </w:r>
      <w:r w:rsidR="00A133F5">
        <w:rPr>
          <w:noProof/>
          <w:lang w:eastAsia="it-IT"/>
        </w:rPr>
        <w:t>1)</w:t>
      </w:r>
    </w:p>
    <w:p w14:paraId="1B3A861E" w14:textId="0C0DD6DF" w:rsidR="000F3556" w:rsidRDefault="00B55BC0" w:rsidP="001758B8">
      <w:r>
        <w:t xml:space="preserve">Then, the </w:t>
      </w:r>
      <w:r w:rsidR="008963FF" w:rsidRPr="003E6923">
        <w:t xml:space="preserve">Technical KPIs </w:t>
      </w:r>
      <w:r w:rsidR="00594133">
        <w:t>s</w:t>
      </w:r>
      <w:r w:rsidR="00A133F5">
        <w:t xml:space="preserve">cores and the relevant </w:t>
      </w:r>
      <w:r w:rsidR="008963FF" w:rsidRPr="003E6923">
        <w:t xml:space="preserve">Spider Diagram </w:t>
      </w:r>
      <w:r w:rsidR="00940A31">
        <w:t>w</w:t>
      </w:r>
      <w:r>
        <w:t>ere</w:t>
      </w:r>
      <w:r w:rsidR="00CC131B">
        <w:t xml:space="preserve"> developed using data from 5 </w:t>
      </w:r>
      <w:r w:rsidR="00261B00">
        <w:t xml:space="preserve">main </w:t>
      </w:r>
      <w:r w:rsidR="00CC131B">
        <w:t xml:space="preserve">dairies, </w:t>
      </w:r>
      <w:r w:rsidR="00940A31">
        <w:t>considering the KPI previously identified</w:t>
      </w:r>
      <w:r>
        <w:t>, and compared to the benchmarks, as in Table 2 and Fig</w:t>
      </w:r>
      <w:r w:rsidR="005A3AE6">
        <w:t>ure</w:t>
      </w:r>
      <w:r>
        <w:t xml:space="preserve"> 2.</w:t>
      </w:r>
    </w:p>
    <w:p w14:paraId="5BEE3552" w14:textId="20A135D5" w:rsidR="00A133F5" w:rsidRDefault="00A133F5" w:rsidP="00EF1081">
      <w:pPr>
        <w:pStyle w:val="CETCaption"/>
      </w:pPr>
      <w:r w:rsidRPr="00A133F5">
        <w:t xml:space="preserve">Table 2 – </w:t>
      </w:r>
      <w:r w:rsidR="00AE5064">
        <w:t>Summary of calculated</w:t>
      </w:r>
      <w:r w:rsidRPr="00A133F5">
        <w:t xml:space="preserve"> Dair</w:t>
      </w:r>
      <w:r w:rsidR="00AE5064">
        <w:t>y</w:t>
      </w:r>
      <w:r w:rsidRPr="00A133F5">
        <w:t xml:space="preserve"> KPIs </w:t>
      </w:r>
      <w:r w:rsidR="00AE5064">
        <w:t>vs.</w:t>
      </w:r>
      <w:r w:rsidRPr="00A133F5">
        <w:t xml:space="preserve"> benchmarks</w:t>
      </w:r>
    </w:p>
    <w:p w14:paraId="6EF212AB" w14:textId="41CEA048" w:rsidR="008963FF" w:rsidRDefault="001758B8" w:rsidP="005C65FF">
      <w:pPr>
        <w:jc w:val="left"/>
        <w:rPr>
          <w:lang w:eastAsia="it-IT"/>
        </w:rPr>
      </w:pPr>
      <w:r w:rsidRPr="00EC1A17">
        <w:rPr>
          <w:noProof/>
        </w:rPr>
        <w:drawing>
          <wp:inline distT="0" distB="0" distL="0" distR="0" wp14:anchorId="2ABBB9A1" wp14:editId="555FF444">
            <wp:extent cx="5562600" cy="103655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8123" cy="1056222"/>
                    </a:xfrm>
                    <a:prstGeom prst="rect">
                      <a:avLst/>
                    </a:prstGeom>
                    <a:noFill/>
                    <a:ln>
                      <a:noFill/>
                    </a:ln>
                  </pic:spPr>
                </pic:pic>
              </a:graphicData>
            </a:graphic>
          </wp:inline>
        </w:drawing>
      </w:r>
    </w:p>
    <w:p w14:paraId="45301369" w14:textId="4C3C4932" w:rsidR="00746E02" w:rsidRDefault="001758B8" w:rsidP="001630B3">
      <w:pPr>
        <w:jc w:val="left"/>
        <w:rPr>
          <w:lang w:eastAsia="it-IT"/>
        </w:rPr>
      </w:pPr>
      <w:r>
        <w:rPr>
          <w:noProof/>
        </w:rPr>
        <w:lastRenderedPageBreak/>
        <w:drawing>
          <wp:inline distT="0" distB="0" distL="0" distR="0" wp14:anchorId="55ECDDB3" wp14:editId="7F80BDBB">
            <wp:extent cx="3614928" cy="343824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8076" cy="3460257"/>
                    </a:xfrm>
                    <a:prstGeom prst="rect">
                      <a:avLst/>
                    </a:prstGeom>
                    <a:noFill/>
                  </pic:spPr>
                </pic:pic>
              </a:graphicData>
            </a:graphic>
          </wp:inline>
        </w:drawing>
      </w:r>
    </w:p>
    <w:p w14:paraId="4FCF5D9D" w14:textId="614724DA" w:rsidR="00746E02" w:rsidRDefault="00746E02" w:rsidP="00746E02">
      <w:pPr>
        <w:pStyle w:val="CETCaption"/>
        <w:rPr>
          <w:bCs/>
        </w:rPr>
      </w:pPr>
      <w:r w:rsidRPr="003E6923">
        <w:t>Figure</w:t>
      </w:r>
      <w:r>
        <w:t xml:space="preserve"> 2</w:t>
      </w:r>
      <w:r w:rsidRPr="003E6923">
        <w:t>:</w:t>
      </w:r>
      <w:r>
        <w:t xml:space="preserve"> Spider diagram for KPIs vs. benchmarks</w:t>
      </w:r>
      <w:r w:rsidRPr="002D0901">
        <w:rPr>
          <w:bCs/>
        </w:rPr>
        <w:t xml:space="preserve"> in dairies</w:t>
      </w:r>
      <w:r>
        <w:rPr>
          <w:bCs/>
        </w:rPr>
        <w:t>.</w:t>
      </w:r>
    </w:p>
    <w:p w14:paraId="0DE390A1" w14:textId="2BDA8078" w:rsidR="00940A31" w:rsidRPr="005C7A75" w:rsidRDefault="00E76747" w:rsidP="005C7A75">
      <w:pPr>
        <w:pStyle w:val="CETBodytext"/>
        <w:rPr>
          <w:color w:val="FF0000"/>
        </w:rPr>
      </w:pPr>
      <w:r>
        <w:t>F</w:t>
      </w:r>
      <w:r w:rsidR="00940A31" w:rsidRPr="005C7A75">
        <w:t xml:space="preserve">rom </w:t>
      </w:r>
      <w:r w:rsidR="005C7A75" w:rsidRPr="005C7A75">
        <w:t>the above results</w:t>
      </w:r>
      <w:r w:rsidR="001630B3">
        <w:t>,</w:t>
      </w:r>
      <w:r w:rsidR="005C7A75" w:rsidRPr="005C7A75">
        <w:t xml:space="preserve"> </w:t>
      </w:r>
      <w:r w:rsidR="00940A31" w:rsidRPr="005C7A75">
        <w:t xml:space="preserve">some actual case-studies </w:t>
      </w:r>
      <w:r w:rsidR="008A32AF">
        <w:t xml:space="preserve">with application of Resources Efficiency Measures (REMs) </w:t>
      </w:r>
      <w:r w:rsidR="005C7A75" w:rsidRPr="005C7A75">
        <w:t xml:space="preserve">were selected </w:t>
      </w:r>
      <w:r w:rsidR="008A203C">
        <w:t xml:space="preserve">in the following </w:t>
      </w:r>
      <w:r w:rsidR="005C7A75" w:rsidRPr="005C7A75">
        <w:t>to</w:t>
      </w:r>
      <w:r w:rsidR="00940A31" w:rsidRPr="005C7A75">
        <w:t xml:space="preserve"> </w:t>
      </w:r>
      <w:r w:rsidR="00B55BC0">
        <w:t xml:space="preserve">better </w:t>
      </w:r>
      <w:r w:rsidR="00940A31" w:rsidRPr="005C7A75">
        <w:t>identif</w:t>
      </w:r>
      <w:r w:rsidR="005C7A75" w:rsidRPr="005C7A75">
        <w:t xml:space="preserve">y </w:t>
      </w:r>
      <w:r w:rsidR="001630B3">
        <w:t xml:space="preserve">actual </w:t>
      </w:r>
      <w:r w:rsidR="005C7A75" w:rsidRPr="005C7A75">
        <w:t xml:space="preserve">opportunities </w:t>
      </w:r>
      <w:r w:rsidR="001630B3">
        <w:t xml:space="preserve">and challenges of </w:t>
      </w:r>
      <w:r w:rsidR="005C7A75" w:rsidRPr="005C7A75">
        <w:t>improv</w:t>
      </w:r>
      <w:r w:rsidR="001630B3">
        <w:t>ing</w:t>
      </w:r>
      <w:r w:rsidR="005C7A75" w:rsidRPr="005C7A75">
        <w:t xml:space="preserve"> the KPIs score.</w:t>
      </w:r>
    </w:p>
    <w:p w14:paraId="1C4352A0" w14:textId="77777777" w:rsidR="00940A31" w:rsidRDefault="00940A31" w:rsidP="00940A31">
      <w:pPr>
        <w:pStyle w:val="CETHeading1"/>
        <w:numPr>
          <w:ilvl w:val="0"/>
          <w:numId w:val="0"/>
        </w:numPr>
        <w:spacing w:before="0" w:after="0" w:line="264" w:lineRule="auto"/>
        <w:rPr>
          <w:lang w:val="en-GB"/>
        </w:rPr>
      </w:pPr>
    </w:p>
    <w:p w14:paraId="70ECE2F4" w14:textId="5A4E9F36" w:rsidR="00A05ECE" w:rsidRPr="00A05ECE" w:rsidRDefault="008A32AF" w:rsidP="00940A31">
      <w:pPr>
        <w:pStyle w:val="CETHeading1"/>
        <w:numPr>
          <w:ilvl w:val="0"/>
          <w:numId w:val="0"/>
        </w:numPr>
        <w:spacing w:before="0" w:after="0" w:line="264" w:lineRule="auto"/>
        <w:rPr>
          <w:lang w:val="en-GB"/>
        </w:rPr>
      </w:pPr>
      <w:r>
        <w:rPr>
          <w:lang w:val="en-GB"/>
        </w:rPr>
        <w:t xml:space="preserve">REM type 1: </w:t>
      </w:r>
      <w:r w:rsidR="002D0901">
        <w:rPr>
          <w:lang w:val="en-GB"/>
        </w:rPr>
        <w:t>B</w:t>
      </w:r>
      <w:r w:rsidR="00A05ECE" w:rsidRPr="00A05ECE">
        <w:rPr>
          <w:lang w:val="en-GB"/>
        </w:rPr>
        <w:t>rine and whey integrated recovery</w:t>
      </w:r>
    </w:p>
    <w:p w14:paraId="4ACB9C62" w14:textId="47EAE7FB" w:rsidR="00A05ECE" w:rsidRDefault="00A05ECE" w:rsidP="00A05ECE">
      <w:pPr>
        <w:rPr>
          <w:lang w:eastAsia="it-IT"/>
        </w:rPr>
      </w:pPr>
      <w:r>
        <w:rPr>
          <w:lang w:eastAsia="it-IT"/>
        </w:rPr>
        <w:t xml:space="preserve">Brine is generally used in dairies for two main purposes on cheese production: for salting and for addition in the packaging stage: this means that every year a quantity of brine roughly 1/10 of the cheese weight produced is discharged as wastewater. </w:t>
      </w:r>
      <w:r w:rsidR="005767FC">
        <w:rPr>
          <w:lang w:eastAsia="it-IT"/>
        </w:rPr>
        <w:t>Instead, w</w:t>
      </w:r>
      <w:r>
        <w:rPr>
          <w:lang w:eastAsia="it-IT"/>
        </w:rPr>
        <w:t>hey is the typical by-product of dairies, being roughly 85</w:t>
      </w:r>
      <w:r w:rsidR="00544D0C">
        <w:rPr>
          <w:lang w:eastAsia="it-IT"/>
        </w:rPr>
        <w:t>-90</w:t>
      </w:r>
      <w:r>
        <w:rPr>
          <w:lang w:eastAsia="it-IT"/>
        </w:rPr>
        <w:t xml:space="preserve">% of processed milk to cheese, separated after coagulation of milk itself. Whey, for years considered a waste to be disposed of, is a valuable source of </w:t>
      </w:r>
      <w:r w:rsidR="005767FC">
        <w:rPr>
          <w:lang w:eastAsia="it-IT"/>
        </w:rPr>
        <w:t>proteins and dextrose; the former, dried</w:t>
      </w:r>
      <w:r w:rsidR="005767FC" w:rsidRPr="00EF1081">
        <w:rPr>
          <w:lang w:eastAsia="it-IT"/>
        </w:rPr>
        <w:t xml:space="preserve">, </w:t>
      </w:r>
      <w:r w:rsidR="00544D0C" w:rsidRPr="00EF1081">
        <w:rPr>
          <w:lang w:eastAsia="it-IT"/>
        </w:rPr>
        <w:t>is</w:t>
      </w:r>
      <w:r w:rsidR="005767FC" w:rsidRPr="00EF1081">
        <w:rPr>
          <w:lang w:eastAsia="it-IT"/>
        </w:rPr>
        <w:t xml:space="preserve"> the main ingredient of the typical energetic </w:t>
      </w:r>
      <w:r w:rsidR="00544D0C" w:rsidRPr="00EF1081">
        <w:rPr>
          <w:lang w:eastAsia="it-IT"/>
        </w:rPr>
        <w:t xml:space="preserve">food, going from WPC30 </w:t>
      </w:r>
      <w:r w:rsidR="00AE48D8" w:rsidRPr="00EF1081">
        <w:rPr>
          <w:lang w:eastAsia="it-IT"/>
        </w:rPr>
        <w:t xml:space="preserve">(whey protein concentrate) up </w:t>
      </w:r>
      <w:r w:rsidR="00544D0C" w:rsidRPr="00EF1081">
        <w:rPr>
          <w:lang w:eastAsia="it-IT"/>
        </w:rPr>
        <w:t xml:space="preserve">to WPC80, depending on proteins </w:t>
      </w:r>
      <w:r w:rsidR="00544D0C" w:rsidRPr="00EB19FB">
        <w:rPr>
          <w:lang w:eastAsia="it-IT"/>
        </w:rPr>
        <w:t>concentration.</w:t>
      </w:r>
    </w:p>
    <w:p w14:paraId="4BE56FAE" w14:textId="3B59B546" w:rsidR="00C71673" w:rsidRDefault="008D37F8" w:rsidP="00B55BC0">
      <w:pPr>
        <w:rPr>
          <w:lang w:eastAsia="it-IT"/>
        </w:rPr>
      </w:pPr>
      <w:r w:rsidRPr="003E6923">
        <w:rPr>
          <w:lang w:eastAsia="it-IT"/>
        </w:rPr>
        <w:t xml:space="preserve">The </w:t>
      </w:r>
      <w:r w:rsidR="00544D0C">
        <w:rPr>
          <w:lang w:eastAsia="it-IT"/>
        </w:rPr>
        <w:t xml:space="preserve">proposed recovery </w:t>
      </w:r>
      <w:r w:rsidRPr="003E6923">
        <w:rPr>
          <w:lang w:eastAsia="it-IT"/>
        </w:rPr>
        <w:t xml:space="preserve">process consists of a </w:t>
      </w:r>
      <w:r w:rsidRPr="00C512D0">
        <w:rPr>
          <w:lang w:eastAsia="it-IT"/>
        </w:rPr>
        <w:t>microfiltration</w:t>
      </w:r>
      <w:r w:rsidRPr="003E6923">
        <w:rPr>
          <w:lang w:eastAsia="it-IT"/>
        </w:rPr>
        <w:t xml:space="preserve"> unit applied continuously on a side-stream of brine through a step where, after a first screening to eliminate small rests of cheese, the liquid brine undergoes a purification stage</w:t>
      </w:r>
      <w:r w:rsidR="00B55BC0">
        <w:rPr>
          <w:lang w:eastAsia="it-IT"/>
        </w:rPr>
        <w:t>,</w:t>
      </w:r>
      <w:r w:rsidRPr="003E6923">
        <w:rPr>
          <w:lang w:eastAsia="it-IT"/>
        </w:rPr>
        <w:t xml:space="preserve"> where the concentrate stream, having a high content of impurities and microorganisms, is disposed of, whereas the purified stream is returned to the main cycle. The unit for brine purification consists of</w:t>
      </w:r>
      <w:r w:rsidR="00E1689B">
        <w:rPr>
          <w:lang w:eastAsia="it-IT"/>
        </w:rPr>
        <w:t xml:space="preserve"> following steps</w:t>
      </w:r>
      <w:r w:rsidRPr="003E6923">
        <w:rPr>
          <w:lang w:eastAsia="it-IT"/>
        </w:rPr>
        <w:t xml:space="preserve"> brine screening; microfiltration membranes unit; permeate tank; concentrate tank; slurry pumps</w:t>
      </w:r>
      <w:r w:rsidR="004973AF">
        <w:rPr>
          <w:lang w:eastAsia="it-IT"/>
        </w:rPr>
        <w:t>.</w:t>
      </w:r>
      <w:r w:rsidR="00E1689B">
        <w:rPr>
          <w:lang w:eastAsia="it-IT"/>
        </w:rPr>
        <w:t xml:space="preserve"> </w:t>
      </w:r>
      <w:r w:rsidR="004973AF">
        <w:rPr>
          <w:lang w:eastAsia="it-IT"/>
        </w:rPr>
        <w:t>Concerning w</w:t>
      </w:r>
      <w:r w:rsidR="00101801" w:rsidRPr="003E6923">
        <w:rPr>
          <w:lang w:eastAsia="it-IT"/>
        </w:rPr>
        <w:t>hey</w:t>
      </w:r>
      <w:r w:rsidR="004973AF">
        <w:rPr>
          <w:lang w:eastAsia="it-IT"/>
        </w:rPr>
        <w:t>, its</w:t>
      </w:r>
      <w:r w:rsidR="00101801" w:rsidRPr="003E6923">
        <w:rPr>
          <w:lang w:eastAsia="it-IT"/>
        </w:rPr>
        <w:t xml:space="preserve"> composition </w:t>
      </w:r>
      <w:r w:rsidR="00AF1F90">
        <w:rPr>
          <w:lang w:eastAsia="it-IT"/>
        </w:rPr>
        <w:t xml:space="preserve">(wt/wt) </w:t>
      </w:r>
      <w:r w:rsidR="00B577D8">
        <w:rPr>
          <w:lang w:eastAsia="it-IT"/>
        </w:rPr>
        <w:t>is</w:t>
      </w:r>
      <w:r w:rsidR="00101801" w:rsidRPr="003E6923">
        <w:rPr>
          <w:lang w:eastAsia="it-IT"/>
        </w:rPr>
        <w:t xml:space="preserve"> depending on </w:t>
      </w:r>
      <w:r w:rsidR="00B577D8">
        <w:rPr>
          <w:lang w:eastAsia="it-IT"/>
        </w:rPr>
        <w:t>the cheese process</w:t>
      </w:r>
      <w:r w:rsidR="00B55BC0">
        <w:rPr>
          <w:lang w:eastAsia="it-IT"/>
        </w:rPr>
        <w:t xml:space="preserve">: </w:t>
      </w:r>
      <w:r w:rsidR="00B577D8">
        <w:rPr>
          <w:lang w:eastAsia="it-IT"/>
        </w:rPr>
        <w:t>in general, apart from water</w:t>
      </w:r>
      <w:r w:rsidR="00594133">
        <w:rPr>
          <w:lang w:eastAsia="it-IT"/>
        </w:rPr>
        <w:t xml:space="preserve"> (93-94%)</w:t>
      </w:r>
      <w:r w:rsidR="00B577D8">
        <w:rPr>
          <w:lang w:eastAsia="it-IT"/>
        </w:rPr>
        <w:t>,</w:t>
      </w:r>
      <w:r w:rsidR="00594133" w:rsidRPr="00594133">
        <w:t xml:space="preserve"> </w:t>
      </w:r>
      <w:r w:rsidR="00594133" w:rsidRPr="00594133">
        <w:rPr>
          <w:lang w:eastAsia="it-IT"/>
        </w:rPr>
        <w:t xml:space="preserve">the </w:t>
      </w:r>
      <w:r w:rsidR="00594133">
        <w:rPr>
          <w:lang w:eastAsia="it-IT"/>
        </w:rPr>
        <w:t>dry substance consists of</w:t>
      </w:r>
      <w:r w:rsidR="00594133" w:rsidRPr="00594133">
        <w:rPr>
          <w:lang w:eastAsia="it-IT"/>
        </w:rPr>
        <w:t xml:space="preserve"> lactose</w:t>
      </w:r>
      <w:r w:rsidR="00594133">
        <w:rPr>
          <w:lang w:eastAsia="it-IT"/>
        </w:rPr>
        <w:t xml:space="preserve"> (4.5-5%)</w:t>
      </w:r>
      <w:r w:rsidR="00594133" w:rsidRPr="00594133">
        <w:rPr>
          <w:lang w:eastAsia="it-IT"/>
        </w:rPr>
        <w:t>, whey protein</w:t>
      </w:r>
      <w:r w:rsidR="00594133">
        <w:rPr>
          <w:lang w:eastAsia="it-IT"/>
        </w:rPr>
        <w:t xml:space="preserve"> (</w:t>
      </w:r>
      <w:r w:rsidR="00E1689B">
        <w:rPr>
          <w:lang w:eastAsia="it-IT"/>
        </w:rPr>
        <w:t>0.6-0.65%)</w:t>
      </w:r>
      <w:r w:rsidR="00594133" w:rsidRPr="00594133">
        <w:rPr>
          <w:lang w:eastAsia="it-IT"/>
        </w:rPr>
        <w:t xml:space="preserve">, </w:t>
      </w:r>
      <w:r w:rsidR="00E1689B">
        <w:rPr>
          <w:lang w:eastAsia="it-IT"/>
        </w:rPr>
        <w:t>lactic acid (up to 0.8%)</w:t>
      </w:r>
      <w:r w:rsidR="00594133" w:rsidRPr="00594133">
        <w:rPr>
          <w:lang w:eastAsia="it-IT"/>
        </w:rPr>
        <w:t xml:space="preserve">, </w:t>
      </w:r>
      <w:r w:rsidR="001664EF">
        <w:rPr>
          <w:lang w:eastAsia="it-IT"/>
        </w:rPr>
        <w:t>citric</w:t>
      </w:r>
      <w:r w:rsidR="00E1689B">
        <w:rPr>
          <w:lang w:eastAsia="it-IT"/>
        </w:rPr>
        <w:t xml:space="preserve"> acid (0.1%), minerals (0.5-0.7%). On these grounds, it exhibits </w:t>
      </w:r>
      <w:r w:rsidR="00E1689B" w:rsidRPr="00E1689B">
        <w:rPr>
          <w:lang w:eastAsia="it-IT"/>
        </w:rPr>
        <w:t xml:space="preserve">high potential </w:t>
      </w:r>
      <w:r w:rsidR="00E1689B">
        <w:rPr>
          <w:lang w:eastAsia="it-IT"/>
        </w:rPr>
        <w:t>as a</w:t>
      </w:r>
      <w:r w:rsidR="00E1689B" w:rsidRPr="00E1689B">
        <w:rPr>
          <w:lang w:eastAsia="it-IT"/>
        </w:rPr>
        <w:t xml:space="preserve"> valuable </w:t>
      </w:r>
      <w:r w:rsidR="00E1689B">
        <w:rPr>
          <w:lang w:eastAsia="it-IT"/>
        </w:rPr>
        <w:t>by-product</w:t>
      </w:r>
      <w:r w:rsidR="00E1689B" w:rsidRPr="00E1689B">
        <w:rPr>
          <w:lang w:eastAsia="it-IT"/>
        </w:rPr>
        <w:t xml:space="preserve"> </w:t>
      </w:r>
      <w:r w:rsidR="00E1689B">
        <w:rPr>
          <w:lang w:eastAsia="it-IT"/>
        </w:rPr>
        <w:t xml:space="preserve">to obtain </w:t>
      </w:r>
      <w:r w:rsidR="00E1689B" w:rsidRPr="00E1689B">
        <w:rPr>
          <w:lang w:eastAsia="it-IT"/>
        </w:rPr>
        <w:t>added value food</w:t>
      </w:r>
      <w:r w:rsidR="00E1689B">
        <w:rPr>
          <w:lang w:eastAsia="it-IT"/>
        </w:rPr>
        <w:t>s</w:t>
      </w:r>
      <w:r w:rsidR="00E1689B" w:rsidRPr="00E1689B">
        <w:rPr>
          <w:lang w:eastAsia="it-IT"/>
        </w:rPr>
        <w:t xml:space="preserve"> and bioactive </w:t>
      </w:r>
      <w:r w:rsidR="00E1689B">
        <w:rPr>
          <w:lang w:eastAsia="it-IT"/>
        </w:rPr>
        <w:t>compounds</w:t>
      </w:r>
      <w:r w:rsidR="00101801" w:rsidRPr="003E6923">
        <w:rPr>
          <w:lang w:eastAsia="it-IT"/>
        </w:rPr>
        <w:t xml:space="preserve">. </w:t>
      </w:r>
      <w:r w:rsidR="00E1689B">
        <w:rPr>
          <w:lang w:eastAsia="it-IT"/>
        </w:rPr>
        <w:t>S</w:t>
      </w:r>
      <w:r w:rsidR="00C71673">
        <w:rPr>
          <w:lang w:eastAsia="it-IT"/>
        </w:rPr>
        <w:t xml:space="preserve">everal </w:t>
      </w:r>
      <w:r w:rsidR="00E1689B">
        <w:rPr>
          <w:lang w:eastAsia="it-IT"/>
        </w:rPr>
        <w:t xml:space="preserve">routes </w:t>
      </w:r>
      <w:r w:rsidR="001664EF">
        <w:rPr>
          <w:lang w:eastAsia="it-IT"/>
        </w:rPr>
        <w:t>a</w:t>
      </w:r>
      <w:r w:rsidR="00E1689B">
        <w:rPr>
          <w:lang w:eastAsia="it-IT"/>
        </w:rPr>
        <w:t>re exploited</w:t>
      </w:r>
      <w:r w:rsidR="00C71673">
        <w:rPr>
          <w:lang w:eastAsia="it-IT"/>
        </w:rPr>
        <w:t xml:space="preserve"> for extraction of proteins, which are the most valuable substance in whey: a largely used </w:t>
      </w:r>
      <w:r w:rsidR="00101801" w:rsidRPr="003E6923">
        <w:rPr>
          <w:lang w:eastAsia="it-IT"/>
        </w:rPr>
        <w:t xml:space="preserve">process consists of an ultrafiltration step </w:t>
      </w:r>
      <w:r w:rsidR="00201089">
        <w:rPr>
          <w:lang w:eastAsia="it-IT"/>
        </w:rPr>
        <w:t>(</w:t>
      </w:r>
      <w:r w:rsidR="00201089">
        <w:t xml:space="preserve">Nissen, 2006) </w:t>
      </w:r>
      <w:r w:rsidR="00101801" w:rsidRPr="003E6923">
        <w:rPr>
          <w:lang w:eastAsia="it-IT"/>
        </w:rPr>
        <w:t xml:space="preserve">where, after a first screening to eliminate small rests of cheese, the liquid whey is filtered through membranes to separate two streams:  </w:t>
      </w:r>
    </w:p>
    <w:p w14:paraId="08E58F24" w14:textId="2CFBA73D" w:rsidR="00101801" w:rsidRPr="003E6923" w:rsidRDefault="00101801" w:rsidP="00D9589E">
      <w:pPr>
        <w:pStyle w:val="ListParagraph"/>
        <w:numPr>
          <w:ilvl w:val="0"/>
          <w:numId w:val="17"/>
        </w:numPr>
        <w:tabs>
          <w:tab w:val="clear" w:pos="7100"/>
        </w:tabs>
        <w:ind w:left="766" w:hanging="709"/>
        <w:rPr>
          <w:lang w:eastAsia="it-IT"/>
        </w:rPr>
      </w:pPr>
      <w:r w:rsidRPr="003E6923">
        <w:rPr>
          <w:lang w:eastAsia="it-IT"/>
        </w:rPr>
        <w:t xml:space="preserve">A concentrate stream, having a high content of proteins, </w:t>
      </w:r>
      <w:r w:rsidR="00AE48D8">
        <w:rPr>
          <w:lang w:eastAsia="it-IT"/>
        </w:rPr>
        <w:t xml:space="preserve">from </w:t>
      </w:r>
      <w:r w:rsidRPr="003E6923">
        <w:rPr>
          <w:lang w:eastAsia="it-IT"/>
        </w:rPr>
        <w:t xml:space="preserve">roughly 30% of dry substance and rich on lactose; </w:t>
      </w:r>
      <w:r w:rsidR="00AE48D8">
        <w:rPr>
          <w:lang w:eastAsia="it-IT"/>
        </w:rPr>
        <w:t xml:space="preserve">in this case, </w:t>
      </w:r>
      <w:r w:rsidRPr="003E6923">
        <w:rPr>
          <w:lang w:eastAsia="it-IT"/>
        </w:rPr>
        <w:t xml:space="preserve">this stream </w:t>
      </w:r>
      <w:r w:rsidR="00EB7396" w:rsidRPr="00EB7396">
        <w:rPr>
          <w:lang w:eastAsia="it-IT"/>
        </w:rPr>
        <w:t>can be exploited in a more optimal way</w:t>
      </w:r>
      <w:r w:rsidRPr="003E6923">
        <w:rPr>
          <w:lang w:eastAsia="it-IT"/>
        </w:rPr>
        <w:t xml:space="preserve"> to produce WPC 30;  </w:t>
      </w:r>
    </w:p>
    <w:p w14:paraId="0330250F" w14:textId="498514C8" w:rsidR="00101801" w:rsidRPr="003E6923" w:rsidRDefault="00101801" w:rsidP="00D9589E">
      <w:pPr>
        <w:pStyle w:val="ListParagraph"/>
        <w:numPr>
          <w:ilvl w:val="0"/>
          <w:numId w:val="17"/>
        </w:numPr>
        <w:tabs>
          <w:tab w:val="clear" w:pos="7100"/>
        </w:tabs>
        <w:ind w:left="766" w:hanging="709"/>
        <w:rPr>
          <w:lang w:eastAsia="it-IT"/>
        </w:rPr>
      </w:pPr>
      <w:r w:rsidRPr="003E6923">
        <w:rPr>
          <w:lang w:eastAsia="it-IT"/>
        </w:rPr>
        <w:t>A permeate</w:t>
      </w:r>
      <w:r w:rsidR="00C71673">
        <w:rPr>
          <w:lang w:eastAsia="it-IT"/>
        </w:rPr>
        <w:t xml:space="preserve"> stream</w:t>
      </w:r>
      <w:r w:rsidRPr="003E6923">
        <w:rPr>
          <w:lang w:eastAsia="it-IT"/>
        </w:rPr>
        <w:t xml:space="preserve">, </w:t>
      </w:r>
      <w:r w:rsidR="002B4C7B">
        <w:rPr>
          <w:lang w:eastAsia="it-IT"/>
        </w:rPr>
        <w:t>characterized by</w:t>
      </w:r>
      <w:r w:rsidRPr="003E6923">
        <w:rPr>
          <w:lang w:eastAsia="it-IT"/>
        </w:rPr>
        <w:t xml:space="preserve"> a high lactose</w:t>
      </w:r>
      <w:r w:rsidR="002B4C7B">
        <w:rPr>
          <w:lang w:eastAsia="it-IT"/>
        </w:rPr>
        <w:t xml:space="preserve"> content</w:t>
      </w:r>
      <w:r w:rsidRPr="003E6923">
        <w:rPr>
          <w:lang w:eastAsia="it-IT"/>
        </w:rPr>
        <w:t xml:space="preserve"> and a higher </w:t>
      </w:r>
      <w:r w:rsidR="002B4C7B">
        <w:rPr>
          <w:lang w:eastAsia="it-IT"/>
        </w:rPr>
        <w:t xml:space="preserve">water </w:t>
      </w:r>
      <w:r w:rsidRPr="003E6923">
        <w:rPr>
          <w:lang w:eastAsia="it-IT"/>
        </w:rPr>
        <w:t xml:space="preserve">dilution </w:t>
      </w:r>
      <w:r w:rsidR="002B4C7B">
        <w:rPr>
          <w:lang w:eastAsia="it-IT"/>
        </w:rPr>
        <w:t>rate</w:t>
      </w:r>
      <w:r w:rsidRPr="003E6923">
        <w:rPr>
          <w:lang w:eastAsia="it-IT"/>
        </w:rPr>
        <w:t xml:space="preserve">; this stream could be treated to </w:t>
      </w:r>
      <w:r w:rsidR="00C71673">
        <w:rPr>
          <w:lang w:eastAsia="it-IT"/>
        </w:rPr>
        <w:t xml:space="preserve">further </w:t>
      </w:r>
      <w:r w:rsidRPr="003E6923">
        <w:rPr>
          <w:lang w:eastAsia="it-IT"/>
        </w:rPr>
        <w:t>extract lactose</w:t>
      </w:r>
      <w:r w:rsidR="00C71673">
        <w:rPr>
          <w:lang w:eastAsia="it-IT"/>
        </w:rPr>
        <w:t xml:space="preserve">, but </w:t>
      </w:r>
      <w:r w:rsidR="00AE48D8">
        <w:rPr>
          <w:lang w:eastAsia="it-IT"/>
        </w:rPr>
        <w:t xml:space="preserve">considering </w:t>
      </w:r>
      <w:r w:rsidR="00C71673">
        <w:rPr>
          <w:lang w:eastAsia="it-IT"/>
        </w:rPr>
        <w:t xml:space="preserve">market </w:t>
      </w:r>
      <w:r w:rsidR="001664EF">
        <w:rPr>
          <w:lang w:eastAsia="it-IT"/>
        </w:rPr>
        <w:t>uncertainty</w:t>
      </w:r>
      <w:r w:rsidR="00C71673">
        <w:rPr>
          <w:lang w:eastAsia="it-IT"/>
        </w:rPr>
        <w:t>, it could be assumed</w:t>
      </w:r>
      <w:r w:rsidRPr="003E6923">
        <w:rPr>
          <w:lang w:eastAsia="it-IT"/>
        </w:rPr>
        <w:t xml:space="preserve"> that this stream is sent to the anaerobic digestion unit for biogas production.  </w:t>
      </w:r>
    </w:p>
    <w:p w14:paraId="12A88A70" w14:textId="223D2ACD" w:rsidR="00E45EE0" w:rsidRDefault="00C71673" w:rsidP="00D9589E">
      <w:pPr>
        <w:ind w:left="766" w:hanging="709"/>
        <w:rPr>
          <w:lang w:eastAsia="it-IT"/>
        </w:rPr>
      </w:pPr>
      <w:r>
        <w:rPr>
          <w:lang w:eastAsia="it-IT"/>
        </w:rPr>
        <w:t xml:space="preserve">The block diagram for the </w:t>
      </w:r>
      <w:r w:rsidR="002B4C7B">
        <w:rPr>
          <w:lang w:eastAsia="it-IT"/>
        </w:rPr>
        <w:t xml:space="preserve">optimized </w:t>
      </w:r>
      <w:r>
        <w:rPr>
          <w:lang w:eastAsia="it-IT"/>
        </w:rPr>
        <w:t xml:space="preserve">brine and whey system is </w:t>
      </w:r>
      <w:r w:rsidR="00424D77">
        <w:rPr>
          <w:lang w:eastAsia="it-IT"/>
        </w:rPr>
        <w:t>depicted in Fig</w:t>
      </w:r>
      <w:r w:rsidR="005A3AE6">
        <w:rPr>
          <w:lang w:eastAsia="it-IT"/>
        </w:rPr>
        <w:t>ure</w:t>
      </w:r>
      <w:r w:rsidR="00424D77">
        <w:rPr>
          <w:lang w:eastAsia="it-IT"/>
        </w:rPr>
        <w:t xml:space="preserve"> 3.</w:t>
      </w:r>
    </w:p>
    <w:p w14:paraId="42410369" w14:textId="627657AA" w:rsidR="00EA3C01" w:rsidRDefault="004108BB" w:rsidP="001630B3">
      <w:pPr>
        <w:jc w:val="left"/>
        <w:rPr>
          <w:lang w:eastAsia="it-IT"/>
        </w:rPr>
      </w:pPr>
      <w:r w:rsidRPr="004108BB">
        <w:rPr>
          <w:noProof/>
          <w:lang w:val="it-IT" w:eastAsia="it-IT"/>
        </w:rPr>
        <w:lastRenderedPageBreak/>
        <w:drawing>
          <wp:inline distT="0" distB="0" distL="0" distR="0" wp14:anchorId="31EDFA3C" wp14:editId="13A41593">
            <wp:extent cx="4568524" cy="2171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2239" cy="2182973"/>
                    </a:xfrm>
                    <a:prstGeom prst="rect">
                      <a:avLst/>
                    </a:prstGeom>
                    <a:noFill/>
                    <a:ln>
                      <a:noFill/>
                    </a:ln>
                  </pic:spPr>
                </pic:pic>
              </a:graphicData>
            </a:graphic>
          </wp:inline>
        </w:drawing>
      </w:r>
    </w:p>
    <w:p w14:paraId="761A1884" w14:textId="31001562" w:rsidR="00EA3C01" w:rsidRPr="00EF1081" w:rsidRDefault="00C71673" w:rsidP="00EF1081">
      <w:pPr>
        <w:pStyle w:val="CETCaption"/>
      </w:pPr>
      <w:r w:rsidRPr="00EF1081">
        <w:t>Fig</w:t>
      </w:r>
      <w:r w:rsidR="00746E02">
        <w:t>ure</w:t>
      </w:r>
      <w:r w:rsidRPr="00EF1081">
        <w:t xml:space="preserve"> </w:t>
      </w:r>
      <w:r w:rsidR="00E86D2C" w:rsidRPr="00EF1081">
        <w:t>3</w:t>
      </w:r>
      <w:r w:rsidR="00746E02">
        <w:t>: Bl</w:t>
      </w:r>
      <w:r w:rsidRPr="00EF1081">
        <w:t>ock diagram for the brine and whey system</w:t>
      </w:r>
      <w:r w:rsidR="00746E02">
        <w:t>.</w:t>
      </w:r>
    </w:p>
    <w:p w14:paraId="3AAA8B8C" w14:textId="6EDE17E8" w:rsidR="0041518F" w:rsidRDefault="008A32AF" w:rsidP="00940A31">
      <w:pPr>
        <w:pStyle w:val="CETHeading1"/>
        <w:numPr>
          <w:ilvl w:val="0"/>
          <w:numId w:val="0"/>
        </w:numPr>
        <w:spacing w:before="0" w:after="0" w:line="264" w:lineRule="auto"/>
        <w:rPr>
          <w:lang w:val="en-GB"/>
        </w:rPr>
      </w:pPr>
      <w:bookmarkStart w:id="0" w:name="_Toc3472371"/>
      <w:r>
        <w:rPr>
          <w:lang w:val="en-GB"/>
        </w:rPr>
        <w:t xml:space="preserve">REM type 2: </w:t>
      </w:r>
      <w:r w:rsidR="0041518F" w:rsidRPr="003E6923">
        <w:rPr>
          <w:lang w:val="en-GB"/>
        </w:rPr>
        <w:t xml:space="preserve">Biogas from </w:t>
      </w:r>
      <w:r w:rsidR="00CB41E1">
        <w:rPr>
          <w:lang w:val="en-GB"/>
        </w:rPr>
        <w:t xml:space="preserve">solid </w:t>
      </w:r>
      <w:r w:rsidR="002D0901">
        <w:rPr>
          <w:lang w:val="en-GB"/>
        </w:rPr>
        <w:t>w</w:t>
      </w:r>
      <w:r w:rsidR="0041518F" w:rsidRPr="003E6923">
        <w:rPr>
          <w:lang w:val="en-GB"/>
        </w:rPr>
        <w:t>aste</w:t>
      </w:r>
      <w:bookmarkEnd w:id="0"/>
      <w:r w:rsidR="002D0901">
        <w:rPr>
          <w:lang w:val="en-GB"/>
        </w:rPr>
        <w:t xml:space="preserve"> integrated with wastewater treatment</w:t>
      </w:r>
    </w:p>
    <w:p w14:paraId="3F161884" w14:textId="572C731C" w:rsidR="000F43E6" w:rsidRPr="000F43E6" w:rsidRDefault="00B85EDD" w:rsidP="00EF1081">
      <w:pPr>
        <w:pStyle w:val="ListParagraph"/>
        <w:ind w:left="0"/>
      </w:pPr>
      <w:r>
        <w:t>Sometimes, t</w:t>
      </w:r>
      <w:r w:rsidR="007D582F" w:rsidRPr="00EB6C95">
        <w:t>he wastewater generated at the site</w:t>
      </w:r>
      <w:r>
        <w:t xml:space="preserve">, if close to a town, </w:t>
      </w:r>
      <w:r w:rsidR="003E46A8">
        <w:t>could be connected to</w:t>
      </w:r>
      <w:r w:rsidR="007D582F" w:rsidRPr="00EB6C95">
        <w:t xml:space="preserve"> the municipality sewer system</w:t>
      </w:r>
      <w:r w:rsidR="003E46A8">
        <w:t>.  But the usual</w:t>
      </w:r>
      <w:r w:rsidR="007D582F" w:rsidRPr="00EB6C95">
        <w:t xml:space="preserve"> situation</w:t>
      </w:r>
      <w:r w:rsidR="00EC42E0">
        <w:t xml:space="preserve"> of a factory with large</w:t>
      </w:r>
      <w:r>
        <w:t xml:space="preserve"> distance from sewers demands</w:t>
      </w:r>
      <w:r w:rsidR="003E46A8">
        <w:t xml:space="preserve"> a complete wastewater treatment on the spot</w:t>
      </w:r>
      <w:r w:rsidR="007D582F" w:rsidRPr="00EB6C95">
        <w:t xml:space="preserve">. COD </w:t>
      </w:r>
      <w:r w:rsidR="002756BC">
        <w:t xml:space="preserve">value </w:t>
      </w:r>
      <w:r w:rsidR="007D582F" w:rsidRPr="00EB6C95">
        <w:t xml:space="preserve">of </w:t>
      </w:r>
      <w:r>
        <w:t>waste</w:t>
      </w:r>
      <w:r w:rsidR="007D582F" w:rsidRPr="00EB6C95">
        <w:t xml:space="preserve">water </w:t>
      </w:r>
      <w:r>
        <w:t>from a dairy c</w:t>
      </w:r>
      <w:r w:rsidR="002756BC">
        <w:t>an</w:t>
      </w:r>
      <w:r>
        <w:t xml:space="preserve"> be </w:t>
      </w:r>
      <w:r w:rsidR="007D582F" w:rsidRPr="00EB6C95">
        <w:t xml:space="preserve">estimated </w:t>
      </w:r>
      <w:r w:rsidR="00215CFC">
        <w:t>between</w:t>
      </w:r>
      <w:r w:rsidR="007D582F" w:rsidRPr="00EB6C95">
        <w:t xml:space="preserve"> 3,000 </w:t>
      </w:r>
      <w:r w:rsidR="00215CFC">
        <w:t>and 5,0</w:t>
      </w:r>
      <w:r w:rsidR="007D582F" w:rsidRPr="00EB6C95">
        <w:t>00 mg/l</w:t>
      </w:r>
      <w:r>
        <w:t xml:space="preserve"> on average</w:t>
      </w:r>
      <w:r w:rsidR="002756BC">
        <w:t xml:space="preserve"> even though this is a basic figure,</w:t>
      </w:r>
      <w:r w:rsidR="00895C57">
        <w:t xml:space="preserve"> </w:t>
      </w:r>
      <w:r w:rsidR="007D582F" w:rsidRPr="00EB6C95">
        <w:t xml:space="preserve">since the wastewater parameters </w:t>
      </w:r>
      <w:r>
        <w:t>may be</w:t>
      </w:r>
      <w:r w:rsidR="007D582F" w:rsidRPr="00EB6C95">
        <w:t xml:space="preserve"> affected by the discharged condensate and pickling brine.</w:t>
      </w:r>
      <w:r w:rsidR="00215CFC">
        <w:t xml:space="preserve"> Even</w:t>
      </w:r>
      <w:r w:rsidR="002756BC">
        <w:t xml:space="preserve"> if</w:t>
      </w:r>
      <w:r w:rsidR="00215CFC">
        <w:t xml:space="preserve"> </w:t>
      </w:r>
      <w:r w:rsidR="00470549">
        <w:t xml:space="preserve">this issue is not as critical </w:t>
      </w:r>
      <w:r w:rsidR="00215CFC">
        <w:t>as in case of starch or fruit industry, where COD values are rather high, for the milk industries it could also be taken into consideration an anaerobic treatment to cut COD before the aerobic one</w:t>
      </w:r>
      <w:r w:rsidR="00A11D77">
        <w:t xml:space="preserve"> and to produce biogas</w:t>
      </w:r>
      <w:r w:rsidR="00470549">
        <w:t>. On this basis,</w:t>
      </w:r>
      <w:r w:rsidR="00215CFC">
        <w:t xml:space="preserve"> </w:t>
      </w:r>
      <w:r w:rsidR="00470549">
        <w:t>the</w:t>
      </w:r>
      <w:r w:rsidR="00215CFC">
        <w:t xml:space="preserve"> treatment sequence could include, after some screening, some equalization to smooth peaks, neutralization to control pH, anaerobic digestion in UASB type reactor, and finally a conventional secondary treatment with aerobic reactor and sedimentation tanks.</w:t>
      </w:r>
      <w:r w:rsidR="00A11D77">
        <w:t xml:space="preserve">  Solid waste</w:t>
      </w:r>
      <w:r w:rsidR="00976EFF">
        <w:t xml:space="preserve"> (</w:t>
      </w:r>
      <w:r w:rsidR="00976EFF" w:rsidRPr="00A207D1">
        <w:rPr>
          <w:lang w:val="en-US"/>
        </w:rPr>
        <w:t>from cheese production, off-spec milk, etc</w:t>
      </w:r>
      <w:r w:rsidR="00976EFF">
        <w:rPr>
          <w:lang w:val="en-US"/>
        </w:rPr>
        <w:t>.)</w:t>
      </w:r>
      <w:r w:rsidR="00976EFF">
        <w:t xml:space="preserve"> </w:t>
      </w:r>
      <w:r w:rsidR="00A11D77">
        <w:t>possibly added with more biological waste from neighbouring farms</w:t>
      </w:r>
      <w:r w:rsidR="00976EFF" w:rsidRPr="00976EFF">
        <w:rPr>
          <w:lang w:val="en-US"/>
        </w:rPr>
        <w:t xml:space="preserve"> </w:t>
      </w:r>
      <w:r w:rsidR="00976EFF">
        <w:rPr>
          <w:lang w:val="en-US"/>
        </w:rPr>
        <w:t xml:space="preserve">and </w:t>
      </w:r>
      <w:r w:rsidR="00976EFF" w:rsidRPr="00A207D1">
        <w:rPr>
          <w:lang w:val="en-US"/>
        </w:rPr>
        <w:t>within the production chain (</w:t>
      </w:r>
      <w:r w:rsidR="00976EFF">
        <w:rPr>
          <w:lang w:val="en-US"/>
        </w:rPr>
        <w:t>e.</w:t>
      </w:r>
      <w:r w:rsidR="00EB19FB">
        <w:rPr>
          <w:lang w:val="en-US"/>
        </w:rPr>
        <w:t xml:space="preserve"> </w:t>
      </w:r>
      <w:r w:rsidR="00976EFF">
        <w:rPr>
          <w:lang w:val="en-US"/>
        </w:rPr>
        <w:t>g.</w:t>
      </w:r>
      <w:r w:rsidR="00EB19FB">
        <w:rPr>
          <w:lang w:val="en-US"/>
        </w:rPr>
        <w:t xml:space="preserve"> </w:t>
      </w:r>
      <w:r w:rsidR="00976EFF" w:rsidRPr="00A207D1">
        <w:rPr>
          <w:lang w:val="en-US"/>
        </w:rPr>
        <w:t>cow manure</w:t>
      </w:r>
      <w:r w:rsidR="00976EFF">
        <w:rPr>
          <w:lang w:val="en-US"/>
        </w:rPr>
        <w:t>)</w:t>
      </w:r>
      <w:r w:rsidR="00976EFF" w:rsidRPr="00A207D1">
        <w:rPr>
          <w:lang w:val="en-US"/>
        </w:rPr>
        <w:t xml:space="preserve">, </w:t>
      </w:r>
      <w:r w:rsidR="00976EFF">
        <w:rPr>
          <w:lang w:val="en-US"/>
        </w:rPr>
        <w:t xml:space="preserve">and with </w:t>
      </w:r>
      <w:r w:rsidR="00976EFF" w:rsidRPr="00A207D1">
        <w:rPr>
          <w:lang w:val="en-US"/>
        </w:rPr>
        <w:t xml:space="preserve">sludge from </w:t>
      </w:r>
      <w:r w:rsidR="00976EFF">
        <w:rPr>
          <w:lang w:val="en-US"/>
        </w:rPr>
        <w:t>the</w:t>
      </w:r>
      <w:r w:rsidR="00976EFF" w:rsidRPr="00A207D1">
        <w:rPr>
          <w:lang w:val="en-US"/>
        </w:rPr>
        <w:t xml:space="preserve"> wastewater treatment</w:t>
      </w:r>
      <w:r w:rsidR="00A11D77">
        <w:t>, could be used for fermentation in anaerobic digester obtaining biogas and digestate</w:t>
      </w:r>
      <w:r w:rsidR="00DC2B0B">
        <w:t>; whey can also be added, after recovery of proteins and other substances.</w:t>
      </w:r>
      <w:r w:rsidR="00976EFF" w:rsidRPr="00A207D1">
        <w:rPr>
          <w:lang w:val="en-US"/>
        </w:rPr>
        <w:t xml:space="preserve"> </w:t>
      </w:r>
      <w:r w:rsidR="00A11D77">
        <w:t>The biogas from wastewater treatment plus the one from solid waste fermentation can then be used to produce thermal and electrical energy in an engine</w:t>
      </w:r>
      <w:r w:rsidR="00DC2B0B">
        <w:t xml:space="preserve"> (a CHP unit)</w:t>
      </w:r>
      <w:r w:rsidR="00A11D77">
        <w:t>; solid and liquid digestate fraction</w:t>
      </w:r>
      <w:r w:rsidR="003F65A7">
        <w:t>s</w:t>
      </w:r>
      <w:r w:rsidR="00A11D77">
        <w:t xml:space="preserve"> can be used as fertilizers. </w:t>
      </w:r>
      <w:r w:rsidR="0035581E">
        <w:t xml:space="preserve"> </w:t>
      </w:r>
      <w:r w:rsidR="00DA0B49" w:rsidRPr="00EC4374">
        <w:t xml:space="preserve">In the audited dairies, the mixed feed to anaerobic digesters </w:t>
      </w:r>
      <w:r w:rsidR="00647DB8" w:rsidRPr="00EC4374">
        <w:t xml:space="preserve">was formed </w:t>
      </w:r>
      <w:r w:rsidR="00AF1F90" w:rsidRPr="00EC4374">
        <w:t>by</w:t>
      </w:r>
      <w:r w:rsidR="00647DB8" w:rsidRPr="00EC4374">
        <w:t xml:space="preserve"> the</w:t>
      </w:r>
      <w:r w:rsidR="00DA0B49" w:rsidRPr="00EC4374">
        <w:t xml:space="preserve"> internal solid waste</w:t>
      </w:r>
      <w:r w:rsidR="00647DB8" w:rsidRPr="00EC4374">
        <w:t xml:space="preserve"> plus </w:t>
      </w:r>
      <w:r w:rsidR="00DB2834" w:rsidRPr="00EC4374">
        <w:t>other</w:t>
      </w:r>
      <w:r w:rsidR="00647DB8" w:rsidRPr="00EC4374">
        <w:t xml:space="preserve"> available biomass</w:t>
      </w:r>
      <w:r w:rsidR="00DA0B49" w:rsidRPr="00EC4374">
        <w:t xml:space="preserve">, </w:t>
      </w:r>
      <w:r w:rsidR="00DB2834" w:rsidRPr="00EC4374">
        <w:t>with</w:t>
      </w:r>
      <w:r w:rsidR="00647DB8" w:rsidRPr="00EC4374">
        <w:t xml:space="preserve"> </w:t>
      </w:r>
      <w:r w:rsidR="00DA0B49" w:rsidRPr="00EC4374">
        <w:t>different compositions</w:t>
      </w:r>
      <w:r w:rsidR="00DB2834" w:rsidRPr="00EC4374">
        <w:t xml:space="preserve"> for each case</w:t>
      </w:r>
      <w:r w:rsidR="005530A3" w:rsidRPr="00EC4374">
        <w:t>.</w:t>
      </w:r>
      <w:r w:rsidR="00647DB8" w:rsidRPr="00EC4374">
        <w:t xml:space="preserve"> </w:t>
      </w:r>
      <w:r w:rsidR="005530A3" w:rsidRPr="00EC4374">
        <w:t>W</w:t>
      </w:r>
      <w:r w:rsidR="00647DB8" w:rsidRPr="00EC4374">
        <w:t xml:space="preserve">hereas volatile solid content was defined for each feed stream, </w:t>
      </w:r>
      <w:r w:rsidR="00DA0B49" w:rsidRPr="00EC4374">
        <w:t>it was assumed</w:t>
      </w:r>
      <w:r w:rsidR="00647DB8" w:rsidRPr="00EC4374">
        <w:t xml:space="preserve"> </w:t>
      </w:r>
      <w:r w:rsidR="00895C57">
        <w:t>as working hypothesis</w:t>
      </w:r>
      <w:r w:rsidR="00DA0B49" w:rsidRPr="00EC4374">
        <w:t xml:space="preserve"> a b</w:t>
      </w:r>
      <w:r w:rsidR="007E2F38" w:rsidRPr="00EC4374">
        <w:t>iogas yield</w:t>
      </w:r>
      <w:r w:rsidR="00DA0B49" w:rsidRPr="00EC4374">
        <w:t xml:space="preserve"> </w:t>
      </w:r>
      <w:r w:rsidR="0035581E" w:rsidRPr="00EC4374">
        <w:t>equal to</w:t>
      </w:r>
      <w:r w:rsidR="00DA0B49" w:rsidRPr="00EC4374">
        <w:t xml:space="preserve"> 350 Nm</w:t>
      </w:r>
      <w:r w:rsidR="00DA0B49" w:rsidRPr="00EC4374">
        <w:rPr>
          <w:vertAlign w:val="superscript"/>
        </w:rPr>
        <w:t>3</w:t>
      </w:r>
      <w:r w:rsidR="00DA0B49" w:rsidRPr="00EC4374">
        <w:t xml:space="preserve">/t of </w:t>
      </w:r>
      <w:r w:rsidR="005530A3" w:rsidRPr="00EC4374">
        <w:t>total</w:t>
      </w:r>
      <w:r w:rsidR="00DB2834" w:rsidRPr="00EC4374">
        <w:t xml:space="preserve"> </w:t>
      </w:r>
      <w:r w:rsidR="00DA0B49" w:rsidRPr="00EC4374">
        <w:t xml:space="preserve">volatile solids and </w:t>
      </w:r>
      <w:r w:rsidR="00DB2834" w:rsidRPr="00EC4374">
        <w:t>45 days as minimum</w:t>
      </w:r>
      <w:r w:rsidR="00DA0B49" w:rsidRPr="00EC4374">
        <w:t xml:space="preserve"> HRT in the digester</w:t>
      </w:r>
      <w:r w:rsidR="00DB2834" w:rsidRPr="00EC4374">
        <w:t>s</w:t>
      </w:r>
      <w:r w:rsidR="00DA0B49" w:rsidRPr="00EC4374">
        <w:t>.</w:t>
      </w:r>
      <w:r w:rsidR="001365DA" w:rsidRPr="00EC4374">
        <w:t xml:space="preserve"> </w:t>
      </w:r>
      <w:r w:rsidR="00A11D77">
        <w:t>The block diagram show</w:t>
      </w:r>
      <w:r w:rsidR="00424D77">
        <w:t>n in Fig</w:t>
      </w:r>
      <w:r w:rsidR="00E023FA">
        <w:t>ure</w:t>
      </w:r>
      <w:r w:rsidR="00424D77">
        <w:t xml:space="preserve"> 4 provides a visualization of </w:t>
      </w:r>
      <w:r w:rsidR="00A11D77">
        <w:t xml:space="preserve">the integrated scheme. </w:t>
      </w:r>
      <w:r w:rsidR="00D9589E">
        <w:t xml:space="preserve">The application of this integrated scheme of biogas generation from solid waste and wastewater treatment </w:t>
      </w:r>
      <w:r w:rsidR="00424D77">
        <w:t>yields</w:t>
      </w:r>
      <w:r w:rsidR="00D9589E">
        <w:t xml:space="preserve"> a </w:t>
      </w:r>
      <w:r w:rsidR="00E023FA">
        <w:t>noteworthy</w:t>
      </w:r>
      <w:r w:rsidR="00D9589E">
        <w:t xml:space="preserve"> reduction in terms of GHGs emissions.</w:t>
      </w:r>
    </w:p>
    <w:p w14:paraId="6FF58E31" w14:textId="1CF6C28A" w:rsidR="000F43E6" w:rsidRDefault="000F43E6" w:rsidP="001630B3">
      <w:pPr>
        <w:pStyle w:val="CETBodytext"/>
        <w:jc w:val="left"/>
        <w:rPr>
          <w:lang w:val="en-GB"/>
        </w:rPr>
      </w:pPr>
      <w:r>
        <w:rPr>
          <w:noProof/>
          <w:lang w:val="it-IT" w:eastAsia="it-IT"/>
        </w:rPr>
        <w:drawing>
          <wp:inline distT="0" distB="0" distL="0" distR="0" wp14:anchorId="5502E4C0" wp14:editId="040C3AAF">
            <wp:extent cx="3647209" cy="1952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tretch>
                      <a:fillRect/>
                    </a:stretch>
                  </pic:blipFill>
                  <pic:spPr>
                    <a:xfrm>
                      <a:off x="0" y="0"/>
                      <a:ext cx="3671611" cy="1965689"/>
                    </a:xfrm>
                    <a:prstGeom prst="rect">
                      <a:avLst/>
                    </a:prstGeom>
                  </pic:spPr>
                </pic:pic>
              </a:graphicData>
            </a:graphic>
          </wp:inline>
        </w:drawing>
      </w:r>
    </w:p>
    <w:p w14:paraId="4191E43A" w14:textId="2A3B2061" w:rsidR="00CB41E1" w:rsidRPr="00EF1081" w:rsidRDefault="00CB41E1" w:rsidP="00E76747">
      <w:pPr>
        <w:pStyle w:val="CETCaption"/>
        <w:spacing w:before="0"/>
      </w:pPr>
      <w:r w:rsidRPr="00EF1081">
        <w:t xml:space="preserve">Figure </w:t>
      </w:r>
      <w:r w:rsidR="00E86D2C" w:rsidRPr="00EF1081">
        <w:t>4</w:t>
      </w:r>
      <w:r w:rsidR="00746E02">
        <w:t xml:space="preserve">: </w:t>
      </w:r>
      <w:r w:rsidRPr="00EF1081">
        <w:t>Solid waste anaerobic digestion integrated with wastewater treatment</w:t>
      </w:r>
      <w:r w:rsidR="00746E02">
        <w:t>.</w:t>
      </w:r>
    </w:p>
    <w:p w14:paraId="499A6193" w14:textId="7BD648F2" w:rsidR="00A05ECE" w:rsidRDefault="008A32AF" w:rsidP="00940A31">
      <w:pPr>
        <w:pStyle w:val="CETHeading1"/>
        <w:numPr>
          <w:ilvl w:val="0"/>
          <w:numId w:val="0"/>
        </w:numPr>
        <w:spacing w:before="0" w:after="0" w:line="264" w:lineRule="auto"/>
        <w:rPr>
          <w:lang w:val="en-GB"/>
        </w:rPr>
      </w:pPr>
      <w:r>
        <w:rPr>
          <w:lang w:val="en-GB"/>
        </w:rPr>
        <w:t>REM Type 3</w:t>
      </w:r>
      <w:r w:rsidR="00895EBA">
        <w:rPr>
          <w:lang w:val="en-GB"/>
        </w:rPr>
        <w:t>:</w:t>
      </w:r>
      <w:r>
        <w:rPr>
          <w:lang w:val="en-GB"/>
        </w:rPr>
        <w:t xml:space="preserve"> </w:t>
      </w:r>
      <w:r w:rsidR="002B4746" w:rsidRPr="003E6923">
        <w:rPr>
          <w:lang w:val="en-GB"/>
        </w:rPr>
        <w:t>Solid Digestate Treatment System with NPK Concentration</w:t>
      </w:r>
    </w:p>
    <w:p w14:paraId="4E80D0B8" w14:textId="0DA73649" w:rsidR="000F43E6" w:rsidRDefault="00240B97" w:rsidP="00C71673">
      <w:pPr>
        <w:pStyle w:val="ListParagraph"/>
        <w:ind w:left="0"/>
        <w:rPr>
          <w:lang w:eastAsia="it-IT"/>
        </w:rPr>
      </w:pPr>
      <w:r w:rsidRPr="00240B97">
        <w:rPr>
          <w:lang w:eastAsia="it-IT"/>
        </w:rPr>
        <w:t xml:space="preserve">The process consists of mixing appropriate chemicals to the dried </w:t>
      </w:r>
      <w:r w:rsidR="00C71673">
        <w:rPr>
          <w:lang w:eastAsia="it-IT"/>
        </w:rPr>
        <w:t xml:space="preserve">solid </w:t>
      </w:r>
      <w:r w:rsidRPr="00240B97">
        <w:rPr>
          <w:lang w:eastAsia="it-IT"/>
        </w:rPr>
        <w:t>digestate to increase the nutrients content.  The goal is to obtain a resulting fertiliser with optimum chemical and agronomic characteristics</w:t>
      </w:r>
      <w:r w:rsidR="00470549">
        <w:rPr>
          <w:lang w:eastAsia="it-IT"/>
        </w:rPr>
        <w:t>,</w:t>
      </w:r>
      <w:r w:rsidR="00F33ACF">
        <w:rPr>
          <w:lang w:eastAsia="it-IT"/>
        </w:rPr>
        <w:t xml:space="preserve"> i.e.</w:t>
      </w:r>
      <w:r w:rsidR="00356E87">
        <w:rPr>
          <w:lang w:eastAsia="it-IT"/>
        </w:rPr>
        <w:t>,</w:t>
      </w:r>
      <w:r w:rsidR="00F33ACF">
        <w:rPr>
          <w:lang w:eastAsia="it-IT"/>
        </w:rPr>
        <w:t xml:space="preserve"> </w:t>
      </w:r>
      <w:r w:rsidR="00895C57">
        <w:rPr>
          <w:lang w:eastAsia="it-IT"/>
        </w:rPr>
        <w:t xml:space="preserve">a </w:t>
      </w:r>
      <w:r w:rsidRPr="00240B97">
        <w:rPr>
          <w:lang w:eastAsia="it-IT"/>
        </w:rPr>
        <w:lastRenderedPageBreak/>
        <w:t>balanced NPK</w:t>
      </w:r>
      <w:r w:rsidR="00470549">
        <w:rPr>
          <w:lang w:eastAsia="it-IT"/>
        </w:rPr>
        <w:t xml:space="preserve"> </w:t>
      </w:r>
      <w:r w:rsidR="00F33ACF">
        <w:rPr>
          <w:lang w:eastAsia="it-IT"/>
        </w:rPr>
        <w:t>composition</w:t>
      </w:r>
      <w:r w:rsidR="00895C57">
        <w:rPr>
          <w:lang w:eastAsia="it-IT"/>
        </w:rPr>
        <w:t xml:space="preserve">, so </w:t>
      </w:r>
      <w:r w:rsidR="00C71673">
        <w:rPr>
          <w:lang w:eastAsia="it-IT"/>
        </w:rPr>
        <w:t>the</w:t>
      </w:r>
      <w:r w:rsidRPr="00240B97">
        <w:rPr>
          <w:lang w:eastAsia="it-IT"/>
        </w:rPr>
        <w:t xml:space="preserve"> dewatered solid digestate coming from the solid/liquid separation </w:t>
      </w:r>
      <w:r w:rsidR="00F33ACF">
        <w:rPr>
          <w:lang w:eastAsia="it-IT"/>
        </w:rPr>
        <w:t>may</w:t>
      </w:r>
      <w:r w:rsidRPr="00240B97">
        <w:rPr>
          <w:lang w:eastAsia="it-IT"/>
        </w:rPr>
        <w:t xml:space="preserve"> need </w:t>
      </w:r>
      <w:r w:rsidR="00F33ACF">
        <w:rPr>
          <w:lang w:eastAsia="it-IT"/>
        </w:rPr>
        <w:t>correction</w:t>
      </w:r>
      <w:r w:rsidRPr="00240B97">
        <w:rPr>
          <w:lang w:eastAsia="it-IT"/>
        </w:rPr>
        <w:t xml:space="preserve"> in terms of N, P and K </w:t>
      </w:r>
      <w:r w:rsidR="00F33ACF">
        <w:rPr>
          <w:lang w:eastAsia="it-IT"/>
        </w:rPr>
        <w:t xml:space="preserve">content, e.g., by addition of </w:t>
      </w:r>
      <w:r w:rsidRPr="00240B97">
        <w:rPr>
          <w:lang w:eastAsia="it-IT"/>
        </w:rPr>
        <w:t xml:space="preserve">urea, di-ammonium </w:t>
      </w:r>
      <w:r w:rsidR="001664EF" w:rsidRPr="00240B97">
        <w:rPr>
          <w:lang w:eastAsia="it-IT"/>
        </w:rPr>
        <w:t>phosphate</w:t>
      </w:r>
      <w:r w:rsidRPr="00240B97">
        <w:rPr>
          <w:lang w:eastAsia="it-IT"/>
        </w:rPr>
        <w:t xml:space="preserve"> and potassium chloride</w:t>
      </w:r>
      <w:r w:rsidRPr="00895EBA">
        <w:rPr>
          <w:lang w:eastAsia="it-IT"/>
        </w:rPr>
        <w:t xml:space="preserve">. </w:t>
      </w:r>
      <w:r w:rsidR="00356E87">
        <w:rPr>
          <w:lang w:eastAsia="it-IT"/>
        </w:rPr>
        <w:t>In this case, t</w:t>
      </w:r>
      <w:r w:rsidR="00F33ACF">
        <w:rPr>
          <w:lang w:eastAsia="it-IT"/>
        </w:rPr>
        <w:t>he e</w:t>
      </w:r>
      <w:r w:rsidR="00F33ACF" w:rsidRPr="00F33ACF">
        <w:rPr>
          <w:lang w:eastAsia="it-IT"/>
        </w:rPr>
        <w:t xml:space="preserve">nergy consumption for </w:t>
      </w:r>
      <w:r w:rsidR="00F33ACF">
        <w:rPr>
          <w:lang w:eastAsia="it-IT"/>
        </w:rPr>
        <w:t xml:space="preserve">the whole production cycle </w:t>
      </w:r>
      <w:r w:rsidR="00895C57">
        <w:rPr>
          <w:lang w:eastAsia="it-IT"/>
        </w:rPr>
        <w:t>should be considered as well</w:t>
      </w:r>
      <w:r w:rsidR="00F33ACF">
        <w:rPr>
          <w:lang w:eastAsia="it-IT"/>
        </w:rPr>
        <w:t>, being</w:t>
      </w:r>
      <w:r w:rsidR="00F33ACF" w:rsidRPr="00F33ACF">
        <w:rPr>
          <w:lang w:eastAsia="it-IT"/>
        </w:rPr>
        <w:t xml:space="preserve"> </w:t>
      </w:r>
      <w:r w:rsidR="00F33ACF">
        <w:rPr>
          <w:lang w:eastAsia="it-IT"/>
        </w:rPr>
        <w:t>t</w:t>
      </w:r>
      <w:r w:rsidR="00F33ACF" w:rsidRPr="00F33ACF">
        <w:rPr>
          <w:lang w:eastAsia="it-IT"/>
        </w:rPr>
        <w:t xml:space="preserve">he </w:t>
      </w:r>
      <w:r w:rsidR="00F33ACF">
        <w:rPr>
          <w:lang w:eastAsia="it-IT"/>
        </w:rPr>
        <w:t xml:space="preserve">N </w:t>
      </w:r>
      <w:r w:rsidR="00F33ACF" w:rsidRPr="00F33ACF">
        <w:rPr>
          <w:lang w:eastAsia="it-IT"/>
        </w:rPr>
        <w:t>components of fertilizers the most energy-intensive</w:t>
      </w:r>
      <w:r w:rsidR="00895C57">
        <w:rPr>
          <w:lang w:eastAsia="it-IT"/>
        </w:rPr>
        <w:t>,</w:t>
      </w:r>
      <w:r w:rsidR="00F33ACF" w:rsidRPr="00F33ACF">
        <w:rPr>
          <w:lang w:eastAsia="it-IT"/>
        </w:rPr>
        <w:t xml:space="preserve"> while the P and K components </w:t>
      </w:r>
      <w:r w:rsidR="00F33ACF">
        <w:rPr>
          <w:lang w:eastAsia="it-IT"/>
        </w:rPr>
        <w:t xml:space="preserve">demand </w:t>
      </w:r>
      <w:r w:rsidR="00F33ACF" w:rsidRPr="00F33ACF">
        <w:rPr>
          <w:lang w:eastAsia="it-IT"/>
        </w:rPr>
        <w:t>less than 5 MJ/kg</w:t>
      </w:r>
      <w:r w:rsidR="00F33ACF">
        <w:rPr>
          <w:lang w:eastAsia="it-IT"/>
        </w:rPr>
        <w:t xml:space="preserve">. </w:t>
      </w:r>
      <w:r w:rsidR="00B42834" w:rsidRPr="00895EBA">
        <w:rPr>
          <w:lang w:eastAsia="it-IT"/>
        </w:rPr>
        <w:t xml:space="preserve">The plant unit operations consist mainly of mixing, granulation and drying. </w:t>
      </w:r>
      <w:r w:rsidR="005E345D" w:rsidRPr="00895EBA">
        <w:rPr>
          <w:lang w:eastAsia="it-IT"/>
        </w:rPr>
        <w:t>Th</w:t>
      </w:r>
      <w:r w:rsidR="00895C57">
        <w:rPr>
          <w:lang w:eastAsia="it-IT"/>
        </w:rPr>
        <w:t>e</w:t>
      </w:r>
      <w:r w:rsidR="005E345D" w:rsidRPr="00895EBA">
        <w:rPr>
          <w:lang w:eastAsia="it-IT"/>
        </w:rPr>
        <w:t xml:space="preserve"> fertiliser </w:t>
      </w:r>
      <w:r w:rsidR="00B42834" w:rsidRPr="00895EBA">
        <w:rPr>
          <w:lang w:eastAsia="it-IT"/>
        </w:rPr>
        <w:t xml:space="preserve">from digestate </w:t>
      </w:r>
      <w:r w:rsidR="005E345D" w:rsidRPr="00895EBA">
        <w:rPr>
          <w:lang w:eastAsia="it-IT"/>
        </w:rPr>
        <w:t>allows the replacement of synthetic product</w:t>
      </w:r>
      <w:r w:rsidR="00895C57">
        <w:rPr>
          <w:lang w:eastAsia="it-IT"/>
        </w:rPr>
        <w:t>s characterized by</w:t>
      </w:r>
      <w:r w:rsidR="005E345D" w:rsidRPr="00895EBA">
        <w:rPr>
          <w:lang w:eastAsia="it-IT"/>
        </w:rPr>
        <w:t xml:space="preserve"> high GHGs </w:t>
      </w:r>
      <w:r w:rsidR="00895C57">
        <w:rPr>
          <w:lang w:eastAsia="it-IT"/>
        </w:rPr>
        <w:t xml:space="preserve">production </w:t>
      </w:r>
      <w:r w:rsidR="005E345D" w:rsidRPr="00895EBA">
        <w:rPr>
          <w:lang w:eastAsia="it-IT"/>
        </w:rPr>
        <w:t>emissions</w:t>
      </w:r>
      <w:r w:rsidR="00895C57">
        <w:rPr>
          <w:lang w:eastAsia="it-IT"/>
        </w:rPr>
        <w:t>.</w:t>
      </w:r>
      <w:r w:rsidR="005E345D" w:rsidRPr="00895EBA">
        <w:rPr>
          <w:lang w:eastAsia="it-IT"/>
        </w:rPr>
        <w:t xml:space="preserve"> </w:t>
      </w:r>
    </w:p>
    <w:p w14:paraId="5EFB9702" w14:textId="77777777" w:rsidR="002333B1" w:rsidRDefault="002333B1" w:rsidP="00C71673">
      <w:pPr>
        <w:pStyle w:val="ListParagraph"/>
        <w:ind w:left="0"/>
        <w:rPr>
          <w:lang w:eastAsia="it-IT"/>
        </w:rPr>
      </w:pPr>
    </w:p>
    <w:p w14:paraId="68D26B83" w14:textId="74DD11EF" w:rsidR="00600535" w:rsidRDefault="00600535" w:rsidP="002333B1">
      <w:pPr>
        <w:pStyle w:val="CETHeading1"/>
        <w:spacing w:before="0" w:after="0" w:line="264" w:lineRule="auto"/>
        <w:ind w:left="0"/>
        <w:rPr>
          <w:lang w:val="en-GB"/>
        </w:rPr>
      </w:pPr>
      <w:r w:rsidRPr="002333B1">
        <w:rPr>
          <w:lang w:val="en-GB"/>
        </w:rPr>
        <w:t>Conclusions</w:t>
      </w:r>
    </w:p>
    <w:p w14:paraId="6005FD0D" w14:textId="77777777" w:rsidR="002333B1" w:rsidRPr="002333B1" w:rsidRDefault="002333B1" w:rsidP="002333B1">
      <w:pPr>
        <w:pStyle w:val="CETBodytext"/>
        <w:rPr>
          <w:lang w:val="en-GB"/>
        </w:rPr>
      </w:pPr>
    </w:p>
    <w:p w14:paraId="0A8D070E" w14:textId="3F864987" w:rsidR="00AF3462" w:rsidRDefault="008A1E95" w:rsidP="00AF1F90">
      <w:pPr>
        <w:pStyle w:val="CETBodytext"/>
      </w:pPr>
      <w:r w:rsidRPr="00895EBA">
        <w:rPr>
          <w:lang w:val="en-GB" w:eastAsia="it-IT"/>
        </w:rPr>
        <w:t>From</w:t>
      </w:r>
      <w:r w:rsidRPr="00895EBA">
        <w:rPr>
          <w:lang w:val="en-GB"/>
        </w:rPr>
        <w:t xml:space="preserve"> the different dairies which </w:t>
      </w:r>
      <w:r w:rsidR="00895C57">
        <w:rPr>
          <w:lang w:val="en-GB"/>
        </w:rPr>
        <w:t>were thoroughly audited</w:t>
      </w:r>
      <w:r w:rsidR="003E633C" w:rsidRPr="00895EBA">
        <w:rPr>
          <w:lang w:val="en-GB"/>
        </w:rPr>
        <w:t xml:space="preserve"> </w:t>
      </w:r>
      <w:r w:rsidRPr="00895EBA">
        <w:rPr>
          <w:lang w:val="en-GB"/>
        </w:rPr>
        <w:t xml:space="preserve">and the </w:t>
      </w:r>
      <w:r w:rsidR="00C16750" w:rsidRPr="00895EBA">
        <w:rPr>
          <w:lang w:val="en-GB"/>
        </w:rPr>
        <w:t xml:space="preserve">relevant </w:t>
      </w:r>
      <w:r w:rsidRPr="00895EBA">
        <w:rPr>
          <w:lang w:val="en-GB"/>
        </w:rPr>
        <w:t xml:space="preserve">assessment of </w:t>
      </w:r>
      <w:r w:rsidR="00895C57">
        <w:rPr>
          <w:lang w:val="en-GB"/>
        </w:rPr>
        <w:t>the</w:t>
      </w:r>
      <w:r w:rsidR="00522A47">
        <w:rPr>
          <w:lang w:val="en-GB"/>
        </w:rPr>
        <w:t xml:space="preserve"> </w:t>
      </w:r>
      <w:r w:rsidRPr="00895EBA">
        <w:rPr>
          <w:lang w:val="en-GB"/>
        </w:rPr>
        <w:t>resource</w:t>
      </w:r>
      <w:r w:rsidR="00522A47">
        <w:rPr>
          <w:lang w:val="en-GB"/>
        </w:rPr>
        <w:t xml:space="preserve"> </w:t>
      </w:r>
      <w:r w:rsidRPr="00895EBA">
        <w:rPr>
          <w:lang w:val="en-GB"/>
        </w:rPr>
        <w:t xml:space="preserve">efficiency measures, </w:t>
      </w:r>
      <w:r w:rsidR="00785A92" w:rsidRPr="00895EBA">
        <w:rPr>
          <w:lang w:val="en-GB"/>
        </w:rPr>
        <w:t>five</w:t>
      </w:r>
      <w:r w:rsidR="003E633C" w:rsidRPr="00895EBA">
        <w:rPr>
          <w:lang w:val="en-GB"/>
        </w:rPr>
        <w:t xml:space="preserve"> of them, having the most complete range of production and state-of-the-art technology, were selected for benchmarking</w:t>
      </w:r>
      <w:r w:rsidR="00895C57">
        <w:rPr>
          <w:lang w:val="en-GB"/>
        </w:rPr>
        <w:t>.</w:t>
      </w:r>
      <w:r w:rsidR="003E633C" w:rsidRPr="00895EBA">
        <w:rPr>
          <w:lang w:val="en-GB"/>
        </w:rPr>
        <w:t xml:space="preserve"> </w:t>
      </w:r>
      <w:r w:rsidR="00895C57">
        <w:rPr>
          <w:lang w:val="en-GB"/>
        </w:rPr>
        <w:t>By the analysis,</w:t>
      </w:r>
      <w:r w:rsidR="003E633C" w:rsidRPr="00895EBA">
        <w:rPr>
          <w:lang w:val="en-GB"/>
        </w:rPr>
        <w:t xml:space="preserve"> the calculation of KPIs and the comparison with benchmarks</w:t>
      </w:r>
      <w:r w:rsidRPr="00895EBA">
        <w:rPr>
          <w:lang w:val="en-GB"/>
        </w:rPr>
        <w:t xml:space="preserve"> </w:t>
      </w:r>
      <w:r w:rsidR="003E633C" w:rsidRPr="00895EBA">
        <w:rPr>
          <w:lang w:val="en-GB"/>
        </w:rPr>
        <w:t xml:space="preserve">it is </w:t>
      </w:r>
      <w:r w:rsidRPr="00895EBA">
        <w:rPr>
          <w:lang w:val="en-GB"/>
        </w:rPr>
        <w:t>possible to draw the</w:t>
      </w:r>
      <w:r w:rsidR="00C16750" w:rsidRPr="00895EBA">
        <w:rPr>
          <w:lang w:val="en-GB"/>
        </w:rPr>
        <w:t xml:space="preserve"> following </w:t>
      </w:r>
      <w:r w:rsidRPr="00895EBA">
        <w:rPr>
          <w:lang w:val="en-GB"/>
        </w:rPr>
        <w:t>conclusions</w:t>
      </w:r>
      <w:r w:rsidR="005C65FF">
        <w:rPr>
          <w:lang w:val="en-GB"/>
        </w:rPr>
        <w:t xml:space="preserve">. </w:t>
      </w:r>
      <w:r w:rsidR="00A66424" w:rsidRPr="001C0C82">
        <w:t xml:space="preserve">The audited dairies were already performing within the range of sector main benchmarks, with </w:t>
      </w:r>
      <w:r w:rsidR="00765958">
        <w:t xml:space="preserve">the single </w:t>
      </w:r>
      <w:r w:rsidR="00A66424" w:rsidRPr="001C0C82">
        <w:t xml:space="preserve">exception </w:t>
      </w:r>
      <w:r w:rsidR="00142E9A">
        <w:t xml:space="preserve">of </w:t>
      </w:r>
      <w:r w:rsidR="00142E9A" w:rsidRPr="001C0C82">
        <w:t>water</w:t>
      </w:r>
      <w:r w:rsidR="004108BB" w:rsidRPr="001C0C82">
        <w:t xml:space="preserve"> consumption and consequent </w:t>
      </w:r>
      <w:r w:rsidR="00A66424" w:rsidRPr="001C0C82">
        <w:t>wastewater generation, which is a main issue for dairies</w:t>
      </w:r>
      <w:r w:rsidR="00765958">
        <w:t>. This finding</w:t>
      </w:r>
      <w:r w:rsidR="00A66424" w:rsidRPr="001C0C82">
        <w:t xml:space="preserve"> </w:t>
      </w:r>
      <w:r w:rsidR="00765958">
        <w:t>clearly demonstrates the</w:t>
      </w:r>
      <w:r w:rsidR="00A66424" w:rsidRPr="001C0C82">
        <w:t xml:space="preserve"> wide room for internal water recycling, applying segregation of the different wastewater streams for specific treatments</w:t>
      </w:r>
      <w:r w:rsidR="001A5224">
        <w:t>.</w:t>
      </w:r>
      <w:r w:rsidR="00AF1F90">
        <w:t xml:space="preserve"> </w:t>
      </w:r>
    </w:p>
    <w:p w14:paraId="371C9713" w14:textId="4BD5EA7B" w:rsidR="005C65FF" w:rsidRDefault="00AF1F90" w:rsidP="00AF1F90">
      <w:pPr>
        <w:pStyle w:val="CETBodytext"/>
      </w:pPr>
      <w:r>
        <w:t>As a notable example</w:t>
      </w:r>
      <w:r w:rsidR="00AF3462">
        <w:t>,</w:t>
      </w:r>
      <w:r>
        <w:t xml:space="preserve"> </w:t>
      </w:r>
      <w:r w:rsidR="008A32AF">
        <w:t>company A</w:t>
      </w:r>
      <w:r w:rsidR="00AF3462">
        <w:t xml:space="preserve"> with the existing layout and process units yields a</w:t>
      </w:r>
      <w:r w:rsidR="008C2726">
        <w:t xml:space="preserve"> total GHGs emission </w:t>
      </w:r>
      <w:r w:rsidR="00AF3462">
        <w:t xml:space="preserve">(calculated </w:t>
      </w:r>
      <w:r w:rsidR="008C2726">
        <w:t>only for scope 1</w:t>
      </w:r>
      <w:r w:rsidR="001D50F6">
        <w:t xml:space="preserve"> and 2</w:t>
      </w:r>
      <w:r w:rsidR="00AF3462">
        <w:t>) equal to</w:t>
      </w:r>
      <w:r w:rsidR="008C2726">
        <w:t xml:space="preserve"> 25,000 tons CO</w:t>
      </w:r>
      <w:r w:rsidR="008C2726" w:rsidRPr="003B46F1">
        <w:rPr>
          <w:vertAlign w:val="subscript"/>
        </w:rPr>
        <w:t>2</w:t>
      </w:r>
      <w:r w:rsidR="008C2726">
        <w:t xml:space="preserve">eq/year. </w:t>
      </w:r>
      <w:r w:rsidR="00765958">
        <w:t xml:space="preserve">By applying </w:t>
      </w:r>
      <w:r w:rsidR="00AF3462">
        <w:t xml:space="preserve">to the </w:t>
      </w:r>
      <w:r w:rsidR="00EC4374">
        <w:t>plant</w:t>
      </w:r>
      <w:r w:rsidR="00AF3462">
        <w:t xml:space="preserve"> </w:t>
      </w:r>
      <w:r w:rsidR="008A32AF">
        <w:t xml:space="preserve">the </w:t>
      </w:r>
      <w:r w:rsidR="00765958">
        <w:t xml:space="preserve">designed </w:t>
      </w:r>
      <w:r w:rsidR="008A32AF">
        <w:t>REMs</w:t>
      </w:r>
      <w:r w:rsidR="00765958">
        <w:t>,</w:t>
      </w:r>
      <w:r w:rsidR="008A32AF">
        <w:t xml:space="preserve"> </w:t>
      </w:r>
      <w:r w:rsidR="00884581">
        <w:t>the following results</w:t>
      </w:r>
      <w:r w:rsidR="00E4108D">
        <w:t xml:space="preserve"> in terms of GHGs emission savings </w:t>
      </w:r>
      <w:r w:rsidR="00765958">
        <w:t xml:space="preserve">can be </w:t>
      </w:r>
      <w:r w:rsidR="00A65356">
        <w:t>calculated</w:t>
      </w:r>
      <w:r w:rsidR="00765958">
        <w:t>:</w:t>
      </w:r>
      <w:r w:rsidR="005C65FF">
        <w:t xml:space="preserve"> </w:t>
      </w:r>
    </w:p>
    <w:p w14:paraId="5ED3E1CA" w14:textId="5C98D195" w:rsidR="005C65FF" w:rsidRPr="00702252" w:rsidRDefault="00D241B2" w:rsidP="000F7EF2">
      <w:pPr>
        <w:pStyle w:val="CETListbullets"/>
        <w:numPr>
          <w:ilvl w:val="0"/>
          <w:numId w:val="36"/>
        </w:numPr>
        <w:ind w:left="284" w:hanging="284"/>
      </w:pPr>
      <w:r w:rsidRPr="00702252">
        <w:t>S</w:t>
      </w:r>
      <w:r w:rsidR="008A32AF" w:rsidRPr="00702252">
        <w:t>olid waste anaerobic digestion integrated with wastewater treatment</w:t>
      </w:r>
      <w:r w:rsidR="00884581" w:rsidRPr="00702252">
        <w:t>:</w:t>
      </w:r>
      <w:r w:rsidRPr="00702252">
        <w:t xml:space="preserve"> 3,000 tons per year</w:t>
      </w:r>
      <w:r w:rsidR="000F7EF2">
        <w:t>.</w:t>
      </w:r>
    </w:p>
    <w:p w14:paraId="17AF7F28" w14:textId="3605C62F" w:rsidR="005C65FF" w:rsidRPr="00702252" w:rsidRDefault="00D241B2" w:rsidP="000F7EF2">
      <w:pPr>
        <w:pStyle w:val="CETListbullets"/>
        <w:numPr>
          <w:ilvl w:val="0"/>
          <w:numId w:val="36"/>
        </w:numPr>
        <w:ind w:left="284" w:hanging="284"/>
      </w:pPr>
      <w:r w:rsidRPr="00702252">
        <w:t>Brine and whey integrated recovery: 2,000 tons per year</w:t>
      </w:r>
      <w:r w:rsidR="001A5224" w:rsidRPr="00702252">
        <w:t>.</w:t>
      </w:r>
    </w:p>
    <w:p w14:paraId="09CF7C57" w14:textId="205BCD35" w:rsidR="001909B5" w:rsidRDefault="00D241B2" w:rsidP="000F7EF2">
      <w:pPr>
        <w:pStyle w:val="CETListbullets"/>
        <w:numPr>
          <w:ilvl w:val="0"/>
          <w:numId w:val="36"/>
        </w:numPr>
        <w:ind w:left="284" w:hanging="284"/>
      </w:pPr>
      <w:r w:rsidRPr="00702252">
        <w:t xml:space="preserve">Solid Digestate Treatment System with NPK </w:t>
      </w:r>
      <w:r w:rsidR="000F7EF2">
        <w:t>c</w:t>
      </w:r>
      <w:r w:rsidRPr="00702252">
        <w:t>oncentration:</w:t>
      </w:r>
      <w:r w:rsidR="00F33219" w:rsidRPr="00702252">
        <w:t xml:space="preserve"> </w:t>
      </w:r>
      <w:r w:rsidR="00702252">
        <w:t>a</w:t>
      </w:r>
      <w:r w:rsidR="00765958" w:rsidRPr="00702252">
        <w:t xml:space="preserve">s a final remark, from the analysis </w:t>
      </w:r>
      <w:r w:rsidR="00AF3462">
        <w:t>(</w:t>
      </w:r>
      <w:r w:rsidR="00EC4374" w:rsidRPr="00522A47">
        <w:t>neglectin</w:t>
      </w:r>
      <w:r w:rsidR="00F33ACF" w:rsidRPr="00522A47">
        <w:t xml:space="preserve">g </w:t>
      </w:r>
      <w:r w:rsidR="00765958" w:rsidRPr="00522A47">
        <w:t>for the</w:t>
      </w:r>
      <w:r w:rsidR="00765958" w:rsidRPr="00702252">
        <w:t xml:space="preserve"> sake of simplicity </w:t>
      </w:r>
      <w:r w:rsidR="00F33219" w:rsidRPr="00702252">
        <w:t>scope 3 emissions</w:t>
      </w:r>
      <w:r w:rsidR="00AF3462">
        <w:t>)</w:t>
      </w:r>
      <w:r w:rsidR="00F33219" w:rsidRPr="00702252">
        <w:t xml:space="preserve"> </w:t>
      </w:r>
      <w:r w:rsidR="001909B5" w:rsidRPr="00702252">
        <w:t>it</w:t>
      </w:r>
      <w:r w:rsidR="00F33219" w:rsidRPr="00702252">
        <w:t xml:space="preserve"> </w:t>
      </w:r>
      <w:r w:rsidR="00765958" w:rsidRPr="00702252">
        <w:t>follows</w:t>
      </w:r>
      <w:r w:rsidR="00F33219" w:rsidRPr="00702252">
        <w:t xml:space="preserve"> that synthetic fertilizer</w:t>
      </w:r>
      <w:r w:rsidR="00765958" w:rsidRPr="00702252">
        <w:t xml:space="preserve"> replacement implies a</w:t>
      </w:r>
      <w:r w:rsidR="001909B5" w:rsidRPr="00702252">
        <w:t xml:space="preserve"> GHGs emissions saving</w:t>
      </w:r>
      <w:r w:rsidR="00AF3462">
        <w:t>,</w:t>
      </w:r>
      <w:r w:rsidR="001909B5" w:rsidRPr="00702252">
        <w:t xml:space="preserve"> </w:t>
      </w:r>
      <w:r w:rsidR="00765958" w:rsidRPr="00702252">
        <w:t>calculated according to I</w:t>
      </w:r>
      <w:r w:rsidR="00544DA8" w:rsidRPr="00702252">
        <w:t>DEMAT</w:t>
      </w:r>
      <w:r w:rsidR="00765958" w:rsidRPr="00702252">
        <w:t xml:space="preserve"> (2014)</w:t>
      </w:r>
      <w:r w:rsidR="00AF3462">
        <w:t>,</w:t>
      </w:r>
      <w:r w:rsidR="00765958" w:rsidRPr="00702252">
        <w:t xml:space="preserve"> </w:t>
      </w:r>
      <w:r w:rsidR="00544DA8" w:rsidRPr="00702252">
        <w:t xml:space="preserve">corresponding to </w:t>
      </w:r>
      <w:r w:rsidR="001909B5" w:rsidRPr="00702252">
        <w:t>3 kgCO</w:t>
      </w:r>
      <w:r w:rsidR="001909B5" w:rsidRPr="00AF3462">
        <w:t>2</w:t>
      </w:r>
      <w:r w:rsidR="001909B5" w:rsidRPr="00702252">
        <w:t>eq/kg</w:t>
      </w:r>
      <w:r w:rsidR="003B46F1">
        <w:t xml:space="preserve"> fertiliser.</w:t>
      </w:r>
    </w:p>
    <w:p w14:paraId="07A6D20F" w14:textId="3E31B5D6" w:rsidR="00A66424" w:rsidRPr="00280FAF" w:rsidRDefault="00A66424" w:rsidP="00765958">
      <w:pPr>
        <w:pStyle w:val="CETHeadingxx"/>
        <w:spacing w:before="0" w:after="0" w:line="264" w:lineRule="auto"/>
        <w:rPr>
          <w:lang w:val="en-GB"/>
        </w:rPr>
        <w:sectPr w:rsidR="00A66424" w:rsidRPr="00280FAF" w:rsidSect="007D0951">
          <w:type w:val="continuous"/>
          <w:pgSz w:w="11906" w:h="16838" w:code="9"/>
          <w:pgMar w:top="1701" w:right="1418" w:bottom="1701" w:left="1701" w:header="1701" w:footer="0" w:gutter="0"/>
          <w:cols w:space="708"/>
          <w:formProt w:val="0"/>
          <w:titlePg/>
          <w:docGrid w:linePitch="360"/>
        </w:sectPr>
      </w:pPr>
    </w:p>
    <w:p w14:paraId="4F1327F8" w14:textId="77777777" w:rsidR="00600535" w:rsidRPr="00110FB6" w:rsidRDefault="00600535" w:rsidP="001365DA">
      <w:pPr>
        <w:pStyle w:val="CETHeading1"/>
        <w:numPr>
          <w:ilvl w:val="0"/>
          <w:numId w:val="0"/>
        </w:numPr>
        <w:spacing w:before="200" w:line="264" w:lineRule="auto"/>
        <w:rPr>
          <w:lang w:val="en-GB"/>
        </w:rPr>
      </w:pPr>
      <w:r w:rsidRPr="00110FB6">
        <w:rPr>
          <w:lang w:val="en-GB"/>
        </w:rPr>
        <w:t>References</w:t>
      </w:r>
    </w:p>
    <w:p w14:paraId="1187A622" w14:textId="77777777" w:rsidR="00470549" w:rsidRDefault="006E7923" w:rsidP="00470549">
      <w:pPr>
        <w:pStyle w:val="CETReferencetext"/>
      </w:pPr>
      <w:r w:rsidRPr="005E0FD4">
        <w:t xml:space="preserve">Abrahamsen E.B., Milazzo M.F., Selvik J.T., Asche F., Abrahamsen H.B., 2020, Prioritising investments in safety measures in the chemical industry by using the Analytic Hierarchy Process, Reliability Engineering and System Safety, 198, 106811. </w:t>
      </w:r>
    </w:p>
    <w:p w14:paraId="71E392F9" w14:textId="3518B847" w:rsidR="006E7923" w:rsidRPr="005E0FD4" w:rsidRDefault="00470549" w:rsidP="00470549">
      <w:pPr>
        <w:pStyle w:val="CETReferencetext"/>
      </w:pPr>
      <w:r w:rsidRPr="00895C57">
        <w:rPr>
          <w:lang w:val="en-US"/>
        </w:rPr>
        <w:t>Bassani, A., Vianello, C., Mocellin, P., Dell’Angelo, A., Spigno, G., Fabiano, B., Maschio, G., Manenti, F., 2023</w:t>
      </w:r>
      <w:r w:rsidR="00895C57" w:rsidRPr="00895C57">
        <w:rPr>
          <w:lang w:val="en-US"/>
        </w:rPr>
        <w:t>,</w:t>
      </w:r>
      <w:r w:rsidRPr="00895C57">
        <w:rPr>
          <w:lang w:val="en-US"/>
        </w:rPr>
        <w:t xml:space="preserve"> </w:t>
      </w:r>
      <w:r>
        <w:t>Aprioristic integration of process operations and risk analysis: definition of weighted F&amp;EI-based concept and application to AG2S technology. Ind. Eng. Chem. Res. 62(1), 500–510.</w:t>
      </w:r>
    </w:p>
    <w:p w14:paraId="502F5DDE" w14:textId="339AE8A4" w:rsidR="006E7923" w:rsidRPr="005E0FD4" w:rsidRDefault="00EA775E" w:rsidP="006E7923">
      <w:pPr>
        <w:pStyle w:val="CETReferencetext"/>
      </w:pPr>
      <w:r>
        <w:t xml:space="preserve">European Commission, 2008, </w:t>
      </w:r>
      <w:r w:rsidR="006E7923" w:rsidRPr="005E0FD4">
        <w:t xml:space="preserve">Directive 2008/98/EC of </w:t>
      </w:r>
      <w:r w:rsidR="006E7923">
        <w:t>the European Parliament and of the Council on w</w:t>
      </w:r>
      <w:r w:rsidR="006E7923" w:rsidRPr="005E0FD4">
        <w:t xml:space="preserve">aste and </w:t>
      </w:r>
      <w:r w:rsidR="006E7923">
        <w:t>r</w:t>
      </w:r>
      <w:r w:rsidR="006E7923" w:rsidRPr="005E0FD4">
        <w:t xml:space="preserve">epealing </w:t>
      </w:r>
      <w:r w:rsidR="006E7923">
        <w:t>c</w:t>
      </w:r>
      <w:r w:rsidR="006E7923" w:rsidRPr="005E0FD4">
        <w:t xml:space="preserve">ertain </w:t>
      </w:r>
      <w:r w:rsidR="006E7923">
        <w:t>d</w:t>
      </w:r>
      <w:r w:rsidR="006E7923" w:rsidRPr="005E0FD4">
        <w:t xml:space="preserve">irectives. Official Journal of the European Union, </w:t>
      </w:r>
      <w:r w:rsidRPr="00AF1F90">
        <w:t xml:space="preserve">Off J Eur Union </w:t>
      </w:r>
      <w:r w:rsidR="006E7923" w:rsidRPr="005E0FD4">
        <w:t>L312, 3–30</w:t>
      </w:r>
      <w:r w:rsidR="006E7923">
        <w:t>.</w:t>
      </w:r>
    </w:p>
    <w:p w14:paraId="454F9114" w14:textId="0A930569" w:rsidR="00AF1F90" w:rsidRDefault="00EA775E" w:rsidP="006E7923">
      <w:pPr>
        <w:pStyle w:val="CETReferencetext"/>
      </w:pPr>
      <w:bookmarkStart w:id="1" w:name="_Hlk130897266"/>
      <w:r w:rsidRPr="0019671C">
        <w:t>European Commission</w:t>
      </w:r>
      <w:r>
        <w:t>, 2010</w:t>
      </w:r>
      <w:bookmarkEnd w:id="1"/>
      <w:r>
        <w:t>,</w:t>
      </w:r>
      <w:r w:rsidR="00EE1497">
        <w:t xml:space="preserve"> </w:t>
      </w:r>
      <w:r w:rsidR="006E7923" w:rsidRPr="0019671C">
        <w:t xml:space="preserve">Directive 2010/75/EU of the European Parliament and of the Council on industrial emissions (integrated pollution prevention and control). </w:t>
      </w:r>
      <w:r w:rsidRPr="00AF1F90">
        <w:t xml:space="preserve">Off J Eur Union </w:t>
      </w:r>
      <w:r w:rsidR="006E7923">
        <w:t>L334</w:t>
      </w:r>
      <w:r w:rsidR="00E76747">
        <w:t>,</w:t>
      </w:r>
      <w:r w:rsidR="006E7923">
        <w:t xml:space="preserve"> 17–119</w:t>
      </w:r>
      <w:r w:rsidR="006E7923" w:rsidRPr="0019671C">
        <w:t>.</w:t>
      </w:r>
      <w:r w:rsidR="00AF1F90" w:rsidRPr="00AF1F90">
        <w:t xml:space="preserve"> </w:t>
      </w:r>
    </w:p>
    <w:p w14:paraId="133C087B" w14:textId="2C091519" w:rsidR="002A6157" w:rsidRDefault="0035095E" w:rsidP="00B2209D">
      <w:pPr>
        <w:pStyle w:val="Default"/>
        <w:ind w:left="284" w:hanging="284"/>
        <w:rPr>
          <w:rFonts w:eastAsia="Times New Roman" w:cs="Times New Roman"/>
          <w:color w:val="auto"/>
          <w:sz w:val="18"/>
          <w:szCs w:val="18"/>
          <w:lang w:val="en-US"/>
        </w:rPr>
      </w:pPr>
      <w:r>
        <w:rPr>
          <w:rFonts w:eastAsia="Times New Roman" w:cs="Times New Roman"/>
          <w:color w:val="auto"/>
          <w:sz w:val="18"/>
          <w:szCs w:val="18"/>
          <w:lang w:val="en-US"/>
        </w:rPr>
        <w:t>F</w:t>
      </w:r>
      <w:r w:rsidRPr="0035095E">
        <w:rPr>
          <w:rFonts w:eastAsia="Times New Roman" w:cs="Times New Roman"/>
          <w:color w:val="auto"/>
          <w:sz w:val="18"/>
          <w:szCs w:val="18"/>
          <w:lang w:val="en-US"/>
        </w:rPr>
        <w:t>abiano, B., Pettinato, M., Currò, F., Reverberi, A.P., 2022, A field study on human factor and safety performances in a downstream oil industry, Safety Science, 2022, 153, 105795.</w:t>
      </w:r>
    </w:p>
    <w:p w14:paraId="21C62840" w14:textId="346501D8" w:rsidR="006E7923" w:rsidRPr="005E0FD4" w:rsidRDefault="006E7923" w:rsidP="006E7923">
      <w:pPr>
        <w:pStyle w:val="CETReferencetext"/>
      </w:pPr>
      <w:r w:rsidRPr="005E0FD4">
        <w:t xml:space="preserve">Hasanbeigi A., Price L., 2010, Industrial Energy Audit Guidebook: </w:t>
      </w:r>
      <w:r w:rsidR="00F061C7">
        <w:t>g</w:t>
      </w:r>
      <w:r w:rsidRPr="005E0FD4">
        <w:t xml:space="preserve">uidelines for </w:t>
      </w:r>
      <w:r w:rsidR="00F061C7">
        <w:t>c</w:t>
      </w:r>
      <w:r w:rsidRPr="005E0FD4">
        <w:t xml:space="preserve">onduction an </w:t>
      </w:r>
      <w:r w:rsidR="00F061C7">
        <w:t>e</w:t>
      </w:r>
      <w:r w:rsidRPr="005E0FD4">
        <w:t xml:space="preserve">nergy </w:t>
      </w:r>
      <w:r w:rsidR="00F061C7">
        <w:t>a</w:t>
      </w:r>
      <w:r w:rsidRPr="005E0FD4">
        <w:t xml:space="preserve">udit in </w:t>
      </w:r>
      <w:r w:rsidR="00F061C7">
        <w:t>i</w:t>
      </w:r>
      <w:r w:rsidRPr="005E0FD4">
        <w:t xml:space="preserve">ndustrial </w:t>
      </w:r>
      <w:r w:rsidR="00F061C7">
        <w:t>f</w:t>
      </w:r>
      <w:r w:rsidRPr="005E0FD4">
        <w:t>acilities, Energy Technologies Area, Berkeley Lab., California Univ. Publ., Berkeley, USA.</w:t>
      </w:r>
    </w:p>
    <w:p w14:paraId="0F7C2191" w14:textId="77777777" w:rsidR="00544DA8" w:rsidRPr="005C65FF" w:rsidRDefault="00544DA8" w:rsidP="00544DA8">
      <w:pPr>
        <w:pStyle w:val="CETReferencetext"/>
        <w:rPr>
          <w:lang w:val="en-US"/>
        </w:rPr>
      </w:pPr>
      <w:r>
        <w:rPr>
          <w:lang w:val="en-US"/>
        </w:rPr>
        <w:t xml:space="preserve">IDEMAT, 2014, </w:t>
      </w:r>
      <w:r w:rsidRPr="00544DA8">
        <w:rPr>
          <w:lang w:val="en-US"/>
        </w:rPr>
        <w:t>Industrial Design &amp; Engineering MATerials database</w:t>
      </w:r>
      <w:r>
        <w:rPr>
          <w:lang w:val="en-US"/>
        </w:rPr>
        <w:t xml:space="preserve">, </w:t>
      </w:r>
      <w:r w:rsidRPr="005C65FF">
        <w:rPr>
          <w:lang w:val="en-US"/>
        </w:rPr>
        <w:t>Sustainability Impact Metrics Foundation, Delft University of Technology (NL)</w:t>
      </w:r>
      <w:r>
        <w:rPr>
          <w:lang w:val="en-US"/>
        </w:rPr>
        <w:t>.</w:t>
      </w:r>
    </w:p>
    <w:p w14:paraId="4A02E2AF" w14:textId="0193CB35" w:rsidR="006E7923" w:rsidRPr="005E0FD4" w:rsidRDefault="006E7923" w:rsidP="006E7923">
      <w:pPr>
        <w:pStyle w:val="CETReferencetext"/>
      </w:pPr>
      <w:r w:rsidRPr="005E0FD4">
        <w:t>ISO, 2006, ISO standards 14040 Environmental management - Life cycle assessment – Principles and framework. International Organization for Standardi</w:t>
      </w:r>
      <w:r>
        <w:t>zation Ed., Vernier, CH</w:t>
      </w:r>
      <w:r w:rsidRPr="005E0FD4">
        <w:t>.</w:t>
      </w:r>
    </w:p>
    <w:p w14:paraId="309129A5" w14:textId="3536932A" w:rsidR="00D72353" w:rsidRPr="00D72353" w:rsidRDefault="00D72353" w:rsidP="00D72353">
      <w:pPr>
        <w:ind w:left="284" w:hanging="284"/>
        <w:rPr>
          <w:lang w:val="en-US"/>
        </w:rPr>
      </w:pPr>
      <w:r w:rsidRPr="00D72353">
        <w:rPr>
          <w:lang w:val="en-US"/>
        </w:rPr>
        <w:t xml:space="preserve">Maffini A., Bonvicini G., Venturin A., Morando M., Saba A., Fabiano B., 2022, A </w:t>
      </w:r>
      <w:r w:rsidR="00F061C7">
        <w:rPr>
          <w:lang w:val="en-US"/>
        </w:rPr>
        <w:t>f</w:t>
      </w:r>
      <w:r w:rsidRPr="00D72353">
        <w:rPr>
          <w:lang w:val="en-US"/>
        </w:rPr>
        <w:t xml:space="preserve">ramework </w:t>
      </w:r>
      <w:r w:rsidR="00F061C7">
        <w:rPr>
          <w:lang w:val="en-US"/>
        </w:rPr>
        <w:t>t</w:t>
      </w:r>
      <w:r w:rsidRPr="00D72353">
        <w:rPr>
          <w:lang w:val="en-US"/>
        </w:rPr>
        <w:t xml:space="preserve">owards </w:t>
      </w:r>
      <w:r w:rsidR="00F061C7">
        <w:rPr>
          <w:lang w:val="en-US"/>
        </w:rPr>
        <w:t>r</w:t>
      </w:r>
      <w:r w:rsidRPr="00D72353">
        <w:rPr>
          <w:lang w:val="en-US"/>
        </w:rPr>
        <w:t xml:space="preserve">esource </w:t>
      </w:r>
      <w:r w:rsidR="00F061C7">
        <w:rPr>
          <w:lang w:val="en-US"/>
        </w:rPr>
        <w:t>i</w:t>
      </w:r>
      <w:r w:rsidRPr="00D72353">
        <w:rPr>
          <w:lang w:val="en-US"/>
        </w:rPr>
        <w:t xml:space="preserve">ntegration and </w:t>
      </w:r>
      <w:r w:rsidR="00F061C7">
        <w:rPr>
          <w:lang w:val="en-US"/>
        </w:rPr>
        <w:t>e</w:t>
      </w:r>
      <w:r w:rsidRPr="00D72353">
        <w:rPr>
          <w:lang w:val="en-US"/>
        </w:rPr>
        <w:t xml:space="preserve">nergy </w:t>
      </w:r>
      <w:r w:rsidR="00F061C7">
        <w:rPr>
          <w:lang w:val="en-US"/>
        </w:rPr>
        <w:t>e</w:t>
      </w:r>
      <w:r w:rsidRPr="00D72353">
        <w:rPr>
          <w:lang w:val="en-US"/>
        </w:rPr>
        <w:t xml:space="preserve">fficiency </w:t>
      </w:r>
      <w:r w:rsidR="00F061C7">
        <w:rPr>
          <w:lang w:val="en-US"/>
        </w:rPr>
        <w:t>a</w:t>
      </w:r>
      <w:r w:rsidRPr="00D72353">
        <w:rPr>
          <w:lang w:val="en-US"/>
        </w:rPr>
        <w:t xml:space="preserve">uditing with </w:t>
      </w:r>
      <w:r w:rsidR="00F061C7">
        <w:rPr>
          <w:lang w:val="en-US"/>
        </w:rPr>
        <w:t>z</w:t>
      </w:r>
      <w:r w:rsidRPr="00D72353">
        <w:rPr>
          <w:lang w:val="en-US"/>
        </w:rPr>
        <w:t xml:space="preserve">ero </w:t>
      </w:r>
      <w:r w:rsidR="00F061C7">
        <w:rPr>
          <w:lang w:val="en-US"/>
        </w:rPr>
        <w:t>h</w:t>
      </w:r>
      <w:r w:rsidRPr="00D72353">
        <w:rPr>
          <w:lang w:val="en-US"/>
        </w:rPr>
        <w:t xml:space="preserve">azardous </w:t>
      </w:r>
      <w:r w:rsidR="00F061C7">
        <w:rPr>
          <w:lang w:val="en-US"/>
        </w:rPr>
        <w:t>d</w:t>
      </w:r>
      <w:r w:rsidRPr="00D72353">
        <w:rPr>
          <w:lang w:val="en-US"/>
        </w:rPr>
        <w:t xml:space="preserve">ischarge </w:t>
      </w:r>
      <w:r w:rsidR="00006019">
        <w:rPr>
          <w:lang w:val="en-US"/>
        </w:rPr>
        <w:t>p</w:t>
      </w:r>
      <w:r w:rsidR="00006019" w:rsidRPr="00D72353">
        <w:rPr>
          <w:lang w:val="en-US"/>
        </w:rPr>
        <w:t>rogram</w:t>
      </w:r>
      <w:r w:rsidRPr="00D72353">
        <w:rPr>
          <w:lang w:val="en-US"/>
        </w:rPr>
        <w:t xml:space="preserve">, Chemical Engineering Transactions, 91, 265-270 DOI:10.3303/CET2291045 </w:t>
      </w:r>
    </w:p>
    <w:p w14:paraId="01AEF370" w14:textId="6D9B474F" w:rsidR="0027656E" w:rsidRPr="0027656E" w:rsidRDefault="0027656E" w:rsidP="0027656E">
      <w:pPr>
        <w:tabs>
          <w:tab w:val="clear" w:pos="7100"/>
        </w:tabs>
        <w:autoSpaceDE w:val="0"/>
        <w:autoSpaceDN w:val="0"/>
        <w:adjustRightInd w:val="0"/>
        <w:spacing w:line="240" w:lineRule="auto"/>
        <w:jc w:val="left"/>
      </w:pPr>
      <w:r>
        <w:t xml:space="preserve">Nissen O., 2006, </w:t>
      </w:r>
      <w:r w:rsidRPr="0027656E">
        <w:t>Whey processing with</w:t>
      </w:r>
      <w:r>
        <w:t xml:space="preserve"> M</w:t>
      </w:r>
      <w:r w:rsidRPr="0027656E">
        <w:t xml:space="preserve">embrane </w:t>
      </w:r>
      <w:r>
        <w:t>T</w:t>
      </w:r>
      <w:r w:rsidRPr="0027656E">
        <w:t>echnology</w:t>
      </w:r>
      <w:r>
        <w:t>, EDM, European Dairy Magazine.</w:t>
      </w:r>
    </w:p>
    <w:p w14:paraId="22FB6DA0" w14:textId="328B5ABC" w:rsidR="006E7923" w:rsidRDefault="006E7923" w:rsidP="006E7923">
      <w:pPr>
        <w:pStyle w:val="CETReferencetext"/>
      </w:pPr>
      <w:r w:rsidRPr="005E0FD4">
        <w:t xml:space="preserve">Pasman, H.J., Fabiano, B. 2021. The Delft 1974 and 2019 European Loss Prevention Symposia: </w:t>
      </w:r>
      <w:r w:rsidR="00110FB6">
        <w:t>h</w:t>
      </w:r>
      <w:r w:rsidRPr="005E0FD4">
        <w:t>ighlights and an impression of process safety evolutionary changes from the 1st to the 16th LPS. Process Safety and Environmental Protection 147, 80-91</w:t>
      </w:r>
      <w:r>
        <w:t>.</w:t>
      </w:r>
    </w:p>
    <w:p w14:paraId="7E78A20B" w14:textId="57F92E5B" w:rsidR="005C65FF" w:rsidRDefault="008530E8" w:rsidP="005C65FF">
      <w:pPr>
        <w:pStyle w:val="CETReferencetext"/>
        <w:rPr>
          <w:lang w:val="en-US"/>
        </w:rPr>
      </w:pPr>
      <w:r w:rsidRPr="008530E8">
        <w:rPr>
          <w:lang w:val="en-US"/>
        </w:rPr>
        <w:t>Pizzichini</w:t>
      </w:r>
      <w:r w:rsidR="00895C57">
        <w:rPr>
          <w:lang w:val="en-US"/>
        </w:rPr>
        <w:t>,</w:t>
      </w:r>
      <w:r w:rsidRPr="008530E8">
        <w:rPr>
          <w:lang w:val="en-US"/>
        </w:rPr>
        <w:t xml:space="preserve"> M., Montani</w:t>
      </w:r>
      <w:r w:rsidR="00895C57">
        <w:rPr>
          <w:lang w:val="en-US"/>
        </w:rPr>
        <w:t>,</w:t>
      </w:r>
      <w:r w:rsidRPr="008530E8">
        <w:rPr>
          <w:lang w:val="en-US"/>
        </w:rPr>
        <w:t xml:space="preserve"> R., Ruscio</w:t>
      </w:r>
      <w:r w:rsidR="00895C57">
        <w:rPr>
          <w:lang w:val="en-US"/>
        </w:rPr>
        <w:t>,</w:t>
      </w:r>
      <w:r w:rsidRPr="008530E8">
        <w:rPr>
          <w:lang w:val="en-US"/>
        </w:rPr>
        <w:t xml:space="preserve"> F., 2001, Whey: from husbandry waste to raw material for food and medicines, L’</w:t>
      </w:r>
      <w:r>
        <w:rPr>
          <w:lang w:val="en-US"/>
        </w:rPr>
        <w:t>Informatore Agrario, 16.</w:t>
      </w:r>
    </w:p>
    <w:p w14:paraId="6FAA4342" w14:textId="2ABBD9B1" w:rsidR="00C52C3C" w:rsidRPr="005C65FF" w:rsidRDefault="005C65FF" w:rsidP="00470549">
      <w:pPr>
        <w:pStyle w:val="CETReferencetext"/>
        <w:rPr>
          <w:lang w:val="en-US"/>
        </w:rPr>
      </w:pPr>
      <w:r>
        <w:rPr>
          <w:rFonts w:cs="Arial"/>
          <w:color w:val="000000"/>
        </w:rPr>
        <w:t>Santonja, G., Karlis, P., Stubdrup, K., Brinkmann, T. and Roudier, S., 201</w:t>
      </w:r>
      <w:r w:rsidR="003649FA">
        <w:rPr>
          <w:rFonts w:cs="Arial"/>
          <w:color w:val="000000"/>
        </w:rPr>
        <w:t>9</w:t>
      </w:r>
      <w:r>
        <w:rPr>
          <w:rFonts w:cs="Arial"/>
          <w:color w:val="000000"/>
        </w:rPr>
        <w:t xml:space="preserve">, </w:t>
      </w:r>
      <w:r w:rsidR="003649FA" w:rsidRPr="003649FA">
        <w:rPr>
          <w:rFonts w:cs="Arial"/>
          <w:color w:val="000000"/>
        </w:rPr>
        <w:t>Best Available Techniques (BAT) Reference Document for the Food, Drink and Milk Industries. Industrial Emissions Directive 2010/75/EU (Integrated Pollution Prevention and Control), EUR 29978 EN, Publications Office of the European Union, Luxembourg</w:t>
      </w:r>
      <w:r w:rsidR="003649FA">
        <w:rPr>
          <w:rFonts w:cs="Arial"/>
          <w:color w:val="000000"/>
        </w:rPr>
        <w:t>.</w:t>
      </w:r>
    </w:p>
    <w:sectPr w:rsidR="00C52C3C" w:rsidRPr="005C65F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0A59" w14:textId="77777777" w:rsidR="000534BF" w:rsidRDefault="000534BF" w:rsidP="004F5E36">
      <w:r>
        <w:separator/>
      </w:r>
    </w:p>
  </w:endnote>
  <w:endnote w:type="continuationSeparator" w:id="0">
    <w:p w14:paraId="0F44B7FC" w14:textId="77777777" w:rsidR="000534BF" w:rsidRDefault="000534B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21DF" w14:textId="77777777" w:rsidR="000534BF" w:rsidRDefault="000534BF" w:rsidP="004F5E36">
      <w:r>
        <w:separator/>
      </w:r>
    </w:p>
  </w:footnote>
  <w:footnote w:type="continuationSeparator" w:id="0">
    <w:p w14:paraId="2327CC29" w14:textId="77777777" w:rsidR="000534BF" w:rsidRDefault="000534B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BA4083"/>
    <w:multiLevelType w:val="hybridMultilevel"/>
    <w:tmpl w:val="3A647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283DFA"/>
    <w:multiLevelType w:val="hybridMultilevel"/>
    <w:tmpl w:val="A5449358"/>
    <w:lvl w:ilvl="0" w:tplc="1009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30DA5917"/>
    <w:multiLevelType w:val="hybridMultilevel"/>
    <w:tmpl w:val="F6CCB22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20797F"/>
    <w:multiLevelType w:val="multilevel"/>
    <w:tmpl w:val="FB0C9E7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4"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3ED41EBB"/>
    <w:multiLevelType w:val="hybridMultilevel"/>
    <w:tmpl w:val="5BC64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716F28"/>
    <w:multiLevelType w:val="hybridMultilevel"/>
    <w:tmpl w:val="27D20D5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6D819D2"/>
    <w:multiLevelType w:val="hybridMultilevel"/>
    <w:tmpl w:val="9EDE2A92"/>
    <w:lvl w:ilvl="0" w:tplc="35963E00">
      <w:start w:val="1"/>
      <w:numFmt w:val="lowerLetter"/>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DF1C3C"/>
    <w:multiLevelType w:val="hybridMultilevel"/>
    <w:tmpl w:val="D2826052"/>
    <w:lvl w:ilvl="0" w:tplc="9E627CD8">
      <w:start w:val="1"/>
      <w:numFmt w:val="bullet"/>
      <w:lvlText w:val=""/>
      <w:lvlJc w:val="left"/>
      <w:pPr>
        <w:tabs>
          <w:tab w:val="num" w:pos="720"/>
        </w:tabs>
        <w:ind w:left="720" w:hanging="360"/>
      </w:pPr>
      <w:rPr>
        <w:rFonts w:ascii="Wingdings" w:hAnsi="Wingdings" w:hint="default"/>
      </w:rPr>
    </w:lvl>
    <w:lvl w:ilvl="1" w:tplc="DBB40350" w:tentative="1">
      <w:start w:val="1"/>
      <w:numFmt w:val="bullet"/>
      <w:lvlText w:val=""/>
      <w:lvlJc w:val="left"/>
      <w:pPr>
        <w:tabs>
          <w:tab w:val="num" w:pos="1440"/>
        </w:tabs>
        <w:ind w:left="1440" w:hanging="360"/>
      </w:pPr>
      <w:rPr>
        <w:rFonts w:ascii="Wingdings" w:hAnsi="Wingdings" w:hint="default"/>
      </w:rPr>
    </w:lvl>
    <w:lvl w:ilvl="2" w:tplc="5DD06470" w:tentative="1">
      <w:start w:val="1"/>
      <w:numFmt w:val="bullet"/>
      <w:lvlText w:val=""/>
      <w:lvlJc w:val="left"/>
      <w:pPr>
        <w:tabs>
          <w:tab w:val="num" w:pos="2160"/>
        </w:tabs>
        <w:ind w:left="2160" w:hanging="360"/>
      </w:pPr>
      <w:rPr>
        <w:rFonts w:ascii="Wingdings" w:hAnsi="Wingdings" w:hint="default"/>
      </w:rPr>
    </w:lvl>
    <w:lvl w:ilvl="3" w:tplc="742895C0" w:tentative="1">
      <w:start w:val="1"/>
      <w:numFmt w:val="bullet"/>
      <w:lvlText w:val=""/>
      <w:lvlJc w:val="left"/>
      <w:pPr>
        <w:tabs>
          <w:tab w:val="num" w:pos="2880"/>
        </w:tabs>
        <w:ind w:left="2880" w:hanging="360"/>
      </w:pPr>
      <w:rPr>
        <w:rFonts w:ascii="Wingdings" w:hAnsi="Wingdings" w:hint="default"/>
      </w:rPr>
    </w:lvl>
    <w:lvl w:ilvl="4" w:tplc="95A2E0D4" w:tentative="1">
      <w:start w:val="1"/>
      <w:numFmt w:val="bullet"/>
      <w:lvlText w:val=""/>
      <w:lvlJc w:val="left"/>
      <w:pPr>
        <w:tabs>
          <w:tab w:val="num" w:pos="3600"/>
        </w:tabs>
        <w:ind w:left="3600" w:hanging="360"/>
      </w:pPr>
      <w:rPr>
        <w:rFonts w:ascii="Wingdings" w:hAnsi="Wingdings" w:hint="default"/>
      </w:rPr>
    </w:lvl>
    <w:lvl w:ilvl="5" w:tplc="AF2E0A04" w:tentative="1">
      <w:start w:val="1"/>
      <w:numFmt w:val="bullet"/>
      <w:lvlText w:val=""/>
      <w:lvlJc w:val="left"/>
      <w:pPr>
        <w:tabs>
          <w:tab w:val="num" w:pos="4320"/>
        </w:tabs>
        <w:ind w:left="4320" w:hanging="360"/>
      </w:pPr>
      <w:rPr>
        <w:rFonts w:ascii="Wingdings" w:hAnsi="Wingdings" w:hint="default"/>
      </w:rPr>
    </w:lvl>
    <w:lvl w:ilvl="6" w:tplc="946ECCDE" w:tentative="1">
      <w:start w:val="1"/>
      <w:numFmt w:val="bullet"/>
      <w:lvlText w:val=""/>
      <w:lvlJc w:val="left"/>
      <w:pPr>
        <w:tabs>
          <w:tab w:val="num" w:pos="5040"/>
        </w:tabs>
        <w:ind w:left="5040" w:hanging="360"/>
      </w:pPr>
      <w:rPr>
        <w:rFonts w:ascii="Wingdings" w:hAnsi="Wingdings" w:hint="default"/>
      </w:rPr>
    </w:lvl>
    <w:lvl w:ilvl="7" w:tplc="DF020880" w:tentative="1">
      <w:start w:val="1"/>
      <w:numFmt w:val="bullet"/>
      <w:lvlText w:val=""/>
      <w:lvlJc w:val="left"/>
      <w:pPr>
        <w:tabs>
          <w:tab w:val="num" w:pos="5760"/>
        </w:tabs>
        <w:ind w:left="5760" w:hanging="360"/>
      </w:pPr>
      <w:rPr>
        <w:rFonts w:ascii="Wingdings" w:hAnsi="Wingdings" w:hint="default"/>
      </w:rPr>
    </w:lvl>
    <w:lvl w:ilvl="8" w:tplc="8B525B4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A13756"/>
    <w:multiLevelType w:val="hybridMultilevel"/>
    <w:tmpl w:val="77DE0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3C71D8"/>
    <w:multiLevelType w:val="hybridMultilevel"/>
    <w:tmpl w:val="76E0E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830F44"/>
    <w:multiLevelType w:val="hybridMultilevel"/>
    <w:tmpl w:val="A692B754"/>
    <w:lvl w:ilvl="0" w:tplc="ABEC1D24">
      <w:start w:val="1"/>
      <w:numFmt w:val="bullet"/>
      <w:lvlText w:val="•"/>
      <w:lvlJc w:val="left"/>
      <w:pPr>
        <w:tabs>
          <w:tab w:val="num" w:pos="720"/>
        </w:tabs>
        <w:ind w:left="720" w:hanging="360"/>
      </w:pPr>
      <w:rPr>
        <w:rFonts w:ascii="Arial" w:hAnsi="Arial" w:hint="default"/>
      </w:rPr>
    </w:lvl>
    <w:lvl w:ilvl="1" w:tplc="3AA07AF6" w:tentative="1">
      <w:start w:val="1"/>
      <w:numFmt w:val="bullet"/>
      <w:lvlText w:val="•"/>
      <w:lvlJc w:val="left"/>
      <w:pPr>
        <w:tabs>
          <w:tab w:val="num" w:pos="1440"/>
        </w:tabs>
        <w:ind w:left="1440" w:hanging="360"/>
      </w:pPr>
      <w:rPr>
        <w:rFonts w:ascii="Arial" w:hAnsi="Arial" w:hint="default"/>
      </w:rPr>
    </w:lvl>
    <w:lvl w:ilvl="2" w:tplc="D2F0C1E0" w:tentative="1">
      <w:start w:val="1"/>
      <w:numFmt w:val="bullet"/>
      <w:lvlText w:val="•"/>
      <w:lvlJc w:val="left"/>
      <w:pPr>
        <w:tabs>
          <w:tab w:val="num" w:pos="2160"/>
        </w:tabs>
        <w:ind w:left="2160" w:hanging="360"/>
      </w:pPr>
      <w:rPr>
        <w:rFonts w:ascii="Arial" w:hAnsi="Arial" w:hint="default"/>
      </w:rPr>
    </w:lvl>
    <w:lvl w:ilvl="3" w:tplc="2A9042CC" w:tentative="1">
      <w:start w:val="1"/>
      <w:numFmt w:val="bullet"/>
      <w:lvlText w:val="•"/>
      <w:lvlJc w:val="left"/>
      <w:pPr>
        <w:tabs>
          <w:tab w:val="num" w:pos="2880"/>
        </w:tabs>
        <w:ind w:left="2880" w:hanging="360"/>
      </w:pPr>
      <w:rPr>
        <w:rFonts w:ascii="Arial" w:hAnsi="Arial" w:hint="default"/>
      </w:rPr>
    </w:lvl>
    <w:lvl w:ilvl="4" w:tplc="04385934" w:tentative="1">
      <w:start w:val="1"/>
      <w:numFmt w:val="bullet"/>
      <w:lvlText w:val="•"/>
      <w:lvlJc w:val="left"/>
      <w:pPr>
        <w:tabs>
          <w:tab w:val="num" w:pos="3600"/>
        </w:tabs>
        <w:ind w:left="3600" w:hanging="360"/>
      </w:pPr>
      <w:rPr>
        <w:rFonts w:ascii="Arial" w:hAnsi="Arial" w:hint="default"/>
      </w:rPr>
    </w:lvl>
    <w:lvl w:ilvl="5" w:tplc="AC0A7516" w:tentative="1">
      <w:start w:val="1"/>
      <w:numFmt w:val="bullet"/>
      <w:lvlText w:val="•"/>
      <w:lvlJc w:val="left"/>
      <w:pPr>
        <w:tabs>
          <w:tab w:val="num" w:pos="4320"/>
        </w:tabs>
        <w:ind w:left="4320" w:hanging="360"/>
      </w:pPr>
      <w:rPr>
        <w:rFonts w:ascii="Arial" w:hAnsi="Arial" w:hint="default"/>
      </w:rPr>
    </w:lvl>
    <w:lvl w:ilvl="6" w:tplc="4BFC7572" w:tentative="1">
      <w:start w:val="1"/>
      <w:numFmt w:val="bullet"/>
      <w:lvlText w:val="•"/>
      <w:lvlJc w:val="left"/>
      <w:pPr>
        <w:tabs>
          <w:tab w:val="num" w:pos="5040"/>
        </w:tabs>
        <w:ind w:left="5040" w:hanging="360"/>
      </w:pPr>
      <w:rPr>
        <w:rFonts w:ascii="Arial" w:hAnsi="Arial" w:hint="default"/>
      </w:rPr>
    </w:lvl>
    <w:lvl w:ilvl="7" w:tplc="EFB6C254" w:tentative="1">
      <w:start w:val="1"/>
      <w:numFmt w:val="bullet"/>
      <w:lvlText w:val="•"/>
      <w:lvlJc w:val="left"/>
      <w:pPr>
        <w:tabs>
          <w:tab w:val="num" w:pos="5760"/>
        </w:tabs>
        <w:ind w:left="5760" w:hanging="360"/>
      </w:pPr>
      <w:rPr>
        <w:rFonts w:ascii="Arial" w:hAnsi="Arial" w:hint="default"/>
      </w:rPr>
    </w:lvl>
    <w:lvl w:ilvl="8" w:tplc="8CC4D8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D656F0"/>
    <w:multiLevelType w:val="hybridMultilevel"/>
    <w:tmpl w:val="136214B6"/>
    <w:lvl w:ilvl="0" w:tplc="21FC3D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B765F8"/>
    <w:multiLevelType w:val="hybridMultilevel"/>
    <w:tmpl w:val="CCA45DC8"/>
    <w:lvl w:ilvl="0" w:tplc="35963E00">
      <w:start w:val="1"/>
      <w:numFmt w:val="lowerLetter"/>
      <w:lvlText w:val="%1)"/>
      <w:lvlJc w:val="left"/>
      <w:pPr>
        <w:ind w:left="720" w:hanging="360"/>
      </w:pPr>
      <w:rPr>
        <w:rFonts w:ascii="Arial" w:eastAsia="Times New Roman" w:hAnsi="Arial"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9E639A3"/>
    <w:multiLevelType w:val="multilevel"/>
    <w:tmpl w:val="DECCF9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964653">
    <w:abstractNumId w:val="8"/>
  </w:num>
  <w:num w:numId="2" w16cid:durableId="1871214666">
    <w:abstractNumId w:val="3"/>
  </w:num>
  <w:num w:numId="3" w16cid:durableId="423843617">
    <w:abstractNumId w:val="2"/>
  </w:num>
  <w:num w:numId="4" w16cid:durableId="2008821312">
    <w:abstractNumId w:val="1"/>
  </w:num>
  <w:num w:numId="5" w16cid:durableId="1912689829">
    <w:abstractNumId w:val="0"/>
  </w:num>
  <w:num w:numId="6" w16cid:durableId="2129276276">
    <w:abstractNumId w:val="9"/>
  </w:num>
  <w:num w:numId="7" w16cid:durableId="1651520759">
    <w:abstractNumId w:val="7"/>
  </w:num>
  <w:num w:numId="8" w16cid:durableId="1490289623">
    <w:abstractNumId w:val="6"/>
  </w:num>
  <w:num w:numId="9" w16cid:durableId="1371031343">
    <w:abstractNumId w:val="5"/>
  </w:num>
  <w:num w:numId="10" w16cid:durableId="1187332500">
    <w:abstractNumId w:val="4"/>
  </w:num>
  <w:num w:numId="11" w16cid:durableId="1476950208">
    <w:abstractNumId w:val="13"/>
  </w:num>
  <w:num w:numId="12" w16cid:durableId="2116754470">
    <w:abstractNumId w:val="19"/>
  </w:num>
  <w:num w:numId="13" w16cid:durableId="1068961466">
    <w:abstractNumId w:val="24"/>
  </w:num>
  <w:num w:numId="14" w16cid:durableId="535772307">
    <w:abstractNumId w:val="10"/>
  </w:num>
  <w:num w:numId="15" w16cid:durableId="1719015025">
    <w:abstractNumId w:val="14"/>
  </w:num>
  <w:num w:numId="16" w16cid:durableId="780419775">
    <w:abstractNumId w:val="16"/>
  </w:num>
  <w:num w:numId="17" w16cid:durableId="2063946105">
    <w:abstractNumId w:val="20"/>
  </w:num>
  <w:num w:numId="18" w16cid:durableId="2116442996">
    <w:abstractNumId w:val="23"/>
  </w:num>
  <w:num w:numId="19" w16cid:durableId="1031565595">
    <w:abstractNumId w:val="25"/>
  </w:num>
  <w:num w:numId="20" w16cid:durableId="95298177">
    <w:abstractNumId w:val="12"/>
  </w:num>
  <w:num w:numId="21" w16cid:durableId="19356377">
    <w:abstractNumId w:val="11"/>
  </w:num>
  <w:num w:numId="22" w16cid:durableId="1323580808">
    <w:abstractNumId w:val="26"/>
  </w:num>
  <w:num w:numId="23" w16cid:durableId="606733944">
    <w:abstractNumId w:val="14"/>
  </w:num>
  <w:num w:numId="24" w16cid:durableId="1361202555">
    <w:abstractNumId w:val="15"/>
  </w:num>
  <w:num w:numId="25" w16cid:durableId="180171704">
    <w:abstractNumId w:val="22"/>
  </w:num>
  <w:num w:numId="26" w16cid:durableId="1003582816">
    <w:abstractNumId w:val="18"/>
  </w:num>
  <w:num w:numId="27" w16cid:durableId="554855315">
    <w:abstractNumId w:val="17"/>
  </w:num>
  <w:num w:numId="28" w16cid:durableId="1161047645">
    <w:abstractNumId w:val="14"/>
  </w:num>
  <w:num w:numId="29" w16cid:durableId="2035685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9749908">
    <w:abstractNumId w:val="14"/>
  </w:num>
  <w:num w:numId="31" w16cid:durableId="1659532617">
    <w:abstractNumId w:val="14"/>
  </w:num>
  <w:num w:numId="32" w16cid:durableId="1322544346">
    <w:abstractNumId w:val="14"/>
  </w:num>
  <w:num w:numId="33" w16cid:durableId="582185513">
    <w:abstractNumId w:val="14"/>
  </w:num>
  <w:num w:numId="34" w16cid:durableId="11732125">
    <w:abstractNumId w:val="14"/>
  </w:num>
  <w:num w:numId="35" w16cid:durableId="768433810">
    <w:abstractNumId w:val="14"/>
  </w:num>
  <w:num w:numId="36" w16cid:durableId="40437369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D2A"/>
    <w:rsid w:val="000052FB"/>
    <w:rsid w:val="00006019"/>
    <w:rsid w:val="000117CB"/>
    <w:rsid w:val="00013308"/>
    <w:rsid w:val="000302CE"/>
    <w:rsid w:val="0003148D"/>
    <w:rsid w:val="00031EEC"/>
    <w:rsid w:val="0004286E"/>
    <w:rsid w:val="00043698"/>
    <w:rsid w:val="00051566"/>
    <w:rsid w:val="000534BF"/>
    <w:rsid w:val="00055BC8"/>
    <w:rsid w:val="00056093"/>
    <w:rsid w:val="000562A9"/>
    <w:rsid w:val="00062A9A"/>
    <w:rsid w:val="00065058"/>
    <w:rsid w:val="00065760"/>
    <w:rsid w:val="00086C39"/>
    <w:rsid w:val="00096439"/>
    <w:rsid w:val="00096947"/>
    <w:rsid w:val="0009708A"/>
    <w:rsid w:val="000A03B2"/>
    <w:rsid w:val="000B11EF"/>
    <w:rsid w:val="000C1A1C"/>
    <w:rsid w:val="000C6591"/>
    <w:rsid w:val="000D0268"/>
    <w:rsid w:val="000D34BE"/>
    <w:rsid w:val="000E102F"/>
    <w:rsid w:val="000E1524"/>
    <w:rsid w:val="000E36F1"/>
    <w:rsid w:val="000E3A73"/>
    <w:rsid w:val="000E414A"/>
    <w:rsid w:val="000F093C"/>
    <w:rsid w:val="000F1BB6"/>
    <w:rsid w:val="000F3556"/>
    <w:rsid w:val="000F43E6"/>
    <w:rsid w:val="000F787B"/>
    <w:rsid w:val="000F7EF2"/>
    <w:rsid w:val="00101801"/>
    <w:rsid w:val="00105CF5"/>
    <w:rsid w:val="00110FB6"/>
    <w:rsid w:val="0011254B"/>
    <w:rsid w:val="0012091F"/>
    <w:rsid w:val="0012097C"/>
    <w:rsid w:val="00122165"/>
    <w:rsid w:val="00124666"/>
    <w:rsid w:val="00126BC2"/>
    <w:rsid w:val="001301D4"/>
    <w:rsid w:val="001308B6"/>
    <w:rsid w:val="0013121F"/>
    <w:rsid w:val="00131FE6"/>
    <w:rsid w:val="0013263F"/>
    <w:rsid w:val="001331DF"/>
    <w:rsid w:val="00134DE4"/>
    <w:rsid w:val="001365DA"/>
    <w:rsid w:val="00137C01"/>
    <w:rsid w:val="0014034D"/>
    <w:rsid w:val="00142E9A"/>
    <w:rsid w:val="00144D16"/>
    <w:rsid w:val="00150E59"/>
    <w:rsid w:val="00152DE3"/>
    <w:rsid w:val="001570E1"/>
    <w:rsid w:val="001630B3"/>
    <w:rsid w:val="00164CF9"/>
    <w:rsid w:val="00165CC7"/>
    <w:rsid w:val="001664EF"/>
    <w:rsid w:val="001667A6"/>
    <w:rsid w:val="001758B8"/>
    <w:rsid w:val="00177FD2"/>
    <w:rsid w:val="00180DB7"/>
    <w:rsid w:val="00184AD6"/>
    <w:rsid w:val="001909B5"/>
    <w:rsid w:val="00195604"/>
    <w:rsid w:val="00195FC0"/>
    <w:rsid w:val="001A4AF7"/>
    <w:rsid w:val="001A5224"/>
    <w:rsid w:val="001B0349"/>
    <w:rsid w:val="001B15ED"/>
    <w:rsid w:val="001B1E93"/>
    <w:rsid w:val="001B24EB"/>
    <w:rsid w:val="001B65C1"/>
    <w:rsid w:val="001C0C82"/>
    <w:rsid w:val="001C5A4F"/>
    <w:rsid w:val="001C684B"/>
    <w:rsid w:val="001D0CFB"/>
    <w:rsid w:val="001D21AF"/>
    <w:rsid w:val="001D50F6"/>
    <w:rsid w:val="001D53FC"/>
    <w:rsid w:val="001F42A5"/>
    <w:rsid w:val="001F6F78"/>
    <w:rsid w:val="001F7B9D"/>
    <w:rsid w:val="00201089"/>
    <w:rsid w:val="002018C2"/>
    <w:rsid w:val="00201C93"/>
    <w:rsid w:val="002040AD"/>
    <w:rsid w:val="00211482"/>
    <w:rsid w:val="00215CFC"/>
    <w:rsid w:val="002224B4"/>
    <w:rsid w:val="00227181"/>
    <w:rsid w:val="002333B1"/>
    <w:rsid w:val="00234AFF"/>
    <w:rsid w:val="00240B97"/>
    <w:rsid w:val="002447EF"/>
    <w:rsid w:val="00251550"/>
    <w:rsid w:val="00261B00"/>
    <w:rsid w:val="00263B05"/>
    <w:rsid w:val="00264006"/>
    <w:rsid w:val="002651BA"/>
    <w:rsid w:val="0027221A"/>
    <w:rsid w:val="002756BC"/>
    <w:rsid w:val="00275B61"/>
    <w:rsid w:val="00276514"/>
    <w:rsid w:val="0027656E"/>
    <w:rsid w:val="00280FAF"/>
    <w:rsid w:val="00282656"/>
    <w:rsid w:val="00296B83"/>
    <w:rsid w:val="002A5983"/>
    <w:rsid w:val="002A6157"/>
    <w:rsid w:val="002B101E"/>
    <w:rsid w:val="002B4015"/>
    <w:rsid w:val="002B4746"/>
    <w:rsid w:val="002B4C7B"/>
    <w:rsid w:val="002B64FA"/>
    <w:rsid w:val="002B78CE"/>
    <w:rsid w:val="002C2FB6"/>
    <w:rsid w:val="002D0901"/>
    <w:rsid w:val="002E5FA7"/>
    <w:rsid w:val="002F3309"/>
    <w:rsid w:val="003008CE"/>
    <w:rsid w:val="003009B7"/>
    <w:rsid w:val="00300E56"/>
    <w:rsid w:val="0030152C"/>
    <w:rsid w:val="0030469C"/>
    <w:rsid w:val="00321CA6"/>
    <w:rsid w:val="003231CC"/>
    <w:rsid w:val="00323763"/>
    <w:rsid w:val="00323C5F"/>
    <w:rsid w:val="00334C09"/>
    <w:rsid w:val="00340372"/>
    <w:rsid w:val="0035095E"/>
    <w:rsid w:val="0035581E"/>
    <w:rsid w:val="00356E87"/>
    <w:rsid w:val="003649FA"/>
    <w:rsid w:val="003674EA"/>
    <w:rsid w:val="003723D4"/>
    <w:rsid w:val="00374B5F"/>
    <w:rsid w:val="00381905"/>
    <w:rsid w:val="00384CC8"/>
    <w:rsid w:val="003871FD"/>
    <w:rsid w:val="00392FDF"/>
    <w:rsid w:val="003A1E30"/>
    <w:rsid w:val="003A2829"/>
    <w:rsid w:val="003A7D1C"/>
    <w:rsid w:val="003B2153"/>
    <w:rsid w:val="003B304B"/>
    <w:rsid w:val="003B3146"/>
    <w:rsid w:val="003B46F1"/>
    <w:rsid w:val="003E46A8"/>
    <w:rsid w:val="003E633C"/>
    <w:rsid w:val="003F015E"/>
    <w:rsid w:val="003F5877"/>
    <w:rsid w:val="003F65A7"/>
    <w:rsid w:val="003F69BB"/>
    <w:rsid w:val="003F7661"/>
    <w:rsid w:val="00400414"/>
    <w:rsid w:val="00402B72"/>
    <w:rsid w:val="004108BB"/>
    <w:rsid w:val="0041446B"/>
    <w:rsid w:val="0041518F"/>
    <w:rsid w:val="00424D77"/>
    <w:rsid w:val="00433CA8"/>
    <w:rsid w:val="00440423"/>
    <w:rsid w:val="0044071E"/>
    <w:rsid w:val="0044154A"/>
    <w:rsid w:val="0044329C"/>
    <w:rsid w:val="004449CD"/>
    <w:rsid w:val="00453E24"/>
    <w:rsid w:val="00457456"/>
    <w:rsid w:val="004577FE"/>
    <w:rsid w:val="00457B9C"/>
    <w:rsid w:val="0046164A"/>
    <w:rsid w:val="00461896"/>
    <w:rsid w:val="004628D2"/>
    <w:rsid w:val="00462DCD"/>
    <w:rsid w:val="004648AD"/>
    <w:rsid w:val="004703A9"/>
    <w:rsid w:val="00470549"/>
    <w:rsid w:val="004760DE"/>
    <w:rsid w:val="004763D7"/>
    <w:rsid w:val="00477946"/>
    <w:rsid w:val="00496E07"/>
    <w:rsid w:val="004973AF"/>
    <w:rsid w:val="004A004E"/>
    <w:rsid w:val="004A24CF"/>
    <w:rsid w:val="004A26C9"/>
    <w:rsid w:val="004B0DC7"/>
    <w:rsid w:val="004B651E"/>
    <w:rsid w:val="004C1D6E"/>
    <w:rsid w:val="004C3D1D"/>
    <w:rsid w:val="004C3D84"/>
    <w:rsid w:val="004C7913"/>
    <w:rsid w:val="004D3908"/>
    <w:rsid w:val="004E4DD6"/>
    <w:rsid w:val="004E72D3"/>
    <w:rsid w:val="004F0B7F"/>
    <w:rsid w:val="004F5E36"/>
    <w:rsid w:val="0050098E"/>
    <w:rsid w:val="00507B47"/>
    <w:rsid w:val="00507BEF"/>
    <w:rsid w:val="00507CC9"/>
    <w:rsid w:val="005119A5"/>
    <w:rsid w:val="00522A47"/>
    <w:rsid w:val="005278B7"/>
    <w:rsid w:val="00532016"/>
    <w:rsid w:val="005346C8"/>
    <w:rsid w:val="00543000"/>
    <w:rsid w:val="00543E7D"/>
    <w:rsid w:val="00544D0C"/>
    <w:rsid w:val="00544DA8"/>
    <w:rsid w:val="00547A68"/>
    <w:rsid w:val="005530A3"/>
    <w:rsid w:val="005531C9"/>
    <w:rsid w:val="00570C43"/>
    <w:rsid w:val="00572F88"/>
    <w:rsid w:val="005767FC"/>
    <w:rsid w:val="00591C6E"/>
    <w:rsid w:val="00594133"/>
    <w:rsid w:val="00594486"/>
    <w:rsid w:val="005972BC"/>
    <w:rsid w:val="005A0161"/>
    <w:rsid w:val="005A3AE6"/>
    <w:rsid w:val="005A40E1"/>
    <w:rsid w:val="005B2110"/>
    <w:rsid w:val="005B61E6"/>
    <w:rsid w:val="005C045C"/>
    <w:rsid w:val="005C385E"/>
    <w:rsid w:val="005C65FF"/>
    <w:rsid w:val="005C77E1"/>
    <w:rsid w:val="005C7A75"/>
    <w:rsid w:val="005D3599"/>
    <w:rsid w:val="005D668A"/>
    <w:rsid w:val="005D6A2F"/>
    <w:rsid w:val="005E1A82"/>
    <w:rsid w:val="005E345D"/>
    <w:rsid w:val="005E794C"/>
    <w:rsid w:val="005F0A28"/>
    <w:rsid w:val="005F0E5E"/>
    <w:rsid w:val="00600535"/>
    <w:rsid w:val="00603982"/>
    <w:rsid w:val="00610CD6"/>
    <w:rsid w:val="00614316"/>
    <w:rsid w:val="00620DEE"/>
    <w:rsid w:val="00621F92"/>
    <w:rsid w:val="0062280A"/>
    <w:rsid w:val="00625639"/>
    <w:rsid w:val="00631B33"/>
    <w:rsid w:val="006409EA"/>
    <w:rsid w:val="0064184D"/>
    <w:rsid w:val="006422CC"/>
    <w:rsid w:val="00647DB8"/>
    <w:rsid w:val="00660E3E"/>
    <w:rsid w:val="00662E74"/>
    <w:rsid w:val="00680C23"/>
    <w:rsid w:val="00693766"/>
    <w:rsid w:val="006A3281"/>
    <w:rsid w:val="006A7377"/>
    <w:rsid w:val="006B4888"/>
    <w:rsid w:val="006C2E45"/>
    <w:rsid w:val="006C359C"/>
    <w:rsid w:val="006C54C3"/>
    <w:rsid w:val="006C5579"/>
    <w:rsid w:val="006C655F"/>
    <w:rsid w:val="006C7DE5"/>
    <w:rsid w:val="006D0089"/>
    <w:rsid w:val="006D4CF9"/>
    <w:rsid w:val="006D6E8B"/>
    <w:rsid w:val="006E5066"/>
    <w:rsid w:val="006E737D"/>
    <w:rsid w:val="006E7923"/>
    <w:rsid w:val="007012A2"/>
    <w:rsid w:val="00702252"/>
    <w:rsid w:val="0070632A"/>
    <w:rsid w:val="00713973"/>
    <w:rsid w:val="00716F66"/>
    <w:rsid w:val="00720A24"/>
    <w:rsid w:val="00722D86"/>
    <w:rsid w:val="00732386"/>
    <w:rsid w:val="0073514D"/>
    <w:rsid w:val="007447F3"/>
    <w:rsid w:val="0074622A"/>
    <w:rsid w:val="00746E02"/>
    <w:rsid w:val="0075346D"/>
    <w:rsid w:val="0075499F"/>
    <w:rsid w:val="00765958"/>
    <w:rsid w:val="007661C8"/>
    <w:rsid w:val="0077098D"/>
    <w:rsid w:val="0077226C"/>
    <w:rsid w:val="007803FA"/>
    <w:rsid w:val="00784899"/>
    <w:rsid w:val="00785A92"/>
    <w:rsid w:val="00787E53"/>
    <w:rsid w:val="007931FA"/>
    <w:rsid w:val="007974FA"/>
    <w:rsid w:val="007A424A"/>
    <w:rsid w:val="007A4861"/>
    <w:rsid w:val="007A4902"/>
    <w:rsid w:val="007A7AED"/>
    <w:rsid w:val="007A7BBA"/>
    <w:rsid w:val="007B0C50"/>
    <w:rsid w:val="007B48F9"/>
    <w:rsid w:val="007B6904"/>
    <w:rsid w:val="007C1A43"/>
    <w:rsid w:val="007C6067"/>
    <w:rsid w:val="007D0951"/>
    <w:rsid w:val="007D441D"/>
    <w:rsid w:val="007D582F"/>
    <w:rsid w:val="007E2F38"/>
    <w:rsid w:val="0080013E"/>
    <w:rsid w:val="0081041D"/>
    <w:rsid w:val="00813288"/>
    <w:rsid w:val="0081601F"/>
    <w:rsid w:val="008166F7"/>
    <w:rsid w:val="008168FC"/>
    <w:rsid w:val="00830996"/>
    <w:rsid w:val="008345F1"/>
    <w:rsid w:val="008361E9"/>
    <w:rsid w:val="00847568"/>
    <w:rsid w:val="008530E8"/>
    <w:rsid w:val="00862DAD"/>
    <w:rsid w:val="00865B07"/>
    <w:rsid w:val="00866489"/>
    <w:rsid w:val="008667EA"/>
    <w:rsid w:val="0087637F"/>
    <w:rsid w:val="00884581"/>
    <w:rsid w:val="008852F8"/>
    <w:rsid w:val="00890283"/>
    <w:rsid w:val="00892AD5"/>
    <w:rsid w:val="00895C57"/>
    <w:rsid w:val="00895EBA"/>
    <w:rsid w:val="008963FF"/>
    <w:rsid w:val="008A1512"/>
    <w:rsid w:val="008A1E95"/>
    <w:rsid w:val="008A203C"/>
    <w:rsid w:val="008A32AF"/>
    <w:rsid w:val="008A4CEE"/>
    <w:rsid w:val="008B0ACD"/>
    <w:rsid w:val="008C2726"/>
    <w:rsid w:val="008C2E1A"/>
    <w:rsid w:val="008D32B9"/>
    <w:rsid w:val="008D37F8"/>
    <w:rsid w:val="008D433B"/>
    <w:rsid w:val="008D4A16"/>
    <w:rsid w:val="008D7371"/>
    <w:rsid w:val="008E566E"/>
    <w:rsid w:val="008F45AB"/>
    <w:rsid w:val="0090161A"/>
    <w:rsid w:val="00901EB6"/>
    <w:rsid w:val="00904C62"/>
    <w:rsid w:val="00920352"/>
    <w:rsid w:val="009213F4"/>
    <w:rsid w:val="00922BA8"/>
    <w:rsid w:val="00924AAC"/>
    <w:rsid w:val="00924DAC"/>
    <w:rsid w:val="00925CEE"/>
    <w:rsid w:val="00927058"/>
    <w:rsid w:val="00937105"/>
    <w:rsid w:val="0094040D"/>
    <w:rsid w:val="00940A31"/>
    <w:rsid w:val="00942750"/>
    <w:rsid w:val="009450CE"/>
    <w:rsid w:val="009459BB"/>
    <w:rsid w:val="00947179"/>
    <w:rsid w:val="00951492"/>
    <w:rsid w:val="0095164B"/>
    <w:rsid w:val="00951EEE"/>
    <w:rsid w:val="00954090"/>
    <w:rsid w:val="00955DEA"/>
    <w:rsid w:val="009573E7"/>
    <w:rsid w:val="00957C9B"/>
    <w:rsid w:val="00957EC0"/>
    <w:rsid w:val="00963E05"/>
    <w:rsid w:val="00964A45"/>
    <w:rsid w:val="00967843"/>
    <w:rsid w:val="00967D54"/>
    <w:rsid w:val="00971028"/>
    <w:rsid w:val="00976EFF"/>
    <w:rsid w:val="00993B84"/>
    <w:rsid w:val="00996483"/>
    <w:rsid w:val="00996F5A"/>
    <w:rsid w:val="00997D4E"/>
    <w:rsid w:val="009B041A"/>
    <w:rsid w:val="009B4419"/>
    <w:rsid w:val="009C37C3"/>
    <w:rsid w:val="009C7C86"/>
    <w:rsid w:val="009D2FF7"/>
    <w:rsid w:val="009D6718"/>
    <w:rsid w:val="009E1D07"/>
    <w:rsid w:val="009E3FCB"/>
    <w:rsid w:val="009E7884"/>
    <w:rsid w:val="009E788A"/>
    <w:rsid w:val="009F0E08"/>
    <w:rsid w:val="00A02AD7"/>
    <w:rsid w:val="00A02EA9"/>
    <w:rsid w:val="00A05ECE"/>
    <w:rsid w:val="00A11D77"/>
    <w:rsid w:val="00A133F5"/>
    <w:rsid w:val="00A13E21"/>
    <w:rsid w:val="00A16E01"/>
    <w:rsid w:val="00A1763D"/>
    <w:rsid w:val="00A17CEC"/>
    <w:rsid w:val="00A207D1"/>
    <w:rsid w:val="00A27EF0"/>
    <w:rsid w:val="00A42361"/>
    <w:rsid w:val="00A50B20"/>
    <w:rsid w:val="00A51390"/>
    <w:rsid w:val="00A60D13"/>
    <w:rsid w:val="00A61242"/>
    <w:rsid w:val="00A65356"/>
    <w:rsid w:val="00A66424"/>
    <w:rsid w:val="00A6656C"/>
    <w:rsid w:val="00A7223D"/>
    <w:rsid w:val="00A72745"/>
    <w:rsid w:val="00A76EFC"/>
    <w:rsid w:val="00A824D1"/>
    <w:rsid w:val="00A87D50"/>
    <w:rsid w:val="00A91010"/>
    <w:rsid w:val="00A97F29"/>
    <w:rsid w:val="00AA702E"/>
    <w:rsid w:val="00AA7D26"/>
    <w:rsid w:val="00AB0964"/>
    <w:rsid w:val="00AB5011"/>
    <w:rsid w:val="00AC1A64"/>
    <w:rsid w:val="00AC7368"/>
    <w:rsid w:val="00AD16B9"/>
    <w:rsid w:val="00AD420D"/>
    <w:rsid w:val="00AE377D"/>
    <w:rsid w:val="00AE48D8"/>
    <w:rsid w:val="00AE5064"/>
    <w:rsid w:val="00AF0EBA"/>
    <w:rsid w:val="00AF1F90"/>
    <w:rsid w:val="00AF3462"/>
    <w:rsid w:val="00B015E1"/>
    <w:rsid w:val="00B02C8A"/>
    <w:rsid w:val="00B10C78"/>
    <w:rsid w:val="00B15649"/>
    <w:rsid w:val="00B16F65"/>
    <w:rsid w:val="00B17FBD"/>
    <w:rsid w:val="00B2209D"/>
    <w:rsid w:val="00B24670"/>
    <w:rsid w:val="00B315A6"/>
    <w:rsid w:val="00B31813"/>
    <w:rsid w:val="00B33365"/>
    <w:rsid w:val="00B42834"/>
    <w:rsid w:val="00B4320F"/>
    <w:rsid w:val="00B55BC0"/>
    <w:rsid w:val="00B577D8"/>
    <w:rsid w:val="00B57B36"/>
    <w:rsid w:val="00B57E6F"/>
    <w:rsid w:val="00B85EDD"/>
    <w:rsid w:val="00B8686D"/>
    <w:rsid w:val="00B93F69"/>
    <w:rsid w:val="00BA2B98"/>
    <w:rsid w:val="00BB1DDC"/>
    <w:rsid w:val="00BC30C9"/>
    <w:rsid w:val="00BC77D8"/>
    <w:rsid w:val="00BD077D"/>
    <w:rsid w:val="00BD0A9B"/>
    <w:rsid w:val="00BD7424"/>
    <w:rsid w:val="00BE3E58"/>
    <w:rsid w:val="00BE3F78"/>
    <w:rsid w:val="00C01616"/>
    <w:rsid w:val="00C0162B"/>
    <w:rsid w:val="00C068ED"/>
    <w:rsid w:val="00C16750"/>
    <w:rsid w:val="00C22E0C"/>
    <w:rsid w:val="00C345B1"/>
    <w:rsid w:val="00C40142"/>
    <w:rsid w:val="00C45DA9"/>
    <w:rsid w:val="00C46807"/>
    <w:rsid w:val="00C512D0"/>
    <w:rsid w:val="00C52C3C"/>
    <w:rsid w:val="00C57182"/>
    <w:rsid w:val="00C57863"/>
    <w:rsid w:val="00C640AF"/>
    <w:rsid w:val="00C655FD"/>
    <w:rsid w:val="00C71673"/>
    <w:rsid w:val="00C75407"/>
    <w:rsid w:val="00C870A8"/>
    <w:rsid w:val="00C93AA4"/>
    <w:rsid w:val="00C94434"/>
    <w:rsid w:val="00CA0D75"/>
    <w:rsid w:val="00CA1C95"/>
    <w:rsid w:val="00CA5A9C"/>
    <w:rsid w:val="00CB41E1"/>
    <w:rsid w:val="00CB4BB4"/>
    <w:rsid w:val="00CB6AB4"/>
    <w:rsid w:val="00CB6B6E"/>
    <w:rsid w:val="00CC131B"/>
    <w:rsid w:val="00CC4C20"/>
    <w:rsid w:val="00CD3517"/>
    <w:rsid w:val="00CD5FE2"/>
    <w:rsid w:val="00CD6330"/>
    <w:rsid w:val="00CE3617"/>
    <w:rsid w:val="00CE7C68"/>
    <w:rsid w:val="00D02B4C"/>
    <w:rsid w:val="00D040C4"/>
    <w:rsid w:val="00D15300"/>
    <w:rsid w:val="00D15A83"/>
    <w:rsid w:val="00D2027A"/>
    <w:rsid w:val="00D20AD1"/>
    <w:rsid w:val="00D24072"/>
    <w:rsid w:val="00D241B2"/>
    <w:rsid w:val="00D32ED6"/>
    <w:rsid w:val="00D46B7E"/>
    <w:rsid w:val="00D57C84"/>
    <w:rsid w:val="00D6057D"/>
    <w:rsid w:val="00D71640"/>
    <w:rsid w:val="00D72353"/>
    <w:rsid w:val="00D76812"/>
    <w:rsid w:val="00D836C5"/>
    <w:rsid w:val="00D84576"/>
    <w:rsid w:val="00D93CC4"/>
    <w:rsid w:val="00D9589E"/>
    <w:rsid w:val="00DA0B49"/>
    <w:rsid w:val="00DA1399"/>
    <w:rsid w:val="00DA24C6"/>
    <w:rsid w:val="00DA4D7B"/>
    <w:rsid w:val="00DB2834"/>
    <w:rsid w:val="00DB51C2"/>
    <w:rsid w:val="00DC2B0B"/>
    <w:rsid w:val="00DD271C"/>
    <w:rsid w:val="00DE264A"/>
    <w:rsid w:val="00DE4459"/>
    <w:rsid w:val="00DF5072"/>
    <w:rsid w:val="00E00E9F"/>
    <w:rsid w:val="00E023FA"/>
    <w:rsid w:val="00E02D18"/>
    <w:rsid w:val="00E041E7"/>
    <w:rsid w:val="00E139DE"/>
    <w:rsid w:val="00E1689B"/>
    <w:rsid w:val="00E22EDB"/>
    <w:rsid w:val="00E23CA1"/>
    <w:rsid w:val="00E26104"/>
    <w:rsid w:val="00E37579"/>
    <w:rsid w:val="00E409A8"/>
    <w:rsid w:val="00E4108D"/>
    <w:rsid w:val="00E45EE0"/>
    <w:rsid w:val="00E47D67"/>
    <w:rsid w:val="00E50756"/>
    <w:rsid w:val="00E50C12"/>
    <w:rsid w:val="00E56231"/>
    <w:rsid w:val="00E65B91"/>
    <w:rsid w:val="00E7209D"/>
    <w:rsid w:val="00E72A29"/>
    <w:rsid w:val="00E72EAD"/>
    <w:rsid w:val="00E76747"/>
    <w:rsid w:val="00E77223"/>
    <w:rsid w:val="00E8132E"/>
    <w:rsid w:val="00E84AD0"/>
    <w:rsid w:val="00E8528B"/>
    <w:rsid w:val="00E85B94"/>
    <w:rsid w:val="00E86D2C"/>
    <w:rsid w:val="00E978D0"/>
    <w:rsid w:val="00EA3C01"/>
    <w:rsid w:val="00EA4613"/>
    <w:rsid w:val="00EA775E"/>
    <w:rsid w:val="00EA7F91"/>
    <w:rsid w:val="00EB1523"/>
    <w:rsid w:val="00EB19FB"/>
    <w:rsid w:val="00EB3254"/>
    <w:rsid w:val="00EB7396"/>
    <w:rsid w:val="00EC0E49"/>
    <w:rsid w:val="00EC101F"/>
    <w:rsid w:val="00EC1D9F"/>
    <w:rsid w:val="00EC42E0"/>
    <w:rsid w:val="00EC4374"/>
    <w:rsid w:val="00EE0131"/>
    <w:rsid w:val="00EE1497"/>
    <w:rsid w:val="00EE17B0"/>
    <w:rsid w:val="00EE294D"/>
    <w:rsid w:val="00EF06D9"/>
    <w:rsid w:val="00EF1081"/>
    <w:rsid w:val="00F01FBB"/>
    <w:rsid w:val="00F061C7"/>
    <w:rsid w:val="00F14D91"/>
    <w:rsid w:val="00F152AB"/>
    <w:rsid w:val="00F20242"/>
    <w:rsid w:val="00F3049E"/>
    <w:rsid w:val="00F30C64"/>
    <w:rsid w:val="00F32BA2"/>
    <w:rsid w:val="00F32CDB"/>
    <w:rsid w:val="00F33219"/>
    <w:rsid w:val="00F33ACF"/>
    <w:rsid w:val="00F34A2F"/>
    <w:rsid w:val="00F50FCF"/>
    <w:rsid w:val="00F565FE"/>
    <w:rsid w:val="00F63A70"/>
    <w:rsid w:val="00F63D8C"/>
    <w:rsid w:val="00F7534E"/>
    <w:rsid w:val="00F7768B"/>
    <w:rsid w:val="00F93EDF"/>
    <w:rsid w:val="00FA1802"/>
    <w:rsid w:val="00FA21D0"/>
    <w:rsid w:val="00FA5F5F"/>
    <w:rsid w:val="00FB730C"/>
    <w:rsid w:val="00FC2695"/>
    <w:rsid w:val="00FC3E03"/>
    <w:rsid w:val="00FC3FC1"/>
    <w:rsid w:val="00FC61C2"/>
    <w:rsid w:val="00FF00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5"/>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5"/>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22"/>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1"/>
      </w:numPr>
      <w:contextualSpacing/>
    </w:pPr>
  </w:style>
  <w:style w:type="paragraph" w:styleId="ListNumber2">
    <w:name w:val="List Number 2"/>
    <w:basedOn w:val="Normal"/>
    <w:uiPriority w:val="99"/>
    <w:semiHidden/>
    <w:unhideWhenUsed/>
    <w:rsid w:val="0003148D"/>
    <w:pPr>
      <w:numPr>
        <w:numId w:val="2"/>
      </w:numPr>
      <w:contextualSpacing/>
    </w:pPr>
  </w:style>
  <w:style w:type="paragraph" w:styleId="ListNumber3">
    <w:name w:val="List Number 3"/>
    <w:basedOn w:val="Normal"/>
    <w:uiPriority w:val="99"/>
    <w:semiHidden/>
    <w:unhideWhenUsed/>
    <w:rsid w:val="0003148D"/>
    <w:pPr>
      <w:numPr>
        <w:numId w:val="3"/>
      </w:numPr>
      <w:contextualSpacing/>
    </w:pPr>
  </w:style>
  <w:style w:type="paragraph" w:styleId="ListNumber4">
    <w:name w:val="List Number 4"/>
    <w:basedOn w:val="Normal"/>
    <w:uiPriority w:val="99"/>
    <w:semiHidden/>
    <w:unhideWhenUsed/>
    <w:rsid w:val="0003148D"/>
    <w:pPr>
      <w:numPr>
        <w:numId w:val="4"/>
      </w:numPr>
      <w:contextualSpacing/>
    </w:pPr>
  </w:style>
  <w:style w:type="paragraph" w:styleId="ListNumber5">
    <w:name w:val="List Number 5"/>
    <w:basedOn w:val="Normal"/>
    <w:uiPriority w:val="99"/>
    <w:semiHidden/>
    <w:unhideWhenUsed/>
    <w:rsid w:val="0003148D"/>
    <w:pPr>
      <w:numPr>
        <w:numId w:val="5"/>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6"/>
      </w:numPr>
      <w:contextualSpacing/>
    </w:pPr>
  </w:style>
  <w:style w:type="paragraph" w:styleId="ListBullet2">
    <w:name w:val="List Bullet 2"/>
    <w:basedOn w:val="Normal"/>
    <w:uiPriority w:val="99"/>
    <w:semiHidden/>
    <w:unhideWhenUsed/>
    <w:rsid w:val="0003148D"/>
    <w:pPr>
      <w:numPr>
        <w:numId w:val="7"/>
      </w:numPr>
      <w:contextualSpacing/>
    </w:pPr>
  </w:style>
  <w:style w:type="paragraph" w:styleId="ListBullet3">
    <w:name w:val="List Bullet 3"/>
    <w:basedOn w:val="Normal"/>
    <w:uiPriority w:val="99"/>
    <w:semiHidden/>
    <w:unhideWhenUsed/>
    <w:rsid w:val="0003148D"/>
    <w:pPr>
      <w:numPr>
        <w:numId w:val="8"/>
      </w:numPr>
      <w:contextualSpacing/>
    </w:pPr>
  </w:style>
  <w:style w:type="paragraph" w:styleId="ListBullet4">
    <w:name w:val="List Bullet 4"/>
    <w:basedOn w:val="Normal"/>
    <w:uiPriority w:val="99"/>
    <w:semiHidden/>
    <w:unhideWhenUsed/>
    <w:rsid w:val="0003148D"/>
    <w:pPr>
      <w:numPr>
        <w:numId w:val="9"/>
      </w:numPr>
      <w:contextualSpacing/>
    </w:pPr>
  </w:style>
  <w:style w:type="paragraph" w:styleId="ListBullet5">
    <w:name w:val="List Bullet 5"/>
    <w:basedOn w:val="Normal"/>
    <w:uiPriority w:val="99"/>
    <w:semiHidden/>
    <w:unhideWhenUsed/>
    <w:rsid w:val="0003148D"/>
    <w:pPr>
      <w:numPr>
        <w:numId w:val="10"/>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1"/>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2"/>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3"/>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paragraph" w:customStyle="1" w:styleId="Default">
    <w:name w:val="Default"/>
    <w:rsid w:val="00A66424"/>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C1A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06143">
      <w:bodyDiv w:val="1"/>
      <w:marLeft w:val="0"/>
      <w:marRight w:val="0"/>
      <w:marTop w:val="0"/>
      <w:marBottom w:val="0"/>
      <w:divBdr>
        <w:top w:val="none" w:sz="0" w:space="0" w:color="auto"/>
        <w:left w:val="none" w:sz="0" w:space="0" w:color="auto"/>
        <w:bottom w:val="none" w:sz="0" w:space="0" w:color="auto"/>
        <w:right w:val="none" w:sz="0" w:space="0" w:color="auto"/>
      </w:divBdr>
      <w:divsChild>
        <w:div w:id="417408934">
          <w:marLeft w:val="0"/>
          <w:marRight w:val="0"/>
          <w:marTop w:val="0"/>
          <w:marBottom w:val="0"/>
          <w:divBdr>
            <w:top w:val="none" w:sz="0" w:space="0" w:color="auto"/>
            <w:left w:val="none" w:sz="0" w:space="0" w:color="auto"/>
            <w:bottom w:val="none" w:sz="0" w:space="0" w:color="auto"/>
            <w:right w:val="none" w:sz="0" w:space="0" w:color="auto"/>
          </w:divBdr>
          <w:divsChild>
            <w:div w:id="11689230">
              <w:marLeft w:val="0"/>
              <w:marRight w:val="0"/>
              <w:marTop w:val="0"/>
              <w:marBottom w:val="0"/>
              <w:divBdr>
                <w:top w:val="none" w:sz="0" w:space="0" w:color="auto"/>
                <w:left w:val="none" w:sz="0" w:space="0" w:color="auto"/>
                <w:bottom w:val="none" w:sz="0" w:space="0" w:color="auto"/>
                <w:right w:val="none" w:sz="0" w:space="0" w:color="auto"/>
              </w:divBdr>
              <w:divsChild>
                <w:div w:id="1412309071">
                  <w:marLeft w:val="0"/>
                  <w:marRight w:val="0"/>
                  <w:marTop w:val="0"/>
                  <w:marBottom w:val="0"/>
                  <w:divBdr>
                    <w:top w:val="none" w:sz="0" w:space="0" w:color="auto"/>
                    <w:left w:val="none" w:sz="0" w:space="0" w:color="auto"/>
                    <w:bottom w:val="none" w:sz="0" w:space="0" w:color="auto"/>
                    <w:right w:val="none" w:sz="0" w:space="0" w:color="auto"/>
                  </w:divBdr>
                  <w:divsChild>
                    <w:div w:id="6026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133286">
      <w:bodyDiv w:val="1"/>
      <w:marLeft w:val="0"/>
      <w:marRight w:val="0"/>
      <w:marTop w:val="0"/>
      <w:marBottom w:val="0"/>
      <w:divBdr>
        <w:top w:val="none" w:sz="0" w:space="0" w:color="auto"/>
        <w:left w:val="none" w:sz="0" w:space="0" w:color="auto"/>
        <w:bottom w:val="none" w:sz="0" w:space="0" w:color="auto"/>
        <w:right w:val="none" w:sz="0" w:space="0" w:color="auto"/>
      </w:divBdr>
      <w:divsChild>
        <w:div w:id="1790511148">
          <w:marLeft w:val="0"/>
          <w:marRight w:val="0"/>
          <w:marTop w:val="0"/>
          <w:marBottom w:val="0"/>
          <w:divBdr>
            <w:top w:val="none" w:sz="0" w:space="0" w:color="auto"/>
            <w:left w:val="none" w:sz="0" w:space="0" w:color="auto"/>
            <w:bottom w:val="none" w:sz="0" w:space="0" w:color="auto"/>
            <w:right w:val="none" w:sz="0" w:space="0" w:color="auto"/>
          </w:divBdr>
          <w:divsChild>
            <w:div w:id="1770928275">
              <w:marLeft w:val="0"/>
              <w:marRight w:val="0"/>
              <w:marTop w:val="0"/>
              <w:marBottom w:val="0"/>
              <w:divBdr>
                <w:top w:val="none" w:sz="0" w:space="0" w:color="auto"/>
                <w:left w:val="none" w:sz="0" w:space="0" w:color="auto"/>
                <w:bottom w:val="none" w:sz="0" w:space="0" w:color="auto"/>
                <w:right w:val="none" w:sz="0" w:space="0" w:color="auto"/>
              </w:divBdr>
              <w:divsChild>
                <w:div w:id="269162517">
                  <w:marLeft w:val="0"/>
                  <w:marRight w:val="0"/>
                  <w:marTop w:val="0"/>
                  <w:marBottom w:val="0"/>
                  <w:divBdr>
                    <w:top w:val="none" w:sz="0" w:space="0" w:color="auto"/>
                    <w:left w:val="none" w:sz="0" w:space="0" w:color="auto"/>
                    <w:bottom w:val="none" w:sz="0" w:space="0" w:color="auto"/>
                    <w:right w:val="none" w:sz="0" w:space="0" w:color="auto"/>
                  </w:divBdr>
                  <w:divsChild>
                    <w:div w:id="16536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51425">
      <w:bodyDiv w:val="1"/>
      <w:marLeft w:val="0"/>
      <w:marRight w:val="0"/>
      <w:marTop w:val="0"/>
      <w:marBottom w:val="0"/>
      <w:divBdr>
        <w:top w:val="none" w:sz="0" w:space="0" w:color="auto"/>
        <w:left w:val="none" w:sz="0" w:space="0" w:color="auto"/>
        <w:bottom w:val="none" w:sz="0" w:space="0" w:color="auto"/>
        <w:right w:val="none" w:sz="0" w:space="0" w:color="auto"/>
      </w:divBdr>
      <w:divsChild>
        <w:div w:id="357631881">
          <w:marLeft w:val="0"/>
          <w:marRight w:val="0"/>
          <w:marTop w:val="0"/>
          <w:marBottom w:val="0"/>
          <w:divBdr>
            <w:top w:val="none" w:sz="0" w:space="0" w:color="auto"/>
            <w:left w:val="none" w:sz="0" w:space="0" w:color="auto"/>
            <w:bottom w:val="none" w:sz="0" w:space="0" w:color="auto"/>
            <w:right w:val="none" w:sz="0" w:space="0" w:color="auto"/>
          </w:divBdr>
          <w:divsChild>
            <w:div w:id="874007571">
              <w:marLeft w:val="0"/>
              <w:marRight w:val="0"/>
              <w:marTop w:val="0"/>
              <w:marBottom w:val="0"/>
              <w:divBdr>
                <w:top w:val="none" w:sz="0" w:space="0" w:color="auto"/>
                <w:left w:val="none" w:sz="0" w:space="0" w:color="auto"/>
                <w:bottom w:val="none" w:sz="0" w:space="0" w:color="auto"/>
                <w:right w:val="none" w:sz="0" w:space="0" w:color="auto"/>
              </w:divBdr>
              <w:divsChild>
                <w:div w:id="731082164">
                  <w:marLeft w:val="0"/>
                  <w:marRight w:val="0"/>
                  <w:marTop w:val="0"/>
                  <w:marBottom w:val="0"/>
                  <w:divBdr>
                    <w:top w:val="none" w:sz="0" w:space="0" w:color="auto"/>
                    <w:left w:val="none" w:sz="0" w:space="0" w:color="auto"/>
                    <w:bottom w:val="none" w:sz="0" w:space="0" w:color="auto"/>
                    <w:right w:val="none" w:sz="0" w:space="0" w:color="auto"/>
                  </w:divBdr>
                  <w:divsChild>
                    <w:div w:id="2069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702">
      <w:bodyDiv w:val="1"/>
      <w:marLeft w:val="0"/>
      <w:marRight w:val="0"/>
      <w:marTop w:val="0"/>
      <w:marBottom w:val="0"/>
      <w:divBdr>
        <w:top w:val="none" w:sz="0" w:space="0" w:color="auto"/>
        <w:left w:val="none" w:sz="0" w:space="0" w:color="auto"/>
        <w:bottom w:val="none" w:sz="0" w:space="0" w:color="auto"/>
        <w:right w:val="none" w:sz="0" w:space="0" w:color="auto"/>
      </w:divBdr>
    </w:div>
    <w:div w:id="663170689">
      <w:bodyDiv w:val="1"/>
      <w:marLeft w:val="0"/>
      <w:marRight w:val="0"/>
      <w:marTop w:val="0"/>
      <w:marBottom w:val="0"/>
      <w:divBdr>
        <w:top w:val="none" w:sz="0" w:space="0" w:color="auto"/>
        <w:left w:val="none" w:sz="0" w:space="0" w:color="auto"/>
        <w:bottom w:val="none" w:sz="0" w:space="0" w:color="auto"/>
        <w:right w:val="none" w:sz="0" w:space="0" w:color="auto"/>
      </w:divBdr>
      <w:divsChild>
        <w:div w:id="751587098">
          <w:marLeft w:val="0"/>
          <w:marRight w:val="0"/>
          <w:marTop w:val="0"/>
          <w:marBottom w:val="0"/>
          <w:divBdr>
            <w:top w:val="none" w:sz="0" w:space="0" w:color="auto"/>
            <w:left w:val="none" w:sz="0" w:space="0" w:color="auto"/>
            <w:bottom w:val="none" w:sz="0" w:space="0" w:color="auto"/>
            <w:right w:val="none" w:sz="0" w:space="0" w:color="auto"/>
          </w:divBdr>
          <w:divsChild>
            <w:div w:id="1709139085">
              <w:marLeft w:val="0"/>
              <w:marRight w:val="0"/>
              <w:marTop w:val="0"/>
              <w:marBottom w:val="0"/>
              <w:divBdr>
                <w:top w:val="none" w:sz="0" w:space="0" w:color="auto"/>
                <w:left w:val="none" w:sz="0" w:space="0" w:color="auto"/>
                <w:bottom w:val="none" w:sz="0" w:space="0" w:color="auto"/>
                <w:right w:val="none" w:sz="0" w:space="0" w:color="auto"/>
              </w:divBdr>
              <w:divsChild>
                <w:div w:id="1062605201">
                  <w:marLeft w:val="0"/>
                  <w:marRight w:val="0"/>
                  <w:marTop w:val="0"/>
                  <w:marBottom w:val="0"/>
                  <w:divBdr>
                    <w:top w:val="none" w:sz="0" w:space="0" w:color="auto"/>
                    <w:left w:val="none" w:sz="0" w:space="0" w:color="auto"/>
                    <w:bottom w:val="none" w:sz="0" w:space="0" w:color="auto"/>
                    <w:right w:val="none" w:sz="0" w:space="0" w:color="auto"/>
                  </w:divBdr>
                  <w:divsChild>
                    <w:div w:id="20495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7394">
      <w:bodyDiv w:val="1"/>
      <w:marLeft w:val="0"/>
      <w:marRight w:val="0"/>
      <w:marTop w:val="0"/>
      <w:marBottom w:val="0"/>
      <w:divBdr>
        <w:top w:val="none" w:sz="0" w:space="0" w:color="auto"/>
        <w:left w:val="none" w:sz="0" w:space="0" w:color="auto"/>
        <w:bottom w:val="none" w:sz="0" w:space="0" w:color="auto"/>
        <w:right w:val="none" w:sz="0" w:space="0" w:color="auto"/>
      </w:divBdr>
    </w:div>
    <w:div w:id="1218317977">
      <w:bodyDiv w:val="1"/>
      <w:marLeft w:val="0"/>
      <w:marRight w:val="0"/>
      <w:marTop w:val="0"/>
      <w:marBottom w:val="0"/>
      <w:divBdr>
        <w:top w:val="none" w:sz="0" w:space="0" w:color="auto"/>
        <w:left w:val="none" w:sz="0" w:space="0" w:color="auto"/>
        <w:bottom w:val="none" w:sz="0" w:space="0" w:color="auto"/>
        <w:right w:val="none" w:sz="0" w:space="0" w:color="auto"/>
      </w:divBdr>
      <w:divsChild>
        <w:div w:id="1939484297">
          <w:marLeft w:val="547"/>
          <w:marRight w:val="0"/>
          <w:marTop w:val="0"/>
          <w:marBottom w:val="0"/>
          <w:divBdr>
            <w:top w:val="none" w:sz="0" w:space="0" w:color="auto"/>
            <w:left w:val="none" w:sz="0" w:space="0" w:color="auto"/>
            <w:bottom w:val="none" w:sz="0" w:space="0" w:color="auto"/>
            <w:right w:val="none" w:sz="0" w:space="0" w:color="auto"/>
          </w:divBdr>
        </w:div>
      </w:divsChild>
    </w:div>
    <w:div w:id="138563981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0944062">
      <w:bodyDiv w:val="1"/>
      <w:marLeft w:val="0"/>
      <w:marRight w:val="0"/>
      <w:marTop w:val="0"/>
      <w:marBottom w:val="0"/>
      <w:divBdr>
        <w:top w:val="none" w:sz="0" w:space="0" w:color="auto"/>
        <w:left w:val="none" w:sz="0" w:space="0" w:color="auto"/>
        <w:bottom w:val="none" w:sz="0" w:space="0" w:color="auto"/>
        <w:right w:val="none" w:sz="0" w:space="0" w:color="auto"/>
      </w:divBdr>
      <w:divsChild>
        <w:div w:id="1821577410">
          <w:marLeft w:val="274"/>
          <w:marRight w:val="0"/>
          <w:marTop w:val="0"/>
          <w:marBottom w:val="0"/>
          <w:divBdr>
            <w:top w:val="none" w:sz="0" w:space="0" w:color="auto"/>
            <w:left w:val="none" w:sz="0" w:space="0" w:color="auto"/>
            <w:bottom w:val="none" w:sz="0" w:space="0" w:color="auto"/>
            <w:right w:val="none" w:sz="0" w:space="0" w:color="auto"/>
          </w:divBdr>
        </w:div>
        <w:div w:id="1153914291">
          <w:marLeft w:val="274"/>
          <w:marRight w:val="0"/>
          <w:marTop w:val="0"/>
          <w:marBottom w:val="0"/>
          <w:divBdr>
            <w:top w:val="none" w:sz="0" w:space="0" w:color="auto"/>
            <w:left w:val="none" w:sz="0" w:space="0" w:color="auto"/>
            <w:bottom w:val="none" w:sz="0" w:space="0" w:color="auto"/>
            <w:right w:val="none" w:sz="0" w:space="0" w:color="auto"/>
          </w:divBdr>
        </w:div>
      </w:divsChild>
    </w:div>
    <w:div w:id="1568760678">
      <w:bodyDiv w:val="1"/>
      <w:marLeft w:val="0"/>
      <w:marRight w:val="0"/>
      <w:marTop w:val="0"/>
      <w:marBottom w:val="0"/>
      <w:divBdr>
        <w:top w:val="none" w:sz="0" w:space="0" w:color="auto"/>
        <w:left w:val="none" w:sz="0" w:space="0" w:color="auto"/>
        <w:bottom w:val="none" w:sz="0" w:space="0" w:color="auto"/>
        <w:right w:val="none" w:sz="0" w:space="0" w:color="auto"/>
      </w:divBdr>
    </w:div>
    <w:div w:id="1587573199">
      <w:bodyDiv w:val="1"/>
      <w:marLeft w:val="0"/>
      <w:marRight w:val="0"/>
      <w:marTop w:val="0"/>
      <w:marBottom w:val="0"/>
      <w:divBdr>
        <w:top w:val="none" w:sz="0" w:space="0" w:color="auto"/>
        <w:left w:val="none" w:sz="0" w:space="0" w:color="auto"/>
        <w:bottom w:val="none" w:sz="0" w:space="0" w:color="auto"/>
        <w:right w:val="none" w:sz="0" w:space="0" w:color="auto"/>
      </w:divBdr>
      <w:divsChild>
        <w:div w:id="56100523">
          <w:marLeft w:val="0"/>
          <w:marRight w:val="0"/>
          <w:marTop w:val="0"/>
          <w:marBottom w:val="0"/>
          <w:divBdr>
            <w:top w:val="none" w:sz="0" w:space="0" w:color="auto"/>
            <w:left w:val="none" w:sz="0" w:space="0" w:color="auto"/>
            <w:bottom w:val="none" w:sz="0" w:space="0" w:color="auto"/>
            <w:right w:val="none" w:sz="0" w:space="0" w:color="auto"/>
          </w:divBdr>
          <w:divsChild>
            <w:div w:id="739064799">
              <w:marLeft w:val="0"/>
              <w:marRight w:val="0"/>
              <w:marTop w:val="0"/>
              <w:marBottom w:val="0"/>
              <w:divBdr>
                <w:top w:val="none" w:sz="0" w:space="0" w:color="auto"/>
                <w:left w:val="none" w:sz="0" w:space="0" w:color="auto"/>
                <w:bottom w:val="none" w:sz="0" w:space="0" w:color="auto"/>
                <w:right w:val="none" w:sz="0" w:space="0" w:color="auto"/>
              </w:divBdr>
              <w:divsChild>
                <w:div w:id="1943145320">
                  <w:marLeft w:val="0"/>
                  <w:marRight w:val="0"/>
                  <w:marTop w:val="0"/>
                  <w:marBottom w:val="0"/>
                  <w:divBdr>
                    <w:top w:val="none" w:sz="0" w:space="0" w:color="auto"/>
                    <w:left w:val="none" w:sz="0" w:space="0" w:color="auto"/>
                    <w:bottom w:val="none" w:sz="0" w:space="0" w:color="auto"/>
                    <w:right w:val="none" w:sz="0" w:space="0" w:color="auto"/>
                  </w:divBdr>
                  <w:divsChild>
                    <w:div w:id="15616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hyperlink" Target="mailto:andrea@maffiniconsulting.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C36F9-F61F-4EAC-A106-C8BB13E1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3247</Words>
  <Characters>18511</Characters>
  <Application>Microsoft Office Word</Application>
  <DocSecurity>0</DocSecurity>
  <Lines>154</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Andrea Maffini</cp:lastModifiedBy>
  <cp:revision>29</cp:revision>
  <cp:lastPrinted>2015-05-12T18:31:00Z</cp:lastPrinted>
  <dcterms:created xsi:type="dcterms:W3CDTF">2023-03-27T15:46:00Z</dcterms:created>
  <dcterms:modified xsi:type="dcterms:W3CDTF">2023-03-28T14:25:00Z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a6175487-42af-4492-84fe-2b4054e011bd_Enabled">
    <vt:lpwstr>true</vt:lpwstr>
  </property>
  <property fmtid="{D5CDD505-2E9C-101B-9397-08002B2CF9AE}" pid="5" name="MSIP_Label_a6175487-42af-4492-84fe-2b4054e011bd_SetDate">
    <vt:lpwstr>2023-02-01T13:26:44Z</vt:lpwstr>
  </property>
  <property fmtid="{D5CDD505-2E9C-101B-9397-08002B2CF9AE}" pid="6" name="MSIP_Label_a6175487-42af-4492-84fe-2b4054e011bd_Method">
    <vt:lpwstr>Privileged</vt:lpwstr>
  </property>
  <property fmtid="{D5CDD505-2E9C-101B-9397-08002B2CF9AE}" pid="7" name="MSIP_Label_a6175487-42af-4492-84fe-2b4054e011bd_Name">
    <vt:lpwstr>Public</vt:lpwstr>
  </property>
  <property fmtid="{D5CDD505-2E9C-101B-9397-08002B2CF9AE}" pid="8" name="MSIP_Label_a6175487-42af-4492-84fe-2b4054e011bd_SiteId">
    <vt:lpwstr>76e3e3ff-fce0-45ec-a946-bc44d69a9b7e</vt:lpwstr>
  </property>
  <property fmtid="{D5CDD505-2E9C-101B-9397-08002B2CF9AE}" pid="9" name="MSIP_Label_a6175487-42af-4492-84fe-2b4054e011bd_ActionId">
    <vt:lpwstr>bb47f944-b97b-41bb-af2c-9de0ffac7944</vt:lpwstr>
  </property>
  <property fmtid="{D5CDD505-2E9C-101B-9397-08002B2CF9AE}" pid="10" name="MSIP_Label_a6175487-42af-4492-84fe-2b4054e011bd_ContentBits">
    <vt:lpwstr>0</vt:lpwstr>
  </property>
</Properties>
</file>